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B72F19" w:rsidRDefault="00AE5554" w:rsidP="005C4D20">
      <w:pPr>
        <w:jc w:val="center"/>
        <w:rPr>
          <w:b/>
          <w:sz w:val="20"/>
          <w:szCs w:val="20"/>
        </w:rPr>
      </w:pPr>
      <w:r>
        <w:rPr>
          <w:b/>
          <w:sz w:val="20"/>
        </w:rPr>
        <w:t>Portada para acompañar nuevas propuestas</w:t>
      </w:r>
    </w:p>
    <w:p w14:paraId="709DA0CC" w14:textId="77777777" w:rsidR="00AE5554" w:rsidRPr="00AE3F7E" w:rsidRDefault="00AE5554" w:rsidP="005C4D20">
      <w:pPr>
        <w:jc w:val="center"/>
        <w:rPr>
          <w:b/>
          <w:bCs/>
          <w:i/>
          <w:iCs/>
          <w:sz w:val="20"/>
          <w:szCs w:val="20"/>
        </w:rPr>
      </w:pPr>
    </w:p>
    <w:p w14:paraId="6A2EB0E3" w14:textId="1696AD13" w:rsidR="00AE5554" w:rsidRPr="00B72F19" w:rsidRDefault="00AE5554" w:rsidP="005C4D20">
      <w:pPr>
        <w:jc w:val="center"/>
        <w:rPr>
          <w:i/>
          <w:iCs/>
          <w:sz w:val="20"/>
          <w:szCs w:val="20"/>
        </w:rPr>
      </w:pPr>
      <w:r>
        <w:rPr>
          <w:i/>
          <w:sz w:val="20"/>
        </w:rPr>
        <w:t xml:space="preserve">(presentado por </w:t>
      </w:r>
      <w:r w:rsidR="00AE3F7E">
        <w:rPr>
          <w:i/>
          <w:color w:val="000000"/>
          <w:sz w:val="20"/>
        </w:rPr>
        <w:t>Barbados y Trinidad y Tobago</w:t>
      </w:r>
      <w:r>
        <w:rPr>
          <w:i/>
          <w:sz w:val="20"/>
        </w:rPr>
        <w:t>)</w:t>
      </w:r>
    </w:p>
    <w:p w14:paraId="5DC2C8C7" w14:textId="77777777" w:rsidR="00002486" w:rsidRPr="00B72F19" w:rsidRDefault="00002486" w:rsidP="005C4D20">
      <w:pPr>
        <w:jc w:val="center"/>
        <w:rPr>
          <w:i/>
          <w:iCs/>
          <w:sz w:val="20"/>
          <w:szCs w:val="20"/>
        </w:rPr>
      </w:pPr>
    </w:p>
    <w:p w14:paraId="3E0F7B25" w14:textId="499667F7" w:rsidR="006D3C61" w:rsidRPr="00B72F19" w:rsidRDefault="009F6A2C" w:rsidP="006D3C61">
      <w:pPr>
        <w:jc w:val="both"/>
        <w:rPr>
          <w:b/>
          <w:bCs/>
          <w:color w:val="EE0000"/>
          <w:sz w:val="20"/>
          <w:szCs w:val="20"/>
        </w:rPr>
      </w:pPr>
      <w:r>
        <w:rPr>
          <w:b/>
          <w:sz w:val="20"/>
        </w:rPr>
        <w:t xml:space="preserve">Título de la propuesta de Proyecto de Recomendación/Resolución: </w:t>
      </w:r>
      <w:r>
        <w:rPr>
          <w:color w:val="EE0000"/>
          <w:sz w:val="20"/>
        </w:rPr>
        <w:t>Proyecto de Recomendación de ICCAT que enmienda la Recomendación 19-05 para establecer programas de recuperación para la aguja azul y aguja blanca/marlín peto con el fin de establecer consideraciones especiales para los Pequeños estados insulares en desarrollo (</w:t>
      </w:r>
      <w:proofErr w:type="spellStart"/>
      <w:r>
        <w:rPr>
          <w:color w:val="EE0000"/>
          <w:sz w:val="20"/>
        </w:rPr>
        <w:t>SIDS</w:t>
      </w:r>
      <w:proofErr w:type="spellEnd"/>
      <w:r>
        <w:rPr>
          <w:color w:val="EE0000"/>
          <w:sz w:val="20"/>
        </w:rPr>
        <w:t>) del Caribe</w:t>
      </w:r>
    </w:p>
    <w:p w14:paraId="5D6D97FC" w14:textId="72F3FEA0" w:rsidR="009F6A2C" w:rsidRPr="00B72F19" w:rsidRDefault="009F6A2C" w:rsidP="005C4D20">
      <w:pPr>
        <w:jc w:val="both"/>
        <w:rPr>
          <w:b/>
          <w:bCs/>
          <w:spacing w:val="-2"/>
          <w:sz w:val="20"/>
          <w:szCs w:val="20"/>
        </w:rPr>
      </w:pPr>
    </w:p>
    <w:p w14:paraId="7BDE0651" w14:textId="512F44B9" w:rsidR="00DA1F8F" w:rsidRPr="00B72F19" w:rsidRDefault="009F6A2C" w:rsidP="00DA1F8F">
      <w:pPr>
        <w:jc w:val="both"/>
        <w:rPr>
          <w:sz w:val="20"/>
          <w:szCs w:val="20"/>
        </w:rPr>
      </w:pPr>
      <w:r>
        <w:rPr>
          <w:b/>
          <w:sz w:val="20"/>
        </w:rPr>
        <w:t xml:space="preserve">Título de la(s) recomendación(es) o resolución(es) actualmente vigente(s) que aborda(n) la misma cuestión o cuestiones relacionadas: </w:t>
      </w:r>
      <w:r>
        <w:rPr>
          <w:i/>
          <w:iCs/>
          <w:color w:val="EE0000"/>
          <w:sz w:val="20"/>
        </w:rPr>
        <w:t>Recomendación de ICCAT para establecer programas de recuperación para la aguja azul y aguja blanca/marlín peto</w:t>
      </w:r>
      <w:r>
        <w:rPr>
          <w:color w:val="EE0000"/>
          <w:sz w:val="20"/>
        </w:rPr>
        <w:t xml:space="preserve"> (Rec. 19-05)</w:t>
      </w:r>
    </w:p>
    <w:p w14:paraId="6C33A10F" w14:textId="0FA5554E" w:rsidR="009F6A2C" w:rsidRPr="00B72F19" w:rsidRDefault="009F6A2C" w:rsidP="005C4D20">
      <w:pPr>
        <w:jc w:val="both"/>
        <w:rPr>
          <w:bCs/>
          <w:i/>
          <w:iCs/>
          <w:color w:val="EE0000"/>
          <w:spacing w:val="-2"/>
          <w:sz w:val="20"/>
          <w:szCs w:val="20"/>
        </w:rPr>
      </w:pPr>
    </w:p>
    <w:p w14:paraId="2A4EEB35" w14:textId="77777777" w:rsidR="009F6A2C" w:rsidRPr="00B72F19" w:rsidRDefault="009F6A2C" w:rsidP="005C4D20">
      <w:pPr>
        <w:ind w:left="318"/>
        <w:jc w:val="both"/>
        <w:rPr>
          <w:sz w:val="20"/>
          <w:szCs w:val="20"/>
        </w:rPr>
      </w:pPr>
    </w:p>
    <w:p w14:paraId="545E989E" w14:textId="1317D866" w:rsidR="009F6A2C" w:rsidRPr="00AE3F7E" w:rsidRDefault="00AE3F7E" w:rsidP="005C4D20">
      <w:pPr>
        <w:widowControl/>
        <w:numPr>
          <w:ilvl w:val="0"/>
          <w:numId w:val="65"/>
        </w:numPr>
        <w:autoSpaceDE/>
        <w:autoSpaceDN/>
        <w:spacing w:after="160" w:line="259" w:lineRule="auto"/>
        <w:ind w:left="426" w:hanging="426"/>
        <w:jc w:val="both"/>
        <w:rPr>
          <w:color w:val="FF0000"/>
          <w:sz w:val="20"/>
          <w:szCs w:val="20"/>
        </w:rPr>
      </w:pPr>
      <w:r w:rsidRPr="00AE3F7E">
        <w:rPr>
          <w:sz w:val="20"/>
        </w:rPr>
        <w:t xml:space="preserve">¿Crea nuevas </w:t>
      </w:r>
      <w:r w:rsidRPr="00AE3F7E">
        <w:rPr>
          <w:b/>
          <w:sz w:val="20"/>
        </w:rPr>
        <w:t xml:space="preserve">obligaciones de comunicación </w:t>
      </w:r>
      <w:r w:rsidRPr="00AE3F7E">
        <w:rPr>
          <w:sz w:val="20"/>
        </w:rPr>
        <w:t xml:space="preserve">para las CPC?     Sí </w:t>
      </w:r>
      <w:sdt>
        <w:sdtPr>
          <w:rPr>
            <w:sz w:val="20"/>
          </w:rPr>
          <w:id w:val="279852826"/>
          <w14:checkbox>
            <w14:checked w14:val="0"/>
            <w14:checkedState w14:val="2612" w14:font="MS Gothic"/>
            <w14:uncheckedState w14:val="2610" w14:font="MS Gothic"/>
          </w14:checkbox>
        </w:sdtPr>
        <w:sdtContent>
          <w:r w:rsidRPr="00AE3F7E">
            <w:rPr>
              <w:rFonts w:ascii="Segoe UI Symbol" w:hAnsi="Segoe UI Symbol" w:cs="Segoe UI Symbol"/>
              <w:sz w:val="20"/>
            </w:rPr>
            <w:t>☐</w:t>
          </w:r>
        </w:sdtContent>
      </w:sdt>
      <w:r w:rsidRPr="00AE3F7E">
        <w:rPr>
          <w:sz w:val="20"/>
        </w:rPr>
        <w:tab/>
      </w:r>
      <w:r w:rsidRPr="00AE3F7E">
        <w:rPr>
          <w:color w:val="FF0000"/>
          <w:sz w:val="20"/>
        </w:rPr>
        <w:t xml:space="preserve">No </w:t>
      </w:r>
      <w:sdt>
        <w:sdtPr>
          <w:rPr>
            <w:color w:val="FF0000"/>
            <w:spacing w:val="-2"/>
            <w:sz w:val="20"/>
            <w:szCs w:val="20"/>
          </w:rPr>
          <w:id w:val="-1068185848"/>
          <w14:checkbox>
            <w14:checked w14:val="1"/>
            <w14:checkedState w14:val="2612" w14:font="MS Gothic"/>
            <w14:uncheckedState w14:val="2610" w14:font="MS Gothic"/>
          </w14:checkbox>
        </w:sdtPr>
        <w:sdtContent>
          <w:r w:rsidRPr="00AE3F7E">
            <w:rPr>
              <w:rFonts w:ascii="Segoe UI Symbol" w:hAnsi="Segoe UI Symbol" w:cs="Segoe UI Symbol"/>
              <w:color w:val="FF0000"/>
              <w:spacing w:val="-2"/>
              <w:sz w:val="20"/>
              <w:szCs w:val="20"/>
            </w:rPr>
            <w:t>☒</w:t>
          </w:r>
        </w:sdtContent>
      </w:sdt>
    </w:p>
    <w:p w14:paraId="640FA8B9" w14:textId="2BD02F45" w:rsidR="009F6A2C" w:rsidRPr="00B72F19" w:rsidRDefault="009F6A2C" w:rsidP="00C36BC3">
      <w:pPr>
        <w:ind w:left="426"/>
        <w:jc w:val="both"/>
        <w:rPr>
          <w:color w:val="EE0000"/>
          <w:sz w:val="20"/>
          <w:szCs w:val="20"/>
        </w:rPr>
      </w:pPr>
      <w:r>
        <w:rPr>
          <w:sz w:val="20"/>
        </w:rPr>
        <w:t xml:space="preserve">Breve descripción de la(s) nueva(s) obligación(es) de comunicación: </w:t>
      </w:r>
    </w:p>
    <w:p w14:paraId="47C89C18" w14:textId="77777777" w:rsidR="009F6A2C" w:rsidRPr="00B72F19" w:rsidRDefault="009F6A2C" w:rsidP="005C4D20">
      <w:pPr>
        <w:pStyle w:val="BodyText"/>
      </w:pPr>
    </w:p>
    <w:p w14:paraId="76192B38" w14:textId="77777777" w:rsidR="009F6A2C" w:rsidRPr="00B72F19" w:rsidRDefault="009F6A2C" w:rsidP="005C4D20">
      <w:pPr>
        <w:ind w:left="318"/>
        <w:rPr>
          <w:sz w:val="20"/>
          <w:szCs w:val="20"/>
        </w:rPr>
      </w:pPr>
    </w:p>
    <w:p w14:paraId="7F4A05BF" w14:textId="3FD12BCA" w:rsidR="009F6A2C" w:rsidRPr="00AE3F7E" w:rsidRDefault="00AE3F7E" w:rsidP="00AE3F7E">
      <w:pPr>
        <w:widowControl/>
        <w:numPr>
          <w:ilvl w:val="0"/>
          <w:numId w:val="65"/>
        </w:numPr>
        <w:tabs>
          <w:tab w:val="left" w:pos="6804"/>
        </w:tabs>
        <w:autoSpaceDE/>
        <w:autoSpaceDN/>
        <w:spacing w:after="160" w:line="259" w:lineRule="auto"/>
        <w:ind w:left="426" w:hanging="426"/>
        <w:jc w:val="both"/>
        <w:rPr>
          <w:sz w:val="20"/>
          <w:szCs w:val="20"/>
        </w:rPr>
      </w:pPr>
      <w:r w:rsidRPr="00AE3F7E">
        <w:rPr>
          <w:sz w:val="20"/>
        </w:rPr>
        <w:t xml:space="preserve">¿Requiere aportaciones o </w:t>
      </w:r>
      <w:r w:rsidRPr="00AE3F7E">
        <w:rPr>
          <w:b/>
          <w:sz w:val="20"/>
        </w:rPr>
        <w:t xml:space="preserve">trabajo </w:t>
      </w:r>
      <w:r w:rsidRPr="00AE3F7E">
        <w:rPr>
          <w:bCs/>
          <w:sz w:val="20"/>
        </w:rPr>
        <w:t>adicional</w:t>
      </w:r>
      <w:r w:rsidRPr="00AE3F7E">
        <w:rPr>
          <w:b/>
          <w:sz w:val="20"/>
        </w:rPr>
        <w:t xml:space="preserve"> por parte del SCRS</w:t>
      </w:r>
      <w:r w:rsidRPr="00AE3F7E">
        <w:rPr>
          <w:sz w:val="20"/>
        </w:rPr>
        <w:t xml:space="preserve">?  Sí </w:t>
      </w:r>
      <w:sdt>
        <w:sdtPr>
          <w:rPr>
            <w:sz w:val="20"/>
          </w:rPr>
          <w:id w:val="89124157"/>
          <w14:checkbox>
            <w14:checked w14:val="0"/>
            <w14:checkedState w14:val="2612" w14:font="MS Gothic"/>
            <w14:uncheckedState w14:val="2610" w14:font="MS Gothic"/>
          </w14:checkbox>
        </w:sdtPr>
        <w:sdtContent>
          <w:r w:rsidRPr="00AE3F7E">
            <w:rPr>
              <w:rFonts w:ascii="Segoe UI Symbol" w:hAnsi="Segoe UI Symbol" w:cs="Segoe UI Symbol"/>
              <w:sz w:val="20"/>
            </w:rPr>
            <w:t>☐</w:t>
          </w:r>
        </w:sdtContent>
      </w:sdt>
      <w:r w:rsidRPr="00AE3F7E">
        <w:rPr>
          <w:sz w:val="20"/>
        </w:rPr>
        <w:tab/>
      </w:r>
      <w:r w:rsidRPr="00AE3F7E">
        <w:rPr>
          <w:color w:val="FF0000"/>
          <w:sz w:val="20"/>
        </w:rPr>
        <w:t xml:space="preserve">No </w:t>
      </w:r>
      <w:sdt>
        <w:sdtPr>
          <w:rPr>
            <w:color w:val="FF0000"/>
            <w:spacing w:val="-2"/>
            <w:sz w:val="20"/>
            <w:szCs w:val="20"/>
          </w:rPr>
          <w:id w:val="-1209718574"/>
          <w14:checkbox>
            <w14:checked w14:val="1"/>
            <w14:checkedState w14:val="2612" w14:font="MS Gothic"/>
            <w14:uncheckedState w14:val="2610" w14:font="MS Gothic"/>
          </w14:checkbox>
        </w:sdtPr>
        <w:sdtContent>
          <w:r w:rsidRPr="00AE3F7E">
            <w:rPr>
              <w:rFonts w:ascii="Segoe UI Symbol" w:hAnsi="Segoe UI Symbol" w:cs="Segoe UI Symbol"/>
              <w:color w:val="FF0000"/>
              <w:spacing w:val="-2"/>
              <w:sz w:val="20"/>
              <w:szCs w:val="20"/>
            </w:rPr>
            <w:t>☒</w:t>
          </w:r>
        </w:sdtContent>
      </w:sdt>
    </w:p>
    <w:p w14:paraId="79F3F32B" w14:textId="50E5AF8A" w:rsidR="00AE3F7E" w:rsidRPr="00AE3F7E" w:rsidRDefault="00AE3F7E" w:rsidP="00AE3F7E">
      <w:pPr>
        <w:tabs>
          <w:tab w:val="left" w:pos="6804"/>
          <w:tab w:val="left" w:pos="7371"/>
        </w:tabs>
        <w:ind w:left="360" w:firstLine="66"/>
        <w:jc w:val="both"/>
        <w:rPr>
          <w:sz w:val="20"/>
          <w:szCs w:val="20"/>
        </w:rPr>
      </w:pPr>
      <w:r w:rsidRPr="00AE3F7E">
        <w:rPr>
          <w:sz w:val="20"/>
        </w:rPr>
        <w:t>¿Está este trabajo ya incluido en el Plan de trabajo actual del SCRS?</w:t>
      </w:r>
      <w:r w:rsidRPr="00AE3F7E">
        <w:rPr>
          <w:sz w:val="20"/>
        </w:rPr>
        <w:tab/>
      </w:r>
      <w:r w:rsidRPr="00AE3F7E">
        <w:rPr>
          <w:color w:val="EE0000"/>
          <w:sz w:val="20"/>
        </w:rPr>
        <w:t xml:space="preserve">Sí </w:t>
      </w:r>
      <w:sdt>
        <w:sdtPr>
          <w:rPr>
            <w:color w:val="EE0000"/>
            <w:sz w:val="20"/>
          </w:rPr>
          <w:id w:val="-1260672485"/>
          <w14:checkbox>
            <w14:checked w14:val="1"/>
            <w14:checkedState w14:val="2612" w14:font="MS Gothic"/>
            <w14:uncheckedState w14:val="2610" w14:font="MS Gothic"/>
          </w14:checkbox>
        </w:sdtPr>
        <w:sdtContent>
          <w:r w:rsidRPr="00AE3F7E">
            <w:rPr>
              <w:rFonts w:ascii="MS Gothic" w:eastAsia="MS Gothic" w:hAnsi="MS Gothic" w:hint="eastAsia"/>
              <w:color w:val="EE0000"/>
              <w:sz w:val="20"/>
            </w:rPr>
            <w:t>☒</w:t>
          </w:r>
        </w:sdtContent>
      </w:sdt>
      <w:r w:rsidRPr="00AE3F7E">
        <w:rPr>
          <w:color w:val="EE0000"/>
          <w:sz w:val="20"/>
        </w:rPr>
        <w:tab/>
      </w:r>
      <w:r w:rsidRPr="00AE3F7E">
        <w:rPr>
          <w:color w:val="000000"/>
          <w:sz w:val="20"/>
        </w:rPr>
        <w:t xml:space="preserve">No </w:t>
      </w:r>
      <w:sdt>
        <w:sdtPr>
          <w:rPr>
            <w:color w:val="000000"/>
            <w:spacing w:val="-2"/>
            <w:sz w:val="20"/>
            <w:szCs w:val="20"/>
          </w:rPr>
          <w:id w:val="818388141"/>
          <w14:checkbox>
            <w14:checked w14:val="0"/>
            <w14:checkedState w14:val="2612" w14:font="MS Gothic"/>
            <w14:uncheckedState w14:val="2610" w14:font="MS Gothic"/>
          </w14:checkbox>
        </w:sdtPr>
        <w:sdtContent>
          <w:r w:rsidRPr="00AE3F7E">
            <w:rPr>
              <w:rFonts w:ascii="Segoe UI Symbol" w:hAnsi="Segoe UI Symbol" w:cs="Segoe UI Symbol"/>
              <w:color w:val="000000"/>
              <w:spacing w:val="-2"/>
              <w:sz w:val="20"/>
              <w:szCs w:val="20"/>
            </w:rPr>
            <w:t>☐</w:t>
          </w:r>
        </w:sdtContent>
      </w:sdt>
    </w:p>
    <w:p w14:paraId="75F661D7" w14:textId="77777777" w:rsidR="009F6A2C" w:rsidRPr="00B72F19" w:rsidRDefault="009F6A2C" w:rsidP="00AE3F7E">
      <w:pPr>
        <w:rPr>
          <w:sz w:val="20"/>
          <w:szCs w:val="20"/>
        </w:rPr>
      </w:pPr>
    </w:p>
    <w:p w14:paraId="554B9B31" w14:textId="7892A24E" w:rsidR="009F6A2C" w:rsidRPr="00B72F19" w:rsidRDefault="00AE3F7E" w:rsidP="005C4D20">
      <w:pPr>
        <w:ind w:left="360" w:firstLine="66"/>
        <w:jc w:val="both"/>
        <w:rPr>
          <w:sz w:val="20"/>
          <w:szCs w:val="20"/>
        </w:rPr>
      </w:pPr>
      <w:r w:rsidRPr="004419CA">
        <w:rPr>
          <w:sz w:val="20"/>
        </w:rPr>
        <w:t xml:space="preserve">Breve descripción del nuevo trabajo científico necesario (es decir, evaluación del stock, análisis, consultor externo): </w:t>
      </w:r>
    </w:p>
    <w:p w14:paraId="508D9ADD" w14:textId="77777777" w:rsidR="009F6A2C" w:rsidRPr="00B72F19" w:rsidRDefault="009F6A2C" w:rsidP="005C4D20">
      <w:pPr>
        <w:ind w:left="318"/>
        <w:rPr>
          <w:sz w:val="20"/>
          <w:szCs w:val="20"/>
        </w:rPr>
      </w:pPr>
    </w:p>
    <w:p w14:paraId="7F88675E" w14:textId="5EFA10B1" w:rsidR="009F6A2C" w:rsidRPr="00AE3F7E" w:rsidRDefault="00AE3F7E" w:rsidP="00AE3F7E">
      <w:pPr>
        <w:widowControl/>
        <w:numPr>
          <w:ilvl w:val="0"/>
          <w:numId w:val="65"/>
        </w:numPr>
        <w:autoSpaceDE/>
        <w:autoSpaceDN/>
        <w:spacing w:after="160" w:line="259" w:lineRule="auto"/>
        <w:ind w:left="426" w:hanging="426"/>
        <w:jc w:val="both"/>
        <w:rPr>
          <w:sz w:val="20"/>
          <w:szCs w:val="20"/>
        </w:rPr>
      </w:pPr>
      <w:r w:rsidRPr="00AE3F7E">
        <w:rPr>
          <w:sz w:val="20"/>
        </w:rPr>
        <w:t xml:space="preserve">¿Implica la creación de un </w:t>
      </w:r>
      <w:r w:rsidRPr="00AE3F7E">
        <w:rPr>
          <w:b/>
          <w:sz w:val="20"/>
        </w:rPr>
        <w:t>nuevo grupo de trabajo o proceso intersesiones</w:t>
      </w:r>
      <w:r w:rsidRPr="00AE3F7E">
        <w:rPr>
          <w:sz w:val="20"/>
        </w:rPr>
        <w:t xml:space="preserve">?    Sí </w:t>
      </w:r>
      <w:sdt>
        <w:sdtPr>
          <w:rPr>
            <w:sz w:val="20"/>
          </w:rPr>
          <w:id w:val="1144702017"/>
          <w14:checkbox>
            <w14:checked w14:val="0"/>
            <w14:checkedState w14:val="2612" w14:font="MS Gothic"/>
            <w14:uncheckedState w14:val="2610" w14:font="MS Gothic"/>
          </w14:checkbox>
        </w:sdtPr>
        <w:sdtContent>
          <w:r w:rsidRPr="00AE3F7E">
            <w:rPr>
              <w:rFonts w:ascii="Segoe UI Symbol" w:hAnsi="Segoe UI Symbol" w:cs="Segoe UI Symbol"/>
              <w:sz w:val="20"/>
            </w:rPr>
            <w:t>☐</w:t>
          </w:r>
        </w:sdtContent>
      </w:sdt>
      <w:r w:rsidRPr="00AE3F7E">
        <w:rPr>
          <w:sz w:val="20"/>
        </w:rPr>
        <w:tab/>
      </w:r>
      <w:r w:rsidRPr="00AE3F7E">
        <w:rPr>
          <w:color w:val="FF0000"/>
          <w:sz w:val="20"/>
        </w:rPr>
        <w:t xml:space="preserve">No </w:t>
      </w:r>
      <w:sdt>
        <w:sdtPr>
          <w:rPr>
            <w:color w:val="FF0000"/>
            <w:spacing w:val="-2"/>
            <w:sz w:val="20"/>
            <w:szCs w:val="20"/>
          </w:rPr>
          <w:id w:val="1655565838"/>
          <w14:checkbox>
            <w14:checked w14:val="1"/>
            <w14:checkedState w14:val="2612" w14:font="MS Gothic"/>
            <w14:uncheckedState w14:val="2610" w14:font="MS Gothic"/>
          </w14:checkbox>
        </w:sdtPr>
        <w:sdtContent>
          <w:r w:rsidRPr="00AE3F7E">
            <w:rPr>
              <w:rFonts w:ascii="Segoe UI Symbol" w:hAnsi="Segoe UI Symbol" w:cs="Segoe UI Symbol"/>
              <w:color w:val="FF0000"/>
              <w:spacing w:val="-2"/>
              <w:sz w:val="20"/>
              <w:szCs w:val="20"/>
            </w:rPr>
            <w:t>☒</w:t>
          </w:r>
        </w:sdtContent>
      </w:sdt>
    </w:p>
    <w:p w14:paraId="2EF285C6" w14:textId="77777777" w:rsidR="009F6A2C" w:rsidRPr="00B72F19" w:rsidRDefault="009F6A2C" w:rsidP="005C4D20">
      <w:pPr>
        <w:ind w:left="318"/>
        <w:rPr>
          <w:sz w:val="20"/>
          <w:szCs w:val="20"/>
        </w:rPr>
      </w:pPr>
    </w:p>
    <w:p w14:paraId="6DEE9C25" w14:textId="77777777" w:rsidR="00AE3F7E" w:rsidRPr="00AE3F7E" w:rsidRDefault="00AE3F7E" w:rsidP="00AE3F7E">
      <w:pPr>
        <w:widowControl/>
        <w:numPr>
          <w:ilvl w:val="0"/>
          <w:numId w:val="65"/>
        </w:numPr>
        <w:autoSpaceDE/>
        <w:autoSpaceDN/>
        <w:spacing w:after="160" w:line="259" w:lineRule="auto"/>
        <w:ind w:left="426" w:hanging="426"/>
        <w:jc w:val="both"/>
        <w:rPr>
          <w:sz w:val="20"/>
          <w:szCs w:val="20"/>
        </w:rPr>
      </w:pPr>
      <w:r w:rsidRPr="00AE3F7E">
        <w:rPr>
          <w:sz w:val="20"/>
        </w:rPr>
        <w:t xml:space="preserve">¿Requiere un nuevo </w:t>
      </w:r>
      <w:r w:rsidRPr="00AE3F7E">
        <w:rPr>
          <w:b/>
          <w:sz w:val="20"/>
        </w:rPr>
        <w:t>programa o actividades adicionales que deba gestionar la Secretaría</w:t>
      </w:r>
      <w:r w:rsidRPr="00AE3F7E">
        <w:rPr>
          <w:sz w:val="20"/>
        </w:rPr>
        <w:t xml:space="preserve">?  </w:t>
      </w:r>
    </w:p>
    <w:p w14:paraId="0CA1625E" w14:textId="77777777" w:rsidR="00AE3F7E" w:rsidRPr="00AE3F7E" w:rsidRDefault="00AE3F7E" w:rsidP="00AE3F7E">
      <w:pPr>
        <w:ind w:left="318"/>
        <w:rPr>
          <w:color w:val="FF0000"/>
          <w:spacing w:val="-2"/>
          <w:sz w:val="20"/>
          <w:szCs w:val="20"/>
        </w:rPr>
      </w:pPr>
      <w:r w:rsidRPr="00AE3F7E">
        <w:rPr>
          <w:sz w:val="20"/>
        </w:rPr>
        <w:t xml:space="preserve">   Sí </w:t>
      </w:r>
      <w:sdt>
        <w:sdtPr>
          <w:rPr>
            <w:sz w:val="20"/>
          </w:rPr>
          <w:id w:val="1536081079"/>
          <w14:checkbox>
            <w14:checked w14:val="0"/>
            <w14:checkedState w14:val="2612" w14:font="MS Gothic"/>
            <w14:uncheckedState w14:val="2610" w14:font="MS Gothic"/>
          </w14:checkbox>
        </w:sdtPr>
        <w:sdtContent>
          <w:r w:rsidRPr="00AE3F7E">
            <w:rPr>
              <w:rFonts w:ascii="Segoe UI Symbol" w:hAnsi="Segoe UI Symbol" w:cs="Segoe UI Symbol"/>
              <w:sz w:val="20"/>
            </w:rPr>
            <w:t>☐</w:t>
          </w:r>
        </w:sdtContent>
      </w:sdt>
      <w:r w:rsidRPr="00AE3F7E">
        <w:rPr>
          <w:sz w:val="20"/>
        </w:rPr>
        <w:tab/>
      </w:r>
      <w:r w:rsidRPr="00AE3F7E">
        <w:rPr>
          <w:color w:val="FF0000"/>
          <w:sz w:val="20"/>
        </w:rPr>
        <w:t xml:space="preserve">No </w:t>
      </w:r>
      <w:sdt>
        <w:sdtPr>
          <w:rPr>
            <w:color w:val="FF0000"/>
            <w:spacing w:val="-2"/>
            <w:sz w:val="20"/>
            <w:szCs w:val="20"/>
          </w:rPr>
          <w:id w:val="560759300"/>
          <w14:checkbox>
            <w14:checked w14:val="1"/>
            <w14:checkedState w14:val="2612" w14:font="MS Gothic"/>
            <w14:uncheckedState w14:val="2610" w14:font="MS Gothic"/>
          </w14:checkbox>
        </w:sdtPr>
        <w:sdtContent>
          <w:r w:rsidRPr="00AE3F7E">
            <w:rPr>
              <w:rFonts w:ascii="Segoe UI Symbol" w:hAnsi="Segoe UI Symbol" w:cs="Segoe UI Symbol"/>
              <w:color w:val="FF0000"/>
              <w:spacing w:val="-2"/>
              <w:sz w:val="20"/>
              <w:szCs w:val="20"/>
            </w:rPr>
            <w:t>☒</w:t>
          </w:r>
        </w:sdtContent>
      </w:sdt>
    </w:p>
    <w:p w14:paraId="264769C5" w14:textId="77777777" w:rsidR="00AE3F7E" w:rsidRPr="00AE3F7E" w:rsidRDefault="00AE3F7E" w:rsidP="00AE3F7E">
      <w:pPr>
        <w:ind w:left="318"/>
        <w:rPr>
          <w:sz w:val="20"/>
          <w:szCs w:val="20"/>
        </w:rPr>
      </w:pPr>
    </w:p>
    <w:p w14:paraId="39000472" w14:textId="1CB17832" w:rsidR="00C85E88" w:rsidRPr="00B72F19" w:rsidRDefault="00AE3F7E" w:rsidP="00AE3F7E">
      <w:pPr>
        <w:ind w:left="360" w:firstLine="66"/>
        <w:jc w:val="both"/>
        <w:rPr>
          <w:spacing w:val="-2"/>
          <w:sz w:val="20"/>
          <w:szCs w:val="20"/>
        </w:rPr>
      </w:pPr>
      <w:r w:rsidRPr="00AE3F7E">
        <w:rPr>
          <w:sz w:val="20"/>
        </w:rPr>
        <w:t xml:space="preserve">Breve descripción del nuevo trabajo necesario de la Secretaría: </w:t>
      </w:r>
    </w:p>
    <w:p w14:paraId="6385EAB5" w14:textId="77777777" w:rsidR="009F6A2C" w:rsidRPr="00B72F19" w:rsidRDefault="009F6A2C" w:rsidP="005C4D20">
      <w:pPr>
        <w:ind w:left="360" w:firstLine="66"/>
        <w:jc w:val="both"/>
        <w:rPr>
          <w:spacing w:val="-2"/>
          <w:sz w:val="20"/>
          <w:szCs w:val="20"/>
        </w:rPr>
      </w:pPr>
    </w:p>
    <w:p w14:paraId="3C4F5025" w14:textId="64BAE4D9" w:rsidR="00C85E88" w:rsidRPr="00AE3F7E" w:rsidRDefault="00AE3F7E" w:rsidP="00AE3F7E">
      <w:pPr>
        <w:widowControl/>
        <w:numPr>
          <w:ilvl w:val="0"/>
          <w:numId w:val="65"/>
        </w:numPr>
        <w:autoSpaceDE/>
        <w:autoSpaceDN/>
        <w:spacing w:after="160" w:line="259" w:lineRule="auto"/>
        <w:ind w:left="426" w:hanging="426"/>
        <w:jc w:val="both"/>
        <w:rPr>
          <w:spacing w:val="-2"/>
          <w:sz w:val="20"/>
          <w:szCs w:val="20"/>
        </w:rPr>
      </w:pPr>
      <w:r w:rsidRPr="00AE3F7E">
        <w:rPr>
          <w:sz w:val="20"/>
        </w:rPr>
        <w:t>¿Cuál es el calendario propuesto para la implementación? ¿Existen distintos calendarios específicos para determinadas CPC, pesquerías, regiones, etc.?</w:t>
      </w:r>
    </w:p>
    <w:p w14:paraId="6416D04F" w14:textId="77777777" w:rsidR="003035D9" w:rsidRPr="00B72F19" w:rsidRDefault="003035D9" w:rsidP="005C4D20">
      <w:pPr>
        <w:rPr>
          <w:spacing w:val="-2"/>
          <w:sz w:val="20"/>
          <w:szCs w:val="20"/>
        </w:rPr>
      </w:pPr>
    </w:p>
    <w:p w14:paraId="58946E91" w14:textId="77777777" w:rsidR="00AE3F7E" w:rsidRPr="00AE3F7E" w:rsidRDefault="00AE3F7E" w:rsidP="00AE3F7E">
      <w:pPr>
        <w:widowControl/>
        <w:numPr>
          <w:ilvl w:val="0"/>
          <w:numId w:val="65"/>
        </w:numPr>
        <w:autoSpaceDE/>
        <w:autoSpaceDN/>
        <w:spacing w:after="160" w:line="259" w:lineRule="auto"/>
        <w:ind w:left="426" w:hanging="426"/>
        <w:jc w:val="both"/>
        <w:rPr>
          <w:spacing w:val="-2"/>
          <w:sz w:val="20"/>
          <w:szCs w:val="20"/>
        </w:rPr>
      </w:pPr>
      <w:r w:rsidRPr="00AE3F7E">
        <w:rPr>
          <w:sz w:val="20"/>
        </w:rPr>
        <w:t>¿Hay alguna otra información pertinente sobre las repercusiones de la propuesta en lo referente a los recursos y a la carga de trabajo?</w:t>
      </w:r>
    </w:p>
    <w:p w14:paraId="5FEE6B27" w14:textId="77777777" w:rsidR="009F6A2C" w:rsidRPr="00B72F19" w:rsidRDefault="009F6A2C" w:rsidP="005C4D20">
      <w:pPr>
        <w:pStyle w:val="ListParagraph"/>
        <w:ind w:left="426" w:firstLine="0"/>
        <w:rPr>
          <w:spacing w:val="-2"/>
          <w:sz w:val="20"/>
          <w:szCs w:val="20"/>
        </w:rPr>
      </w:pPr>
    </w:p>
    <w:p w14:paraId="0E5D2A6A" w14:textId="77777777" w:rsidR="009F6A2C" w:rsidRPr="00B72F19" w:rsidRDefault="009F6A2C" w:rsidP="005C4D20">
      <w:pPr>
        <w:pStyle w:val="BodyText"/>
      </w:pPr>
    </w:p>
    <w:p w14:paraId="2C926FED" w14:textId="77777777" w:rsidR="0039573E" w:rsidRPr="00B72F19" w:rsidRDefault="0039573E" w:rsidP="005C4D20">
      <w:pPr>
        <w:jc w:val="center"/>
        <w:rPr>
          <w:b/>
          <w:sz w:val="20"/>
          <w:szCs w:val="20"/>
        </w:rPr>
      </w:pPr>
    </w:p>
    <w:p w14:paraId="12943A5C" w14:textId="77777777" w:rsidR="0039573E" w:rsidRPr="00B72F19" w:rsidRDefault="0039573E" w:rsidP="005C4D20">
      <w:pPr>
        <w:jc w:val="center"/>
        <w:rPr>
          <w:b/>
          <w:sz w:val="20"/>
          <w:szCs w:val="20"/>
        </w:rPr>
      </w:pPr>
    </w:p>
    <w:p w14:paraId="2C530BC6" w14:textId="77777777" w:rsidR="0039573E" w:rsidRPr="00B72F19" w:rsidRDefault="0039573E" w:rsidP="005C4D20">
      <w:pPr>
        <w:jc w:val="center"/>
        <w:rPr>
          <w:b/>
          <w:sz w:val="20"/>
          <w:szCs w:val="20"/>
        </w:rPr>
      </w:pPr>
    </w:p>
    <w:p w14:paraId="1746526D" w14:textId="77777777" w:rsidR="0039573E" w:rsidRPr="00B72F19" w:rsidRDefault="0039573E" w:rsidP="005C4D20">
      <w:pPr>
        <w:jc w:val="center"/>
        <w:rPr>
          <w:b/>
          <w:sz w:val="20"/>
          <w:szCs w:val="20"/>
        </w:rPr>
      </w:pPr>
    </w:p>
    <w:p w14:paraId="25C8CE03" w14:textId="77777777" w:rsidR="0039573E" w:rsidRPr="00B72F19" w:rsidRDefault="0039573E" w:rsidP="005C4D20">
      <w:pPr>
        <w:jc w:val="center"/>
        <w:rPr>
          <w:b/>
          <w:sz w:val="20"/>
          <w:szCs w:val="20"/>
        </w:rPr>
      </w:pPr>
    </w:p>
    <w:p w14:paraId="01E23A9B" w14:textId="77777777" w:rsidR="0039573E" w:rsidRPr="00B72F19" w:rsidRDefault="0039573E" w:rsidP="005C4D20">
      <w:pPr>
        <w:jc w:val="center"/>
        <w:rPr>
          <w:b/>
          <w:sz w:val="20"/>
          <w:szCs w:val="20"/>
        </w:rPr>
      </w:pPr>
    </w:p>
    <w:p w14:paraId="47AD6885" w14:textId="77777777" w:rsidR="005E01CD" w:rsidRPr="00B72F19" w:rsidRDefault="005E01CD" w:rsidP="005C4D20">
      <w:pPr>
        <w:jc w:val="center"/>
        <w:rPr>
          <w:b/>
          <w:sz w:val="20"/>
          <w:szCs w:val="20"/>
        </w:rPr>
      </w:pPr>
    </w:p>
    <w:p w14:paraId="38AE3F4C" w14:textId="77777777" w:rsidR="005E01CD" w:rsidRPr="00B72F19" w:rsidRDefault="005E01CD" w:rsidP="005C4D20">
      <w:pPr>
        <w:jc w:val="center"/>
        <w:rPr>
          <w:b/>
          <w:sz w:val="20"/>
          <w:szCs w:val="20"/>
        </w:rPr>
      </w:pPr>
    </w:p>
    <w:p w14:paraId="13758113" w14:textId="77777777" w:rsidR="0039573E" w:rsidRPr="00B72F19" w:rsidRDefault="0039573E" w:rsidP="005C4D20">
      <w:pPr>
        <w:jc w:val="center"/>
        <w:rPr>
          <w:b/>
          <w:sz w:val="20"/>
          <w:szCs w:val="20"/>
        </w:rPr>
      </w:pPr>
    </w:p>
    <w:p w14:paraId="1F9AB5F8" w14:textId="77777777" w:rsidR="00690B6F" w:rsidRPr="00B72F19" w:rsidRDefault="00690B6F" w:rsidP="005E01CD">
      <w:pPr>
        <w:ind w:left="487" w:right="2"/>
        <w:jc w:val="right"/>
        <w:rPr>
          <w:b/>
          <w:spacing w:val="-2"/>
          <w:sz w:val="20"/>
          <w:szCs w:val="20"/>
        </w:rPr>
      </w:pPr>
    </w:p>
    <w:p w14:paraId="75C83CFA" w14:textId="77777777" w:rsidR="00690B6F" w:rsidRPr="00B72F19" w:rsidRDefault="00690B6F" w:rsidP="005E01CD">
      <w:pPr>
        <w:ind w:left="487" w:right="2"/>
        <w:jc w:val="right"/>
        <w:rPr>
          <w:b/>
          <w:spacing w:val="-2"/>
          <w:sz w:val="20"/>
          <w:szCs w:val="20"/>
        </w:rPr>
      </w:pPr>
    </w:p>
    <w:p w14:paraId="09E10DC4" w14:textId="77777777" w:rsidR="00690B6F" w:rsidRPr="00B72F19" w:rsidRDefault="00690B6F" w:rsidP="005E01CD">
      <w:pPr>
        <w:ind w:left="487" w:right="2"/>
        <w:jc w:val="right"/>
        <w:rPr>
          <w:b/>
          <w:spacing w:val="-2"/>
          <w:sz w:val="20"/>
          <w:szCs w:val="20"/>
        </w:rPr>
      </w:pPr>
    </w:p>
    <w:p w14:paraId="51765A41" w14:textId="77777777" w:rsidR="00690B6F" w:rsidRPr="00B72F19" w:rsidRDefault="00690B6F" w:rsidP="005E01CD">
      <w:pPr>
        <w:ind w:left="487" w:right="2"/>
        <w:jc w:val="right"/>
        <w:rPr>
          <w:b/>
          <w:spacing w:val="-2"/>
          <w:sz w:val="20"/>
          <w:szCs w:val="20"/>
        </w:rPr>
      </w:pPr>
    </w:p>
    <w:p w14:paraId="4C65F2EB" w14:textId="77777777" w:rsidR="00690B6F" w:rsidRPr="00B72F19" w:rsidRDefault="00690B6F" w:rsidP="005E01CD">
      <w:pPr>
        <w:ind w:left="487" w:right="2"/>
        <w:jc w:val="right"/>
        <w:rPr>
          <w:b/>
          <w:spacing w:val="-2"/>
          <w:sz w:val="20"/>
          <w:szCs w:val="20"/>
        </w:rPr>
      </w:pPr>
    </w:p>
    <w:p w14:paraId="4F93FFFB" w14:textId="77777777" w:rsidR="00116D04" w:rsidRPr="00B72F19" w:rsidRDefault="00116D04" w:rsidP="005E01CD">
      <w:pPr>
        <w:ind w:left="487" w:right="2"/>
        <w:jc w:val="right"/>
        <w:rPr>
          <w:b/>
          <w:spacing w:val="-2"/>
          <w:sz w:val="20"/>
          <w:szCs w:val="20"/>
        </w:rPr>
      </w:pPr>
    </w:p>
    <w:p w14:paraId="7B51F507" w14:textId="77777777" w:rsidR="00116D04" w:rsidRPr="00B72F19" w:rsidRDefault="00116D04" w:rsidP="005E01CD">
      <w:pPr>
        <w:ind w:left="487" w:right="2"/>
        <w:jc w:val="right"/>
        <w:rPr>
          <w:b/>
          <w:spacing w:val="-2"/>
          <w:sz w:val="20"/>
          <w:szCs w:val="20"/>
        </w:rPr>
      </w:pPr>
    </w:p>
    <w:p w14:paraId="0FBF2985" w14:textId="7E250EEA" w:rsidR="005E01CD" w:rsidRPr="00B72F19" w:rsidRDefault="005E01CD" w:rsidP="005E01CD">
      <w:pPr>
        <w:ind w:left="487" w:right="2"/>
        <w:jc w:val="right"/>
        <w:rPr>
          <w:b/>
          <w:spacing w:val="-2"/>
          <w:sz w:val="20"/>
          <w:szCs w:val="20"/>
        </w:rPr>
      </w:pPr>
      <w:r>
        <w:rPr>
          <w:b/>
          <w:sz w:val="20"/>
        </w:rPr>
        <w:lastRenderedPageBreak/>
        <w:t>Original: inglés</w:t>
      </w:r>
    </w:p>
    <w:p w14:paraId="006A7EBB" w14:textId="77777777" w:rsidR="00265AC6" w:rsidRPr="00B72F19" w:rsidRDefault="00265AC6" w:rsidP="00CB383E">
      <w:pPr>
        <w:jc w:val="both"/>
        <w:rPr>
          <w:b/>
          <w:bCs/>
          <w:spacing w:val="-2"/>
          <w:sz w:val="20"/>
          <w:szCs w:val="20"/>
        </w:rPr>
      </w:pPr>
    </w:p>
    <w:p w14:paraId="53A772AB" w14:textId="77777777" w:rsidR="00265AC6" w:rsidRPr="00B72F19" w:rsidRDefault="00CB383E" w:rsidP="00265AC6">
      <w:pPr>
        <w:jc w:val="center"/>
        <w:rPr>
          <w:b/>
          <w:bCs/>
          <w:spacing w:val="-2"/>
          <w:sz w:val="20"/>
          <w:szCs w:val="20"/>
        </w:rPr>
      </w:pPr>
      <w:r>
        <w:rPr>
          <w:b/>
          <w:sz w:val="20"/>
        </w:rPr>
        <w:t>Proyecto de Recomendación de ICCAT que enmienda la Recomendación 19-05 para establecer programas de recuperación para la aguja azul y aguja blanca/marlín peto con el fin de establecer consideraciones especiales para los Pequeños estados insulares en desarrollo (</w:t>
      </w:r>
      <w:proofErr w:type="spellStart"/>
      <w:r>
        <w:rPr>
          <w:b/>
          <w:sz w:val="20"/>
        </w:rPr>
        <w:t>SIDS</w:t>
      </w:r>
      <w:proofErr w:type="spellEnd"/>
      <w:r>
        <w:rPr>
          <w:b/>
          <w:sz w:val="20"/>
        </w:rPr>
        <w:t xml:space="preserve">) del Caribe </w:t>
      </w:r>
    </w:p>
    <w:p w14:paraId="7FA7C1C8" w14:textId="4279BF29" w:rsidR="00CB383E" w:rsidRPr="00B72F19" w:rsidRDefault="00CB383E" w:rsidP="00265AC6">
      <w:pPr>
        <w:jc w:val="center"/>
        <w:rPr>
          <w:b/>
          <w:bCs/>
          <w:sz w:val="20"/>
          <w:szCs w:val="20"/>
        </w:rPr>
      </w:pPr>
    </w:p>
    <w:p w14:paraId="5E9902FD" w14:textId="77777777" w:rsidR="004E1447" w:rsidRPr="00B72F19" w:rsidRDefault="004E1447" w:rsidP="005C4D20">
      <w:pPr>
        <w:jc w:val="center"/>
        <w:rPr>
          <w:b/>
          <w:sz w:val="20"/>
          <w:szCs w:val="20"/>
        </w:rPr>
      </w:pPr>
    </w:p>
    <w:p w14:paraId="113AE0A7" w14:textId="11F29DFD" w:rsidR="004E1447" w:rsidRPr="00B72F19" w:rsidRDefault="004E1447" w:rsidP="004E1447">
      <w:pPr>
        <w:jc w:val="center"/>
        <w:rPr>
          <w:i/>
          <w:iCs/>
          <w:sz w:val="20"/>
          <w:szCs w:val="20"/>
        </w:rPr>
      </w:pPr>
      <w:r>
        <w:rPr>
          <w:i/>
          <w:sz w:val="20"/>
        </w:rPr>
        <w:t xml:space="preserve">(presentado por </w:t>
      </w:r>
      <w:r>
        <w:rPr>
          <w:i/>
          <w:color w:val="000000"/>
          <w:sz w:val="20"/>
        </w:rPr>
        <w:t>Barbados y Trinidad y Tobago</w:t>
      </w:r>
      <w:r>
        <w:rPr>
          <w:i/>
          <w:sz w:val="20"/>
        </w:rPr>
        <w:t>)</w:t>
      </w:r>
    </w:p>
    <w:p w14:paraId="191C9B0B" w14:textId="77777777" w:rsidR="00082853" w:rsidRPr="00B72F19" w:rsidRDefault="00082853" w:rsidP="005C4D20">
      <w:pPr>
        <w:tabs>
          <w:tab w:val="left" w:pos="284"/>
        </w:tabs>
        <w:jc w:val="both"/>
        <w:rPr>
          <w:rFonts w:cstheme="minorHAnsi"/>
          <w:i/>
          <w:iCs/>
          <w:sz w:val="20"/>
          <w:szCs w:val="20"/>
        </w:rPr>
      </w:pPr>
    </w:p>
    <w:p w14:paraId="392DB3DF" w14:textId="67424E58" w:rsidR="00CF32E9" w:rsidRPr="00B72F19" w:rsidRDefault="00CF32E9" w:rsidP="0011335B">
      <w:pPr>
        <w:spacing w:before="100" w:beforeAutospacing="1" w:after="100" w:afterAutospacing="1"/>
        <w:ind w:firstLine="426"/>
        <w:jc w:val="both"/>
        <w:rPr>
          <w:rFonts w:eastAsia="Times New Roman" w:cstheme="minorHAnsi"/>
          <w:color w:val="000000"/>
          <w:sz w:val="20"/>
          <w:szCs w:val="20"/>
        </w:rPr>
      </w:pPr>
      <w:r>
        <w:rPr>
          <w:i/>
          <w:iCs/>
          <w:color w:val="000000"/>
          <w:sz w:val="20"/>
        </w:rPr>
        <w:t>RECORDANDO</w:t>
      </w:r>
      <w:r>
        <w:rPr>
          <w:color w:val="000000"/>
          <w:sz w:val="20"/>
        </w:rPr>
        <w:t xml:space="preserve"> la declaración efectuada por Barbados, San Vicente y las Granadinas y Trinidad y Tobago en la 28ª Reunión ordinaria de la Comisión, en la que abogaban por consideraciones especiales para los Pequeños estados insulares en desarrollo (</w:t>
      </w:r>
      <w:proofErr w:type="spellStart"/>
      <w:r>
        <w:rPr>
          <w:color w:val="000000"/>
          <w:sz w:val="20"/>
        </w:rPr>
        <w:t>SIDS</w:t>
      </w:r>
      <w:proofErr w:type="spellEnd"/>
      <w:r>
        <w:rPr>
          <w:color w:val="000000"/>
          <w:sz w:val="20"/>
        </w:rPr>
        <w:t>) del Caribe con el fin de promover la seguridad alimentaria y apoyar las oportunidades de desarrollo en las pesquerías de grandes pelágicos;</w:t>
      </w:r>
    </w:p>
    <w:p w14:paraId="295A5033" w14:textId="40D60EC4" w:rsidR="00CF32E9" w:rsidRPr="00B72F19" w:rsidRDefault="00CF32E9" w:rsidP="00DA7104">
      <w:pPr>
        <w:spacing w:before="100" w:beforeAutospacing="1" w:after="100" w:afterAutospacing="1"/>
        <w:ind w:firstLine="426"/>
        <w:jc w:val="both"/>
        <w:rPr>
          <w:color w:val="000000"/>
          <w:sz w:val="20"/>
          <w:szCs w:val="20"/>
        </w:rPr>
      </w:pPr>
      <w:r>
        <w:rPr>
          <w:i/>
          <w:iCs/>
          <w:color w:val="000000"/>
          <w:sz w:val="20"/>
        </w:rPr>
        <w:t>RECORDANDO</w:t>
      </w:r>
      <w:r>
        <w:rPr>
          <w:color w:val="000000"/>
          <w:sz w:val="20"/>
        </w:rPr>
        <w:t xml:space="preserve"> la evaluación de stock de aguja azul realizada en 2000, que concluyó que el stock de aguja azul estaba sobrepescado (por debajo de B</w:t>
      </w:r>
      <w:r>
        <w:rPr>
          <w:color w:val="000000"/>
          <w:sz w:val="20"/>
          <w:vertAlign w:val="subscript"/>
        </w:rPr>
        <w:t>RMS</w:t>
      </w:r>
      <w:r>
        <w:rPr>
          <w:color w:val="000000"/>
          <w:sz w:val="20"/>
        </w:rPr>
        <w:t>) y que se estaba siendo objeto de sobrepesca (mortalidad por encima de F</w:t>
      </w:r>
      <w:r>
        <w:rPr>
          <w:color w:val="000000"/>
          <w:sz w:val="20"/>
          <w:vertAlign w:val="subscript"/>
        </w:rPr>
        <w:t>RMS</w:t>
      </w:r>
      <w:r>
        <w:rPr>
          <w:color w:val="000000"/>
          <w:sz w:val="20"/>
        </w:rPr>
        <w:t>), y aunque las estimaciones, en particular para la aguja blanca, eran inciertas, se concluyó que no era probable que los stocks de aguja azul ni de aguja blanca se recuperasen si se mantenían en el futuro los niveles contemporáneos de mortalidad por pesca, lo que llevó a ICCAT a implementar un programa en dos fases para recuperar las poblaciones de aguja azul y aguja blanca hasta niveles suficientes para permitir el RMS;</w:t>
      </w:r>
    </w:p>
    <w:p w14:paraId="342115BC" w14:textId="7720D1F4" w:rsidR="00CF32E9" w:rsidRPr="00B72F19" w:rsidRDefault="00CF32E9" w:rsidP="00C340FB">
      <w:pPr>
        <w:ind w:firstLine="426"/>
        <w:jc w:val="both"/>
        <w:rPr>
          <w:rFonts w:eastAsia="Times New Roman" w:cstheme="minorHAnsi"/>
          <w:color w:val="000000"/>
          <w:sz w:val="20"/>
          <w:szCs w:val="20"/>
        </w:rPr>
      </w:pPr>
      <w:r>
        <w:rPr>
          <w:i/>
          <w:iCs/>
          <w:color w:val="000000"/>
          <w:sz w:val="20"/>
        </w:rPr>
        <w:t>SEÑALANDO</w:t>
      </w:r>
      <w:r>
        <w:rPr>
          <w:color w:val="000000"/>
          <w:sz w:val="20"/>
        </w:rPr>
        <w:t xml:space="preserve"> que la evaluación de stock de aguja azul de 2024 concluía que el stock, aunque seguía sobrepescado, no estaba siendo objeto de sobrepesca, y que, de forma similar, la evaluación de stock de aguja blanca de 2025 concluía que el stock estaba sobrepescado pero no era objeto de sobrepesca, al tiempo que reconocía que la identificación errónea de la especie de marlín peto introduce incertidumbre en los resultados de la evaluación;</w:t>
      </w:r>
    </w:p>
    <w:p w14:paraId="744B9872" w14:textId="685D01D0" w:rsidR="00CF32E9" w:rsidRPr="00B72F19" w:rsidRDefault="00CF32E9" w:rsidP="00D240CA">
      <w:pPr>
        <w:spacing w:before="100" w:beforeAutospacing="1" w:after="100" w:afterAutospacing="1"/>
        <w:ind w:firstLine="426"/>
        <w:jc w:val="both"/>
        <w:rPr>
          <w:rFonts w:eastAsia="Times New Roman" w:cstheme="minorHAnsi"/>
          <w:color w:val="000000"/>
          <w:sz w:val="20"/>
          <w:szCs w:val="20"/>
        </w:rPr>
      </w:pPr>
      <w:r>
        <w:rPr>
          <w:i/>
          <w:iCs/>
          <w:color w:val="000000"/>
          <w:sz w:val="20"/>
        </w:rPr>
        <w:t>CONSIDERANDO</w:t>
      </w:r>
      <w:r>
        <w:rPr>
          <w:color w:val="000000"/>
          <w:sz w:val="20"/>
        </w:rPr>
        <w:t xml:space="preserve"> la </w:t>
      </w:r>
      <w:r>
        <w:rPr>
          <w:i/>
          <w:iCs/>
          <w:color w:val="000000"/>
          <w:sz w:val="20"/>
        </w:rPr>
        <w:t>Recomendación de ICCAT para establecer programas de recuperación para la aguja azul y aguja blanca/marlín peto</w:t>
      </w:r>
      <w:r>
        <w:rPr>
          <w:color w:val="000000"/>
          <w:sz w:val="20"/>
        </w:rPr>
        <w:t xml:space="preserve"> (Rec. 19-05), que establecía límites anuales de desembarque de 1.670 t para la aguja azul y 355 t para la aguja blanca/marlín peto, junto con las disposiciones relativas a la devolución del exceso de desembarques y la aplicación de una penalización acumulada del 125 %;</w:t>
      </w:r>
    </w:p>
    <w:p w14:paraId="132454BD" w14:textId="2806FED3" w:rsidR="00CF32E9" w:rsidRPr="00B72F19" w:rsidRDefault="00CF32E9" w:rsidP="00CF32E9">
      <w:pPr>
        <w:spacing w:before="100" w:beforeAutospacing="1" w:after="100" w:afterAutospacing="1"/>
        <w:ind w:firstLine="426"/>
        <w:jc w:val="both"/>
        <w:rPr>
          <w:rFonts w:eastAsia="Times New Roman" w:cstheme="minorHAnsi"/>
          <w:color w:val="000000"/>
          <w:sz w:val="20"/>
          <w:szCs w:val="20"/>
        </w:rPr>
      </w:pPr>
      <w:r>
        <w:rPr>
          <w:i/>
          <w:iCs/>
          <w:color w:val="000000"/>
          <w:sz w:val="20"/>
        </w:rPr>
        <w:t>RECONOCIENDO</w:t>
      </w:r>
      <w:r>
        <w:rPr>
          <w:color w:val="000000"/>
          <w:sz w:val="20"/>
        </w:rPr>
        <w:t xml:space="preserve"> que los marlines sostienen importantes pesquerías locales de recreo, artesanales y comerciales, contribuyendo significativamente a la seguridad alimentaria y sosteniendo los medios de subsistencia y las prácticas culturales en los </w:t>
      </w:r>
      <w:proofErr w:type="spellStart"/>
      <w:r>
        <w:rPr>
          <w:color w:val="000000"/>
          <w:sz w:val="20"/>
        </w:rPr>
        <w:t>SIDS</w:t>
      </w:r>
      <w:proofErr w:type="spellEnd"/>
      <w:r>
        <w:rPr>
          <w:color w:val="000000"/>
          <w:sz w:val="20"/>
        </w:rPr>
        <w:t xml:space="preserve"> del Caribe;</w:t>
      </w:r>
    </w:p>
    <w:p w14:paraId="73D38BEE" w14:textId="77777777"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CONSCIENTE</w:t>
      </w:r>
      <w:r>
        <w:rPr>
          <w:color w:val="000000"/>
          <w:sz w:val="20"/>
        </w:rPr>
        <w:t xml:space="preserve"> de que, en muchos casos, los marlines se capturan en aguas ricas en marlines, a menudo de forma oportunista, ya que se trata de pesquerías de múltiples artes y no pueden descartarse debido a su valor económico y de seguridad alimentaria, aunque no sean la principal especie objetivo;</w:t>
      </w:r>
    </w:p>
    <w:p w14:paraId="15AC2F49" w14:textId="77777777" w:rsidR="00CF32E9" w:rsidRPr="00AE3F7E"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TENIENDO EN CUENTA</w:t>
      </w:r>
      <w:r>
        <w:rPr>
          <w:color w:val="000000"/>
          <w:sz w:val="20"/>
        </w:rPr>
        <w:t xml:space="preserve"> el artículo 24 del Acuerdo de las Naciones Unidas sobre las Poblaciones de Peces (</w:t>
      </w:r>
      <w:proofErr w:type="spellStart"/>
      <w:r>
        <w:rPr>
          <w:color w:val="000000"/>
          <w:sz w:val="20"/>
        </w:rPr>
        <w:t>UNFSA</w:t>
      </w:r>
      <w:proofErr w:type="spellEnd"/>
      <w:r>
        <w:rPr>
          <w:color w:val="000000"/>
          <w:sz w:val="20"/>
        </w:rPr>
        <w:t xml:space="preserve">), que exige que la Comisión tenga en cuenta las necesidades especiales de los Estados en desarrollo, y en particular de los </w:t>
      </w:r>
      <w:proofErr w:type="spellStart"/>
      <w:r>
        <w:rPr>
          <w:color w:val="000000"/>
          <w:sz w:val="20"/>
        </w:rPr>
        <w:t>SIDS</w:t>
      </w:r>
      <w:proofErr w:type="spellEnd"/>
      <w:r>
        <w:rPr>
          <w:color w:val="000000"/>
          <w:sz w:val="20"/>
        </w:rPr>
        <w:t xml:space="preserve">, en la adopción de medidas de conservación y ordenación, entre otras cosas la necesidad de garantizar que las medidas de ordenación no den lugar a la transferencia, directa o indirecta, de una carga desproporcionada de las </w:t>
      </w:r>
      <w:r w:rsidRPr="00AE3F7E">
        <w:rPr>
          <w:color w:val="000000"/>
          <w:sz w:val="20"/>
        </w:rPr>
        <w:t>acciones de conservación a los Estados en desarrollo;</w:t>
      </w:r>
    </w:p>
    <w:p w14:paraId="099EC6E2" w14:textId="4D3700B3"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sidRPr="00AE3F7E">
        <w:rPr>
          <w:i/>
          <w:iCs/>
          <w:color w:val="000000"/>
          <w:sz w:val="20"/>
        </w:rPr>
        <w:t>CONSCIENTE</w:t>
      </w:r>
      <w:r w:rsidRPr="00AE3F7E">
        <w:rPr>
          <w:color w:val="000000"/>
          <w:sz w:val="20"/>
        </w:rPr>
        <w:t xml:space="preserve"> de que otras OROP, como la Comisión de Pesca del Pacífico Occidental y Central (</w:t>
      </w:r>
      <w:proofErr w:type="spellStart"/>
      <w:r w:rsidRPr="00AE3F7E">
        <w:rPr>
          <w:color w:val="000000"/>
          <w:sz w:val="20"/>
        </w:rPr>
        <w:t>WCPFC</w:t>
      </w:r>
      <w:proofErr w:type="spellEnd"/>
      <w:r w:rsidRPr="00AE3F7E">
        <w:rPr>
          <w:color w:val="000000"/>
          <w:sz w:val="20"/>
        </w:rPr>
        <w:t xml:space="preserve">), han adoptado de forma exhaustiva medidas de conservación y ordenación que reflejan la transición hacia un marco de asignación más equitativo, de conformidad con el Artículo 30(2) de la Convención, que exige a la Comisión que tenga en cuenta las necesidades especiales de los Estados en desarrollo, en particular de los </w:t>
      </w:r>
      <w:proofErr w:type="spellStart"/>
      <w:r w:rsidRPr="00AE3F7E">
        <w:rPr>
          <w:color w:val="000000"/>
          <w:sz w:val="20"/>
        </w:rPr>
        <w:t>SIDS</w:t>
      </w:r>
      <w:proofErr w:type="spellEnd"/>
      <w:r w:rsidRPr="00AE3F7E">
        <w:rPr>
          <w:color w:val="000000"/>
          <w:sz w:val="20"/>
        </w:rPr>
        <w:t xml:space="preserve"> y de los territorios. Esto incluye garantizar que las medidas de conservación y ordenación adoptadas no tengan como resu</w:t>
      </w:r>
      <w:r>
        <w:rPr>
          <w:color w:val="000000"/>
          <w:sz w:val="20"/>
        </w:rPr>
        <w:t>ltado la transferencia, directa o indirectamente, de una carga desproporcionada de las medidas de conservación a las Partes que sean Estados en desarrollo ni a los territorios.</w:t>
      </w:r>
    </w:p>
    <w:p w14:paraId="2B408AE5" w14:textId="452207EC"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lastRenderedPageBreak/>
        <w:t>RECONOCIENDO</w:t>
      </w:r>
      <w:r>
        <w:rPr>
          <w:color w:val="000000"/>
          <w:sz w:val="20"/>
        </w:rPr>
        <w:t xml:space="preserve"> que las enmiendas propuestas al Convenio Internacional para la Conservación del Atún Atlántico (ICCAT) hacen referencia al requisito de "conceder pleno reconocimiento a los requisitos especiales de los miembros en desarrollo de la Comisión, lo que incluye su necesidad de creación de capacidad, de conformidad con la legislación internacional, para que cumplan sus obligaciones en el marco del Convenio y desarrollen sus pesquerías"; </w:t>
      </w:r>
    </w:p>
    <w:p w14:paraId="661D2EE8" w14:textId="1C4C0FE7"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OBSERVANDO</w:t>
      </w:r>
      <w:r>
        <w:rPr>
          <w:color w:val="000000"/>
          <w:sz w:val="20"/>
        </w:rPr>
        <w:t>, no obstante, que es necesario prestar una atención específica a la ordenación de la carga de las medidas de conservación mediante la aplicación de disposiciones equitativas en las Recomendaciones de ICCAT;</w:t>
      </w:r>
    </w:p>
    <w:p w14:paraId="089D7192" w14:textId="1A6CEDBC"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RECORDANDO</w:t>
      </w:r>
      <w:r>
        <w:rPr>
          <w:color w:val="000000"/>
          <w:sz w:val="20"/>
        </w:rPr>
        <w:t xml:space="preserve"> la </w:t>
      </w:r>
      <w:r>
        <w:rPr>
          <w:i/>
          <w:iCs/>
          <w:color w:val="000000"/>
          <w:sz w:val="20"/>
        </w:rPr>
        <w:t xml:space="preserve">Resolución de ICCAT sobre los criterios de ICCAT para la asignación de posibilidades de pesca </w:t>
      </w:r>
      <w:r>
        <w:rPr>
          <w:color w:val="000000"/>
          <w:sz w:val="20"/>
        </w:rPr>
        <w:t>(Res. 15-13), que se aplica a las asignaciones de capturas para todos los stocks competencia de ICCAT, y en concreto el criterio de asignación 11 que se refiere a "la contribución socio-económica de las pesquerías de stocks regulados por ICCAT a los Estados en desarrollo, especialmente pequeños Estados insulares en desarrollo y territorios en desarrollo de la región";</w:t>
      </w:r>
    </w:p>
    <w:p w14:paraId="1B1AA81C" w14:textId="77777777"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FIRMEMENTE CONVENCIDA</w:t>
      </w:r>
      <w:r>
        <w:rPr>
          <w:color w:val="000000"/>
          <w:sz w:val="20"/>
        </w:rPr>
        <w:t xml:space="preserve">, por tanto, de que, en estas circunstancias, los Estados costeros en desarrollo, en particular los </w:t>
      </w:r>
      <w:proofErr w:type="spellStart"/>
      <w:r>
        <w:rPr>
          <w:color w:val="000000"/>
          <w:sz w:val="20"/>
        </w:rPr>
        <w:t>SIDS</w:t>
      </w:r>
      <w:proofErr w:type="spellEnd"/>
      <w:r>
        <w:rPr>
          <w:color w:val="000000"/>
          <w:sz w:val="20"/>
        </w:rPr>
        <w:t xml:space="preserve">, deberían gozar de mayor libertad a la hora de elaborar recomendaciones de ordenación para establecer una carga de cumplimiento equitativa en lugar de estrictamente igualitaria; </w:t>
      </w:r>
    </w:p>
    <w:p w14:paraId="68B00B3E" w14:textId="64CE80B9"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PREOCUPADA</w:t>
      </w:r>
      <w:r>
        <w:rPr>
          <w:color w:val="000000"/>
          <w:sz w:val="20"/>
        </w:rPr>
        <w:t xml:space="preserve"> por el hecho de que, en este contexto, las disposiciones actuales de la Rec. 19-05 relativas a las penalizaciones por exceso de captura y a las reducciones acumuladas no proporcionan un mecanismo realista para la recuperación del stock y tienen como resultado impactos no equitativos, desproporcionados y perjudiciales para las CPC SID del Caribe, cuyas comunidades dependen en gran medida de estos recursos para su seguridad alimentaria y sus medios de subsistencia. Además, no facilita la cooperación efectiva en materia de cumplimiento por parte de las CPC SID del Caribe afectadas;</w:t>
      </w:r>
    </w:p>
    <w:p w14:paraId="44AC37E5" w14:textId="77777777" w:rsidR="00CF32E9" w:rsidRPr="00B72F19" w:rsidRDefault="00CF32E9" w:rsidP="00CF32E9">
      <w:pPr>
        <w:spacing w:before="100" w:beforeAutospacing="1" w:after="100" w:afterAutospacing="1"/>
        <w:ind w:firstLine="720"/>
        <w:jc w:val="both"/>
        <w:rPr>
          <w:rFonts w:eastAsia="Times New Roman" w:cstheme="minorHAnsi"/>
          <w:color w:val="000000"/>
          <w:sz w:val="20"/>
          <w:szCs w:val="20"/>
        </w:rPr>
      </w:pPr>
      <w:r>
        <w:rPr>
          <w:i/>
          <w:iCs/>
          <w:color w:val="000000"/>
          <w:sz w:val="20"/>
        </w:rPr>
        <w:t>CONCLUYENDO</w:t>
      </w:r>
      <w:r>
        <w:rPr>
          <w:color w:val="000000"/>
          <w:sz w:val="20"/>
        </w:rPr>
        <w:t xml:space="preserve"> que se necesitan urgentemente consideraciones especiales para los </w:t>
      </w:r>
      <w:proofErr w:type="spellStart"/>
      <w:r>
        <w:rPr>
          <w:color w:val="000000"/>
          <w:sz w:val="20"/>
        </w:rPr>
        <w:t>SIDS</w:t>
      </w:r>
      <w:proofErr w:type="spellEnd"/>
      <w:r>
        <w:rPr>
          <w:color w:val="000000"/>
          <w:sz w:val="20"/>
        </w:rPr>
        <w:t xml:space="preserve"> con el fin de apoyar la seguridad alimentaria, proteger la cultura y el patrimonio y ofrecer oportunidades de desarrollo, por lo que deberían derogarse las sanciones por exceso de captura para establecer una carga de cumplimiento equitativa que garantice que las medidas de ordenación se adaptan al contexto de los Estados en desarrollo;</w:t>
      </w:r>
    </w:p>
    <w:p w14:paraId="477AD65B" w14:textId="77777777" w:rsidR="00776D0B" w:rsidRPr="00B72F19" w:rsidRDefault="00776D0B" w:rsidP="00776D0B">
      <w:pPr>
        <w:ind w:left="720"/>
        <w:jc w:val="center"/>
        <w:rPr>
          <w:sz w:val="20"/>
          <w:szCs w:val="20"/>
        </w:rPr>
      </w:pPr>
    </w:p>
    <w:p w14:paraId="737BA858" w14:textId="67F89BB8" w:rsidR="00776D0B" w:rsidRPr="00B72F19" w:rsidRDefault="00CF32E9" w:rsidP="00776D0B">
      <w:pPr>
        <w:ind w:left="720"/>
        <w:jc w:val="center"/>
        <w:rPr>
          <w:sz w:val="20"/>
          <w:szCs w:val="20"/>
        </w:rPr>
      </w:pPr>
      <w:r>
        <w:rPr>
          <w:sz w:val="20"/>
        </w:rPr>
        <w:t xml:space="preserve">LA COMISIÓN INTERNACIONAL PARA LA CONSERVACIÓN </w:t>
      </w:r>
    </w:p>
    <w:p w14:paraId="5D5E1BBA" w14:textId="06FEAE91" w:rsidR="00CF32E9" w:rsidRPr="00B72F19" w:rsidRDefault="00CF32E9" w:rsidP="00776D0B">
      <w:pPr>
        <w:ind w:left="720"/>
        <w:jc w:val="center"/>
        <w:rPr>
          <w:sz w:val="20"/>
          <w:szCs w:val="20"/>
        </w:rPr>
      </w:pPr>
      <w:r>
        <w:rPr>
          <w:sz w:val="20"/>
        </w:rPr>
        <w:t>DEL ATÚN ATLÁNTICO (ICCAT) RECOMIENDA LO SIGUIENTE:</w:t>
      </w:r>
    </w:p>
    <w:p w14:paraId="331ACFF1" w14:textId="77777777" w:rsidR="00776D0B" w:rsidRPr="00B72F19" w:rsidRDefault="00776D0B" w:rsidP="00776D0B">
      <w:pPr>
        <w:ind w:left="720"/>
        <w:jc w:val="center"/>
        <w:rPr>
          <w:b/>
          <w:color w:val="000000"/>
          <w:sz w:val="20"/>
          <w:szCs w:val="20"/>
        </w:rPr>
      </w:pPr>
    </w:p>
    <w:p w14:paraId="73E1C46E" w14:textId="63E9C79F" w:rsidR="00CF32E9" w:rsidRPr="00B72F19" w:rsidRDefault="00CF32E9" w:rsidP="00776D0B">
      <w:pPr>
        <w:widowControl/>
        <w:numPr>
          <w:ilvl w:val="0"/>
          <w:numId w:val="67"/>
        </w:numPr>
        <w:autoSpaceDE/>
        <w:autoSpaceDN/>
        <w:jc w:val="both"/>
        <w:rPr>
          <w:color w:val="000000"/>
          <w:sz w:val="20"/>
          <w:szCs w:val="20"/>
        </w:rPr>
      </w:pPr>
      <w:r>
        <w:rPr>
          <w:color w:val="000000"/>
          <w:sz w:val="20"/>
        </w:rPr>
        <w:t>Los ejemplares de aguja azul o aguja blanca/ma</w:t>
      </w:r>
      <w:r w:rsidR="00AE3F7E">
        <w:rPr>
          <w:color w:val="000000"/>
          <w:sz w:val="20"/>
        </w:rPr>
        <w:t>r</w:t>
      </w:r>
      <w:r>
        <w:rPr>
          <w:color w:val="000000"/>
          <w:sz w:val="20"/>
        </w:rPr>
        <w:t xml:space="preserve">lín peto capturados por CPC SID del Caribe para fines de consumo local están exentos con carácter retroactivo y en lo sucesivo de las medidas establecidas en los párrafos 3 b) y 3 c) de la Rec. 19-05, siempre que estas CPC SID del Caribe envíen datos de Tarea 1 y, si es posible, de Tarea 2 de conformidad con los procedimientos de comunicación establecidos por el SCRS. Las CPC SID del Caribe exentas de la prohibición en virtud de este párrafo harán todo lo posible para no superar los límites o cuotas de captura anuales asignados actuales para la aguja azul y aguja blanca/marlín peto utilizando los marcos de ordenación locales adecuados y la legislación, según proceda. </w:t>
      </w:r>
    </w:p>
    <w:p w14:paraId="429D0583" w14:textId="77777777" w:rsidR="00776D0B" w:rsidRPr="00B72F19" w:rsidRDefault="00776D0B" w:rsidP="00776D0B">
      <w:pPr>
        <w:widowControl/>
        <w:autoSpaceDE/>
        <w:autoSpaceDN/>
        <w:ind w:left="720"/>
        <w:jc w:val="both"/>
        <w:rPr>
          <w:rFonts w:eastAsia="Times New Roman" w:cstheme="minorHAnsi"/>
          <w:color w:val="000000"/>
          <w:sz w:val="20"/>
          <w:szCs w:val="20"/>
        </w:rPr>
      </w:pPr>
    </w:p>
    <w:p w14:paraId="596E0AFF" w14:textId="57390C63" w:rsidR="00CF32E9" w:rsidRPr="00B72F19" w:rsidRDefault="00CF32E9" w:rsidP="00776D0B">
      <w:pPr>
        <w:widowControl/>
        <w:numPr>
          <w:ilvl w:val="0"/>
          <w:numId w:val="67"/>
        </w:numPr>
        <w:autoSpaceDE/>
        <w:autoSpaceDN/>
        <w:jc w:val="both"/>
        <w:rPr>
          <w:rFonts w:eastAsia="Times New Roman" w:cstheme="minorHAnsi"/>
          <w:color w:val="000000"/>
          <w:sz w:val="20"/>
          <w:szCs w:val="20"/>
        </w:rPr>
      </w:pPr>
      <w:r>
        <w:rPr>
          <w:color w:val="000000"/>
          <w:sz w:val="20"/>
        </w:rPr>
        <w:t xml:space="preserve">La Comisión, en consulta con el SCRS y las CPC, desarrollará y adoptará un mecanismo de ajuste equitativo que garantice que las disposiciones sobre asignación y devolución son coherentes con la Resolución 15-13 de ICCAT y con el Artículo 24 del </w:t>
      </w:r>
      <w:proofErr w:type="spellStart"/>
      <w:r>
        <w:rPr>
          <w:color w:val="000000"/>
          <w:sz w:val="20"/>
        </w:rPr>
        <w:t>UNFSA</w:t>
      </w:r>
      <w:proofErr w:type="spellEnd"/>
      <w:r>
        <w:rPr>
          <w:color w:val="000000"/>
          <w:sz w:val="20"/>
        </w:rPr>
        <w:t xml:space="preserve">, teniendo debidamente en cuenta los requisitos especiales de los Estados en desarrollo. Este mecanismo puede incluir ajustes al alza en las asignaciones de capturas a las CPC SID del Caribe en base al asesoramiento del SCRS y que estén en consonancia con los límites de captura reducidos que estas CPC pueden alcanzar de forma realista, teniendo en cuenta la necesidad de un acceso continuado a los recursos pesqueros para satisfacer los imperativos económicos y de seguridad alimentaria de estas CPC y, al hacerlo, evitar la imposición de una carga desproporcionada de medidas de conservación de conformidad con el derecho internacional.   </w:t>
      </w:r>
    </w:p>
    <w:p w14:paraId="6325F528" w14:textId="77777777" w:rsidR="00776D0B" w:rsidRPr="00B72F19" w:rsidRDefault="00776D0B" w:rsidP="00776D0B">
      <w:pPr>
        <w:widowControl/>
        <w:autoSpaceDE/>
        <w:autoSpaceDN/>
        <w:ind w:left="720"/>
        <w:jc w:val="both"/>
        <w:rPr>
          <w:sz w:val="20"/>
          <w:szCs w:val="20"/>
        </w:rPr>
      </w:pPr>
    </w:p>
    <w:p w14:paraId="46996642" w14:textId="5C8E88E1" w:rsidR="00082853" w:rsidRPr="00B72F19" w:rsidRDefault="00CF32E9" w:rsidP="00776D0B">
      <w:pPr>
        <w:widowControl/>
        <w:numPr>
          <w:ilvl w:val="0"/>
          <w:numId w:val="67"/>
        </w:numPr>
        <w:autoSpaceDE/>
        <w:autoSpaceDN/>
        <w:jc w:val="both"/>
        <w:rPr>
          <w:sz w:val="20"/>
          <w:szCs w:val="20"/>
        </w:rPr>
      </w:pPr>
      <w:r>
        <w:rPr>
          <w:color w:val="000000"/>
          <w:sz w:val="20"/>
        </w:rPr>
        <w:lastRenderedPageBreak/>
        <w:t>Esta Recomendación modificará y sustituirá las disposiciones pertinentes de la Rec. 19-05 relativas a los límites de capturas, las obligaciones de comunicación de información, las sanciones por exceso de captura y las disposiciones de devolución, manteniendo todas las demás medidas no modificadas explícitamente en la presente.</w:t>
      </w:r>
    </w:p>
    <w:sectPr w:rsidR="00082853" w:rsidRPr="00B72F19" w:rsidSect="0011335B">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F05F" w14:textId="77777777" w:rsidR="00CB3A2D" w:rsidRPr="009D7C60" w:rsidRDefault="00CB3A2D">
      <w:r w:rsidRPr="009D7C60">
        <w:separator/>
      </w:r>
    </w:p>
  </w:endnote>
  <w:endnote w:type="continuationSeparator" w:id="0">
    <w:p w14:paraId="368DC9EE" w14:textId="77777777" w:rsidR="00CB3A2D" w:rsidRPr="009D7C60" w:rsidRDefault="00CB3A2D">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B554" w14:textId="77777777" w:rsidR="00CB3A2D" w:rsidRPr="009D7C60" w:rsidRDefault="00CB3A2D">
      <w:r>
        <w:separator/>
      </w:r>
    </w:p>
  </w:footnote>
  <w:footnote w:type="continuationSeparator" w:id="0">
    <w:p w14:paraId="499C979A" w14:textId="77777777" w:rsidR="00CB3A2D" w:rsidRPr="009D7C60" w:rsidRDefault="00CB3A2D">
      <w:r w:rsidRPr="009D7C60">
        <w:continuationSeparator/>
      </w:r>
    </w:p>
  </w:footnote>
  <w:footnote w:type="continuationNotice" w:id="1">
    <w:p w14:paraId="5EA543BD" w14:textId="77777777" w:rsidR="00CB3A2D" w:rsidRPr="009D7C60" w:rsidRDefault="00CB3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39C631F8"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PA4_809/2025</w:t>
    </w:r>
  </w:p>
  <w:p w14:paraId="5A9DE81A" w14:textId="6B0D9708"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AE3F7E">
      <w:rPr>
        <w:b/>
        <w:noProof/>
        <w:sz w:val="16"/>
      </w:rPr>
      <w:t>21/10/2025 16:03</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1"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4"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0"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9"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3"/>
  </w:num>
  <w:num w:numId="2" w16cid:durableId="1496216057">
    <w:abstractNumId w:val="67"/>
  </w:num>
  <w:num w:numId="3" w16cid:durableId="40834489">
    <w:abstractNumId w:val="23"/>
  </w:num>
  <w:num w:numId="4" w16cid:durableId="308094877">
    <w:abstractNumId w:val="9"/>
  </w:num>
  <w:num w:numId="5" w16cid:durableId="706760316">
    <w:abstractNumId w:val="51"/>
  </w:num>
  <w:num w:numId="6" w16cid:durableId="1209491294">
    <w:abstractNumId w:val="43"/>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8"/>
  </w:num>
  <w:num w:numId="9" w16cid:durableId="1756170864">
    <w:abstractNumId w:val="20"/>
  </w:num>
  <w:num w:numId="10" w16cid:durableId="121852735">
    <w:abstractNumId w:val="59"/>
  </w:num>
  <w:num w:numId="11" w16cid:durableId="1280408722">
    <w:abstractNumId w:val="33"/>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52"/>
  </w:num>
  <w:num w:numId="17" w16cid:durableId="1200165681">
    <w:abstractNumId w:val="29"/>
  </w:num>
  <w:num w:numId="18" w16cid:durableId="2004813808">
    <w:abstractNumId w:val="17"/>
  </w:num>
  <w:num w:numId="19" w16cid:durableId="1609003381">
    <w:abstractNumId w:val="44"/>
  </w:num>
  <w:num w:numId="20" w16cid:durableId="311565708">
    <w:abstractNumId w:val="21"/>
  </w:num>
  <w:num w:numId="21" w16cid:durableId="598685712">
    <w:abstractNumId w:val="64"/>
  </w:num>
  <w:num w:numId="22" w16cid:durableId="169108757">
    <w:abstractNumId w:val="16"/>
  </w:num>
  <w:num w:numId="23" w16cid:durableId="1599216064">
    <w:abstractNumId w:val="65"/>
  </w:num>
  <w:num w:numId="24" w16cid:durableId="1285848019">
    <w:abstractNumId w:val="42"/>
  </w:num>
  <w:num w:numId="25" w16cid:durableId="2144500574">
    <w:abstractNumId w:val="40"/>
  </w:num>
  <w:num w:numId="26" w16cid:durableId="99302873">
    <w:abstractNumId w:val="66"/>
  </w:num>
  <w:num w:numId="27" w16cid:durableId="1451240854">
    <w:abstractNumId w:val="34"/>
  </w:num>
  <w:num w:numId="28" w16cid:durableId="587888515">
    <w:abstractNumId w:val="8"/>
  </w:num>
  <w:num w:numId="29" w16cid:durableId="153451121">
    <w:abstractNumId w:val="25"/>
  </w:num>
  <w:num w:numId="30" w16cid:durableId="1292904809">
    <w:abstractNumId w:val="12"/>
  </w:num>
  <w:num w:numId="31" w16cid:durableId="1158154002">
    <w:abstractNumId w:val="54"/>
  </w:num>
  <w:num w:numId="32" w16cid:durableId="1553079017">
    <w:abstractNumId w:val="37"/>
  </w:num>
  <w:num w:numId="33" w16cid:durableId="2032220368">
    <w:abstractNumId w:val="14"/>
  </w:num>
  <w:num w:numId="34" w16cid:durableId="430274537">
    <w:abstractNumId w:val="70"/>
  </w:num>
  <w:num w:numId="35" w16cid:durableId="1694845481">
    <w:abstractNumId w:val="56"/>
  </w:num>
  <w:num w:numId="36" w16cid:durableId="1910460296">
    <w:abstractNumId w:val="55"/>
  </w:num>
  <w:num w:numId="37" w16cid:durableId="1527789104">
    <w:abstractNumId w:val="35"/>
  </w:num>
  <w:num w:numId="38" w16cid:durableId="337542362">
    <w:abstractNumId w:val="63"/>
  </w:num>
  <w:num w:numId="39" w16cid:durableId="1317496219">
    <w:abstractNumId w:val="50"/>
  </w:num>
  <w:num w:numId="40" w16cid:durableId="1998655792">
    <w:abstractNumId w:val="24"/>
  </w:num>
  <w:num w:numId="41" w16cid:durableId="710688847">
    <w:abstractNumId w:val="31"/>
  </w:num>
  <w:num w:numId="42" w16cid:durableId="407270913">
    <w:abstractNumId w:val="47"/>
  </w:num>
  <w:num w:numId="43" w16cid:durableId="1821379702">
    <w:abstractNumId w:val="26"/>
  </w:num>
  <w:num w:numId="44" w16cid:durableId="48959298">
    <w:abstractNumId w:val="19"/>
  </w:num>
  <w:num w:numId="45" w16cid:durableId="1626542123">
    <w:abstractNumId w:val="49"/>
  </w:num>
  <w:num w:numId="46" w16cid:durableId="1828740577">
    <w:abstractNumId w:val="62"/>
  </w:num>
  <w:num w:numId="47" w16cid:durableId="819886137">
    <w:abstractNumId w:val="46"/>
  </w:num>
  <w:num w:numId="48" w16cid:durableId="644512682">
    <w:abstractNumId w:val="7"/>
  </w:num>
  <w:num w:numId="49" w16cid:durableId="515194995">
    <w:abstractNumId w:val="32"/>
  </w:num>
  <w:num w:numId="50" w16cid:durableId="99840888">
    <w:abstractNumId w:val="38"/>
  </w:num>
  <w:num w:numId="51" w16cid:durableId="1400788244">
    <w:abstractNumId w:val="36"/>
  </w:num>
  <w:num w:numId="52" w16cid:durableId="243149332">
    <w:abstractNumId w:val="41"/>
  </w:num>
  <w:num w:numId="53" w16cid:durableId="2044480170">
    <w:abstractNumId w:val="10"/>
  </w:num>
  <w:num w:numId="54" w16cid:durableId="569268702">
    <w:abstractNumId w:val="69"/>
  </w:num>
  <w:num w:numId="55" w16cid:durableId="1906527987">
    <w:abstractNumId w:val="60"/>
  </w:num>
  <w:num w:numId="56" w16cid:durableId="1161048355">
    <w:abstractNumId w:val="27"/>
  </w:num>
  <w:num w:numId="57" w16cid:durableId="1584488646">
    <w:abstractNumId w:val="58"/>
  </w:num>
  <w:num w:numId="58" w16cid:durableId="26686603">
    <w:abstractNumId w:val="30"/>
  </w:num>
  <w:num w:numId="59" w16cid:durableId="911427534">
    <w:abstractNumId w:val="61"/>
  </w:num>
  <w:num w:numId="60" w16cid:durableId="1717043713">
    <w:abstractNumId w:val="11"/>
  </w:num>
  <w:num w:numId="61" w16cid:durableId="877857179">
    <w:abstractNumId w:val="45"/>
  </w:num>
  <w:num w:numId="62" w16cid:durableId="563611236">
    <w:abstractNumId w:val="53"/>
  </w:num>
  <w:num w:numId="63" w16cid:durableId="1530413349">
    <w:abstractNumId w:val="39"/>
  </w:num>
  <w:num w:numId="64" w16cid:durableId="1428499735">
    <w:abstractNumId w:val="22"/>
  </w:num>
  <w:num w:numId="65" w16cid:durableId="14750974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8"/>
  </w:num>
  <w:num w:numId="67" w16cid:durableId="509222561">
    <w:abstractNumId w:val="6"/>
  </w:num>
  <w:num w:numId="68" w16cid:durableId="97877891">
    <w:abstractNumId w:val="15"/>
  </w:num>
  <w:num w:numId="69" w16cid:durableId="222176835">
    <w:abstractNumId w:val="57"/>
  </w:num>
  <w:num w:numId="70" w16cid:durableId="1436487466">
    <w:abstractNumId w:val="18"/>
  </w:num>
  <w:num w:numId="71" w16cid:durableId="1553733532">
    <w:abstractNumId w:val="48"/>
  </w:num>
  <w:num w:numId="72" w16cid:durableId="167418318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0AC"/>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0C87"/>
    <w:rsid w:val="00141CCC"/>
    <w:rsid w:val="001438D9"/>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5AC6"/>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35D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0FC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18D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1E29"/>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3F7E"/>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828"/>
    <w:rsid w:val="00B74C5F"/>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40FB"/>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2E9"/>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0CA"/>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20C2"/>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5C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s-ES"/>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s-ES"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s-ES"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s-ES"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s-ES"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s-ES"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s-ES"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s-ES"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s-ES"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s-ES"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s-ES"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s-ES"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s-E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s-E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s-ES"/>
    </w:rPr>
  </w:style>
  <w:style w:type="character" w:customStyle="1" w:styleId="Hyperlink3">
    <w:name w:val="Hyperlink.3"/>
    <w:basedOn w:val="None"/>
    <w:rsid w:val="00E75C90"/>
    <w:rPr>
      <w:rFonts w:ascii="Cambria" w:eastAsia="Cambria" w:hAnsi="Cambria" w:cs="Cambria"/>
      <w:color w:val="000000"/>
      <w:u w:color="000000"/>
      <w:lang w:val="es-E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s-E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s-E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s-E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E75C90"/>
    <w:rPr>
      <w:i/>
      <w:iCs/>
      <w:color w:val="404040" w:themeColor="text1" w:themeTint="BF"/>
      <w:sz w:val="24"/>
      <w:szCs w:val="24"/>
      <w:lang w:val="es-E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7300-8E98-42FB-A532-AA5AC9B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2025-10-21T07:35:00Z</dcterms:created>
  <dcterms:modified xsi:type="dcterms:W3CDTF">2025-10-21T14:08:00Z</dcterms:modified>
</cp:coreProperties>
</file>