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003C" w14:textId="77777777" w:rsidR="005E01CD" w:rsidRPr="00D22D0F" w:rsidRDefault="005E01CD" w:rsidP="00383016">
      <w:pPr>
        <w:spacing w:before="100" w:beforeAutospacing="1" w:after="100" w:afterAutospacing="1"/>
        <w:jc w:val="right"/>
        <w:outlineLvl w:val="0"/>
        <w:rPr>
          <w:rFonts w:ascii="Cambria" w:hAnsi="Cambria"/>
          <w:b/>
          <w:spacing w:val="-2"/>
          <w:sz w:val="20"/>
          <w:szCs w:val="20"/>
        </w:rPr>
      </w:pPr>
      <w:r w:rsidRPr="00D22D0F">
        <w:rPr>
          <w:rFonts w:ascii="Cambria" w:hAnsi="Cambria"/>
          <w:b/>
          <w:sz w:val="20"/>
          <w:szCs w:val="20"/>
        </w:rPr>
        <w:t>Original: inglés</w:t>
      </w:r>
    </w:p>
    <w:p w14:paraId="20644BE9" w14:textId="1886FA44" w:rsidR="00056212" w:rsidRPr="00D22D0F" w:rsidRDefault="00056212" w:rsidP="00056212">
      <w:pPr>
        <w:jc w:val="center"/>
        <w:rPr>
          <w:rFonts w:ascii="Cambria" w:hAnsi="Cambria"/>
          <w:b/>
          <w:bCs/>
          <w:sz w:val="20"/>
          <w:szCs w:val="20"/>
          <w:u w:val="single"/>
        </w:rPr>
      </w:pPr>
      <w:r w:rsidRPr="00D22D0F">
        <w:rPr>
          <w:rFonts w:ascii="Cambria" w:hAnsi="Cambria"/>
          <w:b/>
          <w:sz w:val="20"/>
          <w:szCs w:val="20"/>
          <w:u w:val="single"/>
        </w:rPr>
        <w:t xml:space="preserve">Proyecto de Recomendación de ICCAT para </w:t>
      </w:r>
      <w:r w:rsidR="005B417D" w:rsidRPr="00D22D0F">
        <w:rPr>
          <w:rFonts w:ascii="Cambria" w:hAnsi="Cambria"/>
          <w:b/>
          <w:sz w:val="20"/>
          <w:szCs w:val="20"/>
          <w:u w:val="single"/>
        </w:rPr>
        <w:t>establecer</w:t>
      </w:r>
      <w:r w:rsidRPr="00D22D0F">
        <w:rPr>
          <w:rFonts w:ascii="Cambria" w:hAnsi="Cambria"/>
          <w:b/>
          <w:sz w:val="20"/>
          <w:szCs w:val="20"/>
          <w:u w:val="single"/>
        </w:rPr>
        <w:t xml:space="preserve"> medidas provisionales </w:t>
      </w:r>
      <w:r w:rsidR="005B417D" w:rsidRPr="00D22D0F">
        <w:rPr>
          <w:rFonts w:ascii="Cambria" w:hAnsi="Cambria"/>
          <w:b/>
          <w:sz w:val="20"/>
          <w:szCs w:val="20"/>
          <w:u w:val="single"/>
        </w:rPr>
        <w:t>par</w:t>
      </w:r>
      <w:r w:rsidRPr="00D22D0F">
        <w:rPr>
          <w:rFonts w:ascii="Cambria" w:hAnsi="Cambria"/>
          <w:b/>
          <w:sz w:val="20"/>
          <w:szCs w:val="20"/>
          <w:u w:val="single"/>
        </w:rPr>
        <w:t xml:space="preserve">a las CPC costeras en desarrollo de ICCAT </w:t>
      </w:r>
      <w:r w:rsidR="005B417D" w:rsidRPr="00D22D0F">
        <w:rPr>
          <w:rFonts w:ascii="Cambria" w:hAnsi="Cambria"/>
          <w:b/>
          <w:sz w:val="20"/>
          <w:szCs w:val="20"/>
          <w:u w:val="single"/>
        </w:rPr>
        <w:t xml:space="preserve">ante </w:t>
      </w:r>
      <w:r w:rsidRPr="00D22D0F">
        <w:rPr>
          <w:rFonts w:ascii="Cambria" w:hAnsi="Cambria"/>
          <w:b/>
          <w:sz w:val="20"/>
          <w:szCs w:val="20"/>
          <w:u w:val="single"/>
        </w:rPr>
        <w:t xml:space="preserve">circunstancias </w:t>
      </w:r>
      <w:r w:rsidR="00D06106" w:rsidRPr="00D22D0F">
        <w:rPr>
          <w:rFonts w:ascii="Cambria" w:hAnsi="Cambria"/>
          <w:b/>
          <w:sz w:val="20"/>
          <w:szCs w:val="20"/>
          <w:u w:val="single"/>
        </w:rPr>
        <w:t xml:space="preserve">atenuantes </w:t>
      </w:r>
      <w:r w:rsidR="005B417D" w:rsidRPr="00D22D0F">
        <w:rPr>
          <w:rFonts w:ascii="Cambria" w:hAnsi="Cambria"/>
          <w:b/>
          <w:sz w:val="20"/>
          <w:szCs w:val="20"/>
          <w:u w:val="single"/>
        </w:rPr>
        <w:t xml:space="preserve">en relación con </w:t>
      </w:r>
      <w:r w:rsidRPr="00D22D0F">
        <w:rPr>
          <w:rFonts w:ascii="Cambria" w:hAnsi="Cambria"/>
          <w:b/>
          <w:sz w:val="20"/>
          <w:szCs w:val="20"/>
          <w:u w:val="single"/>
        </w:rPr>
        <w:t>la Recomendación 19-05</w:t>
      </w:r>
    </w:p>
    <w:p w14:paraId="6922A060" w14:textId="00CF00F4" w:rsidR="00CE1EEF" w:rsidRPr="00D22D0F" w:rsidRDefault="00CE1EEF" w:rsidP="002B7AB6">
      <w:pPr>
        <w:jc w:val="center"/>
        <w:outlineLvl w:val="0"/>
        <w:rPr>
          <w:rFonts w:ascii="Cambria" w:eastAsia="Times New Roman" w:hAnsi="Cambria" w:cstheme="minorHAnsi"/>
          <w:b/>
          <w:bCs/>
          <w:color w:val="000000"/>
          <w:sz w:val="20"/>
          <w:szCs w:val="20"/>
        </w:rPr>
      </w:pPr>
    </w:p>
    <w:p w14:paraId="45C86074" w14:textId="5D282636" w:rsidR="002B7AB6" w:rsidRPr="00D22D0F" w:rsidRDefault="009C5444" w:rsidP="00056212">
      <w:pPr>
        <w:pStyle w:val="BodyText2"/>
        <w:widowControl/>
        <w:rPr>
          <w:rFonts w:ascii="Cambria" w:eastAsiaTheme="minorHAnsi" w:hAnsi="Cambria" w:cstheme="minorBidi"/>
          <w:iCs/>
          <w:color w:val="000000"/>
        </w:rPr>
      </w:pPr>
      <w:r w:rsidRPr="00D22D0F">
        <w:rPr>
          <w:rFonts w:ascii="Cambria" w:eastAsiaTheme="minorHAnsi" w:hAnsi="Cambria" w:cstheme="minorBidi"/>
        </w:rPr>
        <w:t>(Documento presentado por Barbados</w:t>
      </w:r>
      <w:r w:rsidR="0093071A" w:rsidRPr="00D22D0F">
        <w:rPr>
          <w:rFonts w:ascii="Cambria" w:eastAsiaTheme="minorHAnsi" w:hAnsi="Cambria" w:cstheme="minorBidi"/>
        </w:rPr>
        <w:t>,</w:t>
      </w:r>
      <w:r w:rsidRPr="00D22D0F">
        <w:rPr>
          <w:rFonts w:ascii="Cambria" w:eastAsiaTheme="minorHAnsi" w:hAnsi="Cambria" w:cstheme="minorBidi"/>
        </w:rPr>
        <w:t xml:space="preserve"> Belice, Granada, San Vicente y las Granadinas</w:t>
      </w:r>
      <w:r w:rsidR="00341B66" w:rsidRPr="00D22D0F">
        <w:rPr>
          <w:rFonts w:ascii="Cambria" w:eastAsiaTheme="minorHAnsi" w:hAnsi="Cambria" w:cstheme="minorBidi"/>
        </w:rPr>
        <w:t xml:space="preserve">, </w:t>
      </w:r>
      <w:r w:rsidR="00341B66" w:rsidRPr="00D22D0F">
        <w:rPr>
          <w:rFonts w:ascii="Cambria" w:eastAsiaTheme="minorHAnsi" w:hAnsi="Cambria" w:cstheme="minorBidi"/>
        </w:rPr>
        <w:br/>
      </w:r>
      <w:r w:rsidRPr="00D22D0F">
        <w:rPr>
          <w:rFonts w:ascii="Cambria" w:eastAsiaTheme="minorHAnsi" w:hAnsi="Cambria" w:cstheme="minorBidi"/>
        </w:rPr>
        <w:t>Trinidad y Tobago</w:t>
      </w:r>
      <w:r w:rsidR="003B3564">
        <w:rPr>
          <w:rFonts w:ascii="Cambria" w:eastAsiaTheme="minorHAnsi" w:hAnsi="Cambria" w:cstheme="minorBidi"/>
        </w:rPr>
        <w:t xml:space="preserve"> y</w:t>
      </w:r>
      <w:r w:rsidR="00F11046">
        <w:rPr>
          <w:rFonts w:ascii="Cambria" w:eastAsiaTheme="minorHAnsi" w:hAnsi="Cambria" w:cstheme="minorBidi"/>
        </w:rPr>
        <w:t xml:space="preserve"> </w:t>
      </w:r>
      <w:r w:rsidR="00341B66" w:rsidRPr="00D22D0F">
        <w:rPr>
          <w:rFonts w:ascii="Cambria" w:eastAsiaTheme="minorHAnsi" w:hAnsi="Cambria" w:cstheme="minorBidi"/>
        </w:rPr>
        <w:t>Costa Rica</w:t>
      </w:r>
      <w:r w:rsidRPr="00D22D0F">
        <w:rPr>
          <w:rFonts w:ascii="Cambria" w:eastAsiaTheme="minorHAnsi" w:hAnsi="Cambria" w:cstheme="minorBidi"/>
        </w:rPr>
        <w:t>)</w:t>
      </w:r>
    </w:p>
    <w:p w14:paraId="6AD937C7" w14:textId="77777777" w:rsidR="002B7AB6" w:rsidRPr="00D22D0F" w:rsidRDefault="002B7AB6" w:rsidP="002B7AB6">
      <w:pPr>
        <w:ind w:firstLine="720"/>
        <w:jc w:val="both"/>
        <w:rPr>
          <w:rFonts w:ascii="Cambria" w:eastAsia="Times New Roman" w:hAnsi="Cambria" w:cstheme="minorHAnsi"/>
          <w:bCs/>
          <w:i/>
          <w:color w:val="000000"/>
          <w:sz w:val="20"/>
          <w:szCs w:val="20"/>
        </w:rPr>
      </w:pPr>
    </w:p>
    <w:p w14:paraId="172686A1" w14:textId="77777777" w:rsidR="00056212" w:rsidRPr="00D22D0F" w:rsidRDefault="00056212" w:rsidP="00056212">
      <w:pPr>
        <w:pStyle w:val="CommentText"/>
        <w:rPr>
          <w:rFonts w:ascii="Cambria" w:hAnsi="Cambria"/>
          <w:bCs/>
        </w:rPr>
      </w:pPr>
      <w:r w:rsidRPr="00D22D0F">
        <w:rPr>
          <w:rFonts w:ascii="Cambria" w:hAnsi="Cambria"/>
          <w:bCs/>
        </w:rPr>
        <w:t>[…]</w:t>
      </w:r>
    </w:p>
    <w:p w14:paraId="3C078D21" w14:textId="77777777" w:rsidR="00056212" w:rsidRPr="00D22D0F" w:rsidRDefault="00056212" w:rsidP="00056212">
      <w:pPr>
        <w:rPr>
          <w:rFonts w:ascii="Cambria" w:hAnsi="Cambria"/>
          <w:bCs/>
          <w:sz w:val="20"/>
          <w:szCs w:val="20"/>
        </w:rPr>
      </w:pPr>
      <w:r w:rsidRPr="00D22D0F">
        <w:rPr>
          <w:rFonts w:ascii="Cambria" w:hAnsi="Cambria"/>
          <w:bCs/>
          <w:sz w:val="20"/>
          <w:szCs w:val="20"/>
        </w:rPr>
        <w:t>[…]</w:t>
      </w:r>
    </w:p>
    <w:p w14:paraId="08BDFF23" w14:textId="77777777" w:rsidR="00056212" w:rsidRPr="00D22D0F" w:rsidRDefault="00056212" w:rsidP="00056212">
      <w:pPr>
        <w:rPr>
          <w:rFonts w:ascii="Cambria" w:hAnsi="Cambria"/>
          <w:bCs/>
          <w:sz w:val="20"/>
          <w:szCs w:val="20"/>
        </w:rPr>
      </w:pPr>
      <w:r w:rsidRPr="00D22D0F">
        <w:rPr>
          <w:rFonts w:ascii="Cambria" w:hAnsi="Cambria"/>
          <w:bCs/>
          <w:sz w:val="20"/>
          <w:szCs w:val="20"/>
        </w:rPr>
        <w:t>[…]</w:t>
      </w:r>
    </w:p>
    <w:p w14:paraId="2FF75797" w14:textId="77777777" w:rsidR="002B7AB6" w:rsidRPr="00D22D0F" w:rsidRDefault="004A4DE9" w:rsidP="002B7AB6">
      <w:pPr>
        <w:ind w:left="720"/>
        <w:jc w:val="center"/>
        <w:rPr>
          <w:rFonts w:ascii="Cambria" w:hAnsi="Cambria"/>
          <w:sz w:val="20"/>
          <w:szCs w:val="20"/>
        </w:rPr>
      </w:pPr>
      <w:r w:rsidRPr="00D22D0F">
        <w:rPr>
          <w:rFonts w:ascii="Cambria" w:hAnsi="Cambria"/>
          <w:sz w:val="20"/>
          <w:szCs w:val="20"/>
        </w:rPr>
        <w:t xml:space="preserve">LA COMISIÓN INTERNACIONAL PARA LA CONSERVACIÓN </w:t>
      </w:r>
    </w:p>
    <w:p w14:paraId="1235C58B" w14:textId="114F72E4" w:rsidR="004A4DE9" w:rsidRPr="00D22D0F" w:rsidRDefault="004A4DE9" w:rsidP="002B7AB6">
      <w:pPr>
        <w:ind w:left="720"/>
        <w:jc w:val="center"/>
        <w:rPr>
          <w:rFonts w:ascii="Cambria" w:hAnsi="Cambria"/>
          <w:sz w:val="20"/>
          <w:szCs w:val="20"/>
        </w:rPr>
      </w:pPr>
      <w:r w:rsidRPr="00D22D0F">
        <w:rPr>
          <w:rFonts w:ascii="Cambria" w:hAnsi="Cambria"/>
          <w:sz w:val="20"/>
          <w:szCs w:val="20"/>
        </w:rPr>
        <w:t>DEL ATÚN ATLÁNTICO (ICCAT) RECOMIENDA LO SIGUIENTE:</w:t>
      </w:r>
    </w:p>
    <w:p w14:paraId="12D40F95" w14:textId="77777777" w:rsidR="00056212" w:rsidRPr="00D22D0F" w:rsidRDefault="00056212" w:rsidP="00056212">
      <w:pPr>
        <w:rPr>
          <w:rFonts w:ascii="Cambria" w:hAnsi="Cambria"/>
          <w:sz w:val="20"/>
          <w:szCs w:val="20"/>
        </w:rPr>
      </w:pPr>
    </w:p>
    <w:p w14:paraId="2EC58F65" w14:textId="46B4B54A" w:rsidR="00056212" w:rsidRPr="00D22D0F" w:rsidRDefault="00056212" w:rsidP="00056212">
      <w:pPr>
        <w:jc w:val="both"/>
        <w:rPr>
          <w:rFonts w:ascii="Cambria" w:hAnsi="Cambria"/>
          <w:sz w:val="20"/>
          <w:szCs w:val="20"/>
          <w:u w:val="single"/>
        </w:rPr>
      </w:pPr>
      <w:r w:rsidRPr="00D22D0F">
        <w:rPr>
          <w:rFonts w:ascii="Cambria" w:hAnsi="Cambria"/>
          <w:sz w:val="20"/>
          <w:szCs w:val="20"/>
          <w:u w:val="single"/>
        </w:rPr>
        <w:t xml:space="preserve">En lo que respecta a la aplicación de la </w:t>
      </w:r>
      <w:r w:rsidR="005B417D" w:rsidRPr="00D22D0F">
        <w:rPr>
          <w:rFonts w:ascii="Cambria" w:hAnsi="Cambria"/>
          <w:i/>
          <w:iCs/>
          <w:sz w:val="20"/>
          <w:szCs w:val="20"/>
          <w:u w:val="single"/>
        </w:rPr>
        <w:t xml:space="preserve">Recomendación de ICCAT para establecer programas de recuperación para la aguja </w:t>
      </w:r>
      <w:proofErr w:type="gramStart"/>
      <w:r w:rsidR="005B417D" w:rsidRPr="00D22D0F">
        <w:rPr>
          <w:rFonts w:ascii="Cambria" w:hAnsi="Cambria"/>
          <w:i/>
          <w:iCs/>
          <w:sz w:val="20"/>
          <w:szCs w:val="20"/>
          <w:u w:val="single"/>
        </w:rPr>
        <w:t>azul  y</w:t>
      </w:r>
      <w:proofErr w:type="gramEnd"/>
      <w:r w:rsidR="005B417D" w:rsidRPr="00D22D0F">
        <w:rPr>
          <w:rFonts w:ascii="Cambria" w:hAnsi="Cambria"/>
          <w:i/>
          <w:iCs/>
          <w:sz w:val="20"/>
          <w:szCs w:val="20"/>
          <w:u w:val="single"/>
        </w:rPr>
        <w:t xml:space="preserve"> aguja blanca/marlín peto</w:t>
      </w:r>
      <w:r w:rsidR="005B417D" w:rsidRPr="00D22D0F">
        <w:rPr>
          <w:rFonts w:ascii="Cambria" w:hAnsi="Cambria"/>
          <w:sz w:val="20"/>
          <w:szCs w:val="20"/>
          <w:u w:val="single"/>
        </w:rPr>
        <w:t xml:space="preserve"> (</w:t>
      </w:r>
      <w:r w:rsidRPr="00D22D0F">
        <w:rPr>
          <w:rFonts w:ascii="Cambria" w:hAnsi="Cambria"/>
          <w:sz w:val="20"/>
          <w:szCs w:val="20"/>
          <w:u w:val="single"/>
        </w:rPr>
        <w:t>Rec. 19-05</w:t>
      </w:r>
      <w:r w:rsidR="005B417D" w:rsidRPr="00D22D0F">
        <w:rPr>
          <w:rFonts w:ascii="Cambria" w:hAnsi="Cambria"/>
          <w:sz w:val="20"/>
          <w:szCs w:val="20"/>
          <w:u w:val="single"/>
        </w:rPr>
        <w:t>)</w:t>
      </w:r>
      <w:r w:rsidRPr="00D22D0F">
        <w:rPr>
          <w:rFonts w:ascii="Cambria" w:hAnsi="Cambria"/>
          <w:sz w:val="20"/>
          <w:szCs w:val="20"/>
          <w:u w:val="single"/>
        </w:rPr>
        <w:t xml:space="preserve"> de ICCAT</w:t>
      </w:r>
      <w:r w:rsidR="00D06106" w:rsidRPr="00D22D0F">
        <w:rPr>
          <w:rFonts w:ascii="Cambria" w:hAnsi="Cambria"/>
          <w:sz w:val="20"/>
          <w:szCs w:val="20"/>
          <w:u w:val="single"/>
        </w:rPr>
        <w:t>:</w:t>
      </w:r>
    </w:p>
    <w:p w14:paraId="6C1ADF1E" w14:textId="77777777" w:rsidR="00056212" w:rsidRPr="00D22D0F" w:rsidRDefault="00056212" w:rsidP="00056212">
      <w:pPr>
        <w:jc w:val="both"/>
        <w:rPr>
          <w:rFonts w:ascii="Cambria" w:hAnsi="Cambria"/>
          <w:sz w:val="20"/>
          <w:szCs w:val="20"/>
          <w:u w:val="single"/>
        </w:rPr>
      </w:pPr>
    </w:p>
    <w:p w14:paraId="5DEE8266" w14:textId="77777777" w:rsidR="00056212" w:rsidRPr="00D22D0F" w:rsidRDefault="00056212" w:rsidP="00DF7F64">
      <w:pPr>
        <w:pStyle w:val="ListParagraph"/>
        <w:numPr>
          <w:ilvl w:val="0"/>
          <w:numId w:val="81"/>
        </w:numPr>
        <w:ind w:left="426" w:hanging="426"/>
        <w:jc w:val="both"/>
        <w:rPr>
          <w:rFonts w:ascii="Cambria" w:hAnsi="Cambria"/>
          <w:sz w:val="20"/>
          <w:szCs w:val="20"/>
          <w:u w:val="single"/>
        </w:rPr>
      </w:pPr>
      <w:r w:rsidRPr="00D22D0F">
        <w:rPr>
          <w:rFonts w:ascii="Cambria" w:hAnsi="Cambria"/>
          <w:sz w:val="20"/>
          <w:szCs w:val="20"/>
          <w:u w:val="single"/>
        </w:rPr>
        <w:t>Las CPC costeras en desarrollo no incluidas en la tabla de asignación limitarán sus desembarques de aguja azul del Atlántico a 20 t y de aguja blanca/marlín peto a 10 t para 2025 y 2026.</w:t>
      </w:r>
    </w:p>
    <w:p w14:paraId="220D70AD" w14:textId="77777777" w:rsidR="00056212" w:rsidRPr="00D22D0F" w:rsidRDefault="00056212" w:rsidP="00056212">
      <w:pPr>
        <w:pStyle w:val="ListParagraph"/>
        <w:jc w:val="both"/>
        <w:rPr>
          <w:rFonts w:ascii="Cambria" w:hAnsi="Cambria"/>
          <w:sz w:val="20"/>
          <w:szCs w:val="20"/>
        </w:rPr>
      </w:pPr>
    </w:p>
    <w:p w14:paraId="78A86CB8" w14:textId="77777777" w:rsidR="00056212" w:rsidRPr="00D22D0F" w:rsidRDefault="00056212" w:rsidP="00DF7F64">
      <w:pPr>
        <w:pStyle w:val="ListParagraph"/>
        <w:numPr>
          <w:ilvl w:val="0"/>
          <w:numId w:val="81"/>
        </w:numPr>
        <w:ind w:left="426" w:hanging="426"/>
        <w:jc w:val="both"/>
        <w:rPr>
          <w:rFonts w:ascii="Cambria" w:hAnsi="Cambria"/>
          <w:sz w:val="20"/>
          <w:szCs w:val="20"/>
          <w:u w:val="single"/>
        </w:rPr>
      </w:pPr>
      <w:r w:rsidRPr="00D22D0F">
        <w:rPr>
          <w:rFonts w:ascii="Cambria" w:hAnsi="Cambria"/>
          <w:sz w:val="20"/>
          <w:szCs w:val="20"/>
          <w:u w:val="single"/>
        </w:rPr>
        <w:t xml:space="preserve">Las CPC costera en desarrollo costeros estarán exentos de la disposición de devolución del 125 % del párrafo 3b durante el período bienal de 2024 y 2025. </w:t>
      </w:r>
    </w:p>
    <w:p w14:paraId="705FC0CF" w14:textId="77777777" w:rsidR="00056212" w:rsidRPr="00D22D0F" w:rsidRDefault="00056212" w:rsidP="00056212">
      <w:pPr>
        <w:jc w:val="both"/>
        <w:rPr>
          <w:rFonts w:ascii="Cambria" w:hAnsi="Cambria"/>
          <w:sz w:val="20"/>
          <w:szCs w:val="20"/>
          <w:u w:val="single"/>
        </w:rPr>
      </w:pPr>
    </w:p>
    <w:p w14:paraId="2474A9AE" w14:textId="77777777" w:rsidR="00056212" w:rsidRPr="00D22D0F" w:rsidRDefault="00056212" w:rsidP="00DF7F64">
      <w:pPr>
        <w:pStyle w:val="ListParagraph"/>
        <w:numPr>
          <w:ilvl w:val="0"/>
          <w:numId w:val="81"/>
        </w:numPr>
        <w:ind w:left="426" w:hanging="426"/>
        <w:jc w:val="both"/>
        <w:rPr>
          <w:rFonts w:ascii="Cambria" w:hAnsi="Cambria"/>
          <w:sz w:val="20"/>
          <w:szCs w:val="20"/>
          <w:u w:val="single"/>
        </w:rPr>
      </w:pPr>
      <w:r w:rsidRPr="00D22D0F">
        <w:rPr>
          <w:rFonts w:ascii="Cambria" w:hAnsi="Cambria"/>
          <w:sz w:val="20"/>
          <w:szCs w:val="20"/>
          <w:u w:val="single"/>
        </w:rPr>
        <w:t xml:space="preserve">En 2026, se celebrará una reunión intersesiones de la Subcomisión 4 para revisar la Rec. 19-05 de ICCAT con el fin de abordar cuestiones relacionadas con la implementación y mejorar la ordenación de la aguja azul y la aguja blanca/marlín peto. Se tendrán en cuenta, como mínimo, los siguientes elementos: </w:t>
      </w:r>
    </w:p>
    <w:p w14:paraId="7E656137" w14:textId="57396679" w:rsidR="006340E5" w:rsidRPr="00D22D0F" w:rsidRDefault="006340E5" w:rsidP="00056212">
      <w:pPr>
        <w:numPr>
          <w:ilvl w:val="1"/>
          <w:numId w:val="77"/>
        </w:numPr>
        <w:pBdr>
          <w:top w:val="nil"/>
          <w:left w:val="nil"/>
          <w:bottom w:val="nil"/>
          <w:right w:val="nil"/>
          <w:between w:val="nil"/>
        </w:pBdr>
        <w:ind w:right="-1"/>
        <w:contextualSpacing/>
        <w:jc w:val="both"/>
        <w:rPr>
          <w:rFonts w:ascii="Cambria" w:eastAsia="Calibri" w:hAnsi="Cambria" w:cs="Times New Roman"/>
          <w:sz w:val="20"/>
          <w:szCs w:val="20"/>
        </w:rPr>
      </w:pPr>
      <w:r w:rsidRPr="00D22D0F">
        <w:rPr>
          <w:rFonts w:ascii="Cambria" w:eastAsia="Aptos" w:hAnsi="Cambria" w:cs="Times New Roman"/>
          <w:kern w:val="2"/>
          <w:sz w:val="20"/>
          <w14:ligatures w14:val="standardContextual"/>
        </w:rPr>
        <w:t>La situación específica de los pequeños Estados insulares en desarrollo (SIDS)</w:t>
      </w:r>
      <w:r w:rsidR="003F663E" w:rsidRPr="00D22D0F">
        <w:rPr>
          <w:rFonts w:ascii="Cambria" w:eastAsia="Aptos" w:hAnsi="Cambria" w:cs="Times New Roman"/>
          <w:kern w:val="2"/>
          <w:sz w:val="20"/>
          <w14:ligatures w14:val="standardContextual"/>
        </w:rPr>
        <w:t xml:space="preserve"> del Caribe</w:t>
      </w:r>
      <w:r w:rsidRPr="00D22D0F">
        <w:rPr>
          <w:rFonts w:ascii="Cambria" w:eastAsia="Aptos" w:hAnsi="Cambria" w:cs="Times New Roman"/>
          <w:kern w:val="2"/>
          <w:sz w:val="20"/>
          <w14:ligatures w14:val="standardContextual"/>
        </w:rPr>
        <w:t xml:space="preserve"> y</w:t>
      </w:r>
      <w:r w:rsidR="00464E2F" w:rsidRPr="00D22D0F">
        <w:rPr>
          <w:rFonts w:ascii="Cambria" w:eastAsia="Aptos" w:hAnsi="Cambria" w:cs="Times New Roman"/>
          <w:kern w:val="2"/>
          <w:sz w:val="20"/>
          <w14:ligatures w14:val="standardContextual"/>
        </w:rPr>
        <w:t xml:space="preserve"> de</w:t>
      </w:r>
      <w:r w:rsidRPr="00D22D0F">
        <w:rPr>
          <w:rFonts w:ascii="Cambria" w:eastAsia="Aptos" w:hAnsi="Cambria" w:cs="Times New Roman"/>
          <w:kern w:val="2"/>
          <w:sz w:val="20"/>
          <w14:ligatures w14:val="standardContextual"/>
        </w:rPr>
        <w:t xml:space="preserve"> otras CPC costeras en desarrollo afectadas</w:t>
      </w:r>
      <w:r w:rsidR="00F73E68" w:rsidRPr="00D22D0F">
        <w:rPr>
          <w:rFonts w:ascii="Cambria" w:eastAsia="Aptos" w:hAnsi="Cambria" w:cs="Times New Roman"/>
          <w:kern w:val="2"/>
          <w:sz w:val="20"/>
          <w14:ligatures w14:val="standardContextual"/>
        </w:rPr>
        <w:t>.</w:t>
      </w:r>
    </w:p>
    <w:p w14:paraId="124F7EEF" w14:textId="32B8E03B" w:rsidR="006340E5" w:rsidRPr="00D22D0F" w:rsidRDefault="00464E2F" w:rsidP="00056212">
      <w:pPr>
        <w:numPr>
          <w:ilvl w:val="1"/>
          <w:numId w:val="77"/>
        </w:numPr>
        <w:pBdr>
          <w:top w:val="nil"/>
          <w:left w:val="nil"/>
          <w:bottom w:val="nil"/>
          <w:right w:val="nil"/>
          <w:between w:val="nil"/>
        </w:pBdr>
        <w:ind w:right="-1"/>
        <w:contextualSpacing/>
        <w:jc w:val="both"/>
        <w:rPr>
          <w:rFonts w:ascii="Cambria" w:eastAsia="Calibri" w:hAnsi="Cambria" w:cs="Times New Roman"/>
          <w:sz w:val="20"/>
          <w:szCs w:val="20"/>
        </w:rPr>
      </w:pPr>
      <w:r w:rsidRPr="00D22D0F">
        <w:rPr>
          <w:rFonts w:ascii="Cambria" w:eastAsia="Aptos" w:hAnsi="Cambria" w:cs="Times New Roman"/>
          <w:kern w:val="2"/>
          <w:sz w:val="20"/>
          <w14:ligatures w14:val="standardContextual"/>
        </w:rPr>
        <w:t>La e</w:t>
      </w:r>
      <w:r w:rsidR="006340E5" w:rsidRPr="00D22D0F">
        <w:rPr>
          <w:rFonts w:ascii="Cambria" w:eastAsia="Aptos" w:hAnsi="Cambria" w:cs="Times New Roman"/>
          <w:kern w:val="2"/>
          <w:sz w:val="20"/>
          <w14:ligatures w14:val="standardContextual"/>
        </w:rPr>
        <w:t xml:space="preserve">valuación y </w:t>
      </w:r>
      <w:r w:rsidRPr="00D22D0F">
        <w:rPr>
          <w:rFonts w:ascii="Cambria" w:eastAsia="Aptos" w:hAnsi="Cambria" w:cs="Times New Roman"/>
          <w:kern w:val="2"/>
          <w:sz w:val="20"/>
          <w14:ligatures w14:val="standardContextual"/>
        </w:rPr>
        <w:t xml:space="preserve">la </w:t>
      </w:r>
      <w:r w:rsidR="006340E5" w:rsidRPr="00D22D0F">
        <w:rPr>
          <w:rFonts w:ascii="Cambria" w:eastAsia="Aptos" w:hAnsi="Cambria" w:cs="Times New Roman"/>
          <w:kern w:val="2"/>
          <w:sz w:val="20"/>
          <w14:ligatures w14:val="standardContextual"/>
        </w:rPr>
        <w:t xml:space="preserve">posible rectificación del cumplimiento histórico de medidas anteriores. </w:t>
      </w:r>
    </w:p>
    <w:p w14:paraId="0EC5455C" w14:textId="01A225B7" w:rsidR="006340E5" w:rsidRPr="00D22D0F" w:rsidRDefault="00464E2F" w:rsidP="00056212">
      <w:pPr>
        <w:numPr>
          <w:ilvl w:val="1"/>
          <w:numId w:val="77"/>
        </w:numPr>
        <w:pBdr>
          <w:top w:val="nil"/>
          <w:left w:val="nil"/>
          <w:bottom w:val="nil"/>
          <w:right w:val="nil"/>
          <w:between w:val="nil"/>
        </w:pBdr>
        <w:ind w:right="-1"/>
        <w:contextualSpacing/>
        <w:jc w:val="both"/>
        <w:rPr>
          <w:rFonts w:ascii="Cambria" w:eastAsia="Calibri" w:hAnsi="Cambria" w:cs="Times New Roman"/>
          <w:sz w:val="20"/>
          <w:szCs w:val="20"/>
        </w:rPr>
      </w:pPr>
      <w:r w:rsidRPr="00D22D0F">
        <w:rPr>
          <w:rFonts w:ascii="Cambria" w:eastAsia="Aptos" w:hAnsi="Cambria" w:cs="Times New Roman"/>
          <w:kern w:val="2"/>
          <w:sz w:val="20"/>
          <w14:ligatures w14:val="standardContextual"/>
        </w:rPr>
        <w:t>La identificación de</w:t>
      </w:r>
      <w:r w:rsidR="006340E5" w:rsidRPr="00D22D0F">
        <w:rPr>
          <w:rFonts w:ascii="Cambria" w:eastAsia="Aptos" w:hAnsi="Cambria" w:cs="Times New Roman"/>
          <w:kern w:val="2"/>
          <w:sz w:val="20"/>
          <w14:ligatures w14:val="standardContextual"/>
        </w:rPr>
        <w:t xml:space="preserve"> las lagunas en los datos y </w:t>
      </w:r>
      <w:r w:rsidR="00F73E68" w:rsidRPr="00D22D0F">
        <w:rPr>
          <w:rFonts w:ascii="Cambria" w:eastAsia="Aptos" w:hAnsi="Cambria" w:cs="Times New Roman"/>
          <w:kern w:val="2"/>
          <w:sz w:val="20"/>
          <w14:ligatures w14:val="standardContextual"/>
        </w:rPr>
        <w:t>la mejora de</w:t>
      </w:r>
      <w:r w:rsidR="006340E5" w:rsidRPr="00D22D0F">
        <w:rPr>
          <w:rFonts w:ascii="Cambria" w:eastAsia="Aptos" w:hAnsi="Cambria" w:cs="Times New Roman"/>
          <w:kern w:val="2"/>
          <w:sz w:val="20"/>
          <w14:ligatures w14:val="standardContextual"/>
        </w:rPr>
        <w:t xml:space="preserve"> la recopilación de datos, especialmente en los Estados costeros en desarrollo afectados. </w:t>
      </w:r>
    </w:p>
    <w:p w14:paraId="4102862E" w14:textId="31C22C4B" w:rsidR="006340E5" w:rsidRPr="00D22D0F" w:rsidRDefault="006340E5" w:rsidP="00056212">
      <w:pPr>
        <w:numPr>
          <w:ilvl w:val="1"/>
          <w:numId w:val="77"/>
        </w:numPr>
        <w:pBdr>
          <w:top w:val="nil"/>
          <w:left w:val="nil"/>
          <w:bottom w:val="nil"/>
          <w:right w:val="nil"/>
          <w:between w:val="nil"/>
        </w:pBdr>
        <w:ind w:right="-1"/>
        <w:contextualSpacing/>
        <w:jc w:val="both"/>
        <w:rPr>
          <w:rFonts w:ascii="Cambria" w:eastAsia="Calibri" w:hAnsi="Cambria" w:cs="Times New Roman"/>
          <w:sz w:val="20"/>
          <w:szCs w:val="20"/>
        </w:rPr>
      </w:pPr>
      <w:r w:rsidRPr="00D22D0F">
        <w:rPr>
          <w:rFonts w:ascii="Cambria" w:eastAsia="Aptos" w:hAnsi="Cambria" w:cs="Times New Roman"/>
          <w:kern w:val="2"/>
          <w:sz w:val="20"/>
          <w14:ligatures w14:val="standardContextual"/>
        </w:rPr>
        <w:t>La diferencia entre los marlines como especie objetivo o como captura fortuita para las diferentes flotas de ICCAT</w:t>
      </w:r>
      <w:r w:rsidR="00D06106" w:rsidRPr="00D22D0F">
        <w:rPr>
          <w:rFonts w:ascii="Cambria" w:eastAsia="Aptos" w:hAnsi="Cambria" w:cs="Times New Roman"/>
          <w:kern w:val="2"/>
          <w:sz w:val="20"/>
          <w14:ligatures w14:val="standardContextual"/>
        </w:rPr>
        <w:t>.</w:t>
      </w:r>
    </w:p>
    <w:p w14:paraId="18E26F8D" w14:textId="77777777" w:rsidR="006340E5" w:rsidRPr="00D22D0F" w:rsidRDefault="006340E5" w:rsidP="006340E5">
      <w:pPr>
        <w:pBdr>
          <w:top w:val="nil"/>
          <w:left w:val="nil"/>
          <w:bottom w:val="nil"/>
          <w:right w:val="nil"/>
          <w:between w:val="nil"/>
        </w:pBdr>
        <w:ind w:left="1080" w:right="260"/>
        <w:contextualSpacing/>
        <w:rPr>
          <w:rFonts w:ascii="Cambria" w:eastAsia="Calibri" w:hAnsi="Cambria" w:cs="Times New Roman"/>
          <w:sz w:val="20"/>
          <w:szCs w:val="20"/>
          <w:u w:val="single"/>
        </w:rPr>
      </w:pPr>
    </w:p>
    <w:p w14:paraId="6C329E24" w14:textId="7149A07C" w:rsidR="00056212" w:rsidRPr="00D22D0F" w:rsidRDefault="00056212" w:rsidP="00056212">
      <w:pPr>
        <w:pStyle w:val="ListParagraph"/>
        <w:numPr>
          <w:ilvl w:val="0"/>
          <w:numId w:val="81"/>
        </w:numPr>
        <w:pBdr>
          <w:top w:val="nil"/>
          <w:left w:val="nil"/>
          <w:bottom w:val="nil"/>
          <w:right w:val="nil"/>
          <w:between w:val="nil"/>
        </w:pBdr>
        <w:ind w:left="426" w:right="-1" w:hanging="426"/>
        <w:jc w:val="both"/>
        <w:rPr>
          <w:rFonts w:ascii="Cambria" w:hAnsi="Cambria"/>
          <w:sz w:val="20"/>
          <w:szCs w:val="20"/>
          <w:u w:val="single"/>
        </w:rPr>
      </w:pPr>
      <w:r w:rsidRPr="00D22D0F">
        <w:rPr>
          <w:rFonts w:ascii="Cambria" w:hAnsi="Cambria"/>
          <w:sz w:val="20"/>
          <w:szCs w:val="20"/>
          <w:u w:val="single"/>
        </w:rPr>
        <w:t xml:space="preserve">Durante la reunión intersesiones de la Subcomisión 4, se anima a los </w:t>
      </w:r>
      <w:r w:rsidR="00E859BF" w:rsidRPr="00D22D0F">
        <w:rPr>
          <w:rFonts w:ascii="Cambria" w:hAnsi="Cambria"/>
          <w:sz w:val="20"/>
          <w:szCs w:val="20"/>
          <w:u w:val="single"/>
        </w:rPr>
        <w:t xml:space="preserve">SIDS </w:t>
      </w:r>
      <w:r w:rsidRPr="00D22D0F">
        <w:rPr>
          <w:rFonts w:ascii="Cambria" w:hAnsi="Cambria"/>
          <w:sz w:val="20"/>
          <w:szCs w:val="20"/>
          <w:u w:val="single"/>
        </w:rPr>
        <w:t xml:space="preserve">del Caribe y a otras CPC costeras en desarrollo afectadas a que presenten su situación específica, incluyendo al menos los siguientes elementos: </w:t>
      </w:r>
    </w:p>
    <w:p w14:paraId="6CE9C296" w14:textId="77777777" w:rsidR="00056212" w:rsidRPr="00D22D0F" w:rsidRDefault="00056212" w:rsidP="005B417D">
      <w:pPr>
        <w:pStyle w:val="ListParagraph"/>
        <w:numPr>
          <w:ilvl w:val="1"/>
          <w:numId w:val="81"/>
        </w:numPr>
        <w:pBdr>
          <w:top w:val="nil"/>
          <w:left w:val="nil"/>
          <w:bottom w:val="nil"/>
          <w:right w:val="nil"/>
          <w:between w:val="nil"/>
        </w:pBdr>
        <w:ind w:left="1134" w:right="-1"/>
        <w:jc w:val="both"/>
        <w:rPr>
          <w:rFonts w:ascii="Cambria" w:hAnsi="Cambria"/>
          <w:sz w:val="20"/>
          <w:szCs w:val="20"/>
          <w:u w:val="single"/>
        </w:rPr>
      </w:pPr>
      <w:r w:rsidRPr="00D22D0F">
        <w:rPr>
          <w:rFonts w:ascii="Cambria" w:hAnsi="Cambria"/>
          <w:sz w:val="20"/>
          <w:szCs w:val="20"/>
          <w:u w:val="single"/>
        </w:rPr>
        <w:t xml:space="preserve">la interacción de sus pesquerías con los marlines, </w:t>
      </w:r>
    </w:p>
    <w:p w14:paraId="5EDAE9E7" w14:textId="77777777" w:rsidR="00056212" w:rsidRPr="00D22D0F" w:rsidRDefault="00056212" w:rsidP="005B417D">
      <w:pPr>
        <w:pStyle w:val="ListParagraph"/>
        <w:numPr>
          <w:ilvl w:val="1"/>
          <w:numId w:val="81"/>
        </w:numPr>
        <w:pBdr>
          <w:top w:val="nil"/>
          <w:left w:val="nil"/>
          <w:bottom w:val="nil"/>
          <w:right w:val="nil"/>
          <w:between w:val="nil"/>
        </w:pBdr>
        <w:ind w:left="1134" w:right="-1"/>
        <w:jc w:val="both"/>
        <w:rPr>
          <w:rFonts w:ascii="Cambria" w:hAnsi="Cambria"/>
          <w:sz w:val="20"/>
          <w:szCs w:val="20"/>
          <w:u w:val="single"/>
        </w:rPr>
      </w:pPr>
      <w:r w:rsidRPr="00D22D0F">
        <w:rPr>
          <w:rFonts w:ascii="Cambria" w:hAnsi="Cambria"/>
          <w:sz w:val="20"/>
          <w:szCs w:val="20"/>
          <w:u w:val="single"/>
        </w:rPr>
        <w:t xml:space="preserve">la importancia de los marlines para sus comunidades costeras, </w:t>
      </w:r>
    </w:p>
    <w:p w14:paraId="0F4C3509" w14:textId="77777777" w:rsidR="00056212" w:rsidRPr="00D22D0F" w:rsidRDefault="00056212" w:rsidP="005B417D">
      <w:pPr>
        <w:pStyle w:val="ListParagraph"/>
        <w:numPr>
          <w:ilvl w:val="1"/>
          <w:numId w:val="81"/>
        </w:numPr>
        <w:pBdr>
          <w:top w:val="nil"/>
          <w:left w:val="nil"/>
          <w:bottom w:val="nil"/>
          <w:right w:val="nil"/>
          <w:between w:val="nil"/>
        </w:pBdr>
        <w:ind w:left="1134" w:right="-1"/>
        <w:jc w:val="both"/>
        <w:rPr>
          <w:rFonts w:ascii="Cambria" w:hAnsi="Cambria"/>
          <w:sz w:val="20"/>
          <w:szCs w:val="20"/>
          <w:u w:val="single"/>
        </w:rPr>
      </w:pPr>
      <w:r w:rsidRPr="00D22D0F">
        <w:rPr>
          <w:rFonts w:ascii="Cambria" w:hAnsi="Cambria"/>
          <w:sz w:val="20"/>
          <w:szCs w:val="20"/>
          <w:u w:val="single"/>
        </w:rPr>
        <w:t xml:space="preserve">el mercado de destino de los productos derivados del marlín, </w:t>
      </w:r>
    </w:p>
    <w:p w14:paraId="799B663E" w14:textId="77777777" w:rsidR="00056212" w:rsidRPr="00D22D0F" w:rsidRDefault="00056212" w:rsidP="005B417D">
      <w:pPr>
        <w:pStyle w:val="ListParagraph"/>
        <w:numPr>
          <w:ilvl w:val="1"/>
          <w:numId w:val="81"/>
        </w:numPr>
        <w:pBdr>
          <w:top w:val="nil"/>
          <w:left w:val="nil"/>
          <w:bottom w:val="nil"/>
          <w:right w:val="nil"/>
          <w:between w:val="nil"/>
        </w:pBdr>
        <w:ind w:left="1134" w:right="-1"/>
        <w:jc w:val="both"/>
        <w:rPr>
          <w:rFonts w:ascii="Cambria" w:hAnsi="Cambria"/>
          <w:sz w:val="20"/>
          <w:szCs w:val="20"/>
          <w:u w:val="single"/>
        </w:rPr>
      </w:pPr>
      <w:r w:rsidRPr="00D22D0F">
        <w:rPr>
          <w:rFonts w:ascii="Cambria" w:hAnsi="Cambria"/>
          <w:sz w:val="20"/>
          <w:szCs w:val="20"/>
          <w:u w:val="single"/>
        </w:rPr>
        <w:t xml:space="preserve">sus dificultades para implementar el marco actual y </w:t>
      </w:r>
    </w:p>
    <w:p w14:paraId="59AE5FC5" w14:textId="77777777" w:rsidR="00056212" w:rsidRPr="00D22D0F" w:rsidRDefault="00056212" w:rsidP="005B417D">
      <w:pPr>
        <w:pStyle w:val="ListParagraph"/>
        <w:numPr>
          <w:ilvl w:val="1"/>
          <w:numId w:val="81"/>
        </w:numPr>
        <w:pBdr>
          <w:top w:val="nil"/>
          <w:left w:val="nil"/>
          <w:bottom w:val="nil"/>
          <w:right w:val="nil"/>
          <w:between w:val="nil"/>
        </w:pBdr>
        <w:ind w:left="1134" w:right="-1"/>
        <w:jc w:val="both"/>
        <w:rPr>
          <w:rFonts w:ascii="Cambria" w:hAnsi="Cambria"/>
          <w:sz w:val="20"/>
          <w:szCs w:val="20"/>
          <w:u w:val="single"/>
        </w:rPr>
      </w:pPr>
      <w:r w:rsidRPr="00D22D0F">
        <w:rPr>
          <w:rFonts w:ascii="Cambria" w:hAnsi="Cambria"/>
          <w:sz w:val="20"/>
          <w:szCs w:val="20"/>
          <w:u w:val="single"/>
        </w:rPr>
        <w:t>sus compromisos para mejorar el cumplimiento y la recopilación de datos.</w:t>
      </w:r>
    </w:p>
    <w:p w14:paraId="119CDD2A" w14:textId="77777777" w:rsidR="00056212" w:rsidRPr="00D22D0F" w:rsidRDefault="00056212" w:rsidP="00056212">
      <w:pPr>
        <w:jc w:val="both"/>
        <w:rPr>
          <w:rFonts w:ascii="Cambria" w:hAnsi="Cambria"/>
          <w:sz w:val="20"/>
          <w:szCs w:val="20"/>
          <w:u w:val="single"/>
        </w:rPr>
      </w:pPr>
    </w:p>
    <w:p w14:paraId="7823792A" w14:textId="77777777" w:rsidR="00D22D0F" w:rsidRPr="00D22D0F" w:rsidRDefault="00D22D0F" w:rsidP="00ED2B7F">
      <w:pPr>
        <w:pStyle w:val="ListParagraph"/>
        <w:numPr>
          <w:ilvl w:val="0"/>
          <w:numId w:val="81"/>
        </w:numPr>
        <w:pBdr>
          <w:top w:val="nil"/>
          <w:left w:val="nil"/>
          <w:bottom w:val="nil"/>
          <w:right w:val="nil"/>
          <w:between w:val="nil"/>
        </w:pBdr>
        <w:ind w:left="426" w:right="-1" w:hanging="426"/>
        <w:jc w:val="both"/>
        <w:rPr>
          <w:rFonts w:ascii="Cambria" w:hAnsi="Cambria"/>
          <w:sz w:val="20"/>
          <w:szCs w:val="20"/>
          <w:u w:val="single"/>
        </w:rPr>
      </w:pPr>
      <w:r w:rsidRPr="00ED2B7F">
        <w:rPr>
          <w:rFonts w:ascii="Cambria" w:hAnsi="Cambria"/>
          <w:sz w:val="20"/>
          <w:szCs w:val="20"/>
          <w:u w:val="single"/>
        </w:rPr>
        <w:t xml:space="preserve">La Recomendación 19-05 se modificará de la siguiente manera: </w:t>
      </w:r>
    </w:p>
    <w:p w14:paraId="03EC3197" w14:textId="77777777" w:rsidR="00D22D0F" w:rsidRPr="00D22D0F" w:rsidRDefault="00D22D0F" w:rsidP="00D22D0F">
      <w:pPr>
        <w:pStyle w:val="ListParagraph"/>
        <w:jc w:val="both"/>
        <w:rPr>
          <w:rFonts w:ascii="Cambria" w:hAnsi="Cambria"/>
          <w:sz w:val="20"/>
          <w:szCs w:val="20"/>
          <w:u w:val="single"/>
        </w:rPr>
      </w:pPr>
    </w:p>
    <w:p w14:paraId="1737133F" w14:textId="77777777" w:rsidR="00D22D0F" w:rsidRPr="00D22D0F" w:rsidRDefault="00D22D0F" w:rsidP="00CF15E4">
      <w:pPr>
        <w:pStyle w:val="ListParagraph"/>
        <w:numPr>
          <w:ilvl w:val="1"/>
          <w:numId w:val="81"/>
        </w:numPr>
        <w:pBdr>
          <w:top w:val="nil"/>
          <w:left w:val="nil"/>
          <w:bottom w:val="nil"/>
          <w:right w:val="nil"/>
          <w:between w:val="nil"/>
        </w:pBdr>
        <w:ind w:left="993" w:right="-1" w:hanging="219"/>
        <w:jc w:val="both"/>
        <w:rPr>
          <w:rFonts w:ascii="Cambria" w:hAnsi="Cambria"/>
          <w:sz w:val="20"/>
          <w:szCs w:val="20"/>
          <w:u w:val="single"/>
        </w:rPr>
      </w:pPr>
      <w:r w:rsidRPr="00CF15E4">
        <w:rPr>
          <w:rFonts w:ascii="Cambria" w:hAnsi="Cambria"/>
          <w:sz w:val="20"/>
          <w:szCs w:val="20"/>
          <w:u w:val="single"/>
        </w:rPr>
        <w:t>Se añadirá el párrafo 8 bis siguiente:</w:t>
      </w:r>
    </w:p>
    <w:p w14:paraId="36EA23DD" w14:textId="77777777" w:rsidR="00D22D0F" w:rsidRPr="00D22D0F" w:rsidRDefault="00D22D0F" w:rsidP="00D22D0F">
      <w:pPr>
        <w:jc w:val="both"/>
        <w:rPr>
          <w:rFonts w:ascii="Cambria" w:hAnsi="Cambria"/>
          <w:sz w:val="20"/>
          <w:szCs w:val="20"/>
          <w:u w:val="single"/>
        </w:rPr>
      </w:pPr>
    </w:p>
    <w:p w14:paraId="4F6EB62B" w14:textId="77777777" w:rsidR="00D22D0F" w:rsidRPr="00D22D0F" w:rsidRDefault="00D22D0F" w:rsidP="00D22D0F">
      <w:pPr>
        <w:ind w:left="720"/>
        <w:jc w:val="both"/>
        <w:rPr>
          <w:rFonts w:ascii="Cambria" w:hAnsi="Cambria"/>
          <w:sz w:val="20"/>
          <w:szCs w:val="20"/>
          <w:u w:val="single"/>
        </w:rPr>
      </w:pPr>
      <w:r w:rsidRPr="00D22D0F">
        <w:rPr>
          <w:rFonts w:ascii="Cambria" w:hAnsi="Cambria"/>
          <w:sz w:val="20"/>
          <w:u w:val="single"/>
        </w:rPr>
        <w:t>Cuando una CPC alcance su límite de desembarque, se descartarán todas las capturas de aguja azul y aguja blanca/marlín peto.</w:t>
      </w:r>
    </w:p>
    <w:p w14:paraId="654F6423" w14:textId="77777777" w:rsidR="00D22D0F" w:rsidRPr="00D22D0F" w:rsidRDefault="00D22D0F" w:rsidP="00D22D0F">
      <w:pPr>
        <w:ind w:left="720"/>
        <w:jc w:val="both"/>
        <w:rPr>
          <w:rFonts w:ascii="Cambria" w:hAnsi="Cambria"/>
          <w:sz w:val="20"/>
          <w:szCs w:val="20"/>
          <w:u w:val="single"/>
        </w:rPr>
      </w:pPr>
    </w:p>
    <w:p w14:paraId="31C18EB9" w14:textId="77777777" w:rsidR="00D22D0F" w:rsidRPr="00D22D0F" w:rsidRDefault="00D22D0F" w:rsidP="004C79DA">
      <w:pPr>
        <w:pStyle w:val="ListParagraph"/>
        <w:numPr>
          <w:ilvl w:val="1"/>
          <w:numId w:val="81"/>
        </w:numPr>
        <w:pBdr>
          <w:top w:val="nil"/>
          <w:left w:val="nil"/>
          <w:bottom w:val="nil"/>
          <w:right w:val="nil"/>
          <w:between w:val="nil"/>
        </w:pBdr>
        <w:ind w:left="993" w:right="-1" w:hanging="219"/>
        <w:jc w:val="both"/>
        <w:rPr>
          <w:rFonts w:ascii="Cambria" w:hAnsi="Cambria"/>
          <w:sz w:val="20"/>
          <w:szCs w:val="20"/>
          <w:u w:val="single"/>
        </w:rPr>
      </w:pPr>
      <w:r w:rsidRPr="00D22D0F">
        <w:rPr>
          <w:rFonts w:ascii="Cambria" w:hAnsi="Cambria"/>
          <w:sz w:val="20"/>
          <w:u w:val="single"/>
        </w:rPr>
        <w:t xml:space="preserve">El </w:t>
      </w:r>
      <w:r w:rsidRPr="004C79DA">
        <w:rPr>
          <w:rFonts w:ascii="Cambria" w:hAnsi="Cambria"/>
          <w:sz w:val="20"/>
          <w:szCs w:val="20"/>
          <w:u w:val="single"/>
        </w:rPr>
        <w:t>párrafo</w:t>
      </w:r>
      <w:r w:rsidRPr="00D22D0F">
        <w:rPr>
          <w:rFonts w:ascii="Cambria" w:hAnsi="Cambria"/>
          <w:sz w:val="20"/>
          <w:u w:val="single"/>
        </w:rPr>
        <w:t xml:space="preserve"> 9 se modificará de la siguiente manera: </w:t>
      </w:r>
    </w:p>
    <w:p w14:paraId="698D1A48" w14:textId="77777777" w:rsidR="00D22D0F" w:rsidRPr="00D22D0F" w:rsidRDefault="00D22D0F" w:rsidP="00D22D0F">
      <w:pPr>
        <w:jc w:val="both"/>
        <w:rPr>
          <w:rFonts w:ascii="Cambria" w:hAnsi="Cambria"/>
          <w:sz w:val="20"/>
          <w:szCs w:val="20"/>
          <w:u w:val="single"/>
        </w:rPr>
      </w:pPr>
    </w:p>
    <w:p w14:paraId="33DFF5BE" w14:textId="3B3AD3E0" w:rsidR="00CE1EEF" w:rsidRPr="0060077F" w:rsidRDefault="00D22D0F" w:rsidP="00282A8A">
      <w:pPr>
        <w:ind w:left="720"/>
        <w:jc w:val="both"/>
        <w:rPr>
          <w:rFonts w:ascii="Cambria" w:hAnsi="Cambria"/>
          <w:strike/>
          <w:color w:val="000000"/>
          <w:sz w:val="20"/>
          <w:szCs w:val="20"/>
          <w:u w:val="single"/>
        </w:rPr>
      </w:pPr>
      <w:r w:rsidRPr="00D22D0F">
        <w:rPr>
          <w:rFonts w:ascii="Cambria" w:hAnsi="Cambria"/>
          <w:sz w:val="20"/>
          <w:u w:val="single"/>
        </w:rPr>
        <w:t>No obstante lo dispuesto en el párrafo 8 bis), los desembarques de ejemplares de aguja azul y aguja blanca/marlín peto que estén muertos al acercarlos al costado del buque y que no sean vendidos ni objeto de comercio no se descontarán de los límites establecidos en el párrafo 2, con la condición de que la prohibición de descartes muertos se comunique a la Secretaría de ICCAT y se explique claramente en sus Informes anuales. Esta disposición se aplicará únicamente a las pesquerías comerciales.</w:t>
      </w:r>
    </w:p>
    <w:sectPr w:rsidR="00CE1EEF" w:rsidRPr="0060077F"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8F28" w14:textId="77777777" w:rsidR="00A6124A" w:rsidRDefault="00A6124A" w:rsidP="00B04ABF">
      <w:r>
        <w:separator/>
      </w:r>
    </w:p>
  </w:endnote>
  <w:endnote w:type="continuationSeparator" w:id="0">
    <w:p w14:paraId="5533D02C" w14:textId="77777777" w:rsidR="00A6124A" w:rsidRDefault="00A6124A" w:rsidP="00B04ABF">
      <w:r>
        <w:continuationSeparator/>
      </w:r>
    </w:p>
  </w:endnote>
  <w:endnote w:type="continuationNotice" w:id="1">
    <w:p w14:paraId="2DE4236D" w14:textId="77777777" w:rsidR="00A6124A" w:rsidRDefault="00A61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rPr>
      <w:fldChar w:fldCharType="begin"/>
    </w:r>
    <w:r w:rsidRPr="00D54E50">
      <w:rPr>
        <w:rFonts w:ascii="Cambria" w:eastAsia="Calibri" w:hAnsi="Cambria" w:cs="Calibri"/>
        <w:sz w:val="20"/>
      </w:rPr>
      <w:instrText xml:space="preserve"> PAGE </w:instrText>
    </w:r>
    <w:r w:rsidRPr="00D54E50">
      <w:rPr>
        <w:rFonts w:ascii="Cambria" w:eastAsia="Calibri" w:hAnsi="Cambria" w:cs="Calibri"/>
        <w:sz w:val="20"/>
      </w:rPr>
      <w:fldChar w:fldCharType="separate"/>
    </w:r>
    <w:r w:rsidRPr="00D54E50">
      <w:rPr>
        <w:rFonts w:eastAsia="Calibri" w:cs="Calibri"/>
        <w:sz w:val="20"/>
      </w:rPr>
      <w:t>1</w:t>
    </w:r>
    <w:r w:rsidRPr="00D54E50">
      <w:rPr>
        <w:rFonts w:ascii="Cambria" w:eastAsia="Calibri" w:hAnsi="Cambria" w:cs="Calibri"/>
        <w:sz w:val="20"/>
      </w:rPr>
      <w:fldChar w:fldCharType="end"/>
    </w:r>
    <w:r>
      <w:rPr>
        <w:rFonts w:ascii="Cambria" w:hAnsi="Cambria"/>
        <w:sz w:val="20"/>
      </w:rPr>
      <w:t xml:space="preserve"> / </w:t>
    </w:r>
    <w:r w:rsidRPr="00D54E50">
      <w:rPr>
        <w:rFonts w:ascii="Cambria" w:eastAsia="Calibri" w:hAnsi="Cambria" w:cs="Calibri"/>
        <w:sz w:val="20"/>
      </w:rPr>
      <w:fldChar w:fldCharType="begin"/>
    </w:r>
    <w:r w:rsidRPr="00D54E50">
      <w:rPr>
        <w:rFonts w:ascii="Cambria" w:eastAsia="Calibri" w:hAnsi="Cambria" w:cs="Calibri"/>
        <w:sz w:val="20"/>
      </w:rPr>
      <w:instrText xml:space="preserve"> NUMPAGES  </w:instrText>
    </w:r>
    <w:r w:rsidRPr="00D54E50">
      <w:rPr>
        <w:rFonts w:ascii="Cambria" w:eastAsia="Calibri" w:hAnsi="Cambria" w:cs="Calibri"/>
        <w:sz w:val="20"/>
      </w:rPr>
      <w:fldChar w:fldCharType="separate"/>
    </w:r>
    <w:r w:rsidRPr="00D54E50">
      <w:rPr>
        <w:rFonts w:eastAsia="Calibri" w:cs="Calibri"/>
        <w:sz w:val="20"/>
      </w:rPr>
      <w:t>5</w:t>
    </w:r>
    <w:r w:rsidRPr="00D54E5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BEF3" w14:textId="77777777" w:rsidR="00A6124A" w:rsidRDefault="00A6124A" w:rsidP="00B04ABF">
      <w:r>
        <w:separator/>
      </w:r>
    </w:p>
  </w:footnote>
  <w:footnote w:type="continuationSeparator" w:id="0">
    <w:p w14:paraId="4641B316" w14:textId="77777777" w:rsidR="00A6124A" w:rsidRDefault="00A6124A" w:rsidP="00B04ABF">
      <w:r>
        <w:continuationSeparator/>
      </w:r>
    </w:p>
  </w:footnote>
  <w:footnote w:type="continuationNotice" w:id="1">
    <w:p w14:paraId="0FABDD61" w14:textId="77777777" w:rsidR="00A6124A" w:rsidRDefault="00A61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1DE11D67"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PA4_809</w:t>
    </w:r>
    <w:r w:rsidR="00056212">
      <w:rPr>
        <w:rFonts w:ascii="Cambria" w:hAnsi="Cambria"/>
        <w:b/>
        <w:sz w:val="20"/>
      </w:rPr>
      <w:t>B</w:t>
    </w:r>
    <w:r w:rsidR="00477EC3">
      <w:rPr>
        <w:rFonts w:ascii="Cambria" w:hAnsi="Cambria"/>
        <w:b/>
        <w:sz w:val="20"/>
      </w:rPr>
      <w:t>_REV_1</w:t>
    </w:r>
    <w:r w:rsidR="00F81278">
      <w:rPr>
        <w:rFonts w:ascii="Cambria" w:hAnsi="Cambria"/>
        <w:b/>
        <w:sz w:val="20"/>
      </w:rPr>
      <w:t xml:space="preserve"> </w:t>
    </w:r>
    <w:r>
      <w:rPr>
        <w:rFonts w:ascii="Cambria" w:hAnsi="Cambria"/>
        <w:b/>
        <w:sz w:val="20"/>
      </w:rPr>
      <w:t>/2025</w:t>
    </w:r>
  </w:p>
  <w:p w14:paraId="238C2105" w14:textId="49E6A282" w:rsidR="009F3158" w:rsidRPr="008636AC" w:rsidRDefault="005A6763" w:rsidP="003D6E71">
    <w:pPr>
      <w:tabs>
        <w:tab w:val="left" w:pos="7320"/>
      </w:tabs>
      <w:spacing w:line="240" w:lineRule="exact"/>
      <w:jc w:val="right"/>
      <w:rPr>
        <w:rFonts w:ascii="Cambria" w:hAnsi="Cambria"/>
      </w:rPr>
    </w:pPr>
    <w:r w:rsidRPr="008636AC">
      <w:rPr>
        <w:rFonts w:ascii="Cambria" w:hAnsi="Cambria"/>
        <w:b/>
        <w:sz w:val="16"/>
      </w:rPr>
      <w:fldChar w:fldCharType="begin"/>
    </w:r>
    <w:r w:rsidRPr="008636AC">
      <w:rPr>
        <w:rFonts w:ascii="Cambria" w:hAnsi="Cambria"/>
        <w:b/>
        <w:sz w:val="16"/>
      </w:rPr>
      <w:instrText xml:space="preserve"> TIME \@ "dd/MM/yyyy H:mm" </w:instrText>
    </w:r>
    <w:r w:rsidRPr="008636AC">
      <w:rPr>
        <w:rFonts w:ascii="Cambria" w:hAnsi="Cambria"/>
        <w:b/>
        <w:sz w:val="16"/>
      </w:rPr>
      <w:fldChar w:fldCharType="separate"/>
    </w:r>
    <w:r w:rsidR="003B3564">
      <w:rPr>
        <w:rFonts w:ascii="Cambria" w:hAnsi="Cambria"/>
        <w:b/>
        <w:noProof/>
        <w:sz w:val="16"/>
      </w:rPr>
      <w:t>24/11/2025 15:20</w:t>
    </w:r>
    <w:r w:rsidRPr="008636AC">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302C26"/>
    <w:multiLevelType w:val="hybridMultilevel"/>
    <w:tmpl w:val="F7CE5618"/>
    <w:lvl w:ilvl="0" w:tplc="DD6E5DF4">
      <w:start w:val="24"/>
      <w:numFmt w:val="decimal"/>
      <w:lvlText w:val="%1."/>
      <w:lvlJc w:val="left"/>
      <w:pPr>
        <w:ind w:left="499" w:hanging="36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10"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1"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1FAE0F59"/>
    <w:multiLevelType w:val="hybridMultilevel"/>
    <w:tmpl w:val="C4127A1A"/>
    <w:lvl w:ilvl="0" w:tplc="77E2B78C">
      <w:start w:val="5"/>
      <w:numFmt w:val="decimal"/>
      <w:lvlText w:val="%1."/>
      <w:lvlJc w:val="left"/>
      <w:pPr>
        <w:ind w:left="360" w:hanging="360"/>
      </w:pPr>
      <w:rPr>
        <w:rFonts w:hint="default"/>
        <w:sz w:val="20"/>
        <w:szCs w:val="20"/>
      </w:rPr>
    </w:lvl>
    <w:lvl w:ilvl="1" w:tplc="04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4"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8"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0"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3E05121"/>
    <w:multiLevelType w:val="hybridMultilevel"/>
    <w:tmpl w:val="AFC0C760"/>
    <w:lvl w:ilvl="0" w:tplc="0809000F">
      <w:start w:val="1"/>
      <w:numFmt w:val="decimal"/>
      <w:lvlText w:val="%1."/>
      <w:lvlJc w:val="left"/>
      <w:pPr>
        <w:ind w:left="720" w:hanging="360"/>
      </w:pPr>
      <w:rPr>
        <w:rFonts w:hint="default"/>
      </w:rPr>
    </w:lvl>
    <w:lvl w:ilvl="1" w:tplc="04090017">
      <w:start w:val="1"/>
      <w:numFmt w:val="lowerLetter"/>
      <w:lvlText w:val="%2)"/>
      <w:lvlJc w:val="left"/>
      <w:pPr>
        <w:ind w:left="108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8"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7"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8"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9"/>
  </w:num>
  <w:num w:numId="3" w16cid:durableId="2025352953">
    <w:abstractNumId w:val="41"/>
  </w:num>
  <w:num w:numId="4" w16cid:durableId="792600567">
    <w:abstractNumId w:val="16"/>
  </w:num>
  <w:num w:numId="5" w16cid:durableId="1219853814">
    <w:abstractNumId w:val="12"/>
  </w:num>
  <w:num w:numId="6" w16cid:durableId="1846819065">
    <w:abstractNumId w:val="73"/>
  </w:num>
  <w:num w:numId="7" w16cid:durableId="170529768">
    <w:abstractNumId w:val="42"/>
  </w:num>
  <w:num w:numId="8" w16cid:durableId="1692026762">
    <w:abstractNumId w:val="24"/>
  </w:num>
  <w:num w:numId="9" w16cid:durableId="1941403741">
    <w:abstractNumId w:val="77"/>
  </w:num>
  <w:num w:numId="10" w16cid:durableId="1006707152">
    <w:abstractNumId w:val="15"/>
  </w:num>
  <w:num w:numId="11" w16cid:durableId="1852525975">
    <w:abstractNumId w:val="76"/>
  </w:num>
  <w:num w:numId="12" w16cid:durableId="829559329">
    <w:abstractNumId w:val="27"/>
  </w:num>
  <w:num w:numId="13" w16cid:durableId="1865559472">
    <w:abstractNumId w:val="10"/>
  </w:num>
  <w:num w:numId="14" w16cid:durableId="1155268771">
    <w:abstractNumId w:val="58"/>
  </w:num>
  <w:num w:numId="15" w16cid:durableId="1605648123">
    <w:abstractNumId w:val="50"/>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2"/>
  </w:num>
  <w:num w:numId="18" w16cid:durableId="1317682502">
    <w:abstractNumId w:val="23"/>
  </w:num>
  <w:num w:numId="19" w16cid:durableId="367805100">
    <w:abstractNumId w:val="67"/>
  </w:num>
  <w:num w:numId="20" w16cid:durableId="797188977">
    <w:abstractNumId w:val="37"/>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59"/>
  </w:num>
  <w:num w:numId="26" w16cid:durableId="1476484610">
    <w:abstractNumId w:val="33"/>
  </w:num>
  <w:num w:numId="27" w16cid:durableId="417601067">
    <w:abstractNumId w:val="20"/>
  </w:num>
  <w:num w:numId="28" w16cid:durableId="1583099527">
    <w:abstractNumId w:val="51"/>
  </w:num>
  <w:num w:numId="29" w16cid:durableId="681593372">
    <w:abstractNumId w:val="25"/>
  </w:num>
  <w:num w:numId="30" w16cid:durableId="799687631">
    <w:abstractNumId w:val="72"/>
  </w:num>
  <w:num w:numId="31" w16cid:durableId="2042507945">
    <w:abstractNumId w:val="19"/>
  </w:num>
  <w:num w:numId="32" w16cid:durableId="610089870">
    <w:abstractNumId w:val="74"/>
  </w:num>
  <w:num w:numId="33" w16cid:durableId="1310087951">
    <w:abstractNumId w:val="49"/>
  </w:num>
  <w:num w:numId="34" w16cid:durableId="731972081">
    <w:abstractNumId w:val="47"/>
  </w:num>
  <w:num w:numId="35" w16cid:durableId="689918160">
    <w:abstractNumId w:val="75"/>
  </w:num>
  <w:num w:numId="36" w16cid:durableId="633099348">
    <w:abstractNumId w:val="38"/>
  </w:num>
  <w:num w:numId="37" w16cid:durableId="1266383075">
    <w:abstractNumId w:val="8"/>
  </w:num>
  <w:num w:numId="38" w16cid:durableId="1663729173">
    <w:abstractNumId w:val="29"/>
  </w:num>
  <w:num w:numId="39" w16cid:durableId="6174053">
    <w:abstractNumId w:val="14"/>
  </w:num>
  <w:num w:numId="40" w16cid:durableId="1932085501">
    <w:abstractNumId w:val="61"/>
  </w:num>
  <w:num w:numId="41" w16cid:durableId="1521116965">
    <w:abstractNumId w:val="44"/>
  </w:num>
  <w:num w:numId="42" w16cid:durableId="525023193">
    <w:abstractNumId w:val="17"/>
  </w:num>
  <w:num w:numId="43" w16cid:durableId="1555048036">
    <w:abstractNumId w:val="79"/>
  </w:num>
  <w:num w:numId="44" w16cid:durableId="335692929">
    <w:abstractNumId w:val="63"/>
  </w:num>
  <w:num w:numId="45" w16cid:durableId="402029993">
    <w:abstractNumId w:val="62"/>
  </w:num>
  <w:num w:numId="46" w16cid:durableId="1065445922">
    <w:abstractNumId w:val="40"/>
  </w:num>
  <w:num w:numId="47" w16cid:durableId="1575503890">
    <w:abstractNumId w:val="71"/>
  </w:num>
  <w:num w:numId="48" w16cid:durableId="2041472423">
    <w:abstractNumId w:val="57"/>
  </w:num>
  <w:num w:numId="49" w16cid:durableId="929461252">
    <w:abstractNumId w:val="28"/>
  </w:num>
  <w:num w:numId="50" w16cid:durableId="1282110345">
    <w:abstractNumId w:val="35"/>
  </w:num>
  <w:num w:numId="51" w16cid:durableId="243029192">
    <w:abstractNumId w:val="54"/>
  </w:num>
  <w:num w:numId="52" w16cid:durableId="1893223454">
    <w:abstractNumId w:val="30"/>
  </w:num>
  <w:num w:numId="53" w16cid:durableId="1863543520">
    <w:abstractNumId w:val="22"/>
  </w:num>
  <w:num w:numId="54" w16cid:durableId="2020617827">
    <w:abstractNumId w:val="56"/>
  </w:num>
  <w:num w:numId="55" w16cid:durableId="1876187619">
    <w:abstractNumId w:val="70"/>
  </w:num>
  <w:num w:numId="56" w16cid:durableId="1275212633">
    <w:abstractNumId w:val="53"/>
  </w:num>
  <w:num w:numId="57" w16cid:durableId="2055888112">
    <w:abstractNumId w:val="7"/>
  </w:num>
  <w:num w:numId="58" w16cid:durableId="2022118113">
    <w:abstractNumId w:val="36"/>
  </w:num>
  <w:num w:numId="59" w16cid:durableId="1052734424">
    <w:abstractNumId w:val="45"/>
  </w:num>
  <w:num w:numId="60" w16cid:durableId="1991515401">
    <w:abstractNumId w:val="43"/>
  </w:num>
  <w:num w:numId="61" w16cid:durableId="24642098">
    <w:abstractNumId w:val="48"/>
  </w:num>
  <w:num w:numId="62" w16cid:durableId="412245517">
    <w:abstractNumId w:val="11"/>
  </w:num>
  <w:num w:numId="63" w16cid:durableId="1758862714">
    <w:abstractNumId w:val="78"/>
  </w:num>
  <w:num w:numId="64" w16cid:durableId="528956769">
    <w:abstractNumId w:val="68"/>
  </w:num>
  <w:num w:numId="65" w16cid:durableId="1695495323">
    <w:abstractNumId w:val="31"/>
  </w:num>
  <w:num w:numId="66" w16cid:durableId="1186090573">
    <w:abstractNumId w:val="66"/>
  </w:num>
  <w:num w:numId="67" w16cid:durableId="167524825">
    <w:abstractNumId w:val="34"/>
  </w:num>
  <w:num w:numId="68" w16cid:durableId="65156960">
    <w:abstractNumId w:val="69"/>
  </w:num>
  <w:num w:numId="69" w16cid:durableId="1081022206">
    <w:abstractNumId w:val="13"/>
  </w:num>
  <w:num w:numId="70" w16cid:durableId="1141920459">
    <w:abstractNumId w:val="52"/>
  </w:num>
  <w:num w:numId="71" w16cid:durableId="2105950968">
    <w:abstractNumId w:val="60"/>
  </w:num>
  <w:num w:numId="72" w16cid:durableId="710960283">
    <w:abstractNumId w:val="46"/>
  </w:num>
  <w:num w:numId="73" w16cid:durableId="390075725">
    <w:abstractNumId w:val="26"/>
  </w:num>
  <w:num w:numId="74" w16cid:durableId="11585751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8"/>
  </w:num>
  <w:num w:numId="76" w16cid:durableId="324090005">
    <w:abstractNumId w:val="65"/>
  </w:num>
  <w:num w:numId="77" w16cid:durableId="557547134">
    <w:abstractNumId w:val="21"/>
  </w:num>
  <w:num w:numId="78" w16cid:durableId="1760247469">
    <w:abstractNumId w:val="55"/>
  </w:num>
  <w:num w:numId="79" w16cid:durableId="207256425">
    <w:abstractNumId w:val="5"/>
  </w:num>
  <w:num w:numId="80" w16cid:durableId="48116047">
    <w:abstractNumId w:val="9"/>
  </w:num>
  <w:num w:numId="81" w16cid:durableId="404454633">
    <w:abstractNumId w:val="64"/>
  </w:num>
  <w:num w:numId="82" w16cid:durableId="11998531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4773"/>
    <w:rsid w:val="000058FD"/>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941"/>
    <w:rsid w:val="00037EB9"/>
    <w:rsid w:val="00040A09"/>
    <w:rsid w:val="00040EB4"/>
    <w:rsid w:val="00041C2F"/>
    <w:rsid w:val="00041FBB"/>
    <w:rsid w:val="00042134"/>
    <w:rsid w:val="000429DE"/>
    <w:rsid w:val="00043503"/>
    <w:rsid w:val="00043A3C"/>
    <w:rsid w:val="000443BF"/>
    <w:rsid w:val="00045B4C"/>
    <w:rsid w:val="00045E07"/>
    <w:rsid w:val="000462B5"/>
    <w:rsid w:val="00046E52"/>
    <w:rsid w:val="000475D2"/>
    <w:rsid w:val="000508D5"/>
    <w:rsid w:val="00051985"/>
    <w:rsid w:val="00051A58"/>
    <w:rsid w:val="00051E74"/>
    <w:rsid w:val="0005269F"/>
    <w:rsid w:val="000529A5"/>
    <w:rsid w:val="000529F7"/>
    <w:rsid w:val="00053274"/>
    <w:rsid w:val="000533B9"/>
    <w:rsid w:val="00056212"/>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A08"/>
    <w:rsid w:val="000730B3"/>
    <w:rsid w:val="00073243"/>
    <w:rsid w:val="000733E4"/>
    <w:rsid w:val="00073442"/>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A26"/>
    <w:rsid w:val="00093C53"/>
    <w:rsid w:val="0009481E"/>
    <w:rsid w:val="000953F1"/>
    <w:rsid w:val="000961A6"/>
    <w:rsid w:val="00096393"/>
    <w:rsid w:val="0009642C"/>
    <w:rsid w:val="0009642F"/>
    <w:rsid w:val="00097AA2"/>
    <w:rsid w:val="000A0440"/>
    <w:rsid w:val="000A0FCA"/>
    <w:rsid w:val="000A10BC"/>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4818"/>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3210"/>
    <w:rsid w:val="001337FF"/>
    <w:rsid w:val="00135B1A"/>
    <w:rsid w:val="00140394"/>
    <w:rsid w:val="00140849"/>
    <w:rsid w:val="00140C87"/>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D0"/>
    <w:rsid w:val="00154DE8"/>
    <w:rsid w:val="00155647"/>
    <w:rsid w:val="00155F3A"/>
    <w:rsid w:val="00156D98"/>
    <w:rsid w:val="001577C3"/>
    <w:rsid w:val="00157C8F"/>
    <w:rsid w:val="001607B9"/>
    <w:rsid w:val="00161902"/>
    <w:rsid w:val="00161AD3"/>
    <w:rsid w:val="00162880"/>
    <w:rsid w:val="00164220"/>
    <w:rsid w:val="001646BD"/>
    <w:rsid w:val="00165F93"/>
    <w:rsid w:val="0016676D"/>
    <w:rsid w:val="00167B9E"/>
    <w:rsid w:val="00167D8F"/>
    <w:rsid w:val="00167D9C"/>
    <w:rsid w:val="00170F92"/>
    <w:rsid w:val="00170FD2"/>
    <w:rsid w:val="00171760"/>
    <w:rsid w:val="00173352"/>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3A70"/>
    <w:rsid w:val="001942D9"/>
    <w:rsid w:val="00194728"/>
    <w:rsid w:val="0019603E"/>
    <w:rsid w:val="001964E6"/>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0D7"/>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2A8A"/>
    <w:rsid w:val="00283782"/>
    <w:rsid w:val="002840FD"/>
    <w:rsid w:val="00285BC8"/>
    <w:rsid w:val="002861CC"/>
    <w:rsid w:val="002865A2"/>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386"/>
    <w:rsid w:val="002B188C"/>
    <w:rsid w:val="002B2342"/>
    <w:rsid w:val="002B2DFB"/>
    <w:rsid w:val="002B33EE"/>
    <w:rsid w:val="002B4AF9"/>
    <w:rsid w:val="002B5F01"/>
    <w:rsid w:val="002B673A"/>
    <w:rsid w:val="002B6A7F"/>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70"/>
    <w:rsid w:val="002E6D85"/>
    <w:rsid w:val="002E6E51"/>
    <w:rsid w:val="002E7CE4"/>
    <w:rsid w:val="002F2016"/>
    <w:rsid w:val="002F23EB"/>
    <w:rsid w:val="002F33DA"/>
    <w:rsid w:val="002F33F6"/>
    <w:rsid w:val="002F3805"/>
    <w:rsid w:val="002F4BE7"/>
    <w:rsid w:val="002F56DE"/>
    <w:rsid w:val="002F5835"/>
    <w:rsid w:val="002F66BD"/>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ADA"/>
    <w:rsid w:val="00333D1B"/>
    <w:rsid w:val="0033497B"/>
    <w:rsid w:val="00334B38"/>
    <w:rsid w:val="00340901"/>
    <w:rsid w:val="003415C4"/>
    <w:rsid w:val="00341B66"/>
    <w:rsid w:val="00342CFA"/>
    <w:rsid w:val="003432CA"/>
    <w:rsid w:val="00343C7F"/>
    <w:rsid w:val="003442A4"/>
    <w:rsid w:val="00344838"/>
    <w:rsid w:val="00344F3B"/>
    <w:rsid w:val="003461D6"/>
    <w:rsid w:val="00346EEE"/>
    <w:rsid w:val="00347FD9"/>
    <w:rsid w:val="00350120"/>
    <w:rsid w:val="0035038C"/>
    <w:rsid w:val="0035152C"/>
    <w:rsid w:val="00351C75"/>
    <w:rsid w:val="00351D5B"/>
    <w:rsid w:val="003533FB"/>
    <w:rsid w:val="0035440C"/>
    <w:rsid w:val="00354731"/>
    <w:rsid w:val="00354CC6"/>
    <w:rsid w:val="003558AD"/>
    <w:rsid w:val="00355F5D"/>
    <w:rsid w:val="003565E2"/>
    <w:rsid w:val="003566F0"/>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CC3"/>
    <w:rsid w:val="003B1EB6"/>
    <w:rsid w:val="003B1F76"/>
    <w:rsid w:val="003B2AF4"/>
    <w:rsid w:val="003B2DCE"/>
    <w:rsid w:val="003B3564"/>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7C9"/>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663E"/>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F47"/>
    <w:rsid w:val="00424B9A"/>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4E2F"/>
    <w:rsid w:val="00465688"/>
    <w:rsid w:val="00470539"/>
    <w:rsid w:val="00470C30"/>
    <w:rsid w:val="00471423"/>
    <w:rsid w:val="004724AA"/>
    <w:rsid w:val="00472F98"/>
    <w:rsid w:val="00473753"/>
    <w:rsid w:val="004747CC"/>
    <w:rsid w:val="00474BA5"/>
    <w:rsid w:val="00475F99"/>
    <w:rsid w:val="00477EC3"/>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4E6D"/>
    <w:rsid w:val="004C5A15"/>
    <w:rsid w:val="004C71D2"/>
    <w:rsid w:val="004C774A"/>
    <w:rsid w:val="004C79DA"/>
    <w:rsid w:val="004D0359"/>
    <w:rsid w:val="004D03C7"/>
    <w:rsid w:val="004D15D3"/>
    <w:rsid w:val="004D1B71"/>
    <w:rsid w:val="004D2088"/>
    <w:rsid w:val="004D2C0E"/>
    <w:rsid w:val="004D3029"/>
    <w:rsid w:val="004D3610"/>
    <w:rsid w:val="004D4F1D"/>
    <w:rsid w:val="004D57B2"/>
    <w:rsid w:val="004D6090"/>
    <w:rsid w:val="004D6CB7"/>
    <w:rsid w:val="004D7129"/>
    <w:rsid w:val="004E0AE6"/>
    <w:rsid w:val="004E0BEA"/>
    <w:rsid w:val="004E1447"/>
    <w:rsid w:val="004E360E"/>
    <w:rsid w:val="004E386F"/>
    <w:rsid w:val="004E3A93"/>
    <w:rsid w:val="004E42B8"/>
    <w:rsid w:val="004E4778"/>
    <w:rsid w:val="004E484C"/>
    <w:rsid w:val="004E5BD4"/>
    <w:rsid w:val="004E5C8F"/>
    <w:rsid w:val="004F0105"/>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60C7"/>
    <w:rsid w:val="0050707C"/>
    <w:rsid w:val="00507ED7"/>
    <w:rsid w:val="00510069"/>
    <w:rsid w:val="005100DC"/>
    <w:rsid w:val="00511AC0"/>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6F79"/>
    <w:rsid w:val="005571A9"/>
    <w:rsid w:val="00557DC6"/>
    <w:rsid w:val="005608AB"/>
    <w:rsid w:val="00560FF3"/>
    <w:rsid w:val="00561175"/>
    <w:rsid w:val="00561188"/>
    <w:rsid w:val="0056174B"/>
    <w:rsid w:val="0056196B"/>
    <w:rsid w:val="005624EB"/>
    <w:rsid w:val="005624FC"/>
    <w:rsid w:val="00562ACB"/>
    <w:rsid w:val="0056323A"/>
    <w:rsid w:val="005632D7"/>
    <w:rsid w:val="005641F3"/>
    <w:rsid w:val="005648BF"/>
    <w:rsid w:val="0056576A"/>
    <w:rsid w:val="0056593E"/>
    <w:rsid w:val="00566305"/>
    <w:rsid w:val="00566A06"/>
    <w:rsid w:val="005706BF"/>
    <w:rsid w:val="005709F7"/>
    <w:rsid w:val="00570AF0"/>
    <w:rsid w:val="00570E39"/>
    <w:rsid w:val="0057237B"/>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601"/>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17D"/>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0888"/>
    <w:rsid w:val="005E1E59"/>
    <w:rsid w:val="005E2FEC"/>
    <w:rsid w:val="005E3756"/>
    <w:rsid w:val="005E37DE"/>
    <w:rsid w:val="005E43E6"/>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077F"/>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6B28"/>
    <w:rsid w:val="006277F8"/>
    <w:rsid w:val="00630CD8"/>
    <w:rsid w:val="00631392"/>
    <w:rsid w:val="00631507"/>
    <w:rsid w:val="00631F89"/>
    <w:rsid w:val="006331F5"/>
    <w:rsid w:val="0063360A"/>
    <w:rsid w:val="006338CA"/>
    <w:rsid w:val="00633DBC"/>
    <w:rsid w:val="006340E5"/>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722"/>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3FDE"/>
    <w:rsid w:val="006D4503"/>
    <w:rsid w:val="006D4FF3"/>
    <w:rsid w:val="006D5085"/>
    <w:rsid w:val="006D7D4D"/>
    <w:rsid w:val="006E014B"/>
    <w:rsid w:val="006E125F"/>
    <w:rsid w:val="006E19C7"/>
    <w:rsid w:val="006E19D9"/>
    <w:rsid w:val="006E1E61"/>
    <w:rsid w:val="006E40CF"/>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067ED"/>
    <w:rsid w:val="00710BF9"/>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E6F"/>
    <w:rsid w:val="007461BA"/>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344"/>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3BD9"/>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35D0"/>
    <w:rsid w:val="007E3855"/>
    <w:rsid w:val="007E38FB"/>
    <w:rsid w:val="007E3A67"/>
    <w:rsid w:val="007E3C79"/>
    <w:rsid w:val="007E3CFE"/>
    <w:rsid w:val="007E4F55"/>
    <w:rsid w:val="007E4F8F"/>
    <w:rsid w:val="007E54D1"/>
    <w:rsid w:val="007E6A62"/>
    <w:rsid w:val="007E7216"/>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009"/>
    <w:rsid w:val="007F41EA"/>
    <w:rsid w:val="007F4E4A"/>
    <w:rsid w:val="007F5040"/>
    <w:rsid w:val="007F5BD5"/>
    <w:rsid w:val="007F6519"/>
    <w:rsid w:val="007F674A"/>
    <w:rsid w:val="007F6D03"/>
    <w:rsid w:val="007F7E90"/>
    <w:rsid w:val="007F7F17"/>
    <w:rsid w:val="007F7F50"/>
    <w:rsid w:val="0080042D"/>
    <w:rsid w:val="00800CFF"/>
    <w:rsid w:val="008010B3"/>
    <w:rsid w:val="008018DB"/>
    <w:rsid w:val="008035D9"/>
    <w:rsid w:val="00803B0D"/>
    <w:rsid w:val="008108FE"/>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0AF2"/>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EC6"/>
    <w:rsid w:val="008B7B2F"/>
    <w:rsid w:val="008B7E15"/>
    <w:rsid w:val="008C18C5"/>
    <w:rsid w:val="008C27AD"/>
    <w:rsid w:val="008C284C"/>
    <w:rsid w:val="008C2E28"/>
    <w:rsid w:val="008C37CD"/>
    <w:rsid w:val="008C38F4"/>
    <w:rsid w:val="008C4958"/>
    <w:rsid w:val="008C7D08"/>
    <w:rsid w:val="008D1365"/>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B50"/>
    <w:rsid w:val="009276DF"/>
    <w:rsid w:val="00927E5B"/>
    <w:rsid w:val="0093071A"/>
    <w:rsid w:val="009321CB"/>
    <w:rsid w:val="009327EF"/>
    <w:rsid w:val="00933CF8"/>
    <w:rsid w:val="0093452C"/>
    <w:rsid w:val="00934DF4"/>
    <w:rsid w:val="00935CD7"/>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03B"/>
    <w:rsid w:val="00953F51"/>
    <w:rsid w:val="009540A0"/>
    <w:rsid w:val="00954135"/>
    <w:rsid w:val="00954333"/>
    <w:rsid w:val="009543B5"/>
    <w:rsid w:val="00954895"/>
    <w:rsid w:val="00955389"/>
    <w:rsid w:val="00955A14"/>
    <w:rsid w:val="00955C11"/>
    <w:rsid w:val="00957159"/>
    <w:rsid w:val="009578FA"/>
    <w:rsid w:val="0096030F"/>
    <w:rsid w:val="0096098E"/>
    <w:rsid w:val="00960B47"/>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405"/>
    <w:rsid w:val="009829EF"/>
    <w:rsid w:val="00984602"/>
    <w:rsid w:val="00987187"/>
    <w:rsid w:val="0098784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321"/>
    <w:rsid w:val="009C38E3"/>
    <w:rsid w:val="009C43CD"/>
    <w:rsid w:val="009C49DA"/>
    <w:rsid w:val="009C4DB2"/>
    <w:rsid w:val="009C503C"/>
    <w:rsid w:val="009C5345"/>
    <w:rsid w:val="009C5444"/>
    <w:rsid w:val="009C6025"/>
    <w:rsid w:val="009C6397"/>
    <w:rsid w:val="009C6CF0"/>
    <w:rsid w:val="009D1A19"/>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17A"/>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0DB3"/>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28F"/>
    <w:rsid w:val="00AE43FF"/>
    <w:rsid w:val="00AE49DC"/>
    <w:rsid w:val="00AE4D99"/>
    <w:rsid w:val="00AE4E0C"/>
    <w:rsid w:val="00AE4EC4"/>
    <w:rsid w:val="00AE4F5F"/>
    <w:rsid w:val="00AE50B4"/>
    <w:rsid w:val="00AE5355"/>
    <w:rsid w:val="00AE5554"/>
    <w:rsid w:val="00AE60CF"/>
    <w:rsid w:val="00AE6B89"/>
    <w:rsid w:val="00AE6D94"/>
    <w:rsid w:val="00AF0CE8"/>
    <w:rsid w:val="00AF0D12"/>
    <w:rsid w:val="00AF2749"/>
    <w:rsid w:val="00AF47DD"/>
    <w:rsid w:val="00AF755A"/>
    <w:rsid w:val="00B00EB9"/>
    <w:rsid w:val="00B00EF4"/>
    <w:rsid w:val="00B01008"/>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271B"/>
    <w:rsid w:val="00B23107"/>
    <w:rsid w:val="00B248BB"/>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6300"/>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4E7F"/>
    <w:rsid w:val="00C05C0F"/>
    <w:rsid w:val="00C06332"/>
    <w:rsid w:val="00C06508"/>
    <w:rsid w:val="00C06C59"/>
    <w:rsid w:val="00C06EEA"/>
    <w:rsid w:val="00C07178"/>
    <w:rsid w:val="00C07366"/>
    <w:rsid w:val="00C0750F"/>
    <w:rsid w:val="00C07DF2"/>
    <w:rsid w:val="00C07ECA"/>
    <w:rsid w:val="00C1046A"/>
    <w:rsid w:val="00C11C6F"/>
    <w:rsid w:val="00C11FAC"/>
    <w:rsid w:val="00C12396"/>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25C1"/>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74F"/>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5E4"/>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6106"/>
    <w:rsid w:val="00D07CF7"/>
    <w:rsid w:val="00D10D89"/>
    <w:rsid w:val="00D11544"/>
    <w:rsid w:val="00D1223A"/>
    <w:rsid w:val="00D13306"/>
    <w:rsid w:val="00D13FC9"/>
    <w:rsid w:val="00D14554"/>
    <w:rsid w:val="00D14B4D"/>
    <w:rsid w:val="00D17597"/>
    <w:rsid w:val="00D209EE"/>
    <w:rsid w:val="00D20AD1"/>
    <w:rsid w:val="00D22D0F"/>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E17"/>
    <w:rsid w:val="00D328FB"/>
    <w:rsid w:val="00D330AB"/>
    <w:rsid w:val="00D33DF0"/>
    <w:rsid w:val="00D33E38"/>
    <w:rsid w:val="00D34099"/>
    <w:rsid w:val="00D357C6"/>
    <w:rsid w:val="00D36860"/>
    <w:rsid w:val="00D36AB9"/>
    <w:rsid w:val="00D37082"/>
    <w:rsid w:val="00D37E70"/>
    <w:rsid w:val="00D40229"/>
    <w:rsid w:val="00D404B2"/>
    <w:rsid w:val="00D418FA"/>
    <w:rsid w:val="00D419A2"/>
    <w:rsid w:val="00D419DD"/>
    <w:rsid w:val="00D424F2"/>
    <w:rsid w:val="00D42FDD"/>
    <w:rsid w:val="00D430FB"/>
    <w:rsid w:val="00D448EE"/>
    <w:rsid w:val="00D46BC1"/>
    <w:rsid w:val="00D506EE"/>
    <w:rsid w:val="00D50ED4"/>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4B7B"/>
    <w:rsid w:val="00DB5317"/>
    <w:rsid w:val="00DB6297"/>
    <w:rsid w:val="00DB6AB8"/>
    <w:rsid w:val="00DC02B4"/>
    <w:rsid w:val="00DC0B24"/>
    <w:rsid w:val="00DC17F0"/>
    <w:rsid w:val="00DC240D"/>
    <w:rsid w:val="00DC25A9"/>
    <w:rsid w:val="00DC2A5E"/>
    <w:rsid w:val="00DC415A"/>
    <w:rsid w:val="00DC45F2"/>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264"/>
    <w:rsid w:val="00DE7B8A"/>
    <w:rsid w:val="00DF07A4"/>
    <w:rsid w:val="00DF10C1"/>
    <w:rsid w:val="00DF2033"/>
    <w:rsid w:val="00DF383D"/>
    <w:rsid w:val="00DF3B6F"/>
    <w:rsid w:val="00DF4068"/>
    <w:rsid w:val="00DF4466"/>
    <w:rsid w:val="00DF468E"/>
    <w:rsid w:val="00DF5758"/>
    <w:rsid w:val="00DF5955"/>
    <w:rsid w:val="00DF5B95"/>
    <w:rsid w:val="00DF5EF3"/>
    <w:rsid w:val="00DF614F"/>
    <w:rsid w:val="00DF73C0"/>
    <w:rsid w:val="00DF7CF0"/>
    <w:rsid w:val="00DF7F64"/>
    <w:rsid w:val="00E000D9"/>
    <w:rsid w:val="00E00828"/>
    <w:rsid w:val="00E00C96"/>
    <w:rsid w:val="00E015F6"/>
    <w:rsid w:val="00E0300E"/>
    <w:rsid w:val="00E03C11"/>
    <w:rsid w:val="00E04B2F"/>
    <w:rsid w:val="00E0522C"/>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C66"/>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135"/>
    <w:rsid w:val="00E30630"/>
    <w:rsid w:val="00E30C2B"/>
    <w:rsid w:val="00E313A2"/>
    <w:rsid w:val="00E31CAC"/>
    <w:rsid w:val="00E31E73"/>
    <w:rsid w:val="00E321C0"/>
    <w:rsid w:val="00E321F8"/>
    <w:rsid w:val="00E328AB"/>
    <w:rsid w:val="00E32F75"/>
    <w:rsid w:val="00E33033"/>
    <w:rsid w:val="00E331A2"/>
    <w:rsid w:val="00E338CA"/>
    <w:rsid w:val="00E339CC"/>
    <w:rsid w:val="00E33ED1"/>
    <w:rsid w:val="00E3424F"/>
    <w:rsid w:val="00E34991"/>
    <w:rsid w:val="00E34F3B"/>
    <w:rsid w:val="00E35363"/>
    <w:rsid w:val="00E3597F"/>
    <w:rsid w:val="00E3601B"/>
    <w:rsid w:val="00E365FA"/>
    <w:rsid w:val="00E37656"/>
    <w:rsid w:val="00E400D7"/>
    <w:rsid w:val="00E415E7"/>
    <w:rsid w:val="00E4213A"/>
    <w:rsid w:val="00E4215B"/>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57C38"/>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7032"/>
    <w:rsid w:val="00E77238"/>
    <w:rsid w:val="00E77BE8"/>
    <w:rsid w:val="00E8034F"/>
    <w:rsid w:val="00E80E1A"/>
    <w:rsid w:val="00E81417"/>
    <w:rsid w:val="00E82931"/>
    <w:rsid w:val="00E82AC1"/>
    <w:rsid w:val="00E82BC9"/>
    <w:rsid w:val="00E83563"/>
    <w:rsid w:val="00E83A06"/>
    <w:rsid w:val="00E83FD5"/>
    <w:rsid w:val="00E8497D"/>
    <w:rsid w:val="00E8515A"/>
    <w:rsid w:val="00E859BF"/>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1FE"/>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2B7F"/>
    <w:rsid w:val="00ED4AB9"/>
    <w:rsid w:val="00ED4E96"/>
    <w:rsid w:val="00ED508C"/>
    <w:rsid w:val="00ED50B0"/>
    <w:rsid w:val="00ED6CE6"/>
    <w:rsid w:val="00ED7FEA"/>
    <w:rsid w:val="00EE011D"/>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32"/>
    <w:rsid w:val="00F079D4"/>
    <w:rsid w:val="00F07FBB"/>
    <w:rsid w:val="00F102BE"/>
    <w:rsid w:val="00F103BA"/>
    <w:rsid w:val="00F105C4"/>
    <w:rsid w:val="00F10C18"/>
    <w:rsid w:val="00F11046"/>
    <w:rsid w:val="00F1118F"/>
    <w:rsid w:val="00F12757"/>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904"/>
    <w:rsid w:val="00F53C62"/>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3E68"/>
    <w:rsid w:val="00F74035"/>
    <w:rsid w:val="00F74511"/>
    <w:rsid w:val="00F7486B"/>
    <w:rsid w:val="00F75076"/>
    <w:rsid w:val="00F75662"/>
    <w:rsid w:val="00F75BDF"/>
    <w:rsid w:val="00F76065"/>
    <w:rsid w:val="00F77006"/>
    <w:rsid w:val="00F7766B"/>
    <w:rsid w:val="00F77928"/>
    <w:rsid w:val="00F77DCF"/>
    <w:rsid w:val="00F77F39"/>
    <w:rsid w:val="00F77F8B"/>
    <w:rsid w:val="00F81278"/>
    <w:rsid w:val="00F81674"/>
    <w:rsid w:val="00F818F9"/>
    <w:rsid w:val="00F83126"/>
    <w:rsid w:val="00F8376D"/>
    <w:rsid w:val="00F83D67"/>
    <w:rsid w:val="00F84EA0"/>
    <w:rsid w:val="00F85B6B"/>
    <w:rsid w:val="00F87D85"/>
    <w:rsid w:val="00F90B90"/>
    <w:rsid w:val="00F91C72"/>
    <w:rsid w:val="00F91E18"/>
    <w:rsid w:val="00F93428"/>
    <w:rsid w:val="00F9390A"/>
    <w:rsid w:val="00F93D63"/>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es-ES"/>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es-ES"/>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es-ES"/>
    </w:rPr>
  </w:style>
  <w:style w:type="paragraph" w:styleId="Revision">
    <w:name w:val="Revision"/>
    <w:hidden/>
    <w:uiPriority w:val="99"/>
    <w:semiHidden/>
    <w:rsid w:val="001B2D47"/>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es-ES"/>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es-ES"/>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es-ES"/>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es-ES"/>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uiPriority w:val="1"/>
    <w:rsid w:val="008B5F62"/>
    <w:rPr>
      <w:lang w:val="es-ES"/>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rPr>
  </w:style>
  <w:style w:type="paragraph" w:customStyle="1" w:styleId="Default">
    <w:name w:val="Default"/>
    <w:rsid w:val="001B2D47"/>
    <w:pPr>
      <w:autoSpaceDE w:val="0"/>
      <w:autoSpaceDN w:val="0"/>
      <w:adjustRightInd w:val="0"/>
    </w:pPr>
    <w:rPr>
      <w:rFonts w:ascii="Cambria" w:hAnsi="Cambria" w:cs="Cambria"/>
      <w:color w:val="000000"/>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rPr>
  </w:style>
  <w:style w:type="character" w:customStyle="1" w:styleId="BodyTextIndentChar">
    <w:name w:val="Body Text Indent Char"/>
    <w:basedOn w:val="DefaultParagraphFont"/>
    <w:uiPriority w:val="99"/>
    <w:rsid w:val="001B2D47"/>
    <w:rPr>
      <w:lang w:val="es-ES"/>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rPr>
  </w:style>
  <w:style w:type="paragraph" w:customStyle="1" w:styleId="level10">
    <w:name w:val="_level1"/>
    <w:basedOn w:val="Normal"/>
    <w:rsid w:val="001B2D47"/>
    <w:rPr>
      <w:rFonts w:ascii="Times New Roman" w:eastAsia="Times New Roman" w:hAnsi="Times New Roman" w:cs="Times New Roman"/>
      <w:sz w:val="20"/>
      <w:szCs w:val="20"/>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es-ES"/>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rPr>
  </w:style>
  <w:style w:type="paragraph" w:styleId="List">
    <w:name w:val="List"/>
    <w:basedOn w:val="Normal"/>
    <w:uiPriority w:val="99"/>
    <w:rsid w:val="001B2D47"/>
    <w:pPr>
      <w:ind w:left="283" w:hanging="283"/>
    </w:pPr>
    <w:rPr>
      <w:rFonts w:ascii="Times New Roman" w:eastAsia="Times New Roman" w:hAnsi="Times New Roman" w:cs="Times New Roman"/>
      <w:sz w:val="20"/>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1B2D47"/>
    <w:pPr>
      <w:spacing w:after="200" w:line="276" w:lineRule="auto"/>
      <w:ind w:left="720"/>
      <w:contextualSpacing/>
    </w:pPr>
    <w:rPr>
      <w:rFonts w:ascii="Calibri" w:eastAsia="Calibri" w:hAnsi="Calibri" w:cs="Times New Roman"/>
      <w:sz w:val="22"/>
      <w:szCs w:val="22"/>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uiPriority w:val="99"/>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rPr>
  </w:style>
  <w:style w:type="character" w:customStyle="1" w:styleId="BodyTextIndentChar1">
    <w:name w:val="Body Text Indent Char1"/>
    <w:basedOn w:val="DefaultParagraphFont"/>
    <w:rsid w:val="009F3158"/>
    <w:rPr>
      <w:i/>
    </w:rPr>
  </w:style>
  <w:style w:type="paragraph" w:customStyle="1" w:styleId="Paragraphedeliste1">
    <w:name w:val="Paragraphe de liste1"/>
    <w:basedOn w:val="Normal"/>
    <w:rsid w:val="001B2D47"/>
    <w:pPr>
      <w:spacing w:after="200" w:line="276" w:lineRule="auto"/>
      <w:ind w:left="720"/>
    </w:pPr>
    <w:rPr>
      <w:rFonts w:ascii="Calibri" w:eastAsia="Times New Roman" w:hAnsi="Calibri" w:cs="Times New Roman"/>
      <w:sz w:val="22"/>
      <w:szCs w:val="22"/>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es-ES"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es-ES"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es-ES"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es-ES"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es-ES"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es-ES"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es-ES"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es-ES"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es-ES"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es-ES"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eastAsia="fr-FR"/>
    </w:rPr>
  </w:style>
  <w:style w:type="table" w:customStyle="1" w:styleId="TableauNorm11">
    <w:name w:val="Tableau Norm1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es-ES"/>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es-ES"/>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es-ES"/>
    </w:rPr>
  </w:style>
  <w:style w:type="character" w:customStyle="1" w:styleId="Hyperlink3">
    <w:name w:val="Hyperlink.3"/>
    <w:basedOn w:val="None"/>
    <w:rsid w:val="009F3158"/>
    <w:rPr>
      <w:rFonts w:ascii="Cambria" w:eastAsia="Cambria" w:hAnsi="Cambria" w:cs="Cambria"/>
      <w:color w:val="000000"/>
      <w:u w:color="000000"/>
      <w:lang w:val="es-ES"/>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es-ES"/>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es-ES"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es-ES"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es-ES"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es-ES"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es-ES" w:eastAsia="en-US"/>
    </w:rPr>
  </w:style>
  <w:style w:type="character" w:customStyle="1" w:styleId="QuoteChar1">
    <w:name w:val="Quote Char1"/>
    <w:basedOn w:val="DefaultParagraphFont"/>
    <w:uiPriority w:val="29"/>
    <w:rsid w:val="009F3158"/>
    <w:rPr>
      <w:i/>
      <w:iCs/>
      <w:color w:val="404040" w:themeColor="text1" w:themeTint="BF"/>
      <w:sz w:val="24"/>
      <w:szCs w:val="24"/>
      <w:lang w:val="es-ES"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es-ES"/>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AF27-3BCA-40DF-81EB-F1E1233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2025-11-24T12:43:00Z</dcterms:created>
  <dcterms:modified xsi:type="dcterms:W3CDTF">2025-11-24T14:20:00Z</dcterms:modified>
</cp:coreProperties>
</file>