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99D5" w14:textId="77777777" w:rsidR="001715C1" w:rsidRPr="007D0AA6" w:rsidRDefault="001715C1" w:rsidP="001715C1">
      <w:pPr>
        <w:widowControl w:val="0"/>
        <w:autoSpaceDE w:val="0"/>
        <w:autoSpaceDN w:val="0"/>
        <w:spacing w:after="0" w:line="240" w:lineRule="auto"/>
        <w:ind w:left="487" w:right="392"/>
        <w:contextualSpacing/>
        <w:jc w:val="center"/>
        <w:rPr>
          <w:rFonts w:ascii="Cambria" w:eastAsia="Cambria" w:hAnsi="Cambria" w:cs="Cambria"/>
          <w:b/>
          <w:kern w:val="0"/>
          <w:sz w:val="20"/>
          <w:szCs w:val="20"/>
          <w14:ligatures w14:val="none"/>
        </w:rPr>
      </w:pPr>
      <w:r w:rsidRPr="007D0AA6">
        <w:rPr>
          <w:rFonts w:ascii="Cambria" w:eastAsia="Cambria" w:hAnsi="Cambria" w:cs="Cambria"/>
          <w:b/>
          <w:kern w:val="0"/>
          <w:sz w:val="20"/>
          <w14:ligatures w14:val="none"/>
        </w:rPr>
        <w:t>Page de garde accompagnant les nouvelles propositions</w:t>
      </w:r>
    </w:p>
    <w:p w14:paraId="28D13BF3" w14:textId="77777777" w:rsidR="001715C1" w:rsidRPr="007D0AA6" w:rsidRDefault="001715C1" w:rsidP="001715C1">
      <w:pPr>
        <w:widowControl w:val="0"/>
        <w:autoSpaceDE w:val="0"/>
        <w:autoSpaceDN w:val="0"/>
        <w:spacing w:after="0" w:line="240" w:lineRule="auto"/>
        <w:contextualSpacing/>
        <w:rPr>
          <w:rFonts w:ascii="Cambria" w:eastAsia="Cambria" w:hAnsi="Cambria" w:cs="Cambria"/>
          <w:kern w:val="0"/>
          <w:sz w:val="20"/>
          <w:szCs w:val="20"/>
          <w14:ligatures w14:val="none"/>
        </w:rPr>
      </w:pPr>
    </w:p>
    <w:p w14:paraId="2EF4DE5D" w14:textId="77777777" w:rsidR="00996BF4" w:rsidRPr="007D0AA6" w:rsidRDefault="00996BF4" w:rsidP="00996BF4">
      <w:pPr>
        <w:spacing w:after="0" w:line="240" w:lineRule="auto"/>
        <w:jc w:val="center"/>
        <w:rPr>
          <w:rFonts w:ascii="Cambria" w:eastAsia="Cambria" w:hAnsi="Cambria" w:cs="Cambria"/>
          <w:i/>
          <w:iCs/>
          <w:sz w:val="20"/>
          <w:szCs w:val="20"/>
        </w:rPr>
      </w:pPr>
      <w:r w:rsidRPr="007D0AA6">
        <w:rPr>
          <w:rFonts w:ascii="Cambria" w:hAnsi="Cambria"/>
          <w:i/>
          <w:sz w:val="20"/>
          <w:szCs w:val="20"/>
        </w:rPr>
        <w:t>(Proposition soumise par l’Union européenne)</w:t>
      </w:r>
    </w:p>
    <w:p w14:paraId="52789F04" w14:textId="77777777" w:rsidR="001715C1" w:rsidRPr="007D0AA6" w:rsidRDefault="001715C1" w:rsidP="001715C1">
      <w:pPr>
        <w:widowControl w:val="0"/>
        <w:autoSpaceDE w:val="0"/>
        <w:autoSpaceDN w:val="0"/>
        <w:spacing w:after="0" w:line="240" w:lineRule="auto"/>
        <w:contextualSpacing/>
        <w:jc w:val="both"/>
        <w:rPr>
          <w:rFonts w:ascii="Cambria" w:eastAsia="Cambria" w:hAnsi="Cambria" w:cs="Cambria"/>
          <w:b/>
          <w:i/>
          <w:iCs/>
          <w:kern w:val="0"/>
          <w:sz w:val="20"/>
          <w:szCs w:val="20"/>
          <w14:ligatures w14:val="none"/>
        </w:rPr>
      </w:pPr>
    </w:p>
    <w:p w14:paraId="5BBA7D36" w14:textId="2CABBB16" w:rsidR="001715C1" w:rsidRPr="007D0AA6" w:rsidRDefault="001715C1" w:rsidP="001715C1">
      <w:pPr>
        <w:spacing w:after="0" w:line="240" w:lineRule="auto"/>
        <w:jc w:val="both"/>
        <w:rPr>
          <w:rFonts w:ascii="Cambria" w:eastAsia="Cambria" w:hAnsi="Cambria" w:cs="Cambria"/>
          <w:b/>
          <w:kern w:val="0"/>
          <w:sz w:val="20"/>
          <w14:ligatures w14:val="none"/>
        </w:rPr>
      </w:pPr>
      <w:r w:rsidRPr="007D0AA6">
        <w:rPr>
          <w:rFonts w:ascii="Cambria" w:eastAsia="Cambria" w:hAnsi="Cambria" w:cs="Cambria"/>
          <w:b/>
          <w:kern w:val="0"/>
          <w:sz w:val="20"/>
          <w14:ligatures w14:val="none"/>
        </w:rPr>
        <w:t>Titre de la proposition de projet de Recommandation/Résolution :</w:t>
      </w:r>
      <w:r w:rsidRPr="007D0AA6">
        <w:rPr>
          <w:rFonts w:ascii="Cambria" w:eastAsia="Arial" w:hAnsi="Cambria" w:cs="Arial"/>
          <w:b/>
          <w:i/>
          <w:iCs/>
          <w:kern w:val="0"/>
          <w:sz w:val="20"/>
          <w:szCs w:val="20"/>
          <w14:ligatures w14:val="none"/>
        </w:rPr>
        <w:t xml:space="preserve"> </w:t>
      </w:r>
      <w:r w:rsidRPr="007D0AA6">
        <w:rPr>
          <w:rFonts w:ascii="Cambria" w:hAnsi="Cambria"/>
          <w:color w:val="FF0000"/>
          <w:sz w:val="20"/>
        </w:rPr>
        <w:t>Projet de Recommandation de l'ICCAT concernant la conservation et la gestion des requins capturés en association avec les pêcheries de l’ICCAT</w:t>
      </w:r>
    </w:p>
    <w:p w14:paraId="1C626E8A" w14:textId="77777777" w:rsidR="001715C1" w:rsidRPr="007D0AA6" w:rsidRDefault="001715C1" w:rsidP="001715C1">
      <w:pPr>
        <w:widowControl w:val="0"/>
        <w:autoSpaceDE w:val="0"/>
        <w:autoSpaceDN w:val="0"/>
        <w:spacing w:after="0" w:line="240" w:lineRule="auto"/>
        <w:contextualSpacing/>
        <w:rPr>
          <w:rFonts w:ascii="Cambria" w:eastAsia="Cambria" w:hAnsi="Cambria" w:cs="Cambria"/>
          <w:b/>
          <w:bCs/>
          <w:kern w:val="0"/>
          <w:sz w:val="20"/>
          <w:szCs w:val="20"/>
          <w14:ligatures w14:val="none"/>
        </w:rPr>
      </w:pPr>
    </w:p>
    <w:p w14:paraId="07376985" w14:textId="7153F24A" w:rsidR="001715C1" w:rsidRPr="007D0AA6" w:rsidRDefault="001715C1" w:rsidP="001715C1">
      <w:pPr>
        <w:widowControl w:val="0"/>
        <w:autoSpaceDE w:val="0"/>
        <w:autoSpaceDN w:val="0"/>
        <w:spacing w:after="0" w:line="240" w:lineRule="auto"/>
        <w:contextualSpacing/>
        <w:rPr>
          <w:rFonts w:ascii="Cambria" w:eastAsia="Cambria" w:hAnsi="Cambria" w:cs="Cambria"/>
          <w:b/>
          <w:bCs/>
          <w:kern w:val="0"/>
          <w:sz w:val="20"/>
          <w:szCs w:val="20"/>
          <w14:ligatures w14:val="none"/>
        </w:rPr>
      </w:pPr>
      <w:r w:rsidRPr="007D0AA6">
        <w:rPr>
          <w:rFonts w:ascii="Cambria" w:eastAsia="Cambria" w:hAnsi="Cambria" w:cs="Cambria"/>
          <w:b/>
          <w:kern w:val="0"/>
          <w:sz w:val="20"/>
          <w14:ligatures w14:val="none"/>
        </w:rPr>
        <w:t>Titre de la ou des Recommandations ou Résolutions en vigueur traitant des mêmes questions ou de questions connexes :</w:t>
      </w:r>
      <w:r w:rsidR="003C702A" w:rsidRPr="007D0AA6">
        <w:rPr>
          <w:rFonts w:ascii="Cambria" w:eastAsia="Cambria" w:hAnsi="Cambria" w:cs="Cambria"/>
          <w:b/>
          <w:kern w:val="0"/>
          <w:sz w:val="20"/>
          <w14:ligatures w14:val="none"/>
        </w:rPr>
        <w:t xml:space="preserve"> </w:t>
      </w:r>
      <w:r w:rsidR="003C702A" w:rsidRPr="007D0AA6">
        <w:rPr>
          <w:rFonts w:ascii="Cambria" w:eastAsia="Cambria" w:hAnsi="Cambria" w:cs="Cambria"/>
          <w:bCs/>
          <w:color w:val="FF0000"/>
          <w:kern w:val="0"/>
          <w:sz w:val="20"/>
          <w14:ligatures w14:val="none"/>
        </w:rPr>
        <w:t>De nombreuses Recommandations de l’ICCAT.</w:t>
      </w:r>
    </w:p>
    <w:p w14:paraId="73D7CE6F" w14:textId="77777777" w:rsidR="001715C1" w:rsidRPr="007D0AA6" w:rsidRDefault="001715C1" w:rsidP="001715C1">
      <w:pPr>
        <w:widowControl w:val="0"/>
        <w:autoSpaceDE w:val="0"/>
        <w:autoSpaceDN w:val="0"/>
        <w:spacing w:after="0" w:line="240" w:lineRule="auto"/>
        <w:ind w:left="318"/>
        <w:contextualSpacing/>
        <w:rPr>
          <w:rFonts w:ascii="Cambria" w:eastAsia="Cambria" w:hAnsi="Cambria" w:cs="Cambria"/>
          <w:kern w:val="0"/>
          <w:sz w:val="20"/>
          <w:szCs w:val="20"/>
          <w14:ligatures w14:val="none"/>
        </w:rPr>
      </w:pPr>
    </w:p>
    <w:p w14:paraId="39175E3A" w14:textId="6C74341C" w:rsidR="001715C1" w:rsidRPr="007D0AA6" w:rsidRDefault="001715C1" w:rsidP="001715C1">
      <w:pPr>
        <w:widowControl w:val="0"/>
        <w:numPr>
          <w:ilvl w:val="0"/>
          <w:numId w:val="39"/>
        </w:numPr>
        <w:autoSpaceDE w:val="0"/>
        <w:autoSpaceDN w:val="0"/>
        <w:spacing w:after="0" w:line="240" w:lineRule="auto"/>
        <w:ind w:left="360"/>
        <w:contextualSpacing/>
        <w:rPr>
          <w:rFonts w:ascii="Cambria" w:eastAsia="Cambria" w:hAnsi="Cambria" w:cs="Cambria"/>
          <w:kern w:val="0"/>
          <w:sz w:val="20"/>
          <w:szCs w:val="20"/>
          <w14:ligatures w14:val="none"/>
        </w:rPr>
      </w:pPr>
      <w:r w:rsidRPr="007D0AA6">
        <w:rPr>
          <w:rFonts w:ascii="Cambria" w:eastAsia="Cambria" w:hAnsi="Cambria" w:cs="Cambria"/>
          <w:kern w:val="0"/>
          <w:sz w:val="20"/>
          <w14:ligatures w14:val="none"/>
        </w:rPr>
        <w:t xml:space="preserve">Cela crée-t-il de nouvelles </w:t>
      </w:r>
      <w:r w:rsidRPr="007D0AA6">
        <w:rPr>
          <w:rFonts w:ascii="Cambria" w:eastAsia="Cambria" w:hAnsi="Cambria" w:cs="Cambria"/>
          <w:b/>
          <w:kern w:val="0"/>
          <w:sz w:val="20"/>
          <w14:ligatures w14:val="none"/>
        </w:rPr>
        <w:t xml:space="preserve">obligations de déclaration </w:t>
      </w:r>
      <w:r w:rsidRPr="007D0AA6">
        <w:rPr>
          <w:rFonts w:ascii="Cambria" w:eastAsia="Cambria" w:hAnsi="Cambria" w:cs="Cambria"/>
          <w:kern w:val="0"/>
          <w:sz w:val="20"/>
          <w14:ligatures w14:val="none"/>
        </w:rPr>
        <w:t xml:space="preserve">pour les CPC ?     </w:t>
      </w:r>
      <w:r w:rsidRPr="007D0AA6">
        <w:rPr>
          <w:rFonts w:ascii="Cambria" w:eastAsia="Cambria" w:hAnsi="Cambria" w:cs="Cambria"/>
          <w:kern w:val="0"/>
          <w:sz w:val="20"/>
          <w14:ligatures w14:val="none"/>
        </w:rPr>
        <w:tab/>
      </w:r>
      <w:r w:rsidR="00101F02" w:rsidRPr="007D0AA6">
        <w:rPr>
          <w:rFonts w:ascii="Cambria" w:eastAsia="Cambria" w:hAnsi="Cambria" w:cs="Cambria"/>
          <w:kern w:val="0"/>
          <w:sz w:val="20"/>
          <w14:ligatures w14:val="none"/>
        </w:rPr>
        <w:t>Oui</w:t>
      </w:r>
      <w:r w:rsidRPr="007D0AA6">
        <w:rPr>
          <w:rFonts w:ascii="Cambria" w:eastAsia="Cambria" w:hAnsi="Cambria" w:cs="Cambria"/>
          <w:kern w:val="0"/>
          <w:sz w:val="20"/>
          <w14:ligatures w14:val="none"/>
        </w:rPr>
        <w:t xml:space="preserve"> </w:t>
      </w:r>
      <w:r w:rsidRPr="007D0AA6">
        <w:rPr>
          <w:rFonts w:ascii="Wingdings" w:eastAsia="Cambria" w:hAnsi="Wingdings" w:cs="Cambria"/>
          <w:kern w:val="0"/>
          <w:sz w:val="20"/>
          <w14:ligatures w14:val="none"/>
        </w:rPr>
        <w:t>¨</w:t>
      </w:r>
      <w:r w:rsidR="00101F02" w:rsidRPr="007D0AA6">
        <w:rPr>
          <w:rFonts w:ascii="Wingdings" w:eastAsia="Cambria" w:hAnsi="Wingdings" w:cs="Cambria"/>
          <w:kern w:val="0"/>
          <w:sz w:val="20"/>
          <w14:ligatures w14:val="none"/>
        </w:rPr>
        <w:t xml:space="preserve">  </w:t>
      </w:r>
      <w:r w:rsidR="00101F02" w:rsidRPr="007D0AA6">
        <w:rPr>
          <w:rFonts w:ascii="Cambria" w:eastAsia="Cambria" w:hAnsi="Cambria" w:cs="Cambria"/>
          <w:color w:val="FF0000"/>
          <w:kern w:val="0"/>
          <w:sz w:val="20"/>
          <w14:ligatures w14:val="none"/>
        </w:rPr>
        <w:t xml:space="preserve">Non </w:t>
      </w:r>
      <w:sdt>
        <w:sdtPr>
          <w:rPr>
            <w:rFonts w:ascii="Arial" w:eastAsia="Arial" w:hAnsi="Arial" w:cs="Arial"/>
            <w:color w:val="FF0000"/>
            <w:spacing w:val="-3"/>
            <w:kern w:val="0"/>
            <w:sz w:val="18"/>
            <w14:ligatures w14:val="none"/>
          </w:rPr>
          <w:id w:val="-1392577872"/>
          <w14:checkbox>
            <w14:checked w14:val="1"/>
            <w14:checkedState w14:val="2612" w14:font="MS Gothic"/>
            <w14:uncheckedState w14:val="2610" w14:font="MS Gothic"/>
          </w14:checkbox>
        </w:sdtPr>
        <w:sdtContent>
          <w:r w:rsidR="00101F02" w:rsidRPr="007D0AA6">
            <w:rPr>
              <w:rFonts w:ascii="Segoe UI Symbol" w:eastAsia="Arial" w:hAnsi="Segoe UI Symbol" w:cs="Segoe UI Symbol"/>
              <w:color w:val="FF0000"/>
              <w:spacing w:val="-3"/>
              <w:kern w:val="0"/>
              <w:sz w:val="18"/>
              <w14:ligatures w14:val="none"/>
            </w:rPr>
            <w:t>☒</w:t>
          </w:r>
        </w:sdtContent>
      </w:sdt>
    </w:p>
    <w:p w14:paraId="5086B21C" w14:textId="77777777" w:rsidR="001715C1" w:rsidRPr="007D0AA6" w:rsidRDefault="001715C1" w:rsidP="001715C1">
      <w:pPr>
        <w:widowControl w:val="0"/>
        <w:autoSpaceDE w:val="0"/>
        <w:autoSpaceDN w:val="0"/>
        <w:spacing w:after="0" w:line="240" w:lineRule="auto"/>
        <w:contextualSpacing/>
        <w:rPr>
          <w:rFonts w:ascii="Cambria" w:eastAsia="Cambria" w:hAnsi="Cambria" w:cs="Cambria"/>
          <w:kern w:val="0"/>
          <w:sz w:val="20"/>
          <w:szCs w:val="20"/>
          <w14:ligatures w14:val="none"/>
        </w:rPr>
      </w:pPr>
    </w:p>
    <w:p w14:paraId="5A6BAA3F" w14:textId="77777777" w:rsidR="001715C1" w:rsidRPr="007D0AA6" w:rsidRDefault="001715C1" w:rsidP="001715C1">
      <w:pPr>
        <w:widowControl w:val="0"/>
        <w:autoSpaceDE w:val="0"/>
        <w:autoSpaceDN w:val="0"/>
        <w:spacing w:after="0" w:line="240" w:lineRule="auto"/>
        <w:ind w:left="360"/>
        <w:contextualSpacing/>
        <w:rPr>
          <w:rFonts w:ascii="Cambria" w:eastAsia="Cambria" w:hAnsi="Cambria" w:cs="Cambria"/>
          <w:kern w:val="0"/>
          <w:sz w:val="20"/>
          <w:szCs w:val="20"/>
          <w14:ligatures w14:val="none"/>
        </w:rPr>
      </w:pPr>
      <w:r w:rsidRPr="007D0AA6">
        <w:rPr>
          <w:rFonts w:ascii="Cambria" w:eastAsia="Cambria" w:hAnsi="Cambria" w:cs="Cambria"/>
          <w:kern w:val="0"/>
          <w:sz w:val="20"/>
          <w14:ligatures w14:val="none"/>
        </w:rPr>
        <w:t>Brève description de la ou des nouvelle(s) obligation(s) de déclaration :</w:t>
      </w:r>
    </w:p>
    <w:p w14:paraId="6F6F1710" w14:textId="77777777" w:rsidR="001715C1" w:rsidRPr="007D0AA6" w:rsidRDefault="001715C1" w:rsidP="001715C1">
      <w:pPr>
        <w:widowControl w:val="0"/>
        <w:autoSpaceDE w:val="0"/>
        <w:autoSpaceDN w:val="0"/>
        <w:spacing w:after="0" w:line="240" w:lineRule="auto"/>
        <w:contextualSpacing/>
        <w:rPr>
          <w:rFonts w:ascii="Cambria" w:eastAsia="Cambria" w:hAnsi="Cambria" w:cs="Cambria"/>
          <w:kern w:val="0"/>
          <w:sz w:val="20"/>
          <w:szCs w:val="20"/>
          <w14:ligatures w14:val="none"/>
        </w:rPr>
      </w:pPr>
    </w:p>
    <w:p w14:paraId="6325F1D3" w14:textId="77777777" w:rsidR="001715C1" w:rsidRPr="007D0AA6" w:rsidRDefault="001715C1" w:rsidP="001715C1">
      <w:pPr>
        <w:widowControl w:val="0"/>
        <w:autoSpaceDE w:val="0"/>
        <w:autoSpaceDN w:val="0"/>
        <w:spacing w:after="0" w:line="240" w:lineRule="auto"/>
        <w:contextualSpacing/>
        <w:rPr>
          <w:rFonts w:ascii="Cambria" w:eastAsia="Cambria" w:hAnsi="Cambria" w:cs="Cambria"/>
          <w:kern w:val="0"/>
          <w:sz w:val="20"/>
          <w:szCs w:val="20"/>
          <w14:ligatures w14:val="none"/>
        </w:rPr>
      </w:pPr>
    </w:p>
    <w:p w14:paraId="54C4C7C5" w14:textId="2DEEB91A" w:rsidR="00101F02" w:rsidRPr="007D0AA6" w:rsidRDefault="001715C1" w:rsidP="00101F02">
      <w:pPr>
        <w:widowControl w:val="0"/>
        <w:numPr>
          <w:ilvl w:val="0"/>
          <w:numId w:val="39"/>
        </w:numPr>
        <w:autoSpaceDE w:val="0"/>
        <w:autoSpaceDN w:val="0"/>
        <w:spacing w:after="0" w:line="240" w:lineRule="auto"/>
        <w:ind w:left="360"/>
        <w:contextualSpacing/>
        <w:rPr>
          <w:rFonts w:ascii="Cambria" w:eastAsia="Cambria" w:hAnsi="Cambria" w:cs="Cambria"/>
          <w:kern w:val="0"/>
          <w:sz w:val="20"/>
          <w:szCs w:val="20"/>
          <w14:ligatures w14:val="none"/>
        </w:rPr>
      </w:pPr>
      <w:r w:rsidRPr="007D0AA6">
        <w:rPr>
          <w:rFonts w:ascii="Cambria" w:eastAsia="Cambria" w:hAnsi="Cambria" w:cs="Cambria"/>
          <w:kern w:val="0"/>
          <w:sz w:val="20"/>
          <w14:ligatures w14:val="none"/>
        </w:rPr>
        <w:t xml:space="preserve">Cela nécessite-t-il une contribution ou un </w:t>
      </w:r>
      <w:r w:rsidRPr="007D0AA6">
        <w:rPr>
          <w:rFonts w:ascii="Cambria" w:eastAsia="Cambria" w:hAnsi="Cambria" w:cs="Cambria"/>
          <w:b/>
          <w:kern w:val="0"/>
          <w:sz w:val="20"/>
          <w14:ligatures w14:val="none"/>
        </w:rPr>
        <w:t>travail</w:t>
      </w:r>
      <w:r w:rsidRPr="007D0AA6">
        <w:rPr>
          <w:rFonts w:ascii="Cambria" w:eastAsia="Cambria" w:hAnsi="Cambria" w:cs="Cambria"/>
          <w:kern w:val="0"/>
          <w:sz w:val="20"/>
          <w14:ligatures w14:val="none"/>
        </w:rPr>
        <w:t xml:space="preserve"> supplémentaire </w:t>
      </w:r>
      <w:r w:rsidRPr="007D0AA6">
        <w:rPr>
          <w:rFonts w:ascii="Cambria" w:eastAsia="Cambria" w:hAnsi="Cambria" w:cs="Cambria"/>
          <w:b/>
          <w:kern w:val="0"/>
          <w:sz w:val="20"/>
          <w14:ligatures w14:val="none"/>
        </w:rPr>
        <w:t>de la part du SCRS</w:t>
      </w:r>
      <w:r w:rsidRPr="007D0AA6">
        <w:rPr>
          <w:rFonts w:ascii="Cambria" w:eastAsia="Cambria" w:hAnsi="Cambria" w:cs="Cambria"/>
          <w:kern w:val="0"/>
          <w:sz w:val="20"/>
          <w14:ligatures w14:val="none"/>
        </w:rPr>
        <w:t xml:space="preserve"> ? </w:t>
      </w:r>
      <w:r w:rsidR="00101F02" w:rsidRPr="007D0AA6">
        <w:rPr>
          <w:rFonts w:ascii="Cambria" w:eastAsia="Cambria" w:hAnsi="Cambria" w:cs="Cambria"/>
          <w:color w:val="FF0000"/>
          <w:kern w:val="0"/>
          <w:sz w:val="20"/>
          <w14:ligatures w14:val="none"/>
        </w:rPr>
        <w:t xml:space="preserve">Oui </w:t>
      </w:r>
      <w:r w:rsidR="00101F02" w:rsidRPr="007D0AA6">
        <w:rPr>
          <w:rFonts w:ascii="Wingdings" w:eastAsia="Cambria" w:hAnsi="Wingdings" w:cs="Cambria"/>
          <w:color w:val="FF0000"/>
          <w:kern w:val="0"/>
          <w:sz w:val="20"/>
          <w14:ligatures w14:val="none"/>
        </w:rPr>
        <w:t>x</w:t>
      </w:r>
      <w:r w:rsidR="00101F02" w:rsidRPr="007D0AA6">
        <w:rPr>
          <w:rFonts w:ascii="Cambria" w:eastAsia="Cambria" w:hAnsi="Cambria" w:cs="Cambria"/>
          <w:kern w:val="0"/>
          <w:sz w:val="20"/>
          <w14:ligatures w14:val="none"/>
        </w:rPr>
        <w:t xml:space="preserve">   Non </w:t>
      </w:r>
      <w:r w:rsidR="00101F02" w:rsidRPr="007D0AA6">
        <w:rPr>
          <w:rFonts w:ascii="Wingdings" w:eastAsia="Cambria" w:hAnsi="Wingdings" w:cs="Cambria"/>
          <w:kern w:val="0"/>
          <w:sz w:val="20"/>
          <w14:ligatures w14:val="none"/>
        </w:rPr>
        <w:t>¨</w:t>
      </w:r>
    </w:p>
    <w:p w14:paraId="3F10A179" w14:textId="77777777" w:rsidR="001715C1" w:rsidRPr="007D0AA6" w:rsidRDefault="001715C1" w:rsidP="001715C1">
      <w:pPr>
        <w:widowControl w:val="0"/>
        <w:autoSpaceDE w:val="0"/>
        <w:autoSpaceDN w:val="0"/>
        <w:spacing w:after="0" w:line="240" w:lineRule="auto"/>
        <w:ind w:left="360"/>
        <w:contextualSpacing/>
        <w:rPr>
          <w:rFonts w:ascii="Cambria" w:eastAsia="Cambria" w:hAnsi="Cambria" w:cs="Cambria"/>
          <w:kern w:val="0"/>
          <w:sz w:val="20"/>
          <w14:ligatures w14:val="none"/>
        </w:rPr>
      </w:pPr>
    </w:p>
    <w:p w14:paraId="7C0F6649" w14:textId="77777777" w:rsidR="001715C1" w:rsidRPr="007D0AA6" w:rsidRDefault="001715C1" w:rsidP="001715C1">
      <w:pPr>
        <w:widowControl w:val="0"/>
        <w:autoSpaceDE w:val="0"/>
        <w:autoSpaceDN w:val="0"/>
        <w:spacing w:after="0" w:line="240" w:lineRule="auto"/>
        <w:ind w:left="360"/>
        <w:contextualSpacing/>
        <w:rPr>
          <w:rFonts w:ascii="Cambria" w:eastAsia="Cambria" w:hAnsi="Cambria" w:cs="Cambria"/>
          <w:kern w:val="0"/>
          <w:sz w:val="20"/>
          <w:szCs w:val="20"/>
          <w14:ligatures w14:val="none"/>
        </w:rPr>
      </w:pPr>
      <w:r w:rsidRPr="007D0AA6">
        <w:rPr>
          <w:rFonts w:ascii="Cambria" w:eastAsia="Cambria" w:hAnsi="Cambria" w:cs="Cambria"/>
          <w:kern w:val="0"/>
          <w:sz w:val="20"/>
          <w14:ligatures w14:val="none"/>
        </w:rPr>
        <w:t xml:space="preserve">Ce travail est-il déjà inclus dans le plan de travail actuel du SCRS ? Oui </w:t>
      </w:r>
      <w:r w:rsidRPr="007D0AA6">
        <w:rPr>
          <w:rFonts w:ascii="Wingdings" w:eastAsia="Cambria" w:hAnsi="Wingdings" w:cs="Cambria"/>
          <w:kern w:val="0"/>
          <w:sz w:val="20"/>
          <w14:ligatures w14:val="none"/>
        </w:rPr>
        <w:t>¨</w:t>
      </w:r>
      <w:r w:rsidRPr="007D0AA6">
        <w:rPr>
          <w:rFonts w:ascii="Cambria" w:eastAsia="Cambria" w:hAnsi="Cambria" w:cs="Cambria"/>
          <w:kern w:val="0"/>
          <w:sz w:val="20"/>
          <w14:ligatures w14:val="none"/>
        </w:rPr>
        <w:tab/>
      </w:r>
      <w:r w:rsidRPr="007D0AA6">
        <w:rPr>
          <w:rFonts w:ascii="Cambria" w:eastAsia="Cambria" w:hAnsi="Cambria" w:cs="Cambria"/>
          <w:color w:val="FF0000"/>
          <w:kern w:val="0"/>
          <w:sz w:val="20"/>
          <w14:ligatures w14:val="none"/>
        </w:rPr>
        <w:t xml:space="preserve">Non </w:t>
      </w:r>
      <w:r w:rsidRPr="007D0AA6">
        <w:rPr>
          <w:rFonts w:ascii="Wingdings" w:eastAsia="Cambria" w:hAnsi="Wingdings" w:cs="Cambria"/>
          <w:color w:val="FF0000"/>
          <w:kern w:val="0"/>
          <w:sz w:val="20"/>
          <w14:ligatures w14:val="none"/>
        </w:rPr>
        <w:t>x</w:t>
      </w:r>
    </w:p>
    <w:p w14:paraId="75D3FBB9" w14:textId="77777777" w:rsidR="001715C1" w:rsidRPr="007D0AA6" w:rsidRDefault="001715C1" w:rsidP="001715C1">
      <w:pPr>
        <w:widowControl w:val="0"/>
        <w:autoSpaceDE w:val="0"/>
        <w:autoSpaceDN w:val="0"/>
        <w:spacing w:after="0" w:line="240" w:lineRule="auto"/>
        <w:ind w:left="360"/>
        <w:contextualSpacing/>
        <w:rPr>
          <w:rFonts w:ascii="Cambria" w:eastAsia="Cambria" w:hAnsi="Cambria" w:cs="Cambria"/>
          <w:kern w:val="0"/>
          <w:sz w:val="20"/>
          <w:szCs w:val="20"/>
          <w14:ligatures w14:val="none"/>
        </w:rPr>
      </w:pPr>
    </w:p>
    <w:p w14:paraId="4DCAEE12" w14:textId="77777777" w:rsidR="000E2714" w:rsidRPr="007D0AA6" w:rsidRDefault="001715C1" w:rsidP="001715C1">
      <w:pPr>
        <w:widowControl w:val="0"/>
        <w:autoSpaceDE w:val="0"/>
        <w:autoSpaceDN w:val="0"/>
        <w:spacing w:after="0" w:line="240" w:lineRule="auto"/>
        <w:ind w:left="360"/>
        <w:contextualSpacing/>
        <w:jc w:val="both"/>
        <w:rPr>
          <w:rFonts w:ascii="Cambria" w:eastAsia="Cambria" w:hAnsi="Cambria" w:cs="Cambria"/>
          <w:kern w:val="0"/>
          <w:sz w:val="20"/>
          <w14:ligatures w14:val="none"/>
        </w:rPr>
      </w:pPr>
      <w:r w:rsidRPr="007D0AA6">
        <w:rPr>
          <w:rFonts w:ascii="Cambria" w:eastAsia="Cambria" w:hAnsi="Cambria" w:cs="Cambria"/>
          <w:kern w:val="0"/>
          <w:sz w:val="20"/>
          <w14:ligatures w14:val="none"/>
        </w:rPr>
        <w:t>Brève description des nouveaux travaux scientifiques requis (évaluation des stocks, analyse, consultant externe) :</w:t>
      </w:r>
    </w:p>
    <w:p w14:paraId="1BA4447B" w14:textId="77777777" w:rsidR="000E2714" w:rsidRPr="007D0AA6" w:rsidRDefault="000E2714" w:rsidP="001715C1">
      <w:pPr>
        <w:widowControl w:val="0"/>
        <w:autoSpaceDE w:val="0"/>
        <w:autoSpaceDN w:val="0"/>
        <w:spacing w:after="0" w:line="240" w:lineRule="auto"/>
        <w:ind w:left="360"/>
        <w:contextualSpacing/>
        <w:jc w:val="both"/>
        <w:rPr>
          <w:rFonts w:ascii="Cambria" w:eastAsia="Cambria" w:hAnsi="Cambria" w:cs="Cambria"/>
          <w:kern w:val="0"/>
          <w:sz w:val="20"/>
          <w14:ligatures w14:val="none"/>
        </w:rPr>
      </w:pPr>
    </w:p>
    <w:p w14:paraId="606CD620" w14:textId="02F08B16" w:rsidR="001715C1" w:rsidRPr="007D0AA6" w:rsidRDefault="000E2714" w:rsidP="001715C1">
      <w:pPr>
        <w:widowControl w:val="0"/>
        <w:autoSpaceDE w:val="0"/>
        <w:autoSpaceDN w:val="0"/>
        <w:spacing w:after="0" w:line="240" w:lineRule="auto"/>
        <w:ind w:left="360"/>
        <w:contextualSpacing/>
        <w:jc w:val="both"/>
        <w:rPr>
          <w:rFonts w:ascii="Cambria" w:eastAsia="Cambria" w:hAnsi="Cambria" w:cs="Cambria"/>
          <w:color w:val="FF0000"/>
          <w:kern w:val="0"/>
          <w:sz w:val="20"/>
          <w:szCs w:val="20"/>
          <w14:ligatures w14:val="none"/>
        </w:rPr>
      </w:pPr>
      <w:r w:rsidRPr="007D0AA6">
        <w:rPr>
          <w:rFonts w:ascii="Cambria" w:eastAsia="Cambria" w:hAnsi="Cambria" w:cs="Cambria"/>
          <w:color w:val="FF0000"/>
          <w:kern w:val="0"/>
          <w:sz w:val="20"/>
          <w14:ligatures w14:val="none"/>
        </w:rPr>
        <w:t xml:space="preserve">La proposition prévoit </w:t>
      </w:r>
      <w:r w:rsidR="003C702A" w:rsidRPr="007D0AA6">
        <w:rPr>
          <w:rFonts w:ascii="Cambria" w:eastAsia="Cambria" w:hAnsi="Cambria" w:cs="Cambria"/>
          <w:color w:val="FF0000"/>
          <w:kern w:val="0"/>
          <w:sz w:val="20"/>
          <w14:ligatures w14:val="none"/>
        </w:rPr>
        <w:t>d’inclure une tâche selon laquelle</w:t>
      </w:r>
      <w:r w:rsidRPr="007D0AA6">
        <w:rPr>
          <w:rFonts w:ascii="Cambria" w:eastAsia="Cambria" w:hAnsi="Cambria" w:cs="Cambria"/>
          <w:color w:val="FF0000"/>
          <w:kern w:val="0"/>
          <w:sz w:val="20"/>
          <w14:ligatures w14:val="none"/>
        </w:rPr>
        <w:t xml:space="preserve"> SCRS conseille</w:t>
      </w:r>
      <w:r w:rsidR="003C702A" w:rsidRPr="007D0AA6">
        <w:rPr>
          <w:rFonts w:ascii="Cambria" w:eastAsia="Cambria" w:hAnsi="Cambria" w:cs="Cambria"/>
          <w:color w:val="FF0000"/>
          <w:kern w:val="0"/>
          <w:sz w:val="20"/>
          <w14:ligatures w14:val="none"/>
        </w:rPr>
        <w:t>ra</w:t>
      </w:r>
      <w:r w:rsidRPr="007D0AA6">
        <w:rPr>
          <w:rFonts w:ascii="Cambria" w:eastAsia="Cambria" w:hAnsi="Cambria" w:cs="Cambria"/>
          <w:color w:val="FF0000"/>
          <w:kern w:val="0"/>
          <w:sz w:val="20"/>
          <w14:ligatures w14:val="none"/>
        </w:rPr>
        <w:t xml:space="preserve"> la Commission sur l'extension de certaines dispositions à certaines espèces de requins, qui ne relèvent actuellement pas de son champ d’application.</w:t>
      </w:r>
    </w:p>
    <w:p w14:paraId="4A5F7572" w14:textId="77777777" w:rsidR="001715C1" w:rsidRPr="007D0AA6" w:rsidRDefault="001715C1" w:rsidP="001715C1">
      <w:pPr>
        <w:widowControl w:val="0"/>
        <w:autoSpaceDE w:val="0"/>
        <w:autoSpaceDN w:val="0"/>
        <w:spacing w:after="0" w:line="240" w:lineRule="auto"/>
        <w:ind w:left="318"/>
        <w:contextualSpacing/>
        <w:rPr>
          <w:rFonts w:ascii="Cambria" w:eastAsia="Cambria" w:hAnsi="Cambria" w:cs="Cambria"/>
          <w:kern w:val="0"/>
          <w:sz w:val="20"/>
          <w:szCs w:val="20"/>
          <w14:ligatures w14:val="none"/>
        </w:rPr>
      </w:pPr>
    </w:p>
    <w:p w14:paraId="4B297EDD" w14:textId="77777777" w:rsidR="001715C1" w:rsidRPr="007D0AA6" w:rsidRDefault="001715C1" w:rsidP="001715C1">
      <w:pPr>
        <w:widowControl w:val="0"/>
        <w:numPr>
          <w:ilvl w:val="0"/>
          <w:numId w:val="39"/>
        </w:numPr>
        <w:autoSpaceDE w:val="0"/>
        <w:autoSpaceDN w:val="0"/>
        <w:spacing w:after="0" w:line="240" w:lineRule="auto"/>
        <w:ind w:left="360"/>
        <w:contextualSpacing/>
        <w:rPr>
          <w:rFonts w:ascii="Cambria" w:eastAsia="Cambria" w:hAnsi="Cambria" w:cs="Cambria"/>
          <w:kern w:val="0"/>
          <w:sz w:val="20"/>
          <w:szCs w:val="20"/>
          <w14:ligatures w14:val="none"/>
        </w:rPr>
      </w:pPr>
      <w:r w:rsidRPr="007D0AA6">
        <w:rPr>
          <w:rFonts w:ascii="Cambria" w:eastAsia="Cambria" w:hAnsi="Cambria" w:cs="Cambria"/>
          <w:kern w:val="0"/>
          <w:sz w:val="20"/>
          <w14:ligatures w14:val="none"/>
        </w:rPr>
        <w:t xml:space="preserve">Cela implique-t-il la création d'un </w:t>
      </w:r>
      <w:r w:rsidRPr="007D0AA6">
        <w:rPr>
          <w:rFonts w:ascii="Cambria" w:eastAsia="Cambria" w:hAnsi="Cambria" w:cs="Cambria"/>
          <w:b/>
          <w:kern w:val="0"/>
          <w:sz w:val="20"/>
          <w14:ligatures w14:val="none"/>
        </w:rPr>
        <w:t xml:space="preserve">nouveau groupe de travail ou d'un processus intersessions </w:t>
      </w:r>
      <w:r w:rsidRPr="007D0AA6">
        <w:rPr>
          <w:rFonts w:ascii="Cambria" w:eastAsia="Cambria" w:hAnsi="Cambria" w:cs="Cambria"/>
          <w:kern w:val="0"/>
          <w:sz w:val="20"/>
          <w14:ligatures w14:val="none"/>
        </w:rPr>
        <w:t xml:space="preserve">?    </w:t>
      </w:r>
    </w:p>
    <w:p w14:paraId="11F4C612" w14:textId="77777777" w:rsidR="001715C1" w:rsidRPr="007D0AA6" w:rsidRDefault="001715C1" w:rsidP="001715C1">
      <w:pPr>
        <w:widowControl w:val="0"/>
        <w:autoSpaceDE w:val="0"/>
        <w:autoSpaceDN w:val="0"/>
        <w:spacing w:after="0" w:line="240" w:lineRule="auto"/>
        <w:ind w:left="360"/>
        <w:contextualSpacing/>
        <w:rPr>
          <w:rFonts w:ascii="Cambria" w:eastAsia="Cambria" w:hAnsi="Cambria" w:cs="Cambria"/>
          <w:kern w:val="0"/>
          <w:sz w:val="20"/>
          <w14:ligatures w14:val="none"/>
        </w:rPr>
      </w:pPr>
    </w:p>
    <w:p w14:paraId="765F5596" w14:textId="77777777" w:rsidR="001715C1" w:rsidRPr="007D0AA6" w:rsidRDefault="001715C1" w:rsidP="001715C1">
      <w:pPr>
        <w:widowControl w:val="0"/>
        <w:autoSpaceDE w:val="0"/>
        <w:autoSpaceDN w:val="0"/>
        <w:spacing w:after="0" w:line="240" w:lineRule="auto"/>
        <w:ind w:left="360"/>
        <w:contextualSpacing/>
        <w:rPr>
          <w:rFonts w:ascii="Cambria" w:eastAsia="Cambria" w:hAnsi="Cambria" w:cs="Cambria"/>
          <w:color w:val="FF0000"/>
          <w:kern w:val="0"/>
          <w:sz w:val="20"/>
          <w:szCs w:val="20"/>
          <w14:ligatures w14:val="none"/>
        </w:rPr>
      </w:pPr>
      <w:r w:rsidRPr="007D0AA6">
        <w:rPr>
          <w:rFonts w:ascii="Cambria" w:eastAsia="Cambria" w:hAnsi="Cambria" w:cs="Cambria"/>
          <w:kern w:val="0"/>
          <w:sz w:val="20"/>
          <w14:ligatures w14:val="none"/>
        </w:rPr>
        <w:t xml:space="preserve">Oui </w:t>
      </w:r>
      <w:r w:rsidRPr="007D0AA6">
        <w:rPr>
          <w:rFonts w:ascii="Wingdings" w:eastAsia="Cambria" w:hAnsi="Wingdings" w:cs="Cambria"/>
          <w:kern w:val="0"/>
          <w:sz w:val="20"/>
          <w14:ligatures w14:val="none"/>
        </w:rPr>
        <w:t>¨</w:t>
      </w:r>
      <w:r w:rsidRPr="007D0AA6">
        <w:rPr>
          <w:rFonts w:ascii="Cambria" w:eastAsia="Cambria" w:hAnsi="Cambria" w:cs="Cambria"/>
          <w:kern w:val="0"/>
          <w:sz w:val="20"/>
          <w14:ligatures w14:val="none"/>
        </w:rPr>
        <w:t xml:space="preserve">      </w:t>
      </w:r>
      <w:r w:rsidRPr="007D0AA6">
        <w:rPr>
          <w:rFonts w:ascii="Cambria" w:eastAsia="Cambria" w:hAnsi="Cambria" w:cs="Cambria"/>
          <w:color w:val="FF0000"/>
          <w:kern w:val="0"/>
          <w:sz w:val="20"/>
          <w14:ligatures w14:val="none"/>
        </w:rPr>
        <w:t xml:space="preserve">Non </w:t>
      </w:r>
      <w:r w:rsidRPr="007D0AA6">
        <w:rPr>
          <w:rFonts w:ascii="Wingdings" w:eastAsia="Cambria" w:hAnsi="Wingdings" w:cs="Cambria"/>
          <w:color w:val="FF0000"/>
          <w:kern w:val="0"/>
          <w:sz w:val="20"/>
          <w14:ligatures w14:val="none"/>
        </w:rPr>
        <w:t>x</w:t>
      </w:r>
    </w:p>
    <w:p w14:paraId="42634C69" w14:textId="77777777" w:rsidR="001715C1" w:rsidRPr="007D0AA6" w:rsidRDefault="001715C1" w:rsidP="001715C1">
      <w:pPr>
        <w:widowControl w:val="0"/>
        <w:autoSpaceDE w:val="0"/>
        <w:autoSpaceDN w:val="0"/>
        <w:spacing w:after="0" w:line="240" w:lineRule="auto"/>
        <w:ind w:left="318"/>
        <w:contextualSpacing/>
        <w:rPr>
          <w:rFonts w:ascii="Cambria" w:eastAsia="Cambria" w:hAnsi="Cambria" w:cs="Cambria"/>
          <w:kern w:val="0"/>
          <w:sz w:val="20"/>
          <w:szCs w:val="20"/>
          <w14:ligatures w14:val="none"/>
        </w:rPr>
      </w:pPr>
    </w:p>
    <w:p w14:paraId="767727CA" w14:textId="77777777" w:rsidR="001715C1" w:rsidRPr="007D0AA6" w:rsidRDefault="001715C1" w:rsidP="001715C1">
      <w:pPr>
        <w:widowControl w:val="0"/>
        <w:numPr>
          <w:ilvl w:val="0"/>
          <w:numId w:val="39"/>
        </w:numPr>
        <w:autoSpaceDE w:val="0"/>
        <w:autoSpaceDN w:val="0"/>
        <w:spacing w:after="0" w:line="240" w:lineRule="auto"/>
        <w:ind w:left="360"/>
        <w:contextualSpacing/>
        <w:jc w:val="both"/>
        <w:rPr>
          <w:rFonts w:ascii="Cambria" w:eastAsia="Cambria" w:hAnsi="Cambria" w:cs="Cambria"/>
          <w:kern w:val="0"/>
          <w:sz w:val="20"/>
          <w:szCs w:val="20"/>
          <w14:ligatures w14:val="none"/>
        </w:rPr>
      </w:pPr>
      <w:r w:rsidRPr="007D0AA6">
        <w:rPr>
          <w:rFonts w:ascii="Cambria" w:eastAsia="Cambria" w:hAnsi="Cambria" w:cs="Cambria"/>
          <w:kern w:val="0"/>
          <w:sz w:val="20"/>
          <w14:ligatures w14:val="none"/>
        </w:rPr>
        <w:t xml:space="preserve">Cela nécessite-t-il un nouveau </w:t>
      </w:r>
      <w:r w:rsidRPr="007D0AA6">
        <w:rPr>
          <w:rFonts w:ascii="Cambria" w:eastAsia="Cambria" w:hAnsi="Cambria" w:cs="Cambria"/>
          <w:b/>
          <w:kern w:val="0"/>
          <w:sz w:val="20"/>
          <w14:ligatures w14:val="none"/>
        </w:rPr>
        <w:t xml:space="preserve">programme ou des activités supplémentaires à gérer par le Secrétariat </w:t>
      </w:r>
      <w:r w:rsidRPr="007D0AA6">
        <w:rPr>
          <w:rFonts w:ascii="Cambria" w:eastAsia="Cambria" w:hAnsi="Cambria" w:cs="Cambria"/>
          <w:kern w:val="0"/>
          <w:sz w:val="20"/>
          <w14:ligatures w14:val="none"/>
        </w:rPr>
        <w:t xml:space="preserve">? </w:t>
      </w:r>
    </w:p>
    <w:p w14:paraId="543E73CE" w14:textId="77777777" w:rsidR="001715C1" w:rsidRPr="007D0AA6" w:rsidRDefault="001715C1" w:rsidP="001715C1">
      <w:pPr>
        <w:widowControl w:val="0"/>
        <w:autoSpaceDE w:val="0"/>
        <w:autoSpaceDN w:val="0"/>
        <w:spacing w:after="0" w:line="240" w:lineRule="auto"/>
        <w:ind w:left="360"/>
        <w:contextualSpacing/>
        <w:jc w:val="both"/>
        <w:rPr>
          <w:rFonts w:ascii="Cambria" w:eastAsia="Cambria" w:hAnsi="Cambria" w:cs="Cambria"/>
          <w:kern w:val="0"/>
          <w:sz w:val="20"/>
          <w:szCs w:val="20"/>
          <w14:ligatures w14:val="none"/>
        </w:rPr>
      </w:pPr>
    </w:p>
    <w:p w14:paraId="105A84E6" w14:textId="16B5AC02" w:rsidR="00265C1C" w:rsidRPr="006B5C59" w:rsidRDefault="00265C1C" w:rsidP="00265C1C">
      <w:pPr>
        <w:widowControl w:val="0"/>
        <w:autoSpaceDE w:val="0"/>
        <w:autoSpaceDN w:val="0"/>
        <w:spacing w:after="0" w:line="240" w:lineRule="auto"/>
        <w:ind w:left="360"/>
        <w:contextualSpacing/>
        <w:rPr>
          <w:rFonts w:ascii="Cambria" w:eastAsia="Cambria" w:hAnsi="Cambria" w:cs="Cambria"/>
          <w:kern w:val="0"/>
          <w:sz w:val="20"/>
          <w:szCs w:val="20"/>
          <w14:ligatures w14:val="none"/>
        </w:rPr>
      </w:pPr>
      <w:r w:rsidRPr="006B5C59">
        <w:rPr>
          <w:rFonts w:ascii="Cambria" w:eastAsia="Cambria" w:hAnsi="Cambria" w:cs="Cambria"/>
          <w:color w:val="EE0000"/>
          <w:kern w:val="0"/>
          <w:sz w:val="20"/>
          <w14:ligatures w14:val="none"/>
        </w:rPr>
        <w:t xml:space="preserve">Oui </w:t>
      </w:r>
      <w:r w:rsidR="006B5C59" w:rsidRPr="006B5C59">
        <w:rPr>
          <w:rFonts w:ascii="Wingdings" w:eastAsia="Cambria" w:hAnsi="Wingdings" w:cs="Cambria"/>
          <w:color w:val="EE0000"/>
          <w:kern w:val="0"/>
          <w:sz w:val="20"/>
          <w14:ligatures w14:val="none"/>
        </w:rPr>
        <w:t>x</w:t>
      </w:r>
      <w:r w:rsidRPr="006B5C59">
        <w:rPr>
          <w:rFonts w:ascii="Cambria" w:eastAsia="Cambria" w:hAnsi="Cambria" w:cs="Cambria"/>
          <w:color w:val="EE0000"/>
          <w:kern w:val="0"/>
          <w:sz w:val="20"/>
          <w14:ligatures w14:val="none"/>
        </w:rPr>
        <w:t xml:space="preserve">      </w:t>
      </w:r>
      <w:r w:rsidRPr="006B5C59">
        <w:rPr>
          <w:rFonts w:ascii="Cambria" w:eastAsia="Cambria" w:hAnsi="Cambria" w:cs="Cambria"/>
          <w:kern w:val="0"/>
          <w:sz w:val="20"/>
          <w14:ligatures w14:val="none"/>
        </w:rPr>
        <w:t xml:space="preserve">Non </w:t>
      </w:r>
      <w:r w:rsidR="006B5C59" w:rsidRPr="006B5C59">
        <w:rPr>
          <w:rFonts w:ascii="Wingdings" w:eastAsia="Cambria" w:hAnsi="Wingdings" w:cs="Cambria"/>
          <w:kern w:val="0"/>
          <w:sz w:val="20"/>
          <w14:ligatures w14:val="none"/>
        </w:rPr>
        <w:t>¨</w:t>
      </w:r>
    </w:p>
    <w:p w14:paraId="07BD39B1" w14:textId="77777777" w:rsidR="001715C1" w:rsidRPr="007D0AA6" w:rsidRDefault="001715C1" w:rsidP="001715C1">
      <w:pPr>
        <w:widowControl w:val="0"/>
        <w:autoSpaceDE w:val="0"/>
        <w:autoSpaceDN w:val="0"/>
        <w:spacing w:after="0" w:line="240" w:lineRule="auto"/>
        <w:ind w:left="318"/>
        <w:contextualSpacing/>
        <w:rPr>
          <w:rFonts w:ascii="Cambria" w:eastAsia="Cambria" w:hAnsi="Cambria" w:cs="Cambria"/>
          <w:kern w:val="0"/>
          <w:sz w:val="20"/>
          <w:szCs w:val="20"/>
          <w14:ligatures w14:val="none"/>
        </w:rPr>
      </w:pPr>
    </w:p>
    <w:p w14:paraId="015AEB2F" w14:textId="77777777" w:rsidR="001715C1" w:rsidRPr="007D0AA6" w:rsidRDefault="001715C1" w:rsidP="001715C1">
      <w:pPr>
        <w:widowControl w:val="0"/>
        <w:autoSpaceDE w:val="0"/>
        <w:autoSpaceDN w:val="0"/>
        <w:spacing w:after="0" w:line="240" w:lineRule="auto"/>
        <w:ind w:left="360"/>
        <w:contextualSpacing/>
        <w:rPr>
          <w:rFonts w:ascii="Cambria" w:eastAsia="Cambria" w:hAnsi="Cambria" w:cs="Cambria"/>
          <w:kern w:val="0"/>
          <w:sz w:val="20"/>
          <w14:ligatures w14:val="none"/>
        </w:rPr>
      </w:pPr>
      <w:r w:rsidRPr="007D0AA6">
        <w:rPr>
          <w:rFonts w:ascii="Cambria" w:eastAsia="Cambria" w:hAnsi="Cambria" w:cs="Cambria"/>
          <w:kern w:val="0"/>
          <w:sz w:val="20"/>
          <w14:ligatures w14:val="none"/>
        </w:rPr>
        <w:t>Brève description du nouveau travail requis pour le Secrétariat :</w:t>
      </w:r>
    </w:p>
    <w:p w14:paraId="716C0D44" w14:textId="77777777" w:rsidR="00464165" w:rsidRPr="007D0AA6" w:rsidRDefault="00464165" w:rsidP="001715C1">
      <w:pPr>
        <w:widowControl w:val="0"/>
        <w:autoSpaceDE w:val="0"/>
        <w:autoSpaceDN w:val="0"/>
        <w:spacing w:after="0" w:line="240" w:lineRule="auto"/>
        <w:ind w:left="360"/>
        <w:contextualSpacing/>
        <w:rPr>
          <w:rFonts w:ascii="Cambria" w:eastAsia="Cambria" w:hAnsi="Cambria" w:cs="Cambria"/>
          <w:kern w:val="0"/>
          <w:sz w:val="20"/>
          <w14:ligatures w14:val="none"/>
        </w:rPr>
      </w:pPr>
    </w:p>
    <w:p w14:paraId="673FDCA7" w14:textId="413C0CA7" w:rsidR="00464165" w:rsidRPr="007D0AA6" w:rsidRDefault="00DE0B64" w:rsidP="00DE0B64">
      <w:pPr>
        <w:widowControl w:val="0"/>
        <w:autoSpaceDE w:val="0"/>
        <w:autoSpaceDN w:val="0"/>
        <w:spacing w:after="0" w:line="240" w:lineRule="auto"/>
        <w:ind w:left="360"/>
        <w:contextualSpacing/>
        <w:jc w:val="both"/>
        <w:rPr>
          <w:rFonts w:ascii="Cambria" w:eastAsia="Cambria" w:hAnsi="Cambria" w:cs="Cambria"/>
          <w:spacing w:val="-2"/>
          <w:kern w:val="0"/>
          <w:sz w:val="20"/>
          <w:szCs w:val="20"/>
          <w14:ligatures w14:val="none"/>
        </w:rPr>
      </w:pPr>
      <w:r w:rsidRPr="007D0AA6">
        <w:rPr>
          <w:rFonts w:ascii="Cambria" w:eastAsia="Cambria" w:hAnsi="Cambria" w:cs="Cambria"/>
          <w:color w:val="FF0000"/>
          <w:kern w:val="0"/>
          <w:sz w:val="20"/>
          <w:szCs w:val="20"/>
          <w14:ligatures w14:val="none"/>
        </w:rPr>
        <w:t xml:space="preserve">En tant que tâche ponctuelle, les feuilles de contrôle des requins devront être réécrites pour être conformes à </w:t>
      </w:r>
      <w:r w:rsidR="00890B84" w:rsidRPr="007D0AA6">
        <w:rPr>
          <w:rFonts w:ascii="Cambria" w:eastAsia="Cambria" w:hAnsi="Cambria" w:cs="Cambria"/>
          <w:color w:val="FF0000"/>
          <w:kern w:val="0"/>
          <w:sz w:val="20"/>
          <w:szCs w:val="20"/>
          <w14:ligatures w14:val="none"/>
        </w:rPr>
        <w:t xml:space="preserve">cette </w:t>
      </w:r>
      <w:r w:rsidRPr="007D0AA6">
        <w:rPr>
          <w:rFonts w:ascii="Cambria" w:eastAsia="Cambria" w:hAnsi="Cambria" w:cs="Cambria"/>
          <w:color w:val="FF0000"/>
          <w:kern w:val="0"/>
          <w:sz w:val="20"/>
          <w:szCs w:val="20"/>
          <w14:ligatures w14:val="none"/>
        </w:rPr>
        <w:t>Recommandation. Ensuite, comme c'est le cas actuellement, les feuilles de contrôle des requins seront mises à jour chaque année.</w:t>
      </w:r>
    </w:p>
    <w:p w14:paraId="17FD202D" w14:textId="77777777" w:rsidR="001715C1" w:rsidRPr="007D0AA6" w:rsidRDefault="001715C1" w:rsidP="001715C1">
      <w:pPr>
        <w:widowControl w:val="0"/>
        <w:autoSpaceDE w:val="0"/>
        <w:autoSpaceDN w:val="0"/>
        <w:spacing w:after="0" w:line="240" w:lineRule="auto"/>
        <w:contextualSpacing/>
        <w:rPr>
          <w:rFonts w:ascii="Cambria" w:eastAsia="Cambria" w:hAnsi="Cambria" w:cs="Cambria"/>
          <w:spacing w:val="-2"/>
          <w:kern w:val="0"/>
          <w:sz w:val="20"/>
          <w:szCs w:val="20"/>
          <w14:ligatures w14:val="none"/>
        </w:rPr>
      </w:pPr>
    </w:p>
    <w:p w14:paraId="79942A8F" w14:textId="77777777" w:rsidR="001715C1" w:rsidRPr="007D0AA6" w:rsidRDefault="001715C1" w:rsidP="001715C1">
      <w:pPr>
        <w:widowControl w:val="0"/>
        <w:numPr>
          <w:ilvl w:val="0"/>
          <w:numId w:val="39"/>
        </w:numPr>
        <w:autoSpaceDE w:val="0"/>
        <w:autoSpaceDN w:val="0"/>
        <w:spacing w:after="0" w:line="240" w:lineRule="auto"/>
        <w:ind w:left="360"/>
        <w:contextualSpacing/>
        <w:rPr>
          <w:rFonts w:ascii="Cambria" w:eastAsia="Cambria" w:hAnsi="Cambria" w:cs="Cambria"/>
          <w:spacing w:val="-2"/>
          <w:kern w:val="0"/>
          <w:sz w:val="20"/>
          <w:szCs w:val="20"/>
          <w14:ligatures w14:val="none"/>
        </w:rPr>
      </w:pPr>
      <w:r w:rsidRPr="007D0AA6">
        <w:rPr>
          <w:rFonts w:ascii="Cambria" w:eastAsia="Cambria" w:hAnsi="Cambria" w:cs="Cambria"/>
          <w:kern w:val="0"/>
          <w:sz w:val="20"/>
          <w14:ligatures w14:val="none"/>
        </w:rPr>
        <w:t>Quel est le calendrier proposé pour la mise en œuvre, et existe-t-il des calendriers spécifiques différents pour certaines CPC, pêcheries, régions, etc. ?</w:t>
      </w:r>
    </w:p>
    <w:p w14:paraId="4431AA28" w14:textId="77777777" w:rsidR="001715C1" w:rsidRPr="007D0AA6" w:rsidRDefault="001715C1" w:rsidP="001715C1">
      <w:pPr>
        <w:widowControl w:val="0"/>
        <w:autoSpaceDE w:val="0"/>
        <w:autoSpaceDN w:val="0"/>
        <w:spacing w:after="0" w:line="240" w:lineRule="auto"/>
        <w:contextualSpacing/>
        <w:rPr>
          <w:rFonts w:ascii="Cambria" w:eastAsia="Cambria" w:hAnsi="Cambria" w:cs="Cambria"/>
          <w:spacing w:val="-2"/>
          <w:kern w:val="0"/>
          <w:sz w:val="20"/>
          <w:szCs w:val="20"/>
          <w14:ligatures w14:val="none"/>
        </w:rPr>
      </w:pPr>
    </w:p>
    <w:p w14:paraId="432C9F16" w14:textId="491CEE27" w:rsidR="00596009" w:rsidRPr="007D0AA6" w:rsidRDefault="00596009" w:rsidP="00596009">
      <w:pPr>
        <w:widowControl w:val="0"/>
        <w:autoSpaceDE w:val="0"/>
        <w:autoSpaceDN w:val="0"/>
        <w:spacing w:after="0" w:line="240" w:lineRule="auto"/>
        <w:ind w:left="360"/>
        <w:contextualSpacing/>
        <w:jc w:val="both"/>
        <w:rPr>
          <w:rFonts w:ascii="Cambria" w:eastAsia="Cambria" w:hAnsi="Cambria" w:cs="Cambria"/>
          <w:color w:val="FF0000"/>
          <w:kern w:val="0"/>
          <w:sz w:val="20"/>
          <w:szCs w:val="20"/>
          <w14:ligatures w14:val="none"/>
        </w:rPr>
      </w:pPr>
      <w:r w:rsidRPr="007D0AA6">
        <w:rPr>
          <w:rFonts w:ascii="Cambria" w:eastAsia="Cambria" w:hAnsi="Cambria" w:cs="Cambria"/>
          <w:color w:val="FF0000"/>
          <w:kern w:val="0"/>
          <w:sz w:val="20"/>
          <w:szCs w:val="20"/>
          <w14:ligatures w14:val="none"/>
        </w:rPr>
        <w:t xml:space="preserve">Entrée en vigueur en </w:t>
      </w:r>
      <w:r w:rsidR="007F481E" w:rsidRPr="007D0AA6">
        <w:rPr>
          <w:rFonts w:ascii="Cambria" w:eastAsia="Cambria" w:hAnsi="Cambria" w:cs="Cambria"/>
          <w:color w:val="FF0000"/>
          <w:kern w:val="0"/>
          <w:sz w:val="20"/>
          <w:szCs w:val="20"/>
          <w14:ligatures w14:val="none"/>
        </w:rPr>
        <w:t>2026</w:t>
      </w:r>
      <w:r w:rsidRPr="007D0AA6">
        <w:rPr>
          <w:rFonts w:ascii="Cambria" w:eastAsia="Cambria" w:hAnsi="Cambria" w:cs="Cambria"/>
          <w:color w:val="FF0000"/>
          <w:kern w:val="0"/>
          <w:sz w:val="20"/>
          <w:szCs w:val="20"/>
          <w14:ligatures w14:val="none"/>
        </w:rPr>
        <w:t>.</w:t>
      </w:r>
    </w:p>
    <w:p w14:paraId="49FF6F1D" w14:textId="77777777" w:rsidR="001715C1" w:rsidRPr="007D0AA6" w:rsidRDefault="001715C1" w:rsidP="001715C1">
      <w:pPr>
        <w:widowControl w:val="0"/>
        <w:autoSpaceDE w:val="0"/>
        <w:autoSpaceDN w:val="0"/>
        <w:spacing w:after="0" w:line="240" w:lineRule="auto"/>
        <w:contextualSpacing/>
        <w:rPr>
          <w:rFonts w:ascii="Cambria" w:eastAsia="Cambria" w:hAnsi="Cambria" w:cs="Cambria"/>
          <w:spacing w:val="-2"/>
          <w:kern w:val="0"/>
          <w:sz w:val="20"/>
          <w:szCs w:val="20"/>
          <w14:ligatures w14:val="none"/>
        </w:rPr>
      </w:pPr>
    </w:p>
    <w:p w14:paraId="67567E07" w14:textId="77777777" w:rsidR="001715C1" w:rsidRPr="007D0AA6" w:rsidRDefault="001715C1" w:rsidP="001715C1">
      <w:pPr>
        <w:widowControl w:val="0"/>
        <w:numPr>
          <w:ilvl w:val="0"/>
          <w:numId w:val="39"/>
        </w:numPr>
        <w:autoSpaceDE w:val="0"/>
        <w:autoSpaceDN w:val="0"/>
        <w:spacing w:after="0" w:line="240" w:lineRule="auto"/>
        <w:ind w:left="360"/>
        <w:contextualSpacing/>
        <w:rPr>
          <w:rFonts w:ascii="Cambria" w:eastAsia="Cambria" w:hAnsi="Cambria" w:cs="Cambria"/>
          <w:spacing w:val="-2"/>
          <w:kern w:val="0"/>
          <w:sz w:val="20"/>
          <w:szCs w:val="20"/>
          <w14:ligatures w14:val="none"/>
        </w:rPr>
      </w:pPr>
      <w:r w:rsidRPr="007D0AA6">
        <w:rPr>
          <w:rFonts w:ascii="Cambria" w:eastAsia="Cambria" w:hAnsi="Cambria" w:cs="Cambria"/>
          <w:kern w:val="0"/>
          <w:sz w:val="20"/>
          <w14:ligatures w14:val="none"/>
        </w:rPr>
        <w:t>Existe-t-il d'autres informations pertinentes concernant les implications de la proposition en termes de ressources et de charge de travail ?</w:t>
      </w:r>
    </w:p>
    <w:p w14:paraId="7C2DD238" w14:textId="77777777" w:rsidR="001715C1" w:rsidRPr="007D0AA6" w:rsidRDefault="001715C1" w:rsidP="001715C1">
      <w:pPr>
        <w:widowControl w:val="0"/>
        <w:autoSpaceDE w:val="0"/>
        <w:autoSpaceDN w:val="0"/>
        <w:spacing w:after="0" w:line="240" w:lineRule="auto"/>
        <w:ind w:left="360"/>
        <w:contextualSpacing/>
        <w:rPr>
          <w:rFonts w:ascii="Cambria" w:eastAsia="Cambria" w:hAnsi="Cambria" w:cs="Cambria"/>
          <w:spacing w:val="-2"/>
          <w:kern w:val="0"/>
          <w:sz w:val="20"/>
          <w:szCs w:val="20"/>
          <w14:ligatures w14:val="none"/>
        </w:rPr>
      </w:pPr>
    </w:p>
    <w:p w14:paraId="04E69BF8" w14:textId="589245D8" w:rsidR="001715C1" w:rsidRPr="007D0AA6" w:rsidRDefault="001715C1" w:rsidP="001715C1">
      <w:pPr>
        <w:spacing w:after="0" w:line="240" w:lineRule="auto"/>
        <w:ind w:left="360"/>
        <w:contextualSpacing/>
        <w:rPr>
          <w:rFonts w:ascii="Cambria" w:eastAsia="Cambria" w:hAnsi="Cambria" w:cs="Cambria"/>
          <w:b/>
          <w:kern w:val="0"/>
          <w:sz w:val="20"/>
          <w:szCs w:val="20"/>
          <w14:ligatures w14:val="none"/>
        </w:rPr>
      </w:pPr>
      <w:r w:rsidRPr="007D0AA6">
        <w:rPr>
          <w:rFonts w:ascii="Cambria" w:eastAsia="Cambria" w:hAnsi="Cambria" w:cs="Cambria"/>
          <w:b/>
          <w:kern w:val="0"/>
          <w:sz w:val="20"/>
          <w:szCs w:val="20"/>
          <w14:ligatures w14:val="none"/>
        </w:rPr>
        <w:br w:type="page"/>
      </w:r>
    </w:p>
    <w:p w14:paraId="19F11B1B" w14:textId="77777777" w:rsidR="005043ED" w:rsidRPr="007D0AA6" w:rsidRDefault="005043ED" w:rsidP="005043ED">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14:ligatures w14:val="none"/>
        </w:rPr>
      </w:pPr>
      <w:r w:rsidRPr="007D0AA6">
        <w:rPr>
          <w:rFonts w:ascii="Cambria" w:hAnsi="Cambria"/>
          <w:b/>
          <w:color w:val="000000"/>
          <w:sz w:val="20"/>
        </w:rPr>
        <w:lastRenderedPageBreak/>
        <w:t>Original : anglais</w:t>
      </w:r>
    </w:p>
    <w:p w14:paraId="5B074CF5" w14:textId="77777777" w:rsidR="007E7475" w:rsidRPr="007D0AA6" w:rsidRDefault="007E7475" w:rsidP="00D21AA0">
      <w:pPr>
        <w:widowControl w:val="0"/>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67A1B39F" w14:textId="412F5A63" w:rsidR="00F6286C" w:rsidRPr="007D0AA6" w:rsidRDefault="007E7475" w:rsidP="00D21AA0">
      <w:pPr>
        <w:spacing w:after="0" w:line="240" w:lineRule="auto"/>
        <w:jc w:val="center"/>
        <w:rPr>
          <w:rFonts w:ascii="Cambria" w:eastAsia="Cambria" w:hAnsi="Cambria" w:cs="Cambria"/>
          <w:b/>
          <w:bCs/>
          <w:sz w:val="20"/>
          <w:szCs w:val="20"/>
        </w:rPr>
      </w:pPr>
      <w:bookmarkStart w:id="0" w:name="_Hlk182473931"/>
      <w:r w:rsidRPr="007D0AA6">
        <w:rPr>
          <w:rFonts w:ascii="Cambria" w:hAnsi="Cambria"/>
          <w:b/>
          <w:bCs/>
          <w:sz w:val="20"/>
        </w:rPr>
        <w:t>Projet de Recommandation de l'ICCAT concernant la conservation et la gestion</w:t>
      </w:r>
    </w:p>
    <w:p w14:paraId="39A11F66" w14:textId="61E6C5EB" w:rsidR="00B84EAF" w:rsidRPr="007D0AA6" w:rsidRDefault="007E7475" w:rsidP="00D21AA0">
      <w:pPr>
        <w:spacing w:after="0" w:line="240" w:lineRule="auto"/>
        <w:jc w:val="center"/>
        <w:rPr>
          <w:rFonts w:ascii="Cambria" w:eastAsia="Cambria" w:hAnsi="Cambria" w:cs="Cambria"/>
          <w:b/>
          <w:bCs/>
          <w:sz w:val="20"/>
          <w:szCs w:val="20"/>
        </w:rPr>
      </w:pPr>
      <w:r w:rsidRPr="007D0AA6">
        <w:rPr>
          <w:rFonts w:ascii="Cambria" w:hAnsi="Cambria"/>
          <w:b/>
          <w:sz w:val="20"/>
        </w:rPr>
        <w:t>des requins capturés en association avec les pêcheries de l’ICCAT</w:t>
      </w:r>
    </w:p>
    <w:p w14:paraId="5C76A0F6" w14:textId="5E7DAA9E" w:rsidR="00674B89" w:rsidRPr="007D0AA6" w:rsidRDefault="007E7475" w:rsidP="00D21AA0">
      <w:pPr>
        <w:spacing w:after="0" w:line="240" w:lineRule="auto"/>
        <w:jc w:val="center"/>
        <w:rPr>
          <w:rFonts w:ascii="Cambria" w:eastAsia="Cambria" w:hAnsi="Cambria" w:cs="Cambria"/>
          <w:i/>
          <w:iCs/>
          <w:sz w:val="20"/>
          <w:szCs w:val="20"/>
        </w:rPr>
      </w:pPr>
      <w:r w:rsidRPr="007D0AA6">
        <w:rPr>
          <w:rFonts w:ascii="Cambria" w:hAnsi="Cambria"/>
          <w:i/>
          <w:sz w:val="20"/>
        </w:rPr>
        <w:t>(</w:t>
      </w:r>
      <w:r w:rsidR="00E0123A" w:rsidRPr="007D0AA6">
        <w:rPr>
          <w:rFonts w:ascii="Cambria" w:hAnsi="Cambria"/>
          <w:i/>
          <w:sz w:val="20"/>
        </w:rPr>
        <w:t xml:space="preserve">Proposition soumise par </w:t>
      </w:r>
      <w:r w:rsidRPr="007D0AA6">
        <w:rPr>
          <w:rFonts w:ascii="Cambria" w:hAnsi="Cambria"/>
          <w:i/>
          <w:sz w:val="20"/>
        </w:rPr>
        <w:t>l’Union européenne)</w:t>
      </w:r>
    </w:p>
    <w:bookmarkEnd w:id="0"/>
    <w:p w14:paraId="676FFA13" w14:textId="77777777" w:rsidR="00032257" w:rsidRPr="007D0AA6" w:rsidRDefault="00032257" w:rsidP="00D21AA0">
      <w:pPr>
        <w:spacing w:after="0" w:line="240" w:lineRule="auto"/>
        <w:jc w:val="center"/>
        <w:rPr>
          <w:rFonts w:ascii="Cambria" w:eastAsia="Cambria" w:hAnsi="Cambria" w:cs="Cambria"/>
          <w:b/>
          <w:bCs/>
          <w:sz w:val="20"/>
          <w:szCs w:val="20"/>
        </w:rPr>
      </w:pPr>
    </w:p>
    <w:p w14:paraId="0A8C9A6C" w14:textId="77777777" w:rsidR="00D21AA0" w:rsidRPr="007D0AA6" w:rsidRDefault="00D21AA0" w:rsidP="00D21AA0">
      <w:pPr>
        <w:spacing w:after="0" w:line="240" w:lineRule="auto"/>
        <w:jc w:val="center"/>
        <w:rPr>
          <w:rFonts w:ascii="Cambria" w:eastAsia="Cambria" w:hAnsi="Cambria" w:cs="Cambria"/>
          <w:b/>
          <w:bCs/>
          <w:sz w:val="20"/>
          <w:szCs w:val="20"/>
        </w:rPr>
      </w:pPr>
    </w:p>
    <w:p w14:paraId="6D1A6212" w14:textId="776CDFBD" w:rsidR="00197DF5" w:rsidRPr="007D0AA6" w:rsidRDefault="0003602D" w:rsidP="00D21AA0">
      <w:pPr>
        <w:spacing w:after="0" w:line="240" w:lineRule="auto"/>
        <w:ind w:firstLine="426"/>
        <w:jc w:val="both"/>
        <w:rPr>
          <w:rFonts w:ascii="Cambria" w:eastAsia="Cambria" w:hAnsi="Cambria" w:cs="Cambria"/>
          <w:sz w:val="20"/>
          <w:szCs w:val="20"/>
        </w:rPr>
      </w:pPr>
      <w:r w:rsidRPr="007D0AA6">
        <w:rPr>
          <w:rFonts w:ascii="Cambria" w:hAnsi="Cambria"/>
          <w:i/>
          <w:sz w:val="20"/>
        </w:rPr>
        <w:t xml:space="preserve">RAPPELANT </w:t>
      </w:r>
      <w:r w:rsidRPr="007D0AA6">
        <w:rPr>
          <w:rFonts w:ascii="Cambria" w:hAnsi="Cambria"/>
          <w:sz w:val="20"/>
        </w:rPr>
        <w:t>le plan d'action international pour les requins de l'Organisation des Nations unies pour l'alimentation et l'agriculture (FAO) ;</w:t>
      </w:r>
    </w:p>
    <w:p w14:paraId="7C2C5273" w14:textId="77777777" w:rsidR="00D21AA0" w:rsidRPr="007D0AA6" w:rsidRDefault="00D21AA0" w:rsidP="00D21AA0">
      <w:pPr>
        <w:spacing w:after="0" w:line="240" w:lineRule="auto"/>
        <w:ind w:firstLine="426"/>
        <w:jc w:val="both"/>
        <w:rPr>
          <w:rFonts w:ascii="Cambria" w:eastAsia="Cambria" w:hAnsi="Cambria" w:cs="Cambria"/>
          <w:sz w:val="20"/>
          <w:szCs w:val="20"/>
        </w:rPr>
      </w:pPr>
    </w:p>
    <w:p w14:paraId="5B239DA1" w14:textId="690FCBD4" w:rsidR="002857CD" w:rsidRPr="007D0AA6" w:rsidRDefault="002857CD" w:rsidP="00D21AA0">
      <w:pPr>
        <w:spacing w:after="0" w:line="240" w:lineRule="auto"/>
        <w:ind w:firstLine="426"/>
        <w:jc w:val="both"/>
        <w:rPr>
          <w:rFonts w:ascii="Cambria" w:eastAsia="Cambria" w:hAnsi="Cambria" w:cs="Cambria"/>
          <w:sz w:val="20"/>
          <w:szCs w:val="20"/>
        </w:rPr>
      </w:pPr>
      <w:r w:rsidRPr="007D0AA6">
        <w:rPr>
          <w:rFonts w:ascii="Cambria" w:hAnsi="Cambria"/>
          <w:i/>
          <w:iCs/>
          <w:sz w:val="20"/>
        </w:rPr>
        <w:t xml:space="preserve">RAPPELANT EN OUTRE </w:t>
      </w:r>
      <w:r w:rsidRPr="007D0AA6">
        <w:rPr>
          <w:rFonts w:ascii="Cambria" w:hAnsi="Cambria"/>
          <w:sz w:val="20"/>
        </w:rPr>
        <w:t>que la Commission a adopté plusieurs mesures de gestion aux fins de la protection des espèces de requins capturées en association avec les pêcheries gérées par l'ICCAT, soit de manière générale ou de manière spécifique à une espèce ;</w:t>
      </w:r>
    </w:p>
    <w:p w14:paraId="2C39CEA6" w14:textId="77777777" w:rsidR="00D21AA0" w:rsidRPr="007D0AA6" w:rsidRDefault="00D21AA0" w:rsidP="00D21AA0">
      <w:pPr>
        <w:spacing w:after="0" w:line="240" w:lineRule="auto"/>
        <w:ind w:firstLine="426"/>
        <w:jc w:val="both"/>
        <w:rPr>
          <w:rFonts w:ascii="Cambria" w:eastAsia="Cambria" w:hAnsi="Cambria" w:cs="Cambria"/>
          <w:sz w:val="20"/>
          <w:szCs w:val="20"/>
        </w:rPr>
      </w:pPr>
    </w:p>
    <w:p w14:paraId="1705318F" w14:textId="26926D3F" w:rsidR="00D80F6A" w:rsidRPr="007D0AA6" w:rsidRDefault="00D80F6A" w:rsidP="00D21AA0">
      <w:pPr>
        <w:spacing w:after="0" w:line="240" w:lineRule="auto"/>
        <w:ind w:firstLine="426"/>
        <w:jc w:val="both"/>
        <w:rPr>
          <w:rFonts w:ascii="Cambria" w:eastAsia="Cambria" w:hAnsi="Cambria" w:cs="Cambria"/>
          <w:sz w:val="20"/>
          <w:szCs w:val="20"/>
        </w:rPr>
      </w:pPr>
      <w:r w:rsidRPr="007D0AA6">
        <w:rPr>
          <w:rFonts w:ascii="Cambria" w:hAnsi="Cambria"/>
          <w:i/>
          <w:sz w:val="20"/>
        </w:rPr>
        <w:t xml:space="preserve">CONSTATANT </w:t>
      </w:r>
      <w:r w:rsidRPr="007D0AA6">
        <w:rPr>
          <w:rFonts w:ascii="Cambria" w:hAnsi="Cambria"/>
          <w:sz w:val="20"/>
        </w:rPr>
        <w:t>que de nombreuses espèces de requins, y compris des espèces présentant un degré de risque élevé dans une évaluation des risques écologiques, sont capturées dans les pêcheries de la zone de la</w:t>
      </w:r>
      <w:r w:rsidR="00DC5F01" w:rsidRPr="007D0AA6">
        <w:rPr>
          <w:rFonts w:ascii="Cambria" w:hAnsi="Cambria"/>
          <w:sz w:val="20"/>
        </w:rPr>
        <w:t xml:space="preserve"> C</w:t>
      </w:r>
      <w:r w:rsidRPr="007D0AA6">
        <w:rPr>
          <w:rFonts w:ascii="Cambria" w:hAnsi="Cambria"/>
          <w:sz w:val="20"/>
        </w:rPr>
        <w:t>onvention de l’ICCAT ;</w:t>
      </w:r>
    </w:p>
    <w:p w14:paraId="29887335" w14:textId="77777777" w:rsidR="00D21AA0" w:rsidRPr="007D0AA6" w:rsidRDefault="00D21AA0" w:rsidP="00D21AA0">
      <w:pPr>
        <w:spacing w:after="0" w:line="240" w:lineRule="auto"/>
        <w:ind w:firstLine="426"/>
        <w:jc w:val="both"/>
        <w:rPr>
          <w:rFonts w:ascii="Cambria" w:eastAsia="Cambria" w:hAnsi="Cambria" w:cs="Cambria"/>
          <w:sz w:val="20"/>
          <w:szCs w:val="20"/>
        </w:rPr>
      </w:pPr>
    </w:p>
    <w:p w14:paraId="5D0EAB50" w14:textId="5E879EE9" w:rsidR="00C55B56" w:rsidRPr="007D0AA6" w:rsidRDefault="00C55B56" w:rsidP="00D21AA0">
      <w:pPr>
        <w:spacing w:after="0" w:line="240" w:lineRule="auto"/>
        <w:ind w:firstLine="426"/>
        <w:jc w:val="both"/>
        <w:rPr>
          <w:rFonts w:ascii="Cambria" w:eastAsia="Cambria" w:hAnsi="Cambria" w:cs="Cambria"/>
          <w:sz w:val="20"/>
          <w:szCs w:val="20"/>
        </w:rPr>
      </w:pPr>
      <w:r w:rsidRPr="007D0AA6">
        <w:rPr>
          <w:rFonts w:ascii="Cambria" w:hAnsi="Cambria"/>
          <w:i/>
          <w:iCs/>
          <w:sz w:val="20"/>
        </w:rPr>
        <w:t xml:space="preserve">NOTANT </w:t>
      </w:r>
      <w:r w:rsidRPr="007D0AA6">
        <w:rPr>
          <w:rFonts w:ascii="Cambria" w:hAnsi="Cambria"/>
          <w:sz w:val="20"/>
        </w:rPr>
        <w:t>que, d’après l’avis du SCRS, des mesures de gestion de précaution devraient être envisagées pour les stocks ayant la plus grande vulnérabilité biologique et suscitant des préoccupations de conservation, au sujet desquels il existe peu de données et/ou dont les résultats de l'évaluation font l’objet d’une grande incertitude ;</w:t>
      </w:r>
    </w:p>
    <w:p w14:paraId="2DDAB39E" w14:textId="77777777" w:rsidR="00D21AA0" w:rsidRPr="007D0AA6" w:rsidRDefault="00D21AA0" w:rsidP="00D21AA0">
      <w:pPr>
        <w:spacing w:after="0" w:line="240" w:lineRule="auto"/>
        <w:ind w:firstLine="426"/>
        <w:jc w:val="both"/>
        <w:rPr>
          <w:rFonts w:ascii="Cambria" w:eastAsia="Cambria" w:hAnsi="Cambria" w:cs="Cambria"/>
          <w:b/>
          <w:bCs/>
          <w:i/>
          <w:iCs/>
          <w:sz w:val="20"/>
          <w:szCs w:val="20"/>
        </w:rPr>
      </w:pPr>
    </w:p>
    <w:p w14:paraId="7B432ECD" w14:textId="36266E75" w:rsidR="00D14F05" w:rsidRPr="007D0AA6" w:rsidRDefault="00DC5F01" w:rsidP="00D21AA0">
      <w:pPr>
        <w:spacing w:after="0" w:line="240" w:lineRule="auto"/>
        <w:ind w:firstLine="426"/>
        <w:jc w:val="both"/>
        <w:rPr>
          <w:rFonts w:ascii="Cambria" w:eastAsia="Cambria" w:hAnsi="Cambria" w:cs="Cambria"/>
          <w:sz w:val="20"/>
          <w:szCs w:val="20"/>
        </w:rPr>
      </w:pPr>
      <w:r w:rsidRPr="007D0AA6">
        <w:rPr>
          <w:rFonts w:ascii="Cambria" w:hAnsi="Cambria"/>
          <w:i/>
          <w:sz w:val="20"/>
        </w:rPr>
        <w:t>RECONNAISSANT</w:t>
      </w:r>
      <w:r w:rsidR="00D80F6A" w:rsidRPr="007D0AA6">
        <w:rPr>
          <w:rFonts w:ascii="Cambria" w:hAnsi="Cambria"/>
          <w:sz w:val="20"/>
        </w:rPr>
        <w:t xml:space="preserve"> la nécessité de collecter des données spécifiques aux espèces sur les captures, l'effort, les rejets et le commerce, ainsi que des informations sur les paramètres biologiques, afin de permettre une conservation et une gestion efficaces des requins ;</w:t>
      </w:r>
    </w:p>
    <w:p w14:paraId="637CB749" w14:textId="77777777" w:rsidR="00D21AA0" w:rsidRPr="007D0AA6" w:rsidRDefault="00D21AA0" w:rsidP="00D21AA0">
      <w:pPr>
        <w:spacing w:after="0" w:line="240" w:lineRule="auto"/>
        <w:ind w:firstLine="426"/>
        <w:jc w:val="both"/>
        <w:rPr>
          <w:rFonts w:ascii="Cambria" w:eastAsia="Cambria" w:hAnsi="Cambria" w:cs="Cambria"/>
          <w:sz w:val="20"/>
          <w:szCs w:val="20"/>
        </w:rPr>
      </w:pPr>
    </w:p>
    <w:p w14:paraId="5BBAA2F4" w14:textId="76A99E43" w:rsidR="00062804" w:rsidRPr="007D0AA6" w:rsidRDefault="00062804" w:rsidP="00D21AA0">
      <w:pPr>
        <w:spacing w:after="0" w:line="240" w:lineRule="auto"/>
        <w:ind w:firstLine="426"/>
        <w:jc w:val="both"/>
        <w:rPr>
          <w:rFonts w:ascii="Cambria" w:eastAsia="Cambria" w:hAnsi="Cambria" w:cs="Cambria"/>
          <w:sz w:val="20"/>
          <w:szCs w:val="20"/>
        </w:rPr>
      </w:pPr>
      <w:r w:rsidRPr="007D0AA6">
        <w:rPr>
          <w:rFonts w:ascii="Cambria" w:hAnsi="Cambria"/>
          <w:i/>
          <w:sz w:val="20"/>
        </w:rPr>
        <w:t>RECONNAISSANT</w:t>
      </w:r>
      <w:r w:rsidRPr="007D0AA6">
        <w:rPr>
          <w:rFonts w:ascii="Cambria" w:hAnsi="Cambria"/>
          <w:sz w:val="20"/>
        </w:rPr>
        <w:t xml:space="preserve"> </w:t>
      </w:r>
      <w:r w:rsidRPr="007D0AA6">
        <w:rPr>
          <w:rFonts w:ascii="Cambria" w:hAnsi="Cambria"/>
          <w:i/>
          <w:iCs/>
          <w:sz w:val="20"/>
        </w:rPr>
        <w:t>DE SURCROÎT</w:t>
      </w:r>
      <w:r w:rsidRPr="007D0AA6">
        <w:rPr>
          <w:rFonts w:ascii="Cambria" w:hAnsi="Cambria"/>
          <w:sz w:val="20"/>
        </w:rPr>
        <w:t xml:space="preserve"> la nécessité d'examiner efficacement le processus de la mise en œuvre et de l'application des mesures de conservation et de gestion s'appliquant aux requins, tout en réduisant au minimum la charge de déclaration imposée aux CPC ;</w:t>
      </w:r>
    </w:p>
    <w:p w14:paraId="343A66AA" w14:textId="77777777" w:rsidR="00D21AA0" w:rsidRPr="007D0AA6" w:rsidRDefault="00D21AA0" w:rsidP="00D21AA0">
      <w:pPr>
        <w:spacing w:after="0" w:line="240" w:lineRule="auto"/>
        <w:ind w:firstLine="426"/>
        <w:jc w:val="both"/>
        <w:rPr>
          <w:rFonts w:ascii="Cambria" w:eastAsia="Cambria" w:hAnsi="Cambria" w:cs="Cambria"/>
          <w:sz w:val="20"/>
          <w:szCs w:val="20"/>
        </w:rPr>
      </w:pPr>
    </w:p>
    <w:p w14:paraId="21E9B79C" w14:textId="0DEFDE28" w:rsidR="00062804" w:rsidRPr="007D0AA6" w:rsidRDefault="00062804" w:rsidP="00D21AA0">
      <w:pPr>
        <w:spacing w:after="0" w:line="240" w:lineRule="auto"/>
        <w:ind w:firstLine="426"/>
        <w:jc w:val="both"/>
        <w:rPr>
          <w:rFonts w:ascii="Cambria" w:eastAsia="Cambria" w:hAnsi="Cambria" w:cs="Cambria"/>
          <w:sz w:val="20"/>
          <w:szCs w:val="20"/>
        </w:rPr>
      </w:pPr>
      <w:r w:rsidRPr="007D0AA6">
        <w:rPr>
          <w:rFonts w:ascii="Cambria" w:hAnsi="Cambria"/>
          <w:i/>
          <w:sz w:val="20"/>
        </w:rPr>
        <w:t>DESIRANT</w:t>
      </w:r>
      <w:r w:rsidRPr="007D0AA6">
        <w:rPr>
          <w:rFonts w:ascii="Cambria" w:hAnsi="Cambria"/>
          <w:sz w:val="20"/>
        </w:rPr>
        <w:t xml:space="preserve"> rationaliser les mesures de conservation et de gestion de l’ICCAT pour les requins, notamment en éliminant les redondances, en clarifiant les obligations essentielles et en facilitant leur mise en œuvre, ainsi que le contrôle de l’application ;</w:t>
      </w:r>
    </w:p>
    <w:p w14:paraId="6894AE28" w14:textId="77777777" w:rsidR="003660BE" w:rsidRPr="007D0AA6" w:rsidRDefault="003660BE" w:rsidP="00D21AA0">
      <w:pPr>
        <w:spacing w:after="0" w:line="240" w:lineRule="auto"/>
        <w:jc w:val="both"/>
        <w:rPr>
          <w:rFonts w:ascii="Cambria" w:eastAsia="Cambria" w:hAnsi="Cambria" w:cs="Cambria"/>
          <w:sz w:val="20"/>
          <w:szCs w:val="20"/>
        </w:rPr>
      </w:pPr>
    </w:p>
    <w:p w14:paraId="5480DC8D" w14:textId="44391D28" w:rsidR="006F35C6" w:rsidRPr="007D0AA6" w:rsidRDefault="006F35C6" w:rsidP="006F35C6">
      <w:pPr>
        <w:spacing w:after="0" w:line="240" w:lineRule="auto"/>
        <w:ind w:firstLine="426"/>
        <w:jc w:val="both"/>
        <w:rPr>
          <w:rFonts w:ascii="Cambria" w:eastAsia="Cambria" w:hAnsi="Cambria" w:cs="Cambria"/>
          <w:sz w:val="20"/>
          <w:szCs w:val="20"/>
        </w:rPr>
      </w:pPr>
      <w:r w:rsidRPr="007D0AA6">
        <w:rPr>
          <w:rFonts w:ascii="Cambria" w:eastAsia="Cambria" w:hAnsi="Cambria" w:cs="Cambria"/>
          <w:i/>
          <w:iCs/>
          <w:sz w:val="20"/>
          <w:szCs w:val="20"/>
        </w:rPr>
        <w:t>NOTANT</w:t>
      </w:r>
      <w:r w:rsidRPr="007D0AA6">
        <w:rPr>
          <w:rFonts w:ascii="Cambria" w:eastAsia="Cambria" w:hAnsi="Cambria" w:cs="Cambria"/>
          <w:sz w:val="20"/>
          <w:szCs w:val="20"/>
        </w:rPr>
        <w:t xml:space="preserve"> la liste des espèces figurant au paragraphe 2 de la </w:t>
      </w:r>
      <w:r w:rsidRPr="007D0AA6">
        <w:rPr>
          <w:rFonts w:ascii="Cambria" w:eastAsia="Cambria" w:hAnsi="Cambria" w:cs="Cambria"/>
          <w:i/>
          <w:iCs/>
          <w:sz w:val="20"/>
          <w:szCs w:val="20"/>
        </w:rPr>
        <w:t>Recommandation de l’ICCAT sur les espèces considérées comme étant des thonidés et des espèces voisines ou des élasmobranches océaniques, pélagiques et hautement migratoires</w:t>
      </w:r>
      <w:r w:rsidRPr="007D0AA6">
        <w:rPr>
          <w:rFonts w:ascii="Cambria" w:eastAsia="Cambria" w:hAnsi="Cambria" w:cs="Cambria"/>
          <w:sz w:val="20"/>
          <w:szCs w:val="20"/>
        </w:rPr>
        <w:t xml:space="preserve"> (Rec. 19-01) ;</w:t>
      </w:r>
    </w:p>
    <w:p w14:paraId="1FCF532B" w14:textId="77777777" w:rsidR="006F35C6" w:rsidRPr="007D0AA6" w:rsidRDefault="006F35C6" w:rsidP="00D21AA0">
      <w:pPr>
        <w:spacing w:after="0" w:line="240" w:lineRule="auto"/>
        <w:jc w:val="both"/>
        <w:rPr>
          <w:rFonts w:ascii="Cambria" w:eastAsia="Cambria" w:hAnsi="Cambria" w:cs="Cambria"/>
          <w:sz w:val="20"/>
          <w:szCs w:val="20"/>
        </w:rPr>
      </w:pPr>
    </w:p>
    <w:p w14:paraId="71E270E9" w14:textId="13E8484F" w:rsidR="003660BE" w:rsidRPr="007D0AA6" w:rsidRDefault="00E35683" w:rsidP="00D21AA0">
      <w:pPr>
        <w:spacing w:after="0" w:line="240" w:lineRule="auto"/>
        <w:jc w:val="center"/>
        <w:rPr>
          <w:rFonts w:ascii="Cambria" w:eastAsia="Cambria" w:hAnsi="Cambria" w:cs="Cambria"/>
          <w:sz w:val="20"/>
          <w:szCs w:val="20"/>
        </w:rPr>
      </w:pPr>
      <w:r w:rsidRPr="007D0AA6">
        <w:rPr>
          <w:rFonts w:ascii="Cambria" w:hAnsi="Cambria"/>
          <w:sz w:val="20"/>
        </w:rPr>
        <w:t>LA COMMISSION INTERNATIONALE POUR LA CONSERVATION</w:t>
      </w:r>
    </w:p>
    <w:p w14:paraId="120156FE" w14:textId="2AEA1989" w:rsidR="00B84EAF" w:rsidRPr="007D0AA6" w:rsidRDefault="00E35683" w:rsidP="00D21AA0">
      <w:pPr>
        <w:spacing w:after="0" w:line="240" w:lineRule="auto"/>
        <w:jc w:val="center"/>
        <w:rPr>
          <w:rFonts w:ascii="Cambria" w:eastAsia="Cambria" w:hAnsi="Cambria" w:cs="Cambria"/>
          <w:sz w:val="20"/>
          <w:szCs w:val="20"/>
        </w:rPr>
      </w:pPr>
      <w:r w:rsidRPr="007D0AA6">
        <w:rPr>
          <w:rFonts w:ascii="Cambria" w:hAnsi="Cambria"/>
          <w:sz w:val="20"/>
        </w:rPr>
        <w:t>DES THONIDÉS DE L’ATLANTIQUE (ICCAT) RECOMMANDE CE QUI SUIT :</w:t>
      </w:r>
    </w:p>
    <w:p w14:paraId="487D2265" w14:textId="77777777" w:rsidR="003B3788" w:rsidRPr="007D0AA6" w:rsidRDefault="003B3788" w:rsidP="00D21AA0">
      <w:pPr>
        <w:spacing w:after="0" w:line="240" w:lineRule="auto"/>
        <w:jc w:val="both"/>
        <w:rPr>
          <w:rFonts w:ascii="Cambria" w:eastAsia="Cambria" w:hAnsi="Cambria" w:cs="Cambria"/>
          <w:sz w:val="20"/>
          <w:szCs w:val="20"/>
        </w:rPr>
      </w:pPr>
    </w:p>
    <w:p w14:paraId="06FB92EE" w14:textId="36E9F588" w:rsidR="00344086" w:rsidRPr="007D0AA6" w:rsidRDefault="000B3C7A" w:rsidP="00D21AA0">
      <w:pPr>
        <w:spacing w:after="0" w:line="240" w:lineRule="auto"/>
        <w:jc w:val="both"/>
        <w:rPr>
          <w:rFonts w:ascii="Cambria" w:eastAsia="Cambria" w:hAnsi="Cambria" w:cs="Cambria"/>
          <w:b/>
          <w:bCs/>
          <w:sz w:val="20"/>
          <w:szCs w:val="20"/>
        </w:rPr>
      </w:pPr>
      <w:r w:rsidRPr="007D0AA6">
        <w:rPr>
          <w:rFonts w:ascii="Cambria" w:hAnsi="Cambria"/>
          <w:b/>
          <w:sz w:val="20"/>
        </w:rPr>
        <w:t>Définitions</w:t>
      </w:r>
    </w:p>
    <w:p w14:paraId="6E7814B7" w14:textId="77777777" w:rsidR="00D21AA0" w:rsidRPr="007D0AA6" w:rsidRDefault="00D21AA0" w:rsidP="00D21AA0">
      <w:pPr>
        <w:spacing w:after="0" w:line="240" w:lineRule="auto"/>
        <w:jc w:val="both"/>
        <w:rPr>
          <w:rFonts w:ascii="Cambria" w:eastAsia="Cambria" w:hAnsi="Cambria" w:cs="Cambria"/>
          <w:b/>
          <w:bCs/>
          <w:sz w:val="20"/>
          <w:szCs w:val="20"/>
        </w:rPr>
      </w:pPr>
    </w:p>
    <w:p w14:paraId="3CBD505E" w14:textId="2FDC4731" w:rsidR="007159B5" w:rsidRPr="007D0AA6" w:rsidRDefault="007159B5" w:rsidP="00D21AA0">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Aux fins de la présente Recommandation :</w:t>
      </w:r>
    </w:p>
    <w:p w14:paraId="4734ACD6" w14:textId="77777777" w:rsidR="00D21AA0" w:rsidRPr="007D0AA6" w:rsidRDefault="00D21AA0" w:rsidP="00D21AA0">
      <w:pPr>
        <w:pStyle w:val="ListParagraph"/>
        <w:spacing w:after="0" w:line="240" w:lineRule="auto"/>
        <w:ind w:left="426"/>
        <w:jc w:val="both"/>
        <w:rPr>
          <w:rFonts w:ascii="Cambria" w:eastAsia="Cambria" w:hAnsi="Cambria" w:cs="Cambria"/>
          <w:sz w:val="20"/>
          <w:szCs w:val="20"/>
        </w:rPr>
      </w:pPr>
    </w:p>
    <w:p w14:paraId="1D177D27" w14:textId="68DCBD6A" w:rsidR="007159B5" w:rsidRPr="007D0AA6" w:rsidRDefault="007159B5"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7D0AA6">
        <w:rPr>
          <w:rFonts w:ascii="Cambria" w:hAnsi="Cambria"/>
          <w:sz w:val="20"/>
        </w:rPr>
        <w:t>On entend par « CPC » les Parties contractantes</w:t>
      </w:r>
      <w:r w:rsidR="007861B0" w:rsidRPr="007D0AA6">
        <w:rPr>
          <w:rFonts w:ascii="Cambria" w:hAnsi="Cambria"/>
          <w:sz w:val="20"/>
        </w:rPr>
        <w:t xml:space="preserve"> et</w:t>
      </w:r>
      <w:r w:rsidRPr="007D0AA6">
        <w:rPr>
          <w:rFonts w:ascii="Cambria" w:hAnsi="Cambria"/>
          <w:sz w:val="20"/>
        </w:rPr>
        <w:t xml:space="preserve"> les Parties, Entités ou Entités de pêche non-contractantes coopérantes.</w:t>
      </w:r>
    </w:p>
    <w:p w14:paraId="5C2E14A4" w14:textId="33CC4ED1" w:rsidR="007159B5" w:rsidRPr="007D0AA6" w:rsidRDefault="007159B5"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7D0AA6">
        <w:rPr>
          <w:rFonts w:ascii="Cambria" w:hAnsi="Cambria"/>
          <w:sz w:val="20"/>
        </w:rPr>
        <w:t>On entend par « SCRS » le Comité permanent pour la recherche et les statistiques.</w:t>
      </w:r>
    </w:p>
    <w:p w14:paraId="6CF3C992" w14:textId="6ADCA662" w:rsidR="00A60EC4" w:rsidRPr="007D0AA6" w:rsidRDefault="00A60EC4"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7D0AA6">
        <w:rPr>
          <w:rFonts w:ascii="Cambria" w:hAnsi="Cambria"/>
          <w:sz w:val="20"/>
        </w:rPr>
        <w:t>On entend par « utilisation intégrale » la rétention par le navire de pêche de toutes les parties du requin, à l’exception de la tête, des viscères et des peaux, jusqu’au premier point de débarquement.</w:t>
      </w:r>
    </w:p>
    <w:p w14:paraId="3F9BBD98" w14:textId="0CA16716" w:rsidR="0033305B" w:rsidRPr="007D0AA6" w:rsidRDefault="0033305B"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7D0AA6">
        <w:rPr>
          <w:rFonts w:ascii="Cambria" w:hAnsi="Cambria"/>
          <w:sz w:val="20"/>
        </w:rPr>
        <w:t>On entend par « requin </w:t>
      </w:r>
      <w:r w:rsidR="007861B0" w:rsidRPr="007D0AA6">
        <w:rPr>
          <w:rFonts w:ascii="Cambria" w:hAnsi="Cambria"/>
          <w:sz w:val="20"/>
        </w:rPr>
        <w:t>» toutes</w:t>
      </w:r>
      <w:r w:rsidRPr="007D0AA6">
        <w:rPr>
          <w:rFonts w:ascii="Cambria" w:hAnsi="Cambria"/>
          <w:sz w:val="20"/>
        </w:rPr>
        <w:t xml:space="preserve"> les espèces de requins capturées en association avec les pêcheries de l’ICCAT.</w:t>
      </w:r>
    </w:p>
    <w:p w14:paraId="214D9620" w14:textId="66188596" w:rsidR="0033305B" w:rsidRPr="007D0AA6" w:rsidRDefault="00E7544A"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On entend par « requin renard à gros yeux » l'espèce </w:t>
      </w:r>
      <w:r w:rsidRPr="007D0AA6">
        <w:rPr>
          <w:rFonts w:ascii="Cambria" w:hAnsi="Cambria"/>
          <w:i/>
          <w:sz w:val="20"/>
        </w:rPr>
        <w:t>Alopias superciliosus.</w:t>
      </w:r>
    </w:p>
    <w:p w14:paraId="3CB239D8" w14:textId="20B1E588" w:rsidR="00086384" w:rsidRPr="007D0AA6" w:rsidRDefault="00086384"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On entend par « requin renard » les espèces </w:t>
      </w:r>
      <w:r w:rsidR="006F35C6" w:rsidRPr="007D0AA6">
        <w:rPr>
          <w:rFonts w:ascii="Cambria" w:eastAsia="Cambria" w:hAnsi="Cambria" w:cs="Cambria"/>
          <w:i/>
          <w:iCs/>
          <w:sz w:val="20"/>
          <w:szCs w:val="20"/>
        </w:rPr>
        <w:t>Alopias superciliosus</w:t>
      </w:r>
      <w:r w:rsidR="006F35C6" w:rsidRPr="007D0AA6">
        <w:rPr>
          <w:rFonts w:ascii="Cambria" w:eastAsia="Cambria" w:hAnsi="Cambria" w:cs="Cambria"/>
          <w:sz w:val="20"/>
          <w:szCs w:val="20"/>
        </w:rPr>
        <w:t xml:space="preserve"> et </w:t>
      </w:r>
      <w:r w:rsidR="006F35C6" w:rsidRPr="007D0AA6">
        <w:rPr>
          <w:rFonts w:ascii="Cambria" w:eastAsia="Cambria" w:hAnsi="Cambria" w:cs="Cambria"/>
          <w:i/>
          <w:iCs/>
          <w:sz w:val="20"/>
          <w:szCs w:val="20"/>
        </w:rPr>
        <w:t>A. vulpinus</w:t>
      </w:r>
      <w:r w:rsidRPr="007D0AA6">
        <w:rPr>
          <w:rFonts w:ascii="Cambria" w:hAnsi="Cambria"/>
          <w:i/>
          <w:sz w:val="20"/>
        </w:rPr>
        <w:t>.</w:t>
      </w:r>
    </w:p>
    <w:p w14:paraId="173AB834" w14:textId="73D8B106" w:rsidR="00387EAA" w:rsidRPr="007D0AA6" w:rsidRDefault="00387EAA"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7D0AA6">
        <w:rPr>
          <w:rFonts w:ascii="Cambria" w:hAnsi="Cambria"/>
          <w:sz w:val="20"/>
        </w:rPr>
        <w:t>On entend par « requin océanique</w:t>
      </w:r>
      <w:r w:rsidR="007861B0" w:rsidRPr="007D0AA6">
        <w:rPr>
          <w:rFonts w:ascii="Cambria" w:hAnsi="Cambria"/>
          <w:sz w:val="20"/>
        </w:rPr>
        <w:t> »</w:t>
      </w:r>
      <w:r w:rsidRPr="007D0AA6">
        <w:rPr>
          <w:rFonts w:ascii="Cambria" w:hAnsi="Cambria"/>
          <w:sz w:val="20"/>
        </w:rPr>
        <w:t xml:space="preserve"> l'espèce</w:t>
      </w:r>
      <w:r w:rsidRPr="007D0AA6">
        <w:rPr>
          <w:rFonts w:ascii="Cambria" w:hAnsi="Cambria"/>
          <w:i/>
          <w:sz w:val="20"/>
        </w:rPr>
        <w:t xml:space="preserve"> Carcharhinus longimanus.</w:t>
      </w:r>
    </w:p>
    <w:p w14:paraId="089D3B3A" w14:textId="6537CCAE" w:rsidR="009B3196" w:rsidRPr="007D0AA6" w:rsidRDefault="009B3196"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7D0AA6">
        <w:rPr>
          <w:rFonts w:ascii="Cambria" w:hAnsi="Cambria"/>
          <w:sz w:val="20"/>
        </w:rPr>
        <w:t>On entend par « requin marteau</w:t>
      </w:r>
      <w:r w:rsidR="006819A9" w:rsidRPr="007D0AA6">
        <w:rPr>
          <w:rFonts w:ascii="Cambria" w:hAnsi="Cambria"/>
          <w:sz w:val="20"/>
        </w:rPr>
        <w:t> » toutes</w:t>
      </w:r>
      <w:r w:rsidRPr="007D0AA6">
        <w:rPr>
          <w:rFonts w:ascii="Cambria" w:hAnsi="Cambria"/>
          <w:sz w:val="20"/>
        </w:rPr>
        <w:t xml:space="preserve"> les espèces </w:t>
      </w:r>
      <w:r w:rsidR="00D8672C" w:rsidRPr="007D0AA6">
        <w:rPr>
          <w:rFonts w:ascii="Cambria" w:hAnsi="Cambria"/>
          <w:sz w:val="20"/>
        </w:rPr>
        <w:t xml:space="preserve">de la famille </w:t>
      </w:r>
      <w:proofErr w:type="spellStart"/>
      <w:r w:rsidR="00D8672C" w:rsidRPr="007D0AA6">
        <w:rPr>
          <w:rFonts w:ascii="Cambria" w:hAnsi="Cambria"/>
          <w:i/>
          <w:iCs/>
          <w:sz w:val="20"/>
        </w:rPr>
        <w:t>Sphyrnidae</w:t>
      </w:r>
      <w:proofErr w:type="spellEnd"/>
      <w:r w:rsidR="00D8672C" w:rsidRPr="007D0AA6">
        <w:rPr>
          <w:rFonts w:ascii="Cambria" w:hAnsi="Cambria"/>
          <w:sz w:val="20"/>
        </w:rPr>
        <w:t xml:space="preserve"> (à l’exception du </w:t>
      </w:r>
      <w:proofErr w:type="spellStart"/>
      <w:r w:rsidR="00671091" w:rsidRPr="007D0AA6">
        <w:rPr>
          <w:rFonts w:ascii="Cambria" w:hAnsi="Cambria"/>
          <w:sz w:val="20"/>
        </w:rPr>
        <w:t>Sphyrna</w:t>
      </w:r>
      <w:proofErr w:type="spellEnd"/>
      <w:r w:rsidR="00671091" w:rsidRPr="007D0AA6">
        <w:rPr>
          <w:rFonts w:ascii="Cambria" w:hAnsi="Cambria"/>
          <w:sz w:val="20"/>
        </w:rPr>
        <w:t xml:space="preserve"> </w:t>
      </w:r>
      <w:proofErr w:type="spellStart"/>
      <w:r w:rsidR="00671091" w:rsidRPr="007D0AA6">
        <w:rPr>
          <w:rFonts w:ascii="Cambria" w:hAnsi="Cambria"/>
          <w:sz w:val="20"/>
        </w:rPr>
        <w:t>tiburo</w:t>
      </w:r>
      <w:proofErr w:type="spellEnd"/>
      <w:r w:rsidR="00671091" w:rsidRPr="007D0AA6">
        <w:rPr>
          <w:rFonts w:ascii="Cambria" w:hAnsi="Cambria"/>
          <w:sz w:val="20"/>
        </w:rPr>
        <w:t>)</w:t>
      </w:r>
    </w:p>
    <w:p w14:paraId="04144596" w14:textId="5439453F" w:rsidR="009B3196" w:rsidRPr="007D0AA6" w:rsidRDefault="009B3196"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7D0AA6">
        <w:rPr>
          <w:rFonts w:ascii="Cambria" w:hAnsi="Cambria"/>
          <w:sz w:val="20"/>
        </w:rPr>
        <w:lastRenderedPageBreak/>
        <w:t xml:space="preserve">On entend par « requin soyeux » l'espèce </w:t>
      </w:r>
      <w:r w:rsidRPr="007D0AA6">
        <w:rPr>
          <w:rFonts w:ascii="Cambria" w:hAnsi="Cambria"/>
          <w:i/>
          <w:sz w:val="20"/>
        </w:rPr>
        <w:t>Carcharhinus falciformis.</w:t>
      </w:r>
    </w:p>
    <w:p w14:paraId="06818C66" w14:textId="34226564" w:rsidR="009B3196" w:rsidRPr="007D0AA6" w:rsidRDefault="009B3196"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On entend par « requin baleine » l'espèce </w:t>
      </w:r>
      <w:r w:rsidRPr="007D0AA6">
        <w:rPr>
          <w:rFonts w:ascii="Cambria" w:hAnsi="Cambria"/>
          <w:i/>
          <w:sz w:val="20"/>
        </w:rPr>
        <w:t>Rhincodon typus.</w:t>
      </w:r>
    </w:p>
    <w:p w14:paraId="4C63A769" w14:textId="261FCBED" w:rsidR="00086384" w:rsidRPr="007D0AA6" w:rsidRDefault="00086384" w:rsidP="00D21AA0">
      <w:pPr>
        <w:pStyle w:val="ListParagraph"/>
        <w:numPr>
          <w:ilvl w:val="1"/>
          <w:numId w:val="15"/>
        </w:numPr>
        <w:spacing w:after="0" w:line="240" w:lineRule="auto"/>
        <w:ind w:left="851" w:hanging="425"/>
        <w:jc w:val="both"/>
        <w:rPr>
          <w:rFonts w:ascii="Cambria" w:eastAsia="Cambria" w:hAnsi="Cambria" w:cs="Cambria"/>
          <w:sz w:val="20"/>
          <w:szCs w:val="20"/>
        </w:rPr>
      </w:pPr>
      <w:bookmarkStart w:id="1" w:name="_Hlk169100277"/>
      <w:r w:rsidRPr="007D0AA6">
        <w:rPr>
          <w:rFonts w:ascii="Cambria" w:hAnsi="Cambria"/>
          <w:sz w:val="20"/>
        </w:rPr>
        <w:t xml:space="preserve">On entend par « requin-taupe commun » l'espèce </w:t>
      </w:r>
      <w:r w:rsidRPr="007D0AA6">
        <w:rPr>
          <w:rFonts w:ascii="Cambria" w:hAnsi="Cambria"/>
          <w:i/>
          <w:sz w:val="20"/>
        </w:rPr>
        <w:t>Lamna nasus.</w:t>
      </w:r>
    </w:p>
    <w:p w14:paraId="206DBB6F" w14:textId="462A6618" w:rsidR="324437D1" w:rsidRPr="007D0AA6" w:rsidRDefault="324437D1" w:rsidP="00D21AA0">
      <w:pPr>
        <w:pStyle w:val="ListParagraph"/>
        <w:numPr>
          <w:ilvl w:val="1"/>
          <w:numId w:val="15"/>
        </w:numPr>
        <w:spacing w:after="0" w:line="240" w:lineRule="auto"/>
        <w:ind w:left="851" w:hanging="425"/>
        <w:jc w:val="both"/>
        <w:rPr>
          <w:rFonts w:ascii="Cambria" w:eastAsia="Cambria" w:hAnsi="Cambria" w:cs="Cambria"/>
          <w:i/>
          <w:iCs/>
          <w:sz w:val="20"/>
          <w:szCs w:val="20"/>
        </w:rPr>
      </w:pPr>
      <w:r w:rsidRPr="007D0AA6">
        <w:rPr>
          <w:rFonts w:ascii="Cambria" w:hAnsi="Cambria"/>
          <w:sz w:val="20"/>
        </w:rPr>
        <w:t>On entend par « requin pèlerin » l'espèce</w:t>
      </w:r>
      <w:r w:rsidRPr="007D0AA6">
        <w:rPr>
          <w:rFonts w:ascii="Cambria" w:hAnsi="Cambria"/>
          <w:i/>
          <w:sz w:val="20"/>
        </w:rPr>
        <w:t xml:space="preserve"> Cetorhinus maximus.</w:t>
      </w:r>
    </w:p>
    <w:p w14:paraId="54EC828B" w14:textId="639B7E15" w:rsidR="2BED666B" w:rsidRPr="007D0AA6" w:rsidRDefault="2BED666B" w:rsidP="00D21AA0">
      <w:pPr>
        <w:pStyle w:val="ListParagraph"/>
        <w:numPr>
          <w:ilvl w:val="1"/>
          <w:numId w:val="15"/>
        </w:numPr>
        <w:spacing w:after="0" w:line="240" w:lineRule="auto"/>
        <w:ind w:left="851" w:hanging="425"/>
        <w:jc w:val="both"/>
        <w:rPr>
          <w:rFonts w:ascii="Cambria" w:eastAsia="Cambria" w:hAnsi="Cambria" w:cs="Cambria"/>
          <w:i/>
          <w:iCs/>
          <w:sz w:val="20"/>
          <w:szCs w:val="20"/>
        </w:rPr>
      </w:pPr>
      <w:r w:rsidRPr="007D0AA6">
        <w:rPr>
          <w:rFonts w:ascii="Cambria" w:hAnsi="Cambria"/>
          <w:sz w:val="20"/>
        </w:rPr>
        <w:t>On entend par « grand requin blanc » l'espèce</w:t>
      </w:r>
      <w:r w:rsidRPr="007D0AA6">
        <w:rPr>
          <w:rFonts w:ascii="Cambria" w:hAnsi="Cambria"/>
          <w:i/>
          <w:sz w:val="20"/>
        </w:rPr>
        <w:t xml:space="preserve"> Carcharodon carcharias.</w:t>
      </w:r>
    </w:p>
    <w:p w14:paraId="577369C2" w14:textId="77777777" w:rsidR="00D21AA0" w:rsidRPr="007D0AA6" w:rsidRDefault="00D21AA0" w:rsidP="00D21AA0">
      <w:pPr>
        <w:pStyle w:val="ListParagraph"/>
        <w:spacing w:after="0" w:line="240" w:lineRule="auto"/>
        <w:ind w:left="851"/>
        <w:jc w:val="both"/>
        <w:rPr>
          <w:rFonts w:ascii="Cambria" w:eastAsia="Cambria" w:hAnsi="Cambria" w:cs="Cambria"/>
          <w:sz w:val="20"/>
          <w:szCs w:val="20"/>
        </w:rPr>
      </w:pPr>
    </w:p>
    <w:bookmarkEnd w:id="1"/>
    <w:p w14:paraId="22DE1957" w14:textId="1B8FB159" w:rsidR="00BB11E8" w:rsidRPr="007D0AA6" w:rsidRDefault="000B3C7A" w:rsidP="00D21AA0">
      <w:pPr>
        <w:spacing w:after="0" w:line="240" w:lineRule="auto"/>
        <w:jc w:val="both"/>
        <w:rPr>
          <w:rFonts w:ascii="Cambria" w:eastAsia="Cambria" w:hAnsi="Cambria" w:cs="Cambria"/>
          <w:b/>
          <w:bCs/>
          <w:sz w:val="20"/>
          <w:szCs w:val="20"/>
        </w:rPr>
      </w:pPr>
      <w:r w:rsidRPr="007D0AA6">
        <w:rPr>
          <w:rFonts w:ascii="Cambria" w:hAnsi="Cambria"/>
          <w:b/>
          <w:sz w:val="20"/>
        </w:rPr>
        <w:t>Application</w:t>
      </w:r>
    </w:p>
    <w:p w14:paraId="26BDCD88" w14:textId="77777777" w:rsidR="00D21AA0" w:rsidRPr="007D0AA6" w:rsidRDefault="00D21AA0" w:rsidP="00D21AA0">
      <w:pPr>
        <w:spacing w:after="0" w:line="240" w:lineRule="auto"/>
        <w:jc w:val="both"/>
        <w:rPr>
          <w:rFonts w:ascii="Cambria" w:eastAsia="Cambria" w:hAnsi="Cambria" w:cs="Cambria"/>
          <w:b/>
          <w:bCs/>
          <w:sz w:val="20"/>
          <w:szCs w:val="20"/>
        </w:rPr>
      </w:pPr>
    </w:p>
    <w:p w14:paraId="6AAD9816" w14:textId="7293566E" w:rsidR="006F35C6" w:rsidRPr="007D0AA6" w:rsidRDefault="006F35C6" w:rsidP="00B170C3">
      <w:pPr>
        <w:pStyle w:val="ListParagraph"/>
        <w:numPr>
          <w:ilvl w:val="0"/>
          <w:numId w:val="15"/>
        </w:numPr>
        <w:ind w:left="426" w:hanging="426"/>
        <w:jc w:val="both"/>
        <w:rPr>
          <w:rFonts w:ascii="Cambria" w:hAnsi="Cambria"/>
          <w:sz w:val="20"/>
        </w:rPr>
      </w:pPr>
      <w:r w:rsidRPr="007D0AA6">
        <w:rPr>
          <w:rFonts w:ascii="Cambria" w:hAnsi="Cambria"/>
          <w:sz w:val="20"/>
        </w:rPr>
        <w:t>Les Parties contractantes et les Parties, Entités ou Entités de pêche non contractantes coopérantes (ci-après dénommées « CPC ») devront mettre en œuvre les mesures suivantes concernant les requins capturés en association avec les pêcheries de l'ICCAT.</w:t>
      </w:r>
    </w:p>
    <w:p w14:paraId="4A9CACC0" w14:textId="77777777" w:rsidR="00D21AA0" w:rsidRPr="007D0AA6" w:rsidRDefault="00D21AA0" w:rsidP="00D21AA0">
      <w:pPr>
        <w:pStyle w:val="ListParagraph"/>
        <w:spacing w:after="0" w:line="240" w:lineRule="auto"/>
        <w:ind w:left="502"/>
        <w:jc w:val="both"/>
        <w:rPr>
          <w:rFonts w:ascii="Cambria" w:eastAsia="Cambria" w:hAnsi="Cambria" w:cs="Cambria"/>
          <w:sz w:val="20"/>
          <w:szCs w:val="20"/>
        </w:rPr>
      </w:pPr>
    </w:p>
    <w:p w14:paraId="52247C7C" w14:textId="11F49085" w:rsidR="000B3C7A" w:rsidRPr="007D0AA6" w:rsidRDefault="000B3C7A" w:rsidP="00D21AA0">
      <w:pPr>
        <w:spacing w:after="0" w:line="240" w:lineRule="auto"/>
        <w:jc w:val="both"/>
        <w:rPr>
          <w:rFonts w:ascii="Cambria" w:eastAsia="Cambria" w:hAnsi="Cambria" w:cs="Cambria"/>
          <w:b/>
          <w:bCs/>
          <w:sz w:val="20"/>
          <w:szCs w:val="20"/>
        </w:rPr>
      </w:pPr>
      <w:r w:rsidRPr="007D0AA6">
        <w:rPr>
          <w:rFonts w:ascii="Cambria" w:hAnsi="Cambria"/>
          <w:b/>
          <w:sz w:val="20"/>
        </w:rPr>
        <w:t>Requins dont la rétention est interdite</w:t>
      </w:r>
    </w:p>
    <w:p w14:paraId="5243B394" w14:textId="77777777" w:rsidR="00D21AA0" w:rsidRPr="007D0AA6" w:rsidRDefault="00D21AA0" w:rsidP="00D21AA0">
      <w:pPr>
        <w:spacing w:after="0" w:line="240" w:lineRule="auto"/>
        <w:jc w:val="both"/>
        <w:rPr>
          <w:rFonts w:ascii="Cambria" w:eastAsia="Cambria" w:hAnsi="Cambria" w:cs="Cambria"/>
          <w:sz w:val="20"/>
          <w:szCs w:val="20"/>
        </w:rPr>
      </w:pPr>
    </w:p>
    <w:p w14:paraId="39C97B92" w14:textId="2A7860A5" w:rsidR="00AA5ABE" w:rsidRPr="007D0AA6" w:rsidRDefault="00AA5ABE" w:rsidP="00D21AA0">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Les CPC devront interdire la rétention à bord, le transbordement</w:t>
      </w:r>
      <w:r w:rsidR="00B92EC6" w:rsidRPr="007D0AA6">
        <w:rPr>
          <w:rFonts w:ascii="Cambria" w:hAnsi="Cambria"/>
          <w:sz w:val="20"/>
        </w:rPr>
        <w:t xml:space="preserve">, </w:t>
      </w:r>
      <w:r w:rsidRPr="007D0AA6">
        <w:rPr>
          <w:rFonts w:ascii="Cambria" w:hAnsi="Cambria"/>
          <w:sz w:val="20"/>
        </w:rPr>
        <w:t>le débarquement</w:t>
      </w:r>
      <w:r w:rsidR="00B92EC6" w:rsidRPr="007D0AA6">
        <w:rPr>
          <w:rFonts w:ascii="Cambria" w:hAnsi="Cambria"/>
          <w:sz w:val="20"/>
        </w:rPr>
        <w:t xml:space="preserve">, le stockage, la vente ou la mise en vente </w:t>
      </w:r>
      <w:r w:rsidRPr="007D0AA6">
        <w:rPr>
          <w:rFonts w:ascii="Cambria" w:hAnsi="Cambria"/>
          <w:sz w:val="20"/>
        </w:rPr>
        <w:t xml:space="preserve">d’une partie ou de la totalité de la carcasse des </w:t>
      </w:r>
      <w:r w:rsidR="00525597" w:rsidRPr="007D0AA6">
        <w:rPr>
          <w:rFonts w:ascii="Cambria" w:hAnsi="Cambria"/>
          <w:sz w:val="20"/>
        </w:rPr>
        <w:t xml:space="preserve">espèces </w:t>
      </w:r>
      <w:r w:rsidRPr="007D0AA6">
        <w:rPr>
          <w:rFonts w:ascii="Cambria" w:hAnsi="Cambria"/>
          <w:sz w:val="20"/>
        </w:rPr>
        <w:t>suivant</w:t>
      </w:r>
      <w:r w:rsidR="00525597" w:rsidRPr="007D0AA6">
        <w:rPr>
          <w:rFonts w:ascii="Cambria" w:hAnsi="Cambria"/>
          <w:sz w:val="20"/>
        </w:rPr>
        <w:t>e</w:t>
      </w:r>
      <w:r w:rsidRPr="007D0AA6">
        <w:rPr>
          <w:rFonts w:ascii="Cambria" w:hAnsi="Cambria"/>
          <w:sz w:val="20"/>
        </w:rPr>
        <w:t xml:space="preserve">s : </w:t>
      </w:r>
    </w:p>
    <w:p w14:paraId="19FFB08D" w14:textId="77777777" w:rsidR="00D21AA0" w:rsidRPr="007D0AA6" w:rsidRDefault="00D21AA0" w:rsidP="00D21AA0">
      <w:pPr>
        <w:pStyle w:val="ListParagraph"/>
        <w:spacing w:after="0" w:line="240" w:lineRule="auto"/>
        <w:ind w:left="426"/>
        <w:jc w:val="both"/>
        <w:rPr>
          <w:rFonts w:ascii="Cambria" w:eastAsia="Cambria" w:hAnsi="Cambria" w:cs="Cambria"/>
          <w:sz w:val="20"/>
          <w:szCs w:val="20"/>
        </w:rPr>
      </w:pPr>
    </w:p>
    <w:p w14:paraId="028B2CDD" w14:textId="200B6C47" w:rsidR="00AA5ABE" w:rsidRPr="007D0AA6" w:rsidRDefault="00A050D6"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7D0AA6">
        <w:rPr>
          <w:rFonts w:ascii="Cambria" w:hAnsi="Cambria"/>
          <w:sz w:val="20"/>
        </w:rPr>
        <w:t>Renard à gros yeux</w:t>
      </w:r>
    </w:p>
    <w:p w14:paraId="0D49B3B7" w14:textId="5725446D" w:rsidR="00AA5ABE" w:rsidRPr="007D0AA6" w:rsidRDefault="003723D1"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7D0AA6">
        <w:rPr>
          <w:rFonts w:ascii="Cambria" w:hAnsi="Cambria"/>
          <w:sz w:val="20"/>
        </w:rPr>
        <w:t>Requin océanique</w:t>
      </w:r>
    </w:p>
    <w:p w14:paraId="5904541A" w14:textId="5B816898" w:rsidR="0042054A" w:rsidRPr="007D0AA6" w:rsidRDefault="0022787E"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7D0AA6">
        <w:rPr>
          <w:rFonts w:ascii="Cambria" w:hAnsi="Cambria"/>
          <w:sz w:val="20"/>
        </w:rPr>
        <w:t>Requin marteau</w:t>
      </w:r>
    </w:p>
    <w:p w14:paraId="54C2E108" w14:textId="26212322" w:rsidR="00DE75CD" w:rsidRPr="007D0AA6" w:rsidRDefault="00DE75CD"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7D0AA6">
        <w:rPr>
          <w:rFonts w:ascii="Cambria" w:hAnsi="Cambria"/>
          <w:sz w:val="20"/>
        </w:rPr>
        <w:t>Requin soyeux </w:t>
      </w:r>
    </w:p>
    <w:p w14:paraId="32FA3270" w14:textId="78004EE9" w:rsidR="006F35C6" w:rsidRPr="007D0AA6" w:rsidRDefault="00BC11BF" w:rsidP="006F35C6">
      <w:pPr>
        <w:pStyle w:val="ListParagraph"/>
        <w:numPr>
          <w:ilvl w:val="1"/>
          <w:numId w:val="23"/>
        </w:numPr>
        <w:spacing w:after="0" w:line="240" w:lineRule="auto"/>
        <w:ind w:left="851" w:hanging="425"/>
        <w:jc w:val="both"/>
        <w:rPr>
          <w:rFonts w:ascii="Cambria" w:eastAsia="Cambria" w:hAnsi="Cambria" w:cs="Cambria"/>
          <w:sz w:val="20"/>
          <w:szCs w:val="20"/>
        </w:rPr>
      </w:pPr>
      <w:r w:rsidRPr="007D0AA6">
        <w:rPr>
          <w:rFonts w:ascii="Cambria" w:hAnsi="Cambria"/>
          <w:sz w:val="20"/>
        </w:rPr>
        <w:t>Requin baleine</w:t>
      </w:r>
    </w:p>
    <w:p w14:paraId="3CD6CE90" w14:textId="5221A682" w:rsidR="00525597" w:rsidRPr="007D0AA6" w:rsidRDefault="00F96244" w:rsidP="006F35C6">
      <w:pPr>
        <w:pStyle w:val="ListParagraph"/>
        <w:numPr>
          <w:ilvl w:val="1"/>
          <w:numId w:val="23"/>
        </w:numPr>
        <w:spacing w:after="0" w:line="240" w:lineRule="auto"/>
        <w:ind w:left="851" w:hanging="425"/>
        <w:jc w:val="both"/>
        <w:rPr>
          <w:rFonts w:ascii="Cambria" w:eastAsia="Cambria" w:hAnsi="Cambria" w:cs="Cambria"/>
          <w:sz w:val="20"/>
          <w:szCs w:val="20"/>
        </w:rPr>
      </w:pPr>
      <w:r w:rsidRPr="007D0AA6">
        <w:rPr>
          <w:rFonts w:ascii="Cambria" w:eastAsia="Cambria" w:hAnsi="Cambria" w:cs="Cambria"/>
          <w:sz w:val="20"/>
          <w:szCs w:val="20"/>
        </w:rPr>
        <w:t>Requin pèlerin</w:t>
      </w:r>
    </w:p>
    <w:p w14:paraId="7187E7C8" w14:textId="61E4B6FE" w:rsidR="00F96244" w:rsidRPr="007D0AA6" w:rsidRDefault="009A750C" w:rsidP="006F35C6">
      <w:pPr>
        <w:pStyle w:val="ListParagraph"/>
        <w:numPr>
          <w:ilvl w:val="1"/>
          <w:numId w:val="23"/>
        </w:numPr>
        <w:spacing w:after="0" w:line="240" w:lineRule="auto"/>
        <w:ind w:left="851" w:hanging="425"/>
        <w:jc w:val="both"/>
        <w:rPr>
          <w:rFonts w:ascii="Cambria" w:eastAsia="Cambria" w:hAnsi="Cambria" w:cs="Cambria"/>
          <w:sz w:val="20"/>
          <w:szCs w:val="20"/>
        </w:rPr>
      </w:pPr>
      <w:r w:rsidRPr="007D0AA6">
        <w:rPr>
          <w:rFonts w:ascii="Cambria" w:eastAsia="Cambria" w:hAnsi="Cambria" w:cs="Cambria"/>
          <w:sz w:val="20"/>
          <w:szCs w:val="20"/>
        </w:rPr>
        <w:t>Grand requin blanc</w:t>
      </w:r>
    </w:p>
    <w:p w14:paraId="0ED51456" w14:textId="77777777" w:rsidR="009A750C" w:rsidRPr="007D0AA6" w:rsidRDefault="009A750C" w:rsidP="009A750C">
      <w:pPr>
        <w:pStyle w:val="ListParagraph"/>
        <w:spacing w:after="0" w:line="240" w:lineRule="auto"/>
        <w:ind w:left="851"/>
        <w:jc w:val="both"/>
        <w:rPr>
          <w:rFonts w:ascii="Cambria" w:eastAsia="Cambria" w:hAnsi="Cambria" w:cs="Cambria"/>
          <w:sz w:val="20"/>
          <w:szCs w:val="20"/>
        </w:rPr>
      </w:pPr>
    </w:p>
    <w:p w14:paraId="4CA0BDC3" w14:textId="21C86B02" w:rsidR="00EF6F47" w:rsidRPr="007D0AA6" w:rsidRDefault="00EF6F47" w:rsidP="00144AA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 xml:space="preserve">Par dérogation aux dispositions du paragraphe </w:t>
      </w:r>
      <w:r w:rsidR="009A750C" w:rsidRPr="007D0AA6">
        <w:rPr>
          <w:rFonts w:ascii="Cambria" w:hAnsi="Cambria"/>
          <w:sz w:val="20"/>
        </w:rPr>
        <w:t>3</w:t>
      </w:r>
      <w:r w:rsidRPr="007D0AA6">
        <w:rPr>
          <w:rFonts w:ascii="Cambria" w:hAnsi="Cambria"/>
          <w:sz w:val="20"/>
        </w:rPr>
        <w:t xml:space="preserve">, la collecte d'échantillons biologiques pendant les opérations de pêche commerciale (à savoir vertèbres, tissus, organes de reproduction, contenus stomacaux, échantillons de peau, valves spirales, mâchoires, spécimens entiers ou squelettes pour des travaux taxonomiques ou inventaires de la faune) par des observateurs scientifiques ou des personnes dûment autorisées par la CPC à prélever des échantillonnages biologiques est autorisée dans les conditions ci-après : </w:t>
      </w:r>
    </w:p>
    <w:p w14:paraId="3E2C3680" w14:textId="77777777" w:rsidR="00144AA9" w:rsidRPr="007D0AA6" w:rsidRDefault="00144AA9" w:rsidP="00144AA9">
      <w:pPr>
        <w:pStyle w:val="ListParagraph"/>
        <w:spacing w:after="0" w:line="240" w:lineRule="auto"/>
        <w:ind w:left="426"/>
        <w:jc w:val="both"/>
        <w:rPr>
          <w:rFonts w:ascii="Cambria" w:eastAsia="Cambria" w:hAnsi="Cambria" w:cs="Cambria"/>
          <w:sz w:val="20"/>
          <w:szCs w:val="20"/>
        </w:rPr>
      </w:pPr>
    </w:p>
    <w:p w14:paraId="7EEA44BC" w14:textId="6DFEFB74" w:rsidR="00EF6F47" w:rsidRPr="007D0AA6"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7D0AA6">
        <w:rPr>
          <w:rFonts w:ascii="Cambria" w:hAnsi="Cambria"/>
          <w:sz w:val="20"/>
        </w:rPr>
        <w:t>Les échantillons biologiques ne sont recueillis que sur des animaux morts au moment de la remontée.</w:t>
      </w:r>
    </w:p>
    <w:p w14:paraId="7736159E" w14:textId="77777777" w:rsidR="00144AA9" w:rsidRPr="007D0AA6" w:rsidRDefault="00144AA9" w:rsidP="00144AA9">
      <w:pPr>
        <w:pStyle w:val="ListParagraph"/>
        <w:spacing w:after="0" w:line="240" w:lineRule="auto"/>
        <w:ind w:left="1210"/>
        <w:jc w:val="both"/>
        <w:rPr>
          <w:rFonts w:ascii="Cambria" w:eastAsia="Cambria" w:hAnsi="Cambria" w:cs="Cambria"/>
          <w:sz w:val="20"/>
          <w:szCs w:val="20"/>
        </w:rPr>
      </w:pPr>
    </w:p>
    <w:p w14:paraId="74E3DA9E" w14:textId="3E0FF023" w:rsidR="00EF6F47" w:rsidRPr="007D0AA6" w:rsidRDefault="006F35C6"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7D0AA6">
        <w:rPr>
          <w:rFonts w:ascii="Cambria" w:hAnsi="Cambria"/>
          <w:sz w:val="20"/>
        </w:rPr>
        <w:t>Le cas échéant, l</w:t>
      </w:r>
      <w:r w:rsidR="00225F67" w:rsidRPr="007D0AA6">
        <w:rPr>
          <w:rFonts w:ascii="Cambria" w:hAnsi="Cambria"/>
          <w:sz w:val="20"/>
        </w:rPr>
        <w:t>es échantillons biologiques sont prélevés dans le cadre d'un projet de recherche communiqué au SCRS et élaboré en tenant compte des priorités de recherche recommandées par le Groupe d’espèces sur les requins du SCRS. Le projet de recherche devrait inclure un document détaillé décrivant l’objectif du travail, les méthodologies à utiliser, le nombre et le type d’échantillons à prélever, la distribution spatio-temporelle de l’échantillonnage et un chronogramme des activités à réaliser.</w:t>
      </w:r>
    </w:p>
    <w:p w14:paraId="6B00CADE" w14:textId="77777777" w:rsidR="00144AA9" w:rsidRPr="007D0AA6" w:rsidRDefault="00144AA9" w:rsidP="00144AA9">
      <w:pPr>
        <w:pStyle w:val="ListParagraph"/>
        <w:spacing w:after="0" w:line="240" w:lineRule="auto"/>
        <w:rPr>
          <w:rFonts w:ascii="Cambria" w:eastAsia="Cambria" w:hAnsi="Cambria" w:cs="Cambria"/>
          <w:sz w:val="20"/>
          <w:szCs w:val="20"/>
        </w:rPr>
      </w:pPr>
    </w:p>
    <w:p w14:paraId="6C362025" w14:textId="77777777" w:rsidR="00EF6F47" w:rsidRPr="007D0AA6"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7D0AA6">
        <w:rPr>
          <w:rFonts w:ascii="Cambria" w:hAnsi="Cambria"/>
          <w:sz w:val="20"/>
        </w:rPr>
        <w:t>Les échantillons biologiques doivent être conservés à bord jusqu'au port de débarquement ou de transbordement.</w:t>
      </w:r>
    </w:p>
    <w:p w14:paraId="16B63A65" w14:textId="77777777" w:rsidR="00144AA9" w:rsidRPr="007D0AA6" w:rsidRDefault="00144AA9" w:rsidP="00144AA9">
      <w:pPr>
        <w:pStyle w:val="ListParagraph"/>
        <w:spacing w:after="0" w:line="240" w:lineRule="auto"/>
        <w:rPr>
          <w:rFonts w:ascii="Cambria" w:eastAsia="Cambria" w:hAnsi="Cambria" w:cs="Cambria"/>
          <w:sz w:val="20"/>
          <w:szCs w:val="20"/>
        </w:rPr>
      </w:pPr>
    </w:p>
    <w:p w14:paraId="2454BB93" w14:textId="0AAB6269" w:rsidR="00225F67" w:rsidRPr="007D0AA6"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7D0AA6">
        <w:rPr>
          <w:rFonts w:ascii="Cambria" w:hAnsi="Cambria"/>
          <w:sz w:val="20"/>
        </w:rPr>
        <w:t>L’autorisation de la CPC d</w:t>
      </w:r>
      <w:r w:rsidR="00BC6DCB" w:rsidRPr="007D0AA6">
        <w:rPr>
          <w:rFonts w:ascii="Cambria" w:hAnsi="Cambria"/>
          <w:sz w:val="20"/>
        </w:rPr>
        <w:t>u</w:t>
      </w:r>
      <w:r w:rsidRPr="007D0AA6">
        <w:rPr>
          <w:rFonts w:ascii="Cambria" w:hAnsi="Cambria"/>
          <w:sz w:val="20"/>
        </w:rPr>
        <w:t xml:space="preserve"> pavillon, ou, dans le cas des navires affrétés, de la CPC affréteuse et la CPC d</w:t>
      </w:r>
      <w:r w:rsidR="00B82AA2" w:rsidRPr="007D0AA6">
        <w:rPr>
          <w:rFonts w:ascii="Cambria" w:hAnsi="Cambria"/>
          <w:sz w:val="20"/>
        </w:rPr>
        <w:t>u</w:t>
      </w:r>
      <w:r w:rsidRPr="007D0AA6">
        <w:rPr>
          <w:rFonts w:ascii="Cambria" w:hAnsi="Cambria"/>
          <w:sz w:val="20"/>
        </w:rPr>
        <w:t xml:space="preserve"> pavillon, doit accompagner tous les échantillons collectés en vertu du présent paragraphe jusqu’au port final de débarquement. Ces échantillons et les autres parties des spécimens de requins échantillonnés ne peuvent pas être commercialisés ou vendus.</w:t>
      </w:r>
    </w:p>
    <w:p w14:paraId="757B5AD0" w14:textId="77777777" w:rsidR="00144AA9" w:rsidRPr="007D0AA6" w:rsidRDefault="00144AA9" w:rsidP="00144AA9">
      <w:pPr>
        <w:pStyle w:val="ListParagraph"/>
        <w:spacing w:after="0" w:line="240" w:lineRule="auto"/>
        <w:rPr>
          <w:rFonts w:ascii="Cambria" w:eastAsia="Cambria" w:hAnsi="Cambria" w:cs="Cambria"/>
          <w:sz w:val="20"/>
          <w:szCs w:val="20"/>
        </w:rPr>
      </w:pPr>
    </w:p>
    <w:p w14:paraId="2647B3EF" w14:textId="62EDB76E" w:rsidR="00CD6783" w:rsidRPr="007D0AA6" w:rsidRDefault="00CD6783" w:rsidP="00144AA9">
      <w:pPr>
        <w:spacing w:after="0" w:line="240" w:lineRule="auto"/>
        <w:ind w:left="851" w:hanging="425"/>
        <w:jc w:val="both"/>
        <w:rPr>
          <w:rFonts w:ascii="Cambria" w:eastAsia="Cambria" w:hAnsi="Cambria" w:cs="Cambria"/>
          <w:sz w:val="20"/>
          <w:szCs w:val="20"/>
        </w:rPr>
      </w:pPr>
      <w:r w:rsidRPr="007D0AA6">
        <w:rPr>
          <w:rFonts w:ascii="Cambria" w:hAnsi="Cambria"/>
          <w:sz w:val="20"/>
        </w:rPr>
        <w:t>La campagne d'échantillonnage ne peut commencer que lorsque l’État pertinent a émis l’autorisation.</w:t>
      </w:r>
    </w:p>
    <w:p w14:paraId="588A9A04" w14:textId="77777777" w:rsidR="00144AA9" w:rsidRPr="007D0AA6" w:rsidRDefault="00144AA9" w:rsidP="00144AA9">
      <w:pPr>
        <w:spacing w:after="0" w:line="240" w:lineRule="auto"/>
        <w:ind w:left="502"/>
        <w:jc w:val="both"/>
        <w:rPr>
          <w:rFonts w:ascii="Cambria" w:eastAsia="Cambria" w:hAnsi="Cambria" w:cs="Cambria"/>
          <w:sz w:val="20"/>
          <w:szCs w:val="20"/>
        </w:rPr>
      </w:pPr>
    </w:p>
    <w:p w14:paraId="6FF24DAC" w14:textId="2D9A1BC1" w:rsidR="00D03D75" w:rsidRPr="007D0AA6" w:rsidRDefault="00EF6F47"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 xml:space="preserve">Un rapport annuel sur les résultats atteints par le projet de recherche mentionné au paragraphe </w:t>
      </w:r>
      <w:r w:rsidR="00EC3CA7" w:rsidRPr="007D0AA6">
        <w:rPr>
          <w:rFonts w:ascii="Cambria" w:hAnsi="Cambria"/>
          <w:sz w:val="20"/>
        </w:rPr>
        <w:t>4</w:t>
      </w:r>
      <w:r w:rsidRPr="007D0AA6">
        <w:rPr>
          <w:rFonts w:ascii="Cambria" w:hAnsi="Cambria"/>
          <w:sz w:val="20"/>
        </w:rPr>
        <w:t xml:space="preserve"> devrait être présenté au Groupe d’espèces sur les requins et au SCRS. Le SCRS devrait examiner et évaluer ce rapport et fournir un avis sur le suivi à apporter.</w:t>
      </w:r>
    </w:p>
    <w:p w14:paraId="10535EC6" w14:textId="77777777" w:rsidR="00A56029" w:rsidRPr="007D0AA6" w:rsidRDefault="00A56029" w:rsidP="00144AA9">
      <w:pPr>
        <w:pStyle w:val="ListParagraph"/>
        <w:spacing w:after="0" w:line="240" w:lineRule="auto"/>
        <w:ind w:left="502"/>
        <w:jc w:val="both"/>
        <w:rPr>
          <w:rFonts w:ascii="Cambria" w:eastAsia="Cambria" w:hAnsi="Cambria" w:cs="Cambria"/>
          <w:sz w:val="20"/>
          <w:szCs w:val="20"/>
        </w:rPr>
      </w:pPr>
    </w:p>
    <w:p w14:paraId="63903D12" w14:textId="77777777" w:rsidR="00EC3CA7" w:rsidRPr="007D0AA6" w:rsidRDefault="00EC3CA7">
      <w:pPr>
        <w:rPr>
          <w:rFonts w:ascii="Cambria" w:hAnsi="Cambria"/>
          <w:b/>
          <w:sz w:val="20"/>
        </w:rPr>
      </w:pPr>
      <w:r w:rsidRPr="007D0AA6">
        <w:rPr>
          <w:rFonts w:ascii="Cambria" w:hAnsi="Cambria"/>
          <w:b/>
          <w:sz w:val="20"/>
        </w:rPr>
        <w:br w:type="page"/>
      </w:r>
    </w:p>
    <w:p w14:paraId="47FB696D" w14:textId="0C2787C5" w:rsidR="005667F3" w:rsidRPr="007D0AA6" w:rsidRDefault="005667F3" w:rsidP="00144AA9">
      <w:pPr>
        <w:spacing w:after="0" w:line="240" w:lineRule="auto"/>
        <w:jc w:val="both"/>
        <w:rPr>
          <w:rFonts w:ascii="Cambria" w:eastAsia="Cambria" w:hAnsi="Cambria" w:cs="Cambria"/>
          <w:b/>
          <w:bCs/>
          <w:sz w:val="20"/>
          <w:szCs w:val="20"/>
        </w:rPr>
      </w:pPr>
      <w:r w:rsidRPr="007D0AA6">
        <w:rPr>
          <w:rFonts w:ascii="Cambria" w:hAnsi="Cambria"/>
          <w:b/>
          <w:sz w:val="20"/>
        </w:rPr>
        <w:lastRenderedPageBreak/>
        <w:t>Atténuation des prises accessoires et remise à l'eau en toute sécurité</w:t>
      </w:r>
    </w:p>
    <w:p w14:paraId="68AAED84" w14:textId="77777777" w:rsidR="00144AA9" w:rsidRPr="007D0AA6" w:rsidRDefault="00144AA9" w:rsidP="00144AA9">
      <w:pPr>
        <w:spacing w:after="0" w:line="240" w:lineRule="auto"/>
        <w:jc w:val="both"/>
        <w:rPr>
          <w:rFonts w:ascii="Cambria" w:eastAsia="Cambria" w:hAnsi="Cambria" w:cs="Cambria"/>
          <w:sz w:val="20"/>
          <w:szCs w:val="20"/>
        </w:rPr>
      </w:pPr>
    </w:p>
    <w:p w14:paraId="1CBB2FB4" w14:textId="4DF7DB9D" w:rsidR="00A050D6" w:rsidRPr="007D0AA6" w:rsidRDefault="00157249"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Dans les pêcheries qui ne ciblent pas les requins, les CPC devront encourager, dans toute la mesure du possible, la remise à l’eau en toute sécurité des requins</w:t>
      </w:r>
      <w:r w:rsidR="006F35C6" w:rsidRPr="007D0AA6">
        <w:rPr>
          <w:rFonts w:ascii="Cambria" w:hAnsi="Cambria"/>
          <w:sz w:val="20"/>
        </w:rPr>
        <w:t xml:space="preserve"> vivants</w:t>
      </w:r>
      <w:r w:rsidRPr="007D0AA6">
        <w:rPr>
          <w:rFonts w:ascii="Cambria" w:hAnsi="Cambria"/>
          <w:sz w:val="20"/>
        </w:rPr>
        <w:t>, notamment des juvéniles, qui sont capturés accidentellement et ne sont pas utilisés à des fins alimentaires et/ou de subsistance.</w:t>
      </w:r>
    </w:p>
    <w:p w14:paraId="0EBB9AC9" w14:textId="77777777" w:rsidR="00BE6D88" w:rsidRPr="007D0AA6" w:rsidRDefault="00BE6D88" w:rsidP="00BE6D88">
      <w:pPr>
        <w:pStyle w:val="ListParagraph"/>
        <w:spacing w:after="0" w:line="240" w:lineRule="auto"/>
        <w:ind w:left="426"/>
        <w:jc w:val="both"/>
        <w:rPr>
          <w:rFonts w:ascii="Cambria" w:eastAsia="Cambria" w:hAnsi="Cambria" w:cs="Cambria"/>
          <w:sz w:val="20"/>
          <w:szCs w:val="20"/>
        </w:rPr>
      </w:pPr>
    </w:p>
    <w:p w14:paraId="42112BCD" w14:textId="6FF6A0AD" w:rsidR="00A050D6" w:rsidRPr="007D0AA6" w:rsidRDefault="00A050D6"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Les CPC devront exiger des navires battant leur pavillon qu'ils relâchent rapidement</w:t>
      </w:r>
      <w:r w:rsidR="006F35C6" w:rsidRPr="007D0AA6">
        <w:rPr>
          <w:rFonts w:ascii="Cambria" w:hAnsi="Cambria"/>
          <w:sz w:val="20"/>
        </w:rPr>
        <w:t xml:space="preserve"> </w:t>
      </w:r>
      <w:r w:rsidR="00D52290" w:rsidRPr="007D0AA6">
        <w:rPr>
          <w:rFonts w:ascii="Cambria" w:hAnsi="Cambria"/>
          <w:sz w:val="20"/>
        </w:rPr>
        <w:t xml:space="preserve">et </w:t>
      </w:r>
      <w:r w:rsidR="006F35C6" w:rsidRPr="007D0AA6">
        <w:rPr>
          <w:rFonts w:ascii="Cambria" w:hAnsi="Cambria"/>
          <w:sz w:val="20"/>
        </w:rPr>
        <w:t>indemnes</w:t>
      </w:r>
      <w:r w:rsidRPr="007D0AA6">
        <w:rPr>
          <w:rFonts w:ascii="Cambria" w:hAnsi="Cambria"/>
          <w:sz w:val="20"/>
        </w:rPr>
        <w:t xml:space="preserve">, dans la mesure du possible et en tenant dûment compte de la sécurité des membres de l'équipage, les requins énumérés au paragraphe </w:t>
      </w:r>
      <w:r w:rsidR="00EC3CA7" w:rsidRPr="007D0AA6">
        <w:rPr>
          <w:rFonts w:ascii="Cambria" w:hAnsi="Cambria"/>
          <w:sz w:val="20"/>
        </w:rPr>
        <w:t>3</w:t>
      </w:r>
      <w:r w:rsidRPr="007D0AA6">
        <w:rPr>
          <w:rFonts w:ascii="Cambria" w:hAnsi="Cambria"/>
          <w:sz w:val="20"/>
        </w:rPr>
        <w:t xml:space="preserve"> et les requins-taupes communs</w:t>
      </w:r>
      <w:r w:rsidR="006F35C6" w:rsidRPr="007D0AA6">
        <w:rPr>
          <w:rFonts w:ascii="Cambria" w:hAnsi="Cambria"/>
          <w:sz w:val="20"/>
        </w:rPr>
        <w:t xml:space="preserve"> qui sont </w:t>
      </w:r>
      <w:r w:rsidRPr="007D0AA6">
        <w:rPr>
          <w:rFonts w:ascii="Cambria" w:hAnsi="Cambria"/>
          <w:sz w:val="20"/>
        </w:rPr>
        <w:t xml:space="preserve">vivants, lorsqu'ils sont amenés le long du navire pour être pris à bord de ce dernier. </w:t>
      </w:r>
      <w:r w:rsidR="006F35C6" w:rsidRPr="007D0AA6">
        <w:rPr>
          <w:rFonts w:ascii="Cambria" w:hAnsi="Cambria"/>
          <w:sz w:val="20"/>
        </w:rPr>
        <w:t xml:space="preserve">Les CPC devront exiger que, lorsqu'un requin-baleine est accidentellement encerclé dans un filet de senne, le capitaine du navire de pêche prenne toutes les mesures raisonnables pour assurer sa remise l’eau en toute sécurité. </w:t>
      </w:r>
      <w:r w:rsidRPr="007D0AA6">
        <w:rPr>
          <w:rFonts w:ascii="Cambria" w:hAnsi="Cambria"/>
          <w:sz w:val="20"/>
        </w:rPr>
        <w:t>Pour la remise en liberté de requins baleines, les CPC devraient exiger des navires battant leur pavillon qu'ils appliquent les directives énoncées à l'</w:t>
      </w:r>
      <w:r w:rsidRPr="007D0AA6">
        <w:rPr>
          <w:rFonts w:ascii="Cambria" w:hAnsi="Cambria"/>
          <w:b/>
          <w:bCs/>
          <w:sz w:val="20"/>
        </w:rPr>
        <w:t>annexe 1</w:t>
      </w:r>
      <w:r w:rsidRPr="007D0AA6">
        <w:rPr>
          <w:rFonts w:ascii="Cambria" w:hAnsi="Cambria"/>
          <w:sz w:val="20"/>
        </w:rPr>
        <w:t>.</w:t>
      </w:r>
    </w:p>
    <w:p w14:paraId="1C3640E3" w14:textId="77777777" w:rsidR="003B3788" w:rsidRPr="007D0AA6" w:rsidRDefault="003B3788" w:rsidP="00D21AA0">
      <w:pPr>
        <w:spacing w:after="0" w:line="240" w:lineRule="auto"/>
        <w:jc w:val="both"/>
        <w:rPr>
          <w:rFonts w:ascii="Cambria" w:eastAsia="Cambria" w:hAnsi="Cambria" w:cs="Cambria"/>
          <w:sz w:val="20"/>
          <w:szCs w:val="20"/>
        </w:rPr>
      </w:pPr>
    </w:p>
    <w:p w14:paraId="0A5F3B5C" w14:textId="565C0D2E" w:rsidR="00C5652C" w:rsidRPr="007D0AA6" w:rsidRDefault="00344086" w:rsidP="00D21AA0">
      <w:pPr>
        <w:spacing w:after="0" w:line="240" w:lineRule="auto"/>
        <w:jc w:val="both"/>
        <w:rPr>
          <w:rFonts w:ascii="Cambria" w:eastAsia="Cambria" w:hAnsi="Cambria" w:cs="Cambria"/>
          <w:b/>
          <w:bCs/>
          <w:sz w:val="20"/>
          <w:szCs w:val="20"/>
        </w:rPr>
      </w:pPr>
      <w:r w:rsidRPr="007D0AA6">
        <w:rPr>
          <w:rFonts w:ascii="Cambria" w:hAnsi="Cambria"/>
          <w:b/>
          <w:sz w:val="20"/>
        </w:rPr>
        <w:t>Règles et exemptions spécifiques aux espèces</w:t>
      </w:r>
    </w:p>
    <w:p w14:paraId="22DBB11D" w14:textId="77777777" w:rsidR="007E1F39" w:rsidRPr="007D0AA6" w:rsidRDefault="007E1F39" w:rsidP="00D21AA0">
      <w:pPr>
        <w:spacing w:after="0" w:line="240" w:lineRule="auto"/>
        <w:jc w:val="both"/>
        <w:rPr>
          <w:rFonts w:ascii="Cambria" w:eastAsia="Cambria" w:hAnsi="Cambria" w:cs="Cambria"/>
          <w:sz w:val="20"/>
          <w:szCs w:val="20"/>
        </w:rPr>
      </w:pPr>
    </w:p>
    <w:p w14:paraId="38980075" w14:textId="45F8070D" w:rsidR="003E7C99" w:rsidRPr="007D0AA6"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 xml:space="preserve">Requin renard </w:t>
      </w:r>
    </w:p>
    <w:p w14:paraId="205B4D8E" w14:textId="77777777" w:rsidR="007E1F39" w:rsidRPr="007D0AA6" w:rsidRDefault="007E1F39" w:rsidP="007E1F39">
      <w:pPr>
        <w:pStyle w:val="ListParagraph"/>
        <w:spacing w:after="0" w:line="240" w:lineRule="auto"/>
        <w:ind w:left="426"/>
        <w:jc w:val="both"/>
        <w:rPr>
          <w:rFonts w:ascii="Cambria" w:eastAsia="Cambria" w:hAnsi="Cambria" w:cs="Cambria"/>
          <w:sz w:val="20"/>
          <w:szCs w:val="20"/>
        </w:rPr>
      </w:pPr>
    </w:p>
    <w:p w14:paraId="009A72DB" w14:textId="058A2699" w:rsidR="003E7C99" w:rsidRPr="007D0AA6" w:rsidRDefault="00F6410B" w:rsidP="007E1F39">
      <w:pPr>
        <w:pStyle w:val="ListParagraph"/>
        <w:numPr>
          <w:ilvl w:val="1"/>
          <w:numId w:val="11"/>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Les mesures prévues au </w:t>
      </w:r>
      <w:r w:rsidR="00B429E4" w:rsidRPr="007D0AA6">
        <w:rPr>
          <w:rFonts w:ascii="Cambria" w:hAnsi="Cambria"/>
          <w:sz w:val="20"/>
        </w:rPr>
        <w:t>paragraphe</w:t>
      </w:r>
      <w:r w:rsidRPr="007D0AA6">
        <w:rPr>
          <w:rFonts w:ascii="Cambria" w:hAnsi="Cambria"/>
          <w:sz w:val="20"/>
        </w:rPr>
        <w:t xml:space="preserve"> 3 pour le </w:t>
      </w:r>
      <w:r w:rsidR="00B429E4" w:rsidRPr="007D0AA6">
        <w:rPr>
          <w:rFonts w:ascii="Cambria" w:hAnsi="Cambria"/>
          <w:sz w:val="20"/>
        </w:rPr>
        <w:t>requin renard à gros yeux</w:t>
      </w:r>
      <w:r w:rsidR="00A050D6" w:rsidRPr="007D0AA6">
        <w:rPr>
          <w:rFonts w:ascii="Cambria" w:hAnsi="Cambria"/>
          <w:sz w:val="20"/>
        </w:rPr>
        <w:t xml:space="preserve"> ne devr</w:t>
      </w:r>
      <w:r w:rsidR="00B429E4" w:rsidRPr="007D0AA6">
        <w:rPr>
          <w:rFonts w:ascii="Cambria" w:hAnsi="Cambria"/>
          <w:sz w:val="20"/>
        </w:rPr>
        <w:t>ont</w:t>
      </w:r>
      <w:r w:rsidR="00A050D6" w:rsidRPr="007D0AA6">
        <w:rPr>
          <w:rFonts w:ascii="Cambria" w:hAnsi="Cambria"/>
          <w:sz w:val="20"/>
        </w:rPr>
        <w:t xml:space="preserve"> pas s'appliquer à la pêcherie côtière mexicaine à petite échelle dont les captures sont inférieures à 110 </w:t>
      </w:r>
      <w:r w:rsidR="006F35C6" w:rsidRPr="007D0AA6">
        <w:rPr>
          <w:rFonts w:ascii="Cambria" w:hAnsi="Cambria"/>
          <w:sz w:val="20"/>
        </w:rPr>
        <w:t>spécimens de renard à gros yeux.</w:t>
      </w:r>
    </w:p>
    <w:p w14:paraId="138F7552" w14:textId="77777777" w:rsidR="007E1F39" w:rsidRPr="007D0AA6" w:rsidRDefault="007E1F39" w:rsidP="007E1F39">
      <w:pPr>
        <w:pStyle w:val="ListParagraph"/>
        <w:spacing w:after="0" w:line="240" w:lineRule="auto"/>
        <w:ind w:left="851"/>
        <w:jc w:val="both"/>
        <w:rPr>
          <w:rFonts w:ascii="Cambria" w:eastAsia="Cambria" w:hAnsi="Cambria" w:cs="Cambria"/>
          <w:sz w:val="20"/>
          <w:szCs w:val="20"/>
        </w:rPr>
      </w:pPr>
    </w:p>
    <w:p w14:paraId="4233E3E0" w14:textId="01206D1A" w:rsidR="00EC1E70" w:rsidRPr="007D0AA6" w:rsidRDefault="00A050D6" w:rsidP="007E1F39">
      <w:pPr>
        <w:pStyle w:val="ListParagraph"/>
        <w:numPr>
          <w:ilvl w:val="1"/>
          <w:numId w:val="11"/>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Les CPC </w:t>
      </w:r>
      <w:r w:rsidR="0087401D" w:rsidRPr="007D0AA6">
        <w:rPr>
          <w:rFonts w:ascii="Cambria" w:hAnsi="Cambria"/>
          <w:sz w:val="20"/>
        </w:rPr>
        <w:t xml:space="preserve">devraient </w:t>
      </w:r>
      <w:r w:rsidR="00D52290" w:rsidRPr="007D0AA6">
        <w:rPr>
          <w:rFonts w:ascii="Cambria" w:hAnsi="Cambria"/>
          <w:sz w:val="20"/>
        </w:rPr>
        <w:t>vivement</w:t>
      </w:r>
      <w:r w:rsidR="0087401D" w:rsidRPr="007D0AA6">
        <w:rPr>
          <w:rFonts w:ascii="Cambria" w:hAnsi="Cambria"/>
          <w:sz w:val="20"/>
        </w:rPr>
        <w:t xml:space="preserve"> s'efforcer </w:t>
      </w:r>
      <w:r w:rsidRPr="007D0AA6">
        <w:rPr>
          <w:rFonts w:ascii="Cambria" w:hAnsi="Cambria"/>
          <w:sz w:val="20"/>
        </w:rPr>
        <w:t>que les navires battant leur pavillon n’entreprennent pas de pêcherie dirigée sur les renards de mer</w:t>
      </w:r>
      <w:r w:rsidRPr="007D0AA6">
        <w:rPr>
          <w:rFonts w:ascii="Cambria" w:hAnsi="Cambria"/>
          <w:i/>
          <w:sz w:val="20"/>
        </w:rPr>
        <w:t>.</w:t>
      </w:r>
    </w:p>
    <w:p w14:paraId="328B4AB3" w14:textId="77777777" w:rsidR="007E1F39" w:rsidRPr="007D0AA6" w:rsidRDefault="007E1F39" w:rsidP="007E1F39">
      <w:pPr>
        <w:pStyle w:val="ListParagraph"/>
        <w:spacing w:after="0" w:line="240" w:lineRule="auto"/>
        <w:ind w:left="851"/>
        <w:jc w:val="both"/>
        <w:rPr>
          <w:rFonts w:ascii="Cambria" w:eastAsia="Cambria" w:hAnsi="Cambria" w:cs="Cambria"/>
          <w:sz w:val="20"/>
          <w:szCs w:val="20"/>
        </w:rPr>
      </w:pPr>
    </w:p>
    <w:p w14:paraId="43DDED73" w14:textId="680772A6" w:rsidR="00C5652C" w:rsidRPr="007D0AA6"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Requin marteau</w:t>
      </w:r>
    </w:p>
    <w:p w14:paraId="38F925A9" w14:textId="77777777" w:rsidR="007E1F39" w:rsidRPr="007D0AA6" w:rsidRDefault="007E1F39" w:rsidP="007E1F39">
      <w:pPr>
        <w:pStyle w:val="ListParagraph"/>
        <w:spacing w:after="0" w:line="240" w:lineRule="auto"/>
        <w:ind w:left="426"/>
        <w:jc w:val="both"/>
        <w:rPr>
          <w:rFonts w:ascii="Cambria" w:eastAsia="Cambria" w:hAnsi="Cambria" w:cs="Cambria"/>
          <w:sz w:val="20"/>
          <w:szCs w:val="20"/>
        </w:rPr>
      </w:pPr>
    </w:p>
    <w:p w14:paraId="1D9B13BB" w14:textId="29A1DDFA" w:rsidR="009245D2" w:rsidRPr="007D0AA6" w:rsidRDefault="00D76E4E" w:rsidP="007E1F39">
      <w:pPr>
        <w:pStyle w:val="ListParagraph"/>
        <w:numPr>
          <w:ilvl w:val="0"/>
          <w:numId w:val="4"/>
        </w:numPr>
        <w:spacing w:after="0" w:line="240" w:lineRule="auto"/>
        <w:ind w:left="851" w:hanging="425"/>
        <w:jc w:val="both"/>
        <w:rPr>
          <w:rFonts w:ascii="Cambria" w:eastAsia="Cambria" w:hAnsi="Cambria" w:cs="Cambria"/>
          <w:sz w:val="20"/>
          <w:szCs w:val="20"/>
        </w:rPr>
      </w:pPr>
      <w:r w:rsidRPr="007D0AA6">
        <w:rPr>
          <w:rFonts w:ascii="Cambria" w:hAnsi="Cambria"/>
          <w:sz w:val="20"/>
        </w:rPr>
        <w:t>Les requins marteaux</w:t>
      </w:r>
      <w:r w:rsidR="0693F02E" w:rsidRPr="007D0AA6">
        <w:rPr>
          <w:rFonts w:ascii="Cambria" w:hAnsi="Cambria"/>
          <w:sz w:val="20"/>
        </w:rPr>
        <w:t xml:space="preserve"> capturés par les CPC côtières en développement pour leur consommation locale sont exonérés des mesures établies aux paragraphes </w:t>
      </w:r>
      <w:r w:rsidR="00111628" w:rsidRPr="007D0AA6">
        <w:rPr>
          <w:rFonts w:ascii="Cambria" w:hAnsi="Cambria"/>
          <w:sz w:val="20"/>
        </w:rPr>
        <w:t>3</w:t>
      </w:r>
      <w:r w:rsidR="0693F02E" w:rsidRPr="007D0AA6">
        <w:rPr>
          <w:rFonts w:ascii="Cambria" w:hAnsi="Cambria"/>
          <w:sz w:val="20"/>
        </w:rPr>
        <w:t xml:space="preserve"> et </w:t>
      </w:r>
      <w:r w:rsidR="00111628" w:rsidRPr="007D0AA6">
        <w:rPr>
          <w:rFonts w:ascii="Cambria" w:hAnsi="Cambria"/>
          <w:sz w:val="20"/>
        </w:rPr>
        <w:t>7</w:t>
      </w:r>
      <w:r w:rsidR="0693F02E" w:rsidRPr="007D0AA6">
        <w:rPr>
          <w:rFonts w:ascii="Cambria" w:hAnsi="Cambria"/>
          <w:sz w:val="20"/>
        </w:rPr>
        <w:t xml:space="preserve">, sous réserve que ces CPC soumettent des données de la tâche 1 et de la tâche 2, selon les procédures de déclaration établies par l’ICCAT. S’il n’est pas possible de fournir des données de capture par espèce, celles-ci devront être fournies au moins par genre </w:t>
      </w:r>
      <w:r w:rsidR="0693F02E" w:rsidRPr="007D0AA6">
        <w:rPr>
          <w:rFonts w:ascii="Cambria" w:hAnsi="Cambria"/>
          <w:i/>
          <w:iCs/>
          <w:sz w:val="20"/>
        </w:rPr>
        <w:t>Sphryna</w:t>
      </w:r>
      <w:r w:rsidR="0693F02E" w:rsidRPr="007D0AA6">
        <w:rPr>
          <w:rFonts w:ascii="Cambria" w:hAnsi="Cambria"/>
          <w:sz w:val="20"/>
        </w:rPr>
        <w:t xml:space="preserve">. </w:t>
      </w:r>
    </w:p>
    <w:p w14:paraId="4F3F9044" w14:textId="77777777" w:rsidR="007E1F39" w:rsidRPr="007D0AA6" w:rsidRDefault="007E1F39" w:rsidP="007E1F39">
      <w:pPr>
        <w:pStyle w:val="ListParagraph"/>
        <w:spacing w:after="0" w:line="240" w:lineRule="auto"/>
        <w:ind w:left="1440"/>
        <w:jc w:val="both"/>
        <w:rPr>
          <w:rFonts w:ascii="Cambria" w:eastAsia="Cambria" w:hAnsi="Cambria" w:cs="Cambria"/>
          <w:sz w:val="20"/>
          <w:szCs w:val="20"/>
        </w:rPr>
      </w:pPr>
    </w:p>
    <w:p w14:paraId="7DFAC85D" w14:textId="038D681C" w:rsidR="009245D2" w:rsidRPr="007D0AA6" w:rsidRDefault="009245D2" w:rsidP="007E1F39">
      <w:pPr>
        <w:pStyle w:val="ListParagraph"/>
        <w:numPr>
          <w:ilvl w:val="0"/>
          <w:numId w:val="4"/>
        </w:numPr>
        <w:spacing w:after="0" w:line="240" w:lineRule="auto"/>
        <w:ind w:left="851" w:hanging="425"/>
        <w:jc w:val="both"/>
        <w:rPr>
          <w:rFonts w:ascii="Cambria" w:eastAsia="Cambria" w:hAnsi="Cambria" w:cs="Cambria"/>
          <w:sz w:val="20"/>
          <w:szCs w:val="20"/>
        </w:rPr>
      </w:pPr>
      <w:r w:rsidRPr="007D0AA6">
        <w:rPr>
          <w:rFonts w:ascii="Cambria" w:hAnsi="Cambria"/>
          <w:sz w:val="20"/>
        </w:rPr>
        <w:t>Les CPC côtières en développement exemptées de ces interdictions conformément au paragraphe</w:t>
      </w:r>
      <w:r w:rsidR="00335079" w:rsidRPr="007D0AA6">
        <w:rPr>
          <w:rFonts w:ascii="Cambria" w:hAnsi="Cambria"/>
          <w:sz w:val="20"/>
        </w:rPr>
        <w:t> </w:t>
      </w:r>
      <w:r w:rsidR="00111628" w:rsidRPr="007D0AA6">
        <w:rPr>
          <w:rFonts w:ascii="Cambria" w:hAnsi="Cambria"/>
          <w:sz w:val="20"/>
        </w:rPr>
        <w:t>9</w:t>
      </w:r>
      <w:r w:rsidRPr="007D0AA6">
        <w:rPr>
          <w:rFonts w:ascii="Cambria" w:hAnsi="Cambria"/>
          <w:sz w:val="20"/>
        </w:rPr>
        <w:t xml:space="preserve">a devraient s’efforcer de ne pas augmenter leurs captures de requins marteau. Ces CPC devront prendre les mesures nécessaires visant à garantir que </w:t>
      </w:r>
      <w:r w:rsidR="00D76E4E" w:rsidRPr="007D0AA6">
        <w:rPr>
          <w:rFonts w:ascii="Cambria" w:hAnsi="Cambria"/>
          <w:sz w:val="20"/>
        </w:rPr>
        <w:t>les requins marteaux</w:t>
      </w:r>
      <w:r w:rsidRPr="007D0AA6">
        <w:rPr>
          <w:rFonts w:ascii="Cambria" w:hAnsi="Cambria"/>
          <w:sz w:val="20"/>
        </w:rPr>
        <w:t xml:space="preserve"> n’entrent pas sur le marché international, et devront notifier ces mesures à la Commission.</w:t>
      </w:r>
    </w:p>
    <w:p w14:paraId="3EA6B1A9" w14:textId="77777777" w:rsidR="007E1F39" w:rsidRPr="007D0AA6" w:rsidRDefault="007E1F39" w:rsidP="007E1F39">
      <w:pPr>
        <w:pStyle w:val="ListParagraph"/>
        <w:rPr>
          <w:rFonts w:ascii="Cambria" w:eastAsia="Cambria" w:hAnsi="Cambria" w:cs="Cambria"/>
          <w:sz w:val="20"/>
          <w:szCs w:val="20"/>
        </w:rPr>
      </w:pPr>
    </w:p>
    <w:p w14:paraId="2E751F54" w14:textId="6C5D2713" w:rsidR="00C5652C" w:rsidRPr="007D0AA6"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Requin soyeux</w:t>
      </w:r>
    </w:p>
    <w:p w14:paraId="3DE8F247" w14:textId="77777777" w:rsidR="007E1F39" w:rsidRPr="007D0AA6" w:rsidRDefault="007E1F39" w:rsidP="007E1F39">
      <w:pPr>
        <w:pStyle w:val="ListParagraph"/>
        <w:spacing w:after="0" w:line="240" w:lineRule="auto"/>
        <w:ind w:left="426"/>
        <w:jc w:val="both"/>
        <w:rPr>
          <w:rFonts w:ascii="Cambria" w:eastAsia="Cambria" w:hAnsi="Cambria" w:cs="Cambria"/>
          <w:sz w:val="20"/>
          <w:szCs w:val="20"/>
        </w:rPr>
      </w:pPr>
    </w:p>
    <w:p w14:paraId="503B2153" w14:textId="4DE79F6D" w:rsidR="0042054A" w:rsidRPr="007D0AA6" w:rsidRDefault="4282B0C6" w:rsidP="007E1F39">
      <w:pPr>
        <w:pStyle w:val="ListParagraph"/>
        <w:numPr>
          <w:ilvl w:val="0"/>
          <w:numId w:val="32"/>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Les requins soyeux capturés par les CPC côtières en développement pour leur consommation locale sont exonérés des mesures établies aux paragraphes </w:t>
      </w:r>
      <w:r w:rsidR="00D76E4E" w:rsidRPr="007D0AA6">
        <w:rPr>
          <w:rFonts w:ascii="Cambria" w:hAnsi="Cambria"/>
          <w:sz w:val="20"/>
        </w:rPr>
        <w:t>3</w:t>
      </w:r>
      <w:r w:rsidRPr="007D0AA6">
        <w:rPr>
          <w:rFonts w:ascii="Cambria" w:hAnsi="Cambria"/>
          <w:sz w:val="20"/>
        </w:rPr>
        <w:t xml:space="preserve"> et </w:t>
      </w:r>
      <w:r w:rsidR="00D76E4E" w:rsidRPr="007D0AA6">
        <w:rPr>
          <w:rFonts w:ascii="Cambria" w:hAnsi="Cambria"/>
          <w:sz w:val="20"/>
        </w:rPr>
        <w:t>7</w:t>
      </w:r>
      <w:r w:rsidRPr="007D0AA6">
        <w:rPr>
          <w:rFonts w:ascii="Cambria" w:hAnsi="Cambria"/>
          <w:sz w:val="20"/>
        </w:rPr>
        <w:t>, sous réserve que ces CPC soumettent des données de la tâche 1 et de la tâche 2, selon les procédures de déclaration établies par l’ICCAT.</w:t>
      </w:r>
      <w:r w:rsidR="0087401D" w:rsidRPr="007D0AA6">
        <w:rPr>
          <w:rFonts w:ascii="Cambria" w:hAnsi="Cambria"/>
          <w:sz w:val="20"/>
        </w:rPr>
        <w:t xml:space="preserve"> Toute CPC qui ne déclare pas les données de la tâche 1 </w:t>
      </w:r>
      <w:r w:rsidR="00D52290" w:rsidRPr="007D0AA6">
        <w:rPr>
          <w:rFonts w:ascii="Cambria" w:hAnsi="Cambria"/>
          <w:sz w:val="20"/>
        </w:rPr>
        <w:t>concernant</w:t>
      </w:r>
      <w:r w:rsidR="0087401D" w:rsidRPr="007D0AA6">
        <w:rPr>
          <w:rFonts w:ascii="Cambria" w:hAnsi="Cambria"/>
          <w:sz w:val="20"/>
        </w:rPr>
        <w:t xml:space="preserve"> </w:t>
      </w:r>
      <w:r w:rsidR="00917570" w:rsidRPr="007D0AA6">
        <w:rPr>
          <w:rFonts w:ascii="Cambria" w:hAnsi="Cambria"/>
          <w:sz w:val="20"/>
        </w:rPr>
        <w:t>le</w:t>
      </w:r>
      <w:r w:rsidR="0087401D" w:rsidRPr="007D0AA6">
        <w:rPr>
          <w:rFonts w:ascii="Cambria" w:hAnsi="Cambria"/>
          <w:sz w:val="20"/>
        </w:rPr>
        <w:t xml:space="preserve"> requin soyeux, conformément aux exigences de déclaration des données du SCRS, sera soumise aux dispositions du paragraphe </w:t>
      </w:r>
      <w:r w:rsidR="00D76E4E" w:rsidRPr="007D0AA6">
        <w:rPr>
          <w:rFonts w:ascii="Cambria" w:hAnsi="Cambria"/>
          <w:sz w:val="20"/>
        </w:rPr>
        <w:t>3</w:t>
      </w:r>
      <w:r w:rsidR="0087401D" w:rsidRPr="007D0AA6">
        <w:rPr>
          <w:rFonts w:ascii="Cambria" w:hAnsi="Cambria"/>
          <w:sz w:val="20"/>
        </w:rPr>
        <w:t>, tant que ces données n'auront pas été déclarées.</w:t>
      </w:r>
    </w:p>
    <w:p w14:paraId="78722B2B" w14:textId="77777777" w:rsidR="007E1F39" w:rsidRPr="007D0AA6" w:rsidRDefault="007E1F39" w:rsidP="007E1F39">
      <w:pPr>
        <w:pStyle w:val="ListParagraph"/>
        <w:spacing w:after="0" w:line="240" w:lineRule="auto"/>
        <w:ind w:left="851"/>
        <w:jc w:val="both"/>
        <w:rPr>
          <w:rFonts w:ascii="Cambria" w:eastAsia="Cambria" w:hAnsi="Cambria" w:cs="Cambria"/>
          <w:sz w:val="20"/>
          <w:szCs w:val="20"/>
        </w:rPr>
      </w:pPr>
    </w:p>
    <w:p w14:paraId="335226C1" w14:textId="182C8AA0" w:rsidR="0042054A" w:rsidRPr="007D0AA6" w:rsidRDefault="43E7A121" w:rsidP="007E1F39">
      <w:pPr>
        <w:pStyle w:val="ListParagraph"/>
        <w:numPr>
          <w:ilvl w:val="0"/>
          <w:numId w:val="32"/>
        </w:numPr>
        <w:spacing w:after="0" w:line="240" w:lineRule="auto"/>
        <w:ind w:left="851" w:hanging="425"/>
        <w:jc w:val="both"/>
        <w:rPr>
          <w:rFonts w:ascii="Cambria" w:eastAsia="Cambria" w:hAnsi="Cambria" w:cs="Cambria"/>
          <w:sz w:val="20"/>
          <w:szCs w:val="20"/>
        </w:rPr>
      </w:pPr>
      <w:r w:rsidRPr="007D0AA6">
        <w:rPr>
          <w:rFonts w:ascii="Cambria" w:hAnsi="Cambria"/>
          <w:sz w:val="20"/>
        </w:rPr>
        <w:t>Les CPC côtières en développement exemptées de ces interdictions conformément au paragraphe</w:t>
      </w:r>
      <w:r w:rsidR="00250051" w:rsidRPr="007D0AA6">
        <w:rPr>
          <w:rFonts w:ascii="Cambria" w:hAnsi="Cambria"/>
          <w:sz w:val="20"/>
        </w:rPr>
        <w:t> </w:t>
      </w:r>
      <w:r w:rsidRPr="007D0AA6">
        <w:rPr>
          <w:rFonts w:ascii="Cambria" w:hAnsi="Cambria"/>
          <w:sz w:val="20"/>
        </w:rPr>
        <w:t>1</w:t>
      </w:r>
      <w:r w:rsidR="00D76E4E" w:rsidRPr="007D0AA6">
        <w:rPr>
          <w:rFonts w:ascii="Cambria" w:hAnsi="Cambria"/>
          <w:sz w:val="20"/>
        </w:rPr>
        <w:t>0</w:t>
      </w:r>
      <w:r w:rsidRPr="007D0AA6">
        <w:rPr>
          <w:rFonts w:ascii="Cambria" w:hAnsi="Cambria"/>
          <w:sz w:val="20"/>
        </w:rPr>
        <w:t>a ne devront pas augmenter leurs captures de requins soyeux. Ces CPC devront prendre les mesures nécessaires visant à garantir que les requins soyeux n’entrent pas sur le marché international, et devront notifier ces mesures à la Commission.</w:t>
      </w:r>
    </w:p>
    <w:p w14:paraId="0AB9A8E1" w14:textId="77777777" w:rsidR="007E1F39" w:rsidRPr="007D0AA6" w:rsidRDefault="007E1F39" w:rsidP="00401C8C">
      <w:pPr>
        <w:pStyle w:val="ListParagraph"/>
        <w:spacing w:after="0" w:line="240" w:lineRule="auto"/>
        <w:ind w:left="851"/>
        <w:jc w:val="both"/>
        <w:rPr>
          <w:rFonts w:ascii="Cambria" w:eastAsia="Cambria" w:hAnsi="Cambria" w:cs="Cambria"/>
          <w:sz w:val="20"/>
          <w:szCs w:val="20"/>
        </w:rPr>
      </w:pPr>
    </w:p>
    <w:p w14:paraId="476E0E35" w14:textId="19202572" w:rsidR="00C64355" w:rsidRPr="007D0AA6" w:rsidRDefault="00C64355" w:rsidP="00401C8C">
      <w:pPr>
        <w:pStyle w:val="ListParagraph"/>
        <w:numPr>
          <w:ilvl w:val="0"/>
          <w:numId w:val="32"/>
        </w:numPr>
        <w:spacing w:after="0" w:line="240" w:lineRule="auto"/>
        <w:ind w:left="851" w:hanging="425"/>
        <w:jc w:val="both"/>
        <w:rPr>
          <w:rFonts w:ascii="Cambria" w:eastAsia="Cambria" w:hAnsi="Cambria" w:cs="Cambria"/>
          <w:sz w:val="20"/>
          <w:szCs w:val="20"/>
        </w:rPr>
      </w:pPr>
      <w:r w:rsidRPr="007D0AA6">
        <w:rPr>
          <w:rFonts w:ascii="Cambria" w:hAnsi="Cambria"/>
          <w:sz w:val="20"/>
        </w:rPr>
        <w:t>Les senneurs participant aux pêcheries de l'ICCAT devront s’efforcer de prendre des mesures additionnelles en vue d’accroître le taux de survie des requins soyeux capturés accidentellement.</w:t>
      </w:r>
    </w:p>
    <w:p w14:paraId="6C244384" w14:textId="77777777" w:rsidR="007E1F39" w:rsidRPr="007D0AA6" w:rsidRDefault="007E1F39" w:rsidP="00401C8C">
      <w:pPr>
        <w:spacing w:after="0" w:line="240" w:lineRule="auto"/>
        <w:contextualSpacing/>
        <w:rPr>
          <w:rFonts w:ascii="Cambria" w:eastAsia="Cambria" w:hAnsi="Cambria" w:cs="Cambria"/>
          <w:sz w:val="20"/>
          <w:szCs w:val="20"/>
        </w:rPr>
      </w:pPr>
    </w:p>
    <w:p w14:paraId="3F82D023" w14:textId="77777777" w:rsidR="00D76E4E" w:rsidRPr="007D0AA6" w:rsidRDefault="00D76E4E">
      <w:pPr>
        <w:rPr>
          <w:rFonts w:ascii="Cambria" w:hAnsi="Cambria"/>
          <w:sz w:val="20"/>
        </w:rPr>
      </w:pPr>
      <w:r w:rsidRPr="007D0AA6">
        <w:rPr>
          <w:rFonts w:ascii="Cambria" w:hAnsi="Cambria"/>
          <w:sz w:val="20"/>
        </w:rPr>
        <w:br w:type="page"/>
      </w:r>
    </w:p>
    <w:p w14:paraId="6A3E7448" w14:textId="7FCEE70D" w:rsidR="00344086" w:rsidRPr="007D0AA6" w:rsidRDefault="00344086" w:rsidP="00401C8C">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lastRenderedPageBreak/>
        <w:t>Requin baleine</w:t>
      </w:r>
    </w:p>
    <w:p w14:paraId="6625D08C" w14:textId="77777777" w:rsidR="007E1F39" w:rsidRPr="007D0AA6" w:rsidRDefault="007E1F39" w:rsidP="00401C8C">
      <w:pPr>
        <w:pStyle w:val="ListParagraph"/>
        <w:spacing w:after="0" w:line="240" w:lineRule="auto"/>
        <w:ind w:left="426"/>
        <w:jc w:val="both"/>
        <w:rPr>
          <w:rFonts w:ascii="Cambria" w:eastAsia="Cambria" w:hAnsi="Cambria" w:cs="Cambria"/>
          <w:sz w:val="20"/>
          <w:szCs w:val="20"/>
        </w:rPr>
      </w:pPr>
    </w:p>
    <w:p w14:paraId="326A1C0A" w14:textId="3D362138" w:rsidR="00737087" w:rsidRPr="007D0AA6" w:rsidRDefault="00737087" w:rsidP="00401C8C">
      <w:pPr>
        <w:pStyle w:val="ListParagraph"/>
        <w:numPr>
          <w:ilvl w:val="0"/>
          <w:numId w:val="33"/>
        </w:numPr>
        <w:spacing w:after="0" w:line="240" w:lineRule="auto"/>
        <w:ind w:left="851" w:hanging="425"/>
        <w:jc w:val="both"/>
        <w:rPr>
          <w:rFonts w:ascii="Cambria" w:eastAsia="Cambria" w:hAnsi="Cambria" w:cs="Cambria"/>
          <w:sz w:val="20"/>
          <w:szCs w:val="20"/>
        </w:rPr>
      </w:pPr>
      <w:r w:rsidRPr="007D0AA6">
        <w:rPr>
          <w:rFonts w:ascii="Cambria" w:hAnsi="Cambria"/>
          <w:sz w:val="20"/>
        </w:rPr>
        <w:t>Les CPC devront interdire aux navires de pêche sous leur pavillon de caler un filet de senne sur un banc de thonidés associé à un requin baleine si l'animal a été observé avant le début de l’opération.</w:t>
      </w:r>
    </w:p>
    <w:p w14:paraId="46DA3012" w14:textId="77777777" w:rsidR="007E1F39" w:rsidRPr="007D0AA6" w:rsidRDefault="007E1F39" w:rsidP="00401C8C">
      <w:pPr>
        <w:pStyle w:val="ListParagraph"/>
        <w:spacing w:after="0" w:line="240" w:lineRule="auto"/>
        <w:ind w:left="851"/>
        <w:jc w:val="both"/>
        <w:rPr>
          <w:rFonts w:ascii="Cambria" w:eastAsia="Cambria" w:hAnsi="Cambria" w:cs="Cambria"/>
          <w:sz w:val="20"/>
          <w:szCs w:val="20"/>
        </w:rPr>
      </w:pPr>
    </w:p>
    <w:p w14:paraId="61143E4A" w14:textId="705ECF6A" w:rsidR="003B3788" w:rsidRPr="007D0AA6" w:rsidRDefault="007B52C0" w:rsidP="00401C8C">
      <w:pPr>
        <w:pStyle w:val="ListParagraph"/>
        <w:numPr>
          <w:ilvl w:val="0"/>
          <w:numId w:val="33"/>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En ce qui concerne le requin baleine, les paragraphes </w:t>
      </w:r>
      <w:r w:rsidR="001872BA" w:rsidRPr="007D0AA6">
        <w:rPr>
          <w:rFonts w:ascii="Cambria" w:hAnsi="Cambria"/>
          <w:sz w:val="20"/>
        </w:rPr>
        <w:t>3, 7, 11a</w:t>
      </w:r>
      <w:r w:rsidRPr="007D0AA6">
        <w:rPr>
          <w:rFonts w:ascii="Cambria" w:hAnsi="Cambria"/>
          <w:sz w:val="20"/>
        </w:rPr>
        <w:t xml:space="preserve"> et 16 ne devront pas s'appliquer aux navires de pêche opérant exclusivement au Nord de </w:t>
      </w:r>
      <w:r w:rsidR="00C64C60" w:rsidRPr="007D0AA6">
        <w:rPr>
          <w:rFonts w:ascii="Cambria" w:hAnsi="Cambria"/>
          <w:sz w:val="20"/>
        </w:rPr>
        <w:t>4</w:t>
      </w:r>
      <w:r w:rsidRPr="007D0AA6">
        <w:rPr>
          <w:rFonts w:ascii="Cambria" w:hAnsi="Cambria"/>
          <w:sz w:val="20"/>
        </w:rPr>
        <w:t xml:space="preserve">0°N ou au Sud de </w:t>
      </w:r>
      <w:r w:rsidR="00C64C60" w:rsidRPr="007D0AA6">
        <w:rPr>
          <w:rFonts w:ascii="Cambria" w:hAnsi="Cambria"/>
          <w:sz w:val="20"/>
        </w:rPr>
        <w:t>40</w:t>
      </w:r>
      <w:r w:rsidRPr="007D0AA6">
        <w:rPr>
          <w:rFonts w:ascii="Cambria" w:hAnsi="Cambria"/>
          <w:sz w:val="20"/>
        </w:rPr>
        <w:t>°S (c'est-à-dire en dehors de l'aire de distribution géographique principale du requin baleine dans l'océan Atlantique).</w:t>
      </w:r>
    </w:p>
    <w:p w14:paraId="44E61D02" w14:textId="77777777" w:rsidR="007E1F39" w:rsidRPr="007D0AA6" w:rsidRDefault="007E1F39" w:rsidP="00401C8C">
      <w:pPr>
        <w:spacing w:after="0" w:line="240" w:lineRule="auto"/>
        <w:contextualSpacing/>
        <w:jc w:val="both"/>
        <w:rPr>
          <w:rFonts w:ascii="Cambria" w:eastAsia="Cambria" w:hAnsi="Cambria" w:cs="Cambria"/>
          <w:b/>
          <w:bCs/>
          <w:sz w:val="20"/>
          <w:szCs w:val="20"/>
        </w:rPr>
      </w:pPr>
    </w:p>
    <w:p w14:paraId="1B4133CE" w14:textId="009E4DFD" w:rsidR="00D52290" w:rsidRPr="007D0AA6" w:rsidRDefault="00D52290" w:rsidP="001872BA">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eastAsia="Cambria" w:hAnsi="Cambria" w:cs="Cambria"/>
          <w:sz w:val="20"/>
          <w:szCs w:val="20"/>
        </w:rPr>
        <w:t>Requin-taupe commun</w:t>
      </w:r>
    </w:p>
    <w:p w14:paraId="05F6926D" w14:textId="77777777" w:rsidR="00401C8C" w:rsidRPr="007D0AA6" w:rsidRDefault="00401C8C" w:rsidP="00401C8C">
      <w:pPr>
        <w:spacing w:after="0" w:line="240" w:lineRule="auto"/>
        <w:contextualSpacing/>
        <w:rPr>
          <w:rFonts w:ascii="Cambria" w:eastAsia="Cambria" w:hAnsi="Cambria" w:cs="Cambria"/>
          <w:sz w:val="20"/>
          <w:szCs w:val="20"/>
        </w:rPr>
      </w:pPr>
    </w:p>
    <w:p w14:paraId="2F6D15B7" w14:textId="77777777" w:rsidR="00D52290" w:rsidRPr="007D0AA6" w:rsidRDefault="00D52290" w:rsidP="00401C8C">
      <w:pPr>
        <w:spacing w:after="0" w:line="240" w:lineRule="auto"/>
        <w:ind w:left="426"/>
        <w:contextualSpacing/>
        <w:jc w:val="both"/>
        <w:rPr>
          <w:rFonts w:ascii="Cambria" w:eastAsia="Cambria" w:hAnsi="Cambria" w:cs="Cambria"/>
          <w:sz w:val="20"/>
          <w:szCs w:val="20"/>
        </w:rPr>
      </w:pPr>
      <w:r w:rsidRPr="007D0AA6">
        <w:rPr>
          <w:rFonts w:ascii="Cambria" w:eastAsia="Cambria" w:hAnsi="Cambria" w:cs="Cambria"/>
          <w:sz w:val="20"/>
          <w:szCs w:val="20"/>
        </w:rPr>
        <w:t>Si les captures de requins-taupes communs réalisées en association avec les pêcheries de l’ICCAT augmentent au-delà des niveaux de 2014, la Commission envisagera des mesures supplémentaires.</w:t>
      </w:r>
    </w:p>
    <w:p w14:paraId="6B8823BC" w14:textId="77777777" w:rsidR="00401C8C" w:rsidRPr="007D0AA6" w:rsidRDefault="00401C8C" w:rsidP="00401C8C">
      <w:pPr>
        <w:spacing w:after="0" w:line="240" w:lineRule="auto"/>
        <w:contextualSpacing/>
        <w:rPr>
          <w:rFonts w:ascii="Cambria" w:eastAsia="Cambria" w:hAnsi="Cambria" w:cs="Cambria"/>
          <w:sz w:val="20"/>
          <w:szCs w:val="20"/>
        </w:rPr>
      </w:pPr>
    </w:p>
    <w:p w14:paraId="06E6E9F2" w14:textId="67E5494E" w:rsidR="00D52290" w:rsidRPr="007D0AA6" w:rsidRDefault="00D52290" w:rsidP="001872BA">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eastAsia="Cambria" w:hAnsi="Cambria" w:cs="Cambria"/>
          <w:sz w:val="20"/>
          <w:szCs w:val="20"/>
        </w:rPr>
        <w:t>Exemption géographique</w:t>
      </w:r>
    </w:p>
    <w:p w14:paraId="1F6EF8AB" w14:textId="77777777" w:rsidR="00401C8C" w:rsidRPr="007D0AA6" w:rsidRDefault="00401C8C" w:rsidP="00401C8C">
      <w:pPr>
        <w:spacing w:after="0" w:line="240" w:lineRule="auto"/>
        <w:contextualSpacing/>
        <w:rPr>
          <w:rFonts w:ascii="Cambria" w:eastAsia="Cambria" w:hAnsi="Cambria" w:cs="Cambria"/>
          <w:sz w:val="20"/>
          <w:szCs w:val="20"/>
        </w:rPr>
      </w:pPr>
    </w:p>
    <w:p w14:paraId="63A9A1EF" w14:textId="25B5B489" w:rsidR="00D52290" w:rsidRPr="007D0AA6" w:rsidRDefault="005B1F02" w:rsidP="00401C8C">
      <w:pPr>
        <w:spacing w:after="0" w:line="240" w:lineRule="auto"/>
        <w:ind w:left="426"/>
        <w:contextualSpacing/>
        <w:jc w:val="both"/>
        <w:rPr>
          <w:rFonts w:ascii="Cambria" w:eastAsia="Cambria" w:hAnsi="Cambria" w:cs="Cambria"/>
          <w:sz w:val="20"/>
          <w:szCs w:val="20"/>
        </w:rPr>
      </w:pPr>
      <w:r w:rsidRPr="007D0AA6">
        <w:rPr>
          <w:rFonts w:ascii="Cambria" w:eastAsia="Cambria" w:hAnsi="Cambria" w:cs="Cambria"/>
          <w:color w:val="000000"/>
          <w:sz w:val="20"/>
          <w:szCs w:val="20"/>
        </w:rPr>
        <w:t>A la demande d’une CPC, l</w:t>
      </w:r>
      <w:r w:rsidR="00D52290" w:rsidRPr="007D0AA6">
        <w:rPr>
          <w:rFonts w:ascii="Cambria" w:eastAsia="Cambria" w:hAnsi="Cambria" w:cs="Cambria"/>
          <w:color w:val="000000"/>
          <w:sz w:val="20"/>
          <w:szCs w:val="20"/>
        </w:rPr>
        <w:t xml:space="preserve">e SCRS devra </w:t>
      </w:r>
      <w:r w:rsidRPr="007D0AA6">
        <w:rPr>
          <w:rFonts w:ascii="Cambria" w:eastAsia="Cambria" w:hAnsi="Cambria" w:cs="Cambria"/>
          <w:color w:val="000000"/>
          <w:sz w:val="20"/>
          <w:szCs w:val="20"/>
        </w:rPr>
        <w:t xml:space="preserve">régulièrement </w:t>
      </w:r>
      <w:r w:rsidR="00D52290" w:rsidRPr="007D0AA6">
        <w:rPr>
          <w:rFonts w:ascii="Cambria" w:eastAsia="Cambria" w:hAnsi="Cambria" w:cs="Cambria"/>
          <w:color w:val="000000"/>
          <w:sz w:val="20"/>
          <w:szCs w:val="20"/>
        </w:rPr>
        <w:t xml:space="preserve">donner un avis sur l’aire de répartition géographique des espèces énumérées au paragraphe </w:t>
      </w:r>
      <w:r w:rsidR="001872BA" w:rsidRPr="007D0AA6">
        <w:rPr>
          <w:rFonts w:ascii="Cambria" w:eastAsia="Cambria" w:hAnsi="Cambria" w:cs="Cambria"/>
          <w:color w:val="000000"/>
          <w:sz w:val="20"/>
          <w:szCs w:val="20"/>
        </w:rPr>
        <w:t>3</w:t>
      </w:r>
      <w:r w:rsidR="00D52290" w:rsidRPr="007D0AA6">
        <w:rPr>
          <w:rFonts w:ascii="Cambria" w:eastAsia="Cambria" w:hAnsi="Cambria" w:cs="Cambria"/>
          <w:color w:val="000000"/>
          <w:sz w:val="20"/>
          <w:szCs w:val="20"/>
        </w:rPr>
        <w:t xml:space="preserve">. </w:t>
      </w:r>
      <w:r w:rsidR="00B125CB" w:rsidRPr="007D0AA6">
        <w:rPr>
          <w:rFonts w:ascii="Cambria" w:eastAsia="Cambria" w:hAnsi="Cambria" w:cs="Cambria"/>
          <w:color w:val="000000"/>
          <w:sz w:val="20"/>
          <w:szCs w:val="20"/>
        </w:rPr>
        <w:t>À partir de ce moment-là, l</w:t>
      </w:r>
      <w:r w:rsidR="00D52290" w:rsidRPr="007D0AA6">
        <w:rPr>
          <w:rFonts w:ascii="Cambria" w:eastAsia="Cambria" w:hAnsi="Cambria" w:cs="Cambria"/>
          <w:color w:val="000000"/>
          <w:sz w:val="20"/>
          <w:szCs w:val="20"/>
        </w:rPr>
        <w:t>es CPC dont les navires opèrent exclusivement en dehors de l’aire de répartition géographique recommandée devront</w:t>
      </w:r>
      <w:r w:rsidR="009B0467" w:rsidRPr="007D0AA6">
        <w:rPr>
          <w:rFonts w:ascii="Cambria" w:eastAsia="Cambria" w:hAnsi="Cambria" w:cs="Cambria"/>
          <w:color w:val="000000"/>
          <w:sz w:val="20"/>
          <w:szCs w:val="20"/>
        </w:rPr>
        <w:t>¸ sur décision de la Commission fondée sur l’avis du SCRS,</w:t>
      </w:r>
      <w:r w:rsidR="00D52290" w:rsidRPr="007D0AA6">
        <w:rPr>
          <w:rFonts w:ascii="Cambria" w:eastAsia="Cambria" w:hAnsi="Cambria" w:cs="Cambria"/>
          <w:color w:val="000000"/>
          <w:sz w:val="20"/>
          <w:szCs w:val="20"/>
        </w:rPr>
        <w:t xml:space="preserve"> être exemptées des mesures visées au paragraphe </w:t>
      </w:r>
      <w:r w:rsidR="001872BA" w:rsidRPr="007D0AA6">
        <w:rPr>
          <w:rFonts w:ascii="Cambria" w:eastAsia="Cambria" w:hAnsi="Cambria" w:cs="Cambria"/>
          <w:color w:val="000000"/>
          <w:sz w:val="20"/>
          <w:szCs w:val="20"/>
        </w:rPr>
        <w:t>3</w:t>
      </w:r>
      <w:r w:rsidR="00D52290" w:rsidRPr="007D0AA6">
        <w:rPr>
          <w:rFonts w:ascii="Cambria" w:eastAsia="Cambria" w:hAnsi="Cambria" w:cs="Cambria"/>
          <w:color w:val="000000"/>
          <w:sz w:val="20"/>
          <w:szCs w:val="20"/>
        </w:rPr>
        <w:t>.</w:t>
      </w:r>
    </w:p>
    <w:p w14:paraId="17F7DF60" w14:textId="77777777" w:rsidR="00D52290" w:rsidRPr="007D0AA6" w:rsidRDefault="00D52290" w:rsidP="00401C8C">
      <w:pPr>
        <w:spacing w:after="0" w:line="240" w:lineRule="auto"/>
        <w:contextualSpacing/>
        <w:jc w:val="both"/>
        <w:rPr>
          <w:rFonts w:ascii="Cambria" w:eastAsia="Cambria" w:hAnsi="Cambria" w:cs="Cambria"/>
          <w:b/>
          <w:bCs/>
          <w:sz w:val="20"/>
          <w:szCs w:val="20"/>
        </w:rPr>
      </w:pPr>
    </w:p>
    <w:p w14:paraId="656D42F4" w14:textId="332C4880" w:rsidR="00F76C23" w:rsidRPr="007D0AA6" w:rsidRDefault="005667F3" w:rsidP="00401C8C">
      <w:pPr>
        <w:spacing w:after="0" w:line="240" w:lineRule="auto"/>
        <w:contextualSpacing/>
        <w:jc w:val="both"/>
        <w:rPr>
          <w:rFonts w:ascii="Cambria" w:eastAsia="Cambria" w:hAnsi="Cambria" w:cs="Cambria"/>
          <w:b/>
          <w:bCs/>
          <w:sz w:val="20"/>
          <w:szCs w:val="20"/>
        </w:rPr>
      </w:pPr>
      <w:r w:rsidRPr="007D0AA6">
        <w:rPr>
          <w:rFonts w:ascii="Cambria" w:hAnsi="Cambria"/>
          <w:b/>
          <w:sz w:val="20"/>
        </w:rPr>
        <w:t>Enregistrement et déclaration</w:t>
      </w:r>
    </w:p>
    <w:p w14:paraId="01330465" w14:textId="77777777" w:rsidR="007E1F39" w:rsidRPr="007D0AA6" w:rsidRDefault="007E1F39" w:rsidP="00D21AA0">
      <w:pPr>
        <w:spacing w:after="0" w:line="240" w:lineRule="auto"/>
        <w:jc w:val="both"/>
        <w:rPr>
          <w:rFonts w:ascii="Cambria" w:eastAsia="Cambria" w:hAnsi="Cambria" w:cs="Cambria"/>
          <w:sz w:val="20"/>
          <w:szCs w:val="20"/>
        </w:rPr>
      </w:pPr>
    </w:p>
    <w:p w14:paraId="0412E6C1" w14:textId="1667023E" w:rsidR="00A60EC4" w:rsidRPr="007D0AA6" w:rsidRDefault="45734B69"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Les CPC devront déclarer, chaque année, les données de tâche 1 et de tâche 2 pour les prises de requins</w:t>
      </w:r>
      <w:r w:rsidR="00E9461A" w:rsidRPr="007D0AA6">
        <w:rPr>
          <w:rFonts w:ascii="Cambria" w:hAnsi="Cambria"/>
          <w:sz w:val="20"/>
        </w:rPr>
        <w:t xml:space="preserve"> (y compris les estimations des rejets morts et des fréquences des tailles)</w:t>
      </w:r>
      <w:r w:rsidRPr="007D0AA6">
        <w:rPr>
          <w:rFonts w:ascii="Cambria" w:hAnsi="Cambria"/>
          <w:sz w:val="20"/>
        </w:rPr>
        <w:t xml:space="preserve">, conformément aux procédures de soumission de données de l’ICCAT, y compris les données historiques disponibles. </w:t>
      </w:r>
    </w:p>
    <w:p w14:paraId="05C1B621" w14:textId="77777777" w:rsidR="007E1F39" w:rsidRPr="007D0AA6" w:rsidRDefault="007E1F39" w:rsidP="007E1F39">
      <w:pPr>
        <w:pStyle w:val="ListParagraph"/>
        <w:spacing w:after="0" w:line="240" w:lineRule="auto"/>
        <w:ind w:left="426"/>
        <w:jc w:val="both"/>
        <w:rPr>
          <w:rFonts w:ascii="Cambria" w:eastAsia="Cambria" w:hAnsi="Cambria" w:cs="Cambria"/>
          <w:sz w:val="20"/>
          <w:szCs w:val="20"/>
        </w:rPr>
      </w:pPr>
    </w:p>
    <w:p w14:paraId="51C68E77" w14:textId="1A632060" w:rsidR="009B36BA" w:rsidRPr="007D0AA6" w:rsidRDefault="006C0303"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 xml:space="preserve">Les CPC devront </w:t>
      </w:r>
      <w:r w:rsidR="0087401D" w:rsidRPr="007D0AA6">
        <w:rPr>
          <w:rFonts w:ascii="Cambria" w:hAnsi="Cambria"/>
          <w:sz w:val="20"/>
        </w:rPr>
        <w:t>déclarer</w:t>
      </w:r>
      <w:r w:rsidRPr="007D0AA6">
        <w:rPr>
          <w:rFonts w:ascii="Cambria" w:hAnsi="Cambria"/>
          <w:sz w:val="20"/>
        </w:rPr>
        <w:t xml:space="preserve"> le nombre de rejets et de remises à l’eau de requins en indiquant l’état (</w:t>
      </w:r>
      <w:r w:rsidR="0087401D" w:rsidRPr="007D0AA6">
        <w:rPr>
          <w:rFonts w:ascii="Cambria" w:hAnsi="Cambria"/>
          <w:sz w:val="20"/>
        </w:rPr>
        <w:t xml:space="preserve">rejets </w:t>
      </w:r>
      <w:r w:rsidRPr="007D0AA6">
        <w:rPr>
          <w:rFonts w:ascii="Cambria" w:hAnsi="Cambria"/>
          <w:sz w:val="20"/>
        </w:rPr>
        <w:t>mort</w:t>
      </w:r>
      <w:r w:rsidR="0087401D" w:rsidRPr="007D0AA6">
        <w:rPr>
          <w:rFonts w:ascii="Cambria" w:hAnsi="Cambria"/>
          <w:sz w:val="20"/>
        </w:rPr>
        <w:t>s</w:t>
      </w:r>
      <w:r w:rsidRPr="007D0AA6">
        <w:rPr>
          <w:rFonts w:ascii="Cambria" w:hAnsi="Cambria"/>
          <w:sz w:val="20"/>
        </w:rPr>
        <w:t xml:space="preserve"> </w:t>
      </w:r>
      <w:r w:rsidR="0087401D" w:rsidRPr="007D0AA6">
        <w:rPr>
          <w:rFonts w:ascii="Cambria" w:hAnsi="Cambria"/>
          <w:sz w:val="20"/>
        </w:rPr>
        <w:t>et</w:t>
      </w:r>
      <w:r w:rsidRPr="007D0AA6">
        <w:rPr>
          <w:rFonts w:ascii="Cambria" w:hAnsi="Cambria"/>
          <w:sz w:val="20"/>
        </w:rPr>
        <w:t xml:space="preserve"> </w:t>
      </w:r>
      <w:r w:rsidR="0087401D" w:rsidRPr="007D0AA6">
        <w:rPr>
          <w:rFonts w:ascii="Cambria" w:hAnsi="Cambria"/>
          <w:sz w:val="20"/>
        </w:rPr>
        <w:t xml:space="preserve">remises à l’eau à l’état </w:t>
      </w:r>
      <w:r w:rsidRPr="007D0AA6">
        <w:rPr>
          <w:rFonts w:ascii="Cambria" w:hAnsi="Cambria"/>
          <w:sz w:val="20"/>
        </w:rPr>
        <w:t>vivant) à l’ICCAT, conformément aux exigences en matière de déclaration des données de l’ICCAT.</w:t>
      </w:r>
    </w:p>
    <w:p w14:paraId="62D55742" w14:textId="77777777" w:rsidR="00F61C1A" w:rsidRPr="007D0AA6" w:rsidRDefault="00F61C1A" w:rsidP="00F61C1A">
      <w:pPr>
        <w:pStyle w:val="ListParagraph"/>
        <w:rPr>
          <w:rFonts w:ascii="Cambria" w:eastAsia="Cambria" w:hAnsi="Cambria" w:cs="Cambria"/>
          <w:sz w:val="20"/>
          <w:szCs w:val="20"/>
        </w:rPr>
      </w:pPr>
    </w:p>
    <w:p w14:paraId="4CD493BA" w14:textId="33DF3BCF" w:rsidR="00770932" w:rsidRPr="007D0AA6" w:rsidRDefault="007E596A"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 xml:space="preserve">Les CPC devront veiller à ce que, conformément aux exigences de la </w:t>
      </w:r>
      <w:r w:rsidRPr="007D0AA6">
        <w:rPr>
          <w:rFonts w:ascii="Cambria" w:hAnsi="Cambria"/>
          <w:i/>
          <w:sz w:val="20"/>
        </w:rPr>
        <w:t xml:space="preserve">Recommandation de l’ICCAT visant à établir des normes minimales pour les programmes d’observateurs scientifiques à bord de navires de pêche </w:t>
      </w:r>
      <w:r w:rsidRPr="007D0AA6">
        <w:rPr>
          <w:rFonts w:ascii="Cambria" w:hAnsi="Cambria"/>
          <w:sz w:val="20"/>
        </w:rPr>
        <w:t>(Rec. 16-14), les interactions avec les requins baleines au cours des opérations de pêche à la senne soient enregistrées dans le cadre de leurs programmes d'observateurs nationaux. Les informations suivantes seront également collectées :</w:t>
      </w:r>
    </w:p>
    <w:p w14:paraId="60536B39" w14:textId="77777777" w:rsidR="007E1F39" w:rsidRPr="007D0AA6" w:rsidRDefault="007E1F39" w:rsidP="007E1F39">
      <w:pPr>
        <w:pStyle w:val="ListParagraph"/>
        <w:spacing w:after="0" w:line="240" w:lineRule="auto"/>
        <w:ind w:left="426"/>
        <w:jc w:val="both"/>
        <w:rPr>
          <w:rFonts w:ascii="Cambria" w:eastAsia="Cambria" w:hAnsi="Cambria" w:cs="Cambria"/>
          <w:sz w:val="20"/>
          <w:szCs w:val="20"/>
        </w:rPr>
      </w:pPr>
    </w:p>
    <w:p w14:paraId="1F985721" w14:textId="57A23FA1" w:rsidR="00770932" w:rsidRPr="007D0AA6" w:rsidRDefault="00AE7E22" w:rsidP="007E1F39">
      <w:pPr>
        <w:pStyle w:val="ListParagraph"/>
        <w:numPr>
          <w:ilvl w:val="0"/>
          <w:numId w:val="34"/>
        </w:numPr>
        <w:spacing w:after="0" w:line="240" w:lineRule="auto"/>
        <w:ind w:left="851" w:hanging="425"/>
        <w:jc w:val="both"/>
        <w:rPr>
          <w:rFonts w:ascii="Cambria" w:eastAsia="Cambria" w:hAnsi="Cambria" w:cs="Cambria"/>
          <w:sz w:val="20"/>
          <w:szCs w:val="20"/>
        </w:rPr>
      </w:pPr>
      <w:r w:rsidRPr="007D0AA6">
        <w:rPr>
          <w:rFonts w:ascii="Cambria" w:hAnsi="Cambria"/>
          <w:sz w:val="20"/>
        </w:rPr>
        <w:t>Détails sur le comment et le pourquoi de l'encerclement ;</w:t>
      </w:r>
    </w:p>
    <w:p w14:paraId="3542C795" w14:textId="0EB8581A" w:rsidR="00770932" w:rsidRPr="007D0AA6" w:rsidRDefault="00AE7E22" w:rsidP="007E1F39">
      <w:pPr>
        <w:pStyle w:val="ListParagraph"/>
        <w:numPr>
          <w:ilvl w:val="0"/>
          <w:numId w:val="34"/>
        </w:numPr>
        <w:spacing w:after="0" w:line="240" w:lineRule="auto"/>
        <w:ind w:left="851" w:hanging="425"/>
        <w:jc w:val="both"/>
        <w:rPr>
          <w:rFonts w:ascii="Cambria" w:eastAsia="Cambria" w:hAnsi="Cambria" w:cs="Cambria"/>
          <w:sz w:val="20"/>
          <w:szCs w:val="20"/>
        </w:rPr>
      </w:pPr>
      <w:r w:rsidRPr="007D0AA6">
        <w:rPr>
          <w:rFonts w:ascii="Cambria" w:hAnsi="Cambria"/>
          <w:sz w:val="20"/>
        </w:rPr>
        <w:t>Le nombre de spécimens impliqués dans l'interaction ;</w:t>
      </w:r>
    </w:p>
    <w:p w14:paraId="7E56BDDE" w14:textId="3756F594" w:rsidR="00770932" w:rsidRPr="007D0AA6" w:rsidRDefault="00AE7E22" w:rsidP="007E1F39">
      <w:pPr>
        <w:pStyle w:val="ListParagraph"/>
        <w:numPr>
          <w:ilvl w:val="0"/>
          <w:numId w:val="34"/>
        </w:numPr>
        <w:spacing w:after="0" w:line="240" w:lineRule="auto"/>
        <w:ind w:left="851" w:hanging="425"/>
        <w:jc w:val="both"/>
        <w:rPr>
          <w:rFonts w:ascii="Cambria" w:eastAsia="Cambria" w:hAnsi="Cambria" w:cs="Cambria"/>
          <w:sz w:val="20"/>
          <w:szCs w:val="20"/>
        </w:rPr>
      </w:pPr>
      <w:r w:rsidRPr="007D0AA6">
        <w:rPr>
          <w:rFonts w:ascii="Cambria" w:hAnsi="Cambria"/>
          <w:sz w:val="20"/>
        </w:rPr>
        <w:t>Lieu de l'interaction ;</w:t>
      </w:r>
    </w:p>
    <w:p w14:paraId="0E459DBB" w14:textId="69554369" w:rsidR="00770932" w:rsidRPr="007D0AA6" w:rsidRDefault="00AE7E22" w:rsidP="007E1F39">
      <w:pPr>
        <w:pStyle w:val="ListParagraph"/>
        <w:numPr>
          <w:ilvl w:val="0"/>
          <w:numId w:val="34"/>
        </w:numPr>
        <w:spacing w:after="0" w:line="240" w:lineRule="auto"/>
        <w:ind w:left="851" w:hanging="425"/>
        <w:jc w:val="both"/>
        <w:rPr>
          <w:rFonts w:ascii="Cambria" w:eastAsia="Cambria" w:hAnsi="Cambria" w:cs="Cambria"/>
          <w:sz w:val="20"/>
          <w:szCs w:val="20"/>
        </w:rPr>
      </w:pPr>
      <w:r w:rsidRPr="007D0AA6">
        <w:rPr>
          <w:rFonts w:ascii="Cambria" w:hAnsi="Cambria"/>
          <w:sz w:val="20"/>
        </w:rPr>
        <w:t>Mesures prises pour assurer la manipulation et la libération en toute sécurité des spécimens encerclés dans la senne ;</w:t>
      </w:r>
    </w:p>
    <w:p w14:paraId="05A5F940" w14:textId="5C777472" w:rsidR="007E596A" w:rsidRPr="007D0AA6" w:rsidRDefault="00AE7E22" w:rsidP="007E1F39">
      <w:pPr>
        <w:pStyle w:val="ListParagraph"/>
        <w:numPr>
          <w:ilvl w:val="0"/>
          <w:numId w:val="34"/>
        </w:numPr>
        <w:spacing w:after="0" w:line="240" w:lineRule="auto"/>
        <w:ind w:left="851" w:hanging="425"/>
        <w:jc w:val="both"/>
        <w:rPr>
          <w:rFonts w:ascii="Cambria" w:eastAsia="Cambria" w:hAnsi="Cambria" w:cs="Cambria"/>
          <w:sz w:val="20"/>
          <w:szCs w:val="20"/>
        </w:rPr>
      </w:pPr>
      <w:r w:rsidRPr="007D0AA6">
        <w:rPr>
          <w:rFonts w:ascii="Cambria" w:hAnsi="Cambria"/>
          <w:sz w:val="20"/>
        </w:rPr>
        <w:t>Une évaluation de l'état de vie du ou des spécimens de requins baleines après leur remise en liberté (vivant/mort/moribond/incertain).</w:t>
      </w:r>
    </w:p>
    <w:p w14:paraId="2340D4DE" w14:textId="77777777" w:rsidR="007E1F39" w:rsidRPr="007D0AA6" w:rsidRDefault="007E1F39" w:rsidP="007E1F39">
      <w:pPr>
        <w:pStyle w:val="ListParagraph"/>
        <w:spacing w:after="0" w:line="240" w:lineRule="auto"/>
        <w:ind w:left="851"/>
        <w:jc w:val="both"/>
        <w:rPr>
          <w:rFonts w:ascii="Cambria" w:eastAsia="Cambria" w:hAnsi="Cambria" w:cs="Cambria"/>
          <w:sz w:val="20"/>
          <w:szCs w:val="20"/>
        </w:rPr>
      </w:pPr>
    </w:p>
    <w:p w14:paraId="3E1A70BD" w14:textId="2BAF5866" w:rsidR="0087401D" w:rsidRPr="007D0AA6" w:rsidRDefault="007E596A" w:rsidP="00B125CB">
      <w:pPr>
        <w:pStyle w:val="ListParagraph"/>
        <w:spacing w:after="0" w:line="240" w:lineRule="auto"/>
        <w:ind w:left="502"/>
        <w:jc w:val="both"/>
        <w:rPr>
          <w:rFonts w:ascii="Cambria" w:hAnsi="Cambria"/>
          <w:sz w:val="20"/>
        </w:rPr>
      </w:pPr>
      <w:r w:rsidRPr="007D0AA6">
        <w:rPr>
          <w:rFonts w:ascii="Cambria" w:hAnsi="Cambria"/>
          <w:sz w:val="20"/>
        </w:rPr>
        <w:t>Les CPC devront déclarer ces données et ces informations dans leurs rapports annuels et, dans le cas des données recueillies dans le cadre des programmes d'observateurs, au Secrétariat, conformément aux exigences de l’ICCAT en matière de déclaration des données.</w:t>
      </w:r>
    </w:p>
    <w:p w14:paraId="08402A14" w14:textId="77777777" w:rsidR="005E771B" w:rsidRPr="007D0AA6" w:rsidRDefault="005E771B" w:rsidP="00B125CB">
      <w:pPr>
        <w:pStyle w:val="ListParagraph"/>
        <w:spacing w:after="0" w:line="240" w:lineRule="auto"/>
        <w:ind w:left="502"/>
        <w:jc w:val="both"/>
        <w:rPr>
          <w:rFonts w:ascii="Cambria" w:hAnsi="Cambria"/>
          <w:b/>
          <w:sz w:val="20"/>
        </w:rPr>
      </w:pPr>
    </w:p>
    <w:p w14:paraId="52DA47AE" w14:textId="69DF7F10" w:rsidR="003B3788" w:rsidRPr="007D0AA6" w:rsidRDefault="00BA69E1" w:rsidP="00D21AA0">
      <w:pPr>
        <w:spacing w:after="0" w:line="240" w:lineRule="auto"/>
        <w:jc w:val="both"/>
        <w:rPr>
          <w:rFonts w:ascii="Cambria" w:eastAsia="Cambria" w:hAnsi="Cambria" w:cs="Cambria"/>
          <w:b/>
          <w:bCs/>
          <w:sz w:val="20"/>
          <w:szCs w:val="20"/>
        </w:rPr>
      </w:pPr>
      <w:r w:rsidRPr="007D0AA6">
        <w:rPr>
          <w:rFonts w:ascii="Cambria" w:hAnsi="Cambria"/>
          <w:b/>
          <w:sz w:val="20"/>
        </w:rPr>
        <w:t>Mise en œuvre et application</w:t>
      </w:r>
    </w:p>
    <w:p w14:paraId="0E37DDC2" w14:textId="77777777" w:rsidR="007E1F39" w:rsidRPr="007D0AA6" w:rsidRDefault="007E1F39" w:rsidP="00D21AA0">
      <w:pPr>
        <w:spacing w:after="0" w:line="240" w:lineRule="auto"/>
        <w:jc w:val="both"/>
        <w:rPr>
          <w:rFonts w:ascii="Cambria" w:eastAsia="Cambria" w:hAnsi="Cambria" w:cs="Cambria"/>
          <w:b/>
          <w:bCs/>
          <w:sz w:val="20"/>
          <w:szCs w:val="20"/>
        </w:rPr>
      </w:pPr>
    </w:p>
    <w:p w14:paraId="4D75740A" w14:textId="1ACB1BE6" w:rsidR="000A0D8D" w:rsidRPr="007D0AA6" w:rsidRDefault="000A0D8D"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 xml:space="preserve">Toutes les CPC devront soumettre au Secrétariat de l'ICCAT, avec leurs rapports annuels, les détails de leur mise en œuvre et de leur application de la présente Recommandation et de la </w:t>
      </w:r>
      <w:r w:rsidRPr="007D0AA6">
        <w:rPr>
          <w:rFonts w:ascii="Cambria" w:hAnsi="Cambria"/>
          <w:i/>
          <w:sz w:val="20"/>
        </w:rPr>
        <w:t>Recommandation de l'ICCAT sur la conservation du stock de requin-taupe bleu de l'Atlantique Nord capturé en association avec les pêcheries de l'ICCAT</w:t>
      </w:r>
      <w:r w:rsidRPr="007D0AA6">
        <w:rPr>
          <w:rFonts w:ascii="Cambria" w:hAnsi="Cambria"/>
          <w:sz w:val="20"/>
        </w:rPr>
        <w:t xml:space="preserve"> (Rec. 21-09), la </w:t>
      </w:r>
      <w:r w:rsidRPr="007D0AA6">
        <w:rPr>
          <w:rFonts w:ascii="Cambria" w:hAnsi="Cambria"/>
          <w:i/>
          <w:sz w:val="20"/>
        </w:rPr>
        <w:t>Recommandation de l'ICCAT sur la conservation du stock de requin-taupe bleu de l'Atlantique Sud capturé en association avec les pêcheries de l'ICCAT</w:t>
      </w:r>
      <w:r w:rsidRPr="007D0AA6">
        <w:rPr>
          <w:rFonts w:ascii="Cambria" w:hAnsi="Cambria"/>
          <w:sz w:val="20"/>
        </w:rPr>
        <w:t xml:space="preserve"> (Rec. 22-11), la </w:t>
      </w:r>
      <w:r w:rsidRPr="007D0AA6">
        <w:rPr>
          <w:rFonts w:ascii="Cambria" w:hAnsi="Cambria"/>
          <w:i/>
          <w:iCs/>
          <w:sz w:val="20"/>
        </w:rPr>
        <w:lastRenderedPageBreak/>
        <w:t>Recommandation de l'ICCAT remplaçant la Recommandation 19-07 sur des mesures de gestion pour la conservation du requin peau bleue de l’Atlantique Nord capturé en association avec les pêcheries de l’ICCAT</w:t>
      </w:r>
      <w:r w:rsidRPr="007D0AA6">
        <w:rPr>
          <w:rFonts w:ascii="Cambria" w:hAnsi="Cambria"/>
          <w:sz w:val="20"/>
        </w:rPr>
        <w:t xml:space="preserve"> (Rec. 23-10)</w:t>
      </w:r>
      <w:r w:rsidR="00D262F9" w:rsidRPr="007D0AA6">
        <w:rPr>
          <w:rFonts w:ascii="Cambria" w:hAnsi="Cambria"/>
          <w:sz w:val="20"/>
        </w:rPr>
        <w:t xml:space="preserve">, </w:t>
      </w:r>
      <w:r w:rsidRPr="007D0AA6">
        <w:rPr>
          <w:rFonts w:ascii="Cambria" w:hAnsi="Cambria"/>
          <w:sz w:val="20"/>
        </w:rPr>
        <w:t xml:space="preserve">la </w:t>
      </w:r>
      <w:r w:rsidRPr="007D0AA6">
        <w:rPr>
          <w:rFonts w:ascii="Cambria" w:hAnsi="Cambria"/>
          <w:i/>
          <w:iCs/>
          <w:sz w:val="20"/>
        </w:rPr>
        <w:t xml:space="preserve">Recommandation de l'ICCAT remplaçant la Recommandation 19-08 sur des mesures de gestion pour la conservation du requin peau bleue de l’Atlantique Sud capturé en association avec les pêcheries de l’ICCAT </w:t>
      </w:r>
      <w:r w:rsidRPr="007D0AA6">
        <w:rPr>
          <w:rFonts w:ascii="Cambria" w:hAnsi="Cambria"/>
          <w:sz w:val="20"/>
        </w:rPr>
        <w:t xml:space="preserve">(Rec. 23-11) </w:t>
      </w:r>
      <w:r w:rsidR="00D262F9" w:rsidRPr="007D0AA6">
        <w:rPr>
          <w:rFonts w:ascii="Cambria" w:hAnsi="Cambria"/>
          <w:sz w:val="20"/>
        </w:rPr>
        <w:t xml:space="preserve">et la </w:t>
      </w:r>
      <w:r w:rsidR="009A0642" w:rsidRPr="007D0AA6">
        <w:rPr>
          <w:rFonts w:ascii="Cambria" w:hAnsi="Cambria"/>
          <w:i/>
          <w:sz w:val="20"/>
        </w:rPr>
        <w:t>Recommandation de l’ICCAT instituant l’obligation de conserver les ailerons naturellement attachés afin d’en empêcher le prélèvement</w:t>
      </w:r>
      <w:r w:rsidR="00985402" w:rsidRPr="007D0AA6">
        <w:rPr>
          <w:rFonts w:ascii="Cambria" w:eastAsia="Cambria" w:hAnsi="Cambria" w:cs="Cambria"/>
          <w:sz w:val="20"/>
          <w:szCs w:val="20"/>
        </w:rPr>
        <w:t xml:space="preserve"> (Rec. </w:t>
      </w:r>
      <w:r w:rsidR="00BD31AA" w:rsidRPr="007D0AA6">
        <w:rPr>
          <w:rFonts w:ascii="Cambria" w:eastAsia="Cambria" w:hAnsi="Cambria" w:cs="Cambria"/>
          <w:sz w:val="20"/>
          <w:szCs w:val="20"/>
        </w:rPr>
        <w:t>25</w:t>
      </w:r>
      <w:r w:rsidR="00985402" w:rsidRPr="007D0AA6">
        <w:rPr>
          <w:rFonts w:ascii="Cambria" w:eastAsia="Cambria" w:hAnsi="Cambria" w:cs="Cambria"/>
          <w:sz w:val="20"/>
          <w:szCs w:val="20"/>
        </w:rPr>
        <w:t>-XX)</w:t>
      </w:r>
      <w:r w:rsidR="00985402" w:rsidRPr="007D0AA6">
        <w:rPr>
          <w:rFonts w:ascii="Cambria" w:hAnsi="Cambria"/>
          <w:sz w:val="20"/>
        </w:rPr>
        <w:t xml:space="preserve"> </w:t>
      </w:r>
      <w:r w:rsidRPr="007D0AA6">
        <w:rPr>
          <w:rFonts w:ascii="Cambria" w:hAnsi="Cambria"/>
          <w:sz w:val="20"/>
        </w:rPr>
        <w:t xml:space="preserve">en utilisant la feuille de contrôle telle qu'élaborée par le Secrétariat de l'ICCAT </w:t>
      </w:r>
      <w:r w:rsidR="005E771B" w:rsidRPr="007D0AA6">
        <w:rPr>
          <w:rFonts w:ascii="Cambria" w:hAnsi="Cambria"/>
          <w:sz w:val="20"/>
        </w:rPr>
        <w:t>en suivant le modèle de l’</w:t>
      </w:r>
      <w:r w:rsidR="005E771B" w:rsidRPr="007D0AA6">
        <w:rPr>
          <w:rFonts w:ascii="Cambria" w:hAnsi="Cambria"/>
          <w:b/>
          <w:bCs/>
          <w:sz w:val="20"/>
        </w:rPr>
        <w:t>annexe 2</w:t>
      </w:r>
      <w:r w:rsidR="005E771B" w:rsidRPr="007D0AA6">
        <w:rPr>
          <w:rFonts w:ascii="Cambria" w:hAnsi="Cambria"/>
          <w:sz w:val="20"/>
        </w:rPr>
        <w:t xml:space="preserve"> et </w:t>
      </w:r>
      <w:r w:rsidRPr="007D0AA6">
        <w:rPr>
          <w:rFonts w:ascii="Cambria" w:hAnsi="Cambria"/>
          <w:sz w:val="20"/>
        </w:rPr>
        <w:t xml:space="preserve">en consultation avec le Président du Comité d'application (COC) et le Président de la Sous-commission 4, afin de refléter les changements de cette Recommandation adoptés par la Commission. </w:t>
      </w:r>
    </w:p>
    <w:p w14:paraId="79EBDDED" w14:textId="77777777" w:rsidR="007E1F39" w:rsidRPr="007D0AA6" w:rsidRDefault="007E1F39" w:rsidP="007E1F39">
      <w:pPr>
        <w:pStyle w:val="ListParagraph"/>
        <w:spacing w:after="0" w:line="240" w:lineRule="auto"/>
        <w:ind w:left="426"/>
        <w:jc w:val="both"/>
        <w:rPr>
          <w:rFonts w:ascii="Cambria" w:eastAsia="Cambria" w:hAnsi="Cambria" w:cs="Cambria"/>
          <w:sz w:val="20"/>
          <w:szCs w:val="20"/>
        </w:rPr>
      </w:pPr>
    </w:p>
    <w:p w14:paraId="29029CC7" w14:textId="511F0098" w:rsidR="000A0D8D" w:rsidRPr="007D0AA6" w:rsidRDefault="30F31AFD"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S'il n'y a pas de changement par rapport à l'année précédente dans la mise en œuvre par une CPC des exigences de la feuille de contrôle mentionnée au paragraphe 17 et qu'aucun champ de déclaration supplémentaire n'a été inclus pour refléter les nouvelles exigences, la CPC ne devra pas être tenue de soumettre une feuille de contrôle, à condition qu'elle affirme dans son rapport annuel qu'il n'y a pas de changement. S'il y a des changements par rapport à l'année précédente dans la mise en œuvre d'une CPC, ou si des champs de déclaration supplémentaires ont été inclus dans la feuille de contrôle afin de refléter les nouvelles exigences, la CPC ne devra être tenue de soumettre que ces mises à jour en ce qui concerne la mise en œuvre ou les réponses aux nouveaux champs de déclaration avec son rapport annuel. Toutefois, les CPC devront soumettre des feuilles de contrôle actualisées dans leur intégralité lors des années où il est prévu que le Comité d’application donne la priorité à l’examen des feuilles de contrôle des requins conformément au paragraphe 20.</w:t>
      </w:r>
    </w:p>
    <w:p w14:paraId="62C62F0C" w14:textId="77777777" w:rsidR="007E1F39" w:rsidRPr="007D0AA6" w:rsidRDefault="007E1F39" w:rsidP="007E1F39">
      <w:pPr>
        <w:pStyle w:val="ListParagraph"/>
        <w:rPr>
          <w:rFonts w:ascii="Cambria" w:eastAsia="Cambria" w:hAnsi="Cambria" w:cs="Cambria"/>
          <w:sz w:val="20"/>
          <w:szCs w:val="20"/>
        </w:rPr>
      </w:pPr>
    </w:p>
    <w:p w14:paraId="69AC42F5" w14:textId="4027F2B3" w:rsidR="00635A1B" w:rsidRPr="007D0AA6" w:rsidRDefault="00635A1B"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 xml:space="preserve">Les CPC pourraient être exemptées de la soumission de la feuille de contrôle s’il est peu probable que les navires battant leur pavillon </w:t>
      </w:r>
      <w:r w:rsidR="00B6328D" w:rsidRPr="007D0AA6">
        <w:rPr>
          <w:rFonts w:ascii="Cambria" w:hAnsi="Cambria"/>
          <w:sz w:val="20"/>
        </w:rPr>
        <w:t>interagissent avec</w:t>
      </w:r>
      <w:r w:rsidRPr="007D0AA6">
        <w:rPr>
          <w:rFonts w:ascii="Cambria" w:hAnsi="Cambria"/>
          <w:sz w:val="20"/>
        </w:rPr>
        <w:t xml:space="preserve"> des espèces de requins couvertes par les Recommandations mentionnées au paragraphe 17</w:t>
      </w:r>
      <w:r w:rsidR="0023124C" w:rsidRPr="007D0AA6">
        <w:rPr>
          <w:rFonts w:ascii="Cambria" w:hAnsi="Cambria"/>
          <w:sz w:val="20"/>
        </w:rPr>
        <w:t>. L</w:t>
      </w:r>
      <w:r w:rsidRPr="007D0AA6">
        <w:rPr>
          <w:rFonts w:ascii="Cambria" w:hAnsi="Cambria"/>
          <w:sz w:val="20"/>
        </w:rPr>
        <w:t xml:space="preserve">es CPC concernées </w:t>
      </w:r>
      <w:r w:rsidR="0023124C" w:rsidRPr="007D0AA6">
        <w:rPr>
          <w:rFonts w:ascii="Cambria" w:hAnsi="Cambria"/>
          <w:sz w:val="20"/>
        </w:rPr>
        <w:t>devront obtenir</w:t>
      </w:r>
      <w:r w:rsidRPr="007D0AA6">
        <w:rPr>
          <w:rFonts w:ascii="Cambria" w:hAnsi="Cambria"/>
          <w:sz w:val="20"/>
        </w:rPr>
        <w:t xml:space="preserve"> confirmation du Groupe d’espèces sur les requins</w:t>
      </w:r>
      <w:r w:rsidR="000755A4" w:rsidRPr="007D0AA6">
        <w:rPr>
          <w:rFonts w:ascii="Cambria" w:hAnsi="Cambria"/>
          <w:sz w:val="20"/>
        </w:rPr>
        <w:t xml:space="preserve"> conformément à la procédure suivante :</w:t>
      </w:r>
    </w:p>
    <w:p w14:paraId="07A2518C" w14:textId="77777777" w:rsidR="007E1F39" w:rsidRPr="007D0AA6" w:rsidRDefault="007E1F39" w:rsidP="007E1F39">
      <w:pPr>
        <w:pStyle w:val="ListParagraph"/>
        <w:rPr>
          <w:rFonts w:ascii="Cambria" w:eastAsia="Cambria" w:hAnsi="Cambria" w:cs="Cambria"/>
          <w:sz w:val="20"/>
          <w:szCs w:val="20"/>
        </w:rPr>
      </w:pPr>
    </w:p>
    <w:p w14:paraId="5826D071" w14:textId="25203C1A" w:rsidR="001D3F2F" w:rsidRPr="007D0AA6" w:rsidRDefault="001D3F2F" w:rsidP="001D3F2F">
      <w:pPr>
        <w:pStyle w:val="ListParagraph"/>
        <w:numPr>
          <w:ilvl w:val="1"/>
          <w:numId w:val="15"/>
        </w:numPr>
        <w:jc w:val="both"/>
        <w:rPr>
          <w:rFonts w:ascii="Cambria" w:eastAsia="Cambria" w:hAnsi="Cambria" w:cs="Cambria"/>
          <w:sz w:val="20"/>
          <w:szCs w:val="20"/>
        </w:rPr>
      </w:pPr>
      <w:r w:rsidRPr="007D0AA6">
        <w:rPr>
          <w:rFonts w:ascii="Cambria" w:hAnsi="Cambria"/>
          <w:sz w:val="20"/>
          <w:szCs w:val="20"/>
        </w:rPr>
        <w:t xml:space="preserve">La CPC devra soumettre sa demande au moins 45 jours avant le début </w:t>
      </w:r>
      <w:r w:rsidR="003532EB" w:rsidRPr="007D0AA6">
        <w:rPr>
          <w:rFonts w:ascii="Cambria" w:hAnsi="Cambria"/>
          <w:sz w:val="20"/>
          <w:szCs w:val="20"/>
        </w:rPr>
        <w:t xml:space="preserve">de la réunion </w:t>
      </w:r>
      <w:r w:rsidRPr="007D0AA6">
        <w:rPr>
          <w:rFonts w:ascii="Cambria" w:hAnsi="Cambria"/>
          <w:sz w:val="20"/>
          <w:szCs w:val="20"/>
        </w:rPr>
        <w:t xml:space="preserve">du Groupe d'espèces sur les requins du SCRS. </w:t>
      </w:r>
    </w:p>
    <w:p w14:paraId="64176EEB" w14:textId="77777777" w:rsidR="001D3F2F" w:rsidRPr="007D0AA6" w:rsidRDefault="001D3F2F" w:rsidP="001D3F2F">
      <w:pPr>
        <w:pStyle w:val="ListParagraph"/>
        <w:numPr>
          <w:ilvl w:val="1"/>
          <w:numId w:val="15"/>
        </w:numPr>
        <w:jc w:val="both"/>
        <w:rPr>
          <w:rFonts w:ascii="Cambria" w:eastAsia="Cambria" w:hAnsi="Cambria" w:cs="Cambria"/>
          <w:sz w:val="20"/>
          <w:szCs w:val="20"/>
        </w:rPr>
      </w:pPr>
      <w:r w:rsidRPr="007D0AA6">
        <w:rPr>
          <w:rFonts w:ascii="Cambria" w:hAnsi="Cambria"/>
          <w:sz w:val="20"/>
          <w:szCs w:val="20"/>
        </w:rPr>
        <w:t>En utilisant les lignes directrices de l'</w:t>
      </w:r>
      <w:r w:rsidRPr="007D0AA6">
        <w:rPr>
          <w:rFonts w:ascii="Cambria" w:hAnsi="Cambria"/>
          <w:b/>
          <w:bCs/>
          <w:sz w:val="20"/>
          <w:szCs w:val="20"/>
        </w:rPr>
        <w:t>annexe 3</w:t>
      </w:r>
      <w:r w:rsidRPr="007D0AA6">
        <w:rPr>
          <w:rFonts w:ascii="Cambria" w:hAnsi="Cambria"/>
          <w:sz w:val="20"/>
          <w:szCs w:val="20"/>
        </w:rPr>
        <w:t xml:space="preserve">, le Groupe d’espèces sur les requins du SCRS devra examiner la demande et donner son avis à la Commission sur la possibilité d'accorder l'exemption ; </w:t>
      </w:r>
    </w:p>
    <w:p w14:paraId="72070E7A" w14:textId="5C527E56" w:rsidR="001D3F2F" w:rsidRPr="007D0AA6" w:rsidRDefault="001D3F2F" w:rsidP="001D3F2F">
      <w:pPr>
        <w:pStyle w:val="ListParagraph"/>
        <w:numPr>
          <w:ilvl w:val="1"/>
          <w:numId w:val="15"/>
        </w:numPr>
        <w:jc w:val="both"/>
        <w:rPr>
          <w:rFonts w:ascii="Cambria" w:eastAsia="Cambria" w:hAnsi="Cambria" w:cs="Cambria"/>
          <w:sz w:val="20"/>
          <w:szCs w:val="20"/>
        </w:rPr>
      </w:pPr>
      <w:r w:rsidRPr="007D0AA6">
        <w:rPr>
          <w:rFonts w:ascii="Cambria" w:hAnsi="Cambria"/>
          <w:sz w:val="20"/>
          <w:szCs w:val="20"/>
        </w:rPr>
        <w:t xml:space="preserve">Lors de sa prochaine </w:t>
      </w:r>
      <w:r w:rsidR="00EE031C" w:rsidRPr="007D0AA6">
        <w:rPr>
          <w:rFonts w:ascii="Cambria" w:hAnsi="Cambria"/>
          <w:sz w:val="20"/>
          <w:szCs w:val="20"/>
        </w:rPr>
        <w:t>réunion</w:t>
      </w:r>
      <w:r w:rsidRPr="007D0AA6">
        <w:rPr>
          <w:rFonts w:ascii="Cambria" w:hAnsi="Cambria"/>
          <w:sz w:val="20"/>
          <w:szCs w:val="20"/>
        </w:rPr>
        <w:t xml:space="preserve">, la Commission devra confirmer l'exemption. </w:t>
      </w:r>
    </w:p>
    <w:p w14:paraId="33803983" w14:textId="77777777" w:rsidR="000755A4" w:rsidRPr="007D0AA6" w:rsidRDefault="000755A4" w:rsidP="007E1F39">
      <w:pPr>
        <w:pStyle w:val="ListParagraph"/>
        <w:rPr>
          <w:rFonts w:ascii="Cambria" w:eastAsia="Cambria" w:hAnsi="Cambria" w:cs="Cambria"/>
          <w:sz w:val="20"/>
          <w:szCs w:val="20"/>
        </w:rPr>
      </w:pPr>
    </w:p>
    <w:p w14:paraId="777A5E0E" w14:textId="61D395D5" w:rsidR="00635A1B" w:rsidRPr="007D0AA6" w:rsidRDefault="00635A1B"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Lors de la réunion du Comité d’application, la priorité devra être accordée à l'examen des feuilles de contrôle des CPC pendant un cycle de réunions de l’ICCAT tel que déterminé par le Comité, sans préjuger de la compétence du Comité d'examiner les questions relatives à la mise en œuvre de la présente Recommandation lors de réunions annuelles lors d’autres années le cas échéant.</w:t>
      </w:r>
    </w:p>
    <w:p w14:paraId="5969D50B" w14:textId="77777777" w:rsidR="00AE7E22" w:rsidRPr="007D0AA6" w:rsidRDefault="00AE7E22" w:rsidP="00D21AA0">
      <w:pPr>
        <w:spacing w:after="0" w:line="240" w:lineRule="auto"/>
        <w:jc w:val="both"/>
        <w:rPr>
          <w:rFonts w:ascii="Cambria" w:eastAsia="Cambria" w:hAnsi="Cambria" w:cs="Cambria"/>
          <w:b/>
          <w:bCs/>
          <w:sz w:val="20"/>
          <w:szCs w:val="20"/>
        </w:rPr>
      </w:pPr>
    </w:p>
    <w:p w14:paraId="5F36EED4" w14:textId="3BEF3398" w:rsidR="005667F3" w:rsidRPr="007D0AA6" w:rsidRDefault="00FE7A54" w:rsidP="00D21AA0">
      <w:pPr>
        <w:spacing w:after="0" w:line="240" w:lineRule="auto"/>
        <w:jc w:val="both"/>
        <w:rPr>
          <w:rFonts w:ascii="Cambria" w:eastAsia="Cambria" w:hAnsi="Cambria" w:cs="Cambria"/>
          <w:b/>
          <w:bCs/>
          <w:sz w:val="20"/>
          <w:szCs w:val="20"/>
        </w:rPr>
      </w:pPr>
      <w:r w:rsidRPr="007D0AA6">
        <w:rPr>
          <w:rFonts w:ascii="Cambria" w:hAnsi="Cambria"/>
          <w:b/>
          <w:sz w:val="20"/>
        </w:rPr>
        <w:t>Travaux scientifiques et recommandations</w:t>
      </w:r>
    </w:p>
    <w:p w14:paraId="59702EB8" w14:textId="77777777" w:rsidR="00AE7E22" w:rsidRPr="007D0AA6" w:rsidRDefault="00AE7E22" w:rsidP="00D21AA0">
      <w:pPr>
        <w:spacing w:after="0" w:line="240" w:lineRule="auto"/>
        <w:jc w:val="both"/>
        <w:rPr>
          <w:rFonts w:ascii="Cambria" w:eastAsia="Cambria" w:hAnsi="Cambria" w:cs="Cambria"/>
          <w:b/>
          <w:bCs/>
          <w:sz w:val="20"/>
          <w:szCs w:val="20"/>
        </w:rPr>
      </w:pPr>
    </w:p>
    <w:p w14:paraId="6D64041D" w14:textId="4BDAC4F1" w:rsidR="006775A5" w:rsidRPr="007D0AA6" w:rsidRDefault="00157249"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Les CPC devront, dans la mesure du possible, mener des recherches :</w:t>
      </w:r>
    </w:p>
    <w:p w14:paraId="5A82F039" w14:textId="77777777" w:rsidR="00AE7E22" w:rsidRPr="007D0AA6" w:rsidRDefault="00AE7E22" w:rsidP="00AE7E22">
      <w:pPr>
        <w:pStyle w:val="ListParagraph"/>
        <w:spacing w:after="0" w:line="240" w:lineRule="auto"/>
        <w:ind w:left="426"/>
        <w:jc w:val="both"/>
        <w:rPr>
          <w:rFonts w:ascii="Cambria" w:eastAsia="Cambria" w:hAnsi="Cambria" w:cs="Cambria"/>
          <w:sz w:val="20"/>
          <w:szCs w:val="20"/>
        </w:rPr>
      </w:pPr>
    </w:p>
    <w:p w14:paraId="209C4D81" w14:textId="3D31D289" w:rsidR="006775A5" w:rsidRPr="007D0AA6" w:rsidRDefault="00AE7E22" w:rsidP="00AE7E22">
      <w:pPr>
        <w:pStyle w:val="ListParagraph"/>
        <w:numPr>
          <w:ilvl w:val="1"/>
          <w:numId w:val="20"/>
        </w:numPr>
        <w:spacing w:after="0" w:line="240" w:lineRule="auto"/>
        <w:ind w:left="851" w:hanging="425"/>
        <w:jc w:val="both"/>
        <w:rPr>
          <w:rFonts w:ascii="Cambria" w:eastAsia="Cambria" w:hAnsi="Cambria" w:cs="Cambria"/>
          <w:sz w:val="20"/>
          <w:szCs w:val="20"/>
        </w:rPr>
      </w:pPr>
      <w:r w:rsidRPr="007D0AA6">
        <w:rPr>
          <w:rFonts w:ascii="Cambria" w:hAnsi="Cambria"/>
          <w:sz w:val="20"/>
        </w:rPr>
        <w:t>Pour identifier les moyens de rendre les engins de pêche plus sélectifs.</w:t>
      </w:r>
    </w:p>
    <w:p w14:paraId="50680629" w14:textId="6D12A2F6" w:rsidR="00157249" w:rsidRPr="007D0AA6" w:rsidRDefault="00AE7E22" w:rsidP="00876191">
      <w:pPr>
        <w:pStyle w:val="ListParagraph"/>
        <w:numPr>
          <w:ilvl w:val="1"/>
          <w:numId w:val="20"/>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Pour identifier les zones potentielles </w:t>
      </w:r>
      <w:r w:rsidR="0087401D" w:rsidRPr="007D0AA6">
        <w:rPr>
          <w:rFonts w:ascii="Cambria" w:hAnsi="Cambria"/>
          <w:sz w:val="20"/>
        </w:rPr>
        <w:t xml:space="preserve">d'accouplement, de </w:t>
      </w:r>
      <w:proofErr w:type="gramStart"/>
      <w:r w:rsidR="0087401D" w:rsidRPr="007D0AA6">
        <w:rPr>
          <w:rFonts w:ascii="Cambria" w:hAnsi="Cambria"/>
          <w:sz w:val="20"/>
        </w:rPr>
        <w:t>mise bas</w:t>
      </w:r>
      <w:proofErr w:type="gramEnd"/>
      <w:r w:rsidR="0087401D" w:rsidRPr="007D0AA6">
        <w:rPr>
          <w:rFonts w:ascii="Cambria" w:hAnsi="Cambria"/>
          <w:sz w:val="20"/>
        </w:rPr>
        <w:t xml:space="preserve"> et de nourricerie des requins, ainsi que d'autres zones à forte concentration de requins. </w:t>
      </w:r>
      <w:r w:rsidRPr="007D0AA6">
        <w:rPr>
          <w:rFonts w:ascii="Cambria" w:hAnsi="Cambria"/>
          <w:sz w:val="20"/>
        </w:rPr>
        <w:t>Sur la base de cette recherche, les CPC devront envisager des fermetures spatiales et temporelles et d’autres mesures, selon le cas.</w:t>
      </w:r>
    </w:p>
    <w:p w14:paraId="7840EE15" w14:textId="7FD1C1EF" w:rsidR="000B43C5" w:rsidRPr="007D0AA6" w:rsidRDefault="0087401D" w:rsidP="0087401D">
      <w:pPr>
        <w:pStyle w:val="ListParagraph"/>
        <w:numPr>
          <w:ilvl w:val="1"/>
          <w:numId w:val="20"/>
        </w:numPr>
        <w:spacing w:after="0" w:line="240" w:lineRule="auto"/>
        <w:ind w:left="851" w:hanging="425"/>
        <w:jc w:val="both"/>
        <w:rPr>
          <w:rFonts w:ascii="Cambria" w:eastAsia="Cambria" w:hAnsi="Cambria" w:cs="Cambria"/>
          <w:sz w:val="20"/>
          <w:szCs w:val="20"/>
        </w:rPr>
      </w:pPr>
      <w:r w:rsidRPr="007D0AA6">
        <w:rPr>
          <w:rFonts w:ascii="Cambria" w:hAnsi="Cambria"/>
          <w:sz w:val="20"/>
        </w:rPr>
        <w:t>Combler les lacunes, au niveau du stock, dans les données biologiques essentielles.</w:t>
      </w:r>
      <w:r w:rsidR="00AE7E22" w:rsidRPr="007D0AA6">
        <w:rPr>
          <w:rFonts w:ascii="Cambria" w:hAnsi="Cambria"/>
          <w:sz w:val="20"/>
        </w:rPr>
        <w:t xml:space="preserve"> </w:t>
      </w:r>
    </w:p>
    <w:p w14:paraId="770605FA" w14:textId="4CDB88BA" w:rsidR="00C971C4" w:rsidRPr="007D0AA6" w:rsidRDefault="00AE7E22" w:rsidP="00DE4D80">
      <w:pPr>
        <w:pStyle w:val="ListParagraph"/>
        <w:numPr>
          <w:ilvl w:val="1"/>
          <w:numId w:val="20"/>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Sur les pratiques de manipulation et de remise en liberté garantissant des taux de survie élevés après la remise en liberté </w:t>
      </w:r>
      <w:r w:rsidR="0087401D" w:rsidRPr="007D0AA6">
        <w:rPr>
          <w:rFonts w:ascii="Cambria" w:eastAsia="Cambria" w:hAnsi="Cambria" w:cs="Cambria"/>
          <w:sz w:val="20"/>
          <w:szCs w:val="20"/>
        </w:rPr>
        <w:t xml:space="preserve">de tous les requins qui doivent être remis à l’eau indemnes en vertu du paragraphe </w:t>
      </w:r>
      <w:r w:rsidR="00985402" w:rsidRPr="007D0AA6">
        <w:rPr>
          <w:rFonts w:ascii="Cambria" w:eastAsia="Cambria" w:hAnsi="Cambria" w:cs="Cambria"/>
          <w:sz w:val="20"/>
          <w:szCs w:val="20"/>
        </w:rPr>
        <w:t>7</w:t>
      </w:r>
      <w:r w:rsidR="0087401D" w:rsidRPr="007D0AA6">
        <w:rPr>
          <w:rFonts w:ascii="Cambria" w:eastAsia="Cambria" w:hAnsi="Cambria" w:cs="Cambria"/>
          <w:sz w:val="20"/>
          <w:szCs w:val="20"/>
        </w:rPr>
        <w:t>.</w:t>
      </w:r>
    </w:p>
    <w:p w14:paraId="5E450E75" w14:textId="77777777" w:rsidR="0087401D" w:rsidRPr="007D0AA6" w:rsidRDefault="0087401D" w:rsidP="00D55385">
      <w:pPr>
        <w:pStyle w:val="ListParagraph"/>
        <w:spacing w:after="0" w:line="240" w:lineRule="auto"/>
        <w:ind w:left="426"/>
        <w:jc w:val="both"/>
        <w:rPr>
          <w:rFonts w:ascii="Cambria" w:eastAsia="Cambria" w:hAnsi="Cambria" w:cs="Cambria"/>
          <w:sz w:val="20"/>
          <w:szCs w:val="20"/>
        </w:rPr>
      </w:pPr>
    </w:p>
    <w:p w14:paraId="79158006" w14:textId="27E319E9" w:rsidR="00D55385" w:rsidRPr="007D0AA6" w:rsidRDefault="00D55385" w:rsidP="00D55385">
      <w:pPr>
        <w:pStyle w:val="ListParagraph"/>
        <w:numPr>
          <w:ilvl w:val="0"/>
          <w:numId w:val="15"/>
        </w:numPr>
        <w:spacing w:after="0" w:line="240" w:lineRule="auto"/>
        <w:jc w:val="both"/>
        <w:rPr>
          <w:rFonts w:ascii="Cambria" w:eastAsia="Cambria" w:hAnsi="Cambria" w:cs="Cambria"/>
          <w:sz w:val="20"/>
          <w:szCs w:val="20"/>
        </w:rPr>
      </w:pPr>
      <w:r w:rsidRPr="007D0AA6">
        <w:rPr>
          <w:rFonts w:ascii="Cambria" w:eastAsia="Cambria" w:hAnsi="Cambria" w:cs="Cambria"/>
          <w:sz w:val="20"/>
          <w:szCs w:val="20"/>
        </w:rPr>
        <w:t xml:space="preserve">D'ici 2026, le SCRS devra </w:t>
      </w:r>
      <w:r w:rsidR="00240022" w:rsidRPr="007D0AA6">
        <w:rPr>
          <w:rFonts w:ascii="Cambria" w:eastAsia="Cambria" w:hAnsi="Cambria" w:cs="Cambria"/>
          <w:sz w:val="20"/>
          <w:szCs w:val="20"/>
        </w:rPr>
        <w:t xml:space="preserve">actualiser l’évaluation des risques écologiques pour les requins de 2012 et </w:t>
      </w:r>
      <w:r w:rsidRPr="007D0AA6">
        <w:rPr>
          <w:rFonts w:ascii="Cambria" w:eastAsia="Cambria" w:hAnsi="Cambria" w:cs="Cambria"/>
          <w:sz w:val="20"/>
          <w:szCs w:val="20"/>
        </w:rPr>
        <w:t xml:space="preserve">donner un avis à la Commission sur l'état des populations </w:t>
      </w:r>
      <w:r w:rsidR="00A87EF5" w:rsidRPr="007D0AA6">
        <w:rPr>
          <w:rFonts w:ascii="Cambria" w:eastAsia="Cambria" w:hAnsi="Cambria" w:cs="Cambria"/>
          <w:sz w:val="20"/>
          <w:szCs w:val="20"/>
        </w:rPr>
        <w:t>d’espèces</w:t>
      </w:r>
      <w:r w:rsidR="009136E6" w:rsidRPr="007D0AA6">
        <w:rPr>
          <w:rFonts w:ascii="Cambria" w:eastAsia="Cambria" w:hAnsi="Cambria" w:cs="Cambria"/>
          <w:sz w:val="20"/>
          <w:szCs w:val="20"/>
        </w:rPr>
        <w:t xml:space="preserve"> de requins pertinentes</w:t>
      </w:r>
      <w:r w:rsidRPr="007D0AA6">
        <w:rPr>
          <w:rFonts w:ascii="Cambria" w:eastAsia="Cambria" w:hAnsi="Cambria" w:cs="Cambria"/>
          <w:sz w:val="20"/>
          <w:szCs w:val="20"/>
        </w:rPr>
        <w:t xml:space="preserve"> et leur vulnérabilité à la surpêche, et sur la question de savoir si une gestion de précaution de ces espèces par l'application des mesures prévues dans la présente Recommandation, en particulier les paragraphes </w:t>
      </w:r>
      <w:r w:rsidR="00A87EF5" w:rsidRPr="007D0AA6">
        <w:rPr>
          <w:rFonts w:ascii="Cambria" w:eastAsia="Cambria" w:hAnsi="Cambria" w:cs="Cambria"/>
          <w:sz w:val="20"/>
          <w:szCs w:val="20"/>
        </w:rPr>
        <w:t>3</w:t>
      </w:r>
      <w:r w:rsidRPr="007D0AA6">
        <w:rPr>
          <w:rFonts w:ascii="Cambria" w:eastAsia="Cambria" w:hAnsi="Cambria" w:cs="Cambria"/>
          <w:sz w:val="20"/>
          <w:szCs w:val="20"/>
        </w:rPr>
        <w:t xml:space="preserve"> et 15, est recommandée.</w:t>
      </w:r>
    </w:p>
    <w:p w14:paraId="1AFC19FB" w14:textId="77777777" w:rsidR="00C971C4" w:rsidRPr="007D0AA6" w:rsidRDefault="00C971C4" w:rsidP="00C971C4">
      <w:pPr>
        <w:pStyle w:val="ListParagraph"/>
        <w:spacing w:after="0" w:line="240" w:lineRule="auto"/>
        <w:ind w:left="426"/>
        <w:jc w:val="both"/>
        <w:rPr>
          <w:rFonts w:ascii="Cambria" w:eastAsia="Cambria" w:hAnsi="Cambria" w:cs="Cambria"/>
          <w:sz w:val="20"/>
          <w:szCs w:val="20"/>
        </w:rPr>
      </w:pPr>
    </w:p>
    <w:p w14:paraId="3B8AB275" w14:textId="1E8EB267" w:rsidR="00D55385" w:rsidRPr="007D0AA6" w:rsidRDefault="00D55385" w:rsidP="00D55385">
      <w:pPr>
        <w:pStyle w:val="ListParagraph"/>
        <w:numPr>
          <w:ilvl w:val="0"/>
          <w:numId w:val="15"/>
        </w:numPr>
        <w:spacing w:after="0" w:line="240" w:lineRule="auto"/>
        <w:ind w:left="426" w:hanging="426"/>
        <w:jc w:val="both"/>
        <w:rPr>
          <w:rFonts w:ascii="Cambria" w:hAnsi="Cambria"/>
          <w:bCs/>
          <w:sz w:val="20"/>
        </w:rPr>
      </w:pPr>
      <w:r w:rsidRPr="007D0AA6">
        <w:rPr>
          <w:rFonts w:ascii="Cambria" w:hAnsi="Cambria"/>
          <w:bCs/>
          <w:sz w:val="20"/>
        </w:rPr>
        <w:lastRenderedPageBreak/>
        <w:t>Le SCRS devrait continuer à travailler conjointement avec le Groupe de travail sur les poissons élasmobranches du CIEM sur l'évaluation des espèces d'intérêt commun, telles que le requin-taupe commun.</w:t>
      </w:r>
    </w:p>
    <w:p w14:paraId="6C1910F7" w14:textId="77777777" w:rsidR="00D55385" w:rsidRPr="007D0AA6" w:rsidRDefault="00D55385" w:rsidP="00D55385">
      <w:pPr>
        <w:spacing w:after="0" w:line="240" w:lineRule="auto"/>
        <w:ind w:left="426" w:hanging="426"/>
        <w:jc w:val="both"/>
        <w:rPr>
          <w:rFonts w:ascii="Cambria" w:hAnsi="Cambria"/>
          <w:b/>
          <w:sz w:val="20"/>
        </w:rPr>
      </w:pPr>
    </w:p>
    <w:p w14:paraId="2F2F93B6" w14:textId="52ED13AF" w:rsidR="00D63E2B" w:rsidRPr="007D0AA6" w:rsidRDefault="0086705B" w:rsidP="00D21AA0">
      <w:pPr>
        <w:spacing w:after="0" w:line="240" w:lineRule="auto"/>
        <w:jc w:val="both"/>
        <w:rPr>
          <w:rFonts w:ascii="Cambria" w:eastAsia="Cambria" w:hAnsi="Cambria" w:cs="Cambria"/>
          <w:b/>
          <w:bCs/>
          <w:sz w:val="20"/>
          <w:szCs w:val="20"/>
        </w:rPr>
      </w:pPr>
      <w:r w:rsidRPr="007D0AA6">
        <w:rPr>
          <w:rFonts w:ascii="Cambria" w:hAnsi="Cambria"/>
          <w:b/>
          <w:sz w:val="20"/>
        </w:rPr>
        <w:t>Assistance</w:t>
      </w:r>
    </w:p>
    <w:p w14:paraId="75FEDFAC" w14:textId="77777777" w:rsidR="00C971C4" w:rsidRPr="007D0AA6" w:rsidRDefault="00C971C4" w:rsidP="00D21AA0">
      <w:pPr>
        <w:spacing w:after="0" w:line="240" w:lineRule="auto"/>
        <w:jc w:val="both"/>
        <w:rPr>
          <w:rFonts w:ascii="Cambria" w:eastAsia="Cambria" w:hAnsi="Cambria" w:cs="Cambria"/>
          <w:sz w:val="20"/>
          <w:szCs w:val="20"/>
        </w:rPr>
      </w:pPr>
    </w:p>
    <w:p w14:paraId="39B0BD56" w14:textId="25FDAC9D" w:rsidR="003B153C" w:rsidRPr="007D0AA6" w:rsidRDefault="003B153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La Commission devra envisager d’apporter une assistance appropriée aux CPC en développement aux fins de la collecte des données sur leurs prises de requins.</w:t>
      </w:r>
    </w:p>
    <w:p w14:paraId="69644210" w14:textId="77777777" w:rsidR="00C971C4" w:rsidRPr="007D0AA6" w:rsidRDefault="00C971C4" w:rsidP="00C971C4">
      <w:pPr>
        <w:pStyle w:val="ListParagraph"/>
        <w:spacing w:after="0" w:line="240" w:lineRule="auto"/>
        <w:ind w:left="426"/>
        <w:jc w:val="both"/>
        <w:rPr>
          <w:rFonts w:ascii="Cambria" w:eastAsia="Cambria" w:hAnsi="Cambria" w:cs="Cambria"/>
          <w:sz w:val="20"/>
          <w:szCs w:val="20"/>
        </w:rPr>
      </w:pPr>
    </w:p>
    <w:p w14:paraId="0042BF05" w14:textId="1F8C9A90" w:rsidR="003B3788" w:rsidRPr="007D0AA6" w:rsidRDefault="007F02FA"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Selon que de besoin, la Commission et les CPC devraient, à titre individuel ou collectif, s’engager dans des efforts de renforcement des capacités et dans d’autres activités de coopération en vue d’appuyer la mise en œuvre efficace de la présente Recommandation, y compris en concluant des accords de coopération avec d’autres organismes internationaux pertinents.</w:t>
      </w:r>
    </w:p>
    <w:p w14:paraId="40B75E4B" w14:textId="77777777" w:rsidR="00C971C4" w:rsidRPr="007D0AA6" w:rsidRDefault="00C971C4" w:rsidP="00D21AA0">
      <w:pPr>
        <w:spacing w:after="0" w:line="240" w:lineRule="auto"/>
        <w:jc w:val="both"/>
        <w:rPr>
          <w:rFonts w:ascii="Cambria" w:eastAsia="Cambria" w:hAnsi="Cambria" w:cs="Cambria"/>
          <w:b/>
          <w:bCs/>
          <w:sz w:val="20"/>
          <w:szCs w:val="20"/>
        </w:rPr>
      </w:pPr>
    </w:p>
    <w:p w14:paraId="3A4C11CF" w14:textId="536BA30C" w:rsidR="000B3C7A" w:rsidRPr="007D0AA6" w:rsidRDefault="00A60EC4" w:rsidP="00D21AA0">
      <w:pPr>
        <w:spacing w:after="0" w:line="240" w:lineRule="auto"/>
        <w:jc w:val="both"/>
        <w:rPr>
          <w:rFonts w:ascii="Cambria" w:eastAsia="Cambria" w:hAnsi="Cambria" w:cs="Cambria"/>
          <w:b/>
          <w:bCs/>
          <w:sz w:val="20"/>
          <w:szCs w:val="20"/>
        </w:rPr>
      </w:pPr>
      <w:r w:rsidRPr="007D0AA6">
        <w:rPr>
          <w:rFonts w:ascii="Cambria" w:hAnsi="Cambria"/>
          <w:b/>
          <w:sz w:val="20"/>
        </w:rPr>
        <w:t xml:space="preserve">Coopération avec </w:t>
      </w:r>
      <w:r w:rsidR="00D708E7" w:rsidRPr="007D0AA6">
        <w:rPr>
          <w:rFonts w:ascii="Cambria" w:hAnsi="Cambria"/>
          <w:b/>
          <w:sz w:val="20"/>
        </w:rPr>
        <w:t>la</w:t>
      </w:r>
      <w:r w:rsidR="005659B9" w:rsidRPr="007D0AA6">
        <w:rPr>
          <w:rFonts w:ascii="Cambria" w:hAnsi="Cambria"/>
          <w:b/>
          <w:sz w:val="20"/>
        </w:rPr>
        <w:t xml:space="preserve"> FAO</w:t>
      </w:r>
      <w:r w:rsidR="00D708E7" w:rsidRPr="007D0AA6">
        <w:rPr>
          <w:rFonts w:ascii="Cambria" w:hAnsi="Cambria"/>
          <w:b/>
          <w:sz w:val="20"/>
        </w:rPr>
        <w:t> ;</w:t>
      </w:r>
      <w:r w:rsidRPr="007D0AA6">
        <w:rPr>
          <w:rFonts w:ascii="Cambria" w:hAnsi="Cambria"/>
          <w:b/>
          <w:sz w:val="20"/>
        </w:rPr>
        <w:t xml:space="preserve"> Plans d’action nationaux</w:t>
      </w:r>
    </w:p>
    <w:p w14:paraId="56E45A52" w14:textId="77777777" w:rsidR="00C971C4" w:rsidRPr="007D0AA6" w:rsidRDefault="00C971C4" w:rsidP="00D21AA0">
      <w:pPr>
        <w:spacing w:after="0" w:line="240" w:lineRule="auto"/>
        <w:jc w:val="both"/>
        <w:rPr>
          <w:rFonts w:ascii="Cambria" w:eastAsia="Cambria" w:hAnsi="Cambria" w:cs="Cambria"/>
          <w:sz w:val="20"/>
          <w:szCs w:val="20"/>
        </w:rPr>
      </w:pPr>
    </w:p>
    <w:p w14:paraId="45D8C57C" w14:textId="39DDACA7" w:rsidR="009A45E0" w:rsidRPr="007D0AA6" w:rsidRDefault="009A45E0"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 xml:space="preserve">La FAO </w:t>
      </w:r>
      <w:r w:rsidR="00D55385" w:rsidRPr="007D0AA6">
        <w:rPr>
          <w:rFonts w:ascii="Cambria" w:hAnsi="Cambria"/>
          <w:sz w:val="20"/>
        </w:rPr>
        <w:t xml:space="preserve">reste </w:t>
      </w:r>
      <w:r w:rsidRPr="007D0AA6">
        <w:rPr>
          <w:rFonts w:ascii="Cambria" w:hAnsi="Cambria"/>
          <w:sz w:val="20"/>
        </w:rPr>
        <w:t>le point focal pour les programmes de collecte, à l'échelle mondiale, des données biologiques nécessaires, y compris l'abondance des stocks et l'ampleur des prises accessoires, et des données commerciales sur les espèces de requins, et d'assurer une fonction de coordination entre les organisations régionales ou sous-régionales de gestion des pêcheries pour ces activités.</w:t>
      </w:r>
    </w:p>
    <w:p w14:paraId="2606FE36" w14:textId="77777777" w:rsidR="00C971C4" w:rsidRPr="007D0AA6" w:rsidRDefault="00C971C4" w:rsidP="00C971C4">
      <w:pPr>
        <w:pStyle w:val="ListParagraph"/>
        <w:spacing w:after="0" w:line="240" w:lineRule="auto"/>
        <w:ind w:left="426"/>
        <w:jc w:val="both"/>
        <w:rPr>
          <w:rFonts w:ascii="Cambria" w:eastAsia="Cambria" w:hAnsi="Cambria" w:cs="Cambria"/>
          <w:sz w:val="20"/>
          <w:szCs w:val="20"/>
        </w:rPr>
      </w:pPr>
    </w:p>
    <w:p w14:paraId="21238B82" w14:textId="2B303B65" w:rsidR="009A45E0" w:rsidRPr="007D0AA6" w:rsidRDefault="009A45E0"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 xml:space="preserve">Les Parties contractantes de l’ICCAT devront fournir à la FAO </w:t>
      </w:r>
      <w:r w:rsidR="00A07DD4" w:rsidRPr="007D0AA6">
        <w:rPr>
          <w:rFonts w:ascii="Cambria" w:hAnsi="Cambria"/>
          <w:sz w:val="20"/>
        </w:rPr>
        <w:t>d</w:t>
      </w:r>
      <w:r w:rsidRPr="007D0AA6">
        <w:rPr>
          <w:rFonts w:ascii="Cambria" w:hAnsi="Cambria"/>
          <w:sz w:val="20"/>
        </w:rPr>
        <w:t xml:space="preserve">es informations et, dans la mesure du possible, </w:t>
      </w:r>
      <w:r w:rsidR="00A07DD4" w:rsidRPr="007D0AA6">
        <w:rPr>
          <w:rFonts w:ascii="Cambria" w:hAnsi="Cambria"/>
          <w:sz w:val="20"/>
        </w:rPr>
        <w:t xml:space="preserve">fourniront </w:t>
      </w:r>
      <w:r w:rsidRPr="007D0AA6">
        <w:rPr>
          <w:rFonts w:ascii="Cambria" w:hAnsi="Cambria"/>
          <w:sz w:val="20"/>
        </w:rPr>
        <w:t>l'assistance financière nécessaires à la réalisation des travaux requis.</w:t>
      </w:r>
    </w:p>
    <w:p w14:paraId="1A630DA5" w14:textId="77777777" w:rsidR="00C971C4" w:rsidRPr="007D0AA6" w:rsidRDefault="00C971C4" w:rsidP="00C971C4">
      <w:pPr>
        <w:pStyle w:val="ListParagraph"/>
        <w:rPr>
          <w:rFonts w:ascii="Cambria" w:eastAsia="Cambria" w:hAnsi="Cambria" w:cs="Cambria"/>
          <w:sz w:val="20"/>
          <w:szCs w:val="20"/>
        </w:rPr>
      </w:pPr>
    </w:p>
    <w:p w14:paraId="0AAD179E" w14:textId="6FFEFE06" w:rsidR="009A45E0" w:rsidRPr="007D0AA6" w:rsidRDefault="009A45E0"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 xml:space="preserve">Les organisations internationales ou régionales/sous-régionales de gestion des pêcheries </w:t>
      </w:r>
      <w:r w:rsidR="00D55385" w:rsidRPr="007D0AA6">
        <w:rPr>
          <w:rFonts w:ascii="Cambria" w:hAnsi="Cambria"/>
          <w:sz w:val="20"/>
        </w:rPr>
        <w:t>sont encouragées à</w:t>
      </w:r>
      <w:r w:rsidRPr="007D0AA6">
        <w:rPr>
          <w:rFonts w:ascii="Cambria" w:hAnsi="Cambria"/>
          <w:sz w:val="20"/>
        </w:rPr>
        <w:t xml:space="preserve"> coopérer avec la FAO pour fournir les informations et les avis nécessaires en réponse aux demandes formulées, y compris en ce qui concerne la Résolution de la</w:t>
      </w:r>
      <w:r w:rsidRPr="007D0AA6">
        <w:t xml:space="preserve"> </w:t>
      </w:r>
      <w:r w:rsidR="006C2806" w:rsidRPr="007D0AA6">
        <w:rPr>
          <w:rFonts w:ascii="Cambria" w:hAnsi="Cambria"/>
          <w:sz w:val="20"/>
        </w:rPr>
        <w:t xml:space="preserve">Convention sur le commerce international des espèces de faune et de flore sauvages menacées d'extinction (CITES) </w:t>
      </w:r>
      <w:r w:rsidRPr="007D0AA6">
        <w:rPr>
          <w:rFonts w:ascii="Cambria" w:hAnsi="Cambria"/>
          <w:sz w:val="20"/>
        </w:rPr>
        <w:t>sur « l'état du commerce international des espèces de requins » (adoptée lors de la neuvième session de la conférence des Parties).</w:t>
      </w:r>
    </w:p>
    <w:p w14:paraId="2EAF8E41" w14:textId="77777777" w:rsidR="00C971C4" w:rsidRPr="007D0AA6" w:rsidRDefault="00C971C4" w:rsidP="00C971C4">
      <w:pPr>
        <w:pStyle w:val="ListParagraph"/>
        <w:rPr>
          <w:rFonts w:ascii="Cambria" w:eastAsia="Cambria" w:hAnsi="Cambria" w:cs="Cambria"/>
          <w:sz w:val="20"/>
          <w:szCs w:val="20"/>
        </w:rPr>
      </w:pPr>
    </w:p>
    <w:p w14:paraId="5A3F9FCD" w14:textId="0A05A222" w:rsidR="004605FA" w:rsidRPr="007D0AA6" w:rsidRDefault="00A60EC4" w:rsidP="00C971C4">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 xml:space="preserve">Chaque CPC </w:t>
      </w:r>
      <w:r w:rsidR="00502AC6" w:rsidRPr="007D0AA6">
        <w:rPr>
          <w:rFonts w:ascii="Cambria" w:hAnsi="Cambria"/>
          <w:sz w:val="20"/>
        </w:rPr>
        <w:t>devrait</w:t>
      </w:r>
      <w:r w:rsidRPr="007D0AA6">
        <w:rPr>
          <w:rFonts w:ascii="Cambria" w:hAnsi="Cambria"/>
          <w:sz w:val="20"/>
        </w:rPr>
        <w:t xml:space="preserve"> pleinement mettre en œuvre un plan d'action national conformément au plan d'action international de la FAO de 1999 pour la conservation et la gestion des requins. </w:t>
      </w:r>
    </w:p>
    <w:p w14:paraId="79485D2F" w14:textId="77777777" w:rsidR="00C971C4" w:rsidRPr="007D0AA6" w:rsidRDefault="00C971C4" w:rsidP="00C971C4">
      <w:pPr>
        <w:pStyle w:val="ListParagraph"/>
        <w:spacing w:after="0" w:line="240" w:lineRule="auto"/>
        <w:rPr>
          <w:rFonts w:ascii="Cambria" w:eastAsia="Cambria" w:hAnsi="Cambria" w:cs="Cambria"/>
          <w:sz w:val="20"/>
          <w:szCs w:val="20"/>
        </w:rPr>
      </w:pPr>
    </w:p>
    <w:p w14:paraId="684E5FF4" w14:textId="2D011DD8" w:rsidR="004605FA" w:rsidRPr="007D0AA6" w:rsidRDefault="004605FA" w:rsidP="00D21AA0">
      <w:pPr>
        <w:spacing w:after="0" w:line="240" w:lineRule="auto"/>
        <w:jc w:val="both"/>
        <w:rPr>
          <w:rFonts w:ascii="Cambria" w:eastAsia="Cambria" w:hAnsi="Cambria" w:cs="Cambria"/>
          <w:b/>
          <w:bCs/>
          <w:sz w:val="20"/>
          <w:szCs w:val="20"/>
        </w:rPr>
      </w:pPr>
      <w:r w:rsidRPr="007D0AA6">
        <w:rPr>
          <w:rFonts w:ascii="Cambria" w:hAnsi="Cambria"/>
          <w:b/>
          <w:sz w:val="20"/>
        </w:rPr>
        <w:t>Dispositions finales</w:t>
      </w:r>
    </w:p>
    <w:p w14:paraId="254E227A" w14:textId="77777777" w:rsidR="00C971C4" w:rsidRPr="007D0AA6" w:rsidRDefault="00C971C4" w:rsidP="00D21AA0">
      <w:pPr>
        <w:spacing w:after="0" w:line="240" w:lineRule="auto"/>
        <w:jc w:val="both"/>
        <w:rPr>
          <w:rFonts w:ascii="Cambria" w:eastAsia="Cambria" w:hAnsi="Cambria" w:cs="Cambria"/>
          <w:b/>
          <w:bCs/>
          <w:sz w:val="20"/>
          <w:szCs w:val="20"/>
        </w:rPr>
      </w:pPr>
    </w:p>
    <w:p w14:paraId="341B380F" w14:textId="6197F6FC" w:rsidR="00867033" w:rsidRPr="007D0AA6" w:rsidRDefault="00A94A3F"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7D0AA6">
        <w:rPr>
          <w:rFonts w:ascii="Cambria" w:hAnsi="Cambria"/>
          <w:sz w:val="20"/>
        </w:rPr>
        <w:t>La présente Recommandation abroge</w:t>
      </w:r>
      <w:r w:rsidR="00D55385" w:rsidRPr="007D0AA6">
        <w:rPr>
          <w:rFonts w:ascii="Cambria" w:hAnsi="Cambria"/>
          <w:sz w:val="20"/>
        </w:rPr>
        <w:t xml:space="preserve"> et remplace :</w:t>
      </w:r>
    </w:p>
    <w:p w14:paraId="66EA7BBA" w14:textId="77777777" w:rsidR="00C971C4" w:rsidRPr="007D0AA6" w:rsidRDefault="00C971C4" w:rsidP="00C971C4">
      <w:pPr>
        <w:pStyle w:val="ListParagraph"/>
        <w:spacing w:after="0" w:line="240" w:lineRule="auto"/>
        <w:ind w:left="426"/>
        <w:jc w:val="both"/>
        <w:rPr>
          <w:rFonts w:ascii="Cambria" w:eastAsia="Cambria" w:hAnsi="Cambria" w:cs="Cambria"/>
          <w:sz w:val="20"/>
          <w:szCs w:val="20"/>
        </w:rPr>
      </w:pPr>
    </w:p>
    <w:p w14:paraId="76295F40" w14:textId="64BC6C00" w:rsidR="00867033" w:rsidRPr="007D0AA6" w:rsidRDefault="00A94A3F"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la </w:t>
      </w:r>
      <w:r w:rsidRPr="007D0AA6">
        <w:rPr>
          <w:rFonts w:ascii="Cambria" w:hAnsi="Cambria"/>
          <w:i/>
          <w:sz w:val="20"/>
        </w:rPr>
        <w:t xml:space="preserve">Résolution de l’ICCAT concernant une coopération avec l’Organisation des Nations-Unies pour l’Alimentation et l’Agriculture (FAO) pour l’étude de l’état des stocks de requins et de leur capture accidentelle (Rés. 95-02), </w:t>
      </w:r>
      <w:r w:rsidRPr="007D0AA6">
        <w:rPr>
          <w:rFonts w:ascii="Cambria" w:hAnsi="Cambria"/>
          <w:sz w:val="20"/>
        </w:rPr>
        <w:t xml:space="preserve"> </w:t>
      </w:r>
    </w:p>
    <w:p w14:paraId="7F9DC2FC" w14:textId="77777777" w:rsidR="00867033" w:rsidRPr="007D0AA6" w:rsidRDefault="00A94A3F"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la </w:t>
      </w:r>
      <w:r w:rsidRPr="007D0AA6">
        <w:rPr>
          <w:rFonts w:ascii="Cambria" w:hAnsi="Cambria"/>
          <w:i/>
          <w:sz w:val="20"/>
        </w:rPr>
        <w:t>Résolution de l’ICCAT sur la pêcherie de requins (Rés. 03-10),</w:t>
      </w:r>
      <w:r w:rsidRPr="007D0AA6">
        <w:rPr>
          <w:rFonts w:ascii="Cambria" w:hAnsi="Cambria"/>
          <w:sz w:val="20"/>
        </w:rPr>
        <w:t xml:space="preserve"> </w:t>
      </w:r>
    </w:p>
    <w:p w14:paraId="54584D09" w14:textId="77777777" w:rsidR="00867033" w:rsidRPr="007D0AA6" w:rsidRDefault="00A94A3F"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la </w:t>
      </w:r>
      <w:r w:rsidRPr="007D0AA6">
        <w:rPr>
          <w:rFonts w:ascii="Cambria" w:hAnsi="Cambria"/>
          <w:i/>
          <w:sz w:val="20"/>
        </w:rPr>
        <w:t>Recommandation de l’ICCAT concernant la conservation des requins capturés en association avec les pêcheries gérées par l’ICCAT</w:t>
      </w:r>
      <w:r w:rsidRPr="007D0AA6">
        <w:rPr>
          <w:rFonts w:ascii="Cambria" w:hAnsi="Cambria"/>
          <w:sz w:val="20"/>
        </w:rPr>
        <w:t xml:space="preserve"> (Rec. 04-10),</w:t>
      </w:r>
    </w:p>
    <w:p w14:paraId="3714B0FB" w14:textId="2FB85EB1" w:rsidR="00867033" w:rsidRPr="007D0AA6" w:rsidRDefault="00B509D2" w:rsidP="00C971C4">
      <w:pPr>
        <w:pStyle w:val="ListParagraph"/>
        <w:numPr>
          <w:ilvl w:val="0"/>
          <w:numId w:val="37"/>
        </w:numPr>
        <w:spacing w:after="0" w:line="240" w:lineRule="auto"/>
        <w:ind w:left="851" w:hanging="425"/>
        <w:jc w:val="both"/>
        <w:rPr>
          <w:rFonts w:ascii="Cambria" w:eastAsia="Cambria" w:hAnsi="Cambria" w:cs="Cambria"/>
          <w:i/>
          <w:iCs/>
          <w:sz w:val="20"/>
          <w:szCs w:val="20"/>
        </w:rPr>
      </w:pPr>
      <w:r w:rsidRPr="007D0AA6">
        <w:rPr>
          <w:rFonts w:ascii="Cambria" w:hAnsi="Cambria"/>
          <w:sz w:val="20"/>
        </w:rPr>
        <w:t xml:space="preserve">la </w:t>
      </w:r>
      <w:r w:rsidRPr="007D0AA6">
        <w:rPr>
          <w:rFonts w:ascii="Cambria" w:hAnsi="Cambria"/>
          <w:i/>
          <w:sz w:val="20"/>
        </w:rPr>
        <w:t>Recommandation supplémentaire de l’ICCAT concernant les requins (Rec. 07-06),</w:t>
      </w:r>
    </w:p>
    <w:p w14:paraId="55E2B82A" w14:textId="3CC382B6" w:rsidR="00867033" w:rsidRPr="007D0AA6"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la </w:t>
      </w:r>
      <w:r w:rsidRPr="007D0AA6">
        <w:rPr>
          <w:rFonts w:ascii="Cambria" w:hAnsi="Cambria"/>
          <w:i/>
          <w:iCs/>
          <w:sz w:val="20"/>
        </w:rPr>
        <w:t xml:space="preserve">Recommandation de l’ICCAT sur la conservation des renards de mer capturés en association avec les pêcheries dans la zone de la Convention de l’ICCAT </w:t>
      </w:r>
      <w:r w:rsidRPr="007D0AA6">
        <w:rPr>
          <w:rFonts w:ascii="Cambria" w:hAnsi="Cambria"/>
          <w:sz w:val="20"/>
        </w:rPr>
        <w:t>(Rec. 09-07),</w:t>
      </w:r>
    </w:p>
    <w:p w14:paraId="6D57DD5A" w14:textId="78AE941A" w:rsidR="00867033" w:rsidRPr="007D0AA6"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la </w:t>
      </w:r>
      <w:r w:rsidRPr="007D0AA6">
        <w:rPr>
          <w:rFonts w:ascii="Cambria" w:hAnsi="Cambria"/>
          <w:i/>
          <w:iCs/>
          <w:sz w:val="20"/>
        </w:rPr>
        <w:t>Recommandation de l’ICCAT sur la conservation des requins océaniques capturés en association avec les pêcheries dans la zone de la Convention de l’ICCAT</w:t>
      </w:r>
      <w:r w:rsidRPr="007D0AA6">
        <w:rPr>
          <w:rFonts w:ascii="Cambria" w:hAnsi="Cambria"/>
          <w:sz w:val="20"/>
        </w:rPr>
        <w:t xml:space="preserve"> (Rec. 10-07),</w:t>
      </w:r>
    </w:p>
    <w:p w14:paraId="49DB7D5F" w14:textId="77777777" w:rsidR="00867033" w:rsidRPr="007D0AA6"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la </w:t>
      </w:r>
      <w:r w:rsidRPr="007D0AA6">
        <w:rPr>
          <w:rFonts w:ascii="Cambria" w:hAnsi="Cambria"/>
          <w:i/>
          <w:iCs/>
          <w:sz w:val="20"/>
        </w:rPr>
        <w:t xml:space="preserve">Recommandation de l’ICCAT sur le requin marteau (famille </w:t>
      </w:r>
      <w:r w:rsidRPr="007D0AA6">
        <w:rPr>
          <w:rFonts w:ascii="Cambria" w:hAnsi="Cambria"/>
          <w:sz w:val="20"/>
        </w:rPr>
        <w:t>Sphyrnidae</w:t>
      </w:r>
      <w:r w:rsidRPr="007D0AA6">
        <w:rPr>
          <w:rFonts w:ascii="Cambria" w:hAnsi="Cambria"/>
          <w:i/>
          <w:iCs/>
          <w:sz w:val="20"/>
        </w:rPr>
        <w:t>) capturé en association avec les pêcheries gérées par l'ICCAT</w:t>
      </w:r>
      <w:r w:rsidRPr="007D0AA6">
        <w:rPr>
          <w:rFonts w:ascii="Cambria" w:hAnsi="Cambria"/>
          <w:sz w:val="20"/>
        </w:rPr>
        <w:t xml:space="preserve"> (Rec. 10-08),</w:t>
      </w:r>
    </w:p>
    <w:p w14:paraId="4B4C012B" w14:textId="77777777" w:rsidR="00867033" w:rsidRPr="007D0AA6" w:rsidRDefault="005D281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la </w:t>
      </w:r>
      <w:r w:rsidRPr="007D0AA6">
        <w:rPr>
          <w:rFonts w:ascii="Cambria" w:hAnsi="Cambria"/>
          <w:i/>
          <w:sz w:val="20"/>
        </w:rPr>
        <w:t>Recomm</w:t>
      </w:r>
      <w:r w:rsidRPr="007D0AA6">
        <w:rPr>
          <w:rFonts w:ascii="Cambria" w:hAnsi="Cambria"/>
          <w:i/>
          <w:iCs/>
          <w:sz w:val="20"/>
        </w:rPr>
        <w:t xml:space="preserve">andation de l’ICCAT sur la conservation du requin soyeux capturé en association avec les pêcheries de l’ICCAT </w:t>
      </w:r>
      <w:r w:rsidRPr="007D0AA6">
        <w:rPr>
          <w:rFonts w:ascii="Cambria" w:hAnsi="Cambria"/>
          <w:sz w:val="20"/>
        </w:rPr>
        <w:t>(Rec. 11-08)</w:t>
      </w:r>
    </w:p>
    <w:p w14:paraId="4B902198" w14:textId="46F76A47" w:rsidR="00867033" w:rsidRPr="007D0AA6" w:rsidRDefault="006E5713"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la </w:t>
      </w:r>
      <w:r w:rsidRPr="007D0AA6">
        <w:rPr>
          <w:rFonts w:ascii="Cambria" w:hAnsi="Cambria"/>
          <w:i/>
          <w:iCs/>
          <w:sz w:val="20"/>
        </w:rPr>
        <w:t>Recommandation de l’ICCAT sur l'échantillonnage biologique des espèces interdites de requins par des observateurs scientifiques</w:t>
      </w:r>
      <w:r w:rsidRPr="007D0AA6">
        <w:rPr>
          <w:rFonts w:ascii="Cambria" w:hAnsi="Cambria"/>
          <w:b/>
          <w:bCs/>
          <w:sz w:val="20"/>
        </w:rPr>
        <w:t xml:space="preserve"> </w:t>
      </w:r>
      <w:r w:rsidRPr="007D0AA6">
        <w:rPr>
          <w:rFonts w:ascii="Cambria" w:hAnsi="Cambria"/>
          <w:sz w:val="20"/>
        </w:rPr>
        <w:t>(Rec. 13-10),</w:t>
      </w:r>
    </w:p>
    <w:p w14:paraId="675B26FF" w14:textId="77777777" w:rsidR="00867033" w:rsidRPr="007D0AA6" w:rsidRDefault="0038249E"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la </w:t>
      </w:r>
      <w:r w:rsidRPr="007D0AA6">
        <w:rPr>
          <w:rFonts w:ascii="Cambria" w:hAnsi="Cambria"/>
          <w:i/>
          <w:iCs/>
          <w:sz w:val="20"/>
        </w:rPr>
        <w:t xml:space="preserve">Recommandation de l’ICCAT sur le requin-taupe bleu capturé en association avec les pêcheries de l’ICCAT </w:t>
      </w:r>
      <w:r w:rsidRPr="007D0AA6">
        <w:rPr>
          <w:rFonts w:ascii="Cambria" w:hAnsi="Cambria"/>
          <w:sz w:val="20"/>
        </w:rPr>
        <w:t>(Rec. 15-06),</w:t>
      </w:r>
    </w:p>
    <w:p w14:paraId="71CAAD5D" w14:textId="61F35FB5" w:rsidR="00A94A3F" w:rsidRPr="007D0AA6" w:rsidRDefault="0038249E"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7D0AA6">
        <w:rPr>
          <w:rFonts w:ascii="Cambria" w:hAnsi="Cambria"/>
          <w:sz w:val="20"/>
        </w:rPr>
        <w:lastRenderedPageBreak/>
        <w:t xml:space="preserve">la </w:t>
      </w:r>
      <w:r w:rsidRPr="007D0AA6">
        <w:rPr>
          <w:rFonts w:ascii="Cambria" w:hAnsi="Cambria"/>
          <w:i/>
          <w:sz w:val="20"/>
        </w:rPr>
        <w:t xml:space="preserve">Recommandation de l’ICCAT remplaçant la Recommandation 16-13 en vue d'améliorer l'examen de l'application des mesures de conservation et de gestion s'appliquant aux requins capturés en association avec les pêcheries de l’ICCAT </w:t>
      </w:r>
      <w:r w:rsidRPr="007D0AA6">
        <w:rPr>
          <w:rFonts w:ascii="Cambria" w:hAnsi="Cambria"/>
          <w:sz w:val="20"/>
        </w:rPr>
        <w:t>(Rec. 18-06)</w:t>
      </w:r>
      <w:r w:rsidR="008D22F6" w:rsidRPr="007D0AA6">
        <w:rPr>
          <w:rFonts w:ascii="Cambria" w:hAnsi="Cambria"/>
          <w:sz w:val="20"/>
        </w:rPr>
        <w:t>,</w:t>
      </w:r>
      <w:r w:rsidRPr="007D0AA6">
        <w:rPr>
          <w:rFonts w:ascii="Cambria" w:hAnsi="Cambria"/>
          <w:sz w:val="20"/>
        </w:rPr>
        <w:t xml:space="preserve"> et </w:t>
      </w:r>
    </w:p>
    <w:p w14:paraId="62731D63" w14:textId="5E6E6F06" w:rsidR="00867033" w:rsidRPr="007D0AA6" w:rsidRDefault="00867033"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7D0AA6">
        <w:rPr>
          <w:rFonts w:ascii="Cambria" w:hAnsi="Cambria"/>
          <w:sz w:val="20"/>
        </w:rPr>
        <w:t xml:space="preserve">la </w:t>
      </w:r>
      <w:r w:rsidRPr="007D0AA6">
        <w:rPr>
          <w:rFonts w:ascii="Cambria" w:hAnsi="Cambria"/>
          <w:i/>
          <w:iCs/>
          <w:sz w:val="20"/>
        </w:rPr>
        <w:t>Recommandation de l’ICCAT pour la conservation des requins-baleines</w:t>
      </w:r>
      <w:r w:rsidRPr="007D0AA6">
        <w:rPr>
          <w:rFonts w:ascii="Cambria" w:hAnsi="Cambria"/>
          <w:sz w:val="20"/>
        </w:rPr>
        <w:t xml:space="preserve"> (Rhincodon typus) </w:t>
      </w:r>
      <w:r w:rsidRPr="007D0AA6">
        <w:rPr>
          <w:rFonts w:ascii="Cambria" w:hAnsi="Cambria"/>
          <w:i/>
          <w:iCs/>
          <w:sz w:val="20"/>
        </w:rPr>
        <w:t xml:space="preserve">capturés en association avec les pêcheries de l’ICCAT </w:t>
      </w:r>
      <w:r w:rsidRPr="007D0AA6">
        <w:rPr>
          <w:rFonts w:ascii="Cambria" w:hAnsi="Cambria"/>
          <w:sz w:val="20"/>
        </w:rPr>
        <w:t>(Rec. 23-12).</w:t>
      </w:r>
    </w:p>
    <w:p w14:paraId="08928250" w14:textId="77777777" w:rsidR="00D55385" w:rsidRPr="007D0AA6" w:rsidRDefault="00D55385" w:rsidP="00D55385">
      <w:pPr>
        <w:spacing w:after="0" w:line="240" w:lineRule="auto"/>
        <w:jc w:val="both"/>
        <w:rPr>
          <w:rFonts w:ascii="Cambria" w:eastAsia="Cambria" w:hAnsi="Cambria" w:cs="Cambria"/>
          <w:sz w:val="20"/>
          <w:szCs w:val="20"/>
        </w:rPr>
      </w:pPr>
    </w:p>
    <w:p w14:paraId="3CF6528F" w14:textId="6F12693E" w:rsidR="00D55385" w:rsidRPr="007D0AA6" w:rsidRDefault="00D55385" w:rsidP="00D55385">
      <w:pPr>
        <w:pStyle w:val="ListParagraph"/>
        <w:numPr>
          <w:ilvl w:val="0"/>
          <w:numId w:val="15"/>
        </w:numPr>
        <w:spacing w:after="0" w:line="240" w:lineRule="auto"/>
        <w:jc w:val="both"/>
        <w:rPr>
          <w:rFonts w:ascii="Cambria" w:eastAsia="Cambria" w:hAnsi="Cambria" w:cs="Cambria"/>
          <w:sz w:val="20"/>
          <w:szCs w:val="20"/>
        </w:rPr>
      </w:pPr>
      <w:r w:rsidRPr="007D0AA6">
        <w:rPr>
          <w:rFonts w:ascii="Cambria" w:eastAsia="Cambria" w:hAnsi="Cambria" w:cs="Cambria"/>
          <w:sz w:val="20"/>
          <w:szCs w:val="20"/>
        </w:rPr>
        <w:t xml:space="preserve">Toute référence à ces mesures abrogées </w:t>
      </w:r>
      <w:r w:rsidR="000C4F3C" w:rsidRPr="007D0AA6">
        <w:rPr>
          <w:rFonts w:ascii="Cambria" w:eastAsia="Cambria" w:hAnsi="Cambria" w:cs="Cambria"/>
          <w:sz w:val="20"/>
          <w:szCs w:val="20"/>
        </w:rPr>
        <w:t>par</w:t>
      </w:r>
      <w:r w:rsidRPr="007D0AA6">
        <w:rPr>
          <w:rFonts w:ascii="Cambria" w:eastAsia="Cambria" w:hAnsi="Cambria" w:cs="Cambria"/>
          <w:sz w:val="20"/>
          <w:szCs w:val="20"/>
        </w:rPr>
        <w:t xml:space="preserve"> d'autres mesures de gestion actives devra être présumée se référer à cette nouvelle Recommandation, le cas échéant.</w:t>
      </w:r>
    </w:p>
    <w:p w14:paraId="736F802C" w14:textId="77777777" w:rsidR="00D55385" w:rsidRPr="007D0AA6" w:rsidRDefault="00D55385" w:rsidP="00D21AA0">
      <w:pPr>
        <w:spacing w:after="0" w:line="240" w:lineRule="auto"/>
        <w:jc w:val="both"/>
        <w:rPr>
          <w:rFonts w:ascii="Cambria" w:eastAsia="Cambria" w:hAnsi="Cambria" w:cs="Cambria"/>
          <w:sz w:val="20"/>
          <w:szCs w:val="20"/>
        </w:rPr>
      </w:pPr>
    </w:p>
    <w:p w14:paraId="2901C838" w14:textId="77777777" w:rsidR="0095057F" w:rsidRPr="007D0AA6" w:rsidRDefault="0095057F" w:rsidP="00D21AA0">
      <w:pPr>
        <w:spacing w:after="0" w:line="240" w:lineRule="auto"/>
        <w:rPr>
          <w:rFonts w:ascii="Cambria" w:eastAsia="Cambria" w:hAnsi="Cambria" w:cs="Cambria"/>
          <w:sz w:val="20"/>
          <w:szCs w:val="20"/>
        </w:rPr>
      </w:pPr>
    </w:p>
    <w:p w14:paraId="3708F650" w14:textId="77777777" w:rsidR="003B5D4A" w:rsidRPr="007D0AA6" w:rsidRDefault="003B5D4A">
      <w:pPr>
        <w:rPr>
          <w:rFonts w:ascii="Cambria" w:hAnsi="Cambria"/>
          <w:b/>
          <w:sz w:val="20"/>
        </w:rPr>
      </w:pPr>
      <w:r w:rsidRPr="007D0AA6">
        <w:rPr>
          <w:rFonts w:ascii="Cambria" w:hAnsi="Cambria"/>
          <w:b/>
          <w:sz w:val="20"/>
        </w:rPr>
        <w:br w:type="page"/>
      </w:r>
    </w:p>
    <w:p w14:paraId="29955040" w14:textId="21A44C1F" w:rsidR="00737087" w:rsidRPr="007D0AA6" w:rsidRDefault="00737087" w:rsidP="00D21AA0">
      <w:pPr>
        <w:widowControl w:val="0"/>
        <w:tabs>
          <w:tab w:val="left" w:pos="968"/>
        </w:tabs>
        <w:autoSpaceDE w:val="0"/>
        <w:autoSpaceDN w:val="0"/>
        <w:spacing w:after="0" w:line="240" w:lineRule="auto"/>
        <w:jc w:val="right"/>
        <w:rPr>
          <w:rFonts w:ascii="Cambria" w:eastAsia="Cambria" w:hAnsi="Cambria" w:cs="Cambria"/>
          <w:b/>
          <w:bCs/>
          <w:sz w:val="20"/>
          <w:szCs w:val="20"/>
        </w:rPr>
      </w:pPr>
      <w:r w:rsidRPr="007D0AA6">
        <w:rPr>
          <w:rFonts w:ascii="Cambria" w:hAnsi="Cambria"/>
          <w:b/>
          <w:sz w:val="20"/>
        </w:rPr>
        <w:lastRenderedPageBreak/>
        <w:t>Annexe 1</w:t>
      </w:r>
    </w:p>
    <w:p w14:paraId="4FD0958C" w14:textId="77777777" w:rsidR="00737087" w:rsidRPr="007D0AA6" w:rsidRDefault="00737087" w:rsidP="00D21AA0">
      <w:pPr>
        <w:widowControl w:val="0"/>
        <w:tabs>
          <w:tab w:val="left" w:pos="968"/>
        </w:tabs>
        <w:autoSpaceDE w:val="0"/>
        <w:autoSpaceDN w:val="0"/>
        <w:spacing w:after="0" w:line="240" w:lineRule="auto"/>
        <w:jc w:val="right"/>
        <w:rPr>
          <w:rFonts w:ascii="Cambria" w:eastAsia="Cambria" w:hAnsi="Cambria" w:cs="Cambria"/>
          <w:b/>
          <w:bCs/>
          <w:sz w:val="20"/>
          <w:szCs w:val="20"/>
        </w:rPr>
      </w:pPr>
    </w:p>
    <w:p w14:paraId="60347134" w14:textId="77777777" w:rsidR="00737087" w:rsidRPr="007D0AA6" w:rsidRDefault="00737087"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r w:rsidRPr="007D0AA6">
        <w:rPr>
          <w:rFonts w:ascii="Cambria" w:hAnsi="Cambria"/>
          <w:b/>
          <w:sz w:val="20"/>
        </w:rPr>
        <w:t>Directives pour la manipulation et la remise à l'eau en toute sécurité des requins baleines</w:t>
      </w:r>
    </w:p>
    <w:p w14:paraId="12CB48BF" w14:textId="77777777" w:rsidR="00A34008" w:rsidRPr="007D0AA6" w:rsidRDefault="00A34008"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p>
    <w:p w14:paraId="526FE603" w14:textId="77777777" w:rsidR="00737087" w:rsidRPr="007D0AA6" w:rsidRDefault="00737087"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p>
    <w:p w14:paraId="1335321D" w14:textId="7ED5C3D3" w:rsidR="00737087" w:rsidRPr="007D0AA6" w:rsidRDefault="00737087" w:rsidP="00E659AD">
      <w:pPr>
        <w:pStyle w:val="ListParagraph"/>
        <w:widowControl w:val="0"/>
        <w:numPr>
          <w:ilvl w:val="0"/>
          <w:numId w:val="28"/>
        </w:numPr>
        <w:tabs>
          <w:tab w:val="left" w:pos="968"/>
        </w:tabs>
        <w:autoSpaceDE w:val="0"/>
        <w:autoSpaceDN w:val="0"/>
        <w:spacing w:after="0" w:line="240" w:lineRule="auto"/>
        <w:jc w:val="both"/>
        <w:rPr>
          <w:rFonts w:ascii="Cambria" w:eastAsia="Cambria" w:hAnsi="Cambria" w:cs="Cambria"/>
          <w:sz w:val="20"/>
          <w:szCs w:val="20"/>
        </w:rPr>
      </w:pPr>
      <w:r w:rsidRPr="007D0AA6">
        <w:rPr>
          <w:rFonts w:ascii="Cambria" w:hAnsi="Cambria"/>
          <w:sz w:val="20"/>
        </w:rPr>
        <w:t>Dans la zone de la Convention de l’ICCAT, les pratiques suivantes devraient être appliquées pour remettre à l'eau les requins baleines capturés accidentellement dans les pêcheries de l’ICCAT :</w:t>
      </w:r>
    </w:p>
    <w:p w14:paraId="6320221A" w14:textId="77777777" w:rsidR="00A34008" w:rsidRPr="007D0AA6"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74E691BE" w14:textId="124F79F2" w:rsidR="00A34008" w:rsidRPr="007D0AA6" w:rsidRDefault="00737087" w:rsidP="00E659AD">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7D0AA6">
        <w:rPr>
          <w:rFonts w:ascii="Cambria" w:hAnsi="Cambria"/>
          <w:sz w:val="20"/>
        </w:rPr>
        <w:t xml:space="preserve">Utiliser une salabarde ou une épuisette pour hisser et remettre à l'eau les requins baleines, opération également définie comme « salabardage ». Cette opération doit être réalisée lorsque des spécimens de moins de 2 mètres sont capturés, afin de les relâcher directement dans la mer, sans les remonter à bord ; </w:t>
      </w:r>
      <w:proofErr w:type="gramStart"/>
      <w:r w:rsidRPr="007D0AA6">
        <w:rPr>
          <w:rFonts w:ascii="Cambria" w:hAnsi="Cambria"/>
          <w:sz w:val="20"/>
        </w:rPr>
        <w:t>ou</w:t>
      </w:r>
      <w:proofErr w:type="gramEnd"/>
    </w:p>
    <w:p w14:paraId="15307FA8" w14:textId="77777777" w:rsidR="00A34008" w:rsidRPr="007D0AA6"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2460EE9F" w14:textId="21F8056E" w:rsidR="00A34008" w:rsidRPr="007D0AA6" w:rsidRDefault="00737087" w:rsidP="00E659AD">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7D0AA6">
        <w:rPr>
          <w:rFonts w:ascii="Cambria" w:hAnsi="Cambria"/>
          <w:sz w:val="20"/>
        </w:rPr>
        <w:t xml:space="preserve">Faire couler la ligne de liège </w:t>
      </w:r>
      <w:proofErr w:type="gramStart"/>
      <w:r w:rsidRPr="007D0AA6">
        <w:rPr>
          <w:rFonts w:ascii="Cambria" w:hAnsi="Cambria"/>
          <w:sz w:val="20"/>
        </w:rPr>
        <w:t>de manière à ce</w:t>
      </w:r>
      <w:proofErr w:type="gramEnd"/>
      <w:r w:rsidRPr="007D0AA6">
        <w:rPr>
          <w:rFonts w:ascii="Cambria" w:hAnsi="Cambria"/>
          <w:sz w:val="20"/>
        </w:rPr>
        <w:t xml:space="preserve"> que le requin baleine roule hors du filet. Si le spécimen ne sort pas de lui-même du filet, placer une corde sous l'animal et l'attacher à la ligne de flottaison pour l'aider à rouler hors du filet ; </w:t>
      </w:r>
      <w:proofErr w:type="gramStart"/>
      <w:r w:rsidRPr="007D0AA6">
        <w:rPr>
          <w:rFonts w:ascii="Cambria" w:hAnsi="Cambria"/>
          <w:sz w:val="20"/>
        </w:rPr>
        <w:t>ou</w:t>
      </w:r>
      <w:proofErr w:type="gramEnd"/>
    </w:p>
    <w:p w14:paraId="1FA08E2B" w14:textId="77777777" w:rsidR="00A34008" w:rsidRPr="007D0AA6"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3C585EF4" w14:textId="59C0B407" w:rsidR="00737087" w:rsidRPr="007D0AA6" w:rsidRDefault="00737087" w:rsidP="00E659AD">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7D0AA6">
        <w:rPr>
          <w:rFonts w:ascii="Cambria" w:hAnsi="Cambria"/>
          <w:sz w:val="20"/>
        </w:rPr>
        <w:t>Couper quelques mètres de filet devant le requin baleine.</w:t>
      </w:r>
    </w:p>
    <w:p w14:paraId="5D4558DB" w14:textId="77777777" w:rsidR="00A34008" w:rsidRPr="007D0AA6"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3C22EDE3" w14:textId="77777777" w:rsidR="00A34008" w:rsidRPr="007D0AA6"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113D9FE1" w14:textId="2480FCA8" w:rsidR="00737087" w:rsidRPr="007D0AA6" w:rsidRDefault="00737087" w:rsidP="00E659AD">
      <w:pPr>
        <w:pStyle w:val="ListParagraph"/>
        <w:widowControl w:val="0"/>
        <w:numPr>
          <w:ilvl w:val="0"/>
          <w:numId w:val="28"/>
        </w:numPr>
        <w:tabs>
          <w:tab w:val="left" w:pos="968"/>
        </w:tabs>
        <w:autoSpaceDE w:val="0"/>
        <w:autoSpaceDN w:val="0"/>
        <w:spacing w:after="0" w:line="240" w:lineRule="auto"/>
        <w:jc w:val="both"/>
        <w:rPr>
          <w:rFonts w:ascii="Cambria" w:eastAsia="Cambria" w:hAnsi="Cambria" w:cs="Cambria"/>
          <w:sz w:val="20"/>
          <w:szCs w:val="20"/>
        </w:rPr>
      </w:pPr>
      <w:r w:rsidRPr="007D0AA6">
        <w:rPr>
          <w:rFonts w:ascii="Cambria" w:hAnsi="Cambria"/>
          <w:sz w:val="20"/>
        </w:rPr>
        <w:t>Dans la zone de la Convention de l’ICCAT, les pratiques suivantes devraient être évitées lors de la remise à l'eau des requins baleines capturés accidentellement dans les pêcheries de l’ICCAT :</w:t>
      </w:r>
    </w:p>
    <w:p w14:paraId="452489BD" w14:textId="77777777" w:rsidR="00A34008" w:rsidRPr="007D0AA6"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6673C752" w14:textId="0881A1FC" w:rsidR="00A34008" w:rsidRPr="007D0AA6"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7D0AA6">
        <w:rPr>
          <w:rFonts w:ascii="Cambria" w:hAnsi="Cambria"/>
          <w:sz w:val="20"/>
        </w:rPr>
        <w:t>Soulever le requin baleine par la queue ;</w:t>
      </w:r>
    </w:p>
    <w:p w14:paraId="693EEFDA" w14:textId="27F36858" w:rsidR="00A34008" w:rsidRPr="007D0AA6"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7D0AA6">
        <w:rPr>
          <w:rFonts w:ascii="Cambria" w:hAnsi="Cambria"/>
          <w:sz w:val="20"/>
        </w:rPr>
        <w:t>Tirer le requin baleine par une boucle accrochée autour de ses branchies ou par des trous percés dans une nageoire ;</w:t>
      </w:r>
    </w:p>
    <w:p w14:paraId="7770E523" w14:textId="0DD5135F" w:rsidR="00A34008" w:rsidRPr="007D0AA6"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7D0AA6">
        <w:rPr>
          <w:rFonts w:ascii="Cambria" w:hAnsi="Cambria"/>
          <w:sz w:val="20"/>
        </w:rPr>
        <w:t xml:space="preserve">Le </w:t>
      </w:r>
      <w:proofErr w:type="gramStart"/>
      <w:r w:rsidRPr="007D0AA6">
        <w:rPr>
          <w:rFonts w:ascii="Cambria" w:hAnsi="Cambria"/>
          <w:sz w:val="20"/>
        </w:rPr>
        <w:t>gaffer;</w:t>
      </w:r>
      <w:proofErr w:type="gramEnd"/>
    </w:p>
    <w:p w14:paraId="4E52D642" w14:textId="2E00D23D" w:rsidR="00A34008" w:rsidRPr="007D0AA6"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7D0AA6">
        <w:rPr>
          <w:rFonts w:ascii="Cambria" w:hAnsi="Cambria"/>
          <w:sz w:val="20"/>
        </w:rPr>
        <w:t>Laisser les cordes de remorquage attachées au tronc des requins baleines ;</w:t>
      </w:r>
    </w:p>
    <w:p w14:paraId="17AA8A64" w14:textId="10DD702D" w:rsidR="00A34008" w:rsidRPr="007D0AA6"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7D0AA6">
        <w:rPr>
          <w:rFonts w:ascii="Cambria" w:hAnsi="Cambria"/>
          <w:sz w:val="20"/>
        </w:rPr>
        <w:t>Salabarder des requins baleines de plus de 2 mètres ;</w:t>
      </w:r>
    </w:p>
    <w:p w14:paraId="417049D4" w14:textId="04921C2B" w:rsidR="00A34008" w:rsidRPr="007D0AA6"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7D0AA6">
        <w:rPr>
          <w:rFonts w:ascii="Cambria" w:hAnsi="Cambria"/>
          <w:sz w:val="20"/>
        </w:rPr>
        <w:t>Salabarder les requins baleines sur le pont ;</w:t>
      </w:r>
    </w:p>
    <w:p w14:paraId="02B48AC0" w14:textId="3D53E1E6" w:rsidR="005D1FC9" w:rsidRPr="007D0AA6"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7D0AA6">
        <w:rPr>
          <w:rFonts w:ascii="Cambria" w:hAnsi="Cambria"/>
          <w:sz w:val="20"/>
        </w:rPr>
        <w:t>Commencer le processus de salabardage alors que le requin baleine est encore dans le filet de la senne.</w:t>
      </w:r>
    </w:p>
    <w:p w14:paraId="31946FB3" w14:textId="6DDE259D" w:rsidR="003B5D4A" w:rsidRPr="007D0AA6" w:rsidRDefault="003B5D4A">
      <w:pPr>
        <w:rPr>
          <w:rFonts w:ascii="Cambria" w:eastAsia="Cambria" w:hAnsi="Cambria" w:cs="Cambria"/>
          <w:sz w:val="20"/>
          <w:szCs w:val="20"/>
        </w:rPr>
      </w:pPr>
      <w:r w:rsidRPr="007D0AA6">
        <w:rPr>
          <w:rFonts w:ascii="Cambria" w:eastAsia="Cambria" w:hAnsi="Cambria" w:cs="Cambria"/>
          <w:sz w:val="20"/>
          <w:szCs w:val="20"/>
        </w:rPr>
        <w:br w:type="page"/>
      </w:r>
    </w:p>
    <w:p w14:paraId="5FDC49D3" w14:textId="77777777" w:rsidR="008F5E22" w:rsidRPr="007D0AA6" w:rsidRDefault="008F5E22" w:rsidP="008F5E22">
      <w:pPr>
        <w:spacing w:after="0" w:line="240" w:lineRule="auto"/>
        <w:jc w:val="right"/>
        <w:rPr>
          <w:rFonts w:ascii="Cambria" w:eastAsia="MS Mincho" w:hAnsi="Cambria" w:cs="Times New Roman"/>
          <w:b/>
          <w:color w:val="000000"/>
          <w:kern w:val="0"/>
          <w:sz w:val="20"/>
          <w:szCs w:val="20"/>
          <w14:ligatures w14:val="none"/>
        </w:rPr>
      </w:pPr>
      <w:r w:rsidRPr="007D0AA6">
        <w:rPr>
          <w:rFonts w:ascii="Cambria" w:eastAsia="Aptos" w:hAnsi="Cambria" w:cs="Times New Roman"/>
          <w:b/>
          <w:color w:val="000000"/>
          <w:sz w:val="20"/>
          <w:szCs w:val="20"/>
        </w:rPr>
        <w:lastRenderedPageBreak/>
        <w:t>Annexe 2</w:t>
      </w:r>
    </w:p>
    <w:p w14:paraId="210915EC" w14:textId="77777777" w:rsidR="008F5E22" w:rsidRPr="007D0AA6" w:rsidRDefault="008F5E22" w:rsidP="008F5E22">
      <w:pPr>
        <w:spacing w:after="0" w:line="240" w:lineRule="auto"/>
        <w:rPr>
          <w:rFonts w:ascii="Cambria" w:eastAsia="MS Mincho" w:hAnsi="Cambria" w:cs="Times New Roman"/>
          <w:b/>
          <w:color w:val="000000"/>
          <w:kern w:val="0"/>
          <w:sz w:val="20"/>
          <w:szCs w:val="20"/>
          <w14:ligatures w14:val="none"/>
        </w:rPr>
      </w:pPr>
    </w:p>
    <w:p w14:paraId="749AB248" w14:textId="77777777" w:rsidR="008F5E22" w:rsidRPr="007D0AA6" w:rsidRDefault="008F5E22" w:rsidP="008F5E22">
      <w:pPr>
        <w:spacing w:after="0" w:line="240" w:lineRule="auto"/>
        <w:rPr>
          <w:rFonts w:ascii="Cambria" w:eastAsia="MS Mincho" w:hAnsi="Cambria" w:cs="Times New Roman"/>
          <w:b/>
          <w:color w:val="000000"/>
          <w:kern w:val="0"/>
          <w:sz w:val="20"/>
          <w:szCs w:val="20"/>
          <w14:ligatures w14:val="none"/>
        </w:rPr>
      </w:pPr>
    </w:p>
    <w:p w14:paraId="6DB67328" w14:textId="77777777" w:rsidR="008F5E22" w:rsidRPr="007D0AA6" w:rsidRDefault="008F5E22" w:rsidP="008F5E22">
      <w:pPr>
        <w:spacing w:after="0" w:line="240" w:lineRule="auto"/>
        <w:jc w:val="center"/>
        <w:rPr>
          <w:rFonts w:ascii="Cambria" w:eastAsia="MS Mincho" w:hAnsi="Cambria" w:cs="Times New Roman"/>
          <w:b/>
          <w:color w:val="000000"/>
          <w:kern w:val="0"/>
          <w:sz w:val="20"/>
          <w:szCs w:val="20"/>
          <w14:ligatures w14:val="none"/>
        </w:rPr>
      </w:pPr>
      <w:r w:rsidRPr="007D0AA6">
        <w:rPr>
          <w:rFonts w:ascii="Cambria" w:eastAsia="Aptos" w:hAnsi="Cambria" w:cs="Times New Roman"/>
          <w:b/>
          <w:color w:val="000000"/>
          <w:sz w:val="20"/>
          <w:szCs w:val="20"/>
        </w:rPr>
        <w:t>Feuille de contrôle de la mise en œuvre des mesures s'appliquant aux requins</w:t>
      </w:r>
    </w:p>
    <w:p w14:paraId="0B6CC13E" w14:textId="77777777" w:rsidR="008F5E22" w:rsidRPr="007D0AA6" w:rsidRDefault="008F5E22" w:rsidP="008F5E22">
      <w:pPr>
        <w:spacing w:after="0" w:line="240" w:lineRule="auto"/>
        <w:rPr>
          <w:rFonts w:ascii="Cambria" w:eastAsia="MS Mincho" w:hAnsi="Cambria" w:cs="Times New Roman"/>
          <w:b/>
          <w:color w:val="000000"/>
          <w:kern w:val="0"/>
          <w:sz w:val="20"/>
          <w:szCs w:val="20"/>
          <w14:ligatures w14:val="none"/>
        </w:rPr>
      </w:pPr>
    </w:p>
    <w:p w14:paraId="663E16CD" w14:textId="77777777" w:rsidR="008F5E22" w:rsidRPr="007D0AA6" w:rsidRDefault="008F5E22" w:rsidP="008F5E22">
      <w:pPr>
        <w:spacing w:after="0" w:line="240" w:lineRule="auto"/>
        <w:ind w:left="-284"/>
        <w:jc w:val="center"/>
        <w:rPr>
          <w:rFonts w:ascii="Cambria" w:eastAsia="MS Mincho" w:hAnsi="Cambria" w:cs="Times New Roman"/>
          <w:b/>
          <w:color w:val="000000"/>
          <w:kern w:val="0"/>
          <w:sz w:val="20"/>
          <w:szCs w:val="20"/>
          <w14:ligatures w14:val="none"/>
        </w:rPr>
      </w:pPr>
    </w:p>
    <w:p w14:paraId="76FDA7E9" w14:textId="77777777" w:rsidR="008F5E22" w:rsidRPr="007D0AA6" w:rsidRDefault="008F5E22" w:rsidP="008F5E22">
      <w:pPr>
        <w:spacing w:after="0" w:line="240" w:lineRule="auto"/>
        <w:ind w:left="-630" w:right="-550"/>
        <w:rPr>
          <w:rFonts w:ascii="Cambria" w:eastAsia="MS Mincho" w:hAnsi="Cambria" w:cs="Times New Roman"/>
          <w:b/>
          <w:color w:val="000000"/>
          <w:kern w:val="0"/>
          <w:sz w:val="20"/>
          <w:szCs w:val="20"/>
          <w14:ligatures w14:val="none"/>
        </w:rPr>
      </w:pPr>
      <w:r w:rsidRPr="007D0AA6">
        <w:rPr>
          <w:rFonts w:ascii="Cambria" w:eastAsia="Aptos" w:hAnsi="Cambria" w:cs="Times New Roman"/>
          <w:b/>
          <w:color w:val="000000"/>
          <w:sz w:val="20"/>
          <w:szCs w:val="20"/>
        </w:rPr>
        <w:t>Nom de la CPC :  XXX</w:t>
      </w:r>
    </w:p>
    <w:p w14:paraId="7C1F95FE" w14:textId="77777777" w:rsidR="008F5E22" w:rsidRPr="007D0AA6" w:rsidRDefault="008F5E22" w:rsidP="008F5E22">
      <w:pPr>
        <w:spacing w:after="0" w:line="240" w:lineRule="auto"/>
        <w:ind w:left="-630" w:right="-550"/>
        <w:jc w:val="both"/>
        <w:rPr>
          <w:rFonts w:ascii="Cambria" w:eastAsia="Times New Roman" w:hAnsi="Cambria" w:cs="Calibri"/>
          <w:color w:val="000000"/>
          <w:kern w:val="0"/>
          <w:sz w:val="20"/>
          <w:szCs w:val="20"/>
          <w14:ligatures w14:val="none"/>
        </w:rPr>
      </w:pPr>
    </w:p>
    <w:p w14:paraId="62CA3751" w14:textId="77777777" w:rsidR="008F5E22" w:rsidRPr="007D0AA6" w:rsidRDefault="008F5E22" w:rsidP="008F5E22">
      <w:pPr>
        <w:spacing w:after="0" w:line="240" w:lineRule="auto"/>
        <w:ind w:left="-630" w:right="-550"/>
        <w:jc w:val="both"/>
        <w:rPr>
          <w:rFonts w:ascii="Cambria" w:eastAsia="Times New Roman" w:hAnsi="Cambria" w:cs="Calibri"/>
          <w:b/>
          <w:bCs/>
          <w:color w:val="000000"/>
          <w:kern w:val="0"/>
          <w:sz w:val="20"/>
          <w:szCs w:val="20"/>
          <w14:ligatures w14:val="none"/>
        </w:rPr>
      </w:pPr>
      <w:r w:rsidRPr="007D0AA6">
        <w:rPr>
          <w:rFonts w:ascii="Cambria" w:eastAsia="Aptos" w:hAnsi="Cambria" w:cs="Times New Roman"/>
          <w:color w:val="000000"/>
          <w:sz w:val="20"/>
          <w:szCs w:val="20"/>
        </w:rPr>
        <w:t>Note : Chaque exigence de l'ICCAT doit être mise en œuvre d’une manière juridiquement contraignante. Se limiter à demander aux pêcheurs de mettre en œuvre les mesures ne doit pas être considéré comme une mise en œuvre</w:t>
      </w:r>
      <w:r w:rsidRPr="007D0AA6">
        <w:rPr>
          <w:rFonts w:ascii="Cambria" w:eastAsia="Aptos" w:hAnsi="Cambria" w:cs="Times New Roman"/>
          <w:b/>
          <w:color w:val="000000"/>
          <w:sz w:val="20"/>
          <w:szCs w:val="20"/>
        </w:rPr>
        <w:t>, sauf lorsque la disposition de l’ICCAT est non contraignante (p.ex. « les CPC devraient »).</w:t>
      </w:r>
    </w:p>
    <w:p w14:paraId="02B91CFC" w14:textId="77777777" w:rsidR="008F5E22" w:rsidRPr="007D0AA6" w:rsidRDefault="008F5E22" w:rsidP="008F5E22">
      <w:pPr>
        <w:spacing w:after="0" w:line="240" w:lineRule="auto"/>
        <w:ind w:left="-630" w:right="-550"/>
        <w:jc w:val="both"/>
        <w:rPr>
          <w:rFonts w:ascii="Cambria" w:eastAsia="Times New Roman" w:hAnsi="Cambria" w:cs="Calibri"/>
          <w:b/>
          <w:bCs/>
          <w:color w:val="000000"/>
          <w:kern w:val="0"/>
          <w:sz w:val="20"/>
          <w:szCs w:val="20"/>
          <w14:ligatures w14:val="none"/>
        </w:rPr>
      </w:pPr>
    </w:p>
    <w:p w14:paraId="12999B02" w14:textId="77777777" w:rsidR="008F5E22" w:rsidRPr="007D0AA6" w:rsidRDefault="008F5E22" w:rsidP="008F5E22">
      <w:pPr>
        <w:spacing w:after="0" w:line="240" w:lineRule="auto"/>
        <w:ind w:left="-630" w:right="-550"/>
        <w:jc w:val="both"/>
        <w:rPr>
          <w:rFonts w:ascii="Cambria" w:eastAsia="Times New Roman" w:hAnsi="Cambria" w:cs="Calibri"/>
          <w:color w:val="000000"/>
          <w:kern w:val="0"/>
          <w:sz w:val="20"/>
          <w:szCs w:val="20"/>
          <w14:ligatures w14:val="none"/>
        </w:rPr>
      </w:pPr>
      <w:r w:rsidRPr="007D0AA6">
        <w:rPr>
          <w:rFonts w:ascii="Cambria" w:eastAsia="Aptos" w:hAnsi="Cambria" w:cs="Times New Roman"/>
          <w:b/>
          <w:color w:val="000000"/>
          <w:sz w:val="20"/>
          <w:szCs w:val="20"/>
        </w:rPr>
        <w:t>Notez que la mention "non applicable" ou "N/A" ne peut être inscrite dans le tableau que lorsqu'une réponse n'est pas requise. Dans ces situations, la mention "N/A" sera proposée comme option dans la colonne État de mise en œuvre</w:t>
      </w:r>
      <w:r w:rsidRPr="007D0AA6">
        <w:rPr>
          <w:rFonts w:ascii="Cambria" w:eastAsia="Aptos" w:hAnsi="Cambria" w:cs="Times New Roman"/>
          <w:color w:val="000000"/>
          <w:sz w:val="20"/>
          <w:szCs w:val="20"/>
        </w:rPr>
        <w:t>.</w:t>
      </w:r>
    </w:p>
    <w:p w14:paraId="29DC5CB2" w14:textId="77777777" w:rsidR="008F5E22" w:rsidRPr="007D0AA6" w:rsidRDefault="008F5E22" w:rsidP="008F5E22">
      <w:pPr>
        <w:spacing w:after="0" w:line="240" w:lineRule="auto"/>
        <w:ind w:left="-630" w:right="-550"/>
        <w:rPr>
          <w:rFonts w:ascii="Cambria" w:eastAsia="MS Mincho" w:hAnsi="Cambria" w:cs="Times New Roman"/>
          <w:b/>
          <w:color w:val="000000"/>
          <w:kern w:val="0"/>
          <w:sz w:val="20"/>
          <w:szCs w:val="20"/>
          <w14:ligatures w14:val="none"/>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2"/>
        <w:gridCol w:w="1698"/>
        <w:gridCol w:w="1988"/>
        <w:gridCol w:w="1698"/>
        <w:gridCol w:w="1134"/>
      </w:tblGrid>
      <w:tr w:rsidR="008F5E22" w:rsidRPr="007D0AA6" w14:paraId="19F18FBA" w14:textId="77777777" w:rsidTr="001E4DB7">
        <w:trPr>
          <w:trHeight w:val="1659"/>
          <w:tblHeader/>
        </w:trPr>
        <w:tc>
          <w:tcPr>
            <w:tcW w:w="993"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05DCCF4A" w14:textId="76440EDC" w:rsidR="008F5E22" w:rsidRPr="007D0AA6" w:rsidRDefault="008F5E22" w:rsidP="008F5E22">
            <w:pPr>
              <w:spacing w:after="0" w:line="240" w:lineRule="auto"/>
              <w:jc w:val="center"/>
              <w:rPr>
                <w:rFonts w:ascii="Cambria" w:eastAsia="Times New Roman" w:hAnsi="Cambria" w:cs="Calibri"/>
                <w:b/>
                <w:bCs/>
                <w:iCs/>
                <w:kern w:val="0"/>
                <w:sz w:val="18"/>
                <w:szCs w:val="18"/>
                <w14:ligatures w14:val="none"/>
              </w:rPr>
            </w:pPr>
            <w:r w:rsidRPr="007D0AA6">
              <w:rPr>
                <w:rFonts w:ascii="Cambria" w:eastAsia="Aptos" w:hAnsi="Cambria" w:cs="Times New Roman"/>
                <w:b/>
                <w:sz w:val="18"/>
                <w:szCs w:val="18"/>
              </w:rPr>
              <w:t>Nº Rec./ Espèces</w:t>
            </w:r>
          </w:p>
        </w:tc>
        <w:tc>
          <w:tcPr>
            <w:tcW w:w="992"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03090D53" w14:textId="77777777" w:rsidR="008F5E22" w:rsidRPr="007D0AA6" w:rsidRDefault="008F5E22" w:rsidP="008F5E22">
            <w:pPr>
              <w:spacing w:after="0" w:line="240" w:lineRule="auto"/>
              <w:jc w:val="center"/>
              <w:rPr>
                <w:rFonts w:ascii="Cambria" w:eastAsia="Times New Roman" w:hAnsi="Cambria" w:cs="Calibri"/>
                <w:b/>
                <w:bCs/>
                <w:iCs/>
                <w:kern w:val="0"/>
                <w:sz w:val="18"/>
                <w:szCs w:val="18"/>
                <w14:ligatures w14:val="none"/>
              </w:rPr>
            </w:pPr>
            <w:r w:rsidRPr="007D0AA6">
              <w:rPr>
                <w:rFonts w:ascii="Cambria" w:eastAsia="Aptos" w:hAnsi="Cambria" w:cs="Times New Roman"/>
                <w:b/>
                <w:sz w:val="18"/>
                <w:szCs w:val="18"/>
              </w:rPr>
              <w:t>Nº du paragr.</w:t>
            </w:r>
          </w:p>
        </w:tc>
        <w:tc>
          <w:tcPr>
            <w:tcW w:w="992"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0D50C88D" w14:textId="77777777" w:rsidR="008F5E22" w:rsidRPr="007D0AA6" w:rsidRDefault="008F5E22" w:rsidP="008F5E22">
            <w:pPr>
              <w:spacing w:after="0" w:line="240" w:lineRule="auto"/>
              <w:jc w:val="center"/>
              <w:rPr>
                <w:rFonts w:ascii="Cambria" w:eastAsia="Times New Roman" w:hAnsi="Cambria" w:cs="Calibri"/>
                <w:b/>
                <w:bCs/>
                <w:iCs/>
                <w:kern w:val="0"/>
                <w:sz w:val="16"/>
                <w:szCs w:val="16"/>
                <w14:ligatures w14:val="none"/>
              </w:rPr>
            </w:pPr>
            <w:r w:rsidRPr="007D0AA6">
              <w:rPr>
                <w:rFonts w:ascii="Cambria" w:eastAsia="Aptos" w:hAnsi="Cambria" w:cs="Times New Roman"/>
                <w:b/>
                <w:sz w:val="16"/>
                <w:szCs w:val="16"/>
              </w:rPr>
              <w:t>Antérieur</w:t>
            </w:r>
          </w:p>
        </w:tc>
        <w:tc>
          <w:tcPr>
            <w:tcW w:w="1698"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6F2A80D2" w14:textId="77777777" w:rsidR="008F5E22" w:rsidRPr="007D0AA6" w:rsidRDefault="008F5E22" w:rsidP="008F5E22">
            <w:pPr>
              <w:spacing w:after="0" w:line="240" w:lineRule="auto"/>
              <w:jc w:val="center"/>
              <w:rPr>
                <w:rFonts w:ascii="Cambria" w:eastAsia="Times New Roman" w:hAnsi="Cambria" w:cs="Calibri"/>
                <w:b/>
                <w:bCs/>
                <w:iCs/>
                <w:kern w:val="0"/>
                <w:sz w:val="18"/>
                <w:szCs w:val="18"/>
                <w14:ligatures w14:val="none"/>
              </w:rPr>
            </w:pPr>
            <w:r w:rsidRPr="007D0AA6">
              <w:rPr>
                <w:rFonts w:ascii="Cambria" w:eastAsia="Aptos" w:hAnsi="Cambria" w:cs="Times New Roman"/>
                <w:b/>
                <w:sz w:val="18"/>
                <w:szCs w:val="18"/>
              </w:rPr>
              <w:t>Exigence</w:t>
            </w:r>
          </w:p>
        </w:tc>
        <w:tc>
          <w:tcPr>
            <w:tcW w:w="198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4C9CE094" w14:textId="77777777" w:rsidR="008F5E22" w:rsidRPr="007D0AA6" w:rsidRDefault="008F5E22" w:rsidP="008F5E22">
            <w:pPr>
              <w:spacing w:after="0" w:line="240" w:lineRule="auto"/>
              <w:jc w:val="center"/>
              <w:rPr>
                <w:rFonts w:ascii="Cambria" w:eastAsia="Times New Roman" w:hAnsi="Cambria" w:cs="Calibri"/>
                <w:b/>
                <w:bCs/>
                <w:iCs/>
                <w:kern w:val="0"/>
                <w:sz w:val="18"/>
                <w:szCs w:val="18"/>
                <w14:ligatures w14:val="none"/>
              </w:rPr>
            </w:pPr>
            <w:r w:rsidRPr="007D0AA6">
              <w:rPr>
                <w:rFonts w:ascii="Cambria" w:eastAsia="Aptos" w:hAnsi="Cambria" w:cs="Times New Roman"/>
                <w:b/>
                <w:sz w:val="18"/>
                <w:szCs w:val="18"/>
              </w:rPr>
              <w:t>État de mise en œuvre</w:t>
            </w:r>
          </w:p>
        </w:tc>
        <w:tc>
          <w:tcPr>
            <w:tcW w:w="169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396078D7" w14:textId="77777777" w:rsidR="008F5E22" w:rsidRPr="007D0AA6" w:rsidRDefault="008F5E22" w:rsidP="008F5E22">
            <w:pPr>
              <w:spacing w:after="80" w:line="240" w:lineRule="auto"/>
              <w:jc w:val="center"/>
              <w:rPr>
                <w:rFonts w:ascii="Cambria" w:eastAsia="Times New Roman" w:hAnsi="Cambria" w:cs="Calibri"/>
                <w:b/>
                <w:bCs/>
                <w:iCs/>
                <w:kern w:val="0"/>
                <w:sz w:val="18"/>
                <w:szCs w:val="18"/>
                <w14:ligatures w14:val="none"/>
              </w:rPr>
            </w:pPr>
            <w:r w:rsidRPr="007D0AA6">
              <w:rPr>
                <w:rFonts w:ascii="Cambria" w:eastAsia="Aptos" w:hAnsi="Cambria" w:cs="Times New Roman"/>
                <w:b/>
                <w:sz w:val="18"/>
                <w:szCs w:val="18"/>
              </w:rPr>
              <w:t>Lois ou réglementations nationales pertinentes</w:t>
            </w:r>
          </w:p>
          <w:p w14:paraId="65516843" w14:textId="4FE1D528" w:rsidR="008F5E22" w:rsidRPr="007D0AA6" w:rsidRDefault="008F5E22" w:rsidP="00486351">
            <w:pPr>
              <w:spacing w:after="0" w:line="240" w:lineRule="auto"/>
              <w:ind w:right="-30"/>
              <w:jc w:val="center"/>
              <w:rPr>
                <w:rFonts w:ascii="Cambria" w:eastAsia="Times New Roman" w:hAnsi="Cambria" w:cs="Calibri"/>
                <w:b/>
                <w:bCs/>
                <w:i/>
                <w:kern w:val="0"/>
                <w:sz w:val="16"/>
                <w:szCs w:val="16"/>
                <w14:ligatures w14:val="none"/>
              </w:rPr>
            </w:pPr>
            <w:r w:rsidRPr="007D0AA6">
              <w:rPr>
                <w:rFonts w:ascii="Cambria" w:eastAsia="Aptos" w:hAnsi="Cambria" w:cs="Times New Roman"/>
                <w:b/>
                <w:i/>
                <w:sz w:val="16"/>
                <w:szCs w:val="16"/>
              </w:rPr>
              <w:t>(Le cas échéant, inclure texte, références ou</w:t>
            </w:r>
            <w:r w:rsidR="00486351" w:rsidRPr="007D0AA6">
              <w:rPr>
                <w:rFonts w:ascii="Cambria" w:eastAsia="Aptos" w:hAnsi="Cambria" w:cs="Times New Roman"/>
                <w:b/>
                <w:i/>
                <w:sz w:val="16"/>
                <w:szCs w:val="16"/>
              </w:rPr>
              <w:t xml:space="preserve"> </w:t>
            </w:r>
            <w:r w:rsidRPr="007D0AA6">
              <w:rPr>
                <w:rFonts w:ascii="Cambria" w:eastAsia="Aptos" w:hAnsi="Cambria" w:cs="Times New Roman"/>
                <w:b/>
                <w:i/>
                <w:sz w:val="16"/>
                <w:szCs w:val="16"/>
              </w:rPr>
              <w:t>liens vers l'endroit où cette</w:t>
            </w:r>
            <w:r w:rsidR="00486351" w:rsidRPr="007D0AA6">
              <w:rPr>
                <w:rFonts w:ascii="Cambria" w:eastAsia="Aptos" w:hAnsi="Cambria" w:cs="Times New Roman"/>
                <w:b/>
                <w:i/>
                <w:sz w:val="16"/>
                <w:szCs w:val="16"/>
              </w:rPr>
              <w:t xml:space="preserve"> </w:t>
            </w:r>
            <w:r w:rsidRPr="007D0AA6">
              <w:rPr>
                <w:rFonts w:ascii="Cambria" w:eastAsia="Aptos" w:hAnsi="Cambria" w:cs="Times New Roman"/>
                <w:b/>
                <w:i/>
                <w:sz w:val="16"/>
                <w:szCs w:val="16"/>
              </w:rPr>
              <w:t>information est codifiée)</w:t>
            </w:r>
          </w:p>
        </w:tc>
        <w:tc>
          <w:tcPr>
            <w:tcW w:w="113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7F19C042" w14:textId="77777777" w:rsidR="008F5E22" w:rsidRPr="007D0AA6" w:rsidRDefault="008F5E22" w:rsidP="008F5E22">
            <w:pPr>
              <w:spacing w:after="0" w:line="240" w:lineRule="auto"/>
              <w:jc w:val="center"/>
              <w:rPr>
                <w:rFonts w:ascii="Cambria" w:eastAsia="Times New Roman" w:hAnsi="Cambria" w:cs="Calibri"/>
                <w:b/>
                <w:bCs/>
                <w:iCs/>
                <w:kern w:val="0"/>
                <w:sz w:val="18"/>
                <w:szCs w:val="18"/>
                <w14:ligatures w14:val="none"/>
              </w:rPr>
            </w:pPr>
            <w:r w:rsidRPr="007D0AA6">
              <w:rPr>
                <w:rFonts w:ascii="Cambria" w:eastAsia="Aptos" w:hAnsi="Cambria" w:cs="Times New Roman"/>
                <w:b/>
                <w:sz w:val="18"/>
                <w:szCs w:val="18"/>
              </w:rPr>
              <w:t>Notes</w:t>
            </w:r>
          </w:p>
        </w:tc>
      </w:tr>
      <w:tr w:rsidR="008F5E22" w:rsidRPr="007D0AA6" w14:paraId="3D7B5A20" w14:textId="77777777" w:rsidTr="001E4DB7">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66053E94" w14:textId="1D4E6A0E" w:rsidR="008F5E22" w:rsidRPr="007D0AA6" w:rsidRDefault="008F5E22" w:rsidP="008F5E22">
            <w:pPr>
              <w:spacing w:after="0" w:line="240" w:lineRule="auto"/>
              <w:jc w:val="center"/>
              <w:rPr>
                <w:rFonts w:ascii="Cambria" w:eastAsia="Times New Roman" w:hAnsi="Cambria" w:cs="Calibri"/>
                <w:b/>
                <w:bCs/>
                <w:kern w:val="0"/>
                <w:sz w:val="18"/>
                <w:szCs w:val="18"/>
                <w14:ligatures w14:val="none"/>
              </w:rPr>
            </w:pPr>
            <w:r w:rsidRPr="007D0AA6">
              <w:rPr>
                <w:rFonts w:ascii="Cambria" w:eastAsia="Aptos" w:hAnsi="Cambria" w:cs="Times New Roman"/>
                <w:b/>
                <w:sz w:val="18"/>
                <w:szCs w:val="18"/>
              </w:rPr>
              <w:t>##- ##/</w:t>
            </w:r>
          </w:p>
          <w:p w14:paraId="723EACEC" w14:textId="77777777" w:rsidR="008F5E22" w:rsidRPr="007D0AA6" w:rsidRDefault="008F5E22" w:rsidP="008F5E22">
            <w:pPr>
              <w:spacing w:after="0" w:line="240" w:lineRule="auto"/>
              <w:jc w:val="center"/>
              <w:rPr>
                <w:rFonts w:ascii="Cambria" w:eastAsia="Times New Roman" w:hAnsi="Cambria" w:cs="Calibri"/>
                <w:b/>
                <w:bCs/>
                <w:kern w:val="0"/>
                <w:sz w:val="18"/>
                <w:szCs w:val="18"/>
                <w14:ligatures w14:val="none"/>
              </w:rPr>
            </w:pPr>
            <w:r w:rsidRPr="007D0AA6">
              <w:rPr>
                <w:rFonts w:ascii="Cambria" w:eastAsia="Aptos" w:hAnsi="Cambria" w:cs="Times New Roman"/>
                <w:b/>
                <w:sz w:val="18"/>
                <w:szCs w:val="18"/>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697CCEEC" w14:textId="3821BB25" w:rsidR="008F5E22" w:rsidRPr="007D0AA6" w:rsidRDefault="00486351" w:rsidP="008F5E22">
            <w:pPr>
              <w:spacing w:after="0" w:line="240" w:lineRule="auto"/>
              <w:jc w:val="center"/>
              <w:rPr>
                <w:rFonts w:ascii="Cambria" w:eastAsia="Times New Roman" w:hAnsi="Cambria" w:cs="Calibri"/>
                <w:b/>
                <w:bCs/>
                <w:kern w:val="0"/>
                <w:sz w:val="18"/>
                <w:szCs w:val="18"/>
                <w14:ligatures w14:val="none"/>
              </w:rPr>
            </w:pPr>
            <w:r w:rsidRPr="007D0AA6">
              <w:rPr>
                <w:rFonts w:ascii="Cambria" w:eastAsia="Aptos" w:hAnsi="Cambria" w:cs="Times New Roman"/>
                <w:b/>
                <w:sz w:val="18"/>
                <w:szCs w:val="18"/>
              </w:rPr>
              <w:t>Nº</w:t>
            </w:r>
          </w:p>
        </w:tc>
        <w:tc>
          <w:tcPr>
            <w:tcW w:w="992" w:type="dxa"/>
            <w:tcBorders>
              <w:top w:val="single" w:sz="4" w:space="0" w:color="auto"/>
              <w:left w:val="single" w:sz="4" w:space="0" w:color="auto"/>
              <w:bottom w:val="single" w:sz="4" w:space="0" w:color="auto"/>
              <w:right w:val="single" w:sz="4" w:space="0" w:color="auto"/>
            </w:tcBorders>
            <w:vAlign w:val="center"/>
          </w:tcPr>
          <w:p w14:paraId="741B10DE" w14:textId="77777777" w:rsidR="008F5E22" w:rsidRPr="007D0AA6" w:rsidRDefault="008F5E22" w:rsidP="008F5E22">
            <w:pPr>
              <w:spacing w:after="0" w:line="240" w:lineRule="auto"/>
              <w:jc w:val="center"/>
              <w:rPr>
                <w:rFonts w:ascii="Cambria" w:eastAsia="Times New Roman" w:hAnsi="Cambria" w:cs="Calibri"/>
                <w:kern w:val="0"/>
                <w:sz w:val="18"/>
                <w:szCs w:val="18"/>
                <w14:ligatures w14:val="none"/>
              </w:rPr>
            </w:pPr>
            <w:r w:rsidRPr="007D0AA6">
              <w:rPr>
                <w:rFonts w:ascii="Cambria" w:eastAsia="Aptos" w:hAnsi="Cambria" w:cs="Times New Roman"/>
                <w:sz w:val="18"/>
                <w:szCs w:val="18"/>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4D630C62" w14:textId="77777777" w:rsidR="008F5E22" w:rsidRPr="007D0AA6" w:rsidRDefault="008F5E22" w:rsidP="008F5E22">
            <w:pPr>
              <w:spacing w:after="0" w:line="240" w:lineRule="auto"/>
              <w:jc w:val="center"/>
              <w:rPr>
                <w:rFonts w:ascii="Cambria" w:eastAsia="Times New Roman" w:hAnsi="Cambria" w:cs="Calibri"/>
                <w:kern w:val="0"/>
                <w:sz w:val="18"/>
                <w:szCs w:val="18"/>
                <w14:ligatures w14:val="none"/>
              </w:rPr>
            </w:pPr>
            <w:r w:rsidRPr="007D0AA6">
              <w:rPr>
                <w:rFonts w:ascii="Cambria" w:eastAsia="Aptos" w:hAnsi="Cambria" w:cs="Times New Roman"/>
                <w:sz w:val="18"/>
                <w:szCs w:val="18"/>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6BDEEFA1" w14:textId="0CE2D988" w:rsidR="008F5E22" w:rsidRPr="007D0AA6" w:rsidRDefault="008F5E22" w:rsidP="008F5E22">
            <w:pPr>
              <w:spacing w:after="0" w:line="240" w:lineRule="auto"/>
              <w:jc w:val="center"/>
              <w:rPr>
                <w:rFonts w:ascii="Cambria" w:eastAsia="Times New Roman" w:hAnsi="Cambria" w:cs="Calibri"/>
                <w:kern w:val="0"/>
                <w:sz w:val="18"/>
                <w:szCs w:val="18"/>
                <w14:ligatures w14:val="none"/>
              </w:rPr>
            </w:pPr>
            <w:r w:rsidRPr="007D0AA6">
              <w:rPr>
                <w:rFonts w:ascii="Cambria" w:eastAsia="Aptos" w:hAnsi="Cambria" w:cs="Times New Roman"/>
                <w:sz w:val="18"/>
                <w:szCs w:val="18"/>
              </w:rPr>
              <w:t xml:space="preserve">XXX </w:t>
            </w:r>
          </w:p>
        </w:tc>
        <w:tc>
          <w:tcPr>
            <w:tcW w:w="1698" w:type="dxa"/>
            <w:tcBorders>
              <w:top w:val="single" w:sz="4" w:space="0" w:color="auto"/>
              <w:left w:val="single" w:sz="4" w:space="0" w:color="auto"/>
              <w:bottom w:val="single" w:sz="4" w:space="0" w:color="auto"/>
              <w:right w:val="single" w:sz="4" w:space="0" w:color="auto"/>
            </w:tcBorders>
            <w:vAlign w:val="center"/>
          </w:tcPr>
          <w:p w14:paraId="629BE022" w14:textId="77777777" w:rsidR="008F5E22" w:rsidRPr="007D0AA6" w:rsidRDefault="008F5E22" w:rsidP="008F5E22">
            <w:pPr>
              <w:spacing w:after="0" w:line="240" w:lineRule="auto"/>
              <w:jc w:val="center"/>
              <w:rPr>
                <w:rFonts w:ascii="Cambria" w:eastAsia="Times New Roman" w:hAnsi="Cambria" w:cs="Calibri"/>
                <w:kern w:val="0"/>
                <w:sz w:val="18"/>
                <w:szCs w:val="18"/>
                <w14:ligatures w14:val="none"/>
              </w:rPr>
            </w:pPr>
            <w:r w:rsidRPr="007D0AA6">
              <w:rPr>
                <w:rFonts w:ascii="Cambria" w:eastAsia="Aptos" w:hAnsi="Cambria" w:cs="Times New Roman"/>
                <w:sz w:val="18"/>
                <w:szCs w:val="18"/>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10F260E1" w14:textId="77777777" w:rsidR="008F5E22" w:rsidRPr="007D0AA6" w:rsidRDefault="008F5E22" w:rsidP="008F5E22">
            <w:pPr>
              <w:spacing w:after="0" w:line="240" w:lineRule="auto"/>
              <w:jc w:val="center"/>
              <w:rPr>
                <w:rFonts w:ascii="Cambria" w:eastAsia="Times New Roman" w:hAnsi="Cambria" w:cs="Calibri"/>
                <w:kern w:val="0"/>
                <w:sz w:val="18"/>
                <w:szCs w:val="18"/>
                <w14:ligatures w14:val="none"/>
              </w:rPr>
            </w:pPr>
            <w:r w:rsidRPr="007D0AA6">
              <w:rPr>
                <w:rFonts w:ascii="Cambria" w:eastAsia="Aptos" w:hAnsi="Cambria" w:cs="Times New Roman"/>
                <w:sz w:val="18"/>
                <w:szCs w:val="18"/>
              </w:rPr>
              <w:t>XXX</w:t>
            </w:r>
          </w:p>
        </w:tc>
      </w:tr>
      <w:tr w:rsidR="008F5E22" w:rsidRPr="007D0AA6" w14:paraId="0E3F7953" w14:textId="77777777" w:rsidTr="001E4DB7">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0BEF864E" w14:textId="537B67DC" w:rsidR="008F5E22" w:rsidRPr="007D0AA6" w:rsidRDefault="008F5E22" w:rsidP="008F5E22">
            <w:pPr>
              <w:spacing w:after="0" w:line="240" w:lineRule="auto"/>
              <w:jc w:val="center"/>
              <w:rPr>
                <w:rFonts w:ascii="Cambria" w:eastAsia="Times New Roman" w:hAnsi="Cambria" w:cs="Calibri"/>
                <w:b/>
                <w:bCs/>
                <w:kern w:val="0"/>
                <w:sz w:val="18"/>
                <w:szCs w:val="18"/>
                <w14:ligatures w14:val="none"/>
              </w:rPr>
            </w:pPr>
            <w:r w:rsidRPr="007D0AA6">
              <w:rPr>
                <w:rFonts w:ascii="Cambria" w:eastAsia="Aptos" w:hAnsi="Cambria" w:cs="Times New Roman"/>
                <w:b/>
                <w:sz w:val="18"/>
                <w:szCs w:val="18"/>
              </w:rPr>
              <w:t>##- ##/</w:t>
            </w:r>
          </w:p>
          <w:p w14:paraId="7F000405" w14:textId="77777777" w:rsidR="008F5E22" w:rsidRPr="007D0AA6" w:rsidRDefault="008F5E22" w:rsidP="008F5E22">
            <w:pPr>
              <w:spacing w:after="0" w:line="240" w:lineRule="auto"/>
              <w:jc w:val="center"/>
              <w:rPr>
                <w:rFonts w:ascii="Cambria" w:eastAsia="Times New Roman" w:hAnsi="Cambria" w:cs="Calibri"/>
                <w:b/>
                <w:bCs/>
                <w:kern w:val="0"/>
                <w:sz w:val="18"/>
                <w:szCs w:val="18"/>
                <w14:ligatures w14:val="none"/>
              </w:rPr>
            </w:pPr>
            <w:r w:rsidRPr="007D0AA6">
              <w:rPr>
                <w:rFonts w:ascii="Cambria" w:eastAsia="Aptos" w:hAnsi="Cambria" w:cs="Times New Roman"/>
                <w:b/>
                <w:sz w:val="18"/>
                <w:szCs w:val="18"/>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3EA74208" w14:textId="14D37AFA" w:rsidR="008F5E22" w:rsidRPr="007D0AA6" w:rsidRDefault="00486351" w:rsidP="008F5E22">
            <w:pPr>
              <w:spacing w:after="0" w:line="240" w:lineRule="auto"/>
              <w:jc w:val="center"/>
              <w:rPr>
                <w:rFonts w:ascii="Cambria" w:eastAsia="Times New Roman" w:hAnsi="Cambria" w:cs="Calibri"/>
                <w:b/>
                <w:bCs/>
                <w:kern w:val="0"/>
                <w:sz w:val="18"/>
                <w:szCs w:val="18"/>
                <w14:ligatures w14:val="none"/>
              </w:rPr>
            </w:pPr>
            <w:r w:rsidRPr="007D0AA6">
              <w:rPr>
                <w:rFonts w:ascii="Cambria" w:eastAsia="Aptos" w:hAnsi="Cambria" w:cs="Times New Roman"/>
                <w:b/>
                <w:sz w:val="18"/>
                <w:szCs w:val="18"/>
              </w:rPr>
              <w:t>Nº</w:t>
            </w:r>
          </w:p>
        </w:tc>
        <w:tc>
          <w:tcPr>
            <w:tcW w:w="992" w:type="dxa"/>
            <w:tcBorders>
              <w:top w:val="single" w:sz="4" w:space="0" w:color="auto"/>
              <w:left w:val="single" w:sz="4" w:space="0" w:color="auto"/>
              <w:bottom w:val="single" w:sz="4" w:space="0" w:color="auto"/>
              <w:right w:val="single" w:sz="4" w:space="0" w:color="auto"/>
            </w:tcBorders>
            <w:vAlign w:val="center"/>
          </w:tcPr>
          <w:p w14:paraId="319CFD75" w14:textId="77777777" w:rsidR="008F5E22" w:rsidRPr="007D0AA6" w:rsidRDefault="008F5E22" w:rsidP="008F5E22">
            <w:pPr>
              <w:spacing w:after="0" w:line="240" w:lineRule="auto"/>
              <w:jc w:val="center"/>
              <w:rPr>
                <w:rFonts w:ascii="Cambria" w:eastAsia="Times New Roman" w:hAnsi="Cambria" w:cs="Calibri"/>
                <w:kern w:val="0"/>
                <w:sz w:val="18"/>
                <w:szCs w:val="18"/>
                <w14:ligatures w14:val="none"/>
              </w:rPr>
            </w:pPr>
            <w:r w:rsidRPr="007D0AA6">
              <w:rPr>
                <w:rFonts w:ascii="Cambria" w:eastAsia="Aptos" w:hAnsi="Cambria" w:cs="Times New Roman"/>
                <w:sz w:val="18"/>
                <w:szCs w:val="18"/>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6EB42F18" w14:textId="77777777" w:rsidR="008F5E22" w:rsidRPr="007D0AA6" w:rsidRDefault="008F5E22" w:rsidP="008F5E22">
            <w:pPr>
              <w:spacing w:after="0" w:line="240" w:lineRule="auto"/>
              <w:jc w:val="center"/>
              <w:rPr>
                <w:rFonts w:ascii="Cambria" w:eastAsia="Times New Roman" w:hAnsi="Cambria" w:cs="Calibri"/>
                <w:kern w:val="0"/>
                <w:sz w:val="18"/>
                <w:szCs w:val="18"/>
                <w14:ligatures w14:val="none"/>
              </w:rPr>
            </w:pPr>
            <w:r w:rsidRPr="007D0AA6">
              <w:rPr>
                <w:rFonts w:ascii="Cambria" w:eastAsia="Aptos" w:hAnsi="Cambria" w:cs="Times New Roman"/>
                <w:sz w:val="18"/>
                <w:szCs w:val="18"/>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117F9166" w14:textId="75BFEED3" w:rsidR="008F5E22" w:rsidRPr="007D0AA6" w:rsidRDefault="008F5E22" w:rsidP="008F5E22">
            <w:pPr>
              <w:spacing w:after="0" w:line="240" w:lineRule="auto"/>
              <w:jc w:val="center"/>
              <w:rPr>
                <w:rFonts w:ascii="Cambria" w:eastAsia="Times New Roman" w:hAnsi="Cambria" w:cs="Calibri"/>
                <w:kern w:val="0"/>
                <w:sz w:val="18"/>
                <w:szCs w:val="18"/>
                <w14:ligatures w14:val="none"/>
              </w:rPr>
            </w:pPr>
            <w:r w:rsidRPr="007D0AA6">
              <w:rPr>
                <w:rFonts w:ascii="Cambria" w:eastAsia="Aptos" w:hAnsi="Cambria" w:cs="Times New Roman"/>
                <w:sz w:val="18"/>
                <w:szCs w:val="18"/>
              </w:rPr>
              <w:t xml:space="preserve">XXX </w:t>
            </w:r>
          </w:p>
        </w:tc>
        <w:tc>
          <w:tcPr>
            <w:tcW w:w="1698" w:type="dxa"/>
            <w:tcBorders>
              <w:top w:val="single" w:sz="4" w:space="0" w:color="auto"/>
              <w:left w:val="single" w:sz="4" w:space="0" w:color="auto"/>
              <w:bottom w:val="single" w:sz="4" w:space="0" w:color="auto"/>
              <w:right w:val="single" w:sz="4" w:space="0" w:color="auto"/>
            </w:tcBorders>
            <w:vAlign w:val="center"/>
          </w:tcPr>
          <w:p w14:paraId="65F9BC43" w14:textId="77777777" w:rsidR="008F5E22" w:rsidRPr="007D0AA6" w:rsidRDefault="008F5E22" w:rsidP="008F5E22">
            <w:pPr>
              <w:spacing w:after="0" w:line="240" w:lineRule="auto"/>
              <w:jc w:val="center"/>
              <w:rPr>
                <w:rFonts w:ascii="Cambria" w:eastAsia="Times New Roman" w:hAnsi="Cambria" w:cs="Calibri"/>
                <w:kern w:val="0"/>
                <w:sz w:val="18"/>
                <w:szCs w:val="18"/>
                <w14:ligatures w14:val="none"/>
              </w:rPr>
            </w:pPr>
            <w:r w:rsidRPr="007D0AA6">
              <w:rPr>
                <w:rFonts w:ascii="Cambria" w:eastAsia="Aptos" w:hAnsi="Cambria" w:cs="Times New Roman"/>
                <w:sz w:val="18"/>
                <w:szCs w:val="18"/>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38B837BF" w14:textId="77777777" w:rsidR="008F5E22" w:rsidRPr="007D0AA6" w:rsidRDefault="008F5E22" w:rsidP="008F5E22">
            <w:pPr>
              <w:spacing w:after="0" w:line="240" w:lineRule="auto"/>
              <w:jc w:val="center"/>
              <w:rPr>
                <w:rFonts w:ascii="Cambria" w:eastAsia="Times New Roman" w:hAnsi="Cambria" w:cs="Calibri"/>
                <w:kern w:val="0"/>
                <w:sz w:val="18"/>
                <w:szCs w:val="18"/>
                <w14:ligatures w14:val="none"/>
              </w:rPr>
            </w:pPr>
            <w:r w:rsidRPr="007D0AA6">
              <w:rPr>
                <w:rFonts w:ascii="Cambria" w:eastAsia="Aptos" w:hAnsi="Cambria" w:cs="Times New Roman"/>
                <w:sz w:val="18"/>
                <w:szCs w:val="18"/>
              </w:rPr>
              <w:t>XXX</w:t>
            </w:r>
          </w:p>
        </w:tc>
      </w:tr>
      <w:tr w:rsidR="008F5E22" w:rsidRPr="007D0AA6" w14:paraId="12F94F37" w14:textId="77777777" w:rsidTr="001E4DB7">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026FC0FB" w14:textId="6688678A" w:rsidR="008F5E22" w:rsidRPr="007D0AA6" w:rsidRDefault="008F5E22" w:rsidP="008F5E22">
            <w:pPr>
              <w:spacing w:after="0" w:line="240" w:lineRule="auto"/>
              <w:jc w:val="center"/>
              <w:rPr>
                <w:rFonts w:ascii="Cambria" w:eastAsia="Times New Roman" w:hAnsi="Cambria" w:cs="Calibri"/>
                <w:b/>
                <w:bCs/>
                <w:kern w:val="0"/>
                <w:sz w:val="18"/>
                <w:szCs w:val="18"/>
                <w14:ligatures w14:val="none"/>
              </w:rPr>
            </w:pPr>
            <w:r w:rsidRPr="007D0AA6">
              <w:rPr>
                <w:rFonts w:ascii="Cambria" w:eastAsia="Aptos" w:hAnsi="Cambria" w:cs="Times New Roman"/>
                <w:b/>
                <w:sz w:val="18"/>
                <w:szCs w:val="18"/>
              </w:rPr>
              <w:t>##- ##/</w:t>
            </w:r>
          </w:p>
          <w:p w14:paraId="144B1E86" w14:textId="77777777" w:rsidR="008F5E22" w:rsidRPr="007D0AA6" w:rsidRDefault="008F5E22" w:rsidP="008F5E22">
            <w:pPr>
              <w:spacing w:after="0" w:line="240" w:lineRule="auto"/>
              <w:jc w:val="center"/>
              <w:rPr>
                <w:rFonts w:ascii="Cambria" w:eastAsia="Times New Roman" w:hAnsi="Cambria" w:cs="Calibri"/>
                <w:b/>
                <w:bCs/>
                <w:kern w:val="0"/>
                <w:sz w:val="18"/>
                <w:szCs w:val="18"/>
                <w14:ligatures w14:val="none"/>
              </w:rPr>
            </w:pPr>
            <w:r w:rsidRPr="007D0AA6">
              <w:rPr>
                <w:rFonts w:ascii="Cambria" w:eastAsia="Aptos" w:hAnsi="Cambria" w:cs="Times New Roman"/>
                <w:b/>
                <w:sz w:val="18"/>
                <w:szCs w:val="18"/>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20DEBD25" w14:textId="714F5E55" w:rsidR="008F5E22" w:rsidRPr="007D0AA6" w:rsidRDefault="00486351" w:rsidP="008F5E22">
            <w:pPr>
              <w:spacing w:after="0" w:line="240" w:lineRule="auto"/>
              <w:jc w:val="center"/>
              <w:rPr>
                <w:rFonts w:ascii="Cambria" w:eastAsia="Times New Roman" w:hAnsi="Cambria" w:cs="Calibri"/>
                <w:b/>
                <w:bCs/>
                <w:kern w:val="0"/>
                <w:sz w:val="18"/>
                <w:szCs w:val="18"/>
                <w14:ligatures w14:val="none"/>
              </w:rPr>
            </w:pPr>
            <w:r w:rsidRPr="007D0AA6">
              <w:rPr>
                <w:rFonts w:ascii="Cambria" w:eastAsia="Aptos" w:hAnsi="Cambria" w:cs="Times New Roman"/>
                <w:b/>
                <w:sz w:val="18"/>
                <w:szCs w:val="18"/>
              </w:rPr>
              <w:t>Nº</w:t>
            </w:r>
          </w:p>
        </w:tc>
        <w:tc>
          <w:tcPr>
            <w:tcW w:w="992" w:type="dxa"/>
            <w:tcBorders>
              <w:top w:val="single" w:sz="4" w:space="0" w:color="auto"/>
              <w:left w:val="single" w:sz="4" w:space="0" w:color="auto"/>
              <w:bottom w:val="single" w:sz="4" w:space="0" w:color="auto"/>
              <w:right w:val="single" w:sz="4" w:space="0" w:color="auto"/>
            </w:tcBorders>
            <w:vAlign w:val="center"/>
          </w:tcPr>
          <w:p w14:paraId="1C0B0358" w14:textId="77777777" w:rsidR="008F5E22" w:rsidRPr="007D0AA6" w:rsidRDefault="008F5E22" w:rsidP="008F5E22">
            <w:pPr>
              <w:spacing w:after="0" w:line="240" w:lineRule="auto"/>
              <w:jc w:val="center"/>
              <w:rPr>
                <w:rFonts w:ascii="Cambria" w:eastAsia="Times New Roman" w:hAnsi="Cambria" w:cs="Calibri"/>
                <w:kern w:val="0"/>
                <w:sz w:val="18"/>
                <w:szCs w:val="18"/>
                <w14:ligatures w14:val="none"/>
              </w:rPr>
            </w:pPr>
            <w:r w:rsidRPr="007D0AA6">
              <w:rPr>
                <w:rFonts w:ascii="Cambria" w:eastAsia="Aptos" w:hAnsi="Cambria" w:cs="Times New Roman"/>
                <w:sz w:val="18"/>
                <w:szCs w:val="18"/>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6D8C04B5" w14:textId="77777777" w:rsidR="008F5E22" w:rsidRPr="007D0AA6" w:rsidRDefault="008F5E22" w:rsidP="008F5E22">
            <w:pPr>
              <w:spacing w:after="0" w:line="240" w:lineRule="auto"/>
              <w:jc w:val="center"/>
              <w:rPr>
                <w:rFonts w:ascii="Cambria" w:eastAsia="Times New Roman" w:hAnsi="Cambria" w:cs="Calibri"/>
                <w:kern w:val="0"/>
                <w:sz w:val="18"/>
                <w:szCs w:val="18"/>
                <w14:ligatures w14:val="none"/>
              </w:rPr>
            </w:pPr>
            <w:r w:rsidRPr="007D0AA6">
              <w:rPr>
                <w:rFonts w:ascii="Cambria" w:eastAsia="Aptos" w:hAnsi="Cambria" w:cs="Times New Roman"/>
                <w:sz w:val="18"/>
                <w:szCs w:val="18"/>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2F9D875F" w14:textId="5F3A0C3C" w:rsidR="008F5E22" w:rsidRPr="007D0AA6" w:rsidRDefault="008F5E22" w:rsidP="008F5E22">
            <w:pPr>
              <w:spacing w:after="0" w:line="240" w:lineRule="auto"/>
              <w:jc w:val="center"/>
              <w:rPr>
                <w:rFonts w:ascii="Cambria" w:eastAsia="Times New Roman" w:hAnsi="Cambria" w:cs="Calibri"/>
                <w:kern w:val="0"/>
                <w:sz w:val="18"/>
                <w:szCs w:val="18"/>
                <w14:ligatures w14:val="none"/>
              </w:rPr>
            </w:pPr>
            <w:r w:rsidRPr="007D0AA6">
              <w:rPr>
                <w:rFonts w:ascii="Cambria" w:eastAsia="Aptos" w:hAnsi="Cambria" w:cs="Times New Roman"/>
                <w:sz w:val="18"/>
                <w:szCs w:val="18"/>
              </w:rPr>
              <w:t xml:space="preserve">XXX </w:t>
            </w:r>
          </w:p>
        </w:tc>
        <w:tc>
          <w:tcPr>
            <w:tcW w:w="1698" w:type="dxa"/>
            <w:tcBorders>
              <w:top w:val="single" w:sz="4" w:space="0" w:color="auto"/>
              <w:left w:val="single" w:sz="4" w:space="0" w:color="auto"/>
              <w:bottom w:val="single" w:sz="4" w:space="0" w:color="auto"/>
              <w:right w:val="single" w:sz="4" w:space="0" w:color="auto"/>
            </w:tcBorders>
            <w:vAlign w:val="center"/>
          </w:tcPr>
          <w:p w14:paraId="495F057A" w14:textId="77777777" w:rsidR="008F5E22" w:rsidRPr="007D0AA6" w:rsidRDefault="008F5E22" w:rsidP="008F5E22">
            <w:pPr>
              <w:spacing w:after="0" w:line="240" w:lineRule="auto"/>
              <w:jc w:val="center"/>
              <w:rPr>
                <w:rFonts w:ascii="Cambria" w:eastAsia="Times New Roman" w:hAnsi="Cambria" w:cs="Calibri"/>
                <w:kern w:val="0"/>
                <w:sz w:val="18"/>
                <w:szCs w:val="18"/>
                <w14:ligatures w14:val="none"/>
              </w:rPr>
            </w:pPr>
            <w:r w:rsidRPr="007D0AA6">
              <w:rPr>
                <w:rFonts w:ascii="Cambria" w:eastAsia="Aptos" w:hAnsi="Cambria" w:cs="Times New Roman"/>
                <w:sz w:val="18"/>
                <w:szCs w:val="18"/>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5D61FB7A" w14:textId="77777777" w:rsidR="008F5E22" w:rsidRPr="007D0AA6" w:rsidRDefault="008F5E22" w:rsidP="008F5E22">
            <w:pPr>
              <w:spacing w:after="0" w:line="240" w:lineRule="auto"/>
              <w:jc w:val="center"/>
              <w:rPr>
                <w:rFonts w:ascii="Cambria" w:eastAsia="Times New Roman" w:hAnsi="Cambria" w:cs="Calibri"/>
                <w:kern w:val="0"/>
                <w:sz w:val="18"/>
                <w:szCs w:val="18"/>
                <w14:ligatures w14:val="none"/>
              </w:rPr>
            </w:pPr>
            <w:r w:rsidRPr="007D0AA6">
              <w:rPr>
                <w:rFonts w:ascii="Cambria" w:eastAsia="Aptos" w:hAnsi="Cambria" w:cs="Times New Roman"/>
                <w:sz w:val="18"/>
                <w:szCs w:val="18"/>
              </w:rPr>
              <w:t>XXX</w:t>
            </w:r>
          </w:p>
        </w:tc>
      </w:tr>
    </w:tbl>
    <w:p w14:paraId="0160A6EF" w14:textId="77777777" w:rsidR="008F5E22" w:rsidRPr="007D0AA6" w:rsidRDefault="008F5E22" w:rsidP="008F5E22">
      <w:pPr>
        <w:spacing w:line="278" w:lineRule="auto"/>
        <w:rPr>
          <w:rFonts w:ascii="Cambria" w:eastAsia="Cambria" w:hAnsi="Cambria" w:cs="Cambria"/>
          <w:sz w:val="20"/>
          <w:szCs w:val="20"/>
        </w:rPr>
      </w:pPr>
      <w:r w:rsidRPr="007D0AA6">
        <w:rPr>
          <w:rFonts w:ascii="Cambria" w:eastAsia="Aptos" w:hAnsi="Cambria" w:cs="Times New Roman"/>
          <w:sz w:val="20"/>
          <w:szCs w:val="20"/>
        </w:rPr>
        <w:br w:type="page"/>
      </w:r>
    </w:p>
    <w:p w14:paraId="777EB421" w14:textId="77777777" w:rsidR="008F5E22" w:rsidRPr="007D0AA6" w:rsidRDefault="008F5E22" w:rsidP="008F5E22">
      <w:pPr>
        <w:spacing w:after="0" w:line="240" w:lineRule="auto"/>
        <w:jc w:val="right"/>
        <w:rPr>
          <w:rFonts w:ascii="Cambria" w:eastAsia="Cambria" w:hAnsi="Cambria" w:cs="Cambria"/>
          <w:b/>
          <w:bCs/>
          <w:sz w:val="20"/>
          <w:szCs w:val="20"/>
        </w:rPr>
      </w:pPr>
      <w:r w:rsidRPr="007D0AA6">
        <w:rPr>
          <w:rFonts w:ascii="Cambria" w:eastAsia="Aptos" w:hAnsi="Cambria" w:cs="Times New Roman"/>
          <w:b/>
          <w:sz w:val="20"/>
          <w:szCs w:val="20"/>
        </w:rPr>
        <w:lastRenderedPageBreak/>
        <w:t>Annexe 3</w:t>
      </w:r>
    </w:p>
    <w:p w14:paraId="52D13C1D" w14:textId="77777777" w:rsidR="008F5E22" w:rsidRPr="007D0AA6" w:rsidRDefault="008F5E22" w:rsidP="008F5E22">
      <w:pPr>
        <w:spacing w:after="0" w:line="240" w:lineRule="auto"/>
        <w:rPr>
          <w:rFonts w:ascii="Cambria" w:eastAsia="Cambria" w:hAnsi="Cambria" w:cs="Cambria"/>
          <w:b/>
          <w:bCs/>
          <w:sz w:val="20"/>
          <w:szCs w:val="20"/>
        </w:rPr>
      </w:pPr>
    </w:p>
    <w:p w14:paraId="68A948BC" w14:textId="309D94D0" w:rsidR="00127441" w:rsidRPr="007D0AA6" w:rsidRDefault="008F5E22" w:rsidP="00C26F5B">
      <w:pPr>
        <w:spacing w:after="0" w:line="240" w:lineRule="auto"/>
        <w:jc w:val="center"/>
        <w:rPr>
          <w:rFonts w:ascii="Cambria" w:eastAsia="Aptos" w:hAnsi="Cambria" w:cs="Times New Roman"/>
          <w:b/>
          <w:sz w:val="20"/>
          <w:szCs w:val="20"/>
        </w:rPr>
      </w:pPr>
      <w:r w:rsidRPr="007D0AA6">
        <w:rPr>
          <w:rFonts w:ascii="Cambria" w:eastAsia="Aptos" w:hAnsi="Cambria" w:cs="Times New Roman"/>
          <w:b/>
          <w:sz w:val="20"/>
          <w:szCs w:val="20"/>
        </w:rPr>
        <w:t>Lignes directrices pour l'évaluation des demandes d’exemption</w:t>
      </w:r>
    </w:p>
    <w:p w14:paraId="3FFC148E" w14:textId="762E48BC" w:rsidR="008F5E22" w:rsidRPr="007D0AA6" w:rsidRDefault="008F5E22" w:rsidP="00C26F5B">
      <w:pPr>
        <w:spacing w:after="0" w:line="240" w:lineRule="auto"/>
        <w:jc w:val="center"/>
        <w:rPr>
          <w:rFonts w:ascii="Cambria" w:eastAsia="Cambria" w:hAnsi="Cambria" w:cs="Cambria"/>
          <w:b/>
          <w:bCs/>
          <w:sz w:val="20"/>
          <w:szCs w:val="20"/>
        </w:rPr>
      </w:pPr>
      <w:r w:rsidRPr="007D0AA6">
        <w:rPr>
          <w:rFonts w:ascii="Cambria" w:eastAsia="Aptos" w:hAnsi="Cambria" w:cs="Times New Roman"/>
          <w:b/>
          <w:sz w:val="20"/>
          <w:szCs w:val="20"/>
        </w:rPr>
        <w:t>des CPC à la feuille de contrôle sur les requins</w:t>
      </w:r>
    </w:p>
    <w:p w14:paraId="44AD5444" w14:textId="77777777" w:rsidR="008F5E22" w:rsidRPr="007D0AA6" w:rsidRDefault="008F5E22" w:rsidP="008F5E22">
      <w:pPr>
        <w:spacing w:after="0" w:line="240" w:lineRule="auto"/>
        <w:rPr>
          <w:rFonts w:ascii="Cambria" w:eastAsia="Cambria" w:hAnsi="Cambria" w:cs="Cambria"/>
          <w:sz w:val="20"/>
          <w:szCs w:val="20"/>
        </w:rPr>
      </w:pPr>
    </w:p>
    <w:p w14:paraId="488695E3" w14:textId="08043A93" w:rsidR="008F5E22" w:rsidRPr="007D0AA6" w:rsidRDefault="008F5E22" w:rsidP="009B4929">
      <w:pPr>
        <w:spacing w:after="0" w:line="240" w:lineRule="auto"/>
        <w:jc w:val="both"/>
        <w:rPr>
          <w:rFonts w:ascii="Cambria" w:eastAsia="Cambria" w:hAnsi="Cambria" w:cs="Cambria"/>
          <w:sz w:val="20"/>
          <w:szCs w:val="20"/>
        </w:rPr>
      </w:pPr>
      <w:r w:rsidRPr="007D0AA6">
        <w:rPr>
          <w:rFonts w:ascii="Cambria" w:eastAsia="Aptos" w:hAnsi="Cambria" w:cs="Times New Roman"/>
          <w:sz w:val="20"/>
          <w:szCs w:val="20"/>
        </w:rPr>
        <w:t xml:space="preserve">Les CPC qui demandent des exemptions à la feuille de contrôle sur les requins devront présenter les éléments suivants au Groupe d'espèces sur les requins </w:t>
      </w:r>
      <w:r w:rsidR="000B309D" w:rsidRPr="007D0AA6">
        <w:rPr>
          <w:rFonts w:ascii="Cambria" w:eastAsia="Aptos" w:hAnsi="Cambria" w:cs="Times New Roman"/>
          <w:sz w:val="20"/>
          <w:szCs w:val="20"/>
        </w:rPr>
        <w:t xml:space="preserve">du SCRS </w:t>
      </w:r>
      <w:r w:rsidRPr="007D0AA6">
        <w:rPr>
          <w:rFonts w:ascii="Cambria" w:eastAsia="Aptos" w:hAnsi="Cambria" w:cs="Times New Roman"/>
          <w:sz w:val="20"/>
          <w:szCs w:val="20"/>
        </w:rPr>
        <w:t>:</w:t>
      </w:r>
    </w:p>
    <w:p w14:paraId="6E30EF7E" w14:textId="77777777" w:rsidR="008F5E22" w:rsidRPr="007D0AA6" w:rsidRDefault="008F5E22" w:rsidP="007B049A">
      <w:pPr>
        <w:spacing w:after="0" w:line="240" w:lineRule="auto"/>
        <w:rPr>
          <w:rFonts w:ascii="Cambria" w:eastAsia="Cambria" w:hAnsi="Cambria" w:cs="Cambria"/>
          <w:sz w:val="20"/>
          <w:szCs w:val="20"/>
        </w:rPr>
      </w:pPr>
    </w:p>
    <w:p w14:paraId="0F109B56" w14:textId="77777777" w:rsidR="00E54F78" w:rsidRPr="007D0AA6" w:rsidRDefault="00E54F78" w:rsidP="00E54F78">
      <w:pPr>
        <w:spacing w:after="0" w:line="240" w:lineRule="auto"/>
        <w:jc w:val="both"/>
        <w:rPr>
          <w:rFonts w:ascii="Cambria" w:eastAsia="Aptos" w:hAnsi="Cambria" w:cs="Arial"/>
          <w:sz w:val="20"/>
          <w:szCs w:val="20"/>
        </w:rPr>
      </w:pPr>
    </w:p>
    <w:p w14:paraId="0B23D876" w14:textId="4FAB1E88" w:rsidR="00E54F78" w:rsidRPr="007D0AA6" w:rsidRDefault="00E522F5" w:rsidP="00E54F78">
      <w:pPr>
        <w:numPr>
          <w:ilvl w:val="0"/>
          <w:numId w:val="44"/>
        </w:numPr>
        <w:spacing w:after="0" w:line="240" w:lineRule="auto"/>
        <w:ind w:left="426" w:hanging="426"/>
        <w:jc w:val="both"/>
        <w:rPr>
          <w:rFonts w:ascii="Cambria" w:eastAsia="Aptos" w:hAnsi="Cambria" w:cs="Arial"/>
          <w:sz w:val="20"/>
          <w:szCs w:val="20"/>
        </w:rPr>
      </w:pPr>
      <w:r w:rsidRPr="007D0AA6">
        <w:rPr>
          <w:rFonts w:ascii="Cambria" w:eastAsia="Aptos" w:hAnsi="Cambria" w:cs="Arial"/>
          <w:sz w:val="20"/>
          <w:szCs w:val="20"/>
        </w:rPr>
        <w:t xml:space="preserve">Les CPC devront présenter </w:t>
      </w:r>
      <w:r w:rsidR="00E54F78" w:rsidRPr="007D0AA6">
        <w:rPr>
          <w:rFonts w:ascii="Cambria" w:eastAsia="Aptos" w:hAnsi="Cambria" w:cs="Arial"/>
          <w:sz w:val="20"/>
          <w:szCs w:val="20"/>
        </w:rPr>
        <w:t>pendant l’année Y une demande d’exemption de présentation de la feuille de contrôle s’appliquant aux requins pendant l’année Y+1.</w:t>
      </w:r>
    </w:p>
    <w:p w14:paraId="7933CC67" w14:textId="77777777" w:rsidR="00E54F78" w:rsidRPr="007D0AA6" w:rsidRDefault="00E54F78" w:rsidP="00E54F78">
      <w:pPr>
        <w:spacing w:after="0" w:line="240" w:lineRule="auto"/>
        <w:ind w:left="567"/>
        <w:jc w:val="both"/>
        <w:rPr>
          <w:rFonts w:ascii="Cambria" w:eastAsia="Aptos" w:hAnsi="Cambria" w:cs="Arial"/>
          <w:sz w:val="20"/>
          <w:szCs w:val="20"/>
        </w:rPr>
      </w:pPr>
    </w:p>
    <w:p w14:paraId="53358BB2" w14:textId="77777777" w:rsidR="00E54F78" w:rsidRPr="007D0AA6" w:rsidRDefault="00E54F78" w:rsidP="00E54F78">
      <w:pPr>
        <w:numPr>
          <w:ilvl w:val="1"/>
          <w:numId w:val="44"/>
        </w:numPr>
        <w:spacing w:after="0" w:line="240" w:lineRule="auto"/>
        <w:ind w:left="851" w:hanging="284"/>
        <w:jc w:val="both"/>
        <w:rPr>
          <w:rFonts w:ascii="Cambria" w:eastAsia="Aptos" w:hAnsi="Cambria" w:cs="Arial"/>
          <w:sz w:val="20"/>
          <w:szCs w:val="20"/>
        </w:rPr>
      </w:pPr>
      <w:r w:rsidRPr="007D0AA6">
        <w:rPr>
          <w:rFonts w:ascii="Cambria" w:eastAsia="Aptos" w:hAnsi="Cambria" w:cs="Arial"/>
          <w:sz w:val="20"/>
          <w:szCs w:val="20"/>
        </w:rPr>
        <w:t>La demande initiale pendant l’année Y doit être soumise au Secrétariat pour examen par le SCRS, dans les mêmes délais que la soumission de la feuille de contrôle s’appliquant aux requins.</w:t>
      </w:r>
    </w:p>
    <w:p w14:paraId="483D044E" w14:textId="77777777" w:rsidR="00E54F78" w:rsidRPr="007D0AA6" w:rsidRDefault="00E54F78" w:rsidP="00E54F78">
      <w:pPr>
        <w:spacing w:after="0" w:line="240" w:lineRule="auto"/>
        <w:ind w:left="851"/>
        <w:jc w:val="both"/>
        <w:rPr>
          <w:rFonts w:ascii="Cambria" w:eastAsia="Aptos" w:hAnsi="Cambria" w:cs="Arial"/>
          <w:sz w:val="20"/>
          <w:szCs w:val="20"/>
        </w:rPr>
      </w:pPr>
    </w:p>
    <w:p w14:paraId="67DAF99A" w14:textId="77777777" w:rsidR="00E54F78" w:rsidRPr="007D0AA6" w:rsidRDefault="00E54F78" w:rsidP="00E54F78">
      <w:pPr>
        <w:numPr>
          <w:ilvl w:val="1"/>
          <w:numId w:val="44"/>
        </w:numPr>
        <w:spacing w:after="0" w:line="240" w:lineRule="auto"/>
        <w:ind w:left="851" w:hanging="284"/>
        <w:jc w:val="both"/>
        <w:rPr>
          <w:rFonts w:ascii="Cambria" w:eastAsia="Aptos" w:hAnsi="Cambria" w:cs="Arial"/>
          <w:sz w:val="20"/>
          <w:szCs w:val="20"/>
        </w:rPr>
      </w:pPr>
      <w:r w:rsidRPr="007D0AA6">
        <w:rPr>
          <w:rFonts w:ascii="Cambria" w:eastAsia="Aptos" w:hAnsi="Cambria" w:cs="Arial"/>
          <w:sz w:val="20"/>
          <w:szCs w:val="20"/>
        </w:rPr>
        <w:t>La demande doit être accompagnée d'un document écrit expliquant clairement la raison de l'exemption, ainsi que de toutes les données justificatives nécessaires comme stipulé au paragraphe 2.</w:t>
      </w:r>
    </w:p>
    <w:p w14:paraId="56A67DE8" w14:textId="77777777" w:rsidR="00E54F78" w:rsidRPr="007D0AA6" w:rsidRDefault="00E54F78" w:rsidP="00E54F78">
      <w:pPr>
        <w:spacing w:after="0" w:line="240" w:lineRule="auto"/>
        <w:ind w:left="720"/>
        <w:contextualSpacing/>
        <w:jc w:val="center"/>
        <w:rPr>
          <w:rFonts w:ascii="Cambria" w:eastAsia="Aptos" w:hAnsi="Cambria" w:cs="Arial"/>
          <w:sz w:val="20"/>
          <w:szCs w:val="20"/>
        </w:rPr>
      </w:pPr>
    </w:p>
    <w:p w14:paraId="4C391BE0" w14:textId="77777777" w:rsidR="00E54F78" w:rsidRPr="007D0AA6" w:rsidRDefault="00E54F78" w:rsidP="00E54F78">
      <w:pPr>
        <w:numPr>
          <w:ilvl w:val="1"/>
          <w:numId w:val="44"/>
        </w:numPr>
        <w:spacing w:after="0" w:line="240" w:lineRule="auto"/>
        <w:ind w:left="851" w:hanging="284"/>
        <w:jc w:val="both"/>
        <w:rPr>
          <w:rFonts w:ascii="Cambria" w:eastAsia="Aptos" w:hAnsi="Cambria" w:cs="Arial"/>
          <w:sz w:val="20"/>
          <w:szCs w:val="20"/>
        </w:rPr>
      </w:pPr>
      <w:r w:rsidRPr="007D0AA6">
        <w:rPr>
          <w:rFonts w:ascii="Cambria" w:eastAsia="Aptos" w:hAnsi="Cambria" w:cs="Arial"/>
          <w:sz w:val="20"/>
          <w:szCs w:val="20"/>
        </w:rPr>
        <w:t>L'exemption peut être demandée pour l'ensemble de la feuille de contrôle s’appliquant aux requins ou uniquement pour les recommandations ayant des implications spécifiques pour le Nord/Sud.</w:t>
      </w:r>
    </w:p>
    <w:p w14:paraId="45EF3E1C" w14:textId="77777777" w:rsidR="00E54F78" w:rsidRPr="007D0AA6" w:rsidRDefault="00E54F78" w:rsidP="00E54F78">
      <w:pPr>
        <w:spacing w:after="0" w:line="240" w:lineRule="auto"/>
        <w:ind w:left="720"/>
        <w:contextualSpacing/>
        <w:jc w:val="center"/>
        <w:rPr>
          <w:rFonts w:ascii="Cambria" w:eastAsia="Aptos" w:hAnsi="Cambria" w:cs="Arial"/>
          <w:sz w:val="20"/>
          <w:szCs w:val="20"/>
        </w:rPr>
      </w:pPr>
    </w:p>
    <w:p w14:paraId="062E9AEE" w14:textId="77777777" w:rsidR="00E54F78" w:rsidRPr="007D0AA6" w:rsidRDefault="00E54F78" w:rsidP="00E54F78">
      <w:pPr>
        <w:numPr>
          <w:ilvl w:val="1"/>
          <w:numId w:val="44"/>
        </w:numPr>
        <w:spacing w:after="0" w:line="240" w:lineRule="auto"/>
        <w:ind w:left="851" w:hanging="284"/>
        <w:jc w:val="both"/>
        <w:rPr>
          <w:rFonts w:ascii="Cambria" w:eastAsia="Aptos" w:hAnsi="Cambria" w:cs="Arial"/>
          <w:sz w:val="20"/>
          <w:szCs w:val="20"/>
        </w:rPr>
      </w:pPr>
      <w:r w:rsidRPr="007D0AA6">
        <w:rPr>
          <w:rFonts w:ascii="Cambria" w:eastAsia="Aptos" w:hAnsi="Cambria" w:cs="Arial"/>
          <w:sz w:val="20"/>
          <w:szCs w:val="20"/>
        </w:rPr>
        <w:t>La présentation de la demande initiale ne dispense pas de la présentation de la feuille de contrôle s’appliquant aux requins de l'année Y-1.</w:t>
      </w:r>
    </w:p>
    <w:p w14:paraId="44FA5F5F" w14:textId="77777777" w:rsidR="00E54F78" w:rsidRPr="007D0AA6" w:rsidRDefault="00E54F78" w:rsidP="00E54F78">
      <w:pPr>
        <w:spacing w:after="0" w:line="240" w:lineRule="auto"/>
        <w:ind w:left="720"/>
        <w:jc w:val="both"/>
        <w:rPr>
          <w:rFonts w:ascii="Cambria" w:eastAsia="Aptos" w:hAnsi="Cambria" w:cs="Arial"/>
          <w:sz w:val="20"/>
          <w:szCs w:val="20"/>
        </w:rPr>
      </w:pPr>
    </w:p>
    <w:p w14:paraId="13360CEC" w14:textId="36BC926E" w:rsidR="00E54F78" w:rsidRPr="007D0AA6" w:rsidRDefault="00E522F5" w:rsidP="00432C6E">
      <w:pPr>
        <w:numPr>
          <w:ilvl w:val="0"/>
          <w:numId w:val="44"/>
        </w:numPr>
        <w:spacing w:after="0" w:line="240" w:lineRule="auto"/>
        <w:ind w:left="426" w:hanging="426"/>
        <w:jc w:val="both"/>
        <w:rPr>
          <w:rFonts w:ascii="Cambria" w:eastAsia="Aptos" w:hAnsi="Cambria" w:cs="Arial"/>
          <w:sz w:val="20"/>
          <w:szCs w:val="20"/>
        </w:rPr>
      </w:pPr>
      <w:r w:rsidRPr="007D0AA6">
        <w:rPr>
          <w:rFonts w:ascii="Cambria" w:eastAsia="Aptos" w:hAnsi="Cambria" w:cs="Arial"/>
          <w:sz w:val="20"/>
          <w:szCs w:val="20"/>
        </w:rPr>
        <w:t xml:space="preserve">Le SCRS devra évaluer la </w:t>
      </w:r>
      <w:r w:rsidR="00E54F78" w:rsidRPr="007D0AA6">
        <w:rPr>
          <w:rFonts w:ascii="Cambria" w:eastAsia="Aptos" w:hAnsi="Cambria" w:cs="Arial"/>
          <w:sz w:val="20"/>
          <w:szCs w:val="20"/>
        </w:rPr>
        <w:t>demande</w:t>
      </w:r>
      <w:r w:rsidRPr="007D0AA6">
        <w:rPr>
          <w:rFonts w:ascii="Cambria" w:eastAsia="Aptos" w:hAnsi="Cambria" w:cs="Arial"/>
          <w:sz w:val="20"/>
          <w:szCs w:val="20"/>
        </w:rPr>
        <w:t>.</w:t>
      </w:r>
      <w:r w:rsidR="008B510C" w:rsidRPr="007D0AA6">
        <w:rPr>
          <w:rFonts w:ascii="Cambria" w:eastAsia="Aptos" w:hAnsi="Cambria" w:cs="Arial"/>
          <w:sz w:val="20"/>
          <w:szCs w:val="20"/>
        </w:rPr>
        <w:t xml:space="preserve"> </w:t>
      </w:r>
      <w:r w:rsidR="00E54F78" w:rsidRPr="007D0AA6">
        <w:rPr>
          <w:rFonts w:ascii="Cambria" w:eastAsia="Aptos" w:hAnsi="Cambria" w:cs="Arial"/>
          <w:sz w:val="20"/>
          <w:szCs w:val="20"/>
        </w:rPr>
        <w:t>Un représentant de la CPC demandant l'exemption doit présenter le document soumis au cours de la réunion de septembre du Groupe d'espèces sur les requins de la même année où a lieu la soumission. Le Groupe d'espèces sur les requins examinera le document afin d'évaluer l'opportunité de la demande d’exemption, conformément aux lignes directrices suivantes :</w:t>
      </w:r>
    </w:p>
    <w:p w14:paraId="1B9A7681" w14:textId="77777777" w:rsidR="00E54F78" w:rsidRPr="007D0AA6" w:rsidRDefault="00E54F78" w:rsidP="00E54F78">
      <w:pPr>
        <w:spacing w:after="0" w:line="240" w:lineRule="auto"/>
        <w:ind w:left="851"/>
        <w:jc w:val="both"/>
        <w:rPr>
          <w:rFonts w:ascii="Cambria" w:eastAsia="Aptos" w:hAnsi="Cambria" w:cs="Arial"/>
          <w:sz w:val="20"/>
          <w:szCs w:val="20"/>
        </w:rPr>
      </w:pPr>
    </w:p>
    <w:p w14:paraId="0FC0F242" w14:textId="18843339" w:rsidR="00E54F78" w:rsidRPr="007D0AA6" w:rsidRDefault="0094061F" w:rsidP="008532E4">
      <w:pPr>
        <w:pStyle w:val="ListParagraph"/>
        <w:ind w:left="851" w:hanging="425"/>
        <w:jc w:val="both"/>
        <w:rPr>
          <w:rFonts w:ascii="Cambria" w:eastAsia="Aptos" w:hAnsi="Cambria" w:cs="Arial"/>
          <w:sz w:val="20"/>
          <w:szCs w:val="20"/>
        </w:rPr>
      </w:pPr>
      <w:r w:rsidRPr="007D0AA6">
        <w:rPr>
          <w:rFonts w:ascii="Cambria" w:eastAsia="Cambria" w:hAnsi="Cambria" w:cs="Times New Roman"/>
          <w:sz w:val="20"/>
          <w:szCs w:val="20"/>
        </w:rPr>
        <w:t>a.</w:t>
      </w:r>
      <w:r w:rsidRPr="007D0AA6">
        <w:rPr>
          <w:rFonts w:ascii="Cambria" w:eastAsia="Cambria" w:hAnsi="Cambria" w:cs="Times New Roman"/>
          <w:sz w:val="20"/>
          <w:szCs w:val="20"/>
        </w:rPr>
        <w:tab/>
      </w:r>
      <w:r w:rsidR="00E54F78" w:rsidRPr="007D0AA6">
        <w:rPr>
          <w:rFonts w:ascii="Cambria" w:eastAsia="Cambria" w:hAnsi="Cambria" w:cs="Times New Roman"/>
          <w:sz w:val="20"/>
          <w:szCs w:val="20"/>
        </w:rPr>
        <w:t>Pour</w:t>
      </w:r>
      <w:r w:rsidR="00E54F78" w:rsidRPr="007D0AA6">
        <w:rPr>
          <w:rFonts w:ascii="Cambria" w:eastAsia="Aptos" w:hAnsi="Cambria" w:cs="Arial"/>
          <w:sz w:val="20"/>
          <w:szCs w:val="20"/>
        </w:rPr>
        <w:t xml:space="preserve"> les CPC n'ayant pas de flottille active ciblant les thonidés et les espèces apparentées dans la zone relevant du mandat de l’ICCAT : </w:t>
      </w:r>
    </w:p>
    <w:p w14:paraId="29FC66CD" w14:textId="77777777" w:rsidR="00E54F78" w:rsidRPr="007D0AA6" w:rsidRDefault="00E54F78" w:rsidP="00E54F78">
      <w:pPr>
        <w:spacing w:after="0" w:line="240" w:lineRule="auto"/>
        <w:ind w:left="1418" w:hanging="284"/>
        <w:jc w:val="both"/>
        <w:rPr>
          <w:rFonts w:ascii="Cambria" w:eastAsia="Aptos" w:hAnsi="Cambria" w:cs="Arial"/>
          <w:sz w:val="20"/>
          <w:szCs w:val="20"/>
        </w:rPr>
      </w:pPr>
      <w:r w:rsidRPr="007D0AA6">
        <w:rPr>
          <w:rFonts w:ascii="Cambria" w:eastAsia="Aptos" w:hAnsi="Cambria" w:cs="Arial"/>
          <w:sz w:val="20"/>
          <w:szCs w:val="20"/>
        </w:rPr>
        <w:t>i.</w:t>
      </w:r>
      <w:r w:rsidRPr="007D0AA6">
        <w:rPr>
          <w:rFonts w:ascii="Cambria" w:eastAsia="Aptos" w:hAnsi="Cambria" w:cs="Arial"/>
          <w:sz w:val="20"/>
          <w:szCs w:val="20"/>
        </w:rPr>
        <w:tab/>
        <w:t xml:space="preserve">Déclaration et éléments de preuve que la CPC n'a pas de flottille active ciblant les thonidés et les espèces apparentées dans la zone relevant du mandat de l'ICCAT. </w:t>
      </w:r>
    </w:p>
    <w:p w14:paraId="5300838A" w14:textId="77777777" w:rsidR="00E54F78" w:rsidRPr="007D0AA6" w:rsidRDefault="00E54F78" w:rsidP="00E54F78">
      <w:pPr>
        <w:spacing w:after="0" w:line="240" w:lineRule="auto"/>
        <w:ind w:left="1418"/>
        <w:jc w:val="both"/>
        <w:rPr>
          <w:rFonts w:ascii="Cambria" w:eastAsia="Aptos" w:hAnsi="Cambria" w:cs="Arial"/>
          <w:sz w:val="20"/>
          <w:szCs w:val="20"/>
        </w:rPr>
      </w:pPr>
    </w:p>
    <w:p w14:paraId="55C32065" w14:textId="2B67FE42" w:rsidR="00E54F78" w:rsidRPr="007D0AA6" w:rsidRDefault="008532E4" w:rsidP="008532E4">
      <w:pPr>
        <w:pStyle w:val="ListParagraph"/>
        <w:ind w:left="851" w:hanging="425"/>
        <w:jc w:val="both"/>
        <w:rPr>
          <w:rFonts w:ascii="Cambria" w:eastAsia="Aptos" w:hAnsi="Cambria" w:cs="Arial"/>
          <w:sz w:val="20"/>
          <w:szCs w:val="20"/>
        </w:rPr>
      </w:pPr>
      <w:r w:rsidRPr="007D0AA6">
        <w:rPr>
          <w:rFonts w:ascii="Cambria" w:eastAsia="Aptos" w:hAnsi="Cambria" w:cs="Arial"/>
          <w:sz w:val="20"/>
          <w:szCs w:val="20"/>
        </w:rPr>
        <w:t xml:space="preserve">b. </w:t>
      </w:r>
      <w:r w:rsidRPr="007D0AA6">
        <w:rPr>
          <w:rFonts w:ascii="Cambria" w:eastAsia="Aptos" w:hAnsi="Cambria" w:cs="Arial"/>
          <w:sz w:val="20"/>
          <w:szCs w:val="20"/>
        </w:rPr>
        <w:tab/>
      </w:r>
      <w:r w:rsidR="00E54F78" w:rsidRPr="007D0AA6">
        <w:rPr>
          <w:rFonts w:ascii="Cambria" w:eastAsia="Aptos" w:hAnsi="Cambria" w:cs="Arial"/>
          <w:sz w:val="20"/>
          <w:szCs w:val="20"/>
        </w:rPr>
        <w:t xml:space="preserve">Pour les CPC qui ont des flottilles actives ciblant les thonidés et les espèces apparentées dans la zone relevant du mandat de l'ICCAT : </w:t>
      </w:r>
    </w:p>
    <w:p w14:paraId="61E68F4C" w14:textId="63DC92CE" w:rsidR="00E54F78" w:rsidRPr="007D0AA6" w:rsidRDefault="00E54F78" w:rsidP="00E54F78">
      <w:pPr>
        <w:spacing w:after="0" w:line="240" w:lineRule="auto"/>
        <w:ind w:left="1418" w:hanging="284"/>
        <w:jc w:val="both"/>
        <w:rPr>
          <w:rFonts w:ascii="Cambria" w:eastAsia="Aptos" w:hAnsi="Cambria" w:cs="Arial"/>
          <w:sz w:val="20"/>
          <w:szCs w:val="20"/>
        </w:rPr>
      </w:pPr>
      <w:r w:rsidRPr="007D0AA6">
        <w:rPr>
          <w:rFonts w:ascii="Cambria" w:eastAsia="Aptos" w:hAnsi="Cambria" w:cs="Arial"/>
          <w:sz w:val="20"/>
          <w:szCs w:val="20"/>
        </w:rPr>
        <w:t xml:space="preserve">i. </w:t>
      </w:r>
      <w:r w:rsidRPr="007D0AA6">
        <w:rPr>
          <w:rFonts w:ascii="Cambria" w:eastAsia="Aptos" w:hAnsi="Cambria" w:cs="Arial"/>
          <w:sz w:val="20"/>
          <w:szCs w:val="20"/>
        </w:rPr>
        <w:tab/>
      </w:r>
      <w:r w:rsidR="00710133" w:rsidRPr="007D0AA6">
        <w:rPr>
          <w:rFonts w:ascii="Cambria" w:eastAsia="Aptos" w:hAnsi="Cambria" w:cs="Arial"/>
          <w:sz w:val="20"/>
          <w:szCs w:val="20"/>
        </w:rPr>
        <w:t>E</w:t>
      </w:r>
      <w:r w:rsidRPr="007D0AA6">
        <w:rPr>
          <w:rFonts w:ascii="Cambria" w:eastAsia="Aptos" w:hAnsi="Cambria" w:cs="Arial"/>
          <w:sz w:val="20"/>
          <w:szCs w:val="20"/>
        </w:rPr>
        <w:t>xistence d'une liste des espèces de requins de l'ICCAT enregistrées dans la zone dans laquelle la CPC exerce des activités de pêche pour lesquelles l'exemption est demandée</w:t>
      </w:r>
      <w:r w:rsidR="00790254" w:rsidRPr="007D0AA6">
        <w:rPr>
          <w:rFonts w:ascii="Cambria" w:eastAsia="Aptos" w:hAnsi="Cambria" w:cs="Arial"/>
          <w:sz w:val="20"/>
          <w:szCs w:val="20"/>
        </w:rPr>
        <w:t xml:space="preserve"> et</w:t>
      </w:r>
    </w:p>
    <w:p w14:paraId="65145250" w14:textId="77777777" w:rsidR="00E54F78" w:rsidRPr="007D0AA6" w:rsidRDefault="00E54F78" w:rsidP="00E54F78">
      <w:pPr>
        <w:spacing w:after="0" w:line="240" w:lineRule="auto"/>
        <w:ind w:left="1418" w:hanging="284"/>
        <w:jc w:val="both"/>
        <w:rPr>
          <w:rFonts w:ascii="Cambria" w:eastAsia="Aptos" w:hAnsi="Cambria" w:cs="Arial"/>
          <w:sz w:val="20"/>
          <w:szCs w:val="20"/>
        </w:rPr>
      </w:pPr>
    </w:p>
    <w:p w14:paraId="3A59652E" w14:textId="4C5FA8C3" w:rsidR="00E54F78" w:rsidRPr="007D0AA6" w:rsidRDefault="00E54F78" w:rsidP="008A3947">
      <w:pPr>
        <w:spacing w:after="0" w:line="240" w:lineRule="auto"/>
        <w:ind w:left="1418" w:hanging="284"/>
        <w:jc w:val="both"/>
        <w:rPr>
          <w:rFonts w:ascii="Cambria" w:eastAsia="Aptos" w:hAnsi="Cambria" w:cs="Arial"/>
          <w:sz w:val="20"/>
          <w:szCs w:val="20"/>
        </w:rPr>
      </w:pPr>
      <w:r w:rsidRPr="007D0AA6">
        <w:rPr>
          <w:rFonts w:ascii="Cambria" w:eastAsia="Aptos" w:hAnsi="Cambria" w:cs="Arial"/>
          <w:sz w:val="20"/>
          <w:szCs w:val="20"/>
        </w:rPr>
        <w:t xml:space="preserve">ii. </w:t>
      </w:r>
      <w:r w:rsidRPr="007D0AA6">
        <w:rPr>
          <w:rFonts w:ascii="Cambria" w:eastAsia="Aptos" w:hAnsi="Cambria" w:cs="Arial"/>
          <w:sz w:val="20"/>
          <w:szCs w:val="20"/>
        </w:rPr>
        <w:tab/>
        <w:t>Existence de preuves scientifiques (par exemple, rapport basé sur les données du programme d'observateurs à bord) démontrant clairement l'absence d'interactions entre les espèces de requins figurant sur la liste de l'ICCAT et les engins de pêche utilisés par les CPC demandant l'exemption</w:t>
      </w:r>
      <w:r w:rsidR="008A4E3D" w:rsidRPr="007D0AA6">
        <w:rPr>
          <w:rFonts w:ascii="Cambria" w:eastAsia="Aptos" w:hAnsi="Cambria" w:cs="Arial"/>
          <w:sz w:val="20"/>
          <w:szCs w:val="20"/>
        </w:rPr>
        <w:t xml:space="preserve">. </w:t>
      </w:r>
      <w:r w:rsidRPr="007D0AA6">
        <w:rPr>
          <w:rFonts w:ascii="Cambria" w:eastAsia="Aptos" w:hAnsi="Cambria" w:cs="Arial"/>
          <w:sz w:val="20"/>
          <w:szCs w:val="20"/>
        </w:rPr>
        <w:t>Le rapport devrait couvrir toutes les saisons et inclure plusieurs sorties, afin de garantir la détection des prises accessoires rares.</w:t>
      </w:r>
      <w:r w:rsidR="008A3947" w:rsidRPr="007D0AA6">
        <w:rPr>
          <w:rFonts w:ascii="Cambria" w:eastAsia="Aptos" w:hAnsi="Cambria" w:cs="Arial"/>
          <w:sz w:val="20"/>
          <w:szCs w:val="20"/>
        </w:rPr>
        <w:t xml:space="preserve"> </w:t>
      </w:r>
      <w:r w:rsidRPr="007D0AA6">
        <w:rPr>
          <w:rFonts w:ascii="Cambria" w:eastAsia="Aptos" w:hAnsi="Cambria" w:cs="Arial"/>
          <w:sz w:val="20"/>
          <w:szCs w:val="20"/>
        </w:rPr>
        <w:t>Le rapport devrait fournir des données présentant un degré élevé de couverture spatiale de l'effort de pêche par type d'engin.</w:t>
      </w:r>
    </w:p>
    <w:p w14:paraId="128B794B" w14:textId="77777777" w:rsidR="00E54F78" w:rsidRPr="007D0AA6" w:rsidRDefault="00E54F78" w:rsidP="00E54F78">
      <w:pPr>
        <w:spacing w:after="0" w:line="240" w:lineRule="auto"/>
        <w:jc w:val="both"/>
        <w:rPr>
          <w:rFonts w:ascii="Cambria" w:eastAsia="Aptos" w:hAnsi="Cambria" w:cs="Arial"/>
          <w:sz w:val="20"/>
          <w:szCs w:val="20"/>
        </w:rPr>
      </w:pPr>
    </w:p>
    <w:p w14:paraId="797A93D1" w14:textId="68CFE3C2" w:rsidR="00840526" w:rsidRPr="007D0AA6" w:rsidRDefault="00E54F78" w:rsidP="00EB176C">
      <w:pPr>
        <w:numPr>
          <w:ilvl w:val="0"/>
          <w:numId w:val="44"/>
        </w:numPr>
        <w:spacing w:after="0" w:line="240" w:lineRule="auto"/>
        <w:ind w:left="426" w:hanging="426"/>
        <w:jc w:val="both"/>
        <w:rPr>
          <w:rFonts w:ascii="Cambria" w:eastAsia="Aptos" w:hAnsi="Cambria" w:cs="Arial"/>
          <w:sz w:val="20"/>
          <w:szCs w:val="20"/>
        </w:rPr>
      </w:pPr>
      <w:r w:rsidRPr="007D0AA6">
        <w:rPr>
          <w:rFonts w:ascii="Cambria" w:eastAsia="Aptos" w:hAnsi="Cambria" w:cs="Arial"/>
          <w:sz w:val="20"/>
          <w:szCs w:val="20"/>
        </w:rPr>
        <w:t xml:space="preserve">Si le SCRS ne confirme pas la demande, la CPC devra continuer à soumettre la feuille de contrôle s’appliquant aux requins l'année suivante. Les CPC ont toujours le droit de présenter à nouveau une demande d'exemption les années suivantes. </w:t>
      </w:r>
      <w:r w:rsidR="00840526" w:rsidRPr="007D0AA6">
        <w:rPr>
          <w:rFonts w:ascii="Cambria" w:eastAsia="Aptos" w:hAnsi="Cambria" w:cs="Arial"/>
          <w:sz w:val="20"/>
          <w:szCs w:val="20"/>
        </w:rPr>
        <w:br w:type="page"/>
      </w:r>
    </w:p>
    <w:p w14:paraId="5C044BB6" w14:textId="6424F93D" w:rsidR="00E54F78" w:rsidRPr="007D0AA6" w:rsidRDefault="00E54F78" w:rsidP="005A42C7">
      <w:pPr>
        <w:numPr>
          <w:ilvl w:val="0"/>
          <w:numId w:val="44"/>
        </w:numPr>
        <w:spacing w:after="0" w:line="240" w:lineRule="auto"/>
        <w:ind w:left="426" w:hanging="426"/>
        <w:jc w:val="both"/>
        <w:rPr>
          <w:rFonts w:ascii="Cambria" w:eastAsia="Aptos" w:hAnsi="Cambria" w:cs="Arial"/>
          <w:sz w:val="20"/>
          <w:szCs w:val="20"/>
        </w:rPr>
      </w:pPr>
      <w:r w:rsidRPr="007D0AA6">
        <w:rPr>
          <w:rFonts w:ascii="Cambria" w:eastAsia="Aptos" w:hAnsi="Cambria" w:cs="Arial"/>
          <w:sz w:val="20"/>
          <w:szCs w:val="20"/>
        </w:rPr>
        <w:lastRenderedPageBreak/>
        <w:t xml:space="preserve">Chaque année, pendant une période de cinq ans, la CPC exemptée de remplir la feuille de contrôle s’appliquant aux requins devra confirmer annuellement dans son rapport annuel qu'aucun changement ne s'est produit dans ses pêcheries qui pourrait modifier la conclusion selon laquelle elle est en droit de bénéficier d'une exemption. Pour renouveler l'exemption pour la prochaine période de 5 ans, une nouvelle demande d'exemption devrait être soumise pendant l’année Y+5 conformément aux exigences du </w:t>
      </w:r>
      <w:r w:rsidR="00790254" w:rsidRPr="007D0AA6">
        <w:rPr>
          <w:rFonts w:ascii="Cambria" w:eastAsia="Aptos" w:hAnsi="Cambria" w:cs="Arial"/>
          <w:sz w:val="20"/>
          <w:szCs w:val="20"/>
        </w:rPr>
        <w:t>paragraphe</w:t>
      </w:r>
      <w:r w:rsidRPr="007D0AA6">
        <w:rPr>
          <w:rFonts w:ascii="Cambria" w:eastAsia="Aptos" w:hAnsi="Cambria" w:cs="Arial"/>
          <w:sz w:val="20"/>
          <w:szCs w:val="20"/>
        </w:rPr>
        <w:t xml:space="preserve"> 2.</w:t>
      </w:r>
    </w:p>
    <w:p w14:paraId="2BD979C8" w14:textId="77777777" w:rsidR="00E54F78" w:rsidRPr="007D0AA6" w:rsidRDefault="00E54F78" w:rsidP="00E54F78">
      <w:pPr>
        <w:spacing w:after="0" w:line="240" w:lineRule="auto"/>
        <w:ind w:left="720"/>
        <w:jc w:val="both"/>
        <w:rPr>
          <w:rFonts w:ascii="Cambria" w:eastAsia="Aptos" w:hAnsi="Cambria" w:cs="Arial"/>
          <w:sz w:val="20"/>
          <w:szCs w:val="20"/>
        </w:rPr>
      </w:pPr>
    </w:p>
    <w:p w14:paraId="5121C060" w14:textId="2172493E" w:rsidR="00E54F78" w:rsidRPr="007D0AA6" w:rsidRDefault="00E54F78" w:rsidP="005A42C7">
      <w:pPr>
        <w:numPr>
          <w:ilvl w:val="0"/>
          <w:numId w:val="44"/>
        </w:numPr>
        <w:spacing w:after="0" w:line="240" w:lineRule="auto"/>
        <w:ind w:left="426" w:hanging="426"/>
        <w:jc w:val="both"/>
        <w:rPr>
          <w:rFonts w:ascii="Cambria" w:eastAsia="Aptos" w:hAnsi="Cambria" w:cs="Arial"/>
          <w:sz w:val="20"/>
          <w:szCs w:val="20"/>
        </w:rPr>
      </w:pPr>
      <w:r w:rsidRPr="007D0AA6">
        <w:rPr>
          <w:rFonts w:ascii="Cambria" w:eastAsia="Aptos" w:hAnsi="Cambria" w:cs="Arial"/>
          <w:sz w:val="20"/>
          <w:szCs w:val="20"/>
        </w:rPr>
        <w:t xml:space="preserve">En l'absence de preuves scientifiques telles que définies au </w:t>
      </w:r>
      <w:r w:rsidR="00790254" w:rsidRPr="007D0AA6">
        <w:rPr>
          <w:rFonts w:ascii="Cambria" w:eastAsia="Aptos" w:hAnsi="Cambria" w:cs="Arial"/>
          <w:sz w:val="20"/>
          <w:szCs w:val="20"/>
        </w:rPr>
        <w:t xml:space="preserve">paragraphe </w:t>
      </w:r>
      <w:r w:rsidRPr="007D0AA6">
        <w:rPr>
          <w:rFonts w:ascii="Cambria" w:eastAsia="Aptos" w:hAnsi="Cambria" w:cs="Arial"/>
          <w:sz w:val="20"/>
          <w:szCs w:val="20"/>
        </w:rPr>
        <w:t xml:space="preserve">2 ou si le SCRS détermine que ces preuves « apparentes » ne justifient plus une exemption, le SCRS </w:t>
      </w:r>
      <w:r w:rsidR="00790254" w:rsidRPr="007D0AA6">
        <w:rPr>
          <w:rFonts w:ascii="Cambria" w:eastAsia="Aptos" w:hAnsi="Cambria" w:cs="Arial"/>
          <w:sz w:val="20"/>
          <w:szCs w:val="20"/>
        </w:rPr>
        <w:t>devra annuler</w:t>
      </w:r>
      <w:r w:rsidRPr="007D0AA6">
        <w:rPr>
          <w:rFonts w:ascii="Cambria" w:eastAsia="Aptos" w:hAnsi="Cambria" w:cs="Arial"/>
          <w:sz w:val="20"/>
          <w:szCs w:val="20"/>
        </w:rPr>
        <w:t xml:space="preserve"> le statut d'exemption.</w:t>
      </w:r>
    </w:p>
    <w:p w14:paraId="16DE1119" w14:textId="77777777" w:rsidR="00E54F78" w:rsidRPr="007D0AA6" w:rsidRDefault="00E54F78" w:rsidP="00E54F78">
      <w:pPr>
        <w:spacing w:after="0" w:line="240" w:lineRule="auto"/>
        <w:ind w:left="720"/>
        <w:contextualSpacing/>
        <w:jc w:val="center"/>
        <w:rPr>
          <w:rFonts w:ascii="Cambria" w:eastAsia="Aptos" w:hAnsi="Cambria" w:cs="Arial"/>
          <w:sz w:val="20"/>
          <w:szCs w:val="20"/>
        </w:rPr>
      </w:pPr>
    </w:p>
    <w:p w14:paraId="6042A6F9" w14:textId="5804384F" w:rsidR="00E54F78" w:rsidRPr="007D0AA6" w:rsidRDefault="00E54F78" w:rsidP="005A42C7">
      <w:pPr>
        <w:numPr>
          <w:ilvl w:val="0"/>
          <w:numId w:val="44"/>
        </w:numPr>
        <w:spacing w:after="0" w:line="240" w:lineRule="auto"/>
        <w:ind w:left="426" w:hanging="426"/>
        <w:jc w:val="both"/>
        <w:rPr>
          <w:rFonts w:ascii="Cambria" w:eastAsia="Aptos" w:hAnsi="Cambria" w:cs="Arial"/>
          <w:sz w:val="20"/>
          <w:szCs w:val="20"/>
        </w:rPr>
      </w:pPr>
      <w:r w:rsidRPr="007D0AA6">
        <w:rPr>
          <w:rFonts w:ascii="Cambria" w:eastAsia="Aptos" w:hAnsi="Cambria" w:cs="Arial"/>
          <w:sz w:val="20"/>
          <w:szCs w:val="20"/>
        </w:rPr>
        <w:t>La feuille de contrôle s'appliquant aux requins devrait être modifiée afin de refléter la confirmation de l'exemption par le SCRS. La rangée ci-dessous concernant l’exemption doit figurer en premier dans la feuille de contrôle s'appliquant aux requins</w:t>
      </w:r>
      <w:r w:rsidR="00E107E4" w:rsidRPr="007D0AA6">
        <w:rPr>
          <w:rFonts w:ascii="Cambria" w:eastAsia="Aptos" w:hAnsi="Cambria" w:cs="Arial"/>
          <w:sz w:val="20"/>
          <w:szCs w:val="20"/>
        </w:rPr>
        <w:t> :</w:t>
      </w:r>
    </w:p>
    <w:p w14:paraId="780C95D1" w14:textId="77777777" w:rsidR="00E54F78" w:rsidRPr="007D0AA6" w:rsidRDefault="00E54F78" w:rsidP="00E54F78">
      <w:pPr>
        <w:spacing w:after="0" w:line="240" w:lineRule="auto"/>
        <w:jc w:val="both"/>
        <w:rPr>
          <w:rFonts w:ascii="Cambria" w:eastAsia="Aptos" w:hAnsi="Cambria" w:cs="Arial"/>
          <w:sz w:val="20"/>
          <w:szCs w:val="20"/>
        </w:rPr>
      </w:pPr>
    </w:p>
    <w:tbl>
      <w:tblPr>
        <w:tblW w:w="5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154"/>
        <w:gridCol w:w="1054"/>
        <w:gridCol w:w="1777"/>
        <w:gridCol w:w="752"/>
        <w:gridCol w:w="1669"/>
        <w:gridCol w:w="1481"/>
      </w:tblGrid>
      <w:tr w:rsidR="0083358F" w:rsidRPr="007D0AA6" w14:paraId="0617C26F" w14:textId="77777777" w:rsidTr="0083358F">
        <w:trPr>
          <w:trHeight w:val="1659"/>
          <w:tblHeader/>
          <w:jc w:val="center"/>
        </w:trPr>
        <w:tc>
          <w:tcPr>
            <w:tcW w:w="873" w:type="pct"/>
            <w:shd w:val="clear" w:color="auto" w:fill="F2F2F2"/>
            <w:noWrap/>
            <w:vAlign w:val="center"/>
            <w:hideMark/>
          </w:tcPr>
          <w:p w14:paraId="367E64FA" w14:textId="782EBB2A" w:rsidR="00E54F78" w:rsidRPr="007D0AA6" w:rsidRDefault="00E54F78" w:rsidP="00E54F78">
            <w:pPr>
              <w:spacing w:after="0" w:line="240" w:lineRule="auto"/>
              <w:jc w:val="both"/>
              <w:rPr>
                <w:rFonts w:ascii="Cambria" w:eastAsia="Times New Roman" w:hAnsi="Cambria" w:cs="Calibri"/>
                <w:b/>
                <w:bCs/>
                <w:i/>
                <w:color w:val="000000"/>
                <w:sz w:val="18"/>
                <w:szCs w:val="18"/>
              </w:rPr>
            </w:pPr>
            <w:r w:rsidRPr="007D0AA6">
              <w:rPr>
                <w:rFonts w:ascii="Cambria" w:eastAsia="Aptos" w:hAnsi="Cambria" w:cs="Arial"/>
                <w:b/>
                <w:i/>
                <w:color w:val="000000"/>
                <w:sz w:val="18"/>
                <w:szCs w:val="18"/>
              </w:rPr>
              <w:t>N° de la Rec.</w:t>
            </w:r>
            <w:r w:rsidR="008B1297" w:rsidRPr="007D0AA6">
              <w:rPr>
                <w:rFonts w:ascii="Cambria" w:eastAsia="Aptos" w:hAnsi="Cambria" w:cs="Arial"/>
                <w:b/>
                <w:i/>
                <w:color w:val="000000"/>
                <w:sz w:val="18"/>
                <w:szCs w:val="18"/>
              </w:rPr>
              <w:t>/espèces</w:t>
            </w:r>
          </w:p>
        </w:tc>
        <w:tc>
          <w:tcPr>
            <w:tcW w:w="606" w:type="pct"/>
            <w:shd w:val="clear" w:color="auto" w:fill="F2F2F2"/>
            <w:noWrap/>
            <w:vAlign w:val="center"/>
            <w:hideMark/>
          </w:tcPr>
          <w:p w14:paraId="29F49021" w14:textId="77777777" w:rsidR="00E54F78" w:rsidRPr="007D0AA6" w:rsidRDefault="00E54F78" w:rsidP="00E54F78">
            <w:pPr>
              <w:spacing w:after="0" w:line="240" w:lineRule="auto"/>
              <w:jc w:val="center"/>
              <w:rPr>
                <w:rFonts w:ascii="Cambria" w:eastAsia="Times New Roman" w:hAnsi="Cambria" w:cs="Calibri"/>
                <w:b/>
                <w:bCs/>
                <w:i/>
                <w:color w:val="000000"/>
                <w:sz w:val="18"/>
                <w:szCs w:val="18"/>
              </w:rPr>
            </w:pPr>
            <w:r w:rsidRPr="007D0AA6">
              <w:rPr>
                <w:rFonts w:ascii="Cambria" w:eastAsia="Aptos" w:hAnsi="Cambria" w:cs="Arial"/>
                <w:b/>
                <w:i/>
                <w:color w:val="000000"/>
                <w:sz w:val="18"/>
                <w:szCs w:val="18"/>
              </w:rPr>
              <w:t>Nº du para</w:t>
            </w:r>
          </w:p>
        </w:tc>
        <w:tc>
          <w:tcPr>
            <w:tcW w:w="555" w:type="pct"/>
            <w:shd w:val="clear" w:color="auto" w:fill="F2F2F2"/>
            <w:vAlign w:val="center"/>
          </w:tcPr>
          <w:p w14:paraId="264A1C81" w14:textId="77777777" w:rsidR="00E54F78" w:rsidRPr="007D0AA6" w:rsidRDefault="00E54F78" w:rsidP="00E54F78">
            <w:pPr>
              <w:spacing w:after="0" w:line="240" w:lineRule="auto"/>
              <w:jc w:val="center"/>
              <w:rPr>
                <w:rFonts w:ascii="Cambria" w:eastAsia="Times New Roman" w:hAnsi="Cambria" w:cs="Calibri"/>
                <w:b/>
                <w:bCs/>
                <w:i/>
                <w:color w:val="000000"/>
                <w:sz w:val="18"/>
                <w:szCs w:val="18"/>
              </w:rPr>
            </w:pPr>
            <w:r w:rsidRPr="007D0AA6">
              <w:rPr>
                <w:rFonts w:ascii="Cambria" w:eastAsia="Aptos" w:hAnsi="Cambria" w:cs="Arial"/>
                <w:b/>
                <w:i/>
                <w:color w:val="000000"/>
                <w:sz w:val="18"/>
                <w:szCs w:val="18"/>
              </w:rPr>
              <w:t>Antérieur</w:t>
            </w:r>
          </w:p>
        </w:tc>
        <w:tc>
          <w:tcPr>
            <w:tcW w:w="924" w:type="pct"/>
            <w:shd w:val="clear" w:color="auto" w:fill="F2F2F2"/>
            <w:noWrap/>
            <w:vAlign w:val="center"/>
            <w:hideMark/>
          </w:tcPr>
          <w:p w14:paraId="04344487" w14:textId="77777777" w:rsidR="00E54F78" w:rsidRPr="007D0AA6" w:rsidRDefault="00E54F78" w:rsidP="00E54F78">
            <w:pPr>
              <w:spacing w:after="0" w:line="240" w:lineRule="auto"/>
              <w:jc w:val="center"/>
              <w:rPr>
                <w:rFonts w:ascii="Cambria" w:eastAsia="Times New Roman" w:hAnsi="Cambria" w:cs="Calibri"/>
                <w:b/>
                <w:bCs/>
                <w:i/>
                <w:color w:val="000000"/>
                <w:sz w:val="18"/>
                <w:szCs w:val="18"/>
              </w:rPr>
            </w:pPr>
            <w:r w:rsidRPr="007D0AA6">
              <w:rPr>
                <w:rFonts w:ascii="Cambria" w:eastAsia="Aptos" w:hAnsi="Cambria" w:cs="Arial"/>
                <w:b/>
                <w:i/>
                <w:color w:val="000000"/>
                <w:sz w:val="18"/>
                <w:szCs w:val="18"/>
              </w:rPr>
              <w:t>Exigence</w:t>
            </w:r>
          </w:p>
        </w:tc>
        <w:tc>
          <w:tcPr>
            <w:tcW w:w="400" w:type="pct"/>
            <w:shd w:val="clear" w:color="auto" w:fill="F2F2F2"/>
            <w:vAlign w:val="center"/>
            <w:hideMark/>
          </w:tcPr>
          <w:p w14:paraId="6435A357" w14:textId="77777777" w:rsidR="00E54F78" w:rsidRPr="007D0AA6" w:rsidRDefault="00E54F78" w:rsidP="00E54F78">
            <w:pPr>
              <w:spacing w:after="0" w:line="240" w:lineRule="auto"/>
              <w:jc w:val="center"/>
              <w:rPr>
                <w:rFonts w:ascii="Cambria" w:eastAsia="Times New Roman" w:hAnsi="Cambria" w:cs="Calibri"/>
                <w:b/>
                <w:bCs/>
                <w:i/>
                <w:color w:val="000000"/>
                <w:sz w:val="18"/>
                <w:szCs w:val="18"/>
              </w:rPr>
            </w:pPr>
            <w:r w:rsidRPr="007D0AA6">
              <w:rPr>
                <w:rFonts w:ascii="Cambria" w:eastAsia="Aptos" w:hAnsi="Cambria" w:cs="Arial"/>
                <w:b/>
                <w:i/>
                <w:color w:val="000000"/>
                <w:sz w:val="18"/>
                <w:szCs w:val="18"/>
              </w:rPr>
              <w:t>État de mise en œuvre</w:t>
            </w:r>
          </w:p>
        </w:tc>
        <w:tc>
          <w:tcPr>
            <w:tcW w:w="869" w:type="pct"/>
            <w:shd w:val="clear" w:color="auto" w:fill="F2F2F2"/>
          </w:tcPr>
          <w:p w14:paraId="78C83890" w14:textId="77777777" w:rsidR="00E54F78" w:rsidRPr="007D0AA6" w:rsidRDefault="00E54F78" w:rsidP="00E54F78">
            <w:pPr>
              <w:spacing w:after="0" w:line="240" w:lineRule="auto"/>
              <w:jc w:val="center"/>
              <w:rPr>
                <w:rFonts w:ascii="Cambria" w:eastAsia="Times New Roman" w:hAnsi="Cambria" w:cs="Calibri"/>
                <w:b/>
                <w:bCs/>
                <w:i/>
                <w:color w:val="000000"/>
                <w:sz w:val="18"/>
                <w:szCs w:val="18"/>
              </w:rPr>
            </w:pPr>
            <w:r w:rsidRPr="007D0AA6">
              <w:rPr>
                <w:rFonts w:ascii="Cambria" w:eastAsia="Aptos" w:hAnsi="Cambria" w:cs="Arial"/>
                <w:b/>
                <w:i/>
                <w:color w:val="000000"/>
                <w:sz w:val="18"/>
                <w:szCs w:val="18"/>
              </w:rPr>
              <w:t>Lois ou réglementations nationales pertinentes (le cas échéant, inclure texte, références ou les liens vers l'endroit où l’information est codifiée)</w:t>
            </w:r>
          </w:p>
        </w:tc>
        <w:tc>
          <w:tcPr>
            <w:tcW w:w="773" w:type="pct"/>
            <w:shd w:val="clear" w:color="auto" w:fill="F2F2F2"/>
            <w:vAlign w:val="center"/>
            <w:hideMark/>
          </w:tcPr>
          <w:p w14:paraId="342EE519" w14:textId="77777777" w:rsidR="00E54F78" w:rsidRPr="007D0AA6" w:rsidRDefault="00E54F78" w:rsidP="00E54F78">
            <w:pPr>
              <w:spacing w:after="0" w:line="240" w:lineRule="auto"/>
              <w:jc w:val="center"/>
              <w:rPr>
                <w:rFonts w:ascii="Cambria" w:eastAsia="Times New Roman" w:hAnsi="Cambria" w:cs="Calibri"/>
                <w:b/>
                <w:bCs/>
                <w:i/>
                <w:color w:val="000000"/>
                <w:sz w:val="18"/>
                <w:szCs w:val="18"/>
              </w:rPr>
            </w:pPr>
            <w:r w:rsidRPr="007D0AA6">
              <w:rPr>
                <w:rFonts w:ascii="Cambria" w:eastAsia="Aptos" w:hAnsi="Cambria" w:cs="Arial"/>
                <w:b/>
                <w:i/>
                <w:color w:val="000000"/>
                <w:sz w:val="18"/>
                <w:szCs w:val="18"/>
              </w:rPr>
              <w:t>Note</w:t>
            </w:r>
          </w:p>
        </w:tc>
      </w:tr>
      <w:tr w:rsidR="0083358F" w:rsidRPr="00CE50A4" w14:paraId="6BBFD11B" w14:textId="77777777" w:rsidTr="0083358F">
        <w:trPr>
          <w:trHeight w:val="1523"/>
          <w:jc w:val="center"/>
        </w:trPr>
        <w:tc>
          <w:tcPr>
            <w:tcW w:w="873" w:type="pct"/>
            <w:noWrap/>
            <w:vAlign w:val="center"/>
          </w:tcPr>
          <w:p w14:paraId="3E1938EF" w14:textId="024F5FD3" w:rsidR="00E54F78" w:rsidRPr="007D0AA6" w:rsidRDefault="00AC454E" w:rsidP="00E54F78">
            <w:pPr>
              <w:spacing w:after="0" w:line="240" w:lineRule="auto"/>
              <w:jc w:val="center"/>
              <w:rPr>
                <w:rFonts w:ascii="Cambria" w:eastAsia="Times New Roman" w:hAnsi="Cambria" w:cs="Calibri"/>
                <w:b/>
                <w:bCs/>
                <w:color w:val="000000"/>
                <w:sz w:val="18"/>
                <w:szCs w:val="18"/>
              </w:rPr>
            </w:pPr>
            <w:r w:rsidRPr="007D0AA6">
              <w:rPr>
                <w:rFonts w:ascii="Cambria" w:eastAsia="Aptos" w:hAnsi="Cambria" w:cs="Arial"/>
                <w:b/>
                <w:color w:val="000000"/>
                <w:sz w:val="18"/>
                <w:szCs w:val="18"/>
              </w:rPr>
              <w:t>25</w:t>
            </w:r>
            <w:r w:rsidR="00E54F78" w:rsidRPr="007D0AA6">
              <w:rPr>
                <w:rFonts w:ascii="Cambria" w:eastAsia="Aptos" w:hAnsi="Cambria" w:cs="Arial"/>
                <w:b/>
                <w:color w:val="000000"/>
                <w:sz w:val="18"/>
                <w:szCs w:val="18"/>
              </w:rPr>
              <w:t>-</w:t>
            </w:r>
            <w:r w:rsidRPr="007D0AA6">
              <w:rPr>
                <w:rFonts w:ascii="Cambria" w:eastAsia="Aptos" w:hAnsi="Cambria" w:cs="Arial"/>
                <w:b/>
                <w:color w:val="000000"/>
                <w:sz w:val="18"/>
                <w:szCs w:val="18"/>
              </w:rPr>
              <w:t>xx</w:t>
            </w:r>
          </w:p>
          <w:p w14:paraId="68A9FB78" w14:textId="77777777" w:rsidR="00E54F78" w:rsidRPr="007D0AA6" w:rsidRDefault="00E54F78" w:rsidP="00E54F78">
            <w:pPr>
              <w:spacing w:after="0" w:line="240" w:lineRule="auto"/>
              <w:jc w:val="center"/>
              <w:rPr>
                <w:rFonts w:ascii="Cambria" w:eastAsia="Times New Roman" w:hAnsi="Cambria" w:cs="Calibri"/>
                <w:b/>
                <w:bCs/>
                <w:color w:val="000000"/>
                <w:sz w:val="18"/>
                <w:szCs w:val="18"/>
              </w:rPr>
            </w:pPr>
            <w:r w:rsidRPr="007D0AA6">
              <w:rPr>
                <w:rFonts w:ascii="Cambria" w:eastAsia="Aptos" w:hAnsi="Cambria" w:cs="Arial"/>
                <w:b/>
                <w:color w:val="000000"/>
                <w:sz w:val="18"/>
                <w:szCs w:val="18"/>
              </w:rPr>
              <w:t>(Tous les requins)</w:t>
            </w:r>
          </w:p>
        </w:tc>
        <w:tc>
          <w:tcPr>
            <w:tcW w:w="606" w:type="pct"/>
            <w:noWrap/>
            <w:vAlign w:val="center"/>
          </w:tcPr>
          <w:p w14:paraId="5C2111D8" w14:textId="662457D7" w:rsidR="00E54F78" w:rsidRPr="007D0AA6" w:rsidRDefault="00AC454E" w:rsidP="00E54F78">
            <w:pPr>
              <w:spacing w:after="0" w:line="240" w:lineRule="auto"/>
              <w:jc w:val="center"/>
              <w:rPr>
                <w:rFonts w:ascii="Cambria" w:eastAsia="Times New Roman" w:hAnsi="Cambria" w:cs="Calibri"/>
                <w:b/>
                <w:bCs/>
                <w:color w:val="000000"/>
                <w:sz w:val="18"/>
                <w:szCs w:val="18"/>
              </w:rPr>
            </w:pPr>
            <w:r w:rsidRPr="007D0AA6">
              <w:rPr>
                <w:rFonts w:ascii="Cambria" w:eastAsia="Aptos" w:hAnsi="Cambria" w:cs="Arial"/>
                <w:b/>
                <w:color w:val="000000"/>
                <w:sz w:val="18"/>
                <w:szCs w:val="18"/>
              </w:rPr>
              <w:t>Nº</w:t>
            </w:r>
          </w:p>
        </w:tc>
        <w:tc>
          <w:tcPr>
            <w:tcW w:w="555" w:type="pct"/>
            <w:vAlign w:val="center"/>
          </w:tcPr>
          <w:p w14:paraId="7BB670D8" w14:textId="33CF43D4" w:rsidR="00E54F78" w:rsidRPr="007D0AA6" w:rsidRDefault="00E54F78" w:rsidP="00E54F78">
            <w:pPr>
              <w:spacing w:after="0" w:line="240" w:lineRule="auto"/>
              <w:jc w:val="center"/>
              <w:rPr>
                <w:rFonts w:ascii="Cambria" w:eastAsia="Times New Roman" w:hAnsi="Cambria" w:cs="Calibri"/>
                <w:color w:val="000000"/>
                <w:sz w:val="18"/>
                <w:szCs w:val="18"/>
              </w:rPr>
            </w:pPr>
            <w:r w:rsidRPr="007D0AA6">
              <w:rPr>
                <w:rFonts w:ascii="Cambria" w:eastAsia="Aptos" w:hAnsi="Cambria" w:cs="Arial"/>
                <w:color w:val="000000"/>
                <w:sz w:val="18"/>
                <w:szCs w:val="18"/>
              </w:rPr>
              <w:t>Aucun</w:t>
            </w:r>
          </w:p>
        </w:tc>
        <w:tc>
          <w:tcPr>
            <w:tcW w:w="924" w:type="pct"/>
            <w:vAlign w:val="center"/>
          </w:tcPr>
          <w:p w14:paraId="18221E11" w14:textId="20F4579A" w:rsidR="00E54F78" w:rsidRPr="007D0AA6" w:rsidRDefault="00E54F78" w:rsidP="00497421">
            <w:pPr>
              <w:spacing w:after="0" w:line="240" w:lineRule="auto"/>
              <w:jc w:val="both"/>
              <w:rPr>
                <w:rFonts w:ascii="Cambria" w:eastAsia="Times New Roman" w:hAnsi="Cambria" w:cs="Calibri"/>
                <w:sz w:val="18"/>
                <w:szCs w:val="18"/>
              </w:rPr>
            </w:pPr>
            <w:r w:rsidRPr="007D0AA6">
              <w:rPr>
                <w:rFonts w:ascii="Cambria" w:eastAsia="Aptos" w:hAnsi="Cambria" w:cs="Arial"/>
                <w:sz w:val="18"/>
                <w:szCs w:val="18"/>
              </w:rPr>
              <w:t>Les CPC pourraient être exemptées de la soumission de la feuille de contrôle s’il est peu probable que les navires battant leur pavillon capturent des espèces de requins couvertes par l</w:t>
            </w:r>
            <w:r w:rsidR="00B279B0" w:rsidRPr="007D0AA6">
              <w:rPr>
                <w:rFonts w:ascii="Cambria" w:eastAsia="Aptos" w:hAnsi="Cambria" w:cs="Arial"/>
                <w:sz w:val="18"/>
                <w:szCs w:val="18"/>
              </w:rPr>
              <w:t xml:space="preserve">a </w:t>
            </w:r>
            <w:r w:rsidR="00497421" w:rsidRPr="007D0AA6">
              <w:rPr>
                <w:rFonts w:ascii="Cambria" w:eastAsia="Aptos" w:hAnsi="Cambria" w:cs="Arial"/>
                <w:sz w:val="18"/>
                <w:szCs w:val="18"/>
              </w:rPr>
              <w:t>cette</w:t>
            </w:r>
            <w:r w:rsidR="00B279B0" w:rsidRPr="007D0AA6">
              <w:rPr>
                <w:rFonts w:ascii="Cambria" w:eastAsia="Aptos" w:hAnsi="Cambria" w:cs="Arial"/>
                <w:sz w:val="18"/>
                <w:szCs w:val="18"/>
              </w:rPr>
              <w:t xml:space="preserve"> Recommandation et les Recommandations </w:t>
            </w:r>
            <w:r w:rsidR="006C2806" w:rsidRPr="007D0AA6">
              <w:rPr>
                <w:rFonts w:ascii="Cambria" w:eastAsia="Aptos" w:hAnsi="Cambria" w:cs="Arial"/>
                <w:sz w:val="18"/>
                <w:szCs w:val="18"/>
              </w:rPr>
              <w:t>identifiées</w:t>
            </w:r>
            <w:r w:rsidR="00B279B0" w:rsidRPr="007D0AA6">
              <w:rPr>
                <w:rFonts w:ascii="Cambria" w:eastAsia="Aptos" w:hAnsi="Cambria" w:cs="Arial"/>
                <w:sz w:val="18"/>
                <w:szCs w:val="18"/>
              </w:rPr>
              <w:t xml:space="preserve"> au paragraphe 17 de la cette Recommandation</w:t>
            </w:r>
            <w:r w:rsidR="00497421" w:rsidRPr="007D0AA6">
              <w:rPr>
                <w:rFonts w:ascii="Cambria" w:eastAsia="Aptos" w:hAnsi="Cambria" w:cs="Arial"/>
                <w:sz w:val="18"/>
                <w:szCs w:val="18"/>
              </w:rPr>
              <w:t xml:space="preserve"> </w:t>
            </w:r>
            <w:r w:rsidRPr="007D0AA6">
              <w:rPr>
                <w:rFonts w:ascii="Cambria" w:eastAsia="Aptos" w:hAnsi="Cambria" w:cs="Arial"/>
                <w:sz w:val="18"/>
                <w:szCs w:val="18"/>
              </w:rPr>
              <w:t>à condition qu’elles obtiennent confirmation du Groupe d’espèces sur les requins par le biais des données nécessaires soumises à cet effet par les CPC.</w:t>
            </w:r>
          </w:p>
        </w:tc>
        <w:tc>
          <w:tcPr>
            <w:tcW w:w="400" w:type="pct"/>
            <w:vAlign w:val="center"/>
          </w:tcPr>
          <w:p w14:paraId="6FE82D5E" w14:textId="77777777" w:rsidR="00E54F78" w:rsidRPr="007D0AA6" w:rsidRDefault="00E54F78" w:rsidP="00E54F78">
            <w:pPr>
              <w:spacing w:after="0" w:line="240" w:lineRule="auto"/>
              <w:jc w:val="center"/>
              <w:rPr>
                <w:rFonts w:ascii="Cambria" w:eastAsia="Times New Roman" w:hAnsi="Cambria" w:cs="Calibri"/>
                <w:sz w:val="18"/>
                <w:szCs w:val="18"/>
              </w:rPr>
            </w:pPr>
            <w:r w:rsidRPr="007D0AA6">
              <w:rPr>
                <w:rFonts w:ascii="Cambria" w:eastAsia="Aptos" w:hAnsi="Cambria" w:cs="Arial"/>
                <w:sz w:val="18"/>
                <w:szCs w:val="18"/>
              </w:rPr>
              <w:t>Oui ou non</w:t>
            </w:r>
          </w:p>
        </w:tc>
        <w:tc>
          <w:tcPr>
            <w:tcW w:w="869" w:type="pct"/>
            <w:vAlign w:val="center"/>
          </w:tcPr>
          <w:p w14:paraId="39215C05" w14:textId="0956088C" w:rsidR="007A56CE" w:rsidRPr="007D0AA6" w:rsidRDefault="007A56CE" w:rsidP="007A56CE">
            <w:pPr>
              <w:spacing w:after="0" w:line="240" w:lineRule="auto"/>
              <w:jc w:val="center"/>
              <w:rPr>
                <w:rFonts w:ascii="Cambria" w:eastAsia="Calibri" w:hAnsi="Cambria" w:cs="Times New Roman"/>
                <w:kern w:val="0"/>
                <w:sz w:val="18"/>
                <w:szCs w:val="18"/>
                <w14:ligatures w14:val="none"/>
              </w:rPr>
            </w:pPr>
            <w:r w:rsidRPr="007D0AA6">
              <w:rPr>
                <w:rFonts w:ascii="Cambria" w:eastAsia="Aptos" w:hAnsi="Cambria" w:cs="Arial"/>
                <w:color w:val="000000"/>
                <w:sz w:val="18"/>
                <w:szCs w:val="18"/>
              </w:rPr>
              <w:t>XXX</w:t>
            </w:r>
          </w:p>
        </w:tc>
        <w:tc>
          <w:tcPr>
            <w:tcW w:w="773" w:type="pct"/>
            <w:vAlign w:val="center"/>
          </w:tcPr>
          <w:p w14:paraId="4FD402CF" w14:textId="77777777" w:rsidR="00E54F78" w:rsidRPr="007D0AA6" w:rsidRDefault="00E54F78" w:rsidP="00E54F78">
            <w:pPr>
              <w:spacing w:after="0" w:line="240" w:lineRule="auto"/>
              <w:jc w:val="center"/>
              <w:rPr>
                <w:rFonts w:ascii="Cambria" w:eastAsia="Times New Roman" w:hAnsi="Cambria" w:cs="Calibri"/>
                <w:sz w:val="18"/>
                <w:szCs w:val="18"/>
              </w:rPr>
            </w:pPr>
            <w:r w:rsidRPr="007D0AA6">
              <w:rPr>
                <w:rFonts w:ascii="Cambria" w:eastAsia="Aptos" w:hAnsi="Cambria" w:cs="Arial"/>
                <w:sz w:val="18"/>
                <w:szCs w:val="18"/>
              </w:rPr>
              <w:t>Si « non », la feuille de contrôle s’appliquant aux requins doit être entièrement complétée.</w:t>
            </w:r>
          </w:p>
          <w:p w14:paraId="137C949F" w14:textId="77777777" w:rsidR="00E54F78" w:rsidRPr="007D0AA6" w:rsidRDefault="00E54F78" w:rsidP="00E54F78">
            <w:pPr>
              <w:spacing w:after="0" w:line="240" w:lineRule="auto"/>
              <w:jc w:val="center"/>
              <w:rPr>
                <w:rFonts w:ascii="Cambria" w:eastAsia="Times New Roman" w:hAnsi="Cambria" w:cs="Calibri"/>
                <w:sz w:val="18"/>
                <w:szCs w:val="18"/>
              </w:rPr>
            </w:pPr>
          </w:p>
          <w:p w14:paraId="2D5E4DF0" w14:textId="77777777" w:rsidR="00E54F78" w:rsidRPr="007D0AA6" w:rsidRDefault="00E54F78" w:rsidP="00E54F78">
            <w:pPr>
              <w:spacing w:after="0" w:line="240" w:lineRule="auto"/>
              <w:jc w:val="center"/>
              <w:rPr>
                <w:rFonts w:ascii="Cambria" w:eastAsia="Times New Roman" w:hAnsi="Cambria" w:cs="Calibri"/>
                <w:sz w:val="18"/>
                <w:szCs w:val="18"/>
              </w:rPr>
            </w:pPr>
            <w:r w:rsidRPr="007D0AA6">
              <w:rPr>
                <w:rFonts w:ascii="Cambria" w:eastAsia="Aptos" w:hAnsi="Cambria" w:cs="Arial"/>
                <w:sz w:val="18"/>
                <w:szCs w:val="18"/>
              </w:rPr>
              <w:t>Si « oui », indiquer la date de réception de l’exemption ou la date de la demande.</w:t>
            </w:r>
          </w:p>
          <w:p w14:paraId="15E0B02E" w14:textId="77777777" w:rsidR="00E54F78" w:rsidRPr="007D0AA6" w:rsidRDefault="00E54F78" w:rsidP="00E54F78">
            <w:pPr>
              <w:spacing w:after="0" w:line="240" w:lineRule="auto"/>
              <w:jc w:val="center"/>
              <w:rPr>
                <w:rFonts w:ascii="Cambria" w:eastAsia="Times New Roman" w:hAnsi="Cambria" w:cs="Calibri"/>
                <w:sz w:val="18"/>
                <w:szCs w:val="18"/>
              </w:rPr>
            </w:pPr>
          </w:p>
          <w:p w14:paraId="67D38CD5" w14:textId="77777777" w:rsidR="00E54F78" w:rsidRPr="007D0AA6" w:rsidRDefault="00E54F78" w:rsidP="00E54F78">
            <w:pPr>
              <w:spacing w:after="0" w:line="240" w:lineRule="auto"/>
              <w:jc w:val="center"/>
              <w:rPr>
                <w:rFonts w:ascii="Cambria" w:eastAsia="Times New Roman" w:hAnsi="Cambria" w:cs="Calibri"/>
                <w:sz w:val="18"/>
                <w:szCs w:val="18"/>
              </w:rPr>
            </w:pPr>
            <w:r w:rsidRPr="007D0AA6">
              <w:rPr>
                <w:rFonts w:ascii="Cambria" w:eastAsia="Aptos" w:hAnsi="Cambria" w:cs="Arial"/>
                <w:sz w:val="18"/>
                <w:szCs w:val="18"/>
              </w:rPr>
              <w:t>Si « oui », indiquer également s’il s’agit d’une exemption complète ou partielle.</w:t>
            </w:r>
          </w:p>
          <w:p w14:paraId="39CEA318" w14:textId="77777777" w:rsidR="00E54F78" w:rsidRPr="007D0AA6" w:rsidRDefault="00E54F78" w:rsidP="00E54F78">
            <w:pPr>
              <w:spacing w:after="0" w:line="240" w:lineRule="auto"/>
              <w:jc w:val="center"/>
              <w:rPr>
                <w:rFonts w:ascii="Cambria" w:eastAsia="Times New Roman" w:hAnsi="Cambria" w:cs="Calibri"/>
                <w:sz w:val="18"/>
                <w:szCs w:val="18"/>
              </w:rPr>
            </w:pPr>
          </w:p>
          <w:p w14:paraId="47538FC8" w14:textId="77777777" w:rsidR="00E54F78" w:rsidRPr="00CE50A4" w:rsidRDefault="00E54F78" w:rsidP="00E54F78">
            <w:pPr>
              <w:spacing w:after="0" w:line="240" w:lineRule="auto"/>
              <w:jc w:val="center"/>
              <w:rPr>
                <w:rFonts w:ascii="Cambria" w:eastAsia="Times New Roman" w:hAnsi="Cambria" w:cs="Calibri"/>
                <w:sz w:val="18"/>
                <w:szCs w:val="18"/>
              </w:rPr>
            </w:pPr>
            <w:r w:rsidRPr="007D0AA6">
              <w:rPr>
                <w:rFonts w:ascii="Cambria" w:eastAsia="Aptos" w:hAnsi="Cambria" w:cs="Arial"/>
                <w:sz w:val="18"/>
                <w:szCs w:val="18"/>
              </w:rPr>
              <w:t>En cas d'exemption partielle, indiquer l'exemption dans chaque champ de la Rec.</w:t>
            </w:r>
          </w:p>
        </w:tc>
      </w:tr>
    </w:tbl>
    <w:p w14:paraId="7E380C9B" w14:textId="77777777" w:rsidR="00E54F78" w:rsidRPr="00FD7597" w:rsidRDefault="00E54F78" w:rsidP="007B049A">
      <w:pPr>
        <w:spacing w:after="0" w:line="240" w:lineRule="auto"/>
        <w:rPr>
          <w:rFonts w:ascii="Cambria" w:eastAsia="Cambria" w:hAnsi="Cambria" w:cs="Cambria"/>
          <w:sz w:val="20"/>
          <w:szCs w:val="20"/>
        </w:rPr>
      </w:pPr>
    </w:p>
    <w:sectPr w:rsidR="00E54F78" w:rsidRPr="00FD7597" w:rsidSect="006C2806">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B295" w14:textId="77777777" w:rsidR="00077E8A" w:rsidRDefault="00077E8A" w:rsidP="00B84EAF">
      <w:pPr>
        <w:spacing w:after="0" w:line="240" w:lineRule="auto"/>
      </w:pPr>
      <w:r>
        <w:separator/>
      </w:r>
    </w:p>
  </w:endnote>
  <w:endnote w:type="continuationSeparator" w:id="0">
    <w:p w14:paraId="2BCA4FC9" w14:textId="77777777" w:rsidR="00077E8A" w:rsidRDefault="00077E8A" w:rsidP="00B8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7DD5" w14:textId="77777777" w:rsidR="00D21AA0" w:rsidRPr="00D21AA0" w:rsidRDefault="00D21AA0" w:rsidP="00D21AA0">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D21AA0">
      <w:rPr>
        <w:rFonts w:ascii="Cambria" w:eastAsia="Calibri" w:hAnsi="Cambria" w:cs="Calibri"/>
        <w:sz w:val="20"/>
      </w:rPr>
      <w:fldChar w:fldCharType="begin"/>
    </w:r>
    <w:r w:rsidRPr="00D21AA0">
      <w:rPr>
        <w:rFonts w:ascii="Cambria" w:eastAsia="Calibri" w:hAnsi="Cambria" w:cs="Calibri"/>
        <w:sz w:val="20"/>
      </w:rPr>
      <w:instrText xml:space="preserve"> PAGE </w:instrText>
    </w:r>
    <w:r w:rsidRPr="00D21AA0">
      <w:rPr>
        <w:rFonts w:ascii="Cambria" w:eastAsia="Calibri" w:hAnsi="Cambria" w:cs="Calibri"/>
        <w:sz w:val="20"/>
      </w:rPr>
      <w:fldChar w:fldCharType="separate"/>
    </w:r>
    <w:r w:rsidRPr="00D21AA0">
      <w:rPr>
        <w:rFonts w:ascii="Cambria" w:eastAsia="Calibri" w:hAnsi="Cambria" w:cs="Calibri"/>
        <w:sz w:val="20"/>
      </w:rPr>
      <w:t>1</w:t>
    </w:r>
    <w:r w:rsidRPr="00D21AA0">
      <w:rPr>
        <w:rFonts w:ascii="Cambria" w:eastAsia="Calibri" w:hAnsi="Cambria" w:cs="Calibri"/>
        <w:sz w:val="20"/>
      </w:rPr>
      <w:fldChar w:fldCharType="end"/>
    </w:r>
    <w:r>
      <w:rPr>
        <w:rFonts w:ascii="Cambria" w:hAnsi="Cambria"/>
        <w:sz w:val="20"/>
      </w:rPr>
      <w:t xml:space="preserve"> / </w:t>
    </w:r>
    <w:r w:rsidRPr="00D21AA0">
      <w:rPr>
        <w:rFonts w:ascii="Cambria" w:eastAsia="Calibri" w:hAnsi="Cambria" w:cs="Calibri"/>
        <w:sz w:val="20"/>
      </w:rPr>
      <w:fldChar w:fldCharType="begin"/>
    </w:r>
    <w:r w:rsidRPr="00D21AA0">
      <w:rPr>
        <w:rFonts w:ascii="Cambria" w:eastAsia="Calibri" w:hAnsi="Cambria" w:cs="Calibri"/>
        <w:sz w:val="20"/>
      </w:rPr>
      <w:instrText xml:space="preserve"> NUMPAGES  </w:instrText>
    </w:r>
    <w:r w:rsidRPr="00D21AA0">
      <w:rPr>
        <w:rFonts w:ascii="Cambria" w:eastAsia="Calibri" w:hAnsi="Cambria" w:cs="Calibri"/>
        <w:sz w:val="20"/>
      </w:rPr>
      <w:fldChar w:fldCharType="separate"/>
    </w:r>
    <w:r w:rsidRPr="00D21AA0">
      <w:rPr>
        <w:rFonts w:ascii="Cambria" w:eastAsia="Calibri" w:hAnsi="Cambria" w:cs="Calibri"/>
        <w:sz w:val="20"/>
      </w:rPr>
      <w:t>21</w:t>
    </w:r>
    <w:r w:rsidRPr="00D21AA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ACA8" w14:textId="77777777" w:rsidR="00077E8A" w:rsidRDefault="00077E8A" w:rsidP="00B84EAF">
      <w:pPr>
        <w:spacing w:after="0" w:line="240" w:lineRule="auto"/>
      </w:pPr>
      <w:r>
        <w:separator/>
      </w:r>
    </w:p>
  </w:footnote>
  <w:footnote w:type="continuationSeparator" w:id="0">
    <w:p w14:paraId="393B2C14" w14:textId="77777777" w:rsidR="00077E8A" w:rsidRDefault="00077E8A" w:rsidP="00B8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AD94" w14:textId="535BB9AA" w:rsidR="00D21AA0" w:rsidRPr="00D21AA0" w:rsidRDefault="00D21AA0" w:rsidP="00D21AA0">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PA4</w:t>
    </w:r>
    <w:bookmarkStart w:id="2" w:name="_Hlk107908354"/>
    <w:bookmarkStart w:id="3" w:name="_Hlk107908355"/>
    <w:bookmarkStart w:id="4" w:name="_Hlk107908359"/>
    <w:bookmarkStart w:id="5" w:name="_Hlk107908360"/>
    <w:bookmarkStart w:id="6" w:name="_Hlk107908361"/>
    <w:bookmarkStart w:id="7" w:name="_Hlk107908362"/>
    <w:r>
      <w:rPr>
        <w:rFonts w:ascii="Cambria" w:hAnsi="Cambria"/>
        <w:b/>
        <w:sz w:val="20"/>
      </w:rPr>
      <w:t>_80</w:t>
    </w:r>
    <w:r w:rsidR="00030D09">
      <w:rPr>
        <w:rFonts w:ascii="Cambria" w:hAnsi="Cambria"/>
        <w:b/>
        <w:sz w:val="20"/>
      </w:rPr>
      <w:t>8</w:t>
    </w:r>
    <w:r>
      <w:rPr>
        <w:rFonts w:ascii="Cambria" w:hAnsi="Cambria"/>
        <w:b/>
        <w:sz w:val="20"/>
      </w:rPr>
      <w:t>/202</w:t>
    </w:r>
    <w:r w:rsidR="00030D09">
      <w:rPr>
        <w:rFonts w:ascii="Cambria" w:hAnsi="Cambria"/>
        <w:b/>
        <w:sz w:val="20"/>
      </w:rPr>
      <w:t>5</w:t>
    </w:r>
  </w:p>
  <w:p w14:paraId="1D5BE7F3" w14:textId="62C527E3" w:rsidR="00D21AA0" w:rsidRPr="00D21AA0" w:rsidRDefault="00D21AA0" w:rsidP="00D21AA0">
    <w:pPr>
      <w:widowControl w:val="0"/>
      <w:tabs>
        <w:tab w:val="left" w:pos="7320"/>
      </w:tabs>
      <w:spacing w:after="0" w:line="240" w:lineRule="exact"/>
      <w:jc w:val="right"/>
      <w:rPr>
        <w:rFonts w:ascii="Cambria" w:eastAsia="Calibri" w:hAnsi="Cambria" w:cs="Times New Roman"/>
        <w:b/>
        <w:bCs/>
        <w:kern w:val="0"/>
        <w:sz w:val="16"/>
        <w:szCs w:val="16"/>
        <w14:ligatures w14:val="none"/>
      </w:rPr>
    </w:pPr>
    <w:r w:rsidRPr="00D21AA0">
      <w:rPr>
        <w:rFonts w:ascii="Cambria" w:eastAsia="Calibri" w:hAnsi="Cambria" w:cs="Times New Roman"/>
        <w:b/>
        <w:sz w:val="16"/>
      </w:rPr>
      <w:fldChar w:fldCharType="begin"/>
    </w:r>
    <w:r w:rsidRPr="00D21AA0">
      <w:rPr>
        <w:rFonts w:ascii="Cambria" w:eastAsia="Calibri" w:hAnsi="Cambria" w:cs="Times New Roman"/>
        <w:b/>
        <w:sz w:val="16"/>
      </w:rPr>
      <w:instrText xml:space="preserve"> TIME \@ "dd/MM/yyyy H:mm" </w:instrText>
    </w:r>
    <w:r w:rsidRPr="00D21AA0">
      <w:rPr>
        <w:rFonts w:ascii="Cambria" w:eastAsia="Calibri" w:hAnsi="Cambria" w:cs="Times New Roman"/>
        <w:b/>
        <w:sz w:val="16"/>
      </w:rPr>
      <w:fldChar w:fldCharType="separate"/>
    </w:r>
    <w:r w:rsidR="006B5C59">
      <w:rPr>
        <w:rFonts w:ascii="Cambria" w:eastAsia="Calibri" w:hAnsi="Cambria" w:cs="Times New Roman"/>
        <w:b/>
        <w:noProof/>
        <w:sz w:val="16"/>
      </w:rPr>
      <w:t>21/10/2025 9:37</w:t>
    </w:r>
    <w:r w:rsidRPr="00D21AA0">
      <w:rPr>
        <w:rFonts w:ascii="Cambria" w:eastAsia="Calibri" w:hAnsi="Cambria" w:cs="Times New Roman"/>
        <w:b/>
        <w:bCs/>
        <w:kern w:val="0"/>
        <w:sz w:val="16"/>
        <w:szCs w:val="16"/>
        <w:lang w:val="es-ES_tradnl"/>
        <w14:ligatures w14:val="none"/>
      </w:rPr>
      <w:fldChar w:fldCharType="end"/>
    </w:r>
    <w:bookmarkEnd w:id="2"/>
    <w:bookmarkEnd w:id="3"/>
    <w:bookmarkEnd w:id="4"/>
    <w:bookmarkEnd w:id="5"/>
    <w:bookmarkEnd w:id="6"/>
    <w:bookmarkEnd w:id="7"/>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4" w15:restartNumberingAfterBreak="0">
    <w:nsid w:val="07CF32A0"/>
    <w:multiLevelType w:val="hybridMultilevel"/>
    <w:tmpl w:val="1AF0C2E0"/>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094E41F0">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534393"/>
    <w:multiLevelType w:val="hybridMultilevel"/>
    <w:tmpl w:val="90D0E97E"/>
    <w:lvl w:ilvl="0" w:tplc="B2BA3A5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8"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9"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1"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3"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4"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6"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7"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1"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2"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3"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805734D"/>
    <w:multiLevelType w:val="hybridMultilevel"/>
    <w:tmpl w:val="BA5C0B3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7"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331E34C5"/>
    <w:multiLevelType w:val="hybridMultilevel"/>
    <w:tmpl w:val="73A647B8"/>
    <w:lvl w:ilvl="0" w:tplc="DF9048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30"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3"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4" w15:restartNumberingAfterBreak="0">
    <w:nsid w:val="46932DBE"/>
    <w:multiLevelType w:val="hybridMultilevel"/>
    <w:tmpl w:val="1AB05686"/>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6"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37"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38"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39" w15:restartNumberingAfterBreak="0">
    <w:nsid w:val="62F46FFC"/>
    <w:multiLevelType w:val="hybridMultilevel"/>
    <w:tmpl w:val="7E0AD15A"/>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0"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4"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388962954">
    <w:abstractNumId w:val="10"/>
  </w:num>
  <w:num w:numId="2" w16cid:durableId="210120458">
    <w:abstractNumId w:val="36"/>
  </w:num>
  <w:num w:numId="3" w16cid:durableId="604267144">
    <w:abstractNumId w:val="38"/>
  </w:num>
  <w:num w:numId="4" w16cid:durableId="725228533">
    <w:abstractNumId w:val="16"/>
  </w:num>
  <w:num w:numId="5" w16cid:durableId="1384330556">
    <w:abstractNumId w:val="3"/>
  </w:num>
  <w:num w:numId="6" w16cid:durableId="1975989300">
    <w:abstractNumId w:val="7"/>
  </w:num>
  <w:num w:numId="7" w16cid:durableId="136144821">
    <w:abstractNumId w:val="12"/>
  </w:num>
  <w:num w:numId="8" w16cid:durableId="2031637096">
    <w:abstractNumId w:val="13"/>
  </w:num>
  <w:num w:numId="9" w16cid:durableId="410322066">
    <w:abstractNumId w:val="8"/>
  </w:num>
  <w:num w:numId="10" w16cid:durableId="819658989">
    <w:abstractNumId w:val="33"/>
  </w:num>
  <w:num w:numId="11" w16cid:durableId="642392876">
    <w:abstractNumId w:val="0"/>
  </w:num>
  <w:num w:numId="12" w16cid:durableId="1655841022">
    <w:abstractNumId w:val="6"/>
  </w:num>
  <w:num w:numId="13" w16cid:durableId="1878614658">
    <w:abstractNumId w:val="24"/>
  </w:num>
  <w:num w:numId="14" w16cid:durableId="1415780830">
    <w:abstractNumId w:val="22"/>
  </w:num>
  <w:num w:numId="15" w16cid:durableId="1297682021">
    <w:abstractNumId w:val="39"/>
  </w:num>
  <w:num w:numId="16" w16cid:durableId="1178695462">
    <w:abstractNumId w:val="42"/>
  </w:num>
  <w:num w:numId="17" w16cid:durableId="258411823">
    <w:abstractNumId w:val="14"/>
  </w:num>
  <w:num w:numId="18" w16cid:durableId="2088069302">
    <w:abstractNumId w:val="2"/>
  </w:num>
  <w:num w:numId="19" w16cid:durableId="1941987457">
    <w:abstractNumId w:val="31"/>
  </w:num>
  <w:num w:numId="20" w16cid:durableId="2068410738">
    <w:abstractNumId w:val="17"/>
  </w:num>
  <w:num w:numId="21" w16cid:durableId="478807828">
    <w:abstractNumId w:val="9"/>
  </w:num>
  <w:num w:numId="22" w16cid:durableId="1600018047">
    <w:abstractNumId w:val="30"/>
  </w:num>
  <w:num w:numId="23" w16cid:durableId="1681001871">
    <w:abstractNumId w:val="35"/>
  </w:num>
  <w:num w:numId="24" w16cid:durableId="1252007127">
    <w:abstractNumId w:val="18"/>
  </w:num>
  <w:num w:numId="25" w16cid:durableId="1253587060">
    <w:abstractNumId w:val="37"/>
  </w:num>
  <w:num w:numId="26" w16cid:durableId="1357122523">
    <w:abstractNumId w:val="11"/>
  </w:num>
  <w:num w:numId="27" w16cid:durableId="1279096909">
    <w:abstractNumId w:val="41"/>
  </w:num>
  <w:num w:numId="28" w16cid:durableId="1687907736">
    <w:abstractNumId w:val="27"/>
  </w:num>
  <w:num w:numId="29" w16cid:durableId="1363508724">
    <w:abstractNumId w:val="32"/>
  </w:num>
  <w:num w:numId="30" w16cid:durableId="1201211213">
    <w:abstractNumId w:val="29"/>
  </w:num>
  <w:num w:numId="31" w16cid:durableId="3092742">
    <w:abstractNumId w:val="43"/>
  </w:num>
  <w:num w:numId="32" w16cid:durableId="921110668">
    <w:abstractNumId w:val="1"/>
  </w:num>
  <w:num w:numId="33" w16cid:durableId="1868829063">
    <w:abstractNumId w:val="21"/>
  </w:num>
  <w:num w:numId="34" w16cid:durableId="42142287">
    <w:abstractNumId w:val="23"/>
  </w:num>
  <w:num w:numId="35" w16cid:durableId="421075572">
    <w:abstractNumId w:val="15"/>
  </w:num>
  <w:num w:numId="36" w16cid:durableId="225923858">
    <w:abstractNumId w:val="20"/>
  </w:num>
  <w:num w:numId="37" w16cid:durableId="1038554527">
    <w:abstractNumId w:val="26"/>
  </w:num>
  <w:num w:numId="38" w16cid:durableId="484274691">
    <w:abstractNumId w:val="19"/>
  </w:num>
  <w:num w:numId="39" w16cid:durableId="37125249">
    <w:abstractNumId w:val="44"/>
  </w:num>
  <w:num w:numId="40" w16cid:durableId="27994639">
    <w:abstractNumId w:val="4"/>
  </w:num>
  <w:num w:numId="41" w16cid:durableId="769085523">
    <w:abstractNumId w:val="40"/>
  </w:num>
  <w:num w:numId="42" w16cid:durableId="524179209">
    <w:abstractNumId w:val="34"/>
  </w:num>
  <w:num w:numId="43" w16cid:durableId="224803010">
    <w:abstractNumId w:val="4"/>
  </w:num>
  <w:num w:numId="44" w16cid:durableId="431126697">
    <w:abstractNumId w:val="25"/>
  </w:num>
  <w:num w:numId="45" w16cid:durableId="63727305">
    <w:abstractNumId w:val="28"/>
  </w:num>
  <w:num w:numId="46" w16cid:durableId="1407993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63B5"/>
    <w:rsid w:val="00006476"/>
    <w:rsid w:val="00010A11"/>
    <w:rsid w:val="00016193"/>
    <w:rsid w:val="000168B4"/>
    <w:rsid w:val="000228D3"/>
    <w:rsid w:val="0002332A"/>
    <w:rsid w:val="000274BE"/>
    <w:rsid w:val="00030D09"/>
    <w:rsid w:val="00032257"/>
    <w:rsid w:val="0003602D"/>
    <w:rsid w:val="00044803"/>
    <w:rsid w:val="0005786C"/>
    <w:rsid w:val="00062206"/>
    <w:rsid w:val="00062804"/>
    <w:rsid w:val="00066593"/>
    <w:rsid w:val="00071E3E"/>
    <w:rsid w:val="00074F72"/>
    <w:rsid w:val="000755A4"/>
    <w:rsid w:val="00077E8A"/>
    <w:rsid w:val="000814D8"/>
    <w:rsid w:val="00083FDF"/>
    <w:rsid w:val="00086384"/>
    <w:rsid w:val="000874E2"/>
    <w:rsid w:val="0009C300"/>
    <w:rsid w:val="000A0D8D"/>
    <w:rsid w:val="000A1E4B"/>
    <w:rsid w:val="000A228C"/>
    <w:rsid w:val="000A4132"/>
    <w:rsid w:val="000B309D"/>
    <w:rsid w:val="000B326B"/>
    <w:rsid w:val="000B3C7A"/>
    <w:rsid w:val="000B3D2D"/>
    <w:rsid w:val="000B43C5"/>
    <w:rsid w:val="000B64BB"/>
    <w:rsid w:val="000C44E1"/>
    <w:rsid w:val="000C4F3C"/>
    <w:rsid w:val="000C75E2"/>
    <w:rsid w:val="000D11F6"/>
    <w:rsid w:val="000D5502"/>
    <w:rsid w:val="000D5ED3"/>
    <w:rsid w:val="000E2714"/>
    <w:rsid w:val="000E6A85"/>
    <w:rsid w:val="000F4B50"/>
    <w:rsid w:val="00101F02"/>
    <w:rsid w:val="00103B36"/>
    <w:rsid w:val="00111628"/>
    <w:rsid w:val="00112A72"/>
    <w:rsid w:val="00117882"/>
    <w:rsid w:val="001207D7"/>
    <w:rsid w:val="001210F7"/>
    <w:rsid w:val="00123310"/>
    <w:rsid w:val="00127441"/>
    <w:rsid w:val="00130DDF"/>
    <w:rsid w:val="00143ABD"/>
    <w:rsid w:val="00144AA9"/>
    <w:rsid w:val="00145B3C"/>
    <w:rsid w:val="00146519"/>
    <w:rsid w:val="001504ED"/>
    <w:rsid w:val="001547E9"/>
    <w:rsid w:val="00157249"/>
    <w:rsid w:val="001579AC"/>
    <w:rsid w:val="001607F1"/>
    <w:rsid w:val="001715C1"/>
    <w:rsid w:val="00174614"/>
    <w:rsid w:val="00175E09"/>
    <w:rsid w:val="0017DDFE"/>
    <w:rsid w:val="001872BA"/>
    <w:rsid w:val="00197DF5"/>
    <w:rsid w:val="001C56F5"/>
    <w:rsid w:val="001D0113"/>
    <w:rsid w:val="001D2751"/>
    <w:rsid w:val="001D3F2F"/>
    <w:rsid w:val="001D4DB3"/>
    <w:rsid w:val="001F04CC"/>
    <w:rsid w:val="001F3D9F"/>
    <w:rsid w:val="00225F67"/>
    <w:rsid w:val="0022787E"/>
    <w:rsid w:val="0023124C"/>
    <w:rsid w:val="00234705"/>
    <w:rsid w:val="00240022"/>
    <w:rsid w:val="00243F88"/>
    <w:rsid w:val="00250051"/>
    <w:rsid w:val="00250059"/>
    <w:rsid w:val="00251A2B"/>
    <w:rsid w:val="00261DE8"/>
    <w:rsid w:val="00263452"/>
    <w:rsid w:val="00265C1C"/>
    <w:rsid w:val="00266FA8"/>
    <w:rsid w:val="00280344"/>
    <w:rsid w:val="002813C9"/>
    <w:rsid w:val="00281E84"/>
    <w:rsid w:val="002857CD"/>
    <w:rsid w:val="00292CEF"/>
    <w:rsid w:val="002A588A"/>
    <w:rsid w:val="002B0ACF"/>
    <w:rsid w:val="002B3671"/>
    <w:rsid w:val="002C0CE6"/>
    <w:rsid w:val="002D639D"/>
    <w:rsid w:val="002D6FA9"/>
    <w:rsid w:val="002E3C9C"/>
    <w:rsid w:val="002F412C"/>
    <w:rsid w:val="002F4742"/>
    <w:rsid w:val="0030241C"/>
    <w:rsid w:val="003126E0"/>
    <w:rsid w:val="0033305B"/>
    <w:rsid w:val="00335079"/>
    <w:rsid w:val="00344086"/>
    <w:rsid w:val="003475D0"/>
    <w:rsid w:val="003532EB"/>
    <w:rsid w:val="0035430C"/>
    <w:rsid w:val="00357628"/>
    <w:rsid w:val="003660BE"/>
    <w:rsid w:val="0037202F"/>
    <w:rsid w:val="003723D1"/>
    <w:rsid w:val="00382390"/>
    <w:rsid w:val="0038249E"/>
    <w:rsid w:val="00387EAA"/>
    <w:rsid w:val="0039005D"/>
    <w:rsid w:val="00392D36"/>
    <w:rsid w:val="00394F98"/>
    <w:rsid w:val="003A3A5A"/>
    <w:rsid w:val="003A4803"/>
    <w:rsid w:val="003A567A"/>
    <w:rsid w:val="003B153C"/>
    <w:rsid w:val="003B3788"/>
    <w:rsid w:val="003B5158"/>
    <w:rsid w:val="003B5D4A"/>
    <w:rsid w:val="003B760F"/>
    <w:rsid w:val="003C1CC7"/>
    <w:rsid w:val="003C702A"/>
    <w:rsid w:val="003D3254"/>
    <w:rsid w:val="003D67E3"/>
    <w:rsid w:val="003E16F0"/>
    <w:rsid w:val="003E7C99"/>
    <w:rsid w:val="003F1A29"/>
    <w:rsid w:val="003F69A5"/>
    <w:rsid w:val="003F77EF"/>
    <w:rsid w:val="00401C8C"/>
    <w:rsid w:val="00402953"/>
    <w:rsid w:val="0042054A"/>
    <w:rsid w:val="00431960"/>
    <w:rsid w:val="00432083"/>
    <w:rsid w:val="00432C6E"/>
    <w:rsid w:val="00435671"/>
    <w:rsid w:val="004518FE"/>
    <w:rsid w:val="00454AE2"/>
    <w:rsid w:val="00457B68"/>
    <w:rsid w:val="004605FA"/>
    <w:rsid w:val="00464165"/>
    <w:rsid w:val="00473BFC"/>
    <w:rsid w:val="004858CB"/>
    <w:rsid w:val="00486351"/>
    <w:rsid w:val="00487DCD"/>
    <w:rsid w:val="00497421"/>
    <w:rsid w:val="00497468"/>
    <w:rsid w:val="004A0FCE"/>
    <w:rsid w:val="004A2EFF"/>
    <w:rsid w:val="004C224D"/>
    <w:rsid w:val="004C71CA"/>
    <w:rsid w:val="004D25FD"/>
    <w:rsid w:val="004D6368"/>
    <w:rsid w:val="004D7BED"/>
    <w:rsid w:val="004E45DE"/>
    <w:rsid w:val="004F523B"/>
    <w:rsid w:val="004F6D24"/>
    <w:rsid w:val="004F6F84"/>
    <w:rsid w:val="00502AC6"/>
    <w:rsid w:val="005043ED"/>
    <w:rsid w:val="0051375E"/>
    <w:rsid w:val="005139E6"/>
    <w:rsid w:val="00520511"/>
    <w:rsid w:val="00525597"/>
    <w:rsid w:val="005371CF"/>
    <w:rsid w:val="00550092"/>
    <w:rsid w:val="00554B65"/>
    <w:rsid w:val="00562F83"/>
    <w:rsid w:val="005651AA"/>
    <w:rsid w:val="005659B9"/>
    <w:rsid w:val="005667F3"/>
    <w:rsid w:val="0057235D"/>
    <w:rsid w:val="005901C7"/>
    <w:rsid w:val="005957CD"/>
    <w:rsid w:val="00596009"/>
    <w:rsid w:val="005A2475"/>
    <w:rsid w:val="005A42C7"/>
    <w:rsid w:val="005B1F02"/>
    <w:rsid w:val="005B2EAD"/>
    <w:rsid w:val="005C02DC"/>
    <w:rsid w:val="005C2233"/>
    <w:rsid w:val="005C4175"/>
    <w:rsid w:val="005D1FC9"/>
    <w:rsid w:val="005D2812"/>
    <w:rsid w:val="005D5465"/>
    <w:rsid w:val="005D5E24"/>
    <w:rsid w:val="005E3241"/>
    <w:rsid w:val="005E6C45"/>
    <w:rsid w:val="005E771B"/>
    <w:rsid w:val="005E7DCA"/>
    <w:rsid w:val="00602A76"/>
    <w:rsid w:val="00632F26"/>
    <w:rsid w:val="00635A1B"/>
    <w:rsid w:val="006435B4"/>
    <w:rsid w:val="006517A6"/>
    <w:rsid w:val="00651D7F"/>
    <w:rsid w:val="00661B65"/>
    <w:rsid w:val="00671091"/>
    <w:rsid w:val="00674B89"/>
    <w:rsid w:val="006775A5"/>
    <w:rsid w:val="006819A9"/>
    <w:rsid w:val="006A2BC7"/>
    <w:rsid w:val="006B5C59"/>
    <w:rsid w:val="006C0303"/>
    <w:rsid w:val="006C2806"/>
    <w:rsid w:val="006C42EC"/>
    <w:rsid w:val="006E5713"/>
    <w:rsid w:val="006E6FC6"/>
    <w:rsid w:val="006E7F51"/>
    <w:rsid w:val="006F20E2"/>
    <w:rsid w:val="006F35C6"/>
    <w:rsid w:val="00710133"/>
    <w:rsid w:val="00712F2A"/>
    <w:rsid w:val="007159B5"/>
    <w:rsid w:val="00716ADF"/>
    <w:rsid w:val="00737087"/>
    <w:rsid w:val="00740034"/>
    <w:rsid w:val="00747BE4"/>
    <w:rsid w:val="0076552C"/>
    <w:rsid w:val="00770932"/>
    <w:rsid w:val="0077348D"/>
    <w:rsid w:val="007861B0"/>
    <w:rsid w:val="00786CC7"/>
    <w:rsid w:val="00790254"/>
    <w:rsid w:val="007A4B8D"/>
    <w:rsid w:val="007A53A7"/>
    <w:rsid w:val="007A56CE"/>
    <w:rsid w:val="007B049A"/>
    <w:rsid w:val="007B1CEC"/>
    <w:rsid w:val="007B1FC6"/>
    <w:rsid w:val="007B52C0"/>
    <w:rsid w:val="007C0C5C"/>
    <w:rsid w:val="007C4D59"/>
    <w:rsid w:val="007C657D"/>
    <w:rsid w:val="007C65A0"/>
    <w:rsid w:val="007D0AA6"/>
    <w:rsid w:val="007E0512"/>
    <w:rsid w:val="007E1F39"/>
    <w:rsid w:val="007E2C95"/>
    <w:rsid w:val="007E345E"/>
    <w:rsid w:val="007E53EF"/>
    <w:rsid w:val="007E596A"/>
    <w:rsid w:val="007E7475"/>
    <w:rsid w:val="007F02FA"/>
    <w:rsid w:val="007F0FEF"/>
    <w:rsid w:val="007F1630"/>
    <w:rsid w:val="007F481E"/>
    <w:rsid w:val="008003EA"/>
    <w:rsid w:val="00816373"/>
    <w:rsid w:val="00826194"/>
    <w:rsid w:val="0083358F"/>
    <w:rsid w:val="008363EE"/>
    <w:rsid w:val="00840526"/>
    <w:rsid w:val="008459F3"/>
    <w:rsid w:val="008507B5"/>
    <w:rsid w:val="008531BA"/>
    <w:rsid w:val="008532E4"/>
    <w:rsid w:val="00867033"/>
    <w:rsid w:val="0086705B"/>
    <w:rsid w:val="00871065"/>
    <w:rsid w:val="0087401D"/>
    <w:rsid w:val="008758E5"/>
    <w:rsid w:val="00890B84"/>
    <w:rsid w:val="0089361E"/>
    <w:rsid w:val="008A3947"/>
    <w:rsid w:val="008A3CC2"/>
    <w:rsid w:val="008A4E3D"/>
    <w:rsid w:val="008B1297"/>
    <w:rsid w:val="008B510C"/>
    <w:rsid w:val="008C13C2"/>
    <w:rsid w:val="008C1C1A"/>
    <w:rsid w:val="008D1F98"/>
    <w:rsid w:val="008D22F6"/>
    <w:rsid w:val="008E12F2"/>
    <w:rsid w:val="008F4292"/>
    <w:rsid w:val="008F5E22"/>
    <w:rsid w:val="00900E5D"/>
    <w:rsid w:val="00905F06"/>
    <w:rsid w:val="009134AD"/>
    <w:rsid w:val="009136E6"/>
    <w:rsid w:val="00917570"/>
    <w:rsid w:val="0092093B"/>
    <w:rsid w:val="009231C9"/>
    <w:rsid w:val="009245D2"/>
    <w:rsid w:val="009306D0"/>
    <w:rsid w:val="00933A61"/>
    <w:rsid w:val="0094061F"/>
    <w:rsid w:val="009410D0"/>
    <w:rsid w:val="0095057F"/>
    <w:rsid w:val="0095339F"/>
    <w:rsid w:val="00957155"/>
    <w:rsid w:val="00957C19"/>
    <w:rsid w:val="009725AF"/>
    <w:rsid w:val="00983F1E"/>
    <w:rsid w:val="0098518C"/>
    <w:rsid w:val="00985217"/>
    <w:rsid w:val="00985402"/>
    <w:rsid w:val="00993F43"/>
    <w:rsid w:val="00996BF4"/>
    <w:rsid w:val="009A03BB"/>
    <w:rsid w:val="009A0642"/>
    <w:rsid w:val="009A2835"/>
    <w:rsid w:val="009A45E0"/>
    <w:rsid w:val="009A750C"/>
    <w:rsid w:val="009B0467"/>
    <w:rsid w:val="009B2287"/>
    <w:rsid w:val="009B3196"/>
    <w:rsid w:val="009B36BA"/>
    <w:rsid w:val="009B4929"/>
    <w:rsid w:val="009C6507"/>
    <w:rsid w:val="009C69B1"/>
    <w:rsid w:val="009F51D6"/>
    <w:rsid w:val="009F647B"/>
    <w:rsid w:val="00A00F6C"/>
    <w:rsid w:val="00A050D6"/>
    <w:rsid w:val="00A07DD4"/>
    <w:rsid w:val="00A12C68"/>
    <w:rsid w:val="00A21467"/>
    <w:rsid w:val="00A31167"/>
    <w:rsid w:val="00A34008"/>
    <w:rsid w:val="00A50D78"/>
    <w:rsid w:val="00A541D4"/>
    <w:rsid w:val="00A54696"/>
    <w:rsid w:val="00A56029"/>
    <w:rsid w:val="00A60EC4"/>
    <w:rsid w:val="00A6518D"/>
    <w:rsid w:val="00A67692"/>
    <w:rsid w:val="00A76FFC"/>
    <w:rsid w:val="00A80651"/>
    <w:rsid w:val="00A87EF5"/>
    <w:rsid w:val="00A94A3F"/>
    <w:rsid w:val="00A95B4E"/>
    <w:rsid w:val="00AA0A1A"/>
    <w:rsid w:val="00AA1C34"/>
    <w:rsid w:val="00AA5ABE"/>
    <w:rsid w:val="00AB3DF9"/>
    <w:rsid w:val="00AB43B4"/>
    <w:rsid w:val="00AC2310"/>
    <w:rsid w:val="00AC454E"/>
    <w:rsid w:val="00AC4B79"/>
    <w:rsid w:val="00AD1096"/>
    <w:rsid w:val="00AE7E22"/>
    <w:rsid w:val="00AF6224"/>
    <w:rsid w:val="00B125CB"/>
    <w:rsid w:val="00B164BC"/>
    <w:rsid w:val="00B170C3"/>
    <w:rsid w:val="00B201AD"/>
    <w:rsid w:val="00B22618"/>
    <w:rsid w:val="00B279B0"/>
    <w:rsid w:val="00B327DF"/>
    <w:rsid w:val="00B360C0"/>
    <w:rsid w:val="00B429E4"/>
    <w:rsid w:val="00B509D2"/>
    <w:rsid w:val="00B5275F"/>
    <w:rsid w:val="00B54274"/>
    <w:rsid w:val="00B6328D"/>
    <w:rsid w:val="00B70DFE"/>
    <w:rsid w:val="00B71083"/>
    <w:rsid w:val="00B7146D"/>
    <w:rsid w:val="00B7764C"/>
    <w:rsid w:val="00B82AA2"/>
    <w:rsid w:val="00B846BD"/>
    <w:rsid w:val="00B84EAF"/>
    <w:rsid w:val="00B92EC6"/>
    <w:rsid w:val="00B95B82"/>
    <w:rsid w:val="00B96075"/>
    <w:rsid w:val="00BA69E1"/>
    <w:rsid w:val="00BB11E8"/>
    <w:rsid w:val="00BB3168"/>
    <w:rsid w:val="00BB5370"/>
    <w:rsid w:val="00BC11BF"/>
    <w:rsid w:val="00BC24CD"/>
    <w:rsid w:val="00BC3136"/>
    <w:rsid w:val="00BC6DCB"/>
    <w:rsid w:val="00BC77A3"/>
    <w:rsid w:val="00BD28E2"/>
    <w:rsid w:val="00BD31AA"/>
    <w:rsid w:val="00BE6D88"/>
    <w:rsid w:val="00BF196C"/>
    <w:rsid w:val="00C0022A"/>
    <w:rsid w:val="00C10520"/>
    <w:rsid w:val="00C10E51"/>
    <w:rsid w:val="00C269F0"/>
    <w:rsid w:val="00C26F5B"/>
    <w:rsid w:val="00C278D8"/>
    <w:rsid w:val="00C40913"/>
    <w:rsid w:val="00C51EE4"/>
    <w:rsid w:val="00C55B56"/>
    <w:rsid w:val="00C5652C"/>
    <w:rsid w:val="00C64355"/>
    <w:rsid w:val="00C64BD5"/>
    <w:rsid w:val="00C64C60"/>
    <w:rsid w:val="00C818B7"/>
    <w:rsid w:val="00C92795"/>
    <w:rsid w:val="00C933AB"/>
    <w:rsid w:val="00C971C4"/>
    <w:rsid w:val="00CB11A8"/>
    <w:rsid w:val="00CB1A4A"/>
    <w:rsid w:val="00CC6760"/>
    <w:rsid w:val="00CC7EA5"/>
    <w:rsid w:val="00CD4407"/>
    <w:rsid w:val="00CD6783"/>
    <w:rsid w:val="00CE0E3C"/>
    <w:rsid w:val="00CE50A4"/>
    <w:rsid w:val="00CF3783"/>
    <w:rsid w:val="00CF61DA"/>
    <w:rsid w:val="00CF7605"/>
    <w:rsid w:val="00D027FD"/>
    <w:rsid w:val="00D03D75"/>
    <w:rsid w:val="00D06112"/>
    <w:rsid w:val="00D101FC"/>
    <w:rsid w:val="00D14F05"/>
    <w:rsid w:val="00D1751D"/>
    <w:rsid w:val="00D20A6A"/>
    <w:rsid w:val="00D218B6"/>
    <w:rsid w:val="00D21AA0"/>
    <w:rsid w:val="00D262F9"/>
    <w:rsid w:val="00D26F1D"/>
    <w:rsid w:val="00D32F39"/>
    <w:rsid w:val="00D342CE"/>
    <w:rsid w:val="00D4110B"/>
    <w:rsid w:val="00D52290"/>
    <w:rsid w:val="00D55385"/>
    <w:rsid w:val="00D56A04"/>
    <w:rsid w:val="00D63E2B"/>
    <w:rsid w:val="00D64025"/>
    <w:rsid w:val="00D708E7"/>
    <w:rsid w:val="00D73145"/>
    <w:rsid w:val="00D76E4E"/>
    <w:rsid w:val="00D80F6A"/>
    <w:rsid w:val="00D825E6"/>
    <w:rsid w:val="00D8672C"/>
    <w:rsid w:val="00D95290"/>
    <w:rsid w:val="00DA087F"/>
    <w:rsid w:val="00DB1898"/>
    <w:rsid w:val="00DC1309"/>
    <w:rsid w:val="00DC5F01"/>
    <w:rsid w:val="00DE0B64"/>
    <w:rsid w:val="00DE25BE"/>
    <w:rsid w:val="00DE701C"/>
    <w:rsid w:val="00DE75CD"/>
    <w:rsid w:val="00DF0588"/>
    <w:rsid w:val="00DF4840"/>
    <w:rsid w:val="00E0123A"/>
    <w:rsid w:val="00E0605B"/>
    <w:rsid w:val="00E1001D"/>
    <w:rsid w:val="00E107E4"/>
    <w:rsid w:val="00E17483"/>
    <w:rsid w:val="00E35683"/>
    <w:rsid w:val="00E41F2D"/>
    <w:rsid w:val="00E522F5"/>
    <w:rsid w:val="00E5412E"/>
    <w:rsid w:val="00E54F78"/>
    <w:rsid w:val="00E55103"/>
    <w:rsid w:val="00E560CA"/>
    <w:rsid w:val="00E57F09"/>
    <w:rsid w:val="00E625EF"/>
    <w:rsid w:val="00E659AD"/>
    <w:rsid w:val="00E717CE"/>
    <w:rsid w:val="00E7544A"/>
    <w:rsid w:val="00E76893"/>
    <w:rsid w:val="00E76AB2"/>
    <w:rsid w:val="00E85893"/>
    <w:rsid w:val="00E864A5"/>
    <w:rsid w:val="00E9069E"/>
    <w:rsid w:val="00E9461A"/>
    <w:rsid w:val="00EA2A29"/>
    <w:rsid w:val="00EA338D"/>
    <w:rsid w:val="00EA4703"/>
    <w:rsid w:val="00EA5470"/>
    <w:rsid w:val="00EA7519"/>
    <w:rsid w:val="00EB233E"/>
    <w:rsid w:val="00EB3984"/>
    <w:rsid w:val="00EC12AC"/>
    <w:rsid w:val="00EC1E70"/>
    <w:rsid w:val="00EC3CA7"/>
    <w:rsid w:val="00ED2762"/>
    <w:rsid w:val="00EE031C"/>
    <w:rsid w:val="00EE41FE"/>
    <w:rsid w:val="00EE469E"/>
    <w:rsid w:val="00EF3D98"/>
    <w:rsid w:val="00EF6F47"/>
    <w:rsid w:val="00F00288"/>
    <w:rsid w:val="00F00DC7"/>
    <w:rsid w:val="00F14A46"/>
    <w:rsid w:val="00F15DEE"/>
    <w:rsid w:val="00F25648"/>
    <w:rsid w:val="00F323C1"/>
    <w:rsid w:val="00F36B23"/>
    <w:rsid w:val="00F418C7"/>
    <w:rsid w:val="00F450F5"/>
    <w:rsid w:val="00F54D5A"/>
    <w:rsid w:val="00F56A1A"/>
    <w:rsid w:val="00F612A7"/>
    <w:rsid w:val="00F61C1A"/>
    <w:rsid w:val="00F6286C"/>
    <w:rsid w:val="00F6410B"/>
    <w:rsid w:val="00F76C23"/>
    <w:rsid w:val="00F81D17"/>
    <w:rsid w:val="00F92333"/>
    <w:rsid w:val="00F933B2"/>
    <w:rsid w:val="00F96244"/>
    <w:rsid w:val="00F97D27"/>
    <w:rsid w:val="00FA27BF"/>
    <w:rsid w:val="00FB064C"/>
    <w:rsid w:val="00FB7595"/>
    <w:rsid w:val="00FD3FD0"/>
    <w:rsid w:val="00FD5B64"/>
    <w:rsid w:val="00FD7597"/>
    <w:rsid w:val="00FE7A54"/>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15:docId w15:val="{8EF8B284-BB1E-4BCE-8D88-B9B85FE2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87"/>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fr-FR"/>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fr-FR"/>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a54b14-608b-44ba-8621-4287d9574b27" xsi:nil="true"/>
    <lcf76f155ced4ddcb4097134ff3c332f xmlns="33e07890-6196-4e26-9dd2-53178dae8e4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8" ma:contentTypeDescription="Create a new document." ma:contentTypeScope="" ma:versionID="76c4afeff166677ca1bd60ada8c3ccac">
  <xsd:schema xmlns:xsd="http://www.w3.org/2001/XMLSchema" xmlns:xs="http://www.w3.org/2001/XMLSchema" xmlns:p="http://schemas.microsoft.com/office/2006/metadata/properties" xmlns:ns1="http://schemas.microsoft.com/sharepoint/v3" xmlns:ns2="33e07890-6196-4e26-9dd2-53178dae8e48" xmlns:ns3="faa54b14-608b-44ba-8621-4287d9574b27" targetNamespace="http://schemas.microsoft.com/office/2006/metadata/properties" ma:root="true" ma:fieldsID="f594ce8ffa3666a1c08abd4334e8c190" ns1:_="" ns2:_="" ns3:_="">
    <xsd:import namespace="http://schemas.microsoft.com/sharepoint/v3"/>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6a6631-4353-4bc1-8e74-4a49f1add123}" ma:internalName="TaxCatchAll" ma:showField="CatchAllData" ma:web="faa54b14-608b-44ba-8621-4287d9574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BC865-A941-4752-AD98-3776351132BB}">
  <ds:schemaRefs>
    <ds:schemaRef ds:uri="http://schemas.microsoft.com/office/2006/metadata/properties"/>
    <ds:schemaRef ds:uri="http://schemas.microsoft.com/office/infopath/2007/PartnerControls"/>
    <ds:schemaRef ds:uri="http://schemas.microsoft.com/sharepoint/v3"/>
    <ds:schemaRef ds:uri="faa54b14-608b-44ba-8621-4287d9574b27"/>
    <ds:schemaRef ds:uri="33e07890-6196-4e26-9dd2-53178dae8e48"/>
  </ds:schemaRefs>
</ds:datastoreItem>
</file>

<file path=customXml/itemProps2.xml><?xml version="1.0" encoding="utf-8"?>
<ds:datastoreItem xmlns:ds="http://schemas.openxmlformats.org/officeDocument/2006/customXml" ds:itemID="{17460387-E516-4DC0-BF54-D7DF640E7C08}">
  <ds:schemaRefs>
    <ds:schemaRef ds:uri="http://schemas.openxmlformats.org/officeDocument/2006/bibliography"/>
  </ds:schemaRefs>
</ds:datastoreItem>
</file>

<file path=customXml/itemProps3.xml><?xml version="1.0" encoding="utf-8"?>
<ds:datastoreItem xmlns:ds="http://schemas.openxmlformats.org/officeDocument/2006/customXml" ds:itemID="{2FB8420A-DA2C-4EB0-9E9F-79190FB1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C79E2-D761-4007-8E9F-0D8B750ABF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4623</Words>
  <Characters>26354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Antonia (MARE)</dc:creator>
  <cp:keywords/>
  <dc:description/>
  <cp:lastModifiedBy>Dorothee Pinet</cp:lastModifiedBy>
  <cp:revision>123</cp:revision>
  <dcterms:created xsi:type="dcterms:W3CDTF">2024-11-17T06:33:00Z</dcterms:created>
  <dcterms:modified xsi:type="dcterms:W3CDTF">2025-10-21T07:38:00Z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2024-03-12T08:22:51Z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82e4eeaa-986c-4588-b318-c6125c70ba5d</vt:lpwstr>
  </property>
  <property fmtid="{D5CDD505-2E9C-101B-9397-08002B2CF9AE}" pid="8" name="MSIP_Label_6bd9ddd1-4d20-43f6-abfa-fc3c07406f94_ContentBits">
    <vt:lpwstr>0</vt:lpwstr>
  </property>
  <property fmtid="{D5CDD505-2E9C-101B-9397-08002B2CF9AE}" pid="9" name="ContentTypeId">
    <vt:lpwstr>0x010100ECFDF3D715AA394A9B15E0E0FAA07E37</vt:lpwstr>
  </property>
  <property fmtid="{D5CDD505-2E9C-101B-9397-08002B2CF9AE}" pid="10" name="MediaServiceImageTags">
    <vt:lpwstr/>
  </property>
</Properties>
</file>