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883E9F" w:rsidRDefault="00702087" w:rsidP="00702087">
      <w:pPr>
        <w:spacing w:after="0" w:line="276" w:lineRule="auto"/>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42580841" w14:textId="77777777" w:rsidR="00702087" w:rsidRPr="00883E9F"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883E9F" w:rsidRDefault="00702087" w:rsidP="00702087">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C2E0BD1" w14:textId="77777777" w:rsidR="00702087" w:rsidRPr="00D73049"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4F8BD4AF" w14:textId="17D7982F" w:rsidR="00702087" w:rsidRPr="00A51D6B" w:rsidRDefault="00702087" w:rsidP="00702087">
      <w:pPr>
        <w:widowControl w:val="0"/>
        <w:autoSpaceDE w:val="0"/>
        <w:autoSpaceDN w:val="0"/>
        <w:spacing w:after="0" w:line="240" w:lineRule="auto"/>
        <w:ind w:left="224"/>
        <w:jc w:val="both"/>
        <w:rPr>
          <w:rFonts w:ascii="Cambria" w:eastAsia="Cambria" w:hAnsi="Cambria" w:cs="Cambria"/>
          <w:iCs/>
          <w:color w:val="FF0000"/>
          <w:kern w:val="0"/>
          <w:sz w:val="20"/>
          <w:szCs w:val="20"/>
          <w14:ligatures w14:val="none"/>
        </w:rPr>
      </w:pPr>
      <w:r>
        <w:rPr>
          <w:rFonts w:ascii="Cambria" w:hAnsi="Cambria"/>
          <w:b/>
          <w:sz w:val="20"/>
        </w:rPr>
        <w:t xml:space="preserve">Titre de la proposition de projet de Recommandation/Résolution : </w:t>
      </w:r>
      <w:bookmarkStart w:id="0" w:name="_Hlk211863113"/>
      <w:r w:rsidRPr="004B55B8">
        <w:rPr>
          <w:rFonts w:ascii="Cambria" w:hAnsi="Cambria"/>
          <w:iCs/>
          <w:color w:val="FF0000"/>
          <w:sz w:val="20"/>
        </w:rPr>
        <w:t xml:space="preserve">Projet de Recommandation de l’ICCAT instituant </w:t>
      </w:r>
      <w:r w:rsidR="004B55B8" w:rsidRPr="004B55B8">
        <w:rPr>
          <w:rFonts w:ascii="Cambria" w:hAnsi="Cambria"/>
          <w:iCs/>
          <w:color w:val="FF0000"/>
          <w:sz w:val="20"/>
        </w:rPr>
        <w:t>l’obligation</w:t>
      </w:r>
      <w:r w:rsidRPr="004B55B8">
        <w:rPr>
          <w:rFonts w:ascii="Cambria" w:hAnsi="Cambria"/>
          <w:iCs/>
          <w:color w:val="FF0000"/>
          <w:sz w:val="20"/>
        </w:rPr>
        <w:t xml:space="preserve"> </w:t>
      </w:r>
      <w:r w:rsidR="004C7241" w:rsidRPr="004B55B8">
        <w:rPr>
          <w:rFonts w:ascii="Cambria" w:hAnsi="Cambria"/>
          <w:iCs/>
          <w:color w:val="FF0000"/>
          <w:sz w:val="20"/>
        </w:rPr>
        <w:t xml:space="preserve">de conserver </w:t>
      </w:r>
      <w:r w:rsidRPr="004B55B8">
        <w:rPr>
          <w:rFonts w:ascii="Cambria" w:hAnsi="Cambria"/>
          <w:iCs/>
          <w:color w:val="FF0000"/>
          <w:sz w:val="20"/>
        </w:rPr>
        <w:t>les ailerons naturellement attachés afin d’en empêcher le prélèvement</w:t>
      </w:r>
    </w:p>
    <w:bookmarkEnd w:id="0"/>
    <w:p w14:paraId="20B33797" w14:textId="77777777" w:rsidR="00702087" w:rsidRPr="00D73049"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p>
    <w:p w14:paraId="1975A797" w14:textId="77777777" w:rsidR="00702087" w:rsidRPr="00D73049" w:rsidRDefault="00702087" w:rsidP="00A94EBD">
      <w:pPr>
        <w:widowControl w:val="0"/>
        <w:autoSpaceDE w:val="0"/>
        <w:autoSpaceDN w:val="0"/>
        <w:spacing w:after="0" w:line="240" w:lineRule="auto"/>
        <w:jc w:val="both"/>
        <w:rPr>
          <w:rFonts w:ascii="Cambria" w:eastAsia="Cambria" w:hAnsi="Cambria" w:cs="Cambria"/>
          <w:kern w:val="0"/>
          <w:sz w:val="20"/>
          <w:szCs w:val="20"/>
          <w14:ligatures w14:val="none"/>
        </w:rPr>
      </w:pPr>
    </w:p>
    <w:p w14:paraId="51AB1941" w14:textId="40ED2C03" w:rsidR="00702087" w:rsidRPr="00883E9F" w:rsidRDefault="00702087" w:rsidP="00AD23C9">
      <w:pPr>
        <w:widowControl w:val="0"/>
        <w:autoSpaceDE w:val="0"/>
        <w:autoSpaceDN w:val="0"/>
        <w:spacing w:after="0" w:line="240" w:lineRule="auto"/>
        <w:ind w:left="224"/>
        <w:jc w:val="both"/>
        <w:rPr>
          <w:rFonts w:ascii="Cambria" w:eastAsia="Cambria" w:hAnsi="Cambria" w:cs="Cambria"/>
          <w:i/>
          <w:iCs/>
          <w:color w:val="FF0000"/>
          <w:kern w:val="0"/>
          <w:sz w:val="20"/>
          <w:szCs w:val="20"/>
          <w14:ligatures w14:val="none"/>
        </w:rPr>
      </w:pPr>
      <w:r>
        <w:rPr>
          <w:rFonts w:ascii="Cambria" w:hAnsi="Cambria"/>
          <w:b/>
          <w:sz w:val="20"/>
        </w:rPr>
        <w:t xml:space="preserve">Titre de la ou des Recommandations ou Résolutions en vigueur traitant des mêmes questions ou de questions connexes : </w:t>
      </w:r>
      <w:r>
        <w:rPr>
          <w:rFonts w:ascii="Cambria" w:hAnsi="Cambria"/>
          <w:i/>
          <w:color w:val="FF0000"/>
          <w:sz w:val="20"/>
        </w:rPr>
        <w:t xml:space="preserve">Recommandation de l’ICCAT concernant la conservation des requins capturés en association avec les pêcheries gérées par l’ICCAT </w:t>
      </w:r>
      <w:r w:rsidRPr="00A94EBD">
        <w:rPr>
          <w:rFonts w:ascii="Cambria" w:hAnsi="Cambria"/>
          <w:iCs/>
          <w:color w:val="FF0000"/>
          <w:sz w:val="20"/>
        </w:rPr>
        <w:t>(Rec. 04-10)</w:t>
      </w:r>
    </w:p>
    <w:p w14:paraId="2BF4C4CE"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Pr>
          <w:rFonts w:ascii="Cambria" w:hAnsi="Cambria"/>
          <w:sz w:val="20"/>
        </w:rPr>
        <w:t xml:space="preserve">Cela crée-t-il de nouvelles </w:t>
      </w:r>
      <w:r>
        <w:rPr>
          <w:rFonts w:ascii="Cambria" w:hAnsi="Cambria"/>
          <w:b/>
          <w:sz w:val="20"/>
        </w:rPr>
        <w:t xml:space="preserve">obligations de déclaration </w:t>
      </w:r>
      <w:r>
        <w:rPr>
          <w:rFonts w:ascii="Cambria" w:hAnsi="Cambria"/>
          <w:sz w:val="20"/>
        </w:rPr>
        <w:t xml:space="preserve">pour les CPC ?     </w:t>
      </w:r>
      <w:r>
        <w:rPr>
          <w:sz w:val="20"/>
        </w:rPr>
        <w:t>Oui</w:t>
      </w:r>
      <w:r>
        <w:rPr>
          <w:rFonts w:ascii="Cambria" w:hAnsi="Cambria"/>
          <w:sz w:val="20"/>
        </w:rPr>
        <w:t xml:space="preserve"> </w:t>
      </w:r>
      <w:r>
        <w:rPr>
          <w:rFonts w:ascii="Wingdings" w:hAnsi="Wingdings"/>
          <w:sz w:val="20"/>
        </w:rPr>
        <w:t>¨</w:t>
      </w:r>
      <w:r>
        <w:rPr>
          <w:rFonts w:ascii="Cambria" w:hAnsi="Cambria"/>
          <w:sz w:val="20"/>
        </w:rPr>
        <w:tab/>
      </w:r>
      <w:r>
        <w:rPr>
          <w:rFonts w:ascii="Cambria" w:hAnsi="Cambria"/>
          <w:color w:val="FF0000"/>
          <w:sz w:val="20"/>
        </w:rPr>
        <w:t xml:space="preserve">Non </w:t>
      </w:r>
      <w:r>
        <w:rPr>
          <w:rFonts w:ascii="Wingdings" w:hAnsi="Wingdings"/>
          <w:color w:val="FF0000"/>
          <w:sz w:val="20"/>
        </w:rPr>
        <w:t>x</w:t>
      </w:r>
    </w:p>
    <w:p w14:paraId="1C2D0BC4" w14:textId="77777777" w:rsidR="00702087" w:rsidRPr="00883E9F"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883E9F"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Pr>
          <w:rFonts w:ascii="Cambria" w:hAnsi="Cambria"/>
          <w:sz w:val="20"/>
        </w:rPr>
        <w:t>Brève description de la ou des nouvelle(s) obligation(s) de déclaration :</w:t>
      </w:r>
    </w:p>
    <w:p w14:paraId="522FBCFD" w14:textId="77777777" w:rsidR="00702087" w:rsidRPr="00D73049"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1F1B3FAA" w:rsidR="00702087" w:rsidRPr="00334FAE"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Pr>
          <w:rFonts w:ascii="Cambria" w:hAnsi="Cambria"/>
          <w:sz w:val="20"/>
        </w:rPr>
        <w:t xml:space="preserve">Cela nécessite-t-il une contribution ou un </w:t>
      </w:r>
      <w:r>
        <w:rPr>
          <w:rFonts w:ascii="Cambria" w:hAnsi="Cambria"/>
          <w:b/>
          <w:sz w:val="20"/>
        </w:rPr>
        <w:t>travail</w:t>
      </w:r>
      <w:r>
        <w:rPr>
          <w:rFonts w:ascii="Cambria" w:hAnsi="Cambria"/>
          <w:sz w:val="20"/>
        </w:rPr>
        <w:t xml:space="preserve"> supplémentaire </w:t>
      </w:r>
      <w:r>
        <w:rPr>
          <w:rFonts w:ascii="Cambria" w:hAnsi="Cambria"/>
          <w:b/>
          <w:sz w:val="20"/>
        </w:rPr>
        <w:t>de la part du SCRS</w:t>
      </w:r>
      <w:r>
        <w:rPr>
          <w:rFonts w:ascii="Cambria" w:hAnsi="Cambria"/>
          <w:sz w:val="20"/>
        </w:rPr>
        <w:t xml:space="preserve"> ?  </w:t>
      </w:r>
      <w:r>
        <w:rPr>
          <w:sz w:val="20"/>
        </w:rPr>
        <w:t>Oui</w:t>
      </w:r>
      <w:r>
        <w:rPr>
          <w:rFonts w:ascii="Cambria" w:hAnsi="Cambria"/>
          <w:sz w:val="20"/>
        </w:rPr>
        <w:t xml:space="preserve"> </w:t>
      </w:r>
      <w:r>
        <w:rPr>
          <w:rFonts w:ascii="Wingdings" w:hAnsi="Wingdings"/>
          <w:sz w:val="20"/>
        </w:rPr>
        <w:t>¨</w:t>
      </w:r>
      <w:r w:rsidR="00160708">
        <w:rPr>
          <w:rFonts w:ascii="Wingdings" w:hAnsi="Wingdings"/>
          <w:sz w:val="20"/>
        </w:rPr>
        <w:t xml:space="preserve"> </w:t>
      </w:r>
      <w:r>
        <w:rPr>
          <w:rFonts w:ascii="Cambria" w:hAnsi="Cambria"/>
          <w:color w:val="FF0000"/>
          <w:sz w:val="20"/>
        </w:rPr>
        <w:t xml:space="preserve">Non </w:t>
      </w:r>
      <w:r>
        <w:rPr>
          <w:rFonts w:ascii="Wingdings" w:hAnsi="Wingdings"/>
          <w:color w:val="FF0000"/>
          <w:sz w:val="20"/>
        </w:rPr>
        <w:t>x</w:t>
      </w:r>
      <w:r>
        <w:rPr>
          <w:rFonts w:ascii="Cambria" w:hAnsi="Cambria"/>
          <w:color w:val="FF0000"/>
          <w:sz w:val="20"/>
        </w:rPr>
        <w:t xml:space="preserve"> </w:t>
      </w:r>
    </w:p>
    <w:p w14:paraId="0F2466B2" w14:textId="77777777" w:rsidR="00334FAE" w:rsidRPr="00334FAE" w:rsidRDefault="00334FAE" w:rsidP="00334FAE">
      <w:pPr>
        <w:widowControl w:val="0"/>
        <w:autoSpaceDE w:val="0"/>
        <w:autoSpaceDN w:val="0"/>
        <w:spacing w:after="0" w:line="240" w:lineRule="auto"/>
        <w:ind w:left="360"/>
        <w:jc w:val="both"/>
        <w:rPr>
          <w:rFonts w:ascii="Cambria" w:eastAsia="Cambria" w:hAnsi="Cambria" w:cs="Cambria"/>
          <w:kern w:val="0"/>
          <w:sz w:val="20"/>
          <w:szCs w:val="20"/>
          <w:lang w:val="en-US"/>
          <w14:ligatures w14:val="none"/>
        </w:rPr>
      </w:pPr>
    </w:p>
    <w:p w14:paraId="38C0217D" w14:textId="7017D227" w:rsidR="00702087" w:rsidRPr="00EF016A"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14:ligatures w14:val="none"/>
        </w:rPr>
      </w:pPr>
      <w:r w:rsidRPr="00EF016A">
        <w:rPr>
          <w:rFonts w:ascii="Cambria" w:hAnsi="Cambria"/>
          <w:sz w:val="20"/>
        </w:rPr>
        <w:t>Ce travail est-il déjà inclus dans le plan de travail actuel du SCRS ? Oui ¨</w:t>
      </w:r>
      <w:r w:rsidRPr="00EF016A">
        <w:rPr>
          <w:rFonts w:ascii="Cambria" w:hAnsi="Cambria"/>
          <w:sz w:val="20"/>
        </w:rPr>
        <w:tab/>
      </w:r>
      <w:r w:rsidR="00EF016A">
        <w:rPr>
          <w:rFonts w:ascii="Cambria" w:hAnsi="Cambria"/>
          <w:color w:val="FF0000"/>
          <w:sz w:val="20"/>
        </w:rPr>
        <w:t xml:space="preserve">Non </w:t>
      </w:r>
      <w:r w:rsidR="00EF016A">
        <w:rPr>
          <w:rFonts w:ascii="Wingdings" w:hAnsi="Wingdings"/>
          <w:color w:val="FF0000"/>
          <w:sz w:val="20"/>
        </w:rPr>
        <w:t>x</w:t>
      </w:r>
    </w:p>
    <w:p w14:paraId="3DD1781A" w14:textId="7596599E" w:rsidR="00702087" w:rsidRPr="00883E9F"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Pr>
          <w:rFonts w:ascii="Cambria" w:hAnsi="Cambria"/>
          <w:sz w:val="20"/>
        </w:rPr>
        <w:t xml:space="preserve"> </w:t>
      </w:r>
    </w:p>
    <w:p w14:paraId="27F9400F"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Pr>
          <w:rFonts w:ascii="Cambria" w:hAnsi="Cambria"/>
          <w:sz w:val="20"/>
        </w:rPr>
        <w:t>Brève description des nouveaux travaux scientifiques requis (évaluation des stocks, analyse, consultant externe) :</w:t>
      </w:r>
    </w:p>
    <w:p w14:paraId="201B4549"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73DE23E7"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Oui </w:t>
      </w:r>
      <w:r>
        <w:rPr>
          <w:rFonts w:ascii="Wingdings" w:hAnsi="Wingdings"/>
          <w:sz w:val="20"/>
        </w:rPr>
        <w:t>¨</w:t>
      </w:r>
      <w:r>
        <w:rPr>
          <w:rFonts w:ascii="Cambria" w:hAnsi="Cambria"/>
          <w:sz w:val="20"/>
        </w:rPr>
        <w:t xml:space="preserve">     </w:t>
      </w:r>
      <w:r>
        <w:rPr>
          <w:rFonts w:ascii="Cambria" w:hAnsi="Cambria"/>
          <w:color w:val="FF0000"/>
          <w:sz w:val="20"/>
        </w:rPr>
        <w:t xml:space="preserve"> Non  </w:t>
      </w:r>
      <w:r>
        <w:rPr>
          <w:rFonts w:ascii="Wingdings" w:hAnsi="Wingdings"/>
          <w:color w:val="FF0000"/>
          <w:sz w:val="20"/>
        </w:rPr>
        <w:t>x</w:t>
      </w:r>
    </w:p>
    <w:p w14:paraId="2C145A97"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883E9F"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2262FC02" w14:textId="77777777" w:rsidR="00702087" w:rsidRPr="00D73049"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A6AAFF1" w14:textId="77777777" w:rsidR="00702087" w:rsidRPr="00883E9F" w:rsidRDefault="00702087" w:rsidP="00702087">
      <w:pPr>
        <w:widowControl w:val="0"/>
        <w:autoSpaceDE w:val="0"/>
        <w:autoSpaceDN w:val="0"/>
        <w:spacing w:after="0" w:line="240" w:lineRule="auto"/>
        <w:ind w:left="426"/>
        <w:rPr>
          <w:rFonts w:ascii="Cambria" w:eastAsia="Cambria" w:hAnsi="Cambria" w:cs="Cambria"/>
          <w:kern w:val="0"/>
          <w:sz w:val="20"/>
          <w:szCs w:val="20"/>
          <w14:ligatures w14:val="none"/>
        </w:rPr>
      </w:pPr>
      <w:r>
        <w:rPr>
          <w:rFonts w:ascii="Cambria" w:hAnsi="Cambria"/>
          <w:sz w:val="20"/>
        </w:rPr>
        <w:t xml:space="preserve">Oui </w:t>
      </w:r>
      <w:r>
        <w:rPr>
          <w:rFonts w:ascii="Wingdings" w:hAnsi="Wingdings"/>
          <w:sz w:val="20"/>
        </w:rPr>
        <w:t>¨</w:t>
      </w:r>
      <w:r>
        <w:rPr>
          <w:rFonts w:ascii="Cambria" w:hAnsi="Cambria"/>
          <w:sz w:val="20"/>
        </w:rPr>
        <w:t xml:space="preserve">     </w:t>
      </w:r>
      <w:r>
        <w:rPr>
          <w:rFonts w:ascii="Cambria" w:hAnsi="Cambria"/>
          <w:color w:val="FF0000"/>
          <w:sz w:val="20"/>
        </w:rPr>
        <w:t xml:space="preserve"> Non  </w:t>
      </w:r>
      <w:r>
        <w:rPr>
          <w:rFonts w:ascii="Wingdings" w:hAnsi="Wingdings"/>
          <w:color w:val="FF0000"/>
          <w:sz w:val="20"/>
        </w:rPr>
        <w:t>x</w:t>
      </w:r>
    </w:p>
    <w:p w14:paraId="79EC9AD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Pr>
          <w:rFonts w:ascii="Cambria" w:hAnsi="Cambria"/>
          <w:sz w:val="20"/>
        </w:rPr>
        <w:t>Brève description du nouveau travail requis pour le Secrétariat :</w:t>
      </w:r>
    </w:p>
    <w:p w14:paraId="2BD8097D"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9F0BBE8"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256BA368"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Quel est le calendrier proposé pour la mise en œuvre, et existe-t-il des calendriers spécifiques différents pour certaines CPC, pêcheries, régions, etc. ?</w:t>
      </w:r>
    </w:p>
    <w:p w14:paraId="2D689CBB" w14:textId="77777777" w:rsidR="00702087" w:rsidRPr="00D73049"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EF016A" w:rsidRDefault="00702087" w:rsidP="00702087">
      <w:pPr>
        <w:widowControl w:val="0"/>
        <w:autoSpaceDE w:val="0"/>
        <w:autoSpaceDN w:val="0"/>
        <w:spacing w:after="0" w:line="240" w:lineRule="auto"/>
        <w:ind w:left="426"/>
        <w:rPr>
          <w:rFonts w:ascii="Cambria" w:eastAsia="Cambria" w:hAnsi="Cambria" w:cs="Cambria"/>
          <w:iCs/>
          <w:color w:val="FF0000"/>
          <w:spacing w:val="-2"/>
          <w:kern w:val="0"/>
          <w:sz w:val="20"/>
          <w:szCs w:val="20"/>
          <w14:ligatures w14:val="none"/>
        </w:rPr>
      </w:pPr>
      <w:r w:rsidRPr="00EF016A">
        <w:rPr>
          <w:rFonts w:ascii="Cambria" w:hAnsi="Cambria"/>
          <w:iCs/>
          <w:color w:val="FF0000"/>
          <w:sz w:val="20"/>
        </w:rPr>
        <w:t xml:space="preserve">Entrée en vigueur en 2026. </w:t>
      </w:r>
    </w:p>
    <w:p w14:paraId="4F552925"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EF016A"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Existe-t-il d'autres informations pertinentes concernant les implications de la proposition en termes de ressources et de charge de travail ?</w:t>
      </w:r>
    </w:p>
    <w:p w14:paraId="00F27E0F"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1D50233" w14:textId="4B0FD835" w:rsidR="00702087" w:rsidRPr="00883E9F" w:rsidRDefault="00702087" w:rsidP="00D33653">
      <w:pPr>
        <w:jc w:val="center"/>
        <w:rPr>
          <w:rFonts w:ascii="Cambria" w:eastAsia="Cambria" w:hAnsi="Cambria" w:cs="Cambria"/>
          <w:spacing w:val="-2"/>
          <w:kern w:val="0"/>
          <w:sz w:val="20"/>
          <w:szCs w:val="20"/>
          <w14:ligatures w14:val="none"/>
        </w:rPr>
      </w:pPr>
      <w:r>
        <w:br w:type="page"/>
      </w:r>
    </w:p>
    <w:p w14:paraId="54C13AB4" w14:textId="5B005EC3" w:rsidR="00D73049" w:rsidRPr="00883E9F" w:rsidRDefault="00D73049" w:rsidP="00D73049">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Pr>
          <w:rFonts w:ascii="Cambria" w:hAnsi="Cambria"/>
          <w:b/>
          <w:color w:val="000000"/>
          <w:sz w:val="20"/>
        </w:rPr>
        <w:lastRenderedPageBreak/>
        <w:t xml:space="preserve">Original : </w:t>
      </w:r>
      <w:r>
        <w:rPr>
          <w:rFonts w:ascii="Cambria" w:hAnsi="Cambria"/>
          <w:b/>
          <w:bCs/>
          <w:color w:val="000000"/>
          <w:sz w:val="20"/>
        </w:rPr>
        <w:t>anglais</w:t>
      </w:r>
    </w:p>
    <w:p w14:paraId="7B1E4EC8" w14:textId="77777777" w:rsidR="00D73049" w:rsidRDefault="00D73049" w:rsidP="006418C2">
      <w:pPr>
        <w:spacing w:after="0" w:line="240" w:lineRule="auto"/>
        <w:jc w:val="center"/>
        <w:rPr>
          <w:b/>
          <w:bCs/>
        </w:rPr>
      </w:pPr>
    </w:p>
    <w:p w14:paraId="559EFE18" w14:textId="357AA6EE" w:rsidR="008D1720" w:rsidRDefault="008D1720" w:rsidP="006418C2">
      <w:pPr>
        <w:spacing w:after="0" w:line="240" w:lineRule="auto"/>
        <w:jc w:val="center"/>
        <w:rPr>
          <w:rFonts w:ascii="Cambria" w:hAnsi="Cambria"/>
          <w:b/>
          <w:bCs/>
          <w:sz w:val="20"/>
          <w:szCs w:val="20"/>
        </w:rPr>
      </w:pPr>
      <w:r w:rsidRPr="00E003E8">
        <w:rPr>
          <w:rFonts w:ascii="Cambria" w:hAnsi="Cambria"/>
          <w:b/>
          <w:bCs/>
          <w:sz w:val="20"/>
          <w:szCs w:val="20"/>
        </w:rPr>
        <w:t>Projet de Recommandation de l’ICCAT instituant l’obligation de conserver les ailerons naturellement attachés afin d’en empêcher le prélèvement</w:t>
      </w:r>
    </w:p>
    <w:p w14:paraId="57EAFB96" w14:textId="77777777" w:rsidR="006715ED" w:rsidRPr="008D1720" w:rsidRDefault="006715ED" w:rsidP="006418C2">
      <w:pPr>
        <w:spacing w:after="0" w:line="240" w:lineRule="auto"/>
        <w:jc w:val="center"/>
        <w:rPr>
          <w:rFonts w:ascii="Cambria" w:hAnsi="Cambria"/>
          <w:b/>
          <w:bCs/>
          <w:sz w:val="20"/>
          <w:szCs w:val="20"/>
        </w:rPr>
      </w:pPr>
    </w:p>
    <w:p w14:paraId="5C76A0F6" w14:textId="67BCEB62" w:rsidR="00674B89" w:rsidRPr="00F2154C" w:rsidRDefault="007E7475" w:rsidP="006418C2">
      <w:pPr>
        <w:spacing w:after="0" w:line="240" w:lineRule="auto"/>
        <w:jc w:val="center"/>
        <w:rPr>
          <w:rFonts w:ascii="Cambria" w:eastAsia="Cambria" w:hAnsi="Cambria" w:cs="Cambria"/>
          <w:i/>
          <w:iCs/>
          <w:sz w:val="20"/>
          <w:szCs w:val="20"/>
        </w:rPr>
      </w:pPr>
      <w:r>
        <w:rPr>
          <w:rFonts w:ascii="Cambria" w:hAnsi="Cambria"/>
          <w:i/>
          <w:sz w:val="20"/>
        </w:rPr>
        <w:t>(Document présenté par l’Union européenne)</w:t>
      </w:r>
    </w:p>
    <w:p w14:paraId="676FFA13" w14:textId="77777777" w:rsidR="00032257" w:rsidRPr="00F2154C" w:rsidRDefault="00032257" w:rsidP="00D21AA0">
      <w:pPr>
        <w:spacing w:after="0" w:line="240" w:lineRule="auto"/>
        <w:jc w:val="center"/>
        <w:rPr>
          <w:rFonts w:ascii="Cambria" w:eastAsia="Cambria" w:hAnsi="Cambria" w:cs="Cambria"/>
          <w:b/>
          <w:bCs/>
          <w:sz w:val="20"/>
          <w:szCs w:val="20"/>
        </w:rPr>
      </w:pPr>
    </w:p>
    <w:p w14:paraId="0A8C9A6C" w14:textId="77777777" w:rsidR="00D21AA0" w:rsidRPr="00F2154C" w:rsidRDefault="00D21AA0" w:rsidP="00D21AA0">
      <w:pPr>
        <w:spacing w:after="0" w:line="240" w:lineRule="auto"/>
        <w:jc w:val="center"/>
        <w:rPr>
          <w:rFonts w:ascii="Cambria" w:eastAsia="Cambria" w:hAnsi="Cambria" w:cs="Cambria"/>
          <w:b/>
          <w:bCs/>
          <w:sz w:val="20"/>
          <w:szCs w:val="20"/>
        </w:rPr>
      </w:pPr>
    </w:p>
    <w:p w14:paraId="6B6507CC"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l’utilisation des ratios du poids ailerons-carcasse n’est pas une méthode adéquate pour s’assurer que les ailerons ne sont pas prélevés sur les requins ;</w:t>
      </w:r>
    </w:p>
    <w:p w14:paraId="1DE918BE" w14:textId="77777777" w:rsidR="00B609D8" w:rsidRDefault="00B609D8" w:rsidP="008D1720">
      <w:pPr>
        <w:spacing w:after="0" w:line="240" w:lineRule="auto"/>
        <w:ind w:firstLine="426"/>
        <w:jc w:val="both"/>
        <w:rPr>
          <w:rFonts w:ascii="Cambria" w:eastAsia="Cambria" w:hAnsi="Cambria" w:cs="Cambria"/>
          <w:i/>
          <w:iCs/>
          <w:sz w:val="20"/>
          <w:szCs w:val="20"/>
        </w:rPr>
      </w:pPr>
    </w:p>
    <w:p w14:paraId="06EF0594"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l’identification des requins par espèce est rarement possible lorsque les ailerons ont été retirés des carcasses ;</w:t>
      </w:r>
    </w:p>
    <w:p w14:paraId="7DB783C4" w14:textId="77777777" w:rsidR="00B609D8" w:rsidRPr="00B609D8" w:rsidRDefault="00B609D8" w:rsidP="008D1720">
      <w:pPr>
        <w:spacing w:after="0" w:line="240" w:lineRule="auto"/>
        <w:ind w:firstLine="426"/>
        <w:jc w:val="both"/>
        <w:rPr>
          <w:rFonts w:ascii="Cambria" w:eastAsia="Cambria" w:hAnsi="Cambria" w:cs="Cambria"/>
          <w:i/>
          <w:iCs/>
          <w:sz w:val="20"/>
          <w:szCs w:val="20"/>
        </w:rPr>
      </w:pPr>
    </w:p>
    <w:p w14:paraId="172E4BEB" w14:textId="2CDD8350" w:rsidR="00B609D8" w:rsidRPr="003216A6" w:rsidRDefault="00B609D8" w:rsidP="008D1720">
      <w:pPr>
        <w:spacing w:after="0" w:line="240" w:lineRule="auto"/>
        <w:ind w:firstLine="426"/>
        <w:jc w:val="both"/>
        <w:rPr>
          <w:rFonts w:ascii="Cambria" w:eastAsia="Cambria" w:hAnsi="Cambria" w:cs="Cambria"/>
          <w:iCs/>
          <w:sz w:val="20"/>
          <w:szCs w:val="20"/>
        </w:rPr>
      </w:pPr>
      <w:r w:rsidRPr="005A4BFE">
        <w:rPr>
          <w:rFonts w:ascii="Cambria" w:hAnsi="Cambria"/>
          <w:i/>
          <w:sz w:val="20"/>
        </w:rPr>
        <w:t xml:space="preserve">RAPPELANT EN OUTRE que </w:t>
      </w:r>
      <w:r w:rsidRPr="005A4BFE">
        <w:rPr>
          <w:rFonts w:ascii="Cambria" w:hAnsi="Cambria"/>
          <w:iCs/>
          <w:sz w:val="20"/>
        </w:rPr>
        <w:t xml:space="preserve">l'Assemblée générale des Nations Unies a adopté des Résolutions par consensus chaque année de 2007 à 2023 (62/177, 63/112, 64/72, 65/38, 66/68, 67/79, 68/71, 69/109, 70/75, 71/123, 72/72, 73/125, 74/18, 75/89, 76/71, 77/242 et 78/68), invitant les États à prendre des mesures immédiates et concertées pour améliorer la mise en œuvre et le respect </w:t>
      </w:r>
      <w:r w:rsidR="00BE5E57" w:rsidRPr="005A4BFE">
        <w:rPr>
          <w:rFonts w:ascii="Cambria" w:hAnsi="Cambria"/>
          <w:iCs/>
          <w:sz w:val="20"/>
        </w:rPr>
        <w:t xml:space="preserve">des </w:t>
      </w:r>
      <w:r w:rsidR="00BE5E57" w:rsidRPr="005A4BFE">
        <w:rPr>
          <w:rFonts w:ascii="Cambria" w:hAnsi="Cambria"/>
          <w:iCs/>
          <w:sz w:val="20"/>
        </w:rPr>
        <w:t xml:space="preserve">mesures nationales </w:t>
      </w:r>
      <w:r w:rsidR="00BE5E57" w:rsidRPr="005A4BFE">
        <w:rPr>
          <w:rFonts w:ascii="Cambria" w:hAnsi="Cambria"/>
          <w:iCs/>
          <w:sz w:val="20"/>
        </w:rPr>
        <w:t xml:space="preserve">et </w:t>
      </w:r>
      <w:r w:rsidRPr="005A4BFE">
        <w:rPr>
          <w:rFonts w:ascii="Cambria" w:hAnsi="Cambria"/>
          <w:iCs/>
          <w:sz w:val="20"/>
        </w:rPr>
        <w:t>des organisations ou arrangements régionaux de gestion des pêches existants qui réglementent les pêcheries de requins et les prises accidentelles de requins, en particulier les mesures qui interdisent ou restreignent les pêcheries</w:t>
      </w:r>
      <w:r w:rsidR="00BE5E57" w:rsidRPr="005A4BFE">
        <w:rPr>
          <w:rFonts w:ascii="Cambria" w:hAnsi="Cambria"/>
          <w:iCs/>
          <w:sz w:val="20"/>
        </w:rPr>
        <w:t> ;</w:t>
      </w:r>
    </w:p>
    <w:p w14:paraId="6894AE28" w14:textId="671D9631" w:rsidR="003660BE" w:rsidRDefault="003660BE" w:rsidP="00B609D8">
      <w:pPr>
        <w:spacing w:after="0" w:line="240" w:lineRule="auto"/>
        <w:jc w:val="both"/>
        <w:rPr>
          <w:rFonts w:ascii="Cambria" w:eastAsia="Cambria" w:hAnsi="Cambria" w:cs="Cambria"/>
          <w:i/>
          <w:iCs/>
          <w:sz w:val="20"/>
          <w:szCs w:val="20"/>
        </w:rPr>
      </w:pPr>
    </w:p>
    <w:p w14:paraId="71E270E9" w14:textId="13E8484F" w:rsidR="003660BE"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LA COMMISSION INTERNATIONALE POUR LA CONSERVATION</w:t>
      </w:r>
    </w:p>
    <w:p w14:paraId="120156FE" w14:textId="2AEA1989" w:rsidR="00B84EAF"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DES THONIDÉS DE L’ATLANTIQUE (ICCAT) RECOMMANDE CE QUI SUIT :</w:t>
      </w:r>
    </w:p>
    <w:p w14:paraId="26BDCD88" w14:textId="77777777" w:rsidR="00D21AA0" w:rsidRPr="00F2154C" w:rsidRDefault="00D21AA0" w:rsidP="00D21AA0">
      <w:pPr>
        <w:spacing w:after="0" w:line="240" w:lineRule="auto"/>
        <w:jc w:val="both"/>
        <w:rPr>
          <w:rFonts w:ascii="Cambria" w:eastAsia="Cambria" w:hAnsi="Cambria" w:cs="Cambria"/>
          <w:b/>
          <w:bCs/>
          <w:sz w:val="20"/>
          <w:szCs w:val="20"/>
        </w:rPr>
      </w:pPr>
    </w:p>
    <w:p w14:paraId="7F8FEDBD" w14:textId="34A4081F" w:rsidR="00CE0F2B" w:rsidRPr="002E6F8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sidRPr="002E6F85">
        <w:rPr>
          <w:rFonts w:ascii="Cambria" w:hAnsi="Cambria"/>
          <w:sz w:val="20"/>
        </w:rPr>
        <w:t xml:space="preserve">Les CPC devront interdire la pratique du prélèvement des ailerons (c'est-à-dire la pratique consistant à retirer un aileron du corps d'un requin et à rejeter </w:t>
      </w:r>
      <w:r w:rsidR="002E6F85" w:rsidRPr="002E6F85">
        <w:rPr>
          <w:rFonts w:ascii="Cambria" w:hAnsi="Cambria"/>
          <w:sz w:val="20"/>
        </w:rPr>
        <w:t>le</w:t>
      </w:r>
      <w:r w:rsidRPr="002E6F85">
        <w:rPr>
          <w:rFonts w:ascii="Cambria" w:hAnsi="Cambria"/>
          <w:sz w:val="20"/>
        </w:rPr>
        <w:t xml:space="preserve"> corps avant le débarquement) et devront exiger que tous les requins soient débarqués avec leurs ailerons naturellement attachés (entièrement ou partiellement) jusqu'au point de premier débarquement du requin. </w:t>
      </w:r>
    </w:p>
    <w:p w14:paraId="55F84A3E" w14:textId="77777777" w:rsidR="00CE0F2B" w:rsidRPr="00CE0F2B" w:rsidRDefault="00CE0F2B" w:rsidP="008D1720">
      <w:pPr>
        <w:pStyle w:val="ListParagraph"/>
        <w:spacing w:after="0" w:line="240" w:lineRule="auto"/>
        <w:ind w:left="426" w:hanging="426"/>
        <w:jc w:val="both"/>
        <w:rPr>
          <w:rFonts w:ascii="Cambria" w:eastAsia="Cambria" w:hAnsi="Cambria" w:cs="Cambria"/>
          <w:b/>
          <w:bCs/>
          <w:sz w:val="20"/>
          <w:szCs w:val="20"/>
        </w:rPr>
      </w:pPr>
    </w:p>
    <w:p w14:paraId="684E5FF4" w14:textId="05AF58A4" w:rsidR="004605FA" w:rsidRPr="003F18B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Pr>
          <w:rFonts w:ascii="Cambria" w:hAnsi="Cambria"/>
          <w:sz w:val="20"/>
        </w:rPr>
        <w:t xml:space="preserve">Les CPC devront interdire aux navires de retenir à bord, transborder ou débarquer des ailerons de requins prélevés à l’encontre de la disposition antérieure. </w:t>
      </w:r>
    </w:p>
    <w:p w14:paraId="78A09E0E" w14:textId="6AC557BC" w:rsidR="00674B89" w:rsidRPr="003F18B5" w:rsidRDefault="00674B89" w:rsidP="003F18B5">
      <w:pPr>
        <w:widowControl w:val="0"/>
        <w:tabs>
          <w:tab w:val="left" w:pos="968"/>
        </w:tabs>
        <w:autoSpaceDE w:val="0"/>
        <w:autoSpaceDN w:val="0"/>
        <w:spacing w:after="0" w:line="240" w:lineRule="auto"/>
        <w:rPr>
          <w:rFonts w:ascii="Cambria" w:eastAsia="Cambria" w:hAnsi="Cambria" w:cs="Cambria"/>
          <w:sz w:val="20"/>
          <w:szCs w:val="20"/>
        </w:rPr>
      </w:pPr>
    </w:p>
    <w:sectPr w:rsidR="00674B89" w:rsidRPr="003F18B5"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7CBB" w14:textId="77777777" w:rsidR="00030EC8" w:rsidRDefault="00030EC8" w:rsidP="00B84EAF">
      <w:pPr>
        <w:spacing w:after="0" w:line="240" w:lineRule="auto"/>
      </w:pPr>
      <w:r>
        <w:separator/>
      </w:r>
    </w:p>
  </w:endnote>
  <w:endnote w:type="continuationSeparator" w:id="0">
    <w:p w14:paraId="10114757" w14:textId="77777777" w:rsidR="00030EC8" w:rsidRDefault="00030EC8"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Pr>
        <w:rFonts w:ascii="Cambria" w:eastAsia="Calibri" w:hAnsi="Cambria" w:cs="Calibri"/>
        <w:sz w:val="20"/>
      </w:rPr>
      <w:t>7</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00B4" w14:textId="77777777" w:rsidR="00030EC8" w:rsidRDefault="00030EC8" w:rsidP="00B84EAF">
      <w:pPr>
        <w:spacing w:after="0" w:line="240" w:lineRule="auto"/>
      </w:pPr>
      <w:r>
        <w:separator/>
      </w:r>
    </w:p>
  </w:footnote>
  <w:footnote w:type="continuationSeparator" w:id="0">
    <w:p w14:paraId="5F050BC3" w14:textId="77777777" w:rsidR="00030EC8" w:rsidRDefault="00030EC8"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1EA6DEEF"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w:t>
    </w:r>
    <w:r w:rsidR="00D73049">
      <w:rPr>
        <w:rFonts w:ascii="Cambria" w:hAnsi="Cambria"/>
        <w:b/>
        <w:sz w:val="20"/>
      </w:rPr>
      <w:t>807</w:t>
    </w:r>
    <w:r>
      <w:rPr>
        <w:rFonts w:ascii="Cambria" w:hAnsi="Cambria"/>
        <w:b/>
        <w:sz w:val="20"/>
      </w:rPr>
      <w:t>/2025</w:t>
    </w:r>
  </w:p>
  <w:p w14:paraId="0045E2C1" w14:textId="20900CCA" w:rsidR="00013CD3" w:rsidRDefault="00013CD3" w:rsidP="00013CD3">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A94EBD">
      <w:rPr>
        <w:rFonts w:ascii="Cambria" w:eastAsia="Calibri" w:hAnsi="Cambria" w:cs="Times New Roman"/>
        <w:b/>
        <w:noProof/>
        <w:sz w:val="16"/>
      </w:rPr>
      <w:t>20/10/2025 14:56</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B721859"/>
    <w:multiLevelType w:val="hybridMultilevel"/>
    <w:tmpl w:val="51CA1F1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1"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2"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4"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5"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6"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7"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8"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4"/>
  </w:num>
  <w:num w:numId="3" w16cid:durableId="604267144">
    <w:abstractNumId w:val="36"/>
  </w:num>
  <w:num w:numId="4" w16cid:durableId="725228533">
    <w:abstractNumId w:val="16"/>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1"/>
  </w:num>
  <w:num w:numId="11" w16cid:durableId="642392876">
    <w:abstractNumId w:val="0"/>
  </w:num>
  <w:num w:numId="12" w16cid:durableId="1655841022">
    <w:abstractNumId w:val="5"/>
  </w:num>
  <w:num w:numId="13" w16cid:durableId="1878614658">
    <w:abstractNumId w:val="24"/>
  </w:num>
  <w:num w:numId="14" w16cid:durableId="1415780830">
    <w:abstractNumId w:val="22"/>
  </w:num>
  <w:num w:numId="15" w16cid:durableId="1297682021">
    <w:abstractNumId w:val="37"/>
  </w:num>
  <w:num w:numId="16" w16cid:durableId="1178695462">
    <w:abstractNumId w:val="40"/>
  </w:num>
  <w:num w:numId="17" w16cid:durableId="258411823">
    <w:abstractNumId w:val="13"/>
  </w:num>
  <w:num w:numId="18" w16cid:durableId="2088069302">
    <w:abstractNumId w:val="2"/>
  </w:num>
  <w:num w:numId="19" w16cid:durableId="1941987457">
    <w:abstractNumId w:val="29"/>
  </w:num>
  <w:num w:numId="20" w16cid:durableId="2068410738">
    <w:abstractNumId w:val="17"/>
  </w:num>
  <w:num w:numId="21" w16cid:durableId="478807828">
    <w:abstractNumId w:val="8"/>
  </w:num>
  <w:num w:numId="22" w16cid:durableId="1600018047">
    <w:abstractNumId w:val="28"/>
  </w:num>
  <w:num w:numId="23" w16cid:durableId="1681001871">
    <w:abstractNumId w:val="33"/>
  </w:num>
  <w:num w:numId="24" w16cid:durableId="1252007127">
    <w:abstractNumId w:val="18"/>
  </w:num>
  <w:num w:numId="25" w16cid:durableId="1253587060">
    <w:abstractNumId w:val="35"/>
  </w:num>
  <w:num w:numId="26" w16cid:durableId="1357122523">
    <w:abstractNumId w:val="10"/>
  </w:num>
  <w:num w:numId="27" w16cid:durableId="1279096909">
    <w:abstractNumId w:val="39"/>
  </w:num>
  <w:num w:numId="28" w16cid:durableId="1687907736">
    <w:abstractNumId w:val="26"/>
  </w:num>
  <w:num w:numId="29" w16cid:durableId="1363508724">
    <w:abstractNumId w:val="30"/>
  </w:num>
  <w:num w:numId="30" w16cid:durableId="1201211213">
    <w:abstractNumId w:val="27"/>
  </w:num>
  <w:num w:numId="31" w16cid:durableId="3092742">
    <w:abstractNumId w:val="41"/>
  </w:num>
  <w:num w:numId="32" w16cid:durableId="921110668">
    <w:abstractNumId w:val="1"/>
  </w:num>
  <w:num w:numId="33" w16cid:durableId="1868829063">
    <w:abstractNumId w:val="21"/>
  </w:num>
  <w:num w:numId="34" w16cid:durableId="42142287">
    <w:abstractNumId w:val="23"/>
  </w:num>
  <w:num w:numId="35" w16cid:durableId="421075572">
    <w:abstractNumId w:val="14"/>
  </w:num>
  <w:num w:numId="36" w16cid:durableId="225923858">
    <w:abstractNumId w:val="20"/>
  </w:num>
  <w:num w:numId="37" w16cid:durableId="1038554527">
    <w:abstractNumId w:val="25"/>
  </w:num>
  <w:num w:numId="38" w16cid:durableId="484274691">
    <w:abstractNumId w:val="19"/>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2"/>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8"/>
  </w:num>
  <w:num w:numId="43" w16cid:durableId="283004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6476"/>
    <w:rsid w:val="00010A11"/>
    <w:rsid w:val="00013CD3"/>
    <w:rsid w:val="00016193"/>
    <w:rsid w:val="000168B4"/>
    <w:rsid w:val="000212A0"/>
    <w:rsid w:val="000228D3"/>
    <w:rsid w:val="0002332A"/>
    <w:rsid w:val="000274BE"/>
    <w:rsid w:val="00030656"/>
    <w:rsid w:val="00030EC8"/>
    <w:rsid w:val="00032257"/>
    <w:rsid w:val="00034A64"/>
    <w:rsid w:val="0003602D"/>
    <w:rsid w:val="00040361"/>
    <w:rsid w:val="00053955"/>
    <w:rsid w:val="0005786C"/>
    <w:rsid w:val="00062804"/>
    <w:rsid w:val="00066593"/>
    <w:rsid w:val="00074F72"/>
    <w:rsid w:val="00086384"/>
    <w:rsid w:val="000874E2"/>
    <w:rsid w:val="0009C300"/>
    <w:rsid w:val="000A0D8D"/>
    <w:rsid w:val="000A1E4B"/>
    <w:rsid w:val="000A4132"/>
    <w:rsid w:val="000A454B"/>
    <w:rsid w:val="000A7AEF"/>
    <w:rsid w:val="000B3C7A"/>
    <w:rsid w:val="000B43C5"/>
    <w:rsid w:val="000B64BB"/>
    <w:rsid w:val="000C44E1"/>
    <w:rsid w:val="000C4E9F"/>
    <w:rsid w:val="000C61A4"/>
    <w:rsid w:val="000C6F77"/>
    <w:rsid w:val="000D11F6"/>
    <w:rsid w:val="000D5ED3"/>
    <w:rsid w:val="000E6A85"/>
    <w:rsid w:val="000F30B5"/>
    <w:rsid w:val="001064D5"/>
    <w:rsid w:val="00112A72"/>
    <w:rsid w:val="00117882"/>
    <w:rsid w:val="001207D7"/>
    <w:rsid w:val="00120AFB"/>
    <w:rsid w:val="001210F7"/>
    <w:rsid w:val="00122188"/>
    <w:rsid w:val="00123310"/>
    <w:rsid w:val="00130DDF"/>
    <w:rsid w:val="00143ABD"/>
    <w:rsid w:val="00144AA9"/>
    <w:rsid w:val="00145B3C"/>
    <w:rsid w:val="00146519"/>
    <w:rsid w:val="001547E9"/>
    <w:rsid w:val="00155A11"/>
    <w:rsid w:val="00157249"/>
    <w:rsid w:val="00160708"/>
    <w:rsid w:val="001607F1"/>
    <w:rsid w:val="00162CF0"/>
    <w:rsid w:val="00166EBD"/>
    <w:rsid w:val="0017408E"/>
    <w:rsid w:val="00174614"/>
    <w:rsid w:val="00175E09"/>
    <w:rsid w:val="0017DDFE"/>
    <w:rsid w:val="00184E4B"/>
    <w:rsid w:val="00197DF5"/>
    <w:rsid w:val="001C69AD"/>
    <w:rsid w:val="001D0113"/>
    <w:rsid w:val="001D2751"/>
    <w:rsid w:val="001F04CC"/>
    <w:rsid w:val="001F1A4B"/>
    <w:rsid w:val="001F42DB"/>
    <w:rsid w:val="001F68AA"/>
    <w:rsid w:val="0020310E"/>
    <w:rsid w:val="00211455"/>
    <w:rsid w:val="00225F67"/>
    <w:rsid w:val="0022787E"/>
    <w:rsid w:val="00234705"/>
    <w:rsid w:val="00235E76"/>
    <w:rsid w:val="002375A7"/>
    <w:rsid w:val="00243F88"/>
    <w:rsid w:val="002449E7"/>
    <w:rsid w:val="00250059"/>
    <w:rsid w:val="00251A2B"/>
    <w:rsid w:val="002603AC"/>
    <w:rsid w:val="00261DE8"/>
    <w:rsid w:val="00262BFB"/>
    <w:rsid w:val="00263452"/>
    <w:rsid w:val="00266FA8"/>
    <w:rsid w:val="00280344"/>
    <w:rsid w:val="002813C9"/>
    <w:rsid w:val="002857CD"/>
    <w:rsid w:val="00292CEF"/>
    <w:rsid w:val="002A588A"/>
    <w:rsid w:val="002B0ACF"/>
    <w:rsid w:val="002B3671"/>
    <w:rsid w:val="002B460F"/>
    <w:rsid w:val="002C0CE6"/>
    <w:rsid w:val="002C7BBD"/>
    <w:rsid w:val="002D1BE7"/>
    <w:rsid w:val="002D639D"/>
    <w:rsid w:val="002D6FA9"/>
    <w:rsid w:val="002E3C9C"/>
    <w:rsid w:val="002E593B"/>
    <w:rsid w:val="002E6F85"/>
    <w:rsid w:val="002F4742"/>
    <w:rsid w:val="0030241C"/>
    <w:rsid w:val="003126E0"/>
    <w:rsid w:val="003216A6"/>
    <w:rsid w:val="0033305B"/>
    <w:rsid w:val="00334FAE"/>
    <w:rsid w:val="00343A41"/>
    <w:rsid w:val="00344086"/>
    <w:rsid w:val="003475D0"/>
    <w:rsid w:val="0035430C"/>
    <w:rsid w:val="00357628"/>
    <w:rsid w:val="00362996"/>
    <w:rsid w:val="003660BE"/>
    <w:rsid w:val="003723D1"/>
    <w:rsid w:val="003728E2"/>
    <w:rsid w:val="003738CE"/>
    <w:rsid w:val="00382390"/>
    <w:rsid w:val="0038249E"/>
    <w:rsid w:val="00387AF8"/>
    <w:rsid w:val="00387EAA"/>
    <w:rsid w:val="0039005D"/>
    <w:rsid w:val="00392D36"/>
    <w:rsid w:val="00394F98"/>
    <w:rsid w:val="003A363C"/>
    <w:rsid w:val="003A3A5A"/>
    <w:rsid w:val="003A567A"/>
    <w:rsid w:val="003B153C"/>
    <w:rsid w:val="003B3788"/>
    <w:rsid w:val="003B5158"/>
    <w:rsid w:val="003B760F"/>
    <w:rsid w:val="003D2BFF"/>
    <w:rsid w:val="003D67E3"/>
    <w:rsid w:val="003E16F0"/>
    <w:rsid w:val="003E40FC"/>
    <w:rsid w:val="003E7C99"/>
    <w:rsid w:val="003F18B5"/>
    <w:rsid w:val="003F1A29"/>
    <w:rsid w:val="003F69A5"/>
    <w:rsid w:val="003F7970"/>
    <w:rsid w:val="00402953"/>
    <w:rsid w:val="0042054A"/>
    <w:rsid w:val="00432083"/>
    <w:rsid w:val="00435671"/>
    <w:rsid w:val="004503BA"/>
    <w:rsid w:val="004518FE"/>
    <w:rsid w:val="00454AE2"/>
    <w:rsid w:val="00457B68"/>
    <w:rsid w:val="004605FA"/>
    <w:rsid w:val="00473BFC"/>
    <w:rsid w:val="004757C8"/>
    <w:rsid w:val="00483EFF"/>
    <w:rsid w:val="004858CB"/>
    <w:rsid w:val="00487DCD"/>
    <w:rsid w:val="00497468"/>
    <w:rsid w:val="004A0FCE"/>
    <w:rsid w:val="004A2EFF"/>
    <w:rsid w:val="004B1B36"/>
    <w:rsid w:val="004B55B8"/>
    <w:rsid w:val="004B7BF8"/>
    <w:rsid w:val="004C224D"/>
    <w:rsid w:val="004C3388"/>
    <w:rsid w:val="004C7241"/>
    <w:rsid w:val="004D153E"/>
    <w:rsid w:val="004D25FD"/>
    <w:rsid w:val="004D6368"/>
    <w:rsid w:val="004D7BED"/>
    <w:rsid w:val="004E1803"/>
    <w:rsid w:val="004F523B"/>
    <w:rsid w:val="004F6D24"/>
    <w:rsid w:val="00511A34"/>
    <w:rsid w:val="00512425"/>
    <w:rsid w:val="0051375E"/>
    <w:rsid w:val="005139E6"/>
    <w:rsid w:val="00515F5E"/>
    <w:rsid w:val="0051710C"/>
    <w:rsid w:val="00520511"/>
    <w:rsid w:val="00522917"/>
    <w:rsid w:val="00527795"/>
    <w:rsid w:val="005371CF"/>
    <w:rsid w:val="00550092"/>
    <w:rsid w:val="005547CF"/>
    <w:rsid w:val="00554B65"/>
    <w:rsid w:val="00562F83"/>
    <w:rsid w:val="005651AA"/>
    <w:rsid w:val="005667F3"/>
    <w:rsid w:val="005849AF"/>
    <w:rsid w:val="005957CD"/>
    <w:rsid w:val="005A2475"/>
    <w:rsid w:val="005A4BFE"/>
    <w:rsid w:val="005B2EAD"/>
    <w:rsid w:val="005C02DC"/>
    <w:rsid w:val="005C2233"/>
    <w:rsid w:val="005C3F1B"/>
    <w:rsid w:val="005C4175"/>
    <w:rsid w:val="005D1FC9"/>
    <w:rsid w:val="005D2812"/>
    <w:rsid w:val="005D4DE0"/>
    <w:rsid w:val="005D5465"/>
    <w:rsid w:val="005D5E24"/>
    <w:rsid w:val="005E3241"/>
    <w:rsid w:val="005E6C45"/>
    <w:rsid w:val="005E7DCA"/>
    <w:rsid w:val="00602A76"/>
    <w:rsid w:val="00620868"/>
    <w:rsid w:val="00627885"/>
    <w:rsid w:val="0063367E"/>
    <w:rsid w:val="00635A1B"/>
    <w:rsid w:val="006418C2"/>
    <w:rsid w:val="006435B4"/>
    <w:rsid w:val="00644D3F"/>
    <w:rsid w:val="00650334"/>
    <w:rsid w:val="006517A6"/>
    <w:rsid w:val="00651D7F"/>
    <w:rsid w:val="00661B65"/>
    <w:rsid w:val="006715ED"/>
    <w:rsid w:val="00674B89"/>
    <w:rsid w:val="006775A5"/>
    <w:rsid w:val="006923DD"/>
    <w:rsid w:val="006A1F00"/>
    <w:rsid w:val="006A2BC7"/>
    <w:rsid w:val="006A68ED"/>
    <w:rsid w:val="006C0303"/>
    <w:rsid w:val="006C42EC"/>
    <w:rsid w:val="006E5713"/>
    <w:rsid w:val="006E5BA3"/>
    <w:rsid w:val="007013A6"/>
    <w:rsid w:val="00702087"/>
    <w:rsid w:val="007159B5"/>
    <w:rsid w:val="00716ADF"/>
    <w:rsid w:val="00737087"/>
    <w:rsid w:val="00740034"/>
    <w:rsid w:val="00747BE4"/>
    <w:rsid w:val="007556C1"/>
    <w:rsid w:val="0076552C"/>
    <w:rsid w:val="00765BD8"/>
    <w:rsid w:val="00770932"/>
    <w:rsid w:val="0077218C"/>
    <w:rsid w:val="00786CC7"/>
    <w:rsid w:val="007A4B8D"/>
    <w:rsid w:val="007A57BB"/>
    <w:rsid w:val="007B12D5"/>
    <w:rsid w:val="007B1BD7"/>
    <w:rsid w:val="007B1CEC"/>
    <w:rsid w:val="007B1FC6"/>
    <w:rsid w:val="007B52C0"/>
    <w:rsid w:val="007B6458"/>
    <w:rsid w:val="007C657D"/>
    <w:rsid w:val="007C65A0"/>
    <w:rsid w:val="007E1F39"/>
    <w:rsid w:val="007E345E"/>
    <w:rsid w:val="007E53EF"/>
    <w:rsid w:val="007E596A"/>
    <w:rsid w:val="007E7475"/>
    <w:rsid w:val="007F02FA"/>
    <w:rsid w:val="007F0FEF"/>
    <w:rsid w:val="007F1630"/>
    <w:rsid w:val="008003EA"/>
    <w:rsid w:val="00802CDF"/>
    <w:rsid w:val="008246AA"/>
    <w:rsid w:val="008309DE"/>
    <w:rsid w:val="00834108"/>
    <w:rsid w:val="00834E35"/>
    <w:rsid w:val="008507B5"/>
    <w:rsid w:val="00857537"/>
    <w:rsid w:val="0086617C"/>
    <w:rsid w:val="00867033"/>
    <w:rsid w:val="0086705B"/>
    <w:rsid w:val="00871065"/>
    <w:rsid w:val="008758E5"/>
    <w:rsid w:val="00877DF6"/>
    <w:rsid w:val="00883234"/>
    <w:rsid w:val="00883E9F"/>
    <w:rsid w:val="0089361E"/>
    <w:rsid w:val="008B7983"/>
    <w:rsid w:val="008C13C2"/>
    <w:rsid w:val="008C1C1A"/>
    <w:rsid w:val="008C268F"/>
    <w:rsid w:val="008D1720"/>
    <w:rsid w:val="008D1F98"/>
    <w:rsid w:val="008D3EC6"/>
    <w:rsid w:val="008F4292"/>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83F1E"/>
    <w:rsid w:val="00985217"/>
    <w:rsid w:val="00987B65"/>
    <w:rsid w:val="00993F43"/>
    <w:rsid w:val="009A03BB"/>
    <w:rsid w:val="009A2835"/>
    <w:rsid w:val="009A363B"/>
    <w:rsid w:val="009A45E0"/>
    <w:rsid w:val="009B2287"/>
    <w:rsid w:val="009B3196"/>
    <w:rsid w:val="009B36BA"/>
    <w:rsid w:val="009C6507"/>
    <w:rsid w:val="009C69B1"/>
    <w:rsid w:val="009D5E6E"/>
    <w:rsid w:val="009F51D6"/>
    <w:rsid w:val="009F647B"/>
    <w:rsid w:val="00A00F6C"/>
    <w:rsid w:val="00A050D6"/>
    <w:rsid w:val="00A11FB3"/>
    <w:rsid w:val="00A12C68"/>
    <w:rsid w:val="00A13E2E"/>
    <w:rsid w:val="00A2136C"/>
    <w:rsid w:val="00A34008"/>
    <w:rsid w:val="00A45F2D"/>
    <w:rsid w:val="00A50D78"/>
    <w:rsid w:val="00A51D6B"/>
    <w:rsid w:val="00A541D4"/>
    <w:rsid w:val="00A54696"/>
    <w:rsid w:val="00A56029"/>
    <w:rsid w:val="00A60EC4"/>
    <w:rsid w:val="00A6518D"/>
    <w:rsid w:val="00A67692"/>
    <w:rsid w:val="00A80651"/>
    <w:rsid w:val="00A838C8"/>
    <w:rsid w:val="00A83946"/>
    <w:rsid w:val="00A94A3F"/>
    <w:rsid w:val="00A94EBD"/>
    <w:rsid w:val="00A95B4E"/>
    <w:rsid w:val="00AA0A1A"/>
    <w:rsid w:val="00AA5ABE"/>
    <w:rsid w:val="00AA67C7"/>
    <w:rsid w:val="00AB3DF9"/>
    <w:rsid w:val="00AB43B4"/>
    <w:rsid w:val="00AC1FAF"/>
    <w:rsid w:val="00AC2310"/>
    <w:rsid w:val="00AC4B79"/>
    <w:rsid w:val="00AD1096"/>
    <w:rsid w:val="00AD23C9"/>
    <w:rsid w:val="00AD4CCF"/>
    <w:rsid w:val="00AE7E22"/>
    <w:rsid w:val="00AF6224"/>
    <w:rsid w:val="00B01F1C"/>
    <w:rsid w:val="00B164BC"/>
    <w:rsid w:val="00B201AD"/>
    <w:rsid w:val="00B22618"/>
    <w:rsid w:val="00B27A0F"/>
    <w:rsid w:val="00B327DF"/>
    <w:rsid w:val="00B360C0"/>
    <w:rsid w:val="00B45FC4"/>
    <w:rsid w:val="00B47BA9"/>
    <w:rsid w:val="00B509D2"/>
    <w:rsid w:val="00B5275F"/>
    <w:rsid w:val="00B54274"/>
    <w:rsid w:val="00B609D8"/>
    <w:rsid w:val="00B6175B"/>
    <w:rsid w:val="00B65B8D"/>
    <w:rsid w:val="00B71083"/>
    <w:rsid w:val="00B732EA"/>
    <w:rsid w:val="00B74063"/>
    <w:rsid w:val="00B846BD"/>
    <w:rsid w:val="00B84EAF"/>
    <w:rsid w:val="00B95B82"/>
    <w:rsid w:val="00B96075"/>
    <w:rsid w:val="00BA69E1"/>
    <w:rsid w:val="00BB11E8"/>
    <w:rsid w:val="00BB3168"/>
    <w:rsid w:val="00BC009A"/>
    <w:rsid w:val="00BC11BF"/>
    <w:rsid w:val="00BC24CD"/>
    <w:rsid w:val="00BC3136"/>
    <w:rsid w:val="00BD10BB"/>
    <w:rsid w:val="00BD28E2"/>
    <w:rsid w:val="00BD5372"/>
    <w:rsid w:val="00BE33ED"/>
    <w:rsid w:val="00BE5E57"/>
    <w:rsid w:val="00BF196C"/>
    <w:rsid w:val="00BF4EB3"/>
    <w:rsid w:val="00C0022A"/>
    <w:rsid w:val="00C10520"/>
    <w:rsid w:val="00C10655"/>
    <w:rsid w:val="00C10E51"/>
    <w:rsid w:val="00C269F0"/>
    <w:rsid w:val="00C278D8"/>
    <w:rsid w:val="00C40913"/>
    <w:rsid w:val="00C51EE4"/>
    <w:rsid w:val="00C53DF1"/>
    <w:rsid w:val="00C55B56"/>
    <w:rsid w:val="00C5652C"/>
    <w:rsid w:val="00C64355"/>
    <w:rsid w:val="00C64BD5"/>
    <w:rsid w:val="00C768E3"/>
    <w:rsid w:val="00C807D3"/>
    <w:rsid w:val="00C818B7"/>
    <w:rsid w:val="00C87A76"/>
    <w:rsid w:val="00C92795"/>
    <w:rsid w:val="00C933AB"/>
    <w:rsid w:val="00C971C4"/>
    <w:rsid w:val="00CA4E5C"/>
    <w:rsid w:val="00CA506E"/>
    <w:rsid w:val="00CB11A8"/>
    <w:rsid w:val="00CC6760"/>
    <w:rsid w:val="00CD6783"/>
    <w:rsid w:val="00CE0E3C"/>
    <w:rsid w:val="00CE0F2B"/>
    <w:rsid w:val="00CF3783"/>
    <w:rsid w:val="00CF61DA"/>
    <w:rsid w:val="00CF7605"/>
    <w:rsid w:val="00D027FD"/>
    <w:rsid w:val="00D03D75"/>
    <w:rsid w:val="00D06112"/>
    <w:rsid w:val="00D14F05"/>
    <w:rsid w:val="00D20A6A"/>
    <w:rsid w:val="00D218B6"/>
    <w:rsid w:val="00D21AA0"/>
    <w:rsid w:val="00D26F1D"/>
    <w:rsid w:val="00D33653"/>
    <w:rsid w:val="00D342CE"/>
    <w:rsid w:val="00D37422"/>
    <w:rsid w:val="00D4110B"/>
    <w:rsid w:val="00D55309"/>
    <w:rsid w:val="00D56A04"/>
    <w:rsid w:val="00D63E2B"/>
    <w:rsid w:val="00D7101A"/>
    <w:rsid w:val="00D7143B"/>
    <w:rsid w:val="00D73049"/>
    <w:rsid w:val="00D73145"/>
    <w:rsid w:val="00D80F6A"/>
    <w:rsid w:val="00D857A0"/>
    <w:rsid w:val="00D95290"/>
    <w:rsid w:val="00D976A6"/>
    <w:rsid w:val="00DA3528"/>
    <w:rsid w:val="00DB1898"/>
    <w:rsid w:val="00DB6B45"/>
    <w:rsid w:val="00DC673A"/>
    <w:rsid w:val="00DE25BE"/>
    <w:rsid w:val="00DE6251"/>
    <w:rsid w:val="00DE75CD"/>
    <w:rsid w:val="00DF0588"/>
    <w:rsid w:val="00DF3FE0"/>
    <w:rsid w:val="00DF4840"/>
    <w:rsid w:val="00E003E8"/>
    <w:rsid w:val="00E0605B"/>
    <w:rsid w:val="00E1001D"/>
    <w:rsid w:val="00E12A42"/>
    <w:rsid w:val="00E17483"/>
    <w:rsid w:val="00E2325A"/>
    <w:rsid w:val="00E35683"/>
    <w:rsid w:val="00E41F2D"/>
    <w:rsid w:val="00E5412E"/>
    <w:rsid w:val="00E54810"/>
    <w:rsid w:val="00E55103"/>
    <w:rsid w:val="00E560CA"/>
    <w:rsid w:val="00E57F09"/>
    <w:rsid w:val="00E625EF"/>
    <w:rsid w:val="00E6366F"/>
    <w:rsid w:val="00E6749B"/>
    <w:rsid w:val="00E717CE"/>
    <w:rsid w:val="00E7544A"/>
    <w:rsid w:val="00E76893"/>
    <w:rsid w:val="00E85893"/>
    <w:rsid w:val="00E864A5"/>
    <w:rsid w:val="00E9069E"/>
    <w:rsid w:val="00E97279"/>
    <w:rsid w:val="00EA1EF7"/>
    <w:rsid w:val="00EA338D"/>
    <w:rsid w:val="00EA4703"/>
    <w:rsid w:val="00EA5470"/>
    <w:rsid w:val="00EA7519"/>
    <w:rsid w:val="00EB1DE3"/>
    <w:rsid w:val="00EB233E"/>
    <w:rsid w:val="00EB3984"/>
    <w:rsid w:val="00EC12AC"/>
    <w:rsid w:val="00EC1E70"/>
    <w:rsid w:val="00EC23CD"/>
    <w:rsid w:val="00EC6C52"/>
    <w:rsid w:val="00ED0DAB"/>
    <w:rsid w:val="00ED2762"/>
    <w:rsid w:val="00ED689E"/>
    <w:rsid w:val="00EE41FE"/>
    <w:rsid w:val="00EF016A"/>
    <w:rsid w:val="00EF3D98"/>
    <w:rsid w:val="00EF6F47"/>
    <w:rsid w:val="00EF71F4"/>
    <w:rsid w:val="00F00DC7"/>
    <w:rsid w:val="00F01D01"/>
    <w:rsid w:val="00F14A46"/>
    <w:rsid w:val="00F2154C"/>
    <w:rsid w:val="00F25648"/>
    <w:rsid w:val="00F323C1"/>
    <w:rsid w:val="00F36B23"/>
    <w:rsid w:val="00F418C7"/>
    <w:rsid w:val="00F4322F"/>
    <w:rsid w:val="00F450F5"/>
    <w:rsid w:val="00F46EDE"/>
    <w:rsid w:val="00F54D5A"/>
    <w:rsid w:val="00F56A1A"/>
    <w:rsid w:val="00F612A7"/>
    <w:rsid w:val="00F6286C"/>
    <w:rsid w:val="00F76C23"/>
    <w:rsid w:val="00F81D17"/>
    <w:rsid w:val="00F85606"/>
    <w:rsid w:val="00F92333"/>
    <w:rsid w:val="00F933B2"/>
    <w:rsid w:val="00F97884"/>
    <w:rsid w:val="00F97D27"/>
    <w:rsid w:val="00FA197A"/>
    <w:rsid w:val="00FA27BF"/>
    <w:rsid w:val="00FA2FA8"/>
    <w:rsid w:val="00FB064C"/>
    <w:rsid w:val="00FB194E"/>
    <w:rsid w:val="00FB1D56"/>
    <w:rsid w:val="00FB7595"/>
    <w:rsid w:val="00FC6203"/>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A68A7B53-171B-44C5-A656-A6AC151C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customXml/itemProps3.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4.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2025-09-17T09:35:00Z</dcterms:created>
  <dcterms:modified xsi:type="dcterms:W3CDTF">2025-10-20T13:06:00Z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