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889C" w14:textId="6BEB1D30" w:rsidR="00361A73" w:rsidRPr="00361A73" w:rsidRDefault="00361A73" w:rsidP="00DE318B">
      <w:pPr>
        <w:widowControl w:val="0"/>
        <w:autoSpaceDE w:val="0"/>
        <w:autoSpaceDN w:val="0"/>
        <w:jc w:val="center"/>
        <w:rPr>
          <w:b/>
        </w:rPr>
      </w:pPr>
      <w:r w:rsidRPr="00361A73">
        <w:rPr>
          <w:b/>
        </w:rPr>
        <w:t>Page de garde accompagnant les nouvelles propositions</w:t>
      </w:r>
    </w:p>
    <w:p w14:paraId="032AB672" w14:textId="77777777" w:rsidR="00361A73" w:rsidRPr="00361A73" w:rsidRDefault="00361A73" w:rsidP="00361A73">
      <w:pPr>
        <w:widowControl w:val="0"/>
        <w:autoSpaceDE w:val="0"/>
        <w:autoSpaceDN w:val="0"/>
        <w:spacing w:before="63"/>
        <w:jc w:val="left"/>
        <w:rPr>
          <w:b/>
        </w:rPr>
      </w:pPr>
    </w:p>
    <w:p w14:paraId="18A5EAF0" w14:textId="38879284" w:rsidR="00361A73" w:rsidRPr="00361A73" w:rsidRDefault="00361A73" w:rsidP="00361A73">
      <w:pPr>
        <w:widowControl w:val="0"/>
        <w:autoSpaceDE w:val="0"/>
        <w:autoSpaceDN w:val="0"/>
        <w:spacing w:line="234" w:lineRule="exact"/>
        <w:ind w:left="281" w:right="201"/>
        <w:jc w:val="center"/>
        <w:rPr>
          <w:i/>
        </w:rPr>
      </w:pPr>
      <w:r w:rsidRPr="00361A73">
        <w:rPr>
          <w:i/>
        </w:rPr>
        <w:t xml:space="preserve">(Document soumis par </w:t>
      </w:r>
      <w:r w:rsidR="0065700D" w:rsidRPr="007848A3">
        <w:rPr>
          <w:i/>
        </w:rPr>
        <w:t>le Costa Rica</w:t>
      </w:r>
      <w:r w:rsidRPr="00361A73">
        <w:rPr>
          <w:i/>
        </w:rPr>
        <w:t>)</w:t>
      </w:r>
    </w:p>
    <w:p w14:paraId="3032C385" w14:textId="77777777" w:rsidR="00361A73" w:rsidRPr="00361A73" w:rsidRDefault="00361A73" w:rsidP="00361A73">
      <w:pPr>
        <w:widowControl w:val="0"/>
        <w:autoSpaceDE w:val="0"/>
        <w:autoSpaceDN w:val="0"/>
        <w:spacing w:line="234" w:lineRule="exact"/>
        <w:ind w:left="281" w:right="201"/>
        <w:jc w:val="center"/>
        <w:rPr>
          <w:i/>
        </w:rPr>
      </w:pPr>
    </w:p>
    <w:p w14:paraId="58CCBA79" w14:textId="77777777" w:rsidR="001F506D" w:rsidRPr="007848A3" w:rsidRDefault="00361A73" w:rsidP="001F506D">
      <w:pPr>
        <w:pBdr>
          <w:top w:val="nil"/>
          <w:left w:val="nil"/>
          <w:bottom w:val="nil"/>
          <w:right w:val="nil"/>
          <w:between w:val="nil"/>
        </w:pBdr>
        <w:rPr>
          <w:rFonts w:asciiTheme="minorHAnsi" w:hAnsiTheme="minorHAnsi"/>
          <w:color w:val="EE0000"/>
        </w:rPr>
      </w:pPr>
      <w:r w:rsidRPr="00361A73">
        <w:rPr>
          <w:b/>
        </w:rPr>
        <w:t xml:space="preserve">Titre de la proposition de projet de Recommandation/Résolution : </w:t>
      </w:r>
      <w:r w:rsidR="001F506D" w:rsidRPr="007848A3">
        <w:rPr>
          <w:rFonts w:asciiTheme="minorHAnsi" w:hAnsiTheme="minorHAnsi"/>
          <w:color w:val="EE0000"/>
        </w:rPr>
        <w:t>Projet de recommandation de l’ICCAT visant à établir des programmes de rétablissement pour le makaire bleu et le makaire blanc/makaire-épée</w:t>
      </w:r>
    </w:p>
    <w:p w14:paraId="268396FD" w14:textId="411AABC5" w:rsidR="00361A73" w:rsidRPr="00361A73" w:rsidRDefault="00361A73" w:rsidP="00361A73">
      <w:pPr>
        <w:widowControl w:val="0"/>
        <w:autoSpaceDE w:val="0"/>
        <w:autoSpaceDN w:val="0"/>
        <w:ind w:left="224" w:right="138"/>
        <w:rPr>
          <w:i/>
        </w:rPr>
      </w:pPr>
    </w:p>
    <w:p w14:paraId="2144414D" w14:textId="77777777" w:rsidR="00361A73" w:rsidRPr="00361A73" w:rsidRDefault="00361A73" w:rsidP="00361A73">
      <w:pPr>
        <w:widowControl w:val="0"/>
        <w:autoSpaceDE w:val="0"/>
        <w:autoSpaceDN w:val="0"/>
        <w:jc w:val="left"/>
        <w:rPr>
          <w:i/>
        </w:rPr>
      </w:pPr>
    </w:p>
    <w:p w14:paraId="5289F532" w14:textId="4DBEADB6" w:rsidR="00361A73" w:rsidRPr="00361A73" w:rsidRDefault="00361A73" w:rsidP="003F19BC">
      <w:pPr>
        <w:widowControl w:val="0"/>
        <w:autoSpaceDE w:val="0"/>
        <w:autoSpaceDN w:val="0"/>
        <w:ind w:right="156"/>
      </w:pPr>
      <w:r w:rsidRPr="00361A73">
        <w:rPr>
          <w:b/>
        </w:rPr>
        <w:t xml:space="preserve">Titre de la ou des Recommandations ou Résolutions en vigueur traitant des mêmes questions ou de questions connexes : </w:t>
      </w:r>
      <w:r w:rsidR="00D97609" w:rsidRPr="007848A3">
        <w:rPr>
          <w:i/>
          <w:iCs/>
          <w:color w:val="EE0000"/>
          <w:lang w:eastAsia="es-ES"/>
        </w:rPr>
        <w:t>Recommandation de l'ICCAT visant à établir des programmes de rétablissement pour le makaire bleu et le makaire blanc/makaire épée</w:t>
      </w:r>
      <w:r w:rsidR="00E47425" w:rsidRPr="007848A3">
        <w:rPr>
          <w:color w:val="EE0000"/>
        </w:rPr>
        <w:t xml:space="preserve"> </w:t>
      </w:r>
      <w:r w:rsidR="00E47425" w:rsidRPr="007848A3">
        <w:rPr>
          <w:bCs/>
          <w:i/>
          <w:iCs/>
          <w:color w:val="FF0000"/>
        </w:rPr>
        <w:t>(Rec. 19-05)</w:t>
      </w:r>
    </w:p>
    <w:p w14:paraId="11907148" w14:textId="77777777" w:rsidR="00361A73" w:rsidRPr="007848A3" w:rsidRDefault="00361A73" w:rsidP="00361A73">
      <w:pPr>
        <w:widowControl w:val="0"/>
        <w:autoSpaceDE w:val="0"/>
        <w:autoSpaceDN w:val="0"/>
        <w:jc w:val="left"/>
      </w:pPr>
    </w:p>
    <w:p w14:paraId="6EA14C9D" w14:textId="77777777" w:rsidR="00541A00" w:rsidRPr="00361A73" w:rsidRDefault="00541A00" w:rsidP="00361A73">
      <w:pPr>
        <w:widowControl w:val="0"/>
        <w:autoSpaceDE w:val="0"/>
        <w:autoSpaceDN w:val="0"/>
        <w:jc w:val="left"/>
      </w:pPr>
    </w:p>
    <w:p w14:paraId="6D56A322" w14:textId="77777777" w:rsidR="00361A73" w:rsidRPr="00361A73" w:rsidRDefault="00361A73" w:rsidP="00361A73">
      <w:pPr>
        <w:widowControl w:val="0"/>
        <w:numPr>
          <w:ilvl w:val="0"/>
          <w:numId w:val="9"/>
        </w:numPr>
        <w:tabs>
          <w:tab w:val="left" w:pos="620"/>
        </w:tabs>
        <w:autoSpaceDE w:val="0"/>
        <w:autoSpaceDN w:val="0"/>
        <w:jc w:val="left"/>
        <w:rPr>
          <w:color w:val="FF0000"/>
        </w:rPr>
      </w:pPr>
      <w:r w:rsidRPr="00361A73">
        <w:t xml:space="preserve">Cela crée-t-il de nouvelles </w:t>
      </w:r>
      <w:r w:rsidRPr="00361A73">
        <w:rPr>
          <w:b/>
        </w:rPr>
        <w:t xml:space="preserve">obligations de déclaration </w:t>
      </w:r>
      <w:r w:rsidRPr="00361A73">
        <w:t xml:space="preserve">pour les CPC ?  Oui </w:t>
      </w:r>
      <w:proofErr w:type="gramStart"/>
      <w:r w:rsidRPr="00361A73">
        <w:rPr>
          <w:rFonts w:ascii="Segoe UI Symbol" w:hAnsi="Segoe UI Symbol" w:cs="Segoe UI Symbol"/>
        </w:rPr>
        <w:t>☐</w:t>
      </w:r>
      <w:r w:rsidRPr="00361A73">
        <w:t xml:space="preserve">  </w:t>
      </w:r>
      <w:r w:rsidRPr="00361A73">
        <w:rPr>
          <w:color w:val="FF0000"/>
        </w:rPr>
        <w:t>Non</w:t>
      </w:r>
      <w:proofErr w:type="gramEnd"/>
      <w:r w:rsidRPr="00361A73">
        <w:rPr>
          <w:color w:val="FF0000"/>
        </w:rPr>
        <w:t xml:space="preserve"> </w:t>
      </w:r>
      <w:r w:rsidRPr="00361A73">
        <w:rPr>
          <w:rFonts w:ascii="Segoe UI Symbol" w:hAnsi="Segoe UI Symbol" w:cs="Segoe UI Symbol"/>
          <w:color w:val="FF0000"/>
        </w:rPr>
        <w:t>☒</w:t>
      </w:r>
    </w:p>
    <w:p w14:paraId="2FBD303C" w14:textId="77777777" w:rsidR="00361A73" w:rsidRPr="00361A73" w:rsidRDefault="00361A73" w:rsidP="00361A73">
      <w:pPr>
        <w:widowControl w:val="0"/>
        <w:autoSpaceDE w:val="0"/>
        <w:autoSpaceDN w:val="0"/>
        <w:jc w:val="left"/>
      </w:pPr>
    </w:p>
    <w:p w14:paraId="07F04265" w14:textId="4EB4B953" w:rsidR="00361A73" w:rsidRPr="00361A73" w:rsidRDefault="00361A73" w:rsidP="00361A73">
      <w:pPr>
        <w:widowControl w:val="0"/>
        <w:autoSpaceDE w:val="0"/>
        <w:autoSpaceDN w:val="0"/>
        <w:ind w:left="620"/>
        <w:jc w:val="left"/>
        <w:rPr>
          <w:i/>
        </w:rPr>
      </w:pPr>
      <w:r w:rsidRPr="00361A73">
        <w:t>Brève description de la ou des nouvelle(s) obligation(s) de déclaration :</w:t>
      </w:r>
    </w:p>
    <w:p w14:paraId="70BC2E81" w14:textId="77777777" w:rsidR="00361A73" w:rsidRPr="007848A3" w:rsidRDefault="00361A73" w:rsidP="00361A73">
      <w:pPr>
        <w:widowControl w:val="0"/>
        <w:autoSpaceDE w:val="0"/>
        <w:autoSpaceDN w:val="0"/>
        <w:jc w:val="left"/>
        <w:rPr>
          <w:i/>
        </w:rPr>
      </w:pPr>
    </w:p>
    <w:p w14:paraId="7739697A" w14:textId="77777777" w:rsidR="00541A00" w:rsidRPr="00361A73" w:rsidRDefault="00541A00" w:rsidP="00361A73">
      <w:pPr>
        <w:widowControl w:val="0"/>
        <w:autoSpaceDE w:val="0"/>
        <w:autoSpaceDN w:val="0"/>
        <w:jc w:val="left"/>
        <w:rPr>
          <w:i/>
        </w:rPr>
      </w:pPr>
    </w:p>
    <w:p w14:paraId="41B14FBF" w14:textId="77777777" w:rsidR="00403E2A" w:rsidRPr="007848A3" w:rsidRDefault="00361A73" w:rsidP="00361A73">
      <w:pPr>
        <w:widowControl w:val="0"/>
        <w:numPr>
          <w:ilvl w:val="0"/>
          <w:numId w:val="9"/>
        </w:numPr>
        <w:tabs>
          <w:tab w:val="left" w:pos="620"/>
          <w:tab w:val="left" w:pos="6092"/>
        </w:tabs>
        <w:autoSpaceDE w:val="0"/>
        <w:autoSpaceDN w:val="0"/>
        <w:jc w:val="left"/>
        <w:rPr>
          <w:color w:val="FF0000"/>
        </w:rPr>
      </w:pPr>
      <w:r w:rsidRPr="00361A73">
        <w:t xml:space="preserve">Cela nécessite-t-il une contribution ou un </w:t>
      </w:r>
      <w:r w:rsidRPr="00361A73">
        <w:rPr>
          <w:b/>
        </w:rPr>
        <w:t>travail</w:t>
      </w:r>
      <w:r w:rsidRPr="00361A73">
        <w:t xml:space="preserve"> supplémentaire </w:t>
      </w:r>
      <w:r w:rsidRPr="00361A73">
        <w:rPr>
          <w:b/>
        </w:rPr>
        <w:t>de la part du SCRS</w:t>
      </w:r>
      <w:r w:rsidRPr="00361A73">
        <w:t xml:space="preserve"> ?</w:t>
      </w:r>
    </w:p>
    <w:p w14:paraId="7E510B96" w14:textId="175353C2" w:rsidR="00361A73" w:rsidRPr="00361A73" w:rsidRDefault="00361A73" w:rsidP="00403E2A">
      <w:pPr>
        <w:widowControl w:val="0"/>
        <w:tabs>
          <w:tab w:val="left" w:pos="620"/>
          <w:tab w:val="left" w:pos="6092"/>
        </w:tabs>
        <w:autoSpaceDE w:val="0"/>
        <w:autoSpaceDN w:val="0"/>
        <w:ind w:left="620"/>
        <w:jc w:val="left"/>
        <w:rPr>
          <w:color w:val="FF0000"/>
        </w:rPr>
      </w:pPr>
      <w:r w:rsidRPr="00361A73">
        <w:t xml:space="preserve">Oui </w:t>
      </w:r>
      <w:r w:rsidRPr="00361A73">
        <w:rPr>
          <w:rFonts w:ascii="Segoe UI Symbol" w:hAnsi="Segoe UI Symbol" w:cs="Segoe UI Symbol"/>
        </w:rPr>
        <w:t>☐</w:t>
      </w:r>
      <w:r w:rsidR="00403E2A" w:rsidRPr="007848A3">
        <w:rPr>
          <w:rFonts w:ascii="Segoe UI Symbol" w:hAnsi="Segoe UI Symbol" w:cs="Segoe UI Symbol"/>
        </w:rPr>
        <w:t xml:space="preserve">     </w:t>
      </w:r>
      <w:r w:rsidRPr="00361A73">
        <w:rPr>
          <w:color w:val="FF0000"/>
        </w:rPr>
        <w:t xml:space="preserve">Non </w:t>
      </w:r>
      <w:r w:rsidRPr="00361A73">
        <w:rPr>
          <w:rFonts w:ascii="Segoe UI Symbol" w:hAnsi="Segoe UI Symbol" w:cs="Segoe UI Symbol"/>
          <w:color w:val="FF0000"/>
        </w:rPr>
        <w:t>☒</w:t>
      </w:r>
    </w:p>
    <w:p w14:paraId="06367C19" w14:textId="77777777" w:rsidR="00361A73" w:rsidRPr="00361A73" w:rsidRDefault="00361A73" w:rsidP="00361A73">
      <w:pPr>
        <w:widowControl w:val="0"/>
        <w:autoSpaceDE w:val="0"/>
        <w:autoSpaceDN w:val="0"/>
        <w:jc w:val="left"/>
      </w:pPr>
    </w:p>
    <w:p w14:paraId="73436F45" w14:textId="77777777" w:rsidR="00361A73" w:rsidRPr="00361A73" w:rsidRDefault="00361A73" w:rsidP="00361A73">
      <w:pPr>
        <w:widowControl w:val="0"/>
        <w:autoSpaceDE w:val="0"/>
        <w:autoSpaceDN w:val="0"/>
        <w:ind w:left="620"/>
        <w:jc w:val="left"/>
      </w:pPr>
      <w:r w:rsidRPr="00361A73">
        <w:t xml:space="preserve">Ce travail est-il déjà inclus dans le plan de travail actuel du SCRS ? Oui </w:t>
      </w:r>
      <w:proofErr w:type="gramStart"/>
      <w:r w:rsidRPr="00361A73">
        <w:rPr>
          <w:rFonts w:ascii="Segoe UI Symbol" w:hAnsi="Segoe UI Symbol" w:cs="Segoe UI Symbol"/>
        </w:rPr>
        <w:t>☐</w:t>
      </w:r>
      <w:r w:rsidRPr="00361A73">
        <w:t xml:space="preserve">  </w:t>
      </w:r>
      <w:r w:rsidRPr="00361A73">
        <w:rPr>
          <w:color w:val="FF0000"/>
        </w:rPr>
        <w:t>Non</w:t>
      </w:r>
      <w:proofErr w:type="gramEnd"/>
      <w:r w:rsidRPr="00361A73">
        <w:rPr>
          <w:color w:val="FF0000"/>
        </w:rPr>
        <w:t xml:space="preserve"> </w:t>
      </w:r>
      <w:r w:rsidRPr="00361A73">
        <w:rPr>
          <w:rFonts w:ascii="Segoe UI Symbol" w:hAnsi="Segoe UI Symbol" w:cs="Segoe UI Symbol"/>
          <w:color w:val="FF0000"/>
        </w:rPr>
        <w:t>☒</w:t>
      </w:r>
    </w:p>
    <w:p w14:paraId="7D10A000" w14:textId="77777777" w:rsidR="00361A73" w:rsidRPr="00361A73" w:rsidRDefault="00361A73" w:rsidP="00361A73">
      <w:pPr>
        <w:widowControl w:val="0"/>
        <w:autoSpaceDE w:val="0"/>
        <w:autoSpaceDN w:val="0"/>
        <w:jc w:val="left"/>
      </w:pPr>
    </w:p>
    <w:p w14:paraId="01D71C9C" w14:textId="74F8DBEE" w:rsidR="00361A73" w:rsidRPr="00361A73" w:rsidRDefault="00361A73" w:rsidP="00361A73">
      <w:pPr>
        <w:widowControl w:val="0"/>
        <w:autoSpaceDE w:val="0"/>
        <w:autoSpaceDN w:val="0"/>
        <w:ind w:left="620"/>
        <w:jc w:val="left"/>
        <w:rPr>
          <w:i/>
        </w:rPr>
      </w:pPr>
      <w:r w:rsidRPr="00361A73">
        <w:t>Brève description des nouveaux travaux scientifiques requis (évaluation des stocks, analyse, consultant externe) :</w:t>
      </w:r>
    </w:p>
    <w:p w14:paraId="347142D9" w14:textId="77777777" w:rsidR="00361A73" w:rsidRPr="00361A73" w:rsidRDefault="00361A73" w:rsidP="00361A73">
      <w:pPr>
        <w:widowControl w:val="0"/>
        <w:autoSpaceDE w:val="0"/>
        <w:autoSpaceDN w:val="0"/>
        <w:jc w:val="left"/>
        <w:rPr>
          <w:i/>
        </w:rPr>
      </w:pPr>
    </w:p>
    <w:p w14:paraId="781E3ED2" w14:textId="77777777" w:rsidR="00361A73" w:rsidRPr="00361A73" w:rsidRDefault="00361A73" w:rsidP="00361A73">
      <w:pPr>
        <w:widowControl w:val="0"/>
        <w:autoSpaceDE w:val="0"/>
        <w:autoSpaceDN w:val="0"/>
        <w:jc w:val="left"/>
        <w:rPr>
          <w:i/>
        </w:rPr>
      </w:pPr>
    </w:p>
    <w:p w14:paraId="3B5CF3C7" w14:textId="77777777" w:rsidR="00361A73" w:rsidRPr="00361A73" w:rsidRDefault="00361A73" w:rsidP="00361A73">
      <w:pPr>
        <w:widowControl w:val="0"/>
        <w:numPr>
          <w:ilvl w:val="0"/>
          <w:numId w:val="9"/>
        </w:numPr>
        <w:tabs>
          <w:tab w:val="left" w:pos="620"/>
          <w:tab w:val="left" w:pos="7882"/>
        </w:tabs>
        <w:autoSpaceDE w:val="0"/>
        <w:autoSpaceDN w:val="0"/>
        <w:jc w:val="left"/>
        <w:rPr>
          <w:color w:val="FF0000"/>
        </w:rPr>
      </w:pPr>
      <w:r w:rsidRPr="00361A73">
        <w:t xml:space="preserve">Cela implique-t-il la création d'un </w:t>
      </w:r>
      <w:r w:rsidRPr="00361A73">
        <w:rPr>
          <w:b/>
        </w:rPr>
        <w:t xml:space="preserve">nouveau groupe de travail ou d'un processus intersessions </w:t>
      </w:r>
      <w:r w:rsidRPr="00361A73">
        <w:t xml:space="preserve">?  Oui </w:t>
      </w:r>
      <w:proofErr w:type="gramStart"/>
      <w:r w:rsidRPr="00361A73">
        <w:rPr>
          <w:rFonts w:ascii="Segoe UI Symbol" w:hAnsi="Segoe UI Symbol" w:cs="Segoe UI Symbol"/>
        </w:rPr>
        <w:t>☐</w:t>
      </w:r>
      <w:r w:rsidRPr="00361A73">
        <w:t xml:space="preserve">  </w:t>
      </w:r>
      <w:r w:rsidRPr="00361A73">
        <w:rPr>
          <w:color w:val="FF0000"/>
        </w:rPr>
        <w:t>Non</w:t>
      </w:r>
      <w:proofErr w:type="gramEnd"/>
      <w:r w:rsidRPr="00361A73">
        <w:rPr>
          <w:color w:val="FF0000"/>
        </w:rPr>
        <w:t xml:space="preserve"> </w:t>
      </w:r>
      <w:r w:rsidRPr="00361A73">
        <w:rPr>
          <w:rFonts w:ascii="Segoe UI Symbol" w:hAnsi="Segoe UI Symbol" w:cs="Segoe UI Symbol"/>
          <w:color w:val="FF0000"/>
        </w:rPr>
        <w:t>☒</w:t>
      </w:r>
    </w:p>
    <w:p w14:paraId="7800EBF0" w14:textId="77777777" w:rsidR="00361A73" w:rsidRPr="007848A3" w:rsidRDefault="00361A73" w:rsidP="00361A73">
      <w:pPr>
        <w:widowControl w:val="0"/>
        <w:autoSpaceDE w:val="0"/>
        <w:autoSpaceDN w:val="0"/>
        <w:jc w:val="left"/>
      </w:pPr>
    </w:p>
    <w:p w14:paraId="09E36460" w14:textId="77777777" w:rsidR="00541A00" w:rsidRPr="00361A73" w:rsidRDefault="00541A00" w:rsidP="00361A73">
      <w:pPr>
        <w:widowControl w:val="0"/>
        <w:autoSpaceDE w:val="0"/>
        <w:autoSpaceDN w:val="0"/>
        <w:jc w:val="left"/>
      </w:pPr>
    </w:p>
    <w:p w14:paraId="56683D70" w14:textId="77777777" w:rsidR="00361A73" w:rsidRPr="00361A73" w:rsidRDefault="00361A73" w:rsidP="00361A73">
      <w:pPr>
        <w:widowControl w:val="0"/>
        <w:numPr>
          <w:ilvl w:val="0"/>
          <w:numId w:val="9"/>
        </w:numPr>
        <w:tabs>
          <w:tab w:val="left" w:pos="620"/>
        </w:tabs>
        <w:autoSpaceDE w:val="0"/>
        <w:autoSpaceDN w:val="0"/>
        <w:jc w:val="left"/>
      </w:pPr>
      <w:r w:rsidRPr="00361A73">
        <w:t xml:space="preserve">Cela nécessite-t-il un nouveau </w:t>
      </w:r>
      <w:r w:rsidRPr="00361A73">
        <w:rPr>
          <w:b/>
        </w:rPr>
        <w:t xml:space="preserve">programme ou des activités supplémentaires à gérer par le Secrétariat </w:t>
      </w:r>
      <w:r w:rsidRPr="00361A73">
        <w:t>?</w:t>
      </w:r>
    </w:p>
    <w:p w14:paraId="7809D736" w14:textId="77777777" w:rsidR="00361A73" w:rsidRPr="00361A73" w:rsidRDefault="00361A73" w:rsidP="00361A73">
      <w:pPr>
        <w:widowControl w:val="0"/>
        <w:autoSpaceDE w:val="0"/>
        <w:autoSpaceDN w:val="0"/>
        <w:jc w:val="left"/>
      </w:pPr>
    </w:p>
    <w:p w14:paraId="2C92378B" w14:textId="77777777" w:rsidR="00361A73" w:rsidRPr="00361A73" w:rsidRDefault="00361A73" w:rsidP="00361A73">
      <w:pPr>
        <w:widowControl w:val="0"/>
        <w:tabs>
          <w:tab w:val="left" w:pos="1320"/>
        </w:tabs>
        <w:autoSpaceDE w:val="0"/>
        <w:autoSpaceDN w:val="0"/>
        <w:ind w:left="620"/>
        <w:jc w:val="left"/>
        <w:rPr>
          <w:color w:val="FF0000"/>
        </w:rPr>
      </w:pPr>
      <w:r w:rsidRPr="00361A73">
        <w:t xml:space="preserve">Oui </w:t>
      </w:r>
      <w:r w:rsidRPr="00361A73">
        <w:rPr>
          <w:rFonts w:ascii="Segoe UI Symbol" w:hAnsi="Segoe UI Symbol" w:cs="Segoe UI Symbol"/>
        </w:rPr>
        <w:t>☐</w:t>
      </w:r>
      <w:r w:rsidRPr="00361A73">
        <w:tab/>
      </w:r>
      <w:r w:rsidRPr="00361A73">
        <w:rPr>
          <w:color w:val="FF0000"/>
        </w:rPr>
        <w:t xml:space="preserve">Non </w:t>
      </w:r>
      <w:r w:rsidRPr="00361A73">
        <w:rPr>
          <w:rFonts w:ascii="Segoe UI Symbol" w:hAnsi="Segoe UI Symbol" w:cs="Segoe UI Symbol"/>
          <w:color w:val="FF0000"/>
        </w:rPr>
        <w:t>☒</w:t>
      </w:r>
    </w:p>
    <w:p w14:paraId="00698BF8" w14:textId="77777777" w:rsidR="00361A73" w:rsidRPr="00361A73" w:rsidRDefault="00361A73" w:rsidP="00361A73">
      <w:pPr>
        <w:widowControl w:val="0"/>
        <w:tabs>
          <w:tab w:val="left" w:pos="1320"/>
        </w:tabs>
        <w:autoSpaceDE w:val="0"/>
        <w:autoSpaceDN w:val="0"/>
        <w:ind w:left="620"/>
        <w:jc w:val="left"/>
      </w:pPr>
    </w:p>
    <w:p w14:paraId="6C2B4C9B" w14:textId="38DF027E" w:rsidR="00361A73" w:rsidRPr="00361A73" w:rsidRDefault="00361A73" w:rsidP="00361A73">
      <w:pPr>
        <w:widowControl w:val="0"/>
        <w:autoSpaceDE w:val="0"/>
        <w:autoSpaceDN w:val="0"/>
        <w:ind w:left="619"/>
        <w:jc w:val="left"/>
        <w:rPr>
          <w:i/>
        </w:rPr>
      </w:pPr>
      <w:r w:rsidRPr="00361A73">
        <w:t>Brève description du nouveau travail requis pour le Secrétariat :</w:t>
      </w:r>
    </w:p>
    <w:p w14:paraId="5426DA42" w14:textId="77777777" w:rsidR="00361A73" w:rsidRPr="00361A73" w:rsidRDefault="00361A73" w:rsidP="00361A73">
      <w:pPr>
        <w:widowControl w:val="0"/>
        <w:autoSpaceDE w:val="0"/>
        <w:autoSpaceDN w:val="0"/>
        <w:jc w:val="left"/>
        <w:rPr>
          <w:i/>
        </w:rPr>
      </w:pPr>
    </w:p>
    <w:p w14:paraId="718FF941" w14:textId="77777777" w:rsidR="00361A73" w:rsidRPr="00361A73" w:rsidRDefault="00361A73" w:rsidP="00361A73">
      <w:pPr>
        <w:widowControl w:val="0"/>
        <w:autoSpaceDE w:val="0"/>
        <w:autoSpaceDN w:val="0"/>
        <w:jc w:val="left"/>
        <w:rPr>
          <w:i/>
        </w:rPr>
      </w:pPr>
    </w:p>
    <w:p w14:paraId="3B5A264E" w14:textId="77777777" w:rsidR="00361A73" w:rsidRPr="00361A73" w:rsidRDefault="00361A73" w:rsidP="00361A73">
      <w:pPr>
        <w:widowControl w:val="0"/>
        <w:numPr>
          <w:ilvl w:val="0"/>
          <w:numId w:val="9"/>
        </w:numPr>
        <w:tabs>
          <w:tab w:val="left" w:pos="620"/>
        </w:tabs>
        <w:autoSpaceDE w:val="0"/>
        <w:autoSpaceDN w:val="0"/>
        <w:ind w:right="358"/>
        <w:jc w:val="left"/>
      </w:pPr>
      <w:r w:rsidRPr="00361A73">
        <w:t>Quel est le calendrier proposé pour la mise en œuvre, et existe-t-il des calendriers spécifiques différents pour certaines CPC, pêcheries, régions, etc. ?</w:t>
      </w:r>
    </w:p>
    <w:p w14:paraId="0C7C4333" w14:textId="77777777" w:rsidR="00361A73" w:rsidRPr="00361A73" w:rsidRDefault="00361A73" w:rsidP="00361A73">
      <w:pPr>
        <w:widowControl w:val="0"/>
        <w:autoSpaceDE w:val="0"/>
        <w:autoSpaceDN w:val="0"/>
        <w:jc w:val="left"/>
      </w:pPr>
    </w:p>
    <w:p w14:paraId="162AAC3C" w14:textId="7C334A5A" w:rsidR="00361A73" w:rsidRPr="00361A73" w:rsidRDefault="000D35F6" w:rsidP="00361A73">
      <w:pPr>
        <w:widowControl w:val="0"/>
        <w:autoSpaceDE w:val="0"/>
        <w:autoSpaceDN w:val="0"/>
        <w:ind w:left="620"/>
        <w:jc w:val="left"/>
        <w:rPr>
          <w:i/>
        </w:rPr>
      </w:pPr>
      <w:r w:rsidRPr="007848A3">
        <w:rPr>
          <w:i/>
          <w:color w:val="FF0000"/>
        </w:rPr>
        <w:t>À partir de 2026, en tenant compte des surconsommations historiques jusqu'en 2025.</w:t>
      </w:r>
    </w:p>
    <w:p w14:paraId="7E1E2FD1" w14:textId="77777777" w:rsidR="00361A73" w:rsidRPr="00361A73" w:rsidRDefault="00361A73" w:rsidP="00361A73">
      <w:pPr>
        <w:widowControl w:val="0"/>
        <w:autoSpaceDE w:val="0"/>
        <w:autoSpaceDN w:val="0"/>
        <w:jc w:val="left"/>
        <w:rPr>
          <w:i/>
        </w:rPr>
      </w:pPr>
    </w:p>
    <w:p w14:paraId="671D63B4" w14:textId="77777777" w:rsidR="00361A73" w:rsidRPr="00361A73" w:rsidRDefault="00361A73" w:rsidP="00361A73">
      <w:pPr>
        <w:widowControl w:val="0"/>
        <w:numPr>
          <w:ilvl w:val="0"/>
          <w:numId w:val="9"/>
        </w:numPr>
        <w:tabs>
          <w:tab w:val="left" w:pos="620"/>
        </w:tabs>
        <w:autoSpaceDE w:val="0"/>
        <w:autoSpaceDN w:val="0"/>
        <w:ind w:right="356" w:hanging="395"/>
        <w:jc w:val="left"/>
      </w:pPr>
      <w:r w:rsidRPr="00361A73">
        <w:t>Existe-t-il d'autres informations pertinentes concernant les implications de la proposition en termes de ressources et de charge de travail ?</w:t>
      </w:r>
    </w:p>
    <w:p w14:paraId="6D86D71D" w14:textId="77777777" w:rsidR="00361A73" w:rsidRPr="00361A73" w:rsidRDefault="00361A73" w:rsidP="00361A73">
      <w:pPr>
        <w:widowControl w:val="0"/>
        <w:autoSpaceDE w:val="0"/>
        <w:autoSpaceDN w:val="0"/>
        <w:jc w:val="left"/>
      </w:pPr>
    </w:p>
    <w:p w14:paraId="784B098A" w14:textId="5B41CB67" w:rsidR="00361A73" w:rsidRPr="00361A73" w:rsidRDefault="008B5A7D" w:rsidP="008B5A7D">
      <w:pPr>
        <w:rPr>
          <w:color w:val="EE0000"/>
        </w:rPr>
      </w:pPr>
      <w:r w:rsidRPr="007848A3">
        <w:rPr>
          <w:i/>
          <w:color w:val="EE0000"/>
        </w:rPr>
        <w:t>Aucune source externe d'expertise ou d’avis n'est nécessaire pour répondre avec succès aux exigences de cette mesure. Elle n'éliminera pas les redondances, ne simplifiera pas les exigences en matière de déclaration et ne réduira pas les charges inutiles qui pèsent sur les CPC.  La nouvelle proposition et toutes les exigences qu'elle contient s'appliquent à l'ensemble de la zone de la Convention pour les captures des espèces couvertes par cette mesure.</w:t>
      </w:r>
    </w:p>
    <w:p w14:paraId="7B676324" w14:textId="77777777" w:rsidR="00361A73" w:rsidRPr="007848A3" w:rsidRDefault="00361A73">
      <w:pPr>
        <w:pBdr>
          <w:top w:val="nil"/>
          <w:left w:val="nil"/>
          <w:bottom w:val="nil"/>
          <w:right w:val="nil"/>
          <w:between w:val="nil"/>
        </w:pBdr>
        <w:jc w:val="right"/>
        <w:rPr>
          <w:rFonts w:asciiTheme="minorHAnsi" w:hAnsiTheme="minorHAnsi"/>
          <w:b/>
          <w:color w:val="000000"/>
        </w:rPr>
        <w:sectPr w:rsidR="00361A73" w:rsidRPr="007848A3" w:rsidSect="00B34250">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1134" w:gutter="0"/>
          <w:pgNumType w:start="1"/>
          <w:cols w:space="720"/>
          <w:docGrid w:linePitch="272"/>
        </w:sectPr>
      </w:pPr>
    </w:p>
    <w:p w14:paraId="3A83D5E4" w14:textId="77777777" w:rsidR="00DA2937" w:rsidRPr="007848A3" w:rsidRDefault="00DA2937" w:rsidP="00DA2937">
      <w:pPr>
        <w:pBdr>
          <w:top w:val="nil"/>
          <w:left w:val="nil"/>
          <w:bottom w:val="nil"/>
          <w:right w:val="nil"/>
          <w:between w:val="nil"/>
        </w:pBdr>
        <w:jc w:val="right"/>
        <w:rPr>
          <w:rFonts w:asciiTheme="minorHAnsi" w:hAnsiTheme="minorHAnsi"/>
          <w:b/>
          <w:color w:val="000000"/>
        </w:rPr>
      </w:pPr>
      <w:r w:rsidRPr="007848A3">
        <w:rPr>
          <w:rFonts w:asciiTheme="minorHAnsi" w:hAnsiTheme="minorHAnsi"/>
          <w:b/>
          <w:color w:val="000000"/>
        </w:rPr>
        <w:t>Original : espagnol</w:t>
      </w:r>
    </w:p>
    <w:p w14:paraId="7D32380A" w14:textId="77777777" w:rsidR="007152C3" w:rsidRPr="007848A3" w:rsidRDefault="007152C3" w:rsidP="007152C3">
      <w:pPr>
        <w:pStyle w:val="BodyText"/>
      </w:pPr>
    </w:p>
    <w:p w14:paraId="0A9CD7C4" w14:textId="4A2ED50B" w:rsidR="007152C3" w:rsidRPr="007848A3" w:rsidRDefault="007152C3" w:rsidP="007152C3">
      <w:pPr>
        <w:pBdr>
          <w:top w:val="nil"/>
          <w:left w:val="nil"/>
          <w:bottom w:val="nil"/>
          <w:right w:val="nil"/>
          <w:between w:val="nil"/>
        </w:pBdr>
        <w:jc w:val="center"/>
        <w:rPr>
          <w:b/>
          <w:bCs/>
        </w:rPr>
      </w:pPr>
      <w:r w:rsidRPr="007848A3">
        <w:rPr>
          <w:b/>
          <w:bCs/>
        </w:rPr>
        <w:t>Note explicative sur le Projet de recommandation de l’ICCAT</w:t>
      </w:r>
      <w:r w:rsidR="00584FEA" w:rsidRPr="007848A3">
        <w:rPr>
          <w:b/>
          <w:bCs/>
        </w:rPr>
        <w:t xml:space="preserve"> amendant la Recommandation 19-05 </w:t>
      </w:r>
      <w:r w:rsidRPr="007848A3">
        <w:rPr>
          <w:b/>
          <w:bCs/>
        </w:rPr>
        <w:t>visant à établir des programmes de rétablissement pour le makaire bleu et le makaire blanc/makaire-épée</w:t>
      </w:r>
    </w:p>
    <w:p w14:paraId="3E0E1EB2" w14:textId="77777777" w:rsidR="007152C3" w:rsidRPr="007848A3" w:rsidRDefault="007152C3" w:rsidP="007152C3">
      <w:pPr>
        <w:pBdr>
          <w:top w:val="nil"/>
          <w:left w:val="nil"/>
          <w:bottom w:val="nil"/>
          <w:right w:val="nil"/>
          <w:between w:val="nil"/>
        </w:pBdr>
        <w:jc w:val="center"/>
        <w:rPr>
          <w:b/>
          <w:bCs/>
        </w:rPr>
      </w:pPr>
    </w:p>
    <w:p w14:paraId="3EBC57C0" w14:textId="77777777" w:rsidR="007152C3" w:rsidRPr="00361A73" w:rsidRDefault="007152C3" w:rsidP="007152C3">
      <w:pPr>
        <w:widowControl w:val="0"/>
        <w:autoSpaceDE w:val="0"/>
        <w:autoSpaceDN w:val="0"/>
        <w:spacing w:line="234" w:lineRule="exact"/>
        <w:ind w:left="281" w:right="201"/>
        <w:jc w:val="center"/>
        <w:rPr>
          <w:i/>
        </w:rPr>
      </w:pPr>
      <w:r w:rsidRPr="00361A73">
        <w:rPr>
          <w:i/>
        </w:rPr>
        <w:t xml:space="preserve">(Document soumis par </w:t>
      </w:r>
      <w:r w:rsidRPr="007848A3">
        <w:rPr>
          <w:i/>
        </w:rPr>
        <w:t>le Costa Rica</w:t>
      </w:r>
      <w:r w:rsidRPr="00361A73">
        <w:rPr>
          <w:i/>
        </w:rPr>
        <w:t>)</w:t>
      </w:r>
    </w:p>
    <w:p w14:paraId="5A7F265B" w14:textId="77777777" w:rsidR="007152C3" w:rsidRPr="007848A3" w:rsidRDefault="007152C3" w:rsidP="007152C3">
      <w:pPr>
        <w:pBdr>
          <w:top w:val="nil"/>
          <w:left w:val="nil"/>
          <w:bottom w:val="nil"/>
          <w:right w:val="nil"/>
          <w:between w:val="nil"/>
        </w:pBdr>
        <w:jc w:val="center"/>
        <w:rPr>
          <w:b/>
          <w:bCs/>
        </w:rPr>
      </w:pPr>
    </w:p>
    <w:p w14:paraId="2D6059F4" w14:textId="37ECD69E" w:rsidR="007152C3" w:rsidRPr="007848A3" w:rsidRDefault="007152C3" w:rsidP="007152C3">
      <w:pPr>
        <w:pStyle w:val="BodyText"/>
        <w:jc w:val="both"/>
      </w:pPr>
      <w:r w:rsidRPr="007848A3">
        <w:t xml:space="preserve">L’ICCAT a établi un programme de rétablissement pour le makaire bleu et le makaire blanc/makaire épée, </w:t>
      </w:r>
      <w:r w:rsidRPr="00EB6BE7">
        <w:t xml:space="preserve">jusqu'à ce que la biomasse permette la production maximale équilibrée </w:t>
      </w:r>
      <w:r w:rsidRPr="007848A3">
        <w:t>(PME</w:t>
      </w:r>
      <w:r w:rsidR="002729EA" w:rsidRPr="007848A3">
        <w:t>),</w:t>
      </w:r>
      <w:r w:rsidRPr="007848A3">
        <w:t xml:space="preserve"> dont l'élément central est circonscrit à un TAC (limite annuelle), qui est mis en œuvre par l'attribution de limites individuelles annuelles de débarquement par pays figurant sur la liste, avec un reliquat minimal pour les CPC qui n'ont pas présenté de captures historiques pertinentes. Cette mesure établit des mécanismes de contrôle visant à décourager la surpêche, comme la disposition contenue dans le paragraphe 3, en particulier l'alinéa b), qui prévoit une pénalité de réduction de 125% de la surpêche, jusqu'à ce que les captures se normalisent.</w:t>
      </w:r>
    </w:p>
    <w:p w14:paraId="6467C1CD" w14:textId="77777777" w:rsidR="007152C3" w:rsidRPr="007848A3" w:rsidRDefault="007152C3" w:rsidP="007152C3">
      <w:pPr>
        <w:pStyle w:val="BodyText"/>
        <w:jc w:val="both"/>
      </w:pPr>
    </w:p>
    <w:p w14:paraId="7B82BF58" w14:textId="77777777" w:rsidR="007152C3" w:rsidRPr="007848A3" w:rsidRDefault="007152C3" w:rsidP="007152C3">
      <w:pPr>
        <w:pStyle w:val="BodyText"/>
        <w:jc w:val="both"/>
      </w:pPr>
      <w:r w:rsidRPr="007848A3">
        <w:t>En adoptant la mesure, la Commission a autorisé, par dérogation, un transfert de la limite annuelle de débarquement entre deux pays, estimant qu'un tel transfert ne compromettrait pas l'objectif de gestion ; ce faisant, la Commission a reconnu que la manière dont les transferts sont évalués devrait être axée sur la sauvegarde de la B</w:t>
      </w:r>
      <w:r w:rsidRPr="007848A3">
        <w:rPr>
          <w:vertAlign w:val="subscript"/>
        </w:rPr>
        <w:t>PME</w:t>
      </w:r>
      <w:r w:rsidRPr="007848A3">
        <w:t>.</w:t>
      </w:r>
    </w:p>
    <w:p w14:paraId="61F3860F" w14:textId="77777777" w:rsidR="007152C3" w:rsidRPr="007848A3" w:rsidRDefault="007152C3" w:rsidP="007152C3">
      <w:pPr>
        <w:pStyle w:val="BodyText"/>
        <w:jc w:val="both"/>
      </w:pPr>
    </w:p>
    <w:p w14:paraId="566AC74A" w14:textId="7C5CEB79" w:rsidR="007152C3" w:rsidRPr="007848A3" w:rsidRDefault="007152C3" w:rsidP="007152C3">
      <w:pPr>
        <w:pStyle w:val="BodyText"/>
        <w:jc w:val="both"/>
      </w:pPr>
      <w:r w:rsidRPr="007848A3">
        <w:t>Bien que ces deux ressources soient surexploitées, ce qui justifie la poursuite du programme de rétablissement, ces stocks ne souffrent pas de surpêche ; en fait, plusieurs CPC avec des limites établies sont identifiées comme ayant des captures inférieures à leur limite allouée</w:t>
      </w:r>
      <w:r w:rsidR="001B7431" w:rsidRPr="007848A3">
        <w:t>. D</w:t>
      </w:r>
      <w:r w:rsidRPr="007848A3">
        <w:t>'autre part, il existe des cas dans lesquels, en général, les petits pêcheurs qui sont des CPC côtières en développement, avec des limites résiduelles de 10 t pour le makaire bleu et de 2 t pour le makaire blanc/makaire épée, reportent, pour diverses raisons, des prises dépassant cette limite résiduelle sans qu'il leur soit possible de retrouver une situation normale en raison de l'effet de la disposition contenue dans le paragraphe 3, alinéa b) et leurs prises historiques qui donnent lieu à ce dépassement n'ont pas été prises en compte au moment de réaliser les allocations.</w:t>
      </w:r>
    </w:p>
    <w:p w14:paraId="596C338E" w14:textId="77777777" w:rsidR="007152C3" w:rsidRPr="007848A3" w:rsidRDefault="007152C3" w:rsidP="007152C3">
      <w:pPr>
        <w:pStyle w:val="BodyText"/>
        <w:jc w:val="both"/>
      </w:pPr>
    </w:p>
    <w:p w14:paraId="2702A7FA" w14:textId="54CC79C1" w:rsidR="007152C3" w:rsidRPr="007848A3" w:rsidRDefault="007152C3" w:rsidP="007152C3">
      <w:pPr>
        <w:pStyle w:val="BodyText"/>
        <w:jc w:val="both"/>
        <w:rPr>
          <w:b/>
          <w:bCs/>
        </w:rPr>
      </w:pPr>
      <w:r w:rsidRPr="007848A3">
        <w:t xml:space="preserve">Compte tenu de l'interdiction de la discrimination dans les mesures de l'ICCAT, de la perspective de la propension à l'application effective qui devrait guider les mesures de gestion et de la considération spéciale que les CPC côtières en développement méritent en vertu de la Convention et des dispositions du droit international, en gardant à l'esprit que la non-utilisation des limites allouées implique une disponibilité de biomasse dans le cadre du programme de rétablissement, potentiellement compensable par des surconsommations, cette proposition vise à permettre aux CPC côtières en développement présentant des surconsommations de recevoir des transferts d'autres CPC ayant accumulé des portions inutilisées de leurs limites de capture, facilitant ainsi le respect et évitant que la pénalité contenue au paragraphe 3, alinéa </w:t>
      </w:r>
      <w:r w:rsidR="00A806E5" w:rsidRPr="007848A3">
        <w:t>b</w:t>
      </w:r>
      <w:r w:rsidRPr="007848A3">
        <w:t xml:space="preserve"> )  de la Recommandation 19-05, dans s</w:t>
      </w:r>
      <w:r w:rsidR="00A806E5" w:rsidRPr="007848A3">
        <w:t>on</w:t>
      </w:r>
      <w:r w:rsidRPr="007848A3">
        <w:t xml:space="preserve"> </w:t>
      </w:r>
      <w:r w:rsidR="00135A8B" w:rsidRPr="007848A3">
        <w:t>aspect</w:t>
      </w:r>
      <w:r w:rsidRPr="007848A3">
        <w:t xml:space="preserve"> discriminatoire, ne constitue un obstacle à la normalisation de ces CPC.</w:t>
      </w:r>
    </w:p>
    <w:p w14:paraId="2BF2F00C" w14:textId="77777777" w:rsidR="007152C3" w:rsidRPr="007848A3" w:rsidRDefault="007152C3" w:rsidP="007152C3">
      <w:pPr>
        <w:pStyle w:val="BodyText"/>
        <w:jc w:val="center"/>
        <w:rPr>
          <w:b/>
          <w:bCs/>
        </w:rPr>
      </w:pPr>
    </w:p>
    <w:p w14:paraId="63325C79" w14:textId="77777777" w:rsidR="007152C3" w:rsidRPr="007848A3" w:rsidRDefault="007152C3" w:rsidP="00584FEA">
      <w:pPr>
        <w:pStyle w:val="BodyText"/>
      </w:pPr>
    </w:p>
    <w:p w14:paraId="1E1289F7" w14:textId="77777777" w:rsidR="007152C3" w:rsidRPr="007848A3" w:rsidRDefault="007152C3" w:rsidP="007152C3"/>
    <w:p w14:paraId="6C4470B7" w14:textId="77777777" w:rsidR="007152C3" w:rsidRPr="007848A3" w:rsidRDefault="007152C3">
      <w:pPr>
        <w:rPr>
          <w:rFonts w:asciiTheme="minorHAnsi" w:hAnsiTheme="minorHAnsi"/>
          <w:b/>
          <w:color w:val="000000"/>
        </w:rPr>
      </w:pPr>
    </w:p>
    <w:p w14:paraId="0FBAA93A" w14:textId="77777777" w:rsidR="007152C3" w:rsidRPr="007848A3" w:rsidRDefault="007152C3">
      <w:pPr>
        <w:rPr>
          <w:rFonts w:asciiTheme="minorHAnsi" w:hAnsiTheme="minorHAnsi"/>
          <w:b/>
          <w:color w:val="000000"/>
        </w:rPr>
      </w:pPr>
    </w:p>
    <w:p w14:paraId="1CB18BFB" w14:textId="18A51245" w:rsidR="00DA2937" w:rsidRPr="007848A3" w:rsidRDefault="00DA2937">
      <w:pPr>
        <w:rPr>
          <w:rFonts w:asciiTheme="minorHAnsi" w:hAnsiTheme="minorHAnsi"/>
          <w:b/>
          <w:color w:val="000000"/>
        </w:rPr>
      </w:pPr>
      <w:r w:rsidRPr="007848A3">
        <w:rPr>
          <w:rFonts w:asciiTheme="minorHAnsi" w:hAnsiTheme="minorHAnsi"/>
          <w:b/>
          <w:color w:val="000000"/>
        </w:rPr>
        <w:br w:type="page"/>
      </w:r>
    </w:p>
    <w:p w14:paraId="2334E9B9" w14:textId="6C553A7C" w:rsidR="00DA2937" w:rsidRPr="007848A3" w:rsidRDefault="00DA2937" w:rsidP="00DA2937">
      <w:pPr>
        <w:pBdr>
          <w:top w:val="nil"/>
          <w:left w:val="nil"/>
          <w:bottom w:val="nil"/>
          <w:right w:val="nil"/>
          <w:between w:val="nil"/>
        </w:pBdr>
        <w:tabs>
          <w:tab w:val="left" w:pos="7191"/>
          <w:tab w:val="right" w:pos="9071"/>
        </w:tabs>
        <w:jc w:val="left"/>
        <w:rPr>
          <w:rFonts w:asciiTheme="minorHAnsi" w:hAnsiTheme="minorHAnsi"/>
          <w:b/>
          <w:color w:val="000000"/>
        </w:rPr>
      </w:pPr>
      <w:r w:rsidRPr="007848A3">
        <w:rPr>
          <w:rFonts w:asciiTheme="minorHAnsi" w:hAnsiTheme="minorHAnsi"/>
          <w:b/>
          <w:color w:val="000000"/>
        </w:rPr>
        <w:tab/>
        <w:t>Original : espagnol</w:t>
      </w:r>
    </w:p>
    <w:p w14:paraId="60E5A86D" w14:textId="77777777" w:rsidR="00895FAF" w:rsidRPr="007848A3" w:rsidRDefault="00895FAF">
      <w:pPr>
        <w:pBdr>
          <w:top w:val="nil"/>
          <w:left w:val="nil"/>
          <w:bottom w:val="nil"/>
          <w:right w:val="nil"/>
          <w:between w:val="nil"/>
        </w:pBdr>
        <w:jc w:val="right"/>
        <w:rPr>
          <w:rFonts w:asciiTheme="minorHAnsi" w:hAnsiTheme="minorHAnsi"/>
          <w:b/>
          <w:bCs/>
          <w:color w:val="000000"/>
        </w:rPr>
      </w:pPr>
    </w:p>
    <w:p w14:paraId="39050DF7" w14:textId="133A5FA5" w:rsidR="00895FAF" w:rsidRPr="007848A3" w:rsidRDefault="006C4A9D">
      <w:pPr>
        <w:pBdr>
          <w:top w:val="nil"/>
          <w:left w:val="nil"/>
          <w:bottom w:val="nil"/>
          <w:right w:val="nil"/>
          <w:between w:val="nil"/>
        </w:pBdr>
        <w:jc w:val="center"/>
        <w:rPr>
          <w:b/>
          <w:bCs/>
        </w:rPr>
      </w:pPr>
      <w:r w:rsidRPr="007848A3">
        <w:rPr>
          <w:b/>
          <w:bCs/>
        </w:rPr>
        <w:t>Projet de recommandation de l’ICCAT amendant la Recommandation 19-05 visant à établir des programmes de rétablissement pour le makaire bleu et le makaire blanc/makaire-épée</w:t>
      </w:r>
    </w:p>
    <w:p w14:paraId="665B7F34" w14:textId="77777777" w:rsidR="00676B5E" w:rsidRPr="007848A3" w:rsidRDefault="00676B5E">
      <w:pPr>
        <w:pBdr>
          <w:top w:val="nil"/>
          <w:left w:val="nil"/>
          <w:bottom w:val="nil"/>
          <w:right w:val="nil"/>
          <w:between w:val="nil"/>
        </w:pBdr>
        <w:jc w:val="center"/>
        <w:rPr>
          <w:rFonts w:asciiTheme="minorHAnsi" w:hAnsiTheme="minorHAnsi"/>
        </w:rPr>
      </w:pPr>
    </w:p>
    <w:p w14:paraId="12F7A5ED" w14:textId="77777777" w:rsidR="004B1E0D" w:rsidRPr="00361A73" w:rsidRDefault="004B1E0D" w:rsidP="004B1E0D">
      <w:pPr>
        <w:widowControl w:val="0"/>
        <w:autoSpaceDE w:val="0"/>
        <w:autoSpaceDN w:val="0"/>
        <w:spacing w:line="234" w:lineRule="exact"/>
        <w:ind w:left="281" w:right="201"/>
        <w:jc w:val="center"/>
        <w:rPr>
          <w:i/>
        </w:rPr>
      </w:pPr>
      <w:r w:rsidRPr="00361A73">
        <w:rPr>
          <w:i/>
        </w:rPr>
        <w:t xml:space="preserve">(Document soumis par </w:t>
      </w:r>
      <w:r w:rsidRPr="007848A3">
        <w:rPr>
          <w:i/>
        </w:rPr>
        <w:t>le Costa Rica</w:t>
      </w:r>
      <w:r w:rsidRPr="00361A73">
        <w:rPr>
          <w:i/>
        </w:rPr>
        <w:t>)</w:t>
      </w:r>
    </w:p>
    <w:p w14:paraId="163C499A" w14:textId="77777777" w:rsidR="00895FAF" w:rsidRPr="007848A3" w:rsidRDefault="00895FAF">
      <w:pPr>
        <w:pBdr>
          <w:top w:val="nil"/>
          <w:left w:val="nil"/>
          <w:bottom w:val="nil"/>
          <w:right w:val="nil"/>
          <w:between w:val="nil"/>
        </w:pBdr>
        <w:jc w:val="center"/>
        <w:rPr>
          <w:rFonts w:asciiTheme="minorHAnsi" w:hAnsiTheme="minorHAnsi"/>
        </w:rPr>
      </w:pPr>
    </w:p>
    <w:p w14:paraId="632E4627" w14:textId="7508B1CF" w:rsidR="004B18CD" w:rsidRPr="007848A3" w:rsidRDefault="00F37A49" w:rsidP="00082CB7">
      <w:pPr>
        <w:tabs>
          <w:tab w:val="left" w:pos="284"/>
        </w:tabs>
        <w:ind w:firstLine="425"/>
        <w:rPr>
          <w:rFonts w:asciiTheme="minorHAnsi" w:hAnsiTheme="minorHAnsi"/>
        </w:rPr>
      </w:pPr>
      <w:r w:rsidRPr="007848A3">
        <w:rPr>
          <w:rFonts w:asciiTheme="minorHAnsi" w:hAnsiTheme="minorHAnsi"/>
          <w:i/>
          <w:iCs/>
        </w:rPr>
        <w:t>RAPPELANT</w:t>
      </w:r>
      <w:r w:rsidRPr="007848A3">
        <w:rPr>
          <w:rFonts w:asciiTheme="minorHAnsi" w:hAnsiTheme="minorHAnsi"/>
        </w:rPr>
        <w:t xml:space="preserve"> l'évaluation du stock de makaire bleu de 2000, qui concluait que le stock se trouvait en dessous de B</w:t>
      </w:r>
      <w:r w:rsidRPr="007848A3">
        <w:rPr>
          <w:rFonts w:asciiTheme="minorHAnsi" w:hAnsiTheme="minorHAnsi"/>
          <w:vertAlign w:val="subscript"/>
        </w:rPr>
        <w:t>PME</w:t>
      </w:r>
      <w:r w:rsidRPr="007848A3">
        <w:rPr>
          <w:rFonts w:asciiTheme="minorHAnsi" w:hAnsiTheme="minorHAnsi"/>
        </w:rPr>
        <w:t xml:space="preserve"> (surexploité) avec une mortalité par pêche supérieure à F</w:t>
      </w:r>
      <w:r w:rsidRPr="007848A3">
        <w:rPr>
          <w:rFonts w:asciiTheme="minorHAnsi" w:hAnsiTheme="minorHAnsi"/>
          <w:vertAlign w:val="subscript"/>
        </w:rPr>
        <w:t>PME</w:t>
      </w:r>
      <w:r w:rsidRPr="007848A3">
        <w:rPr>
          <w:rFonts w:asciiTheme="minorHAnsi" w:hAnsiTheme="minorHAnsi"/>
        </w:rPr>
        <w:t xml:space="preserve"> (victime de surpêche), et les évaluations ultérieures, plus récemment en 2018, confirmant que le stock demeure dans cet état</w:t>
      </w:r>
      <w:r w:rsidR="00537024" w:rsidRPr="007848A3">
        <w:rPr>
          <w:rFonts w:asciiTheme="minorHAnsi" w:hAnsiTheme="minorHAnsi"/>
        </w:rPr>
        <w:t> ;</w:t>
      </w:r>
    </w:p>
    <w:p w14:paraId="01463A03" w14:textId="77777777" w:rsidR="004B18CD" w:rsidRPr="007848A3" w:rsidRDefault="004B18CD" w:rsidP="00642F10">
      <w:pPr>
        <w:tabs>
          <w:tab w:val="left" w:pos="284"/>
        </w:tabs>
        <w:ind w:firstLine="426"/>
        <w:rPr>
          <w:rFonts w:asciiTheme="minorHAnsi" w:hAnsiTheme="minorHAnsi"/>
        </w:rPr>
      </w:pPr>
    </w:p>
    <w:p w14:paraId="7E2C3185" w14:textId="3A9E54E5" w:rsidR="004B18CD" w:rsidRPr="007848A3" w:rsidRDefault="00F37A49" w:rsidP="00642F10">
      <w:pPr>
        <w:tabs>
          <w:tab w:val="left" w:pos="284"/>
        </w:tabs>
        <w:ind w:firstLine="426"/>
        <w:rPr>
          <w:rFonts w:asciiTheme="minorHAnsi" w:hAnsiTheme="minorHAnsi"/>
        </w:rPr>
      </w:pPr>
      <w:r w:rsidRPr="007848A3">
        <w:rPr>
          <w:rFonts w:asciiTheme="minorHAnsi" w:hAnsiTheme="minorHAnsi"/>
          <w:i/>
          <w:iCs/>
        </w:rPr>
        <w:t>RECONNAISSANT</w:t>
      </w:r>
      <w:r w:rsidRPr="007848A3">
        <w:rPr>
          <w:rFonts w:asciiTheme="minorHAnsi" w:hAnsiTheme="minorHAnsi"/>
        </w:rPr>
        <w:t xml:space="preserve"> l'évaluation du stock de makaire blanc/makaire épée de 2019, qui concluait qu'il n'y avait pas de surpêche, mais que le stock reste surexploité après plus de vingt ans de gestion par l'ICCAT</w:t>
      </w:r>
      <w:r w:rsidR="00642F10" w:rsidRPr="007848A3">
        <w:rPr>
          <w:rFonts w:asciiTheme="minorHAnsi" w:hAnsiTheme="minorHAnsi"/>
        </w:rPr>
        <w:t> ;</w:t>
      </w:r>
    </w:p>
    <w:p w14:paraId="0074B082" w14:textId="77777777" w:rsidR="004B18CD" w:rsidRPr="007848A3" w:rsidRDefault="004B18CD" w:rsidP="00642F10">
      <w:pPr>
        <w:tabs>
          <w:tab w:val="left" w:pos="284"/>
        </w:tabs>
        <w:ind w:firstLine="426"/>
        <w:rPr>
          <w:rFonts w:asciiTheme="minorHAnsi" w:hAnsiTheme="minorHAnsi"/>
        </w:rPr>
      </w:pPr>
    </w:p>
    <w:p w14:paraId="17A42D8A" w14:textId="249E9749" w:rsidR="004B18CD" w:rsidRPr="007848A3" w:rsidRDefault="00F37A49" w:rsidP="00642F10">
      <w:pPr>
        <w:tabs>
          <w:tab w:val="left" w:pos="284"/>
        </w:tabs>
        <w:ind w:firstLine="426"/>
        <w:rPr>
          <w:rFonts w:asciiTheme="minorHAnsi" w:hAnsiTheme="minorHAnsi"/>
        </w:rPr>
      </w:pPr>
      <w:r w:rsidRPr="007848A3">
        <w:rPr>
          <w:rFonts w:asciiTheme="minorHAnsi" w:hAnsiTheme="minorHAnsi"/>
          <w:i/>
          <w:iCs/>
        </w:rPr>
        <w:t>CONSCIENTE</w:t>
      </w:r>
      <w:r w:rsidRPr="007848A3">
        <w:rPr>
          <w:rFonts w:asciiTheme="minorHAnsi" w:hAnsiTheme="minorHAnsi"/>
        </w:rPr>
        <w:t xml:space="preserve"> des mesures adoptées par la Commission au cours des vingt dernières années pour améliorer l’état des makaires bleus et </w:t>
      </w:r>
      <w:r w:rsidR="00AF767D" w:rsidRPr="007848A3">
        <w:rPr>
          <w:rFonts w:asciiTheme="minorHAnsi" w:hAnsiTheme="minorHAnsi"/>
        </w:rPr>
        <w:t xml:space="preserve">des makaires </w:t>
      </w:r>
      <w:r w:rsidRPr="007848A3">
        <w:rPr>
          <w:rFonts w:asciiTheme="minorHAnsi" w:hAnsiTheme="minorHAnsi"/>
        </w:rPr>
        <w:t xml:space="preserve">blancs, y compris la </w:t>
      </w:r>
      <w:r w:rsidRPr="007848A3">
        <w:rPr>
          <w:rFonts w:asciiTheme="minorHAnsi" w:hAnsiTheme="minorHAnsi"/>
          <w:i/>
          <w:iCs/>
        </w:rPr>
        <w:t>Recommandation de l’ICCAT sur la mise en place d’un plan de rétablissement des populations de makaire bleu et de makaire blanc</w:t>
      </w:r>
      <w:r w:rsidRPr="007848A3">
        <w:rPr>
          <w:rFonts w:asciiTheme="minorHAnsi" w:hAnsiTheme="minorHAnsi"/>
        </w:rPr>
        <w:t xml:space="preserve"> (Rec. 00-13), la R</w:t>
      </w:r>
      <w:r w:rsidRPr="007848A3">
        <w:rPr>
          <w:rFonts w:asciiTheme="minorHAnsi" w:hAnsiTheme="minorHAnsi"/>
          <w:i/>
          <w:iCs/>
        </w:rPr>
        <w:t>ecommandation de l’ICCAT visant à renforcer davantage le plan de rétablissement des stocks de makaire bleu et de makaire blanc</w:t>
      </w:r>
      <w:r w:rsidRPr="007848A3">
        <w:rPr>
          <w:rFonts w:asciiTheme="minorHAnsi" w:hAnsiTheme="minorHAnsi"/>
        </w:rPr>
        <w:t xml:space="preserve"> (Rec. 12-04), ainsi que les recommandations ultérieures</w:t>
      </w:r>
      <w:r w:rsidR="00642F10" w:rsidRPr="007848A3">
        <w:rPr>
          <w:rFonts w:asciiTheme="minorHAnsi" w:hAnsiTheme="minorHAnsi"/>
        </w:rPr>
        <w:t> ;</w:t>
      </w:r>
    </w:p>
    <w:p w14:paraId="1073D776" w14:textId="77777777" w:rsidR="004B18CD" w:rsidRPr="007848A3" w:rsidRDefault="004B18CD" w:rsidP="00642F10">
      <w:pPr>
        <w:ind w:firstLine="426"/>
        <w:rPr>
          <w:rFonts w:asciiTheme="minorHAnsi" w:hAnsiTheme="minorHAnsi"/>
        </w:rPr>
      </w:pPr>
    </w:p>
    <w:p w14:paraId="471D7E0E" w14:textId="36640400" w:rsidR="004B18CD" w:rsidRPr="007848A3" w:rsidRDefault="00F37A49" w:rsidP="00642F10">
      <w:pPr>
        <w:tabs>
          <w:tab w:val="left" w:pos="284"/>
        </w:tabs>
        <w:ind w:firstLine="426"/>
        <w:rPr>
          <w:rFonts w:asciiTheme="minorHAnsi" w:hAnsiTheme="minorHAnsi"/>
        </w:rPr>
      </w:pPr>
      <w:r w:rsidRPr="007848A3">
        <w:rPr>
          <w:rFonts w:asciiTheme="minorHAnsi" w:hAnsiTheme="minorHAnsi"/>
          <w:i/>
          <w:iCs/>
        </w:rPr>
        <w:t>COMPRENANT</w:t>
      </w:r>
      <w:r w:rsidRPr="007848A3">
        <w:rPr>
          <w:rFonts w:asciiTheme="minorHAnsi" w:hAnsiTheme="minorHAnsi"/>
        </w:rPr>
        <w:t xml:space="preserve"> toutefois l'avis du SCRS de 2019 indiquant que les captures totales de makaire bleu devraient être </w:t>
      </w:r>
      <w:r w:rsidR="00AF767D" w:rsidRPr="007848A3">
        <w:rPr>
          <w:rFonts w:asciiTheme="minorHAnsi" w:hAnsiTheme="minorHAnsi"/>
        </w:rPr>
        <w:t>ramenées</w:t>
      </w:r>
      <w:r w:rsidRPr="007848A3">
        <w:rPr>
          <w:rFonts w:asciiTheme="minorHAnsi" w:hAnsiTheme="minorHAnsi"/>
        </w:rPr>
        <w:t xml:space="preserve"> à 1.750 t ou moins pour offrir au moins 50% de probabilité de rétablir le stock d'ici 2028 et que les captures totales de makaire blanc/makaire épée ne devraient pas dépasser 400 t </w:t>
      </w:r>
      <w:r w:rsidR="00537024" w:rsidRPr="007848A3">
        <w:rPr>
          <w:rFonts w:asciiTheme="minorHAnsi" w:hAnsiTheme="minorHAnsi"/>
        </w:rPr>
        <w:t xml:space="preserve">pour </w:t>
      </w:r>
      <w:r w:rsidRPr="007848A3">
        <w:rPr>
          <w:rFonts w:asciiTheme="minorHAnsi" w:hAnsiTheme="minorHAnsi"/>
        </w:rPr>
        <w:t>soutenir le rétablissement</w:t>
      </w:r>
      <w:r w:rsidR="00642F10" w:rsidRPr="007848A3">
        <w:rPr>
          <w:rFonts w:asciiTheme="minorHAnsi" w:hAnsiTheme="minorHAnsi"/>
        </w:rPr>
        <w:t> ;</w:t>
      </w:r>
    </w:p>
    <w:p w14:paraId="5179B969" w14:textId="77777777" w:rsidR="004B18CD" w:rsidRPr="007848A3" w:rsidRDefault="004B18CD" w:rsidP="00642F10">
      <w:pPr>
        <w:tabs>
          <w:tab w:val="left" w:pos="284"/>
        </w:tabs>
        <w:ind w:firstLine="426"/>
        <w:rPr>
          <w:rFonts w:asciiTheme="minorHAnsi" w:hAnsiTheme="minorHAnsi"/>
        </w:rPr>
      </w:pPr>
    </w:p>
    <w:p w14:paraId="45CADCE4" w14:textId="6C28F893" w:rsidR="004B18CD" w:rsidRPr="007848A3" w:rsidRDefault="00F37A49" w:rsidP="00642F10">
      <w:pPr>
        <w:tabs>
          <w:tab w:val="left" w:pos="284"/>
        </w:tabs>
        <w:ind w:firstLine="426"/>
        <w:rPr>
          <w:rFonts w:asciiTheme="minorHAnsi" w:hAnsiTheme="minorHAnsi"/>
        </w:rPr>
      </w:pPr>
      <w:r w:rsidRPr="007848A3">
        <w:rPr>
          <w:rFonts w:asciiTheme="minorHAnsi" w:hAnsiTheme="minorHAnsi"/>
          <w:i/>
          <w:iCs/>
        </w:rPr>
        <w:t>RECONNAISSANT</w:t>
      </w:r>
      <w:r w:rsidRPr="007848A3">
        <w:rPr>
          <w:rFonts w:asciiTheme="minorHAnsi" w:hAnsiTheme="minorHAnsi"/>
        </w:rPr>
        <w:t xml:space="preserve"> que les rejets morts ne </w:t>
      </w:r>
      <w:proofErr w:type="gramStart"/>
      <w:r w:rsidRPr="007848A3">
        <w:rPr>
          <w:rFonts w:asciiTheme="minorHAnsi" w:hAnsiTheme="minorHAnsi"/>
        </w:rPr>
        <w:t>sont</w:t>
      </w:r>
      <w:proofErr w:type="gramEnd"/>
      <w:r w:rsidRPr="007848A3">
        <w:rPr>
          <w:rFonts w:asciiTheme="minorHAnsi" w:hAnsiTheme="minorHAnsi"/>
        </w:rPr>
        <w:t xml:space="preserve"> pas pris en compte dans les limites annuelles de la </w:t>
      </w:r>
      <w:r w:rsidRPr="007848A3">
        <w:rPr>
          <w:rFonts w:asciiTheme="minorHAnsi" w:hAnsiTheme="minorHAnsi"/>
          <w:i/>
          <w:iCs/>
        </w:rPr>
        <w:t>Recommandation de l’ICCAT remplaçant la Recommandation 15-05 visant à renforcer davantage le plan de rétablissement des stocks de makaire bleu et de makaire blanc</w:t>
      </w:r>
      <w:r w:rsidRPr="007848A3">
        <w:rPr>
          <w:rFonts w:asciiTheme="minorHAnsi" w:hAnsiTheme="minorHAnsi"/>
        </w:rPr>
        <w:t xml:space="preserve"> (Rec. 18-04)</w:t>
      </w:r>
      <w:r w:rsidR="00642F10" w:rsidRPr="007848A3">
        <w:rPr>
          <w:rFonts w:asciiTheme="minorHAnsi" w:hAnsiTheme="minorHAnsi"/>
        </w:rPr>
        <w:t> ;</w:t>
      </w:r>
    </w:p>
    <w:p w14:paraId="1288F850" w14:textId="77777777" w:rsidR="004B18CD" w:rsidRPr="007848A3" w:rsidRDefault="004B18CD" w:rsidP="00642F10">
      <w:pPr>
        <w:tabs>
          <w:tab w:val="left" w:pos="284"/>
        </w:tabs>
        <w:ind w:firstLine="426"/>
        <w:rPr>
          <w:rFonts w:asciiTheme="minorHAnsi" w:hAnsiTheme="minorHAnsi"/>
        </w:rPr>
      </w:pPr>
    </w:p>
    <w:p w14:paraId="60387B9F" w14:textId="70F2E26A" w:rsidR="004B18CD" w:rsidRPr="007848A3" w:rsidRDefault="00F37A49" w:rsidP="00642F10">
      <w:pPr>
        <w:tabs>
          <w:tab w:val="left" w:pos="284"/>
        </w:tabs>
        <w:ind w:firstLine="426"/>
        <w:rPr>
          <w:rFonts w:asciiTheme="minorHAnsi" w:eastAsia="Times New Roman" w:hAnsiTheme="minorHAnsi" w:cs="Times New Roman"/>
        </w:rPr>
      </w:pPr>
      <w:r w:rsidRPr="007848A3">
        <w:rPr>
          <w:rFonts w:asciiTheme="minorHAnsi" w:hAnsiTheme="minorHAnsi"/>
          <w:i/>
          <w:iCs/>
        </w:rPr>
        <w:t>VISANT</w:t>
      </w:r>
      <w:r w:rsidRPr="007848A3">
        <w:rPr>
          <w:rFonts w:asciiTheme="minorHAnsi" w:hAnsiTheme="minorHAnsi"/>
        </w:rPr>
        <w:t xml:space="preserve"> à établir des limites pour le makaire bleu et le makaire blanc/makaire épée qui tiennent compte des rejets morts déclarés</w:t>
      </w:r>
      <w:r w:rsidR="00094B4B" w:rsidRPr="007848A3">
        <w:rPr>
          <w:rFonts w:asciiTheme="minorHAnsi" w:hAnsiTheme="minorHAnsi"/>
        </w:rPr>
        <w:t> ;</w:t>
      </w:r>
      <w:r w:rsidR="00094B4B" w:rsidRPr="007848A3">
        <w:rPr>
          <w:rFonts w:asciiTheme="minorHAnsi" w:hAnsiTheme="minorHAnsi"/>
        </w:rPr>
        <w:tab/>
      </w:r>
    </w:p>
    <w:p w14:paraId="71EB66F0" w14:textId="77777777" w:rsidR="004B18CD" w:rsidRPr="007848A3" w:rsidRDefault="004B18CD" w:rsidP="00642F10">
      <w:pPr>
        <w:tabs>
          <w:tab w:val="left" w:pos="284"/>
        </w:tabs>
        <w:ind w:firstLine="426"/>
        <w:rPr>
          <w:rFonts w:asciiTheme="minorHAnsi" w:eastAsia="Times New Roman" w:hAnsiTheme="minorHAnsi" w:cs="Times New Roman"/>
        </w:rPr>
      </w:pPr>
    </w:p>
    <w:p w14:paraId="6ED8FFC5" w14:textId="73800936" w:rsidR="004B18CD" w:rsidRPr="007848A3" w:rsidRDefault="00F37A49" w:rsidP="00642F10">
      <w:pPr>
        <w:tabs>
          <w:tab w:val="left" w:pos="284"/>
        </w:tabs>
        <w:ind w:firstLine="426"/>
        <w:rPr>
          <w:rFonts w:asciiTheme="minorHAnsi" w:eastAsia="Times New Roman" w:hAnsiTheme="minorHAnsi" w:cs="Times New Roman"/>
        </w:rPr>
      </w:pPr>
      <w:r w:rsidRPr="007848A3">
        <w:rPr>
          <w:rFonts w:asciiTheme="minorHAnsi" w:hAnsiTheme="minorHAnsi"/>
          <w:i/>
          <w:iCs/>
        </w:rPr>
        <w:t>SOULIGNANT</w:t>
      </w:r>
      <w:r w:rsidRPr="007848A3">
        <w:rPr>
          <w:rFonts w:asciiTheme="minorHAnsi" w:hAnsiTheme="minorHAnsi"/>
        </w:rPr>
        <w:t xml:space="preserve"> les obligations actuelles des CPC d'imposer la collecte de données sur les rejets vivants et morts dans le cadre de leurs programmes d'observateurs nationaux et de carnets de pêche, en vertu de la </w:t>
      </w:r>
      <w:r w:rsidRPr="007848A3">
        <w:rPr>
          <w:rFonts w:asciiTheme="minorHAnsi" w:hAnsiTheme="minorHAnsi"/>
          <w:i/>
          <w:iCs/>
        </w:rPr>
        <w:t>Recommandation de l’ICCAT sur la collecte d'informations et l’harmonisation des données sur les prises accessoires et les rejets dans les pêcheries de l’ICCAT</w:t>
      </w:r>
      <w:r w:rsidRPr="007848A3">
        <w:rPr>
          <w:rFonts w:asciiTheme="minorHAnsi" w:hAnsiTheme="minorHAnsi"/>
        </w:rPr>
        <w:t xml:space="preserve"> </w:t>
      </w:r>
      <w:r w:rsidR="00537024" w:rsidRPr="007848A3">
        <w:rPr>
          <w:rFonts w:asciiTheme="minorHAnsi" w:hAnsiTheme="minorHAnsi"/>
        </w:rPr>
        <w:t>(</w:t>
      </w:r>
      <w:r w:rsidRPr="007848A3">
        <w:rPr>
          <w:rFonts w:asciiTheme="minorHAnsi" w:hAnsiTheme="minorHAnsi"/>
        </w:rPr>
        <w:t>Rec. 11-10</w:t>
      </w:r>
      <w:r w:rsidR="00537024" w:rsidRPr="007848A3">
        <w:rPr>
          <w:rFonts w:asciiTheme="minorHAnsi" w:hAnsiTheme="minorHAnsi"/>
        </w:rPr>
        <w:t>)</w:t>
      </w:r>
      <w:r w:rsidRPr="007848A3">
        <w:rPr>
          <w:rFonts w:asciiTheme="minorHAnsi" w:hAnsiTheme="minorHAnsi"/>
        </w:rPr>
        <w:t>, conformément à la</w:t>
      </w:r>
      <w:r w:rsidRPr="007848A3">
        <w:rPr>
          <w:rFonts w:asciiTheme="minorHAnsi" w:hAnsiTheme="minorHAnsi"/>
          <w:i/>
          <w:iCs/>
        </w:rPr>
        <w:t xml:space="preserve"> Recommandation de l’ICCAT visant à établir des normes minimales pour les programmes d’observateurs scientifiques à bord de navires de pêche</w:t>
      </w:r>
      <w:r w:rsidRPr="007848A3">
        <w:rPr>
          <w:rFonts w:asciiTheme="minorHAnsi" w:hAnsiTheme="minorHAnsi"/>
        </w:rPr>
        <w:t xml:space="preserve"> </w:t>
      </w:r>
      <w:r w:rsidR="00537024" w:rsidRPr="007848A3">
        <w:rPr>
          <w:rFonts w:asciiTheme="minorHAnsi" w:hAnsiTheme="minorHAnsi"/>
        </w:rPr>
        <w:t>(</w:t>
      </w:r>
      <w:r w:rsidRPr="007848A3">
        <w:rPr>
          <w:rFonts w:asciiTheme="minorHAnsi" w:hAnsiTheme="minorHAnsi"/>
        </w:rPr>
        <w:t>Rec. 16-14</w:t>
      </w:r>
      <w:r w:rsidR="00537024" w:rsidRPr="007848A3">
        <w:rPr>
          <w:rFonts w:asciiTheme="minorHAnsi" w:hAnsiTheme="minorHAnsi"/>
        </w:rPr>
        <w:t>)</w:t>
      </w:r>
      <w:r w:rsidRPr="007848A3">
        <w:rPr>
          <w:rFonts w:asciiTheme="minorHAnsi" w:hAnsiTheme="minorHAnsi"/>
        </w:rPr>
        <w:t>, et la déclaration de ces données à l’ICCAT</w:t>
      </w:r>
      <w:r w:rsidR="00642F10" w:rsidRPr="007848A3">
        <w:rPr>
          <w:rFonts w:asciiTheme="minorHAnsi" w:hAnsiTheme="minorHAnsi"/>
        </w:rPr>
        <w:t> ;</w:t>
      </w:r>
    </w:p>
    <w:p w14:paraId="15D908B4" w14:textId="73B49D73" w:rsidR="004B18CD" w:rsidRPr="007848A3" w:rsidRDefault="004B18CD" w:rsidP="00642F10">
      <w:pPr>
        <w:tabs>
          <w:tab w:val="left" w:pos="284"/>
        </w:tabs>
        <w:ind w:firstLine="426"/>
        <w:rPr>
          <w:rFonts w:asciiTheme="minorHAnsi" w:hAnsiTheme="minorHAnsi"/>
          <w:i/>
        </w:rPr>
      </w:pPr>
    </w:p>
    <w:p w14:paraId="6B361448" w14:textId="77777777" w:rsidR="004B18CD" w:rsidRPr="007848A3" w:rsidRDefault="004B18CD">
      <w:pPr>
        <w:tabs>
          <w:tab w:val="left" w:pos="284"/>
        </w:tabs>
        <w:rPr>
          <w:rFonts w:asciiTheme="minorHAnsi" w:hAnsiTheme="minorHAnsi"/>
        </w:rPr>
      </w:pPr>
    </w:p>
    <w:p w14:paraId="14B4F5A3" w14:textId="77777777" w:rsidR="004B18CD" w:rsidRPr="007848A3" w:rsidRDefault="00F37A49">
      <w:pPr>
        <w:pBdr>
          <w:top w:val="nil"/>
          <w:left w:val="nil"/>
          <w:bottom w:val="nil"/>
          <w:right w:val="nil"/>
          <w:between w:val="nil"/>
        </w:pBdr>
        <w:jc w:val="center"/>
        <w:rPr>
          <w:rFonts w:asciiTheme="minorHAnsi" w:hAnsiTheme="minorHAnsi"/>
          <w:color w:val="000000"/>
        </w:rPr>
      </w:pPr>
      <w:r w:rsidRPr="007848A3">
        <w:rPr>
          <w:rFonts w:asciiTheme="minorHAnsi" w:hAnsiTheme="minorHAnsi"/>
          <w:color w:val="000000"/>
        </w:rPr>
        <w:t>LA COMMISSION INTERNATIONALE POUR LA CONSERVATION</w:t>
      </w:r>
    </w:p>
    <w:p w14:paraId="7D401BD8" w14:textId="77777777" w:rsidR="004B18CD" w:rsidRPr="007848A3" w:rsidRDefault="00F37A49">
      <w:pPr>
        <w:pBdr>
          <w:top w:val="nil"/>
          <w:left w:val="nil"/>
          <w:bottom w:val="nil"/>
          <w:right w:val="nil"/>
          <w:between w:val="nil"/>
        </w:pBdr>
        <w:jc w:val="center"/>
        <w:rPr>
          <w:rFonts w:asciiTheme="minorHAnsi" w:hAnsiTheme="minorHAnsi"/>
          <w:b/>
          <w:color w:val="000000"/>
        </w:rPr>
      </w:pPr>
      <w:r w:rsidRPr="007848A3">
        <w:rPr>
          <w:rFonts w:asciiTheme="minorHAnsi" w:hAnsiTheme="minorHAnsi"/>
          <w:color w:val="000000"/>
        </w:rPr>
        <w:t>DES THONIDÉS DE L’ATLANTIQUE (ICCAT) RECOMMANDE CE QUI SUIT :</w:t>
      </w:r>
    </w:p>
    <w:p w14:paraId="1F791F10" w14:textId="18BC9567" w:rsidR="004B18CD" w:rsidRPr="007848A3" w:rsidRDefault="00F37A49">
      <w:pPr>
        <w:pBdr>
          <w:top w:val="nil"/>
          <w:left w:val="nil"/>
          <w:bottom w:val="nil"/>
          <w:right w:val="nil"/>
          <w:between w:val="nil"/>
        </w:pBdr>
        <w:rPr>
          <w:rFonts w:asciiTheme="minorHAnsi" w:hAnsiTheme="minorHAnsi"/>
          <w:color w:val="000000"/>
        </w:rPr>
      </w:pPr>
      <w:r w:rsidRPr="007848A3">
        <w:rPr>
          <w:rFonts w:asciiTheme="minorHAnsi" w:hAnsiTheme="minorHAnsi"/>
          <w:color w:val="000000"/>
        </w:rPr>
        <w:t xml:space="preserve"> </w:t>
      </w:r>
    </w:p>
    <w:p w14:paraId="15BC6085" w14:textId="77777777" w:rsidR="00082CB7" w:rsidRPr="007848A3" w:rsidRDefault="00082CB7">
      <w:pPr>
        <w:pBdr>
          <w:top w:val="nil"/>
          <w:left w:val="nil"/>
          <w:bottom w:val="nil"/>
          <w:right w:val="nil"/>
          <w:between w:val="nil"/>
        </w:pBdr>
        <w:rPr>
          <w:rFonts w:asciiTheme="minorHAnsi" w:hAnsiTheme="minorHAnsi"/>
          <w:color w:val="000000"/>
        </w:rPr>
      </w:pPr>
    </w:p>
    <w:p w14:paraId="04A96A61" w14:textId="5449E50D" w:rsidR="004B18CD" w:rsidRPr="007848A3" w:rsidRDefault="00F37A49" w:rsidP="00642F10">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1.</w:t>
      </w:r>
      <w:r w:rsidRPr="007848A3">
        <w:rPr>
          <w:rFonts w:asciiTheme="minorHAnsi" w:hAnsiTheme="minorHAnsi"/>
          <w:color w:val="000000"/>
        </w:rPr>
        <w:tab/>
      </w:r>
      <w:r w:rsidRPr="007848A3">
        <w:rPr>
          <w:rFonts w:asciiTheme="minorHAnsi" w:hAnsiTheme="minorHAnsi"/>
        </w:rPr>
        <w:t xml:space="preserve">Les CPC devront mettre en œuvre des mesures afin de mettre un terme à la surpêche </w:t>
      </w:r>
      <w:r w:rsidR="00865086" w:rsidRPr="007848A3">
        <w:rPr>
          <w:rFonts w:asciiTheme="minorHAnsi" w:hAnsiTheme="minorHAnsi"/>
        </w:rPr>
        <w:t xml:space="preserve">du makaire bleu </w:t>
      </w:r>
      <w:r w:rsidRPr="007848A3">
        <w:rPr>
          <w:rFonts w:asciiTheme="minorHAnsi" w:hAnsiTheme="minorHAnsi"/>
        </w:rPr>
        <w:t xml:space="preserve">dès que possible et </w:t>
      </w:r>
      <w:r w:rsidR="00865086" w:rsidRPr="007848A3">
        <w:rPr>
          <w:rFonts w:asciiTheme="minorHAnsi" w:hAnsiTheme="minorHAnsi"/>
        </w:rPr>
        <w:t xml:space="preserve">afin de </w:t>
      </w:r>
      <w:r w:rsidRPr="007848A3">
        <w:rPr>
          <w:rFonts w:asciiTheme="minorHAnsi" w:hAnsiTheme="minorHAnsi"/>
        </w:rPr>
        <w:t xml:space="preserve">rétablir </w:t>
      </w:r>
      <w:r w:rsidR="00865086" w:rsidRPr="007848A3">
        <w:rPr>
          <w:rFonts w:asciiTheme="minorHAnsi" w:hAnsiTheme="minorHAnsi"/>
        </w:rPr>
        <w:t xml:space="preserve">les stocks de makaire bleu et de makaire blanc/makaire épée </w:t>
      </w:r>
      <w:r w:rsidRPr="007848A3">
        <w:rPr>
          <w:rFonts w:asciiTheme="minorHAnsi" w:hAnsiTheme="minorHAnsi"/>
        </w:rPr>
        <w:t>à leur niveau de B</w:t>
      </w:r>
      <w:r w:rsidRPr="007848A3">
        <w:rPr>
          <w:rFonts w:asciiTheme="minorHAnsi" w:hAnsiTheme="minorHAnsi"/>
          <w:vertAlign w:val="subscript"/>
        </w:rPr>
        <w:t>PME</w:t>
      </w:r>
      <w:r w:rsidRPr="007848A3">
        <w:rPr>
          <w:rFonts w:asciiTheme="minorHAnsi" w:hAnsiTheme="minorHAnsi"/>
        </w:rPr>
        <w:t xml:space="preserve"> respectif, comme suit</w:t>
      </w:r>
      <w:r w:rsidR="00537024" w:rsidRPr="007848A3">
        <w:rPr>
          <w:rFonts w:asciiTheme="minorHAnsi" w:hAnsiTheme="minorHAnsi"/>
        </w:rPr>
        <w:t> :</w:t>
      </w:r>
    </w:p>
    <w:p w14:paraId="7262BC3D" w14:textId="3DA72E5B" w:rsidR="004B18CD" w:rsidRPr="007848A3" w:rsidRDefault="004B18CD">
      <w:pPr>
        <w:pBdr>
          <w:top w:val="nil"/>
          <w:left w:val="nil"/>
          <w:bottom w:val="nil"/>
          <w:right w:val="nil"/>
          <w:between w:val="nil"/>
        </w:pBdr>
        <w:rPr>
          <w:rFonts w:asciiTheme="minorHAnsi" w:hAnsiTheme="minorHAnsi"/>
          <w:color w:val="000000"/>
        </w:rPr>
      </w:pPr>
    </w:p>
    <w:p w14:paraId="50DC686B" w14:textId="31E4F420" w:rsidR="004B18CD" w:rsidRPr="007848A3" w:rsidRDefault="00F37A49">
      <w:pPr>
        <w:pBdr>
          <w:top w:val="nil"/>
          <w:left w:val="nil"/>
          <w:bottom w:val="nil"/>
          <w:right w:val="nil"/>
          <w:between w:val="nil"/>
        </w:pBdr>
        <w:rPr>
          <w:rFonts w:asciiTheme="minorHAnsi" w:hAnsiTheme="minorHAnsi"/>
          <w:b/>
          <w:color w:val="000000"/>
        </w:rPr>
      </w:pPr>
      <w:r w:rsidRPr="007848A3">
        <w:rPr>
          <w:rFonts w:asciiTheme="minorHAnsi" w:hAnsiTheme="minorHAnsi"/>
          <w:b/>
          <w:color w:val="000000"/>
        </w:rPr>
        <w:t>Limites annuelles et dispositions connexes</w:t>
      </w:r>
    </w:p>
    <w:p w14:paraId="329EBF3E" w14:textId="51AA3CF0" w:rsidR="004B18CD" w:rsidRPr="007848A3" w:rsidRDefault="004B18CD">
      <w:pPr>
        <w:pBdr>
          <w:top w:val="nil"/>
          <w:left w:val="nil"/>
          <w:bottom w:val="nil"/>
          <w:right w:val="nil"/>
          <w:between w:val="nil"/>
        </w:pBdr>
        <w:rPr>
          <w:rFonts w:asciiTheme="minorHAnsi" w:hAnsiTheme="minorHAnsi"/>
          <w:color w:val="000000"/>
        </w:rPr>
      </w:pPr>
    </w:p>
    <w:p w14:paraId="0F1B765B" w14:textId="1C0C7D80" w:rsidR="004B18CD" w:rsidRPr="007848A3" w:rsidRDefault="00F37A49" w:rsidP="00642F10">
      <w:pPr>
        <w:pBdr>
          <w:top w:val="nil"/>
          <w:left w:val="nil"/>
          <w:bottom w:val="nil"/>
          <w:right w:val="nil"/>
          <w:between w:val="nil"/>
        </w:pBdr>
        <w:ind w:left="426" w:hanging="426"/>
        <w:rPr>
          <w:rFonts w:asciiTheme="minorHAnsi" w:hAnsiTheme="minorHAnsi"/>
        </w:rPr>
      </w:pPr>
      <w:r w:rsidRPr="007848A3">
        <w:rPr>
          <w:rFonts w:asciiTheme="minorHAnsi" w:hAnsiTheme="minorHAnsi"/>
          <w:color w:val="000000"/>
        </w:rPr>
        <w:t>2.</w:t>
      </w:r>
      <w:r w:rsidRPr="007848A3">
        <w:rPr>
          <w:rFonts w:asciiTheme="minorHAnsi" w:hAnsiTheme="minorHAnsi"/>
          <w:color w:val="000000"/>
        </w:rPr>
        <w:tab/>
      </w:r>
      <w:r w:rsidRPr="007848A3">
        <w:rPr>
          <w:rFonts w:asciiTheme="minorHAnsi" w:hAnsiTheme="minorHAnsi"/>
        </w:rPr>
        <w:t xml:space="preserve">Une limite annuelle de </w:t>
      </w:r>
      <w:r w:rsidR="007E38F7" w:rsidRPr="007848A3">
        <w:rPr>
          <w:rFonts w:asciiTheme="minorHAnsi" w:hAnsiTheme="minorHAnsi"/>
        </w:rPr>
        <w:t>1.</w:t>
      </w:r>
      <w:r w:rsidR="00865086" w:rsidRPr="007848A3">
        <w:rPr>
          <w:rFonts w:asciiTheme="minorHAnsi" w:hAnsiTheme="minorHAnsi"/>
        </w:rPr>
        <w:t>670 t</w:t>
      </w:r>
      <w:r w:rsidRPr="007848A3">
        <w:rPr>
          <w:rFonts w:asciiTheme="minorHAnsi" w:hAnsiTheme="minorHAnsi"/>
        </w:rPr>
        <w:t xml:space="preserve"> de makaire bleu et de </w:t>
      </w:r>
      <w:r w:rsidR="00865086" w:rsidRPr="007848A3">
        <w:rPr>
          <w:rFonts w:asciiTheme="minorHAnsi" w:hAnsiTheme="minorHAnsi"/>
        </w:rPr>
        <w:t>355</w:t>
      </w:r>
      <w:r w:rsidRPr="007848A3">
        <w:rPr>
          <w:rFonts w:asciiTheme="minorHAnsi" w:hAnsiTheme="minorHAnsi"/>
        </w:rPr>
        <w:t xml:space="preserve"> t de makaire blanc/makaire épée </w:t>
      </w:r>
      <w:r w:rsidR="00042456" w:rsidRPr="007848A3">
        <w:rPr>
          <w:rFonts w:asciiTheme="minorHAnsi" w:hAnsiTheme="minorHAnsi"/>
        </w:rPr>
        <w:t>est</w:t>
      </w:r>
      <w:r w:rsidR="00537024" w:rsidRPr="007848A3">
        <w:rPr>
          <w:rFonts w:asciiTheme="minorHAnsi" w:hAnsiTheme="minorHAnsi"/>
        </w:rPr>
        <w:t xml:space="preserve"> </w:t>
      </w:r>
      <w:r w:rsidRPr="007848A3">
        <w:rPr>
          <w:rFonts w:asciiTheme="minorHAnsi" w:hAnsiTheme="minorHAnsi"/>
        </w:rPr>
        <w:t>établie à compter de 2020.</w:t>
      </w:r>
      <w:r w:rsidRPr="007848A3">
        <w:rPr>
          <w:rFonts w:asciiTheme="minorHAnsi" w:hAnsiTheme="minorHAnsi"/>
          <w:color w:val="000000"/>
        </w:rPr>
        <w:t xml:space="preserve"> </w:t>
      </w:r>
      <w:r w:rsidRPr="007848A3">
        <w:rPr>
          <w:rFonts w:asciiTheme="minorHAnsi" w:hAnsiTheme="minorHAnsi"/>
        </w:rPr>
        <w:t>Les limites de débarquement devront être mises en œuvre</w:t>
      </w:r>
      <w:r w:rsidR="00865086" w:rsidRPr="007848A3">
        <w:rPr>
          <w:rFonts w:asciiTheme="minorHAnsi" w:hAnsiTheme="minorHAnsi"/>
        </w:rPr>
        <w:t xml:space="preserve"> </w:t>
      </w:r>
      <w:r w:rsidR="00537024" w:rsidRPr="007848A3">
        <w:rPr>
          <w:rFonts w:asciiTheme="minorHAnsi" w:hAnsiTheme="minorHAnsi"/>
        </w:rPr>
        <w:t>de la manière suivante :</w:t>
      </w:r>
    </w:p>
    <w:p w14:paraId="263758C4" w14:textId="345512B2" w:rsidR="00BB791C" w:rsidRPr="007848A3" w:rsidRDefault="00BB791C">
      <w:pPr>
        <w:rPr>
          <w:rFonts w:asciiTheme="minorHAnsi" w:hAnsiTheme="minorHAnsi"/>
          <w:color w:val="000000"/>
        </w:rPr>
      </w:pPr>
      <w:r w:rsidRPr="007848A3">
        <w:rPr>
          <w:rFonts w:asciiTheme="minorHAnsi" w:hAnsiTheme="minorHAnsi"/>
          <w:color w:val="000000"/>
        </w:rPr>
        <w:br w:type="page"/>
      </w:r>
    </w:p>
    <w:p w14:paraId="3EBB190C" w14:textId="77777777" w:rsidR="00BB791C" w:rsidRPr="007848A3" w:rsidRDefault="00BB791C" w:rsidP="00642F10">
      <w:pPr>
        <w:pBdr>
          <w:top w:val="nil"/>
          <w:left w:val="nil"/>
          <w:bottom w:val="nil"/>
          <w:right w:val="nil"/>
          <w:between w:val="nil"/>
        </w:pBdr>
        <w:ind w:left="426" w:hanging="426"/>
        <w:rPr>
          <w:rFonts w:asciiTheme="minorHAnsi" w:hAnsiTheme="minorHAnsi"/>
          <w:color w:val="000000"/>
        </w:rPr>
      </w:pPr>
    </w:p>
    <w:tbl>
      <w:tblPr>
        <w:tblW w:w="0" w:type="auto"/>
        <w:tblInd w:w="183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693"/>
        <w:gridCol w:w="2552"/>
      </w:tblGrid>
      <w:tr w:rsidR="00B30986" w:rsidRPr="007848A3" w14:paraId="7B338DBF" w14:textId="77777777" w:rsidTr="00AF767D">
        <w:trPr>
          <w:trHeight w:val="315"/>
        </w:trPr>
        <w:tc>
          <w:tcPr>
            <w:tcW w:w="2693" w:type="dxa"/>
            <w:tcBorders>
              <w:top w:val="single" w:sz="4" w:space="0" w:color="auto"/>
              <w:bottom w:val="single" w:sz="4" w:space="0" w:color="auto"/>
            </w:tcBorders>
            <w:vAlign w:val="center"/>
            <w:hideMark/>
          </w:tcPr>
          <w:p w14:paraId="4B677670" w14:textId="77777777" w:rsidR="00B30986" w:rsidRPr="007848A3" w:rsidRDefault="00B30986" w:rsidP="00B30986">
            <w:pPr>
              <w:rPr>
                <w:rFonts w:eastAsia="Times New Roman" w:cs="Calibri"/>
                <w:i/>
                <w:iCs/>
                <w:color w:val="000000"/>
                <w:lang w:val="en-US"/>
              </w:rPr>
            </w:pPr>
            <w:r w:rsidRPr="007848A3">
              <w:rPr>
                <w:rFonts w:eastAsia="Times New Roman" w:cs="Calibri"/>
                <w:i/>
                <w:iCs/>
                <w:color w:val="000000"/>
              </w:rPr>
              <w:t>Makaire bleu</w:t>
            </w:r>
          </w:p>
        </w:tc>
        <w:tc>
          <w:tcPr>
            <w:tcW w:w="2552" w:type="dxa"/>
            <w:tcBorders>
              <w:top w:val="single" w:sz="4" w:space="0" w:color="auto"/>
              <w:bottom w:val="single" w:sz="4" w:space="0" w:color="auto"/>
            </w:tcBorders>
            <w:vAlign w:val="center"/>
            <w:hideMark/>
          </w:tcPr>
          <w:p w14:paraId="5B377FED" w14:textId="77777777" w:rsidR="00B30986" w:rsidRPr="007848A3" w:rsidRDefault="00B30986" w:rsidP="00B30986">
            <w:pPr>
              <w:jc w:val="center"/>
              <w:rPr>
                <w:rFonts w:eastAsia="Times New Roman" w:cs="Calibri"/>
                <w:i/>
                <w:iCs/>
                <w:color w:val="000000"/>
                <w:sz w:val="18"/>
                <w:szCs w:val="18"/>
                <w:lang w:val="en-US"/>
              </w:rPr>
            </w:pPr>
            <w:r w:rsidRPr="007848A3">
              <w:rPr>
                <w:rFonts w:eastAsia="Times New Roman" w:cs="Calibri"/>
                <w:i/>
                <w:iCs/>
                <w:color w:val="000000"/>
                <w:sz w:val="18"/>
                <w:szCs w:val="18"/>
              </w:rPr>
              <w:t>Limite des débarquements (t)</w:t>
            </w:r>
          </w:p>
        </w:tc>
      </w:tr>
      <w:tr w:rsidR="00B30986" w:rsidRPr="007848A3" w14:paraId="34B6B2D5" w14:textId="77777777" w:rsidTr="00AF767D">
        <w:trPr>
          <w:trHeight w:hRule="exact" w:val="405"/>
        </w:trPr>
        <w:tc>
          <w:tcPr>
            <w:tcW w:w="2693" w:type="dxa"/>
            <w:tcBorders>
              <w:top w:val="single" w:sz="4" w:space="0" w:color="auto"/>
            </w:tcBorders>
            <w:vAlign w:val="center"/>
            <w:hideMark/>
          </w:tcPr>
          <w:p w14:paraId="03D1D2C0" w14:textId="77777777" w:rsidR="00B30986" w:rsidRPr="007848A3" w:rsidRDefault="00B30986" w:rsidP="00B30986">
            <w:pPr>
              <w:rPr>
                <w:rFonts w:eastAsia="Times New Roman" w:cs="Calibri"/>
                <w:color w:val="000000"/>
                <w:lang w:val="en-US"/>
              </w:rPr>
            </w:pPr>
            <w:r w:rsidRPr="007848A3">
              <w:rPr>
                <w:rFonts w:eastAsia="Times New Roman" w:cs="Calibri"/>
                <w:color w:val="000000"/>
              </w:rPr>
              <w:t>Brésil</w:t>
            </w:r>
          </w:p>
        </w:tc>
        <w:tc>
          <w:tcPr>
            <w:tcW w:w="2552" w:type="dxa"/>
            <w:tcBorders>
              <w:top w:val="single" w:sz="4" w:space="0" w:color="auto"/>
            </w:tcBorders>
            <w:vAlign w:val="center"/>
            <w:hideMark/>
          </w:tcPr>
          <w:p w14:paraId="238EB4B1"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159,8</w:t>
            </w:r>
          </w:p>
        </w:tc>
      </w:tr>
      <w:tr w:rsidR="00B30986" w:rsidRPr="007848A3" w14:paraId="06CAD178" w14:textId="77777777" w:rsidTr="00AF767D">
        <w:trPr>
          <w:trHeight w:hRule="exact" w:val="405"/>
        </w:trPr>
        <w:tc>
          <w:tcPr>
            <w:tcW w:w="2693" w:type="dxa"/>
            <w:vAlign w:val="center"/>
            <w:hideMark/>
          </w:tcPr>
          <w:p w14:paraId="5FF7689F" w14:textId="77777777" w:rsidR="00B30986" w:rsidRPr="007848A3" w:rsidRDefault="00B30986" w:rsidP="00B30986">
            <w:pPr>
              <w:rPr>
                <w:rFonts w:eastAsia="Times New Roman" w:cs="Calibri"/>
                <w:color w:val="000000"/>
                <w:lang w:val="en-US"/>
              </w:rPr>
            </w:pPr>
            <w:r w:rsidRPr="007848A3">
              <w:rPr>
                <w:rFonts w:eastAsia="Times New Roman" w:cs="Calibri"/>
                <w:color w:val="000000"/>
              </w:rPr>
              <w:t xml:space="preserve">Chine, </w:t>
            </w:r>
            <w:proofErr w:type="gramStart"/>
            <w:r w:rsidRPr="007848A3">
              <w:rPr>
                <w:rFonts w:eastAsia="Times New Roman" w:cs="Calibri"/>
                <w:color w:val="000000"/>
              </w:rPr>
              <w:t>R.P</w:t>
            </w:r>
            <w:proofErr w:type="gramEnd"/>
          </w:p>
        </w:tc>
        <w:tc>
          <w:tcPr>
            <w:tcW w:w="2552" w:type="dxa"/>
            <w:vAlign w:val="center"/>
            <w:hideMark/>
          </w:tcPr>
          <w:p w14:paraId="31759466"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37,9</w:t>
            </w:r>
          </w:p>
        </w:tc>
      </w:tr>
      <w:tr w:rsidR="00B30986" w:rsidRPr="007848A3" w14:paraId="58040C15" w14:textId="77777777" w:rsidTr="00AF767D">
        <w:trPr>
          <w:trHeight w:hRule="exact" w:val="405"/>
        </w:trPr>
        <w:tc>
          <w:tcPr>
            <w:tcW w:w="2693" w:type="dxa"/>
            <w:vAlign w:val="center"/>
            <w:hideMark/>
          </w:tcPr>
          <w:p w14:paraId="2DD295DA" w14:textId="77777777" w:rsidR="00B30986" w:rsidRPr="007848A3" w:rsidRDefault="00B30986" w:rsidP="00B30986">
            <w:pPr>
              <w:rPr>
                <w:rFonts w:eastAsia="Times New Roman" w:cs="Calibri"/>
                <w:color w:val="000000"/>
                <w:lang w:val="en-US"/>
              </w:rPr>
            </w:pPr>
            <w:r w:rsidRPr="007848A3">
              <w:rPr>
                <w:rFonts w:eastAsia="Times New Roman" w:cs="Calibri"/>
                <w:color w:val="000000"/>
              </w:rPr>
              <w:t>Taipei chinois</w:t>
            </w:r>
          </w:p>
        </w:tc>
        <w:tc>
          <w:tcPr>
            <w:tcW w:w="2552" w:type="dxa"/>
            <w:vAlign w:val="center"/>
            <w:hideMark/>
          </w:tcPr>
          <w:p w14:paraId="02CB9AF3"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126,2</w:t>
            </w:r>
          </w:p>
        </w:tc>
      </w:tr>
      <w:tr w:rsidR="00B30986" w:rsidRPr="007848A3" w14:paraId="247A70BC" w14:textId="77777777" w:rsidTr="00AF767D">
        <w:trPr>
          <w:trHeight w:hRule="exact" w:val="405"/>
        </w:trPr>
        <w:tc>
          <w:tcPr>
            <w:tcW w:w="2693" w:type="dxa"/>
            <w:vAlign w:val="center"/>
            <w:hideMark/>
          </w:tcPr>
          <w:p w14:paraId="2E505720" w14:textId="77777777" w:rsidR="00B30986" w:rsidRPr="007848A3" w:rsidRDefault="00B30986" w:rsidP="00B30986">
            <w:pPr>
              <w:rPr>
                <w:rFonts w:eastAsia="Times New Roman" w:cs="Calibri"/>
                <w:color w:val="000000"/>
                <w:lang w:val="en-US"/>
              </w:rPr>
            </w:pPr>
            <w:r w:rsidRPr="007848A3">
              <w:rPr>
                <w:rFonts w:eastAsia="Times New Roman" w:cs="Calibri"/>
                <w:color w:val="000000"/>
              </w:rPr>
              <w:t>Côte d'Ivoire</w:t>
            </w:r>
          </w:p>
        </w:tc>
        <w:tc>
          <w:tcPr>
            <w:tcW w:w="2552" w:type="dxa"/>
            <w:vAlign w:val="center"/>
            <w:hideMark/>
          </w:tcPr>
          <w:p w14:paraId="5B2B3AC5"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126,2</w:t>
            </w:r>
          </w:p>
        </w:tc>
      </w:tr>
      <w:tr w:rsidR="00B30986" w:rsidRPr="007848A3" w14:paraId="7033E0CE" w14:textId="77777777" w:rsidTr="00AF767D">
        <w:trPr>
          <w:trHeight w:hRule="exact" w:val="405"/>
        </w:trPr>
        <w:tc>
          <w:tcPr>
            <w:tcW w:w="2693" w:type="dxa"/>
            <w:vAlign w:val="center"/>
            <w:hideMark/>
          </w:tcPr>
          <w:p w14:paraId="0843959F" w14:textId="2547FE0B" w:rsidR="00B30986" w:rsidRPr="007848A3" w:rsidRDefault="00B30986" w:rsidP="00B30986">
            <w:pPr>
              <w:rPr>
                <w:rFonts w:eastAsia="Times New Roman" w:cs="Calibri"/>
                <w:color w:val="000000"/>
                <w:lang w:val="en-US"/>
              </w:rPr>
            </w:pPr>
            <w:r w:rsidRPr="007848A3">
              <w:rPr>
                <w:rFonts w:eastAsia="Times New Roman" w:cs="Calibri"/>
                <w:color w:val="000000"/>
              </w:rPr>
              <w:footnoteReference w:customMarkFollows="1" w:id="1"/>
              <w:t>Union européenne</w:t>
            </w:r>
            <w:r w:rsidRPr="007848A3">
              <w:rPr>
                <w:rStyle w:val="FootnoteReference"/>
                <w:rFonts w:eastAsia="Times New Roman" w:cs="Calibri"/>
                <w:color w:val="000000"/>
              </w:rPr>
              <w:footnoteReference w:id="2"/>
            </w:r>
          </w:p>
        </w:tc>
        <w:tc>
          <w:tcPr>
            <w:tcW w:w="2552" w:type="dxa"/>
            <w:vAlign w:val="center"/>
            <w:hideMark/>
          </w:tcPr>
          <w:p w14:paraId="23CFA684"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403,8</w:t>
            </w:r>
          </w:p>
        </w:tc>
      </w:tr>
      <w:tr w:rsidR="00B30986" w:rsidRPr="007848A3" w14:paraId="2F3F99C1" w14:textId="77777777" w:rsidTr="00AF767D">
        <w:trPr>
          <w:trHeight w:hRule="exact" w:val="405"/>
        </w:trPr>
        <w:tc>
          <w:tcPr>
            <w:tcW w:w="2693" w:type="dxa"/>
            <w:vAlign w:val="center"/>
            <w:hideMark/>
          </w:tcPr>
          <w:p w14:paraId="11442A49" w14:textId="77777777" w:rsidR="00B30986" w:rsidRPr="007848A3" w:rsidRDefault="00B30986" w:rsidP="00B30986">
            <w:pPr>
              <w:rPr>
                <w:rFonts w:eastAsia="Times New Roman" w:cs="Calibri"/>
                <w:color w:val="000000"/>
                <w:lang w:val="en-US"/>
              </w:rPr>
            </w:pPr>
            <w:r w:rsidRPr="007848A3">
              <w:rPr>
                <w:rFonts w:eastAsia="Times New Roman" w:cs="Calibri"/>
                <w:color w:val="000000"/>
              </w:rPr>
              <w:t>Ghana</w:t>
            </w:r>
          </w:p>
        </w:tc>
        <w:tc>
          <w:tcPr>
            <w:tcW w:w="2552" w:type="dxa"/>
            <w:vAlign w:val="center"/>
            <w:hideMark/>
          </w:tcPr>
          <w:p w14:paraId="7F16F846"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210,3</w:t>
            </w:r>
          </w:p>
        </w:tc>
      </w:tr>
      <w:tr w:rsidR="00B30986" w:rsidRPr="007848A3" w14:paraId="6DC9C6B2" w14:textId="77777777" w:rsidTr="00AF767D">
        <w:trPr>
          <w:trHeight w:hRule="exact" w:val="405"/>
        </w:trPr>
        <w:tc>
          <w:tcPr>
            <w:tcW w:w="2693" w:type="dxa"/>
            <w:vAlign w:val="center"/>
            <w:hideMark/>
          </w:tcPr>
          <w:p w14:paraId="35FA5290" w14:textId="77777777" w:rsidR="00B30986" w:rsidRPr="007848A3" w:rsidRDefault="00B30986" w:rsidP="00B30986">
            <w:pPr>
              <w:rPr>
                <w:rFonts w:eastAsia="Times New Roman" w:cs="Calibri"/>
                <w:color w:val="000000"/>
                <w:lang w:val="en-US"/>
              </w:rPr>
            </w:pPr>
            <w:r w:rsidRPr="007848A3">
              <w:rPr>
                <w:rFonts w:eastAsia="Times New Roman" w:cs="Calibri"/>
                <w:color w:val="000000"/>
              </w:rPr>
              <w:t>Japon</w:t>
            </w:r>
          </w:p>
        </w:tc>
        <w:tc>
          <w:tcPr>
            <w:tcW w:w="2552" w:type="dxa"/>
            <w:vAlign w:val="center"/>
            <w:hideMark/>
          </w:tcPr>
          <w:p w14:paraId="5F3E22CC"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328,1</w:t>
            </w:r>
          </w:p>
        </w:tc>
      </w:tr>
      <w:tr w:rsidR="00B30986" w:rsidRPr="007848A3" w14:paraId="4A081373" w14:textId="77777777" w:rsidTr="00AF767D">
        <w:trPr>
          <w:trHeight w:hRule="exact" w:val="405"/>
        </w:trPr>
        <w:tc>
          <w:tcPr>
            <w:tcW w:w="2693" w:type="dxa"/>
            <w:vAlign w:val="center"/>
            <w:hideMark/>
          </w:tcPr>
          <w:p w14:paraId="70D88BA7" w14:textId="77777777" w:rsidR="00B30986" w:rsidRPr="007848A3" w:rsidRDefault="00B30986" w:rsidP="00B30986">
            <w:pPr>
              <w:rPr>
                <w:rFonts w:eastAsia="Times New Roman" w:cs="Calibri"/>
                <w:color w:val="000000"/>
                <w:lang w:val="en-US"/>
              </w:rPr>
            </w:pPr>
            <w:r w:rsidRPr="007848A3">
              <w:rPr>
                <w:rFonts w:eastAsia="Times New Roman" w:cs="Calibri"/>
                <w:color w:val="000000"/>
              </w:rPr>
              <w:t xml:space="preserve">Corée </w:t>
            </w:r>
            <w:proofErr w:type="spellStart"/>
            <w:r w:rsidRPr="007848A3">
              <w:rPr>
                <w:rFonts w:eastAsia="Times New Roman" w:cs="Calibri"/>
                <w:color w:val="000000"/>
              </w:rPr>
              <w:t>Rép</w:t>
            </w:r>
            <w:proofErr w:type="spellEnd"/>
            <w:r w:rsidRPr="007848A3">
              <w:rPr>
                <w:rFonts w:eastAsia="Times New Roman" w:cs="Calibri"/>
                <w:color w:val="000000"/>
              </w:rPr>
              <w:t>.</w:t>
            </w:r>
          </w:p>
        </w:tc>
        <w:tc>
          <w:tcPr>
            <w:tcW w:w="2552" w:type="dxa"/>
            <w:vAlign w:val="center"/>
            <w:hideMark/>
          </w:tcPr>
          <w:p w14:paraId="3E728293"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29,4</w:t>
            </w:r>
          </w:p>
        </w:tc>
      </w:tr>
      <w:tr w:rsidR="00B30986" w:rsidRPr="007848A3" w14:paraId="22B79EBA" w14:textId="77777777" w:rsidTr="00AF767D">
        <w:trPr>
          <w:trHeight w:hRule="exact" w:val="405"/>
        </w:trPr>
        <w:tc>
          <w:tcPr>
            <w:tcW w:w="2693" w:type="dxa"/>
            <w:vAlign w:val="center"/>
            <w:hideMark/>
          </w:tcPr>
          <w:p w14:paraId="32DEF8A5" w14:textId="77777777" w:rsidR="00B30986" w:rsidRPr="007848A3" w:rsidRDefault="00B30986" w:rsidP="00B30986">
            <w:pPr>
              <w:rPr>
                <w:rFonts w:eastAsia="Times New Roman" w:cs="Calibri"/>
                <w:color w:val="000000"/>
                <w:lang w:val="en-US"/>
              </w:rPr>
            </w:pPr>
            <w:r w:rsidRPr="007848A3">
              <w:rPr>
                <w:rFonts w:eastAsia="Times New Roman" w:cs="Calibri"/>
                <w:color w:val="000000"/>
              </w:rPr>
              <w:t>Mexique</w:t>
            </w:r>
          </w:p>
        </w:tc>
        <w:tc>
          <w:tcPr>
            <w:tcW w:w="2552" w:type="dxa"/>
            <w:vAlign w:val="center"/>
            <w:hideMark/>
          </w:tcPr>
          <w:p w14:paraId="2EF5B1ED"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58,9</w:t>
            </w:r>
          </w:p>
        </w:tc>
      </w:tr>
      <w:tr w:rsidR="00B30986" w:rsidRPr="007848A3" w14:paraId="0B880164" w14:textId="77777777" w:rsidTr="00AF767D">
        <w:trPr>
          <w:trHeight w:hRule="exact" w:val="405"/>
        </w:trPr>
        <w:tc>
          <w:tcPr>
            <w:tcW w:w="2693" w:type="dxa"/>
            <w:vAlign w:val="center"/>
            <w:hideMark/>
          </w:tcPr>
          <w:p w14:paraId="7950FFF0" w14:textId="77777777" w:rsidR="00B30986" w:rsidRPr="007848A3" w:rsidRDefault="00B30986" w:rsidP="00B30986">
            <w:pPr>
              <w:rPr>
                <w:rFonts w:eastAsia="Times New Roman" w:cs="Calibri"/>
                <w:color w:val="000000"/>
                <w:lang w:val="en-US"/>
              </w:rPr>
            </w:pPr>
            <w:r w:rsidRPr="007848A3">
              <w:rPr>
                <w:rFonts w:eastAsia="Times New Roman" w:cs="Calibri"/>
                <w:color w:val="000000"/>
              </w:rPr>
              <w:t>Sao Tomé-et-Principe</w:t>
            </w:r>
          </w:p>
        </w:tc>
        <w:tc>
          <w:tcPr>
            <w:tcW w:w="2552" w:type="dxa"/>
            <w:vAlign w:val="center"/>
            <w:hideMark/>
          </w:tcPr>
          <w:p w14:paraId="33778722"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37,9</w:t>
            </w:r>
          </w:p>
        </w:tc>
      </w:tr>
      <w:tr w:rsidR="00B30986" w:rsidRPr="007848A3" w14:paraId="01B800FE" w14:textId="77777777" w:rsidTr="00AF767D">
        <w:trPr>
          <w:trHeight w:hRule="exact" w:val="405"/>
        </w:trPr>
        <w:tc>
          <w:tcPr>
            <w:tcW w:w="2693" w:type="dxa"/>
            <w:vAlign w:val="center"/>
            <w:hideMark/>
          </w:tcPr>
          <w:p w14:paraId="7BAA0B3A" w14:textId="77777777" w:rsidR="00B30986" w:rsidRPr="007848A3" w:rsidRDefault="00B30986" w:rsidP="00B30986">
            <w:pPr>
              <w:rPr>
                <w:rFonts w:eastAsia="Times New Roman" w:cs="Calibri"/>
                <w:color w:val="000000"/>
                <w:lang w:val="en-US"/>
              </w:rPr>
            </w:pPr>
            <w:r w:rsidRPr="007848A3">
              <w:rPr>
                <w:rFonts w:eastAsia="Times New Roman" w:cs="Calibri"/>
                <w:color w:val="000000"/>
              </w:rPr>
              <w:t>Sénégal</w:t>
            </w:r>
          </w:p>
        </w:tc>
        <w:tc>
          <w:tcPr>
            <w:tcW w:w="2552" w:type="dxa"/>
            <w:vAlign w:val="center"/>
            <w:hideMark/>
          </w:tcPr>
          <w:p w14:paraId="457DAF39"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50,5</w:t>
            </w:r>
          </w:p>
        </w:tc>
      </w:tr>
      <w:tr w:rsidR="00B30986" w:rsidRPr="007848A3" w14:paraId="501E01E0" w14:textId="77777777" w:rsidTr="00AF767D">
        <w:trPr>
          <w:trHeight w:hRule="exact" w:val="405"/>
        </w:trPr>
        <w:tc>
          <w:tcPr>
            <w:tcW w:w="2693" w:type="dxa"/>
            <w:vAlign w:val="center"/>
            <w:hideMark/>
          </w:tcPr>
          <w:p w14:paraId="0B0AB73D" w14:textId="77777777" w:rsidR="00B30986" w:rsidRPr="007848A3" w:rsidRDefault="00B30986" w:rsidP="00B30986">
            <w:pPr>
              <w:rPr>
                <w:rFonts w:eastAsia="Times New Roman" w:cs="Calibri"/>
                <w:color w:val="000000"/>
                <w:lang w:val="en-US"/>
              </w:rPr>
            </w:pPr>
            <w:r w:rsidRPr="007848A3">
              <w:rPr>
                <w:rFonts w:eastAsia="Times New Roman" w:cs="Calibri"/>
                <w:color w:val="000000"/>
              </w:rPr>
              <w:t>Trinité-et-Tobago</w:t>
            </w:r>
          </w:p>
        </w:tc>
        <w:tc>
          <w:tcPr>
            <w:tcW w:w="2552" w:type="dxa"/>
            <w:vAlign w:val="center"/>
            <w:hideMark/>
          </w:tcPr>
          <w:p w14:paraId="35246406"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16,8</w:t>
            </w:r>
          </w:p>
        </w:tc>
      </w:tr>
      <w:tr w:rsidR="00B30986" w:rsidRPr="007848A3" w14:paraId="41C369C6" w14:textId="77777777" w:rsidTr="00AF767D">
        <w:trPr>
          <w:trHeight w:hRule="exact" w:val="405"/>
        </w:trPr>
        <w:tc>
          <w:tcPr>
            <w:tcW w:w="2693" w:type="dxa"/>
            <w:tcBorders>
              <w:bottom w:val="single" w:sz="4" w:space="0" w:color="auto"/>
            </w:tcBorders>
            <w:vAlign w:val="center"/>
            <w:hideMark/>
          </w:tcPr>
          <w:p w14:paraId="2A3AD8D0" w14:textId="77777777" w:rsidR="00B30986" w:rsidRPr="007848A3" w:rsidRDefault="00B30986" w:rsidP="00B30986">
            <w:pPr>
              <w:rPr>
                <w:rFonts w:eastAsia="Times New Roman" w:cs="Calibri"/>
                <w:color w:val="000000"/>
                <w:lang w:val="en-US"/>
              </w:rPr>
            </w:pPr>
            <w:r w:rsidRPr="007848A3">
              <w:rPr>
                <w:rFonts w:eastAsia="Times New Roman" w:cs="Calibri"/>
                <w:color w:val="000000"/>
              </w:rPr>
              <w:t>Venezuela</w:t>
            </w:r>
          </w:p>
        </w:tc>
        <w:tc>
          <w:tcPr>
            <w:tcW w:w="2552" w:type="dxa"/>
            <w:tcBorders>
              <w:bottom w:val="single" w:sz="4" w:space="0" w:color="auto"/>
            </w:tcBorders>
            <w:vAlign w:val="center"/>
            <w:hideMark/>
          </w:tcPr>
          <w:p w14:paraId="2E9C6B0C" w14:textId="77777777" w:rsidR="00B30986" w:rsidRPr="007848A3" w:rsidRDefault="00B30986" w:rsidP="00B30986">
            <w:pPr>
              <w:jc w:val="center"/>
              <w:rPr>
                <w:rFonts w:eastAsia="Times New Roman" w:cs="Calibri"/>
                <w:color w:val="000000"/>
                <w:sz w:val="18"/>
                <w:szCs w:val="18"/>
                <w:lang w:val="en-US"/>
              </w:rPr>
            </w:pPr>
            <w:r w:rsidRPr="007848A3">
              <w:rPr>
                <w:rFonts w:eastAsia="Times New Roman" w:cs="Calibri"/>
                <w:color w:val="000000"/>
                <w:sz w:val="18"/>
                <w:szCs w:val="18"/>
              </w:rPr>
              <w:t>84,1</w:t>
            </w:r>
          </w:p>
        </w:tc>
      </w:tr>
      <w:tr w:rsidR="00B30986" w:rsidRPr="007848A3" w14:paraId="54FD0362" w14:textId="77777777" w:rsidTr="00AF767D">
        <w:trPr>
          <w:trHeight w:hRule="exact" w:val="405"/>
        </w:trPr>
        <w:tc>
          <w:tcPr>
            <w:tcW w:w="2693" w:type="dxa"/>
            <w:tcBorders>
              <w:top w:val="single" w:sz="4" w:space="0" w:color="auto"/>
              <w:bottom w:val="single" w:sz="4" w:space="0" w:color="auto"/>
            </w:tcBorders>
            <w:vAlign w:val="center"/>
            <w:hideMark/>
          </w:tcPr>
          <w:p w14:paraId="00BDB689" w14:textId="77777777" w:rsidR="00B30986" w:rsidRPr="007848A3" w:rsidRDefault="00B30986" w:rsidP="00B30986">
            <w:pPr>
              <w:rPr>
                <w:rFonts w:eastAsia="Times New Roman" w:cs="Calibri"/>
                <w:b/>
                <w:bCs/>
                <w:color w:val="000000"/>
                <w:lang w:val="en-US"/>
              </w:rPr>
            </w:pPr>
            <w:r w:rsidRPr="007848A3">
              <w:rPr>
                <w:rFonts w:eastAsia="Times New Roman" w:cs="Calibri"/>
                <w:b/>
                <w:bCs/>
                <w:color w:val="000000"/>
              </w:rPr>
              <w:t>TOTAL</w:t>
            </w:r>
          </w:p>
        </w:tc>
        <w:tc>
          <w:tcPr>
            <w:tcW w:w="2552" w:type="dxa"/>
            <w:tcBorders>
              <w:top w:val="single" w:sz="4" w:space="0" w:color="auto"/>
              <w:bottom w:val="single" w:sz="4" w:space="0" w:color="auto"/>
            </w:tcBorders>
            <w:vAlign w:val="center"/>
            <w:hideMark/>
          </w:tcPr>
          <w:p w14:paraId="091064F0" w14:textId="77777777" w:rsidR="00B30986" w:rsidRPr="007848A3" w:rsidRDefault="00B30986" w:rsidP="00B30986">
            <w:pPr>
              <w:jc w:val="center"/>
              <w:rPr>
                <w:rFonts w:ascii="Times New Roman" w:eastAsia="Times New Roman" w:hAnsi="Times New Roman" w:cs="Times New Roman"/>
                <w:b/>
                <w:bCs/>
                <w:color w:val="000000"/>
                <w:sz w:val="18"/>
                <w:szCs w:val="18"/>
                <w:lang w:val="en-US"/>
              </w:rPr>
            </w:pPr>
            <w:r w:rsidRPr="007848A3">
              <w:rPr>
                <w:rFonts w:ascii="Times New Roman" w:eastAsia="Times New Roman" w:hAnsi="Times New Roman" w:cs="Times New Roman"/>
                <w:b/>
                <w:bCs/>
                <w:color w:val="000000"/>
                <w:sz w:val="18"/>
                <w:szCs w:val="18"/>
                <w:lang w:val="en-GB"/>
              </w:rPr>
              <w:t>1.</w:t>
            </w:r>
            <w:r w:rsidRPr="007848A3">
              <w:rPr>
                <w:rFonts w:eastAsia="Times New Roman" w:cs="Times New Roman"/>
                <w:b/>
                <w:bCs/>
                <w:color w:val="000000"/>
                <w:sz w:val="18"/>
                <w:szCs w:val="18"/>
                <w:lang w:val="en-GB"/>
              </w:rPr>
              <w:t>670</w:t>
            </w:r>
          </w:p>
        </w:tc>
      </w:tr>
    </w:tbl>
    <w:p w14:paraId="3564D6C5" w14:textId="6E8E1080" w:rsidR="004B18CD" w:rsidRPr="007848A3" w:rsidRDefault="004B18CD">
      <w:pPr>
        <w:pBdr>
          <w:top w:val="nil"/>
          <w:left w:val="nil"/>
          <w:bottom w:val="nil"/>
          <w:right w:val="nil"/>
          <w:between w:val="nil"/>
        </w:pBdr>
        <w:ind w:right="260"/>
        <w:rPr>
          <w:rFonts w:asciiTheme="minorHAnsi" w:hAnsiTheme="minorHAnsi"/>
          <w:color w:val="000000"/>
          <w:sz w:val="8"/>
          <w:szCs w:val="8"/>
        </w:rPr>
      </w:pPr>
    </w:p>
    <w:p w14:paraId="5B1BF87B" w14:textId="4953D449" w:rsidR="00B30986" w:rsidRPr="007848A3" w:rsidRDefault="00B30986">
      <w:pPr>
        <w:pBdr>
          <w:top w:val="nil"/>
          <w:left w:val="nil"/>
          <w:bottom w:val="nil"/>
          <w:right w:val="nil"/>
          <w:between w:val="nil"/>
        </w:pBdr>
        <w:ind w:right="260"/>
        <w:rPr>
          <w:rFonts w:asciiTheme="minorHAnsi" w:hAnsiTheme="minorHAnsi"/>
          <w:color w:val="000000"/>
          <w:sz w:val="8"/>
          <w:szCs w:val="8"/>
        </w:rPr>
      </w:pPr>
    </w:p>
    <w:p w14:paraId="3003D807" w14:textId="77777777" w:rsidR="00B30986" w:rsidRPr="007848A3" w:rsidRDefault="00B30986">
      <w:pPr>
        <w:pBdr>
          <w:top w:val="nil"/>
          <w:left w:val="nil"/>
          <w:bottom w:val="nil"/>
          <w:right w:val="nil"/>
          <w:between w:val="nil"/>
        </w:pBdr>
        <w:ind w:right="260"/>
        <w:rPr>
          <w:rFonts w:asciiTheme="minorHAnsi" w:hAnsiTheme="minorHAnsi"/>
          <w:color w:val="000000"/>
          <w:sz w:val="8"/>
          <w:szCs w:val="8"/>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624"/>
        <w:gridCol w:w="2665"/>
      </w:tblGrid>
      <w:tr w:rsidR="00B30986" w:rsidRPr="007848A3" w14:paraId="5B1A64BE" w14:textId="77777777" w:rsidTr="00AF767D">
        <w:trPr>
          <w:trHeight w:val="315"/>
          <w:jc w:val="center"/>
        </w:trPr>
        <w:tc>
          <w:tcPr>
            <w:tcW w:w="0" w:type="auto"/>
            <w:tcBorders>
              <w:top w:val="single" w:sz="4" w:space="0" w:color="auto"/>
              <w:bottom w:val="single" w:sz="4" w:space="0" w:color="auto"/>
            </w:tcBorders>
            <w:vAlign w:val="center"/>
            <w:hideMark/>
          </w:tcPr>
          <w:p w14:paraId="14D51BBB" w14:textId="77777777" w:rsidR="00B30986" w:rsidRPr="007848A3" w:rsidRDefault="00B30986" w:rsidP="00B30986">
            <w:pPr>
              <w:rPr>
                <w:rFonts w:eastAsia="Times New Roman" w:cs="Calibri"/>
                <w:i/>
                <w:iCs/>
                <w:color w:val="000000"/>
                <w:lang w:val="en-US"/>
              </w:rPr>
            </w:pPr>
            <w:r w:rsidRPr="007848A3">
              <w:rPr>
                <w:rFonts w:eastAsia="Times New Roman" w:cs="Calibri"/>
                <w:i/>
                <w:iCs/>
                <w:color w:val="000000"/>
              </w:rPr>
              <w:t>Makaire blanc/Makaire épée</w:t>
            </w:r>
          </w:p>
        </w:tc>
        <w:tc>
          <w:tcPr>
            <w:tcW w:w="0" w:type="auto"/>
            <w:tcBorders>
              <w:top w:val="single" w:sz="4" w:space="0" w:color="auto"/>
              <w:bottom w:val="single" w:sz="4" w:space="0" w:color="auto"/>
            </w:tcBorders>
            <w:vAlign w:val="center"/>
            <w:hideMark/>
          </w:tcPr>
          <w:p w14:paraId="4E95924D" w14:textId="77777777" w:rsidR="00B30986" w:rsidRPr="007848A3" w:rsidRDefault="00B30986" w:rsidP="00B30986">
            <w:pPr>
              <w:rPr>
                <w:rFonts w:eastAsia="Times New Roman" w:cs="Calibri"/>
                <w:i/>
                <w:iCs/>
                <w:color w:val="000000"/>
                <w:lang w:val="en-US"/>
              </w:rPr>
            </w:pPr>
            <w:r w:rsidRPr="007848A3">
              <w:rPr>
                <w:rFonts w:eastAsia="Times New Roman" w:cs="Calibri"/>
                <w:i/>
                <w:iCs/>
                <w:color w:val="000000"/>
              </w:rPr>
              <w:t>Limite des débarquements (t)</w:t>
            </w:r>
          </w:p>
        </w:tc>
      </w:tr>
      <w:tr w:rsidR="00B30986" w:rsidRPr="007848A3" w14:paraId="76D9F820" w14:textId="77777777" w:rsidTr="00AF767D">
        <w:trPr>
          <w:trHeight w:val="405"/>
          <w:jc w:val="center"/>
        </w:trPr>
        <w:tc>
          <w:tcPr>
            <w:tcW w:w="0" w:type="auto"/>
            <w:tcBorders>
              <w:top w:val="single" w:sz="4" w:space="0" w:color="auto"/>
            </w:tcBorders>
            <w:vAlign w:val="center"/>
            <w:hideMark/>
          </w:tcPr>
          <w:p w14:paraId="1E97C5E3" w14:textId="77777777" w:rsidR="00B30986" w:rsidRPr="007848A3" w:rsidRDefault="00B30986" w:rsidP="00B30986">
            <w:pPr>
              <w:rPr>
                <w:rFonts w:eastAsia="Times New Roman" w:cs="Calibri"/>
                <w:color w:val="000000"/>
                <w:lang w:val="en-US"/>
              </w:rPr>
            </w:pPr>
            <w:r w:rsidRPr="007848A3">
              <w:rPr>
                <w:rFonts w:eastAsia="Times New Roman" w:cs="Calibri"/>
                <w:color w:val="000000"/>
              </w:rPr>
              <w:t>Barbade</w:t>
            </w:r>
          </w:p>
        </w:tc>
        <w:tc>
          <w:tcPr>
            <w:tcW w:w="0" w:type="auto"/>
            <w:tcBorders>
              <w:top w:val="single" w:sz="4" w:space="0" w:color="auto"/>
            </w:tcBorders>
            <w:vAlign w:val="center"/>
            <w:hideMark/>
          </w:tcPr>
          <w:p w14:paraId="3F8F486B"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10</w:t>
            </w:r>
          </w:p>
        </w:tc>
      </w:tr>
      <w:tr w:rsidR="00B30986" w:rsidRPr="007848A3" w14:paraId="2AE7AE9D" w14:textId="77777777" w:rsidTr="00AF767D">
        <w:trPr>
          <w:trHeight w:val="405"/>
          <w:jc w:val="center"/>
        </w:trPr>
        <w:tc>
          <w:tcPr>
            <w:tcW w:w="0" w:type="auto"/>
            <w:vAlign w:val="center"/>
            <w:hideMark/>
          </w:tcPr>
          <w:p w14:paraId="2310D9DD" w14:textId="77777777" w:rsidR="00B30986" w:rsidRPr="007848A3" w:rsidRDefault="00B30986" w:rsidP="00B30986">
            <w:pPr>
              <w:rPr>
                <w:rFonts w:eastAsia="Times New Roman" w:cs="Calibri"/>
                <w:color w:val="000000"/>
                <w:lang w:val="en-US"/>
              </w:rPr>
            </w:pPr>
            <w:r w:rsidRPr="007848A3">
              <w:rPr>
                <w:rFonts w:eastAsia="Times New Roman" w:cs="Calibri"/>
                <w:color w:val="000000"/>
              </w:rPr>
              <w:t>Brésil</w:t>
            </w:r>
          </w:p>
        </w:tc>
        <w:tc>
          <w:tcPr>
            <w:tcW w:w="0" w:type="auto"/>
            <w:vAlign w:val="center"/>
            <w:hideMark/>
          </w:tcPr>
          <w:p w14:paraId="5882BF09"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50</w:t>
            </w:r>
          </w:p>
        </w:tc>
      </w:tr>
      <w:tr w:rsidR="00B30986" w:rsidRPr="007848A3" w14:paraId="59877C73" w14:textId="77777777" w:rsidTr="00AF767D">
        <w:trPr>
          <w:trHeight w:val="405"/>
          <w:jc w:val="center"/>
        </w:trPr>
        <w:tc>
          <w:tcPr>
            <w:tcW w:w="0" w:type="auto"/>
            <w:vAlign w:val="center"/>
            <w:hideMark/>
          </w:tcPr>
          <w:p w14:paraId="1522778F" w14:textId="77777777" w:rsidR="00B30986" w:rsidRPr="007848A3" w:rsidRDefault="00B30986" w:rsidP="00B30986">
            <w:pPr>
              <w:rPr>
                <w:rFonts w:eastAsia="Times New Roman" w:cs="Calibri"/>
                <w:color w:val="000000"/>
                <w:lang w:val="en-US"/>
              </w:rPr>
            </w:pPr>
            <w:r w:rsidRPr="007848A3">
              <w:rPr>
                <w:rFonts w:eastAsia="Times New Roman" w:cs="Calibri"/>
                <w:color w:val="000000"/>
              </w:rPr>
              <w:t>Canada</w:t>
            </w:r>
          </w:p>
        </w:tc>
        <w:tc>
          <w:tcPr>
            <w:tcW w:w="0" w:type="auto"/>
            <w:vAlign w:val="center"/>
            <w:hideMark/>
          </w:tcPr>
          <w:p w14:paraId="6651571A"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10</w:t>
            </w:r>
          </w:p>
        </w:tc>
      </w:tr>
      <w:tr w:rsidR="00B30986" w:rsidRPr="007848A3" w14:paraId="0A74E37E" w14:textId="77777777" w:rsidTr="00AF767D">
        <w:trPr>
          <w:trHeight w:val="405"/>
          <w:jc w:val="center"/>
        </w:trPr>
        <w:tc>
          <w:tcPr>
            <w:tcW w:w="0" w:type="auto"/>
            <w:vAlign w:val="center"/>
            <w:hideMark/>
          </w:tcPr>
          <w:p w14:paraId="3DBE3938" w14:textId="77777777" w:rsidR="00B30986" w:rsidRPr="007848A3" w:rsidRDefault="00B30986" w:rsidP="00B30986">
            <w:pPr>
              <w:rPr>
                <w:rFonts w:eastAsia="Times New Roman" w:cs="Calibri"/>
                <w:color w:val="000000"/>
                <w:lang w:val="en-US"/>
              </w:rPr>
            </w:pPr>
            <w:r w:rsidRPr="007848A3">
              <w:rPr>
                <w:rFonts w:eastAsia="Times New Roman" w:cs="Calibri"/>
                <w:color w:val="000000"/>
              </w:rPr>
              <w:t xml:space="preserve">Chine, </w:t>
            </w:r>
            <w:proofErr w:type="gramStart"/>
            <w:r w:rsidRPr="007848A3">
              <w:rPr>
                <w:rFonts w:eastAsia="Times New Roman" w:cs="Calibri"/>
                <w:color w:val="000000"/>
              </w:rPr>
              <w:t>R.P</w:t>
            </w:r>
            <w:proofErr w:type="gramEnd"/>
          </w:p>
        </w:tc>
        <w:tc>
          <w:tcPr>
            <w:tcW w:w="0" w:type="auto"/>
            <w:vAlign w:val="center"/>
            <w:hideMark/>
          </w:tcPr>
          <w:p w14:paraId="45A5F355"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10</w:t>
            </w:r>
          </w:p>
        </w:tc>
      </w:tr>
      <w:tr w:rsidR="00B30986" w:rsidRPr="007848A3" w14:paraId="34496FCF" w14:textId="77777777" w:rsidTr="00AF767D">
        <w:trPr>
          <w:trHeight w:val="405"/>
          <w:jc w:val="center"/>
        </w:trPr>
        <w:tc>
          <w:tcPr>
            <w:tcW w:w="0" w:type="auto"/>
            <w:vAlign w:val="center"/>
            <w:hideMark/>
          </w:tcPr>
          <w:p w14:paraId="4148038F" w14:textId="77777777" w:rsidR="00B30986" w:rsidRPr="007848A3" w:rsidRDefault="00B30986" w:rsidP="00B30986">
            <w:pPr>
              <w:rPr>
                <w:rFonts w:eastAsia="Times New Roman" w:cs="Calibri"/>
                <w:color w:val="000000"/>
                <w:lang w:val="en-US"/>
              </w:rPr>
            </w:pPr>
            <w:r w:rsidRPr="007848A3">
              <w:rPr>
                <w:rFonts w:eastAsia="Times New Roman" w:cs="Calibri"/>
                <w:color w:val="000000"/>
              </w:rPr>
              <w:t>Taipei chinois</w:t>
            </w:r>
          </w:p>
        </w:tc>
        <w:tc>
          <w:tcPr>
            <w:tcW w:w="0" w:type="auto"/>
            <w:vAlign w:val="center"/>
            <w:hideMark/>
          </w:tcPr>
          <w:p w14:paraId="02BD53ED"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50</w:t>
            </w:r>
          </w:p>
        </w:tc>
      </w:tr>
      <w:tr w:rsidR="00B30986" w:rsidRPr="007848A3" w14:paraId="7EAA7367" w14:textId="77777777" w:rsidTr="00AF767D">
        <w:trPr>
          <w:trHeight w:val="405"/>
          <w:jc w:val="center"/>
        </w:trPr>
        <w:tc>
          <w:tcPr>
            <w:tcW w:w="0" w:type="auto"/>
            <w:vAlign w:val="center"/>
            <w:hideMark/>
          </w:tcPr>
          <w:p w14:paraId="00532156" w14:textId="77777777" w:rsidR="00B30986" w:rsidRPr="007848A3" w:rsidRDefault="00B30986" w:rsidP="00B30986">
            <w:pPr>
              <w:rPr>
                <w:rFonts w:eastAsia="Times New Roman" w:cs="Calibri"/>
                <w:color w:val="000000"/>
                <w:lang w:val="en-US"/>
              </w:rPr>
            </w:pPr>
            <w:r w:rsidRPr="007848A3">
              <w:rPr>
                <w:rFonts w:eastAsia="Times New Roman" w:cs="Calibri"/>
                <w:color w:val="000000"/>
              </w:rPr>
              <w:t>Union européenne</w:t>
            </w:r>
          </w:p>
        </w:tc>
        <w:tc>
          <w:tcPr>
            <w:tcW w:w="0" w:type="auto"/>
            <w:vAlign w:val="center"/>
            <w:hideMark/>
          </w:tcPr>
          <w:p w14:paraId="10328F27"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50</w:t>
            </w:r>
          </w:p>
        </w:tc>
      </w:tr>
      <w:tr w:rsidR="00B30986" w:rsidRPr="007848A3" w14:paraId="4AFC06DB" w14:textId="77777777" w:rsidTr="00AF767D">
        <w:trPr>
          <w:trHeight w:val="405"/>
          <w:jc w:val="center"/>
        </w:trPr>
        <w:tc>
          <w:tcPr>
            <w:tcW w:w="0" w:type="auto"/>
            <w:vAlign w:val="center"/>
            <w:hideMark/>
          </w:tcPr>
          <w:p w14:paraId="6C1A3361" w14:textId="77777777" w:rsidR="00B30986" w:rsidRPr="007848A3" w:rsidRDefault="00B30986" w:rsidP="00B30986">
            <w:pPr>
              <w:rPr>
                <w:rFonts w:eastAsia="Times New Roman" w:cs="Calibri"/>
                <w:color w:val="000000"/>
                <w:lang w:val="en-US"/>
              </w:rPr>
            </w:pPr>
            <w:r w:rsidRPr="007848A3">
              <w:rPr>
                <w:rFonts w:eastAsia="Times New Roman" w:cs="Calibri"/>
                <w:color w:val="000000"/>
              </w:rPr>
              <w:t>Côte d'Ivoire</w:t>
            </w:r>
          </w:p>
        </w:tc>
        <w:tc>
          <w:tcPr>
            <w:tcW w:w="0" w:type="auto"/>
            <w:vAlign w:val="center"/>
            <w:hideMark/>
          </w:tcPr>
          <w:p w14:paraId="4431F11F"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10</w:t>
            </w:r>
          </w:p>
        </w:tc>
      </w:tr>
      <w:tr w:rsidR="00B30986" w:rsidRPr="007848A3" w14:paraId="011DD9EB" w14:textId="77777777" w:rsidTr="00AF767D">
        <w:trPr>
          <w:trHeight w:val="405"/>
          <w:jc w:val="center"/>
        </w:trPr>
        <w:tc>
          <w:tcPr>
            <w:tcW w:w="0" w:type="auto"/>
            <w:vAlign w:val="center"/>
            <w:hideMark/>
          </w:tcPr>
          <w:p w14:paraId="419FDC2C" w14:textId="77777777" w:rsidR="00B30986" w:rsidRPr="007848A3" w:rsidRDefault="00B30986" w:rsidP="00B30986">
            <w:pPr>
              <w:rPr>
                <w:rFonts w:eastAsia="Times New Roman" w:cs="Calibri"/>
                <w:color w:val="000000"/>
                <w:lang w:val="en-US"/>
              </w:rPr>
            </w:pPr>
            <w:r w:rsidRPr="007848A3">
              <w:rPr>
                <w:rFonts w:eastAsia="Times New Roman" w:cs="Calibri"/>
                <w:color w:val="000000"/>
              </w:rPr>
              <w:t>Japon</w:t>
            </w:r>
          </w:p>
        </w:tc>
        <w:tc>
          <w:tcPr>
            <w:tcW w:w="0" w:type="auto"/>
            <w:vAlign w:val="center"/>
            <w:hideMark/>
          </w:tcPr>
          <w:p w14:paraId="2CCE4AF1"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35</w:t>
            </w:r>
          </w:p>
        </w:tc>
      </w:tr>
      <w:tr w:rsidR="00B30986" w:rsidRPr="007848A3" w14:paraId="221AD784" w14:textId="77777777" w:rsidTr="00AF767D">
        <w:trPr>
          <w:trHeight w:val="405"/>
          <w:jc w:val="center"/>
        </w:trPr>
        <w:tc>
          <w:tcPr>
            <w:tcW w:w="0" w:type="auto"/>
            <w:vAlign w:val="center"/>
            <w:hideMark/>
          </w:tcPr>
          <w:p w14:paraId="713DC218" w14:textId="77777777" w:rsidR="00B30986" w:rsidRPr="007848A3" w:rsidRDefault="00B30986" w:rsidP="00B30986">
            <w:pPr>
              <w:rPr>
                <w:rFonts w:eastAsia="Times New Roman" w:cs="Calibri"/>
                <w:color w:val="000000"/>
                <w:lang w:val="en-US"/>
              </w:rPr>
            </w:pPr>
            <w:r w:rsidRPr="007848A3">
              <w:rPr>
                <w:rFonts w:eastAsia="Times New Roman" w:cs="Calibri"/>
                <w:color w:val="000000"/>
              </w:rPr>
              <w:t xml:space="preserve">Corée </w:t>
            </w:r>
            <w:proofErr w:type="spellStart"/>
            <w:r w:rsidRPr="007848A3">
              <w:rPr>
                <w:rFonts w:eastAsia="Times New Roman" w:cs="Calibri"/>
                <w:color w:val="000000"/>
              </w:rPr>
              <w:t>Rép</w:t>
            </w:r>
            <w:proofErr w:type="spellEnd"/>
            <w:r w:rsidRPr="007848A3">
              <w:rPr>
                <w:rFonts w:eastAsia="Times New Roman" w:cs="Calibri"/>
                <w:color w:val="000000"/>
              </w:rPr>
              <w:t>.</w:t>
            </w:r>
          </w:p>
        </w:tc>
        <w:tc>
          <w:tcPr>
            <w:tcW w:w="0" w:type="auto"/>
            <w:vAlign w:val="center"/>
            <w:hideMark/>
          </w:tcPr>
          <w:p w14:paraId="694BF5A0"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20</w:t>
            </w:r>
          </w:p>
        </w:tc>
      </w:tr>
      <w:tr w:rsidR="00B30986" w:rsidRPr="007848A3" w14:paraId="02CC0366" w14:textId="77777777" w:rsidTr="00AF767D">
        <w:trPr>
          <w:trHeight w:val="405"/>
          <w:jc w:val="center"/>
        </w:trPr>
        <w:tc>
          <w:tcPr>
            <w:tcW w:w="0" w:type="auto"/>
            <w:vAlign w:val="center"/>
            <w:hideMark/>
          </w:tcPr>
          <w:p w14:paraId="7ACA9501" w14:textId="77777777" w:rsidR="00B30986" w:rsidRPr="007848A3" w:rsidRDefault="00B30986" w:rsidP="00B30986">
            <w:pPr>
              <w:rPr>
                <w:rFonts w:eastAsia="Times New Roman" w:cs="Calibri"/>
                <w:color w:val="000000"/>
                <w:lang w:val="en-US"/>
              </w:rPr>
            </w:pPr>
            <w:r w:rsidRPr="007848A3">
              <w:rPr>
                <w:rFonts w:eastAsia="Times New Roman" w:cs="Calibri"/>
                <w:color w:val="000000"/>
              </w:rPr>
              <w:t>Mexique</w:t>
            </w:r>
          </w:p>
        </w:tc>
        <w:tc>
          <w:tcPr>
            <w:tcW w:w="0" w:type="auto"/>
            <w:vAlign w:val="center"/>
            <w:hideMark/>
          </w:tcPr>
          <w:p w14:paraId="48C32E17"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25</w:t>
            </w:r>
          </w:p>
        </w:tc>
      </w:tr>
      <w:tr w:rsidR="00B30986" w:rsidRPr="007848A3" w14:paraId="21DB70D3" w14:textId="77777777" w:rsidTr="00AF767D">
        <w:trPr>
          <w:trHeight w:val="405"/>
          <w:jc w:val="center"/>
        </w:trPr>
        <w:tc>
          <w:tcPr>
            <w:tcW w:w="0" w:type="auto"/>
            <w:vAlign w:val="center"/>
            <w:hideMark/>
          </w:tcPr>
          <w:p w14:paraId="67AB07C4" w14:textId="77777777" w:rsidR="00B30986" w:rsidRPr="007848A3" w:rsidRDefault="00B30986" w:rsidP="00B30986">
            <w:pPr>
              <w:rPr>
                <w:rFonts w:eastAsia="Times New Roman" w:cs="Calibri"/>
                <w:color w:val="000000"/>
                <w:lang w:val="en-US"/>
              </w:rPr>
            </w:pPr>
            <w:r w:rsidRPr="007848A3">
              <w:rPr>
                <w:rFonts w:eastAsia="Times New Roman" w:cs="Calibri"/>
                <w:color w:val="000000"/>
              </w:rPr>
              <w:t>Sao Tomé-et-Principe</w:t>
            </w:r>
          </w:p>
        </w:tc>
        <w:tc>
          <w:tcPr>
            <w:tcW w:w="0" w:type="auto"/>
            <w:vAlign w:val="center"/>
            <w:hideMark/>
          </w:tcPr>
          <w:p w14:paraId="2755CE63"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20</w:t>
            </w:r>
          </w:p>
        </w:tc>
      </w:tr>
      <w:tr w:rsidR="00B30986" w:rsidRPr="007848A3" w14:paraId="55520FEC" w14:textId="77777777" w:rsidTr="00AF767D">
        <w:trPr>
          <w:trHeight w:val="405"/>
          <w:jc w:val="center"/>
        </w:trPr>
        <w:tc>
          <w:tcPr>
            <w:tcW w:w="0" w:type="auto"/>
            <w:vAlign w:val="center"/>
            <w:hideMark/>
          </w:tcPr>
          <w:p w14:paraId="7A8425B7" w14:textId="77777777" w:rsidR="00B30986" w:rsidRPr="007848A3" w:rsidRDefault="00B30986" w:rsidP="00B30986">
            <w:pPr>
              <w:rPr>
                <w:rFonts w:eastAsia="Times New Roman" w:cs="Calibri"/>
                <w:color w:val="000000"/>
                <w:lang w:val="en-US"/>
              </w:rPr>
            </w:pPr>
            <w:r w:rsidRPr="007848A3">
              <w:rPr>
                <w:rFonts w:eastAsia="Times New Roman" w:cs="Calibri"/>
                <w:color w:val="000000"/>
              </w:rPr>
              <w:t>Trinité-et-Tobago</w:t>
            </w:r>
          </w:p>
        </w:tc>
        <w:tc>
          <w:tcPr>
            <w:tcW w:w="0" w:type="auto"/>
            <w:vAlign w:val="center"/>
            <w:hideMark/>
          </w:tcPr>
          <w:p w14:paraId="3AA7E03B"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15</w:t>
            </w:r>
          </w:p>
        </w:tc>
      </w:tr>
      <w:tr w:rsidR="00B30986" w:rsidRPr="007848A3" w14:paraId="679A9E51" w14:textId="77777777" w:rsidTr="00AF767D">
        <w:trPr>
          <w:trHeight w:val="405"/>
          <w:jc w:val="center"/>
        </w:trPr>
        <w:tc>
          <w:tcPr>
            <w:tcW w:w="0" w:type="auto"/>
            <w:tcBorders>
              <w:bottom w:val="single" w:sz="4" w:space="0" w:color="auto"/>
            </w:tcBorders>
            <w:vAlign w:val="center"/>
            <w:hideMark/>
          </w:tcPr>
          <w:p w14:paraId="4839BE6E" w14:textId="77777777" w:rsidR="00B30986" w:rsidRPr="007848A3" w:rsidRDefault="00B30986" w:rsidP="00B30986">
            <w:pPr>
              <w:rPr>
                <w:rFonts w:eastAsia="Times New Roman" w:cs="Calibri"/>
                <w:color w:val="000000"/>
                <w:lang w:val="en-US"/>
              </w:rPr>
            </w:pPr>
            <w:r w:rsidRPr="007848A3">
              <w:rPr>
                <w:rFonts w:eastAsia="Times New Roman" w:cs="Calibri"/>
                <w:color w:val="000000"/>
              </w:rPr>
              <w:t>Venezuela</w:t>
            </w:r>
          </w:p>
        </w:tc>
        <w:tc>
          <w:tcPr>
            <w:tcW w:w="0" w:type="auto"/>
            <w:tcBorders>
              <w:bottom w:val="single" w:sz="4" w:space="0" w:color="auto"/>
            </w:tcBorders>
            <w:vAlign w:val="center"/>
            <w:hideMark/>
          </w:tcPr>
          <w:p w14:paraId="6A4B58CD" w14:textId="77777777" w:rsidR="00B30986" w:rsidRPr="007848A3" w:rsidRDefault="00B30986" w:rsidP="00B30986">
            <w:pPr>
              <w:jc w:val="center"/>
              <w:rPr>
                <w:rFonts w:eastAsia="Times New Roman" w:cs="Calibri"/>
                <w:color w:val="000000"/>
                <w:lang w:val="en-US"/>
              </w:rPr>
            </w:pPr>
            <w:r w:rsidRPr="007848A3">
              <w:rPr>
                <w:rFonts w:eastAsia="Times New Roman" w:cs="Calibri"/>
                <w:color w:val="000000"/>
              </w:rPr>
              <w:t>50</w:t>
            </w:r>
          </w:p>
        </w:tc>
      </w:tr>
      <w:tr w:rsidR="00B30986" w:rsidRPr="007848A3" w14:paraId="48C8154D" w14:textId="77777777" w:rsidTr="00AF767D">
        <w:trPr>
          <w:trHeight w:val="405"/>
          <w:jc w:val="center"/>
        </w:trPr>
        <w:tc>
          <w:tcPr>
            <w:tcW w:w="0" w:type="auto"/>
            <w:tcBorders>
              <w:top w:val="single" w:sz="4" w:space="0" w:color="auto"/>
              <w:bottom w:val="single" w:sz="4" w:space="0" w:color="auto"/>
            </w:tcBorders>
            <w:vAlign w:val="center"/>
            <w:hideMark/>
          </w:tcPr>
          <w:p w14:paraId="31B86E35" w14:textId="77777777" w:rsidR="00B30986" w:rsidRPr="007848A3" w:rsidRDefault="00B30986" w:rsidP="00B30986">
            <w:pPr>
              <w:rPr>
                <w:rFonts w:eastAsia="Times New Roman" w:cs="Calibri"/>
                <w:b/>
                <w:bCs/>
                <w:color w:val="000000"/>
                <w:lang w:val="en-US"/>
              </w:rPr>
            </w:pPr>
            <w:r w:rsidRPr="007848A3">
              <w:rPr>
                <w:rFonts w:eastAsia="Times New Roman" w:cs="Calibri"/>
                <w:b/>
                <w:bCs/>
                <w:color w:val="000000"/>
              </w:rPr>
              <w:t>TOTAL</w:t>
            </w:r>
          </w:p>
        </w:tc>
        <w:tc>
          <w:tcPr>
            <w:tcW w:w="0" w:type="auto"/>
            <w:tcBorders>
              <w:top w:val="single" w:sz="4" w:space="0" w:color="auto"/>
              <w:bottom w:val="single" w:sz="4" w:space="0" w:color="auto"/>
            </w:tcBorders>
            <w:vAlign w:val="center"/>
            <w:hideMark/>
          </w:tcPr>
          <w:p w14:paraId="0B68A67F" w14:textId="77777777" w:rsidR="00B30986" w:rsidRPr="007848A3" w:rsidRDefault="00B30986" w:rsidP="00B30986">
            <w:pPr>
              <w:jc w:val="center"/>
              <w:rPr>
                <w:rFonts w:eastAsia="Times New Roman" w:cs="Calibri"/>
                <w:b/>
                <w:bCs/>
                <w:color w:val="000000"/>
                <w:lang w:val="en-US"/>
              </w:rPr>
            </w:pPr>
            <w:r w:rsidRPr="007848A3">
              <w:rPr>
                <w:rFonts w:eastAsia="Times New Roman" w:cs="Calibri"/>
                <w:b/>
                <w:bCs/>
                <w:color w:val="000000"/>
              </w:rPr>
              <w:t>355</w:t>
            </w:r>
          </w:p>
        </w:tc>
      </w:tr>
    </w:tbl>
    <w:p w14:paraId="23C902AC" w14:textId="77777777" w:rsidR="00B30986" w:rsidRPr="007848A3" w:rsidRDefault="00B30986">
      <w:pPr>
        <w:rPr>
          <w:rFonts w:asciiTheme="minorHAnsi" w:hAnsiTheme="minorHAnsi"/>
          <w:color w:val="000000"/>
        </w:rPr>
      </w:pPr>
      <w:r w:rsidRPr="007848A3">
        <w:rPr>
          <w:rFonts w:asciiTheme="minorHAnsi" w:hAnsiTheme="minorHAnsi"/>
          <w:color w:val="000000"/>
        </w:rPr>
        <w:br w:type="page"/>
      </w:r>
    </w:p>
    <w:p w14:paraId="5A0A1788" w14:textId="4E581275" w:rsidR="004B18CD" w:rsidRPr="007848A3" w:rsidRDefault="00F37A49">
      <w:pPr>
        <w:pBdr>
          <w:top w:val="nil"/>
          <w:left w:val="nil"/>
          <w:bottom w:val="nil"/>
          <w:right w:val="nil"/>
          <w:between w:val="nil"/>
        </w:pBdr>
        <w:tabs>
          <w:tab w:val="left" w:pos="284"/>
        </w:tabs>
        <w:rPr>
          <w:rFonts w:asciiTheme="minorHAnsi" w:hAnsiTheme="minorHAnsi"/>
          <w:color w:val="000000"/>
        </w:rPr>
      </w:pPr>
      <w:r w:rsidRPr="007848A3">
        <w:rPr>
          <w:rFonts w:asciiTheme="minorHAnsi" w:hAnsiTheme="minorHAnsi"/>
          <w:color w:val="000000"/>
        </w:rPr>
        <w:lastRenderedPageBreak/>
        <w:t xml:space="preserve">Les États-Unis devront limiter </w:t>
      </w:r>
      <w:r w:rsidR="00537024" w:rsidRPr="007848A3">
        <w:rPr>
          <w:rFonts w:asciiTheme="minorHAnsi" w:hAnsiTheme="minorHAnsi"/>
          <w:color w:val="000000"/>
        </w:rPr>
        <w:t xml:space="preserve">chaque année </w:t>
      </w:r>
      <w:r w:rsidRPr="007848A3">
        <w:rPr>
          <w:rFonts w:asciiTheme="minorHAnsi" w:hAnsiTheme="minorHAnsi"/>
          <w:color w:val="000000"/>
        </w:rPr>
        <w:t xml:space="preserve">leurs débarquements à 250 spécimens de makaire bleu de l'Atlantique et de makaire blanc/makaire épée </w:t>
      </w:r>
      <w:r w:rsidR="00537024" w:rsidRPr="007848A3">
        <w:rPr>
          <w:rFonts w:asciiTheme="minorHAnsi" w:hAnsiTheme="minorHAnsi"/>
          <w:color w:val="000000"/>
        </w:rPr>
        <w:t xml:space="preserve">combinés </w:t>
      </w:r>
      <w:r w:rsidRPr="007848A3">
        <w:rPr>
          <w:rFonts w:asciiTheme="minorHAnsi" w:hAnsiTheme="minorHAnsi"/>
          <w:color w:val="000000"/>
        </w:rPr>
        <w:t>capturés à des fins récréatives</w:t>
      </w:r>
      <w:r w:rsidR="00537024" w:rsidRPr="007848A3">
        <w:rPr>
          <w:rFonts w:asciiTheme="minorHAnsi" w:hAnsiTheme="minorHAnsi"/>
          <w:color w:val="000000"/>
        </w:rPr>
        <w:t xml:space="preserve">. </w:t>
      </w:r>
      <w:r w:rsidRPr="007848A3">
        <w:rPr>
          <w:rFonts w:asciiTheme="minorHAnsi" w:hAnsiTheme="minorHAnsi"/>
          <w:color w:val="000000"/>
        </w:rPr>
        <w:t xml:space="preserve">Toutes les autres CPC devront limiter leurs débarquements à un maximum de 10 t de makaires bleus de l’Atlantique et à 2 t de makaires blancs/makaires épée combinés. </w:t>
      </w:r>
    </w:p>
    <w:p w14:paraId="503592CC" w14:textId="77777777" w:rsidR="004B18CD" w:rsidRPr="007848A3" w:rsidRDefault="004B18CD">
      <w:pPr>
        <w:pBdr>
          <w:top w:val="nil"/>
          <w:left w:val="nil"/>
          <w:bottom w:val="nil"/>
          <w:right w:val="nil"/>
          <w:between w:val="nil"/>
        </w:pBdr>
        <w:rPr>
          <w:rFonts w:asciiTheme="minorHAnsi" w:hAnsiTheme="minorHAnsi"/>
          <w:color w:val="000000"/>
        </w:rPr>
      </w:pPr>
    </w:p>
    <w:p w14:paraId="324D8682" w14:textId="5E2F1BA3" w:rsidR="004B18CD" w:rsidRPr="007848A3" w:rsidRDefault="00F37A49" w:rsidP="00642F10">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3.</w:t>
      </w:r>
      <w:r w:rsidR="00642F10" w:rsidRPr="007848A3">
        <w:rPr>
          <w:rFonts w:asciiTheme="minorHAnsi" w:hAnsiTheme="minorHAnsi"/>
          <w:color w:val="000000"/>
        </w:rPr>
        <w:t xml:space="preserve"> </w:t>
      </w:r>
      <w:r w:rsidRPr="007848A3">
        <w:rPr>
          <w:rFonts w:asciiTheme="minorHAnsi" w:hAnsiTheme="minorHAnsi"/>
          <w:color w:val="000000"/>
        </w:rPr>
        <w:tab/>
      </w:r>
      <w:r w:rsidRPr="007848A3">
        <w:rPr>
          <w:rFonts w:asciiTheme="minorHAnsi" w:hAnsiTheme="minorHAnsi"/>
        </w:rPr>
        <w:t xml:space="preserve">a) </w:t>
      </w:r>
      <w:r w:rsidR="00067E78" w:rsidRPr="007848A3">
        <w:rPr>
          <w:rFonts w:asciiTheme="minorHAnsi" w:hAnsiTheme="minorHAnsi"/>
        </w:rPr>
        <w:tab/>
      </w:r>
      <w:r w:rsidRPr="007848A3">
        <w:rPr>
          <w:rFonts w:asciiTheme="minorHAnsi" w:hAnsiTheme="minorHAnsi"/>
        </w:rPr>
        <w:t xml:space="preserve">Tout montant </w:t>
      </w:r>
      <w:r w:rsidR="00620128" w:rsidRPr="007848A3">
        <w:rPr>
          <w:rFonts w:asciiTheme="minorHAnsi" w:hAnsiTheme="minorHAnsi"/>
        </w:rPr>
        <w:t>dépassant</w:t>
      </w:r>
      <w:r w:rsidRPr="007848A3">
        <w:rPr>
          <w:rFonts w:asciiTheme="minorHAnsi" w:hAnsiTheme="minorHAnsi"/>
        </w:rPr>
        <w:t xml:space="preserve"> les limites de débarquements annuelles établies au paragraphe 2 devra être déduit des limites de débarquements respectives pendant, ou avant, l’année d’ajustement, de la manière </w:t>
      </w:r>
      <w:r w:rsidR="00082CB7" w:rsidRPr="007848A3">
        <w:rPr>
          <w:rFonts w:asciiTheme="minorHAnsi" w:hAnsiTheme="minorHAnsi"/>
        </w:rPr>
        <w:t>suivante :</w:t>
      </w:r>
    </w:p>
    <w:p w14:paraId="632E005E" w14:textId="77777777" w:rsidR="004B18CD" w:rsidRPr="007848A3" w:rsidRDefault="004B18CD">
      <w:pPr>
        <w:pBdr>
          <w:top w:val="nil"/>
          <w:left w:val="nil"/>
          <w:bottom w:val="nil"/>
          <w:right w:val="nil"/>
          <w:between w:val="nil"/>
        </w:pBdr>
        <w:rPr>
          <w:rFonts w:asciiTheme="minorHAnsi" w:hAnsiTheme="minorHAnsi"/>
          <w:color w:val="000000"/>
        </w:rPr>
      </w:pPr>
    </w:p>
    <w:tbl>
      <w:tblPr>
        <w:tblStyle w:val="a1"/>
        <w:tblW w:w="3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9"/>
        <w:gridCol w:w="2028"/>
      </w:tblGrid>
      <w:tr w:rsidR="004B18CD" w:rsidRPr="007848A3" w14:paraId="14C04BB6" w14:textId="77777777">
        <w:trPr>
          <w:trHeight w:val="420"/>
          <w:jc w:val="center"/>
        </w:trPr>
        <w:tc>
          <w:tcPr>
            <w:tcW w:w="1709" w:type="dxa"/>
            <w:tcMar>
              <w:top w:w="100" w:type="dxa"/>
              <w:left w:w="100" w:type="dxa"/>
              <w:bottom w:w="100" w:type="dxa"/>
              <w:right w:w="100" w:type="dxa"/>
            </w:tcMar>
            <w:vAlign w:val="center"/>
          </w:tcPr>
          <w:p w14:paraId="76D0F980" w14:textId="77777777" w:rsidR="004B18CD" w:rsidRPr="007848A3" w:rsidRDefault="00F37A49">
            <w:pPr>
              <w:pBdr>
                <w:top w:val="nil"/>
                <w:left w:val="nil"/>
                <w:bottom w:val="nil"/>
                <w:right w:val="nil"/>
                <w:between w:val="nil"/>
              </w:pBdr>
              <w:jc w:val="center"/>
              <w:rPr>
                <w:rFonts w:asciiTheme="minorHAnsi" w:hAnsiTheme="minorHAnsi"/>
                <w:i/>
                <w:color w:val="000000"/>
              </w:rPr>
            </w:pPr>
            <w:r w:rsidRPr="007848A3">
              <w:rPr>
                <w:rFonts w:asciiTheme="minorHAnsi" w:hAnsiTheme="minorHAnsi"/>
                <w:i/>
                <w:color w:val="000000"/>
              </w:rPr>
              <w:t>Année de capture</w:t>
            </w:r>
          </w:p>
        </w:tc>
        <w:tc>
          <w:tcPr>
            <w:tcW w:w="2028" w:type="dxa"/>
            <w:tcMar>
              <w:top w:w="100" w:type="dxa"/>
              <w:left w:w="100" w:type="dxa"/>
              <w:bottom w:w="100" w:type="dxa"/>
              <w:right w:w="100" w:type="dxa"/>
            </w:tcMar>
            <w:vAlign w:val="center"/>
          </w:tcPr>
          <w:p w14:paraId="4A009E28" w14:textId="77777777" w:rsidR="004B18CD" w:rsidRPr="007848A3" w:rsidRDefault="00F37A49">
            <w:pPr>
              <w:pBdr>
                <w:top w:val="nil"/>
                <w:left w:val="nil"/>
                <w:bottom w:val="nil"/>
                <w:right w:val="nil"/>
                <w:between w:val="nil"/>
              </w:pBdr>
              <w:jc w:val="center"/>
              <w:rPr>
                <w:rFonts w:asciiTheme="minorHAnsi" w:hAnsiTheme="minorHAnsi"/>
                <w:i/>
                <w:color w:val="000000"/>
              </w:rPr>
            </w:pPr>
            <w:r w:rsidRPr="007848A3">
              <w:rPr>
                <w:rFonts w:asciiTheme="minorHAnsi" w:hAnsiTheme="minorHAnsi"/>
                <w:i/>
                <w:color w:val="000000"/>
              </w:rPr>
              <w:t>Année d'ajustement</w:t>
            </w:r>
          </w:p>
        </w:tc>
      </w:tr>
      <w:tr w:rsidR="00944C19" w:rsidRPr="007848A3" w14:paraId="785AD882" w14:textId="77777777">
        <w:trPr>
          <w:trHeight w:val="580"/>
          <w:jc w:val="center"/>
        </w:trPr>
        <w:tc>
          <w:tcPr>
            <w:tcW w:w="1709" w:type="dxa"/>
            <w:tcMar>
              <w:top w:w="100" w:type="dxa"/>
              <w:left w:w="100" w:type="dxa"/>
              <w:bottom w:w="100" w:type="dxa"/>
              <w:right w:w="100" w:type="dxa"/>
            </w:tcMar>
            <w:vAlign w:val="center"/>
          </w:tcPr>
          <w:p w14:paraId="254CEF19" w14:textId="77777777"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2019</w:t>
            </w:r>
          </w:p>
          <w:p w14:paraId="137D6089" w14:textId="77777777"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2020</w:t>
            </w:r>
          </w:p>
          <w:p w14:paraId="4BED2210" w14:textId="77777777" w:rsidR="00944C19" w:rsidRPr="007848A3" w:rsidRDefault="00944C19" w:rsidP="00944C19">
            <w:pPr>
              <w:pBdr>
                <w:top w:val="nil"/>
                <w:left w:val="nil"/>
                <w:bottom w:val="nil"/>
                <w:right w:val="nil"/>
                <w:between w:val="nil"/>
              </w:pBdr>
              <w:jc w:val="center"/>
              <w:rPr>
                <w:rFonts w:asciiTheme="minorHAnsi" w:hAnsiTheme="minorHAnsi"/>
                <w:lang w:val="en"/>
              </w:rPr>
            </w:pPr>
            <w:r w:rsidRPr="007848A3">
              <w:rPr>
                <w:rFonts w:asciiTheme="minorHAnsi" w:hAnsiTheme="minorHAnsi"/>
              </w:rPr>
              <w:t>2021</w:t>
            </w:r>
          </w:p>
          <w:p w14:paraId="6340A5CA" w14:textId="77777777"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2022</w:t>
            </w:r>
          </w:p>
          <w:p w14:paraId="42251864" w14:textId="77777777"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2023</w:t>
            </w:r>
          </w:p>
          <w:p w14:paraId="16056F8D" w14:textId="24257E49"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2024</w:t>
            </w:r>
          </w:p>
        </w:tc>
        <w:tc>
          <w:tcPr>
            <w:tcW w:w="2028" w:type="dxa"/>
            <w:tcMar>
              <w:top w:w="100" w:type="dxa"/>
              <w:left w:w="100" w:type="dxa"/>
              <w:bottom w:w="100" w:type="dxa"/>
              <w:right w:w="100" w:type="dxa"/>
            </w:tcMar>
            <w:vAlign w:val="center"/>
          </w:tcPr>
          <w:p w14:paraId="4D6A74B6" w14:textId="77777777"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2021</w:t>
            </w:r>
          </w:p>
          <w:p w14:paraId="080C3AD2" w14:textId="77777777"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2022</w:t>
            </w:r>
          </w:p>
          <w:p w14:paraId="58392F74" w14:textId="77777777" w:rsidR="00944C19" w:rsidRPr="007848A3" w:rsidRDefault="00944C19" w:rsidP="00944C19">
            <w:pPr>
              <w:pBdr>
                <w:top w:val="nil"/>
                <w:left w:val="nil"/>
                <w:bottom w:val="nil"/>
                <w:right w:val="nil"/>
                <w:between w:val="nil"/>
              </w:pBdr>
              <w:jc w:val="center"/>
              <w:rPr>
                <w:rFonts w:asciiTheme="minorHAnsi" w:hAnsiTheme="minorHAnsi"/>
                <w:lang w:val="en"/>
              </w:rPr>
            </w:pPr>
            <w:r w:rsidRPr="007848A3">
              <w:rPr>
                <w:rFonts w:asciiTheme="minorHAnsi" w:hAnsiTheme="minorHAnsi"/>
              </w:rPr>
              <w:t>2023</w:t>
            </w:r>
          </w:p>
          <w:p w14:paraId="24DE5294" w14:textId="77777777"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2024</w:t>
            </w:r>
          </w:p>
          <w:p w14:paraId="0012BEA7" w14:textId="77777777"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2025</w:t>
            </w:r>
          </w:p>
          <w:p w14:paraId="150EEB05" w14:textId="6A28B9B3" w:rsidR="00944C19" w:rsidRPr="007848A3" w:rsidRDefault="00944C19" w:rsidP="00944C19">
            <w:pPr>
              <w:pBdr>
                <w:top w:val="nil"/>
                <w:left w:val="nil"/>
                <w:bottom w:val="nil"/>
                <w:right w:val="nil"/>
                <w:between w:val="nil"/>
              </w:pBdr>
              <w:jc w:val="center"/>
              <w:rPr>
                <w:rFonts w:asciiTheme="minorHAnsi" w:hAnsiTheme="minorHAnsi"/>
              </w:rPr>
            </w:pPr>
            <w:r w:rsidRPr="007848A3">
              <w:rPr>
                <w:rFonts w:asciiTheme="minorHAnsi" w:hAnsiTheme="minorHAnsi"/>
              </w:rPr>
              <w:t>2026</w:t>
            </w:r>
          </w:p>
        </w:tc>
      </w:tr>
    </w:tbl>
    <w:p w14:paraId="5030EE2F" w14:textId="77777777" w:rsidR="004B18CD" w:rsidRPr="007848A3" w:rsidRDefault="004B18CD">
      <w:pPr>
        <w:rPr>
          <w:rFonts w:asciiTheme="minorHAnsi" w:hAnsiTheme="minorHAnsi"/>
          <w:color w:val="222222"/>
        </w:rPr>
      </w:pPr>
    </w:p>
    <w:p w14:paraId="002E5DC4" w14:textId="4308882D" w:rsidR="004B18CD" w:rsidRPr="007848A3" w:rsidRDefault="00F37A49" w:rsidP="00642F10">
      <w:pPr>
        <w:ind w:left="851" w:hanging="425"/>
        <w:rPr>
          <w:rFonts w:asciiTheme="minorHAnsi" w:hAnsiTheme="minorHAnsi"/>
          <w:color w:val="222222"/>
        </w:rPr>
      </w:pPr>
      <w:r w:rsidRPr="007848A3">
        <w:rPr>
          <w:rFonts w:asciiTheme="minorHAnsi" w:hAnsiTheme="minorHAnsi"/>
          <w:color w:val="222222"/>
        </w:rPr>
        <w:t xml:space="preserve">b) </w:t>
      </w:r>
      <w:r w:rsidR="00642F10" w:rsidRPr="007848A3">
        <w:rPr>
          <w:rFonts w:asciiTheme="minorHAnsi" w:hAnsiTheme="minorHAnsi"/>
          <w:color w:val="222222"/>
        </w:rPr>
        <w:tab/>
      </w:r>
      <w:r w:rsidRPr="007848A3">
        <w:rPr>
          <w:rFonts w:asciiTheme="minorHAnsi" w:hAnsiTheme="minorHAnsi"/>
          <w:color w:val="222222"/>
        </w:rPr>
        <w:t xml:space="preserve">Nonobstant les dispositions du sous-paragraphe a) ci-dessus, si une CPC dépasse sa limite </w:t>
      </w:r>
      <w:r w:rsidR="00537024" w:rsidRPr="007848A3">
        <w:rPr>
          <w:rFonts w:asciiTheme="minorHAnsi" w:hAnsiTheme="minorHAnsi"/>
          <w:color w:val="222222"/>
        </w:rPr>
        <w:t xml:space="preserve">de </w:t>
      </w:r>
      <w:r w:rsidRPr="007848A3">
        <w:rPr>
          <w:rFonts w:asciiTheme="minorHAnsi" w:hAnsiTheme="minorHAnsi"/>
          <w:color w:val="222222"/>
        </w:rPr>
        <w:t>débarquements au cours de deux années consécutives, sa limite de débarquements devra être réduite au cours de l’année d’ajustement, ou avant celle-ci, d’au moins 125% de sa surconsommation et, si nécessaire,</w:t>
      </w:r>
      <w:r w:rsidR="00642F10" w:rsidRPr="007848A3">
        <w:rPr>
          <w:rFonts w:asciiTheme="minorHAnsi" w:hAnsiTheme="minorHAnsi"/>
          <w:color w:val="222222"/>
        </w:rPr>
        <w:t xml:space="preserve"> </w:t>
      </w:r>
      <w:r w:rsidRPr="007848A3">
        <w:rPr>
          <w:rFonts w:asciiTheme="minorHAnsi" w:hAnsiTheme="minorHAnsi"/>
          <w:color w:val="222222"/>
        </w:rPr>
        <w:t>la Commission pourrait recommander des mesures additionnelles.</w:t>
      </w:r>
    </w:p>
    <w:p w14:paraId="40F4C35A" w14:textId="638894C4" w:rsidR="002904C0" w:rsidRPr="007848A3" w:rsidRDefault="002904C0">
      <w:pPr>
        <w:rPr>
          <w:rFonts w:asciiTheme="minorHAnsi" w:hAnsiTheme="minorHAnsi"/>
          <w:color w:val="222222"/>
        </w:rPr>
      </w:pPr>
    </w:p>
    <w:p w14:paraId="78626872" w14:textId="2D03B52C" w:rsidR="004B18CD" w:rsidRPr="007848A3" w:rsidRDefault="00F37A49" w:rsidP="00642F10">
      <w:pPr>
        <w:ind w:left="851" w:hanging="425"/>
        <w:rPr>
          <w:rFonts w:asciiTheme="minorHAnsi" w:hAnsiTheme="minorHAnsi"/>
          <w:color w:val="222222"/>
        </w:rPr>
      </w:pPr>
      <w:r w:rsidRPr="007848A3">
        <w:rPr>
          <w:rFonts w:asciiTheme="minorHAnsi" w:hAnsiTheme="minorHAnsi"/>
          <w:color w:val="222222"/>
        </w:rPr>
        <w:t xml:space="preserve">c) </w:t>
      </w:r>
      <w:r w:rsidR="00642F10" w:rsidRPr="007848A3">
        <w:rPr>
          <w:rFonts w:asciiTheme="minorHAnsi" w:hAnsiTheme="minorHAnsi"/>
          <w:color w:val="222222"/>
        </w:rPr>
        <w:tab/>
      </w:r>
      <w:r w:rsidR="00944C19" w:rsidRPr="007848A3">
        <w:rPr>
          <w:rFonts w:asciiTheme="minorHAnsi" w:hAnsiTheme="minorHAnsi"/>
          <w:color w:val="222222"/>
        </w:rPr>
        <w:t>À compter des prises de 2020, t</w:t>
      </w:r>
      <w:r w:rsidRPr="007848A3">
        <w:rPr>
          <w:rFonts w:asciiTheme="minorHAnsi" w:hAnsiTheme="minorHAnsi"/>
          <w:color w:val="222222"/>
        </w:rPr>
        <w:t xml:space="preserve">oute sous-consommation </w:t>
      </w:r>
      <w:r w:rsidR="00620128" w:rsidRPr="007848A3">
        <w:rPr>
          <w:rFonts w:asciiTheme="minorHAnsi" w:hAnsiTheme="minorHAnsi"/>
          <w:color w:val="222222"/>
        </w:rPr>
        <w:t xml:space="preserve">par </w:t>
      </w:r>
      <w:r w:rsidRPr="007848A3">
        <w:rPr>
          <w:rFonts w:asciiTheme="minorHAnsi" w:hAnsiTheme="minorHAnsi"/>
          <w:color w:val="222222"/>
        </w:rPr>
        <w:t>une CPC de s</w:t>
      </w:r>
      <w:r w:rsidR="00620128" w:rsidRPr="007848A3">
        <w:rPr>
          <w:rFonts w:asciiTheme="minorHAnsi" w:hAnsiTheme="minorHAnsi"/>
          <w:color w:val="222222"/>
        </w:rPr>
        <w:t>a limite de</w:t>
      </w:r>
      <w:r w:rsidRPr="007848A3">
        <w:rPr>
          <w:rFonts w:asciiTheme="minorHAnsi" w:hAnsiTheme="minorHAnsi"/>
          <w:color w:val="222222"/>
        </w:rPr>
        <w:t xml:space="preserve"> débarquements annuels </w:t>
      </w:r>
      <w:r w:rsidR="00537024" w:rsidRPr="007848A3">
        <w:rPr>
          <w:rFonts w:asciiTheme="minorHAnsi" w:hAnsiTheme="minorHAnsi"/>
          <w:color w:val="222222"/>
        </w:rPr>
        <w:t>ne peut</w:t>
      </w:r>
      <w:r w:rsidRPr="007848A3">
        <w:rPr>
          <w:rFonts w:asciiTheme="minorHAnsi" w:hAnsiTheme="minorHAnsi"/>
          <w:color w:val="222222"/>
        </w:rPr>
        <w:t xml:space="preserve"> </w:t>
      </w:r>
      <w:r w:rsidR="00642F10" w:rsidRPr="007848A3">
        <w:rPr>
          <w:rFonts w:asciiTheme="minorHAnsi" w:hAnsiTheme="minorHAnsi"/>
          <w:color w:val="222222"/>
        </w:rPr>
        <w:t xml:space="preserve">pas </w:t>
      </w:r>
      <w:r w:rsidRPr="007848A3">
        <w:rPr>
          <w:rFonts w:asciiTheme="minorHAnsi" w:hAnsiTheme="minorHAnsi"/>
          <w:color w:val="222222"/>
        </w:rPr>
        <w:t xml:space="preserve">être </w:t>
      </w:r>
      <w:r w:rsidR="00642F10" w:rsidRPr="007848A3">
        <w:rPr>
          <w:rFonts w:asciiTheme="minorHAnsi" w:hAnsiTheme="minorHAnsi"/>
          <w:color w:val="222222"/>
        </w:rPr>
        <w:t>reportée</w:t>
      </w:r>
      <w:r w:rsidRPr="007848A3">
        <w:rPr>
          <w:rFonts w:asciiTheme="minorHAnsi" w:hAnsiTheme="minorHAnsi"/>
          <w:color w:val="222222"/>
        </w:rPr>
        <w:t xml:space="preserve"> à une année suivante. </w:t>
      </w:r>
    </w:p>
    <w:p w14:paraId="724DC83E" w14:textId="77777777" w:rsidR="004B18CD" w:rsidRPr="007848A3" w:rsidRDefault="004B18CD">
      <w:pPr>
        <w:pBdr>
          <w:top w:val="nil"/>
          <w:left w:val="nil"/>
          <w:bottom w:val="nil"/>
          <w:right w:val="nil"/>
          <w:between w:val="nil"/>
        </w:pBdr>
        <w:rPr>
          <w:rFonts w:asciiTheme="minorHAnsi" w:hAnsiTheme="minorHAnsi"/>
          <w:color w:val="000000"/>
        </w:rPr>
      </w:pPr>
    </w:p>
    <w:p w14:paraId="21D77E80" w14:textId="51427A13" w:rsidR="008F6975" w:rsidRPr="007848A3" w:rsidRDefault="008F6975" w:rsidP="008F6975">
      <w:pPr>
        <w:ind w:left="851" w:hanging="425"/>
        <w:rPr>
          <w:color w:val="1C1C1C"/>
        </w:rPr>
      </w:pPr>
      <w:r w:rsidRPr="007848A3">
        <w:rPr>
          <w:color w:val="1C1C1C"/>
        </w:rPr>
        <w:t xml:space="preserve">d) </w:t>
      </w:r>
      <w:r w:rsidRPr="007848A3">
        <w:rPr>
          <w:color w:val="1C1C1C"/>
        </w:rPr>
        <w:tab/>
      </w:r>
      <w:r w:rsidRPr="007848A3">
        <w:rPr>
          <w:color w:val="1C1C1C"/>
        </w:rPr>
        <w:t xml:space="preserve">A titre </w:t>
      </w:r>
      <w:r w:rsidRPr="007848A3">
        <w:rPr>
          <w:rFonts w:asciiTheme="minorHAnsi" w:hAnsiTheme="minorHAnsi"/>
          <w:color w:val="222222"/>
        </w:rPr>
        <w:t>d'exception</w:t>
      </w:r>
      <w:r w:rsidRPr="007848A3">
        <w:rPr>
          <w:color w:val="1C1C1C"/>
        </w:rPr>
        <w:t xml:space="preserve">, la disposition du point b) ne s'appliquera pas aux CPC côtières en développement, qui pourront recevoir des transferts de limites de débarquement d'autres CPC jusqu'à la régularisation de la </w:t>
      </w:r>
      <w:proofErr w:type="spellStart"/>
      <w:r w:rsidRPr="007848A3">
        <w:rPr>
          <w:color w:val="1C1C1C"/>
        </w:rPr>
        <w:t>sur-consommation</w:t>
      </w:r>
      <w:proofErr w:type="spellEnd"/>
      <w:r w:rsidRPr="007848A3">
        <w:rPr>
          <w:color w:val="1C1C1C"/>
        </w:rPr>
        <w:t>.</w:t>
      </w:r>
    </w:p>
    <w:p w14:paraId="21C822F2" w14:textId="77777777" w:rsidR="008F6975" w:rsidRPr="007848A3" w:rsidRDefault="008F6975">
      <w:pPr>
        <w:pBdr>
          <w:top w:val="nil"/>
          <w:left w:val="nil"/>
          <w:bottom w:val="nil"/>
          <w:right w:val="nil"/>
          <w:between w:val="nil"/>
        </w:pBdr>
        <w:rPr>
          <w:rFonts w:asciiTheme="minorHAnsi" w:hAnsiTheme="minorHAnsi"/>
          <w:color w:val="000000"/>
        </w:rPr>
      </w:pPr>
    </w:p>
    <w:p w14:paraId="2D07D50E" w14:textId="77777777" w:rsidR="004B18CD" w:rsidRPr="007848A3" w:rsidRDefault="00F37A49">
      <w:pPr>
        <w:pBdr>
          <w:top w:val="nil"/>
          <w:left w:val="nil"/>
          <w:bottom w:val="nil"/>
          <w:right w:val="nil"/>
          <w:between w:val="nil"/>
        </w:pBdr>
        <w:rPr>
          <w:rFonts w:asciiTheme="minorHAnsi" w:hAnsiTheme="minorHAnsi"/>
          <w:b/>
          <w:color w:val="000000"/>
        </w:rPr>
      </w:pPr>
      <w:r w:rsidRPr="007848A3">
        <w:rPr>
          <w:rFonts w:asciiTheme="minorHAnsi" w:hAnsiTheme="minorHAnsi"/>
          <w:b/>
          <w:color w:val="000000"/>
        </w:rPr>
        <w:t>Exigence en matière de remise à l’eau à l’état vivant et tolérances de rétention</w:t>
      </w:r>
    </w:p>
    <w:p w14:paraId="20854E88" w14:textId="04F1214C" w:rsidR="004B18CD" w:rsidRPr="007848A3" w:rsidRDefault="004B18CD">
      <w:pPr>
        <w:pBdr>
          <w:top w:val="nil"/>
          <w:left w:val="nil"/>
          <w:bottom w:val="nil"/>
          <w:right w:val="nil"/>
          <w:between w:val="nil"/>
        </w:pBdr>
        <w:rPr>
          <w:rFonts w:asciiTheme="minorHAnsi" w:hAnsiTheme="minorHAnsi"/>
          <w:color w:val="000000"/>
        </w:rPr>
      </w:pPr>
    </w:p>
    <w:p w14:paraId="27EFDBE4" w14:textId="70CD1E83" w:rsidR="00D11EFA" w:rsidRPr="007848A3" w:rsidRDefault="00D11EFA" w:rsidP="00D11EFA">
      <w:pPr>
        <w:ind w:left="426" w:hanging="426"/>
      </w:pPr>
      <w:r w:rsidRPr="007848A3">
        <w:t>4.</w:t>
      </w:r>
      <w:r w:rsidRPr="007848A3">
        <w:tab/>
      </w:r>
      <w:r w:rsidR="00AC6050" w:rsidRPr="007848A3">
        <w:t>Dans la mesure du possible, l</w:t>
      </w:r>
      <w:r w:rsidRPr="007848A3">
        <w:t xml:space="preserve">es CPC devront exiger que les palangriers pélagiques et les senneurs battant leur pavillon </w:t>
      </w:r>
      <w:r w:rsidRPr="007848A3">
        <w:rPr>
          <w:rFonts w:asciiTheme="minorHAnsi" w:hAnsiTheme="minorHAnsi"/>
          <w:color w:val="000000"/>
        </w:rPr>
        <w:t xml:space="preserve">remettent promptement à l’eau les makaires bleus et makaires blancs/makaires épée </w:t>
      </w:r>
      <w:r w:rsidRPr="007848A3">
        <w:t>qui sont vivants à la remontée de l’engin, en tenant dûment compte de la sécurité des membres d’équipage, d'une manière causant le moins de dommages et optimise la survie après la remise à l’eau.</w:t>
      </w:r>
    </w:p>
    <w:p w14:paraId="79BB4DBD" w14:textId="77777777" w:rsidR="00D11EFA" w:rsidRPr="007848A3" w:rsidRDefault="00D11EFA" w:rsidP="00D11EFA">
      <w:pPr>
        <w:pStyle w:val="ListParagraph"/>
        <w:ind w:left="360"/>
      </w:pPr>
    </w:p>
    <w:p w14:paraId="37D38B93" w14:textId="2996E50F" w:rsidR="00D11EFA" w:rsidRPr="007848A3" w:rsidRDefault="00D11EFA" w:rsidP="00D11EFA">
      <w:pPr>
        <w:ind w:left="426" w:hanging="426"/>
        <w:rPr>
          <w:rFonts w:asciiTheme="minorHAnsi" w:hAnsiTheme="minorHAnsi"/>
        </w:rPr>
      </w:pPr>
      <w:r w:rsidRPr="007848A3">
        <w:rPr>
          <w:rFonts w:asciiTheme="minorHAnsi" w:hAnsiTheme="minorHAnsi"/>
        </w:rPr>
        <w:t>5.</w:t>
      </w:r>
      <w:r w:rsidRPr="007848A3">
        <w:rPr>
          <w:rFonts w:asciiTheme="minorHAnsi" w:hAnsiTheme="minorHAnsi"/>
        </w:rPr>
        <w:tab/>
        <w:t xml:space="preserve">Les CPC devront encourager la mise en œuvre des normes minimales des procédures de manipulation et de remise à l'eau en toute sécurité des </w:t>
      </w:r>
      <w:r w:rsidR="00773723" w:rsidRPr="007848A3">
        <w:rPr>
          <w:rFonts w:asciiTheme="minorHAnsi" w:hAnsiTheme="minorHAnsi"/>
        </w:rPr>
        <w:t>spécimens</w:t>
      </w:r>
      <w:r w:rsidRPr="007848A3">
        <w:rPr>
          <w:rFonts w:asciiTheme="minorHAnsi" w:hAnsiTheme="minorHAnsi"/>
        </w:rPr>
        <w:t xml:space="preserve"> vivants, comme spécifié à l'</w:t>
      </w:r>
      <w:r w:rsidRPr="007848A3">
        <w:rPr>
          <w:rFonts w:asciiTheme="minorHAnsi" w:hAnsiTheme="minorHAnsi"/>
          <w:b/>
          <w:bCs/>
        </w:rPr>
        <w:t>annexe 1</w:t>
      </w:r>
      <w:r w:rsidRPr="007848A3">
        <w:rPr>
          <w:rFonts w:asciiTheme="minorHAnsi" w:hAnsiTheme="minorHAnsi"/>
        </w:rPr>
        <w:t xml:space="preserve">, tout en tenant dûment compte de la sécurité de l'équipage. </w:t>
      </w:r>
      <w:r w:rsidR="00773723" w:rsidRPr="007848A3">
        <w:rPr>
          <w:rFonts w:asciiTheme="minorHAnsi" w:hAnsiTheme="minorHAnsi"/>
        </w:rPr>
        <w:t>U</w:t>
      </w:r>
      <w:r w:rsidRPr="007848A3">
        <w:rPr>
          <w:rFonts w:asciiTheme="minorHAnsi" w:hAnsiTheme="minorHAnsi"/>
        </w:rPr>
        <w:t>n instrument de levage, des coupes-boulons, un dispositif de retrait de l'hameçon/dégorgeoir et un coupe-ligne pour libérer en toute sécurité les makaires vivants capturés</w:t>
      </w:r>
      <w:r w:rsidR="00773723" w:rsidRPr="007848A3">
        <w:rPr>
          <w:rFonts w:asciiTheme="minorHAnsi" w:hAnsiTheme="minorHAnsi"/>
        </w:rPr>
        <w:t xml:space="preserve"> devraient être à portée de main à bord </w:t>
      </w:r>
      <w:r w:rsidR="00981C18" w:rsidRPr="007848A3">
        <w:rPr>
          <w:rFonts w:asciiTheme="minorHAnsi" w:hAnsiTheme="minorHAnsi"/>
        </w:rPr>
        <w:t xml:space="preserve">sur le pont </w:t>
      </w:r>
      <w:r w:rsidR="00773723" w:rsidRPr="007848A3">
        <w:rPr>
          <w:rFonts w:asciiTheme="minorHAnsi" w:hAnsiTheme="minorHAnsi"/>
        </w:rPr>
        <w:t>des navires de pêche, où l'équipage peut rapidement y avoir accès</w:t>
      </w:r>
      <w:r w:rsidR="00981C18" w:rsidRPr="007848A3">
        <w:rPr>
          <w:rFonts w:asciiTheme="minorHAnsi" w:hAnsiTheme="minorHAnsi"/>
        </w:rPr>
        <w:t>.</w:t>
      </w:r>
    </w:p>
    <w:p w14:paraId="5A1E3479" w14:textId="77777777" w:rsidR="00D11EFA" w:rsidRPr="007848A3" w:rsidRDefault="00D11EFA" w:rsidP="00D11EFA">
      <w:pPr>
        <w:ind w:left="426" w:hanging="426"/>
        <w:rPr>
          <w:rFonts w:asciiTheme="minorHAnsi" w:hAnsiTheme="minorHAnsi" w:cs="Times New Roman"/>
        </w:rPr>
      </w:pPr>
    </w:p>
    <w:p w14:paraId="499E66C3" w14:textId="6373CFCD" w:rsidR="00D11EFA" w:rsidRPr="007848A3" w:rsidRDefault="00D11EFA" w:rsidP="00D11EFA">
      <w:pPr>
        <w:ind w:left="426" w:hanging="426"/>
        <w:rPr>
          <w:rFonts w:asciiTheme="minorHAnsi" w:hAnsiTheme="minorHAnsi"/>
        </w:rPr>
      </w:pPr>
      <w:r w:rsidRPr="007848A3">
        <w:rPr>
          <w:rFonts w:asciiTheme="minorHAnsi" w:hAnsiTheme="minorHAnsi"/>
        </w:rPr>
        <w:t>6.</w:t>
      </w:r>
      <w:r w:rsidRPr="007848A3">
        <w:rPr>
          <w:rFonts w:asciiTheme="minorHAnsi" w:hAnsiTheme="minorHAnsi"/>
        </w:rPr>
        <w:tab/>
        <w:t>Les CPC devraient s'assurer que le capitaine et les membres d’équipage de leurs navires de pêche ont reçu une formation adéquate, connaissent et utilisent les techniques appropriées d'atténuation, d'identification, de manipulation et de remise à l'eau et conservent à bord tout l'équipement nécessaire pour la remise à l'eau des makaires conformément aux normes minimales des procédures de manipulation en toute sécurité, comme spécifié à l’</w:t>
      </w:r>
      <w:r w:rsidRPr="007848A3">
        <w:rPr>
          <w:rFonts w:asciiTheme="minorHAnsi" w:hAnsiTheme="minorHAnsi"/>
          <w:b/>
          <w:bCs/>
        </w:rPr>
        <w:t>annexe</w:t>
      </w:r>
      <w:r w:rsidR="00981C18" w:rsidRPr="007848A3">
        <w:rPr>
          <w:rFonts w:asciiTheme="minorHAnsi" w:hAnsiTheme="minorHAnsi"/>
          <w:b/>
          <w:bCs/>
        </w:rPr>
        <w:t> </w:t>
      </w:r>
      <w:r w:rsidRPr="007848A3">
        <w:rPr>
          <w:rFonts w:asciiTheme="minorHAnsi" w:hAnsiTheme="minorHAnsi"/>
          <w:b/>
          <w:bCs/>
        </w:rPr>
        <w:t>1</w:t>
      </w:r>
      <w:r w:rsidRPr="007848A3">
        <w:rPr>
          <w:rFonts w:asciiTheme="minorHAnsi" w:hAnsiTheme="minorHAnsi"/>
        </w:rPr>
        <w:t>. Rien dans la présente mesure ne devra empêcher les CPC d’adopter des mesures plus strictes.</w:t>
      </w:r>
    </w:p>
    <w:p w14:paraId="21A4D1F5" w14:textId="77777777" w:rsidR="00D11EFA" w:rsidRPr="007848A3" w:rsidRDefault="00D11EFA" w:rsidP="00D11EFA">
      <w:pPr>
        <w:ind w:left="426" w:hanging="426"/>
        <w:rPr>
          <w:rFonts w:asciiTheme="minorHAnsi" w:hAnsiTheme="minorHAnsi"/>
        </w:rPr>
      </w:pPr>
    </w:p>
    <w:p w14:paraId="5CD910F1" w14:textId="12A95A61" w:rsidR="00D11EFA" w:rsidRPr="007848A3" w:rsidRDefault="00D11EFA" w:rsidP="00D11EFA">
      <w:pPr>
        <w:ind w:left="426" w:hanging="426"/>
        <w:rPr>
          <w:rFonts w:asciiTheme="minorHAnsi" w:hAnsiTheme="minorHAnsi" w:cs="Times New Roman"/>
        </w:rPr>
      </w:pPr>
      <w:r w:rsidRPr="007848A3">
        <w:rPr>
          <w:rFonts w:asciiTheme="minorHAnsi" w:hAnsiTheme="minorHAnsi"/>
        </w:rPr>
        <w:t>7.</w:t>
      </w:r>
      <w:r w:rsidRPr="007848A3">
        <w:rPr>
          <w:rFonts w:asciiTheme="minorHAnsi" w:hAnsiTheme="minorHAnsi"/>
        </w:rPr>
        <w:tab/>
        <w:t>Les CPC devront s’efforcer de minimiser la mortalité après la remise à l'eau des makaires/makaires épée dans leurs pêcheries de l’ICCAT.</w:t>
      </w:r>
    </w:p>
    <w:p w14:paraId="3197058D" w14:textId="6C1F08B1" w:rsidR="00D11EFA" w:rsidRPr="007848A3" w:rsidRDefault="00D11EFA">
      <w:pPr>
        <w:pBdr>
          <w:top w:val="nil"/>
          <w:left w:val="nil"/>
          <w:bottom w:val="nil"/>
          <w:right w:val="nil"/>
          <w:between w:val="nil"/>
        </w:pBdr>
        <w:rPr>
          <w:rFonts w:asciiTheme="minorHAnsi" w:hAnsiTheme="minorHAnsi"/>
          <w:color w:val="000000"/>
        </w:rPr>
      </w:pPr>
    </w:p>
    <w:p w14:paraId="1CAA8947" w14:textId="26438403" w:rsidR="00D11EFA" w:rsidRPr="007848A3" w:rsidRDefault="00D11EFA" w:rsidP="00537024">
      <w:pPr>
        <w:ind w:left="426" w:right="-120" w:hanging="426"/>
        <w:rPr>
          <w:rFonts w:asciiTheme="minorHAnsi" w:hAnsiTheme="minorHAnsi"/>
        </w:rPr>
      </w:pPr>
      <w:r w:rsidRPr="007848A3">
        <w:rPr>
          <w:rFonts w:asciiTheme="minorHAnsi" w:hAnsiTheme="minorHAnsi"/>
        </w:rPr>
        <w:t>8</w:t>
      </w:r>
      <w:r w:rsidR="00F37A49" w:rsidRPr="007848A3">
        <w:rPr>
          <w:rFonts w:asciiTheme="minorHAnsi" w:hAnsiTheme="minorHAnsi"/>
        </w:rPr>
        <w:t>.</w:t>
      </w:r>
      <w:r w:rsidR="00642F10" w:rsidRPr="007848A3">
        <w:rPr>
          <w:rFonts w:asciiTheme="minorHAnsi" w:hAnsiTheme="minorHAnsi"/>
        </w:rPr>
        <w:tab/>
      </w:r>
      <w:r w:rsidR="00F37A49" w:rsidRPr="007848A3">
        <w:rPr>
          <w:rFonts w:asciiTheme="minorHAnsi" w:hAnsiTheme="minorHAnsi"/>
        </w:rPr>
        <w:t>Les CPC pourraient autoriser leurs palangriers pélagiques et leurs senneurs à capturer</w:t>
      </w:r>
      <w:r w:rsidR="00A430FF" w:rsidRPr="007848A3">
        <w:rPr>
          <w:rFonts w:asciiTheme="minorHAnsi" w:hAnsiTheme="minorHAnsi"/>
        </w:rPr>
        <w:t xml:space="preserve"> et</w:t>
      </w:r>
      <w:r w:rsidR="00F37A49" w:rsidRPr="007848A3">
        <w:rPr>
          <w:rFonts w:asciiTheme="minorHAnsi" w:hAnsiTheme="minorHAnsi"/>
        </w:rPr>
        <w:t xml:space="preserve"> retenir à bord, transborder ou débarquer des makaires bleus et makaires blancs/makaires épée, qui sont morts</w:t>
      </w:r>
      <w:r w:rsidRPr="007848A3">
        <w:rPr>
          <w:rFonts w:asciiTheme="minorHAnsi" w:hAnsiTheme="minorHAnsi"/>
        </w:rPr>
        <w:t>, dans le respect de leur limite de débarquements.</w:t>
      </w:r>
    </w:p>
    <w:p w14:paraId="4B35C280" w14:textId="4611E7A3" w:rsidR="00D11EFA" w:rsidRPr="007848A3" w:rsidRDefault="00D11EFA">
      <w:pPr>
        <w:rPr>
          <w:rFonts w:asciiTheme="minorHAnsi" w:hAnsiTheme="minorHAnsi"/>
        </w:rPr>
      </w:pPr>
    </w:p>
    <w:p w14:paraId="3DBFE23A" w14:textId="467C0AE0" w:rsidR="004B18CD" w:rsidRPr="007848A3" w:rsidRDefault="00D11EFA" w:rsidP="00537024">
      <w:pPr>
        <w:ind w:left="426" w:hanging="426"/>
        <w:rPr>
          <w:rFonts w:asciiTheme="minorHAnsi" w:hAnsiTheme="minorHAnsi"/>
        </w:rPr>
      </w:pPr>
      <w:r w:rsidRPr="007848A3">
        <w:rPr>
          <w:rFonts w:asciiTheme="minorHAnsi" w:hAnsiTheme="minorHAnsi"/>
        </w:rPr>
        <w:t>9</w:t>
      </w:r>
      <w:r w:rsidR="00A430FF" w:rsidRPr="007848A3">
        <w:rPr>
          <w:rFonts w:asciiTheme="minorHAnsi" w:hAnsiTheme="minorHAnsi"/>
        </w:rPr>
        <w:t>.</w:t>
      </w:r>
      <w:r w:rsidR="00642F10" w:rsidRPr="007848A3">
        <w:rPr>
          <w:rFonts w:asciiTheme="minorHAnsi" w:hAnsiTheme="minorHAnsi"/>
        </w:rPr>
        <w:tab/>
      </w:r>
      <w:r w:rsidR="00F37A49" w:rsidRPr="007848A3">
        <w:rPr>
          <w:rFonts w:asciiTheme="minorHAnsi" w:hAnsiTheme="minorHAnsi"/>
        </w:rPr>
        <w:t>Pour les CPC qui interdisent les rejets morts, les débarquements de makaires bleus et de makaires blancs/makaires épée qui sont morts au moment où ils sont amenés le long du navire et qui ne sont pas vendus ni mis sur le marché ne devront pas être déduits des limites établies au paragraphe 2, à condition que cette interdiction soit clairement expliquée dans leur rapport annuel.</w:t>
      </w:r>
      <w:r w:rsidR="00AC6050" w:rsidRPr="007848A3">
        <w:rPr>
          <w:rFonts w:asciiTheme="minorHAnsi" w:hAnsiTheme="minorHAnsi"/>
        </w:rPr>
        <w:t xml:space="preserve"> Cette disposition sera uniquement applicable aux pêcheries commerciales.</w:t>
      </w:r>
    </w:p>
    <w:p w14:paraId="05569F25" w14:textId="17AC8C36" w:rsidR="004B18CD" w:rsidRPr="007848A3" w:rsidRDefault="004B18CD" w:rsidP="00537024">
      <w:pPr>
        <w:ind w:left="426" w:hanging="426"/>
        <w:rPr>
          <w:rFonts w:asciiTheme="minorHAnsi" w:hAnsiTheme="minorHAnsi"/>
        </w:rPr>
      </w:pPr>
    </w:p>
    <w:p w14:paraId="065038FC" w14:textId="55C784FD" w:rsidR="00D11EFA" w:rsidRPr="007848A3" w:rsidRDefault="00711927" w:rsidP="00537024">
      <w:pPr>
        <w:ind w:left="426" w:hanging="426"/>
        <w:rPr>
          <w:rFonts w:asciiTheme="minorHAnsi" w:hAnsiTheme="minorHAnsi"/>
        </w:rPr>
      </w:pPr>
      <w:r w:rsidRPr="007848A3">
        <w:rPr>
          <w:rFonts w:asciiTheme="minorHAnsi" w:hAnsiTheme="minorHAnsi"/>
        </w:rPr>
        <w:t>10.</w:t>
      </w:r>
      <w:r w:rsidRPr="007848A3">
        <w:rPr>
          <w:rFonts w:asciiTheme="minorHAnsi" w:hAnsiTheme="minorHAnsi"/>
        </w:rPr>
        <w:tab/>
      </w:r>
      <w:r w:rsidR="0077527A" w:rsidRPr="007848A3">
        <w:rPr>
          <w:rFonts w:asciiTheme="minorHAnsi" w:hAnsiTheme="minorHAnsi"/>
        </w:rPr>
        <w:t xml:space="preserve">Les makaires bleus et les makaires blancs/makaires épée capturés à des fins de consommation locale par des CPC côtières en développement ou dans le cadre </w:t>
      </w:r>
      <w:r w:rsidR="001C72F4" w:rsidRPr="007848A3">
        <w:rPr>
          <w:rFonts w:asciiTheme="minorHAnsi" w:hAnsiTheme="minorHAnsi"/>
        </w:rPr>
        <w:t>de</w:t>
      </w:r>
      <w:r w:rsidR="0077527A" w:rsidRPr="007848A3">
        <w:rPr>
          <w:rFonts w:asciiTheme="minorHAnsi" w:hAnsiTheme="minorHAnsi"/>
        </w:rPr>
        <w:t xml:space="preserve"> pêcheries côtières artisanales, de subsistance et de petits métiers </w:t>
      </w:r>
      <w:r w:rsidR="001C72F4" w:rsidRPr="007848A3">
        <w:rPr>
          <w:rFonts w:asciiTheme="minorHAnsi" w:hAnsiTheme="minorHAnsi"/>
        </w:rPr>
        <w:t>de</w:t>
      </w:r>
      <w:r w:rsidR="0077527A" w:rsidRPr="007848A3">
        <w:rPr>
          <w:rFonts w:asciiTheme="minorHAnsi" w:hAnsiTheme="minorHAnsi"/>
        </w:rPr>
        <w:t xml:space="preserve"> petit</w:t>
      </w:r>
      <w:r w:rsidR="001C72F4" w:rsidRPr="007848A3">
        <w:rPr>
          <w:rFonts w:asciiTheme="minorHAnsi" w:hAnsiTheme="minorHAnsi"/>
        </w:rPr>
        <w:t>e</w:t>
      </w:r>
      <w:r w:rsidR="0077527A" w:rsidRPr="007848A3">
        <w:rPr>
          <w:rFonts w:asciiTheme="minorHAnsi" w:hAnsiTheme="minorHAnsi"/>
        </w:rPr>
        <w:t>s îles</w:t>
      </w:r>
      <w:r w:rsidR="001C72F4" w:rsidRPr="007848A3">
        <w:rPr>
          <w:rFonts w:asciiTheme="minorHAnsi" w:hAnsiTheme="minorHAnsi"/>
        </w:rPr>
        <w:t xml:space="preserve"> d’autres CPC</w:t>
      </w:r>
      <w:r w:rsidR="0077527A" w:rsidRPr="007848A3">
        <w:rPr>
          <w:rFonts w:asciiTheme="minorHAnsi" w:hAnsiTheme="minorHAnsi"/>
        </w:rPr>
        <w:t>, sont exonérés des dispositions du paragraphe 4, sous réserve que ces CPC a) soumettent les données de la tâche I et de la tâche II, selon les procédures de déclaration établies par le SCRS et b) dans le cas des CPC côtières qui ne sont pas des États en développement, notifient à la Commission leur demande d’exemption ainsi que les mesures prises pour limiter l’application de cette exemption à ces pêcheries.</w:t>
      </w:r>
    </w:p>
    <w:p w14:paraId="209A2028" w14:textId="77777777" w:rsidR="0077527A" w:rsidRPr="007848A3" w:rsidRDefault="0077527A" w:rsidP="00537024">
      <w:pPr>
        <w:ind w:left="426" w:hanging="426"/>
        <w:rPr>
          <w:rFonts w:asciiTheme="minorHAnsi" w:hAnsiTheme="minorHAnsi"/>
          <w:color w:val="000000"/>
        </w:rPr>
      </w:pPr>
    </w:p>
    <w:p w14:paraId="7BCB5C89" w14:textId="16D65E4B" w:rsidR="004B18CD" w:rsidRPr="007848A3" w:rsidRDefault="00711927" w:rsidP="00537024">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rPr>
        <w:t>11</w:t>
      </w:r>
      <w:r w:rsidR="00F37A49" w:rsidRPr="007848A3">
        <w:rPr>
          <w:rFonts w:asciiTheme="minorHAnsi" w:hAnsiTheme="minorHAnsi"/>
        </w:rPr>
        <w:t>.</w:t>
      </w:r>
      <w:r w:rsidR="00642F10" w:rsidRPr="007848A3">
        <w:rPr>
          <w:rFonts w:asciiTheme="minorHAnsi" w:hAnsiTheme="minorHAnsi"/>
          <w:color w:val="000000"/>
        </w:rPr>
        <w:t xml:space="preserve"> </w:t>
      </w:r>
      <w:r w:rsidR="00642F10" w:rsidRPr="007848A3">
        <w:rPr>
          <w:rFonts w:asciiTheme="minorHAnsi" w:hAnsiTheme="minorHAnsi"/>
          <w:color w:val="000000"/>
        </w:rPr>
        <w:tab/>
      </w:r>
      <w:r w:rsidR="00F37A49" w:rsidRPr="007848A3">
        <w:rPr>
          <w:rFonts w:asciiTheme="minorHAnsi" w:hAnsiTheme="minorHAnsi"/>
          <w:color w:val="000000"/>
        </w:rPr>
        <w:t>Pour les pêcheries récréatives et sportives :</w:t>
      </w:r>
    </w:p>
    <w:p w14:paraId="43A9E882" w14:textId="77777777" w:rsidR="004B18CD" w:rsidRPr="007848A3" w:rsidRDefault="004B18CD" w:rsidP="00537024">
      <w:pPr>
        <w:pBdr>
          <w:top w:val="nil"/>
          <w:left w:val="nil"/>
          <w:bottom w:val="nil"/>
          <w:right w:val="nil"/>
          <w:between w:val="nil"/>
        </w:pBdr>
        <w:ind w:left="426" w:hanging="426"/>
        <w:rPr>
          <w:rFonts w:asciiTheme="minorHAnsi" w:hAnsiTheme="minorHAnsi"/>
          <w:color w:val="000000"/>
        </w:rPr>
      </w:pPr>
    </w:p>
    <w:p w14:paraId="68499D10" w14:textId="5EB6AFB1" w:rsidR="004B18CD" w:rsidRPr="007848A3" w:rsidRDefault="00F37A49" w:rsidP="00642F10">
      <w:pPr>
        <w:pBdr>
          <w:top w:val="nil"/>
          <w:left w:val="nil"/>
          <w:bottom w:val="nil"/>
          <w:right w:val="nil"/>
          <w:between w:val="nil"/>
        </w:pBdr>
        <w:ind w:left="1276" w:hanging="567"/>
        <w:rPr>
          <w:rFonts w:asciiTheme="minorHAnsi" w:hAnsiTheme="minorHAnsi"/>
          <w:color w:val="000000"/>
        </w:rPr>
      </w:pPr>
      <w:r w:rsidRPr="007848A3">
        <w:rPr>
          <w:rFonts w:asciiTheme="minorHAnsi" w:hAnsiTheme="minorHAnsi"/>
        </w:rPr>
        <w:t xml:space="preserve">a) </w:t>
      </w:r>
      <w:r w:rsidR="00642F10" w:rsidRPr="007848A3">
        <w:rPr>
          <w:rFonts w:asciiTheme="minorHAnsi" w:hAnsiTheme="minorHAnsi"/>
        </w:rPr>
        <w:tab/>
      </w:r>
      <w:r w:rsidR="00082CB7" w:rsidRPr="007848A3">
        <w:rPr>
          <w:rFonts w:asciiTheme="minorHAnsi" w:hAnsiTheme="minorHAnsi"/>
        </w:rPr>
        <w:t>L</w:t>
      </w:r>
      <w:r w:rsidRPr="007848A3">
        <w:rPr>
          <w:rFonts w:asciiTheme="minorHAnsi" w:hAnsiTheme="minorHAnsi"/>
        </w:rPr>
        <w:t>es CPC devront prendre les mesures appropriées pour s’assurer que les poissons relâchés sont remis à l’eau d’une manière qui occasionne le moins de dommages possibles.</w:t>
      </w:r>
    </w:p>
    <w:p w14:paraId="6B1B66D8" w14:textId="77777777" w:rsidR="004B18CD" w:rsidRPr="007848A3" w:rsidRDefault="004B18CD" w:rsidP="00642F10">
      <w:pPr>
        <w:pBdr>
          <w:top w:val="nil"/>
          <w:left w:val="nil"/>
          <w:bottom w:val="nil"/>
          <w:right w:val="nil"/>
          <w:between w:val="nil"/>
        </w:pBdr>
        <w:ind w:left="1276" w:hanging="567"/>
        <w:rPr>
          <w:rFonts w:asciiTheme="minorHAnsi" w:hAnsiTheme="minorHAnsi"/>
          <w:color w:val="000000"/>
        </w:rPr>
      </w:pPr>
    </w:p>
    <w:p w14:paraId="15456C39" w14:textId="2B15D89D" w:rsidR="004B18CD" w:rsidRPr="007848A3" w:rsidRDefault="00F37A49" w:rsidP="00642F10">
      <w:pPr>
        <w:pBdr>
          <w:top w:val="nil"/>
          <w:left w:val="nil"/>
          <w:bottom w:val="nil"/>
          <w:right w:val="nil"/>
          <w:between w:val="nil"/>
        </w:pBdr>
        <w:ind w:left="1276" w:hanging="567"/>
        <w:rPr>
          <w:rFonts w:asciiTheme="minorHAnsi" w:hAnsiTheme="minorHAnsi"/>
          <w:color w:val="000000"/>
        </w:rPr>
      </w:pPr>
      <w:r w:rsidRPr="007848A3">
        <w:rPr>
          <w:rFonts w:asciiTheme="minorHAnsi" w:hAnsiTheme="minorHAnsi"/>
        </w:rPr>
        <w:t xml:space="preserve">b) </w:t>
      </w:r>
      <w:r w:rsidR="00642F10" w:rsidRPr="007848A3">
        <w:rPr>
          <w:rFonts w:asciiTheme="minorHAnsi" w:hAnsiTheme="minorHAnsi"/>
        </w:rPr>
        <w:tab/>
      </w:r>
      <w:r w:rsidRPr="007848A3">
        <w:rPr>
          <w:rFonts w:asciiTheme="minorHAnsi" w:hAnsiTheme="minorHAnsi"/>
        </w:rPr>
        <w:t>Les CPC devront établir des tailles minimales de rétention qui correspondent ou dépassent les longueurs suivantes :</w:t>
      </w:r>
      <w:r w:rsidRPr="007848A3">
        <w:rPr>
          <w:rFonts w:asciiTheme="minorHAnsi" w:hAnsiTheme="minorHAnsi"/>
          <w:color w:val="000000"/>
        </w:rPr>
        <w:t xml:space="preserve"> 251 cm de longueur maxillaire inférieur fourche (LJFL) pour le makaire bleu et 168 cm (LJFL) pour le makaire blanc/makaire épée.</w:t>
      </w:r>
    </w:p>
    <w:p w14:paraId="23559502" w14:textId="77777777" w:rsidR="004B18CD" w:rsidRPr="007848A3" w:rsidRDefault="004B18CD" w:rsidP="00642F10">
      <w:pPr>
        <w:pBdr>
          <w:top w:val="nil"/>
          <w:left w:val="nil"/>
          <w:bottom w:val="nil"/>
          <w:right w:val="nil"/>
          <w:between w:val="nil"/>
        </w:pBdr>
        <w:ind w:left="1276" w:hanging="567"/>
        <w:rPr>
          <w:rFonts w:asciiTheme="minorHAnsi" w:hAnsiTheme="minorHAnsi"/>
          <w:color w:val="000000"/>
        </w:rPr>
      </w:pPr>
    </w:p>
    <w:p w14:paraId="25424073" w14:textId="0023C360" w:rsidR="004B18CD" w:rsidRPr="007848A3" w:rsidRDefault="00F37A49" w:rsidP="00642F10">
      <w:pPr>
        <w:pBdr>
          <w:top w:val="nil"/>
          <w:left w:val="nil"/>
          <w:bottom w:val="nil"/>
          <w:right w:val="nil"/>
          <w:between w:val="nil"/>
        </w:pBdr>
        <w:ind w:left="1276" w:hanging="567"/>
        <w:rPr>
          <w:rFonts w:asciiTheme="minorHAnsi" w:hAnsiTheme="minorHAnsi"/>
          <w:color w:val="000000"/>
        </w:rPr>
      </w:pPr>
      <w:r w:rsidRPr="007848A3">
        <w:rPr>
          <w:rFonts w:asciiTheme="minorHAnsi" w:hAnsiTheme="minorHAnsi"/>
        </w:rPr>
        <w:t xml:space="preserve">c) </w:t>
      </w:r>
      <w:r w:rsidR="00642F10" w:rsidRPr="007848A3">
        <w:rPr>
          <w:rFonts w:asciiTheme="minorHAnsi" w:hAnsiTheme="minorHAnsi"/>
        </w:rPr>
        <w:tab/>
      </w:r>
      <w:r w:rsidRPr="007848A3">
        <w:rPr>
          <w:rFonts w:asciiTheme="minorHAnsi" w:hAnsiTheme="minorHAnsi"/>
        </w:rPr>
        <w:t>Les CPC devront interdire la vente ou l’offre à la vente d’une partie ou de la totalité de la carcasse des makaires bleus ou des makaires blancs/makaires épée capturés dans les pêcheries sportives et récréatives.</w:t>
      </w:r>
    </w:p>
    <w:p w14:paraId="53C27F1C" w14:textId="38EC19DF" w:rsidR="004B18CD" w:rsidRPr="007848A3" w:rsidRDefault="004B18CD">
      <w:pPr>
        <w:pBdr>
          <w:top w:val="nil"/>
          <w:left w:val="nil"/>
          <w:bottom w:val="nil"/>
          <w:right w:val="nil"/>
          <w:between w:val="nil"/>
        </w:pBdr>
        <w:rPr>
          <w:rFonts w:asciiTheme="minorHAnsi" w:hAnsiTheme="minorHAnsi"/>
          <w:color w:val="000000"/>
        </w:rPr>
      </w:pPr>
    </w:p>
    <w:p w14:paraId="2BFD59B8" w14:textId="77777777" w:rsidR="00711927" w:rsidRPr="007848A3" w:rsidRDefault="00711927" w:rsidP="00711927">
      <w:pPr>
        <w:rPr>
          <w:b/>
        </w:rPr>
      </w:pPr>
      <w:r w:rsidRPr="007848A3">
        <w:rPr>
          <w:b/>
        </w:rPr>
        <w:t>Programme d’observateurs</w:t>
      </w:r>
    </w:p>
    <w:p w14:paraId="3167C056" w14:textId="77777777" w:rsidR="00711927" w:rsidRPr="007848A3" w:rsidRDefault="00711927" w:rsidP="00711927">
      <w:pPr>
        <w:rPr>
          <w:b/>
        </w:rPr>
      </w:pPr>
    </w:p>
    <w:p w14:paraId="70FD23AF" w14:textId="1FBA1635" w:rsidR="0077527A" w:rsidRPr="007848A3" w:rsidRDefault="0077527A" w:rsidP="0077527A">
      <w:pPr>
        <w:pBdr>
          <w:top w:val="nil"/>
          <w:left w:val="nil"/>
          <w:bottom w:val="nil"/>
          <w:right w:val="nil"/>
          <w:between w:val="nil"/>
        </w:pBdr>
        <w:ind w:left="426" w:hanging="426"/>
        <w:rPr>
          <w:rFonts w:cs="Times New Roman"/>
        </w:rPr>
      </w:pPr>
      <w:r w:rsidRPr="007848A3">
        <w:rPr>
          <w:rFonts w:cs="Times New Roman"/>
        </w:rPr>
        <w:t>12.</w:t>
      </w:r>
      <w:r w:rsidRPr="007848A3">
        <w:rPr>
          <w:rFonts w:cs="Times New Roman"/>
        </w:rPr>
        <w:tab/>
        <w:t xml:space="preserve">Les </w:t>
      </w:r>
      <w:r w:rsidRPr="007848A3">
        <w:t>CPC</w:t>
      </w:r>
      <w:r w:rsidRPr="007848A3">
        <w:rPr>
          <w:rFonts w:cs="Times New Roman"/>
        </w:rPr>
        <w:t xml:space="preserve"> devront collecter des données sur les prises de makaire bleu et de makaire blanc/makaire épée, y compris sur les rejets vivants et morts, au moyen des carnets de pêche et de programmes d'observateurs scientifiques, conformément aux exigences énoncées dans la Rec. 11-10 et la Rec. 16-14. Les CPC devront inclure leurs estimations des rejets morts et vivants totaux dans leur soumission de données de capture nominale de la tâche 1.</w:t>
      </w:r>
    </w:p>
    <w:p w14:paraId="7D1C8637" w14:textId="77777777" w:rsidR="0077527A" w:rsidRPr="007848A3" w:rsidRDefault="0077527A" w:rsidP="0077527A">
      <w:pPr>
        <w:rPr>
          <w:rFonts w:cs="Times New Roman"/>
        </w:rPr>
      </w:pPr>
    </w:p>
    <w:p w14:paraId="78641871" w14:textId="696762DB" w:rsidR="00711927" w:rsidRPr="007848A3" w:rsidRDefault="00981C18" w:rsidP="00981C18">
      <w:pPr>
        <w:pBdr>
          <w:top w:val="nil"/>
          <w:left w:val="nil"/>
          <w:bottom w:val="nil"/>
          <w:right w:val="nil"/>
          <w:between w:val="nil"/>
        </w:pBdr>
        <w:ind w:left="426" w:hanging="426"/>
      </w:pPr>
      <w:r w:rsidRPr="007848A3">
        <w:t>13.</w:t>
      </w:r>
      <w:r w:rsidRPr="007848A3">
        <w:tab/>
      </w:r>
      <w:r w:rsidR="00711927" w:rsidRPr="007848A3">
        <w:t>Les CPC devront établir ou maintenir des programmes de collecte des données dans les pêcheries sportives et récréatives, y compris une couverture par des observateurs scientifiques de 5% minimum des tournois de pêche de makaires bleus et de makaires blancs/makaires épée, pour s’assurer que les prises sont déclarées conformément aux obligations de déclaration existantes de l’ICCAT.</w:t>
      </w:r>
    </w:p>
    <w:p w14:paraId="558A5DBB" w14:textId="77777777" w:rsidR="00711927" w:rsidRPr="007848A3" w:rsidRDefault="00711927">
      <w:pPr>
        <w:pBdr>
          <w:top w:val="nil"/>
          <w:left w:val="nil"/>
          <w:bottom w:val="nil"/>
          <w:right w:val="nil"/>
          <w:between w:val="nil"/>
        </w:pBdr>
        <w:rPr>
          <w:rFonts w:asciiTheme="minorHAnsi" w:hAnsiTheme="minorHAnsi"/>
          <w:color w:val="000000"/>
        </w:rPr>
      </w:pPr>
    </w:p>
    <w:p w14:paraId="3FD85DA3" w14:textId="77777777" w:rsidR="004B18CD" w:rsidRPr="007848A3" w:rsidRDefault="00F37A49">
      <w:pPr>
        <w:pBdr>
          <w:top w:val="nil"/>
          <w:left w:val="nil"/>
          <w:bottom w:val="nil"/>
          <w:right w:val="nil"/>
          <w:between w:val="nil"/>
        </w:pBdr>
        <w:rPr>
          <w:rFonts w:asciiTheme="minorHAnsi" w:hAnsiTheme="minorHAnsi"/>
          <w:b/>
          <w:color w:val="000000"/>
        </w:rPr>
      </w:pPr>
      <w:r w:rsidRPr="007848A3">
        <w:rPr>
          <w:rFonts w:asciiTheme="minorHAnsi" w:hAnsiTheme="minorHAnsi"/>
          <w:b/>
          <w:color w:val="000000"/>
        </w:rPr>
        <w:t>Collecte et déclaration des données</w:t>
      </w:r>
    </w:p>
    <w:p w14:paraId="6A8CFD9F" w14:textId="77777777" w:rsidR="004B18CD" w:rsidRPr="007848A3" w:rsidRDefault="00F37A49">
      <w:pPr>
        <w:pBdr>
          <w:top w:val="nil"/>
          <w:left w:val="nil"/>
          <w:bottom w:val="nil"/>
          <w:right w:val="nil"/>
          <w:between w:val="nil"/>
        </w:pBdr>
        <w:rPr>
          <w:rFonts w:asciiTheme="minorHAnsi" w:hAnsiTheme="minorHAnsi"/>
          <w:color w:val="333333"/>
        </w:rPr>
      </w:pPr>
      <w:r w:rsidRPr="007848A3">
        <w:rPr>
          <w:rFonts w:asciiTheme="minorHAnsi" w:hAnsiTheme="minorHAnsi"/>
          <w:color w:val="000000"/>
        </w:rPr>
        <w:t xml:space="preserve"> </w:t>
      </w:r>
    </w:p>
    <w:p w14:paraId="39C76840" w14:textId="3AB52AF0" w:rsidR="00711927" w:rsidRPr="007848A3" w:rsidRDefault="00981C18" w:rsidP="00711927">
      <w:pPr>
        <w:pBdr>
          <w:top w:val="nil"/>
          <w:left w:val="nil"/>
          <w:bottom w:val="nil"/>
          <w:right w:val="nil"/>
          <w:between w:val="nil"/>
        </w:pBdr>
        <w:ind w:left="426" w:hanging="426"/>
        <w:rPr>
          <w:rFonts w:asciiTheme="minorHAnsi" w:hAnsiTheme="minorHAnsi"/>
        </w:rPr>
      </w:pPr>
      <w:r w:rsidRPr="007848A3">
        <w:rPr>
          <w:rFonts w:asciiTheme="minorHAnsi" w:hAnsiTheme="minorHAnsi"/>
        </w:rPr>
        <w:t>14</w:t>
      </w:r>
      <w:r w:rsidR="00F37A49" w:rsidRPr="007848A3">
        <w:rPr>
          <w:rFonts w:asciiTheme="minorHAnsi" w:hAnsiTheme="minorHAnsi"/>
        </w:rPr>
        <w:t xml:space="preserve">. </w:t>
      </w:r>
      <w:r w:rsidR="00642F10" w:rsidRPr="007848A3">
        <w:rPr>
          <w:rFonts w:asciiTheme="minorHAnsi" w:hAnsiTheme="minorHAnsi"/>
        </w:rPr>
        <w:tab/>
      </w:r>
      <w:r w:rsidR="00711927" w:rsidRPr="007848A3">
        <w:rPr>
          <w:rFonts w:asciiTheme="minorHAnsi" w:hAnsiTheme="minorHAnsi"/>
        </w:rPr>
        <w:t>Les CPC devront fournir leurs estimations du total des rejets vivants et morts de makaire bleu, de makaire blanc/makaire épée, sur la base des carnets de pêche, des déclarations de débarquement ou d'un document équivalent pour les pêcheries sportives/récréatives, ainsi que des rapports d’observateurs scientifiques, dans le cadre de leur soumission de</w:t>
      </w:r>
      <w:r w:rsidR="00A430FF" w:rsidRPr="007848A3">
        <w:rPr>
          <w:rFonts w:asciiTheme="minorHAnsi" w:hAnsiTheme="minorHAnsi"/>
        </w:rPr>
        <w:t>s</w:t>
      </w:r>
      <w:r w:rsidR="00711927" w:rsidRPr="007848A3">
        <w:rPr>
          <w:rFonts w:asciiTheme="minorHAnsi" w:hAnsiTheme="minorHAnsi"/>
        </w:rPr>
        <w:t xml:space="preserve"> données des tâches I et II pour soutenir le processus d'évaluation des stocks. </w:t>
      </w:r>
    </w:p>
    <w:p w14:paraId="31F71F2A" w14:textId="77777777" w:rsidR="00711927" w:rsidRPr="007848A3" w:rsidRDefault="00711927" w:rsidP="00711927">
      <w:pPr>
        <w:pBdr>
          <w:top w:val="nil"/>
          <w:left w:val="nil"/>
          <w:bottom w:val="nil"/>
          <w:right w:val="nil"/>
          <w:between w:val="nil"/>
        </w:pBdr>
        <w:ind w:left="426" w:hanging="426"/>
        <w:rPr>
          <w:rFonts w:asciiTheme="minorHAnsi" w:hAnsiTheme="minorHAnsi"/>
        </w:rPr>
      </w:pPr>
    </w:p>
    <w:p w14:paraId="5927E650" w14:textId="50CCB072" w:rsidR="00711927" w:rsidRPr="007848A3" w:rsidRDefault="00711927" w:rsidP="00711927">
      <w:pPr>
        <w:pBdr>
          <w:top w:val="nil"/>
          <w:left w:val="nil"/>
          <w:bottom w:val="nil"/>
          <w:right w:val="nil"/>
          <w:between w:val="nil"/>
        </w:pBdr>
        <w:ind w:left="426" w:hanging="426"/>
        <w:rPr>
          <w:rFonts w:asciiTheme="minorHAnsi" w:hAnsiTheme="minorHAnsi"/>
        </w:rPr>
      </w:pPr>
      <w:r w:rsidRPr="007848A3">
        <w:rPr>
          <w:rFonts w:asciiTheme="minorHAnsi" w:hAnsiTheme="minorHAnsi"/>
        </w:rPr>
        <w:t>1</w:t>
      </w:r>
      <w:r w:rsidR="00981C18" w:rsidRPr="007848A3">
        <w:rPr>
          <w:rFonts w:asciiTheme="minorHAnsi" w:hAnsiTheme="minorHAnsi"/>
        </w:rPr>
        <w:t>5</w:t>
      </w:r>
      <w:r w:rsidRPr="007848A3">
        <w:rPr>
          <w:rFonts w:asciiTheme="minorHAnsi" w:hAnsiTheme="minorHAnsi"/>
        </w:rPr>
        <w:t>.</w:t>
      </w:r>
      <w:r w:rsidRPr="007848A3">
        <w:rPr>
          <w:rFonts w:asciiTheme="minorHAnsi" w:hAnsiTheme="minorHAnsi"/>
        </w:rPr>
        <w:tab/>
        <w:t xml:space="preserve">À compter de la déclaration des captures en 2020, en cas de non-déclaration des données de la tâche I, rejets morts y compris, de makaire bleu et de </w:t>
      </w:r>
      <w:r w:rsidR="00A430FF" w:rsidRPr="007848A3">
        <w:rPr>
          <w:rFonts w:asciiTheme="minorHAnsi" w:hAnsiTheme="minorHAnsi"/>
        </w:rPr>
        <w:t>makaire</w:t>
      </w:r>
      <w:r w:rsidRPr="007848A3">
        <w:rPr>
          <w:rFonts w:asciiTheme="minorHAnsi" w:hAnsiTheme="minorHAnsi"/>
        </w:rPr>
        <w:t xml:space="preserve"> blanc/makaire épée, conformément aux exigences établies par l'ICCAT, il sera interdit de conserver ces espèces </w:t>
      </w:r>
      <w:r w:rsidR="00A430FF" w:rsidRPr="007848A3">
        <w:rPr>
          <w:rFonts w:asciiTheme="minorHAnsi" w:hAnsiTheme="minorHAnsi"/>
        </w:rPr>
        <w:t>en vertu de</w:t>
      </w:r>
      <w:r w:rsidRPr="007848A3">
        <w:rPr>
          <w:rFonts w:asciiTheme="minorHAnsi" w:hAnsiTheme="minorHAnsi"/>
        </w:rPr>
        <w:t xml:space="preserve"> la </w:t>
      </w:r>
      <w:r w:rsidRPr="007848A3">
        <w:rPr>
          <w:rFonts w:asciiTheme="minorHAnsi" w:hAnsiTheme="minorHAnsi"/>
          <w:i/>
          <w:iCs/>
        </w:rPr>
        <w:t>Recommandation de l’ICCAT sur les pénalisations applicables en cas de non-respect des obligations en matière de déclaration</w:t>
      </w:r>
      <w:r w:rsidRPr="007848A3">
        <w:rPr>
          <w:rFonts w:asciiTheme="minorHAnsi" w:hAnsiTheme="minorHAnsi"/>
        </w:rPr>
        <w:t xml:space="preserve"> (Rec. 11-15).</w:t>
      </w:r>
    </w:p>
    <w:p w14:paraId="02F024A7" w14:textId="0DA184B6" w:rsidR="00711927" w:rsidRPr="007848A3" w:rsidRDefault="00711927">
      <w:pPr>
        <w:rPr>
          <w:rFonts w:asciiTheme="minorHAnsi" w:hAnsiTheme="minorHAnsi"/>
          <w:color w:val="222222"/>
        </w:rPr>
      </w:pPr>
    </w:p>
    <w:p w14:paraId="0458F1A8" w14:textId="68888F72" w:rsidR="00642F10" w:rsidRPr="007848A3" w:rsidRDefault="00981C18" w:rsidP="00711927">
      <w:pPr>
        <w:pBdr>
          <w:top w:val="nil"/>
          <w:left w:val="nil"/>
          <w:bottom w:val="nil"/>
          <w:right w:val="nil"/>
          <w:between w:val="nil"/>
        </w:pBdr>
        <w:ind w:left="426" w:hanging="426"/>
        <w:rPr>
          <w:rFonts w:asciiTheme="minorHAnsi" w:hAnsiTheme="minorHAnsi"/>
          <w:color w:val="222222"/>
        </w:rPr>
      </w:pPr>
      <w:r w:rsidRPr="007848A3">
        <w:rPr>
          <w:rFonts w:asciiTheme="minorHAnsi" w:hAnsiTheme="minorHAnsi"/>
          <w:color w:val="222222"/>
        </w:rPr>
        <w:t>16</w:t>
      </w:r>
      <w:r w:rsidR="00711927" w:rsidRPr="007848A3">
        <w:rPr>
          <w:rFonts w:asciiTheme="minorHAnsi" w:hAnsiTheme="minorHAnsi"/>
          <w:color w:val="222222"/>
        </w:rPr>
        <w:t>.</w:t>
      </w:r>
      <w:r w:rsidR="00711927" w:rsidRPr="007848A3">
        <w:rPr>
          <w:rFonts w:asciiTheme="minorHAnsi" w:hAnsiTheme="minorHAnsi"/>
          <w:color w:val="222222"/>
        </w:rPr>
        <w:tab/>
      </w:r>
      <w:r w:rsidR="00711927" w:rsidRPr="007848A3">
        <w:rPr>
          <w:rFonts w:asciiTheme="minorHAnsi" w:hAnsiTheme="minorHAnsi"/>
        </w:rPr>
        <w:t>En</w:t>
      </w:r>
      <w:r w:rsidR="00711927" w:rsidRPr="007848A3">
        <w:rPr>
          <w:rFonts w:asciiTheme="minorHAnsi" w:hAnsiTheme="minorHAnsi"/>
          <w:color w:val="222222"/>
        </w:rPr>
        <w:t xml:space="preserve"> 2020, au plus tard, les CPC devront présenter au SCRS la méthodologie statistique utilisée pour estimer les rejets morts et vivants. Les CPC ayant des pêcheries artisanales et de petits métiers devront également fournir des informations sur leurs programmes de collecte de données.</w:t>
      </w:r>
    </w:p>
    <w:p w14:paraId="31653B3F" w14:textId="77777777" w:rsidR="00711927" w:rsidRPr="007848A3" w:rsidRDefault="00711927">
      <w:pPr>
        <w:rPr>
          <w:rFonts w:asciiTheme="minorHAnsi" w:hAnsiTheme="minorHAnsi"/>
          <w:color w:val="222222"/>
        </w:rPr>
      </w:pPr>
    </w:p>
    <w:p w14:paraId="4FC3B41A" w14:textId="075E8D80" w:rsidR="0079766A" w:rsidRPr="007848A3" w:rsidRDefault="00F37A49" w:rsidP="00711927">
      <w:pPr>
        <w:pBdr>
          <w:top w:val="nil"/>
          <w:left w:val="nil"/>
          <w:bottom w:val="nil"/>
          <w:right w:val="nil"/>
          <w:between w:val="nil"/>
        </w:pBdr>
        <w:ind w:left="426"/>
        <w:rPr>
          <w:rFonts w:asciiTheme="minorHAnsi" w:hAnsiTheme="minorHAnsi"/>
          <w:color w:val="000000"/>
        </w:rPr>
      </w:pPr>
      <w:r w:rsidRPr="007848A3">
        <w:rPr>
          <w:rFonts w:asciiTheme="minorHAnsi" w:hAnsiTheme="minorHAnsi"/>
          <w:color w:val="000000"/>
        </w:rPr>
        <w:t xml:space="preserve">Le SCRS devra réviser ces méthodologies et, s’il détermine qu’une méthodologie n’est pas scientifiquement fondée, </w:t>
      </w:r>
      <w:r w:rsidR="00A430FF" w:rsidRPr="007848A3">
        <w:rPr>
          <w:rFonts w:asciiTheme="minorHAnsi" w:hAnsiTheme="minorHAnsi"/>
          <w:color w:val="000000"/>
        </w:rPr>
        <w:t xml:space="preserve">il </w:t>
      </w:r>
      <w:r w:rsidRPr="007848A3">
        <w:rPr>
          <w:rFonts w:asciiTheme="minorHAnsi" w:hAnsiTheme="minorHAnsi"/>
          <w:color w:val="000000"/>
        </w:rPr>
        <w:t>devra fournir des observations pertinentes aux CPC concernées afin d’améliorer les méthodologies.</w:t>
      </w:r>
      <w:r w:rsidR="00642F10" w:rsidRPr="007848A3">
        <w:rPr>
          <w:rFonts w:asciiTheme="minorHAnsi" w:hAnsiTheme="minorHAnsi"/>
          <w:color w:val="000000"/>
        </w:rPr>
        <w:t xml:space="preserve"> </w:t>
      </w:r>
    </w:p>
    <w:p w14:paraId="57AE69FE" w14:textId="21E122E9" w:rsidR="004B18CD" w:rsidRPr="007848A3" w:rsidRDefault="00F37A49" w:rsidP="00711927">
      <w:pPr>
        <w:pBdr>
          <w:top w:val="nil"/>
          <w:left w:val="nil"/>
          <w:bottom w:val="nil"/>
          <w:right w:val="nil"/>
          <w:between w:val="nil"/>
        </w:pBdr>
        <w:ind w:left="426"/>
        <w:rPr>
          <w:rFonts w:asciiTheme="minorHAnsi" w:hAnsiTheme="minorHAnsi"/>
          <w:color w:val="000000"/>
        </w:rPr>
      </w:pPr>
      <w:r w:rsidRPr="007848A3">
        <w:rPr>
          <w:rFonts w:asciiTheme="minorHAnsi" w:hAnsiTheme="minorHAnsi"/>
          <w:color w:val="000000"/>
        </w:rPr>
        <w:t xml:space="preserve">Le SCRS </w:t>
      </w:r>
      <w:r w:rsidR="00537024" w:rsidRPr="007848A3">
        <w:rPr>
          <w:rFonts w:asciiTheme="minorHAnsi" w:hAnsiTheme="minorHAnsi"/>
          <w:color w:val="000000"/>
        </w:rPr>
        <w:t>devra</w:t>
      </w:r>
      <w:r w:rsidRPr="007848A3">
        <w:rPr>
          <w:rFonts w:asciiTheme="minorHAnsi" w:hAnsiTheme="minorHAnsi"/>
          <w:color w:val="000000"/>
        </w:rPr>
        <w:t xml:space="preserve"> également déterminer si un ou plusieurs ateliers de renforcement des capacités sont justifiés pour aider les CPC à se conformer à l'obligation de déclarer le nombre total de rejets vivants et morts.</w:t>
      </w:r>
      <w:r w:rsidR="00642F10" w:rsidRPr="007848A3">
        <w:rPr>
          <w:rFonts w:asciiTheme="minorHAnsi" w:hAnsiTheme="minorHAnsi"/>
          <w:color w:val="000000"/>
        </w:rPr>
        <w:t xml:space="preserve"> </w:t>
      </w:r>
      <w:r w:rsidRPr="007848A3">
        <w:rPr>
          <w:rFonts w:asciiTheme="minorHAnsi" w:hAnsiTheme="minorHAnsi"/>
          <w:color w:val="000000"/>
        </w:rPr>
        <w:t>Si tel est le cas, le Secrétariat, en coordination avec le SCRS, devrait commencer à organiser le ou les ateliers recommandés par le SCRS en 2021 en vue de les convoquer dès que possible.</w:t>
      </w:r>
    </w:p>
    <w:p w14:paraId="30AEBE70" w14:textId="77777777" w:rsidR="00642F10" w:rsidRPr="007848A3" w:rsidRDefault="00642F10" w:rsidP="00642F10">
      <w:pPr>
        <w:pBdr>
          <w:top w:val="nil"/>
          <w:left w:val="nil"/>
          <w:bottom w:val="nil"/>
          <w:right w:val="nil"/>
          <w:between w:val="nil"/>
        </w:pBdr>
        <w:ind w:left="426" w:hanging="426"/>
        <w:rPr>
          <w:rFonts w:asciiTheme="minorHAnsi" w:hAnsiTheme="minorHAnsi"/>
          <w:color w:val="000000"/>
        </w:rPr>
      </w:pPr>
    </w:p>
    <w:p w14:paraId="5A229100" w14:textId="00890D12" w:rsidR="0079766A" w:rsidRPr="007848A3" w:rsidRDefault="00981C18" w:rsidP="00642F10">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17</w:t>
      </w:r>
      <w:r w:rsidR="00F37A49" w:rsidRPr="007848A3">
        <w:rPr>
          <w:rFonts w:asciiTheme="minorHAnsi" w:hAnsiTheme="minorHAnsi"/>
          <w:color w:val="000000"/>
        </w:rPr>
        <w:t>.</w:t>
      </w:r>
      <w:r w:rsidR="00642F10" w:rsidRPr="007848A3">
        <w:rPr>
          <w:rFonts w:asciiTheme="minorHAnsi" w:hAnsiTheme="minorHAnsi"/>
          <w:color w:val="000000"/>
        </w:rPr>
        <w:t xml:space="preserve"> </w:t>
      </w:r>
      <w:r w:rsidR="00537024" w:rsidRPr="007848A3">
        <w:rPr>
          <w:rFonts w:asciiTheme="minorHAnsi" w:hAnsiTheme="minorHAnsi"/>
          <w:color w:val="000000"/>
        </w:rPr>
        <w:tab/>
      </w:r>
      <w:r w:rsidR="0079766A" w:rsidRPr="007848A3">
        <w:rPr>
          <w:rFonts w:asciiTheme="minorHAnsi" w:hAnsiTheme="minorHAnsi"/>
          <w:color w:val="000000"/>
        </w:rPr>
        <w:t>Le SCRS devra évaluer l’exhaustivité des soumissions de données des tâches I et II, y compris des estimations du nombre total de rejets morts et vivants, et déterminer la viabilité d'estimer les mortalités par pêche dues aux pêcheries industrielles (y compris de palangriers et de senneurs), aux pêcheries artisanales et aux pêcheries récréatives. Si, après avoir mené cette évaluation, le SCRS détermine qu'il existe des lacunes importantes dans la déclaration des données, il devrait explorer des méthodes permettant d'estimer le niveau des captures non déclarées à inclure dans les futures évaluations des stocks afin de renforcer la base sur laquelle</w:t>
      </w:r>
      <w:r w:rsidR="00A430FF" w:rsidRPr="007848A3">
        <w:rPr>
          <w:rFonts w:asciiTheme="minorHAnsi" w:hAnsiTheme="minorHAnsi"/>
          <w:color w:val="000000"/>
        </w:rPr>
        <w:t xml:space="preserve"> il</w:t>
      </w:r>
      <w:r w:rsidR="0079766A" w:rsidRPr="007848A3">
        <w:rPr>
          <w:rFonts w:asciiTheme="minorHAnsi" w:hAnsiTheme="minorHAnsi"/>
          <w:color w:val="000000"/>
        </w:rPr>
        <w:t xml:space="preserve"> fournir</w:t>
      </w:r>
      <w:r w:rsidR="00A430FF" w:rsidRPr="007848A3">
        <w:rPr>
          <w:rFonts w:asciiTheme="minorHAnsi" w:hAnsiTheme="minorHAnsi"/>
          <w:color w:val="000000"/>
        </w:rPr>
        <w:t>a</w:t>
      </w:r>
      <w:r w:rsidR="0079766A" w:rsidRPr="007848A3">
        <w:rPr>
          <w:rFonts w:asciiTheme="minorHAnsi" w:hAnsiTheme="minorHAnsi"/>
          <w:color w:val="000000"/>
        </w:rPr>
        <w:t xml:space="preserve"> des avis de gestion à la Commission</w:t>
      </w:r>
      <w:r w:rsidR="00A430FF" w:rsidRPr="007848A3">
        <w:rPr>
          <w:rFonts w:asciiTheme="minorHAnsi" w:hAnsiTheme="minorHAnsi"/>
          <w:color w:val="000000"/>
        </w:rPr>
        <w:t>.</w:t>
      </w:r>
    </w:p>
    <w:p w14:paraId="5263BF13" w14:textId="5E20A957" w:rsidR="0079766A" w:rsidRPr="007848A3" w:rsidRDefault="0079766A" w:rsidP="00642F10">
      <w:pPr>
        <w:pBdr>
          <w:top w:val="nil"/>
          <w:left w:val="nil"/>
          <w:bottom w:val="nil"/>
          <w:right w:val="nil"/>
          <w:between w:val="nil"/>
        </w:pBdr>
        <w:ind w:left="426" w:hanging="426"/>
        <w:rPr>
          <w:rFonts w:asciiTheme="minorHAnsi" w:hAnsiTheme="minorHAnsi"/>
          <w:color w:val="000000"/>
        </w:rPr>
      </w:pPr>
    </w:p>
    <w:p w14:paraId="082842FF" w14:textId="6EB8D652" w:rsidR="0079766A" w:rsidRPr="007848A3" w:rsidRDefault="0079766A" w:rsidP="00642F10">
      <w:pPr>
        <w:pBdr>
          <w:top w:val="nil"/>
          <w:left w:val="nil"/>
          <w:bottom w:val="nil"/>
          <w:right w:val="nil"/>
          <w:between w:val="nil"/>
        </w:pBdr>
        <w:ind w:left="426" w:hanging="426"/>
        <w:rPr>
          <w:rFonts w:asciiTheme="minorHAnsi" w:hAnsiTheme="minorHAnsi"/>
          <w:b/>
          <w:bCs/>
          <w:color w:val="000000"/>
        </w:rPr>
      </w:pPr>
      <w:r w:rsidRPr="007848A3">
        <w:rPr>
          <w:rFonts w:asciiTheme="minorHAnsi" w:hAnsiTheme="minorHAnsi"/>
          <w:b/>
          <w:bCs/>
          <w:color w:val="000000"/>
        </w:rPr>
        <w:t>Travaux du SCRS et demande d’avis scientifique</w:t>
      </w:r>
    </w:p>
    <w:p w14:paraId="6A0C596B" w14:textId="77777777" w:rsidR="0079766A" w:rsidRPr="007848A3" w:rsidRDefault="0079766A" w:rsidP="00642F10">
      <w:pPr>
        <w:pBdr>
          <w:top w:val="nil"/>
          <w:left w:val="nil"/>
          <w:bottom w:val="nil"/>
          <w:right w:val="nil"/>
          <w:between w:val="nil"/>
        </w:pBdr>
        <w:ind w:left="426" w:hanging="426"/>
        <w:rPr>
          <w:rFonts w:asciiTheme="minorHAnsi" w:hAnsiTheme="minorHAnsi"/>
          <w:color w:val="000000"/>
        </w:rPr>
      </w:pPr>
    </w:p>
    <w:p w14:paraId="797D38C7" w14:textId="49403297" w:rsidR="0079766A" w:rsidRPr="007848A3" w:rsidRDefault="00981C18" w:rsidP="00642F10">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18</w:t>
      </w:r>
      <w:r w:rsidR="0079766A" w:rsidRPr="007848A3">
        <w:rPr>
          <w:rFonts w:asciiTheme="minorHAnsi" w:hAnsiTheme="minorHAnsi"/>
          <w:color w:val="000000"/>
        </w:rPr>
        <w:t>.</w:t>
      </w:r>
      <w:r w:rsidR="0079766A" w:rsidRPr="007848A3">
        <w:rPr>
          <w:rFonts w:asciiTheme="minorHAnsi" w:hAnsiTheme="minorHAnsi"/>
          <w:color w:val="000000"/>
        </w:rPr>
        <w:tab/>
        <w:t>Le SCRS devra poursuivre ses travaux pour améliorer davantage les initiatives de collecte des données dans le cadre du Programme ICCAT de recherche intensive sur les istiophoridés afin de solutionner les problèmes de lacunes en matière de données que connaissent ces pêcheries, notamment les pêcheries artisanales des CPC en développement, afin d’éclairer les futures décisions de la Commission.</w:t>
      </w:r>
    </w:p>
    <w:p w14:paraId="6E97F47B" w14:textId="77777777" w:rsidR="0079766A" w:rsidRPr="007848A3" w:rsidRDefault="0079766A" w:rsidP="00642F10">
      <w:pPr>
        <w:pBdr>
          <w:top w:val="nil"/>
          <w:left w:val="nil"/>
          <w:bottom w:val="nil"/>
          <w:right w:val="nil"/>
          <w:between w:val="nil"/>
        </w:pBdr>
        <w:ind w:left="426" w:hanging="426"/>
        <w:rPr>
          <w:rFonts w:asciiTheme="minorHAnsi" w:hAnsiTheme="minorHAnsi"/>
          <w:color w:val="000000"/>
        </w:rPr>
      </w:pPr>
    </w:p>
    <w:p w14:paraId="03F5E82A" w14:textId="19908416" w:rsidR="0079766A" w:rsidRPr="007848A3" w:rsidRDefault="00981C18" w:rsidP="0079766A">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19</w:t>
      </w:r>
      <w:r w:rsidR="0079766A" w:rsidRPr="007848A3">
        <w:rPr>
          <w:rFonts w:asciiTheme="minorHAnsi" w:hAnsiTheme="minorHAnsi"/>
          <w:color w:val="000000"/>
        </w:rPr>
        <w:t>.</w:t>
      </w:r>
      <w:r w:rsidR="0079766A" w:rsidRPr="007848A3">
        <w:rPr>
          <w:rFonts w:asciiTheme="minorHAnsi" w:hAnsiTheme="minorHAnsi"/>
          <w:color w:val="000000"/>
        </w:rPr>
        <w:tab/>
        <w:t>Le Secrétariat, avec l'appui de la Commission et du SCRS, devra poursuivre son examen des travaux pertinents réalisés par les organisations régionales et sous-régionales internationales, similaire à l'examen mené pour l'Afrique de l'Ouest, en se concentrant en priorité sur les Caraïbes</w:t>
      </w:r>
      <w:r w:rsidR="00E47BA0" w:rsidRPr="007848A3">
        <w:rPr>
          <w:rFonts w:asciiTheme="minorHAnsi" w:hAnsiTheme="minorHAnsi"/>
          <w:color w:val="000000"/>
        </w:rPr>
        <w:t xml:space="preserve"> et </w:t>
      </w:r>
      <w:r w:rsidR="0079766A" w:rsidRPr="007848A3">
        <w:rPr>
          <w:rFonts w:asciiTheme="minorHAnsi" w:hAnsiTheme="minorHAnsi"/>
          <w:color w:val="000000"/>
        </w:rPr>
        <w:t xml:space="preserve">l'Amérique latine. Le Secrétariat et les CPC sont également encouragés à collaborer avec la Commission des pêcheries de l'Atlantique Centre-Ouest (COPACO) sur les statistiques de pêche des espèces relevant de l’ICCAT. </w:t>
      </w:r>
    </w:p>
    <w:p w14:paraId="0BD8465D" w14:textId="77777777" w:rsidR="0079766A" w:rsidRPr="007848A3" w:rsidRDefault="0079766A" w:rsidP="0079766A">
      <w:pPr>
        <w:pBdr>
          <w:top w:val="nil"/>
          <w:left w:val="nil"/>
          <w:bottom w:val="nil"/>
          <w:right w:val="nil"/>
          <w:between w:val="nil"/>
        </w:pBdr>
        <w:ind w:left="426" w:hanging="426"/>
        <w:rPr>
          <w:rFonts w:asciiTheme="minorHAnsi" w:hAnsiTheme="minorHAnsi"/>
          <w:color w:val="000000"/>
        </w:rPr>
      </w:pPr>
    </w:p>
    <w:p w14:paraId="03100C9F" w14:textId="77777777" w:rsidR="0079766A" w:rsidRPr="007848A3" w:rsidRDefault="0079766A" w:rsidP="0079766A">
      <w:pPr>
        <w:pBdr>
          <w:top w:val="nil"/>
          <w:left w:val="nil"/>
          <w:bottom w:val="nil"/>
          <w:right w:val="nil"/>
          <w:between w:val="nil"/>
        </w:pBdr>
        <w:ind w:left="426"/>
        <w:rPr>
          <w:rFonts w:asciiTheme="minorHAnsi" w:hAnsiTheme="minorHAnsi"/>
          <w:color w:val="000000"/>
        </w:rPr>
      </w:pPr>
      <w:r w:rsidRPr="007848A3">
        <w:rPr>
          <w:rFonts w:asciiTheme="minorHAnsi" w:hAnsiTheme="minorHAnsi"/>
          <w:color w:val="000000"/>
        </w:rPr>
        <w:t>Compte tenu des conclusions de ces examens régionaux, les CPC devront prendre des mesures, en tant que de besoin, pour améliorer les programmes de collecte et de déclaration des données conformément à tout avis formulé par le SCRS en vue de la préparation de la prochaine évaluation du stock de makaire blanc/makaire épée et de la prochaine évaluation du stock de makaire bleu.</w:t>
      </w:r>
    </w:p>
    <w:p w14:paraId="19C0D108" w14:textId="77777777" w:rsidR="0079766A" w:rsidRPr="007848A3" w:rsidRDefault="0079766A" w:rsidP="0079766A">
      <w:pPr>
        <w:pBdr>
          <w:top w:val="nil"/>
          <w:left w:val="nil"/>
          <w:bottom w:val="nil"/>
          <w:right w:val="nil"/>
          <w:between w:val="nil"/>
        </w:pBdr>
        <w:ind w:left="426" w:hanging="426"/>
        <w:rPr>
          <w:rFonts w:asciiTheme="minorHAnsi" w:hAnsiTheme="minorHAnsi"/>
          <w:color w:val="000000"/>
        </w:rPr>
      </w:pPr>
    </w:p>
    <w:p w14:paraId="151FEC43" w14:textId="05CC18D5" w:rsidR="0079766A" w:rsidRPr="007848A3" w:rsidRDefault="00981C18" w:rsidP="0079766A">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20</w:t>
      </w:r>
      <w:r w:rsidR="0079766A" w:rsidRPr="007848A3">
        <w:rPr>
          <w:rFonts w:asciiTheme="minorHAnsi" w:hAnsiTheme="minorHAnsi"/>
          <w:color w:val="000000"/>
        </w:rPr>
        <w:t>.</w:t>
      </w:r>
      <w:r w:rsidR="0079766A" w:rsidRPr="007848A3">
        <w:rPr>
          <w:rFonts w:asciiTheme="minorHAnsi" w:hAnsiTheme="minorHAnsi"/>
          <w:color w:val="000000"/>
        </w:rPr>
        <w:tab/>
      </w:r>
      <w:r w:rsidR="0077527A" w:rsidRPr="007848A3">
        <w:rPr>
          <w:rFonts w:asciiTheme="minorHAnsi" w:hAnsiTheme="minorHAnsi"/>
          <w:color w:val="000000"/>
        </w:rPr>
        <w:t xml:space="preserve">Le Groupe de travail permanent pour l'amélioration des statistiques et des mesures de conservation de l'ICCAT (« PWG » selon les sigles anglais), en coopération avec le SCRS, devra travailler à l’élaboration de recommandations sur les questions suivantes, qui seront examinées lors de la réunion annuelle de la Commission de 2021 : </w:t>
      </w:r>
    </w:p>
    <w:p w14:paraId="04B79458" w14:textId="77777777" w:rsidR="0079766A" w:rsidRPr="007848A3" w:rsidRDefault="0079766A" w:rsidP="0079766A">
      <w:pPr>
        <w:pBdr>
          <w:top w:val="nil"/>
          <w:left w:val="nil"/>
          <w:bottom w:val="nil"/>
          <w:right w:val="nil"/>
          <w:between w:val="nil"/>
        </w:pBdr>
        <w:ind w:left="426" w:hanging="426"/>
        <w:rPr>
          <w:rFonts w:asciiTheme="minorHAnsi" w:hAnsiTheme="minorHAnsi"/>
          <w:color w:val="000000"/>
        </w:rPr>
      </w:pPr>
    </w:p>
    <w:p w14:paraId="11C2AAD2" w14:textId="4FE8E62D" w:rsidR="0079766A" w:rsidRPr="007848A3" w:rsidRDefault="0079766A" w:rsidP="0079766A">
      <w:pPr>
        <w:pBdr>
          <w:top w:val="nil"/>
          <w:left w:val="nil"/>
          <w:bottom w:val="nil"/>
          <w:right w:val="nil"/>
          <w:between w:val="nil"/>
        </w:pBdr>
        <w:ind w:left="851" w:hanging="425"/>
        <w:rPr>
          <w:rFonts w:asciiTheme="minorHAnsi" w:hAnsiTheme="minorHAnsi"/>
          <w:color w:val="000000"/>
        </w:rPr>
      </w:pPr>
      <w:r w:rsidRPr="007848A3">
        <w:rPr>
          <w:rFonts w:asciiTheme="minorHAnsi" w:hAnsiTheme="minorHAnsi"/>
          <w:color w:val="000000"/>
        </w:rPr>
        <w:t xml:space="preserve">a) </w:t>
      </w:r>
      <w:r w:rsidRPr="007848A3">
        <w:rPr>
          <w:rFonts w:asciiTheme="minorHAnsi" w:hAnsiTheme="minorHAnsi"/>
          <w:color w:val="000000"/>
        </w:rPr>
        <w:tab/>
        <w:t>Normes minimales pour un système de surveillance électronique, telles que :</w:t>
      </w:r>
    </w:p>
    <w:p w14:paraId="741FEC43" w14:textId="2A017606" w:rsidR="0079766A" w:rsidRPr="007848A3" w:rsidRDefault="0079766A" w:rsidP="0079766A">
      <w:pPr>
        <w:pBdr>
          <w:top w:val="nil"/>
          <w:left w:val="nil"/>
          <w:bottom w:val="nil"/>
          <w:right w:val="nil"/>
          <w:between w:val="nil"/>
        </w:pBdr>
        <w:ind w:left="1276" w:hanging="425"/>
        <w:rPr>
          <w:rFonts w:asciiTheme="minorHAnsi" w:hAnsiTheme="minorHAnsi"/>
          <w:color w:val="000000"/>
        </w:rPr>
      </w:pPr>
      <w:r w:rsidRPr="007848A3">
        <w:rPr>
          <w:rFonts w:asciiTheme="minorHAnsi" w:hAnsiTheme="minorHAnsi"/>
          <w:color w:val="000000"/>
        </w:rPr>
        <w:t xml:space="preserve">(i) </w:t>
      </w:r>
      <w:r w:rsidRPr="007848A3">
        <w:rPr>
          <w:rFonts w:asciiTheme="minorHAnsi" w:hAnsiTheme="minorHAnsi"/>
          <w:color w:val="000000"/>
        </w:rPr>
        <w:tab/>
      </w:r>
      <w:r w:rsidR="00082CB7" w:rsidRPr="007848A3">
        <w:rPr>
          <w:rFonts w:asciiTheme="minorHAnsi" w:hAnsiTheme="minorHAnsi"/>
          <w:color w:val="000000"/>
        </w:rPr>
        <w:t>s</w:t>
      </w:r>
      <w:r w:rsidRPr="007848A3">
        <w:rPr>
          <w:rFonts w:asciiTheme="minorHAnsi" w:hAnsiTheme="minorHAnsi"/>
          <w:color w:val="000000"/>
        </w:rPr>
        <w:t>pécification</w:t>
      </w:r>
      <w:r w:rsidR="00981C18" w:rsidRPr="007848A3">
        <w:rPr>
          <w:rFonts w:asciiTheme="minorHAnsi" w:hAnsiTheme="minorHAnsi"/>
          <w:color w:val="000000"/>
        </w:rPr>
        <w:t>s</w:t>
      </w:r>
      <w:r w:rsidRPr="007848A3">
        <w:rPr>
          <w:rFonts w:asciiTheme="minorHAnsi" w:hAnsiTheme="minorHAnsi"/>
          <w:color w:val="000000"/>
        </w:rPr>
        <w:t xml:space="preserve"> minimale</w:t>
      </w:r>
      <w:r w:rsidR="00981C18" w:rsidRPr="007848A3">
        <w:rPr>
          <w:rFonts w:asciiTheme="minorHAnsi" w:hAnsiTheme="minorHAnsi"/>
          <w:color w:val="000000"/>
        </w:rPr>
        <w:t>s</w:t>
      </w:r>
      <w:r w:rsidRPr="007848A3">
        <w:rPr>
          <w:rFonts w:asciiTheme="minorHAnsi" w:hAnsiTheme="minorHAnsi"/>
          <w:color w:val="000000"/>
        </w:rPr>
        <w:t xml:space="preserve"> du matériel d’enregistrement (p.ex. résolution, capacité de la durée d’enregistrement, type de stockage des données, protection des données)</w:t>
      </w:r>
      <w:r w:rsidR="00082CB7" w:rsidRPr="007848A3">
        <w:rPr>
          <w:rFonts w:asciiTheme="minorHAnsi" w:hAnsiTheme="minorHAnsi"/>
          <w:color w:val="000000"/>
        </w:rPr>
        <w:t> ;</w:t>
      </w:r>
    </w:p>
    <w:p w14:paraId="07B7CC77" w14:textId="1702D773" w:rsidR="0079766A" w:rsidRPr="007848A3" w:rsidRDefault="0079766A" w:rsidP="0079766A">
      <w:pPr>
        <w:pBdr>
          <w:top w:val="nil"/>
          <w:left w:val="nil"/>
          <w:bottom w:val="nil"/>
          <w:right w:val="nil"/>
          <w:between w:val="nil"/>
        </w:pBdr>
        <w:ind w:left="1276" w:hanging="425"/>
        <w:rPr>
          <w:rFonts w:asciiTheme="minorHAnsi" w:hAnsiTheme="minorHAnsi"/>
          <w:color w:val="000000"/>
        </w:rPr>
      </w:pPr>
      <w:r w:rsidRPr="007848A3">
        <w:rPr>
          <w:rFonts w:asciiTheme="minorHAnsi" w:hAnsiTheme="minorHAnsi"/>
          <w:color w:val="000000"/>
        </w:rPr>
        <w:t xml:space="preserve">(ii) </w:t>
      </w:r>
      <w:r w:rsidRPr="007848A3">
        <w:rPr>
          <w:rFonts w:asciiTheme="minorHAnsi" w:hAnsiTheme="minorHAnsi"/>
          <w:color w:val="000000"/>
        </w:rPr>
        <w:tab/>
      </w:r>
      <w:r w:rsidR="00082CB7" w:rsidRPr="007848A3">
        <w:rPr>
          <w:rFonts w:asciiTheme="minorHAnsi" w:hAnsiTheme="minorHAnsi"/>
          <w:color w:val="000000"/>
        </w:rPr>
        <w:t>n</w:t>
      </w:r>
      <w:r w:rsidRPr="007848A3">
        <w:rPr>
          <w:rFonts w:asciiTheme="minorHAnsi" w:hAnsiTheme="minorHAnsi"/>
          <w:color w:val="000000"/>
        </w:rPr>
        <w:t xml:space="preserve">ombre de caméras à installer et leur emplacement à bord. </w:t>
      </w:r>
    </w:p>
    <w:p w14:paraId="312BAA1A" w14:textId="77777777" w:rsidR="0079766A" w:rsidRPr="007848A3" w:rsidRDefault="0079766A" w:rsidP="0079766A">
      <w:pPr>
        <w:pBdr>
          <w:top w:val="nil"/>
          <w:left w:val="nil"/>
          <w:bottom w:val="nil"/>
          <w:right w:val="nil"/>
          <w:between w:val="nil"/>
        </w:pBdr>
        <w:ind w:left="426" w:hanging="426"/>
        <w:rPr>
          <w:rFonts w:asciiTheme="minorHAnsi" w:hAnsiTheme="minorHAnsi"/>
          <w:color w:val="000000"/>
        </w:rPr>
      </w:pPr>
    </w:p>
    <w:p w14:paraId="73297C1D" w14:textId="31BD7DF3" w:rsidR="0079766A" w:rsidRPr="007848A3" w:rsidRDefault="0079766A" w:rsidP="0079766A">
      <w:pPr>
        <w:pBdr>
          <w:top w:val="nil"/>
          <w:left w:val="nil"/>
          <w:bottom w:val="nil"/>
          <w:right w:val="nil"/>
          <w:between w:val="nil"/>
        </w:pBdr>
        <w:ind w:left="851" w:hanging="425"/>
        <w:rPr>
          <w:rFonts w:asciiTheme="minorHAnsi" w:hAnsiTheme="minorHAnsi"/>
          <w:color w:val="000000"/>
        </w:rPr>
      </w:pPr>
      <w:r w:rsidRPr="007848A3">
        <w:rPr>
          <w:rFonts w:asciiTheme="minorHAnsi" w:hAnsiTheme="minorHAnsi"/>
          <w:color w:val="000000"/>
        </w:rPr>
        <w:t xml:space="preserve">b) </w:t>
      </w:r>
      <w:r w:rsidRPr="007848A3">
        <w:rPr>
          <w:rFonts w:asciiTheme="minorHAnsi" w:hAnsiTheme="minorHAnsi"/>
          <w:color w:val="000000"/>
        </w:rPr>
        <w:tab/>
        <w:t xml:space="preserve">Éléments à enregistrer. </w:t>
      </w:r>
    </w:p>
    <w:p w14:paraId="198B481E" w14:textId="559BFFCC" w:rsidR="0079766A" w:rsidRPr="007848A3" w:rsidRDefault="0079766A" w:rsidP="0079766A">
      <w:pPr>
        <w:pBdr>
          <w:top w:val="nil"/>
          <w:left w:val="nil"/>
          <w:bottom w:val="nil"/>
          <w:right w:val="nil"/>
          <w:between w:val="nil"/>
        </w:pBdr>
        <w:ind w:left="851" w:hanging="425"/>
        <w:rPr>
          <w:rFonts w:asciiTheme="minorHAnsi" w:hAnsiTheme="minorHAnsi"/>
          <w:color w:val="000000"/>
        </w:rPr>
      </w:pPr>
      <w:r w:rsidRPr="007848A3">
        <w:rPr>
          <w:rFonts w:asciiTheme="minorHAnsi" w:hAnsiTheme="minorHAnsi"/>
          <w:color w:val="000000"/>
        </w:rPr>
        <w:t xml:space="preserve">c) </w:t>
      </w:r>
      <w:r w:rsidRPr="007848A3">
        <w:rPr>
          <w:rFonts w:asciiTheme="minorHAnsi" w:hAnsiTheme="minorHAnsi"/>
          <w:color w:val="000000"/>
        </w:rPr>
        <w:tab/>
        <w:t>Normes d'analyse des données, par exemple, conversion des enregistrements vidéo en données exploitables par l'intelligence artificielle</w:t>
      </w:r>
      <w:r w:rsidR="00981C18" w:rsidRPr="007848A3">
        <w:rPr>
          <w:rFonts w:asciiTheme="minorHAnsi" w:hAnsiTheme="minorHAnsi"/>
          <w:color w:val="000000"/>
        </w:rPr>
        <w:t>.</w:t>
      </w:r>
    </w:p>
    <w:p w14:paraId="0F5A69D0" w14:textId="0089DBCF" w:rsidR="0079766A" w:rsidRPr="007848A3" w:rsidRDefault="0079766A" w:rsidP="0079766A">
      <w:pPr>
        <w:pBdr>
          <w:top w:val="nil"/>
          <w:left w:val="nil"/>
          <w:bottom w:val="nil"/>
          <w:right w:val="nil"/>
          <w:between w:val="nil"/>
        </w:pBdr>
        <w:ind w:left="851" w:hanging="425"/>
        <w:rPr>
          <w:rFonts w:asciiTheme="minorHAnsi" w:hAnsiTheme="minorHAnsi"/>
          <w:color w:val="000000"/>
        </w:rPr>
      </w:pPr>
      <w:r w:rsidRPr="007848A3">
        <w:rPr>
          <w:rFonts w:asciiTheme="minorHAnsi" w:hAnsiTheme="minorHAnsi"/>
          <w:color w:val="000000"/>
        </w:rPr>
        <w:t xml:space="preserve">d) </w:t>
      </w:r>
      <w:r w:rsidRPr="007848A3">
        <w:rPr>
          <w:rFonts w:asciiTheme="minorHAnsi" w:hAnsiTheme="minorHAnsi"/>
          <w:color w:val="000000"/>
        </w:rPr>
        <w:tab/>
        <w:t xml:space="preserve">Données à analyser, par exemple, espèces, longueur, poids estimé, détails des opérations de pêche. </w:t>
      </w:r>
    </w:p>
    <w:p w14:paraId="2B1FDFD7" w14:textId="30135D57" w:rsidR="0079766A" w:rsidRPr="007848A3" w:rsidRDefault="0079766A" w:rsidP="00067E78">
      <w:pPr>
        <w:pBdr>
          <w:top w:val="nil"/>
          <w:left w:val="nil"/>
          <w:bottom w:val="nil"/>
          <w:right w:val="nil"/>
          <w:between w:val="nil"/>
        </w:pBdr>
        <w:ind w:left="851" w:hanging="425"/>
        <w:rPr>
          <w:rFonts w:asciiTheme="minorHAnsi" w:hAnsiTheme="minorHAnsi"/>
          <w:color w:val="000000"/>
        </w:rPr>
      </w:pPr>
      <w:r w:rsidRPr="007848A3">
        <w:rPr>
          <w:rFonts w:asciiTheme="minorHAnsi" w:hAnsiTheme="minorHAnsi"/>
          <w:color w:val="000000"/>
        </w:rPr>
        <w:t xml:space="preserve">e) </w:t>
      </w:r>
      <w:r w:rsidRPr="007848A3">
        <w:rPr>
          <w:rFonts w:asciiTheme="minorHAnsi" w:hAnsiTheme="minorHAnsi"/>
          <w:color w:val="000000"/>
        </w:rPr>
        <w:tab/>
        <w:t xml:space="preserve">Format de déclaration au Secrétariat. </w:t>
      </w:r>
    </w:p>
    <w:p w14:paraId="71F0AB78" w14:textId="77777777" w:rsidR="0077527A" w:rsidRPr="007848A3" w:rsidRDefault="0077527A" w:rsidP="00067E78">
      <w:pPr>
        <w:pBdr>
          <w:top w:val="nil"/>
          <w:left w:val="nil"/>
          <w:bottom w:val="nil"/>
          <w:right w:val="nil"/>
          <w:between w:val="nil"/>
        </w:pBdr>
        <w:ind w:left="851" w:hanging="425"/>
        <w:rPr>
          <w:rFonts w:asciiTheme="minorHAnsi" w:hAnsiTheme="minorHAnsi"/>
          <w:color w:val="000000"/>
        </w:rPr>
      </w:pPr>
    </w:p>
    <w:p w14:paraId="5E14893E" w14:textId="01E157E8" w:rsidR="0079766A" w:rsidRPr="007848A3" w:rsidRDefault="0079766A" w:rsidP="0079766A">
      <w:pPr>
        <w:pBdr>
          <w:top w:val="nil"/>
          <w:left w:val="nil"/>
          <w:bottom w:val="nil"/>
          <w:right w:val="nil"/>
          <w:between w:val="nil"/>
        </w:pBdr>
        <w:ind w:left="426"/>
        <w:rPr>
          <w:rFonts w:asciiTheme="minorHAnsi" w:hAnsiTheme="minorHAnsi"/>
          <w:color w:val="000000"/>
        </w:rPr>
      </w:pPr>
      <w:r w:rsidRPr="007848A3">
        <w:rPr>
          <w:rFonts w:asciiTheme="minorHAnsi" w:hAnsiTheme="minorHAnsi"/>
          <w:color w:val="000000"/>
        </w:rPr>
        <w:t xml:space="preserve">Les CPC sont encouragées à mener en 2020 des essais de surveillance électronique et à communiquer les résultats au </w:t>
      </w:r>
      <w:r w:rsidR="0077527A" w:rsidRPr="007848A3">
        <w:rPr>
          <w:rFonts w:asciiTheme="minorHAnsi" w:hAnsiTheme="minorHAnsi"/>
          <w:color w:val="000000"/>
        </w:rPr>
        <w:t>PWG</w:t>
      </w:r>
      <w:r w:rsidRPr="007848A3">
        <w:rPr>
          <w:rFonts w:asciiTheme="minorHAnsi" w:hAnsiTheme="minorHAnsi"/>
          <w:color w:val="000000"/>
        </w:rPr>
        <w:t xml:space="preserve"> et au SCRS en 2021 pour examen.</w:t>
      </w:r>
    </w:p>
    <w:p w14:paraId="7DE9F69A" w14:textId="3708D630" w:rsidR="0079766A" w:rsidRPr="007848A3" w:rsidRDefault="00981C18" w:rsidP="0079766A">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21</w:t>
      </w:r>
      <w:r w:rsidR="0079766A" w:rsidRPr="007848A3">
        <w:rPr>
          <w:rFonts w:asciiTheme="minorHAnsi" w:hAnsiTheme="minorHAnsi"/>
          <w:color w:val="000000"/>
        </w:rPr>
        <w:t>.</w:t>
      </w:r>
      <w:r w:rsidR="0079766A" w:rsidRPr="007848A3">
        <w:rPr>
          <w:rFonts w:asciiTheme="minorHAnsi" w:hAnsiTheme="minorHAnsi"/>
          <w:color w:val="000000"/>
        </w:rPr>
        <w:tab/>
        <w:t xml:space="preserve">Le SCRS devra, en collaboration avec les CPC, étudier les changements techniques potentiels à l'engin terminal (tels que la forme de l'hameçon, la taille de l'hameçon, le type de bas de ligne, etc.) et les pratiques de pêche (par exemple, le moment, le temps d’immersion, les appâts, les profondeurs, les zones) qui pourraient réduire les prises accessoires et la mortalité </w:t>
      </w:r>
      <w:r w:rsidRPr="007848A3">
        <w:rPr>
          <w:rFonts w:asciiTheme="minorHAnsi" w:hAnsiTheme="minorHAnsi"/>
          <w:color w:val="000000"/>
        </w:rPr>
        <w:t>de celles-ci</w:t>
      </w:r>
      <w:r w:rsidR="0079766A" w:rsidRPr="007848A3">
        <w:rPr>
          <w:rFonts w:asciiTheme="minorHAnsi" w:hAnsiTheme="minorHAnsi"/>
          <w:color w:val="000000"/>
        </w:rPr>
        <w:t xml:space="preserve"> (à bord du navire et après la remise à l'eau). Dans le cadre de ce processus, le SCRS, en collaboration avec les CPC, devra concevoir et mettre en œuvre une </w:t>
      </w:r>
      <w:r w:rsidRPr="007848A3">
        <w:rPr>
          <w:rFonts w:asciiTheme="minorHAnsi" w:hAnsiTheme="minorHAnsi"/>
          <w:color w:val="000000"/>
        </w:rPr>
        <w:t xml:space="preserve">ou plusieurs </w:t>
      </w:r>
      <w:r w:rsidR="0079766A" w:rsidRPr="007848A3">
        <w:rPr>
          <w:rFonts w:asciiTheme="minorHAnsi" w:hAnsiTheme="minorHAnsi"/>
          <w:color w:val="000000"/>
        </w:rPr>
        <w:t xml:space="preserve">études pour comparer les effets de la forme et de la taille des hameçons sur les taux de capture (en tenant compte à la fois des taux d'hameçonnage et de rétention), la mortalité à la remontée et la mortalité après </w:t>
      </w:r>
      <w:r w:rsidR="00AF4607" w:rsidRPr="007848A3">
        <w:rPr>
          <w:rFonts w:asciiTheme="minorHAnsi" w:hAnsiTheme="minorHAnsi"/>
          <w:color w:val="000000"/>
        </w:rPr>
        <w:t xml:space="preserve">la </w:t>
      </w:r>
      <w:r w:rsidR="0079766A" w:rsidRPr="007848A3">
        <w:rPr>
          <w:rFonts w:asciiTheme="minorHAnsi" w:hAnsiTheme="minorHAnsi"/>
          <w:color w:val="000000"/>
        </w:rPr>
        <w:t>remise à l’eau. La conception expérimentale devrait tenir compte de l'influence des types de matériaux de la ligne de bas et tenir compte des différences opérationnelles potentielles entre les régions et les flottilles.</w:t>
      </w:r>
    </w:p>
    <w:p w14:paraId="13A67B71" w14:textId="77777777" w:rsidR="0079766A" w:rsidRPr="007848A3" w:rsidRDefault="0079766A" w:rsidP="0079766A">
      <w:pPr>
        <w:pBdr>
          <w:top w:val="nil"/>
          <w:left w:val="nil"/>
          <w:bottom w:val="nil"/>
          <w:right w:val="nil"/>
          <w:between w:val="nil"/>
        </w:pBdr>
        <w:ind w:left="426" w:hanging="426"/>
        <w:rPr>
          <w:rFonts w:asciiTheme="minorHAnsi" w:hAnsiTheme="minorHAnsi"/>
          <w:color w:val="000000"/>
        </w:rPr>
      </w:pPr>
    </w:p>
    <w:p w14:paraId="4A6EC8A0" w14:textId="575F8E58" w:rsidR="0079766A" w:rsidRPr="007848A3" w:rsidRDefault="00981C18" w:rsidP="0079766A">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22</w:t>
      </w:r>
      <w:r w:rsidR="0079766A" w:rsidRPr="007848A3">
        <w:rPr>
          <w:rFonts w:asciiTheme="minorHAnsi" w:hAnsiTheme="minorHAnsi"/>
          <w:color w:val="000000"/>
        </w:rPr>
        <w:t>.</w:t>
      </w:r>
      <w:r w:rsidR="0079766A" w:rsidRPr="007848A3">
        <w:rPr>
          <w:rFonts w:asciiTheme="minorHAnsi" w:hAnsiTheme="minorHAnsi"/>
          <w:color w:val="000000"/>
        </w:rPr>
        <w:tab/>
        <w:t xml:space="preserve">Le SCRS devra effectuer des évaluations du makaire bleu en 2024 et du makaire blanc/makaire épée en 2025.  </w:t>
      </w:r>
    </w:p>
    <w:p w14:paraId="54622324" w14:textId="77777777" w:rsidR="00642F10" w:rsidRPr="007848A3" w:rsidRDefault="00642F10" w:rsidP="00642F10">
      <w:pPr>
        <w:pBdr>
          <w:top w:val="nil"/>
          <w:left w:val="nil"/>
          <w:bottom w:val="nil"/>
          <w:right w:val="nil"/>
          <w:between w:val="nil"/>
        </w:pBdr>
        <w:ind w:left="426" w:hanging="426"/>
        <w:rPr>
          <w:rFonts w:asciiTheme="minorHAnsi" w:hAnsiTheme="minorHAnsi"/>
          <w:color w:val="000000"/>
        </w:rPr>
      </w:pPr>
    </w:p>
    <w:p w14:paraId="46872766" w14:textId="75EEE474" w:rsidR="004B18CD" w:rsidRPr="007848A3" w:rsidRDefault="0079766A" w:rsidP="00642F10">
      <w:pPr>
        <w:pBdr>
          <w:top w:val="nil"/>
          <w:left w:val="nil"/>
          <w:bottom w:val="nil"/>
          <w:right w:val="nil"/>
          <w:between w:val="nil"/>
        </w:pBdr>
        <w:ind w:left="426" w:hanging="426"/>
        <w:rPr>
          <w:rFonts w:asciiTheme="minorHAnsi" w:hAnsiTheme="minorHAnsi"/>
          <w:b/>
          <w:bCs/>
          <w:color w:val="000000"/>
        </w:rPr>
      </w:pPr>
      <w:r w:rsidRPr="007848A3">
        <w:rPr>
          <w:rFonts w:asciiTheme="minorHAnsi" w:hAnsiTheme="minorHAnsi"/>
          <w:b/>
          <w:bCs/>
          <w:color w:val="000000"/>
        </w:rPr>
        <w:t>Application</w:t>
      </w:r>
      <w:r w:rsidR="00F37A49" w:rsidRPr="007848A3">
        <w:rPr>
          <w:rFonts w:asciiTheme="minorHAnsi" w:hAnsiTheme="minorHAnsi"/>
          <w:b/>
          <w:bCs/>
          <w:color w:val="000000"/>
        </w:rPr>
        <w:t xml:space="preserve"> </w:t>
      </w:r>
    </w:p>
    <w:p w14:paraId="0EECEA16" w14:textId="77777777" w:rsidR="0079766A" w:rsidRPr="007848A3" w:rsidRDefault="0079766A" w:rsidP="00642F10">
      <w:pPr>
        <w:pBdr>
          <w:top w:val="nil"/>
          <w:left w:val="nil"/>
          <w:bottom w:val="nil"/>
          <w:right w:val="nil"/>
          <w:between w:val="nil"/>
        </w:pBdr>
        <w:ind w:left="426" w:hanging="426"/>
        <w:rPr>
          <w:rFonts w:asciiTheme="minorHAnsi" w:hAnsiTheme="minorHAnsi"/>
          <w:color w:val="000000"/>
        </w:rPr>
      </w:pPr>
    </w:p>
    <w:p w14:paraId="49FF45F3" w14:textId="0892D00A" w:rsidR="004B18CD" w:rsidRPr="007848A3" w:rsidRDefault="00981C18" w:rsidP="00642F10">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23</w:t>
      </w:r>
      <w:r w:rsidR="00F37A49" w:rsidRPr="007848A3">
        <w:rPr>
          <w:rFonts w:asciiTheme="minorHAnsi" w:hAnsiTheme="minorHAnsi"/>
          <w:color w:val="000000"/>
        </w:rPr>
        <w:t>.</w:t>
      </w:r>
      <w:r w:rsidR="00642F10" w:rsidRPr="007848A3">
        <w:rPr>
          <w:rFonts w:asciiTheme="minorHAnsi" w:hAnsiTheme="minorHAnsi"/>
          <w:color w:val="000000"/>
        </w:rPr>
        <w:t xml:space="preserve"> </w:t>
      </w:r>
      <w:r w:rsidR="00F37A49" w:rsidRPr="007848A3">
        <w:rPr>
          <w:rFonts w:asciiTheme="minorHAnsi" w:hAnsiTheme="minorHAnsi"/>
          <w:color w:val="000000"/>
        </w:rPr>
        <w:tab/>
        <w:t xml:space="preserve">Conformément à la </w:t>
      </w:r>
      <w:r w:rsidR="00F37A49" w:rsidRPr="007848A3">
        <w:rPr>
          <w:rFonts w:asciiTheme="minorHAnsi" w:hAnsiTheme="minorHAnsi"/>
          <w:i/>
          <w:iCs/>
          <w:color w:val="000000"/>
        </w:rPr>
        <w:t>Recommandation de l’ICCAT en vue d’améliorer l’examen de l’application des mesures de conservation et de gestion s’appliquant aux istiophoridés capturés dans la zone de la Convention de l’ICCAT</w:t>
      </w:r>
      <w:r w:rsidR="00F37A49" w:rsidRPr="007848A3">
        <w:rPr>
          <w:rFonts w:asciiTheme="minorHAnsi" w:hAnsiTheme="minorHAnsi"/>
          <w:color w:val="000000"/>
        </w:rPr>
        <w:t xml:space="preserve"> (Rec. 18-05), les CPC devront fournir des détails sur la mise en œuvre de cette mesure par le biais de lois ou de réglementations nationales, y compris des mesures de suivi,</w:t>
      </w:r>
      <w:r w:rsidR="00642F10" w:rsidRPr="007848A3">
        <w:rPr>
          <w:rFonts w:asciiTheme="minorHAnsi" w:hAnsiTheme="minorHAnsi"/>
          <w:color w:val="000000"/>
        </w:rPr>
        <w:t xml:space="preserve"> </w:t>
      </w:r>
      <w:r w:rsidR="00F37A49" w:rsidRPr="007848A3">
        <w:rPr>
          <w:rFonts w:asciiTheme="minorHAnsi" w:hAnsiTheme="minorHAnsi"/>
          <w:color w:val="000000"/>
        </w:rPr>
        <w:t xml:space="preserve">de contrôle et de surveillance, et </w:t>
      </w:r>
      <w:r w:rsidR="00537024" w:rsidRPr="007848A3">
        <w:rPr>
          <w:rFonts w:asciiTheme="minorHAnsi" w:hAnsiTheme="minorHAnsi"/>
          <w:color w:val="000000"/>
        </w:rPr>
        <w:t xml:space="preserve">sur </w:t>
      </w:r>
      <w:r w:rsidR="00F37A49" w:rsidRPr="007848A3">
        <w:rPr>
          <w:rFonts w:asciiTheme="minorHAnsi" w:hAnsiTheme="minorHAnsi"/>
          <w:color w:val="000000"/>
        </w:rPr>
        <w:t>leur application de cette mesure au moyen de la feuille de contrôle des mesures s’appliquant aux istiophoridés.</w:t>
      </w:r>
    </w:p>
    <w:p w14:paraId="612B6992" w14:textId="77777777" w:rsidR="004B18CD" w:rsidRPr="007848A3" w:rsidRDefault="004B18CD" w:rsidP="00642F10">
      <w:pPr>
        <w:pBdr>
          <w:top w:val="nil"/>
          <w:left w:val="nil"/>
          <w:bottom w:val="nil"/>
          <w:right w:val="nil"/>
          <w:between w:val="nil"/>
        </w:pBdr>
        <w:ind w:left="426" w:hanging="426"/>
        <w:rPr>
          <w:rFonts w:asciiTheme="minorHAnsi" w:hAnsiTheme="minorHAnsi"/>
          <w:color w:val="000000"/>
        </w:rPr>
      </w:pPr>
    </w:p>
    <w:p w14:paraId="2C07FCB4" w14:textId="7C4B21F8" w:rsidR="0079766A" w:rsidRPr="007848A3" w:rsidRDefault="00981C18" w:rsidP="0079766A">
      <w:pPr>
        <w:pBdr>
          <w:top w:val="nil"/>
          <w:left w:val="nil"/>
          <w:bottom w:val="nil"/>
          <w:right w:val="nil"/>
          <w:between w:val="nil"/>
        </w:pBdr>
        <w:ind w:right="260"/>
        <w:rPr>
          <w:rFonts w:asciiTheme="minorHAnsi" w:hAnsiTheme="minorHAnsi"/>
          <w:b/>
          <w:color w:val="000000"/>
        </w:rPr>
      </w:pPr>
      <w:r w:rsidRPr="007848A3">
        <w:rPr>
          <w:rFonts w:asciiTheme="minorHAnsi" w:hAnsiTheme="minorHAnsi"/>
          <w:b/>
          <w:color w:val="000000"/>
        </w:rPr>
        <w:t>Annulations</w:t>
      </w:r>
      <w:r w:rsidR="0079766A" w:rsidRPr="007848A3">
        <w:rPr>
          <w:rFonts w:asciiTheme="minorHAnsi" w:hAnsiTheme="minorHAnsi"/>
          <w:b/>
          <w:color w:val="000000"/>
        </w:rPr>
        <w:t xml:space="preserve"> et clause de révision</w:t>
      </w:r>
    </w:p>
    <w:p w14:paraId="4976563D" w14:textId="77777777" w:rsidR="0079766A" w:rsidRPr="007848A3" w:rsidRDefault="0079766A" w:rsidP="0079766A">
      <w:pPr>
        <w:pBdr>
          <w:top w:val="nil"/>
          <w:left w:val="nil"/>
          <w:bottom w:val="nil"/>
          <w:right w:val="nil"/>
          <w:between w:val="nil"/>
        </w:pBdr>
        <w:ind w:right="260"/>
        <w:rPr>
          <w:rFonts w:asciiTheme="minorHAnsi" w:hAnsiTheme="minorHAnsi"/>
          <w:b/>
          <w:color w:val="000000"/>
        </w:rPr>
      </w:pPr>
    </w:p>
    <w:p w14:paraId="5BD73BA0" w14:textId="4A04F7D4" w:rsidR="0079766A" w:rsidRPr="007848A3" w:rsidRDefault="00981C18" w:rsidP="0079766A">
      <w:pPr>
        <w:pBdr>
          <w:top w:val="nil"/>
          <w:left w:val="nil"/>
          <w:bottom w:val="nil"/>
          <w:right w:val="nil"/>
          <w:between w:val="nil"/>
        </w:pBdr>
        <w:ind w:left="426" w:hanging="426"/>
        <w:rPr>
          <w:rFonts w:asciiTheme="minorHAnsi" w:hAnsiTheme="minorHAnsi"/>
          <w:bCs/>
          <w:color w:val="000000"/>
        </w:rPr>
      </w:pPr>
      <w:r w:rsidRPr="007848A3">
        <w:rPr>
          <w:rFonts w:asciiTheme="minorHAnsi" w:hAnsiTheme="minorHAnsi"/>
          <w:bCs/>
          <w:color w:val="000000"/>
        </w:rPr>
        <w:t>24</w:t>
      </w:r>
      <w:r w:rsidR="0079766A" w:rsidRPr="007848A3">
        <w:rPr>
          <w:rFonts w:asciiTheme="minorHAnsi" w:hAnsiTheme="minorHAnsi"/>
          <w:bCs/>
          <w:color w:val="000000"/>
        </w:rPr>
        <w:t>.</w:t>
      </w:r>
      <w:r w:rsidR="0079766A" w:rsidRPr="007848A3">
        <w:rPr>
          <w:rFonts w:asciiTheme="minorHAnsi" w:hAnsiTheme="minorHAnsi"/>
          <w:bCs/>
          <w:color w:val="000000"/>
        </w:rPr>
        <w:tab/>
        <w:t xml:space="preserve">En 2022, la Commission devra examiner tout nouvel avis scientifique du SCRS et envisager des ajustements, tels que l'adoption de mesures de conservation et de gestion supplémentaires ou la révision des limites de débarquement, selon le cas. </w:t>
      </w:r>
    </w:p>
    <w:p w14:paraId="783989EC" w14:textId="77777777" w:rsidR="004B18CD" w:rsidRPr="007848A3" w:rsidRDefault="004B18CD">
      <w:pPr>
        <w:pBdr>
          <w:top w:val="nil"/>
          <w:left w:val="nil"/>
          <w:bottom w:val="nil"/>
          <w:right w:val="nil"/>
          <w:between w:val="nil"/>
        </w:pBdr>
        <w:ind w:right="260"/>
        <w:rPr>
          <w:rFonts w:asciiTheme="minorHAnsi" w:hAnsiTheme="minorHAnsi"/>
          <w:color w:val="000000"/>
        </w:rPr>
      </w:pPr>
    </w:p>
    <w:p w14:paraId="526D233C" w14:textId="6EA44D77" w:rsidR="004B18CD" w:rsidRPr="007848A3" w:rsidRDefault="00981C18" w:rsidP="00642F10">
      <w:pPr>
        <w:pBdr>
          <w:top w:val="nil"/>
          <w:left w:val="nil"/>
          <w:bottom w:val="nil"/>
          <w:right w:val="nil"/>
          <w:between w:val="nil"/>
        </w:pBdr>
        <w:ind w:left="426" w:hanging="426"/>
        <w:rPr>
          <w:rFonts w:asciiTheme="minorHAnsi" w:hAnsiTheme="minorHAnsi"/>
          <w:color w:val="000000"/>
        </w:rPr>
      </w:pPr>
      <w:r w:rsidRPr="007848A3">
        <w:rPr>
          <w:rFonts w:asciiTheme="minorHAnsi" w:hAnsiTheme="minorHAnsi"/>
          <w:color w:val="000000"/>
        </w:rPr>
        <w:t>25</w:t>
      </w:r>
      <w:r w:rsidR="00F37A49" w:rsidRPr="007848A3">
        <w:rPr>
          <w:rFonts w:asciiTheme="minorHAnsi" w:hAnsiTheme="minorHAnsi"/>
        </w:rPr>
        <w:t>.</w:t>
      </w:r>
      <w:r w:rsidR="00642F10" w:rsidRPr="007848A3">
        <w:rPr>
          <w:rFonts w:asciiTheme="minorHAnsi" w:hAnsiTheme="minorHAnsi"/>
          <w:color w:val="000000"/>
        </w:rPr>
        <w:t xml:space="preserve"> </w:t>
      </w:r>
      <w:r w:rsidR="00F37A49" w:rsidRPr="007848A3">
        <w:rPr>
          <w:rFonts w:asciiTheme="minorHAnsi" w:hAnsiTheme="minorHAnsi"/>
          <w:color w:val="000000"/>
        </w:rPr>
        <w:tab/>
      </w:r>
      <w:r w:rsidR="00F37A49" w:rsidRPr="007848A3">
        <w:rPr>
          <w:rFonts w:asciiTheme="minorHAnsi" w:hAnsiTheme="minorHAnsi"/>
        </w:rPr>
        <w:t xml:space="preserve">La présente Recommandation </w:t>
      </w:r>
      <w:r w:rsidRPr="007848A3">
        <w:rPr>
          <w:rFonts w:asciiTheme="minorHAnsi" w:hAnsiTheme="minorHAnsi"/>
        </w:rPr>
        <w:t>annule</w:t>
      </w:r>
      <w:r w:rsidR="00F37A49" w:rsidRPr="007848A3">
        <w:rPr>
          <w:rFonts w:asciiTheme="minorHAnsi" w:hAnsiTheme="minorHAnsi"/>
        </w:rPr>
        <w:t xml:space="preserve"> et remplace la </w:t>
      </w:r>
      <w:r w:rsidR="00F37A49" w:rsidRPr="007848A3">
        <w:rPr>
          <w:rFonts w:asciiTheme="minorHAnsi" w:hAnsiTheme="minorHAnsi"/>
          <w:i/>
          <w:iCs/>
        </w:rPr>
        <w:t>Recommandation de l’ICCAT remplaçant la Recommandation 15-05 visant à renforcer davantage le plan de rétablissement des stocks de makaire bleu et de makaire blanc</w:t>
      </w:r>
      <w:r w:rsidR="00F37A49" w:rsidRPr="007848A3">
        <w:rPr>
          <w:rFonts w:asciiTheme="minorHAnsi" w:hAnsiTheme="minorHAnsi"/>
        </w:rPr>
        <w:t xml:space="preserve"> (Rec. 18-04).</w:t>
      </w:r>
    </w:p>
    <w:p w14:paraId="3FEDA26B" w14:textId="7AF1E534" w:rsidR="0079766A" w:rsidRPr="007848A3" w:rsidRDefault="0079766A">
      <w:pPr>
        <w:rPr>
          <w:rFonts w:asciiTheme="minorHAnsi" w:hAnsiTheme="minorHAnsi"/>
          <w:color w:val="000000"/>
        </w:rPr>
      </w:pPr>
      <w:r w:rsidRPr="007848A3">
        <w:rPr>
          <w:rFonts w:asciiTheme="minorHAnsi" w:hAnsiTheme="minorHAnsi"/>
          <w:color w:val="000000"/>
        </w:rPr>
        <w:br w:type="page"/>
      </w:r>
    </w:p>
    <w:p w14:paraId="283EF451" w14:textId="24C2877F" w:rsidR="0079766A" w:rsidRPr="007848A3" w:rsidRDefault="0079766A" w:rsidP="00904C95">
      <w:pPr>
        <w:spacing w:line="242" w:lineRule="auto"/>
        <w:ind w:right="129"/>
        <w:jc w:val="right"/>
        <w:rPr>
          <w:b/>
        </w:rPr>
      </w:pPr>
      <w:r w:rsidRPr="007848A3">
        <w:rPr>
          <w:b/>
        </w:rPr>
        <w:t>A</w:t>
      </w:r>
      <w:r w:rsidR="00904C95" w:rsidRPr="007848A3">
        <w:rPr>
          <w:b/>
        </w:rPr>
        <w:t>nnexe 1</w:t>
      </w:r>
    </w:p>
    <w:p w14:paraId="122F8638" w14:textId="77777777" w:rsidR="0079766A" w:rsidRPr="007848A3" w:rsidRDefault="0079766A" w:rsidP="0079766A">
      <w:pPr>
        <w:spacing w:line="242" w:lineRule="auto"/>
        <w:ind w:right="129"/>
        <w:rPr>
          <w:b/>
        </w:rPr>
      </w:pPr>
    </w:p>
    <w:p w14:paraId="443CCE10" w14:textId="0EFE27E4" w:rsidR="0079766A" w:rsidRPr="007848A3" w:rsidRDefault="0079766A" w:rsidP="00981C18">
      <w:pPr>
        <w:spacing w:line="242" w:lineRule="auto"/>
        <w:ind w:right="129"/>
        <w:jc w:val="center"/>
        <w:rPr>
          <w:b/>
          <w:bCs/>
        </w:rPr>
      </w:pPr>
      <w:r w:rsidRPr="007848A3">
        <w:rPr>
          <w:b/>
          <w:bCs/>
        </w:rPr>
        <w:t xml:space="preserve">Normes minimales des procédures de manipulation et de remise à l'eau en toute sécurité des </w:t>
      </w:r>
      <w:r w:rsidR="00981C18" w:rsidRPr="007848A3">
        <w:rPr>
          <w:b/>
          <w:bCs/>
        </w:rPr>
        <w:t>spécimens</w:t>
      </w:r>
      <w:r w:rsidRPr="007848A3">
        <w:rPr>
          <w:b/>
          <w:bCs/>
        </w:rPr>
        <w:t xml:space="preserve"> vivants</w:t>
      </w:r>
      <w:r w:rsidRPr="007848A3">
        <w:rPr>
          <w:rStyle w:val="FootnoteReference"/>
          <w:b/>
          <w:bCs/>
        </w:rPr>
        <w:footnoteReference w:id="3"/>
      </w:r>
    </w:p>
    <w:p w14:paraId="6BBA0CBC" w14:textId="77777777" w:rsidR="0079766A" w:rsidRPr="007848A3" w:rsidRDefault="0079766A" w:rsidP="0079766A">
      <w:pPr>
        <w:spacing w:line="242" w:lineRule="auto"/>
        <w:ind w:right="129"/>
      </w:pPr>
    </w:p>
    <w:p w14:paraId="5B8768BA" w14:textId="6FA182AC" w:rsidR="0079766A" w:rsidRPr="007848A3" w:rsidRDefault="0079766A" w:rsidP="0079766A">
      <w:pPr>
        <w:spacing w:line="242" w:lineRule="auto"/>
        <w:ind w:right="129"/>
      </w:pPr>
      <w:r w:rsidRPr="007848A3">
        <w:t xml:space="preserve">Les étapes suivantes devraient être suivies pour réduire le stress et les blessures aux spécimens de makaires et de makaires épées capturés accidentellement pour </w:t>
      </w:r>
      <w:r w:rsidR="00981C18" w:rsidRPr="007848A3">
        <w:t xml:space="preserve">atteindre </w:t>
      </w:r>
      <w:r w:rsidRPr="007848A3">
        <w:t>une probabilité de survie maximale tout en minimisant le risque pour la sécurité de l'équipage. Les capitaines et les membres d'équipage devraient toujours mettre leur sécurité personnelle au premier plan lorsqu'ils remettent à l'eau des makaires et d'autres gros poissons. Ils devraient porter des gants et éviter de travailler autour du rostre en forme de lance. Ces directives de base ne remplacent pas les règles de sécurité plus strictes établies par les autorités nationales des CPC.</w:t>
      </w:r>
    </w:p>
    <w:p w14:paraId="74C99F14" w14:textId="77777777" w:rsidR="0079766A" w:rsidRPr="007848A3" w:rsidRDefault="0079766A" w:rsidP="0079766A">
      <w:pPr>
        <w:spacing w:line="242" w:lineRule="auto"/>
        <w:ind w:right="129"/>
      </w:pPr>
    </w:p>
    <w:p w14:paraId="75E8B79A" w14:textId="77777777" w:rsidR="0079766A" w:rsidRPr="007848A3" w:rsidRDefault="0079766A" w:rsidP="0079766A">
      <w:pPr>
        <w:numPr>
          <w:ilvl w:val="0"/>
          <w:numId w:val="8"/>
        </w:numPr>
        <w:spacing w:after="80" w:line="242" w:lineRule="auto"/>
        <w:ind w:left="850" w:right="130" w:hanging="425"/>
      </w:pPr>
      <w:r w:rsidRPr="007848A3">
        <w:t>Arrêter le bateau ou réduire considérablement sa vitesse.</w:t>
      </w:r>
    </w:p>
    <w:p w14:paraId="7BD87A2A" w14:textId="77777777" w:rsidR="0079766A" w:rsidRPr="007848A3" w:rsidRDefault="0079766A" w:rsidP="0079766A">
      <w:pPr>
        <w:numPr>
          <w:ilvl w:val="0"/>
          <w:numId w:val="8"/>
        </w:numPr>
        <w:spacing w:after="80" w:line="242" w:lineRule="auto"/>
        <w:ind w:left="850" w:right="130" w:hanging="425"/>
      </w:pPr>
      <w:r w:rsidRPr="007848A3">
        <w:t>Fixer l’autre bout de la ligne mère de la palangre à l'embarcation pour éviter que tout engin restant dans l'eau ne tire sur la ligne et l'animal.</w:t>
      </w:r>
    </w:p>
    <w:p w14:paraId="3AD39AC3" w14:textId="77777777" w:rsidR="0079766A" w:rsidRPr="007848A3" w:rsidRDefault="0079766A" w:rsidP="0079766A">
      <w:pPr>
        <w:numPr>
          <w:ilvl w:val="0"/>
          <w:numId w:val="8"/>
        </w:numPr>
        <w:spacing w:after="80" w:line="242" w:lineRule="auto"/>
        <w:ind w:left="850" w:right="130" w:hanging="425"/>
      </w:pPr>
      <w:r w:rsidRPr="007848A3">
        <w:t xml:space="preserve">Amener le makaire le plus près possible du bateau sans trop mettre de tension sur l’avançon pour éviter qu'un hameçon relâché ou une cassure d’avançon ne lance à grande vitesse vers le bateau des hameçons, des poids et autres pièces. </w:t>
      </w:r>
    </w:p>
    <w:p w14:paraId="62E50E45" w14:textId="2B30A4B1" w:rsidR="0079766A" w:rsidRPr="007848A3" w:rsidRDefault="0079766A" w:rsidP="0079766A">
      <w:pPr>
        <w:numPr>
          <w:ilvl w:val="0"/>
          <w:numId w:val="8"/>
        </w:numPr>
        <w:spacing w:after="80" w:line="242" w:lineRule="auto"/>
        <w:ind w:left="850" w:right="130" w:hanging="425"/>
      </w:pPr>
      <w:r w:rsidRPr="007848A3">
        <w:t>Ne pas sortir de l’eau le makaire vivant</w:t>
      </w:r>
      <w:r w:rsidR="00904C95" w:rsidRPr="007848A3">
        <w:t xml:space="preserve"> lorsqu’il est amené le long du bateau</w:t>
      </w:r>
      <w:r w:rsidRPr="007848A3">
        <w:t>, tout en lui retirant l'hameçon en toute sécurité.</w:t>
      </w:r>
    </w:p>
    <w:p w14:paraId="08614855" w14:textId="77777777" w:rsidR="0079766A" w:rsidRPr="007848A3" w:rsidRDefault="0079766A" w:rsidP="0079766A">
      <w:pPr>
        <w:numPr>
          <w:ilvl w:val="0"/>
          <w:numId w:val="8"/>
        </w:numPr>
        <w:spacing w:after="80" w:line="242" w:lineRule="auto"/>
        <w:ind w:left="850" w:right="130" w:hanging="425"/>
      </w:pPr>
      <w:r w:rsidRPr="007848A3">
        <w:t>Limiter le nombre de manipulations.</w:t>
      </w:r>
    </w:p>
    <w:p w14:paraId="1720A180" w14:textId="77777777" w:rsidR="0079766A" w:rsidRPr="007848A3" w:rsidRDefault="0079766A" w:rsidP="0079766A">
      <w:pPr>
        <w:numPr>
          <w:ilvl w:val="0"/>
          <w:numId w:val="8"/>
        </w:numPr>
        <w:spacing w:after="80" w:line="242" w:lineRule="auto"/>
        <w:ind w:left="850" w:right="130" w:hanging="425"/>
      </w:pPr>
      <w:r w:rsidRPr="007848A3">
        <w:t xml:space="preserve">Ne pas gaffer le poisson dans le corps. </w:t>
      </w:r>
    </w:p>
    <w:p w14:paraId="59E05CF4" w14:textId="042AE263" w:rsidR="0079766A" w:rsidRPr="007848A3" w:rsidRDefault="0079766A" w:rsidP="0079766A">
      <w:pPr>
        <w:numPr>
          <w:ilvl w:val="0"/>
          <w:numId w:val="8"/>
        </w:numPr>
        <w:spacing w:after="80" w:line="242" w:lineRule="auto"/>
        <w:ind w:left="850" w:right="130" w:hanging="425"/>
      </w:pPr>
      <w:r w:rsidRPr="007848A3">
        <w:t>Si possible, éviter de saisir le makaire par le corps et utiliser des gants pour saisir le makaire par son museau.</w:t>
      </w:r>
    </w:p>
    <w:p w14:paraId="0F5AD1FD" w14:textId="70273DEA" w:rsidR="0079766A" w:rsidRPr="007848A3" w:rsidRDefault="0079766A" w:rsidP="0079766A">
      <w:pPr>
        <w:numPr>
          <w:ilvl w:val="0"/>
          <w:numId w:val="8"/>
        </w:numPr>
        <w:spacing w:after="80" w:line="242" w:lineRule="auto"/>
        <w:ind w:left="850" w:right="130" w:hanging="425"/>
      </w:pPr>
      <w:r w:rsidRPr="007848A3">
        <w:t>Dans le cas où l’hameçon est visible, agiter légèrement l’avançon pour essayer de déloger l’hameçon.</w:t>
      </w:r>
    </w:p>
    <w:p w14:paraId="2A36861E" w14:textId="77777777" w:rsidR="0079766A" w:rsidRPr="007848A3" w:rsidRDefault="0079766A" w:rsidP="0079766A">
      <w:pPr>
        <w:numPr>
          <w:ilvl w:val="0"/>
          <w:numId w:val="8"/>
        </w:numPr>
        <w:spacing w:after="80" w:line="242" w:lineRule="auto"/>
        <w:ind w:left="850" w:right="130" w:hanging="425"/>
      </w:pPr>
      <w:r w:rsidRPr="007848A3">
        <w:t>Dans la mesure du possible, installer un appareil de mesure pour que les poissons puissent être mesurés grossièrement dans l'eau (p. ex. marquer une perche, un bas de ligne et un flotteur ; marquer le plat-bord du bateau avec des marques de mesure).</w:t>
      </w:r>
    </w:p>
    <w:p w14:paraId="08C3F103" w14:textId="7F18EB9D" w:rsidR="0079766A" w:rsidRPr="007848A3" w:rsidRDefault="0079766A" w:rsidP="0079766A">
      <w:pPr>
        <w:numPr>
          <w:ilvl w:val="0"/>
          <w:numId w:val="8"/>
        </w:numPr>
        <w:spacing w:after="80" w:line="242" w:lineRule="auto"/>
        <w:ind w:left="850" w:right="130" w:hanging="425"/>
      </w:pPr>
      <w:r w:rsidRPr="007848A3">
        <w:t>Si le makaire se tord et tourne vigoureusement, ce qui rend trop dangereux l'utilisation d'un dispositif de retrait de l'hameçon/dégorgeoir</w:t>
      </w:r>
      <w:r w:rsidR="00981C18" w:rsidRPr="007848A3">
        <w:t>,</w:t>
      </w:r>
      <w:r w:rsidRPr="007848A3">
        <w:t xml:space="preserve"> ou si le makaire a avalé l'hameçon qui n'est pas visible, utiliser un coupe-ligne à long manche et couper le bas de ligne/la ligne aussi près du poisson qu’il est possible de le faire en toute sécurité afin qu'il ne traîne pas de grandes quantités de ligne qui pourraient réduire sa survie après la remise à l'eau.</w:t>
      </w:r>
    </w:p>
    <w:p w14:paraId="6001B7D6" w14:textId="77777777" w:rsidR="0079766A" w:rsidRPr="007848A3" w:rsidRDefault="0079766A" w:rsidP="0079766A">
      <w:pPr>
        <w:numPr>
          <w:ilvl w:val="0"/>
          <w:numId w:val="8"/>
        </w:numPr>
        <w:spacing w:after="80" w:line="242" w:lineRule="auto"/>
        <w:ind w:left="850" w:right="130" w:hanging="425"/>
      </w:pPr>
      <w:r w:rsidRPr="007848A3">
        <w:t xml:space="preserve">Aider à ranimer le poisson en le remorquant lentement dans l'eau jusqu'à ce que sa couleur ou son énergie revienne (5 minutes ou plus). Pour la plupart des espèces de grands migrateurs, l'eau doit continuer à couler sur leurs branchies pour leur permettre de respirer.  Avec le bateau en marche, avancer lentement tout en gardant la tête du poisson dans l'eau.  </w:t>
      </w:r>
    </w:p>
    <w:p w14:paraId="3CF66BFA" w14:textId="77777777" w:rsidR="0079766A" w:rsidRPr="007848A3" w:rsidRDefault="0079766A" w:rsidP="0079766A">
      <w:pPr>
        <w:numPr>
          <w:ilvl w:val="0"/>
          <w:numId w:val="8"/>
        </w:numPr>
        <w:spacing w:after="80" w:line="242" w:lineRule="auto"/>
        <w:ind w:left="850" w:right="130" w:hanging="425"/>
      </w:pPr>
      <w:r w:rsidRPr="007848A3">
        <w:t>Si l'hameçon est accroché et qu'il est visible dans le corps ou la bouche, utiliser un coupe-boulon pour enlever le barbillon de l’hameçon, puis retirer l’hameçon.</w:t>
      </w:r>
    </w:p>
    <w:p w14:paraId="54992A7D" w14:textId="77777777" w:rsidR="0079766A" w:rsidRPr="007848A3" w:rsidRDefault="0079766A" w:rsidP="0079766A">
      <w:pPr>
        <w:numPr>
          <w:ilvl w:val="0"/>
          <w:numId w:val="8"/>
        </w:numPr>
        <w:spacing w:after="80" w:line="242" w:lineRule="auto"/>
        <w:ind w:left="850" w:right="130" w:hanging="425"/>
      </w:pPr>
      <w:r w:rsidRPr="007848A3">
        <w:t>Ne pas enrouler les doigts, les mains ou les bras dans la ligne lorsqu’un makaire est amené vers le bateau - au risque de passer par-dessus bord.</w:t>
      </w:r>
    </w:p>
    <w:p w14:paraId="12FFE0FE" w14:textId="77777777" w:rsidR="0079766A" w:rsidRPr="007848A3" w:rsidRDefault="0079766A" w:rsidP="0079766A">
      <w:pPr>
        <w:numPr>
          <w:ilvl w:val="0"/>
          <w:numId w:val="8"/>
        </w:numPr>
        <w:spacing w:after="80" w:line="242" w:lineRule="auto"/>
        <w:ind w:left="850" w:right="130" w:hanging="425"/>
      </w:pPr>
      <w:r w:rsidRPr="007848A3">
        <w:t>Ne pas le soulever à l'aide de l’avançon, surtout s’il est accroché à l'hameçon.</w:t>
      </w:r>
    </w:p>
    <w:p w14:paraId="2CF2E9F6" w14:textId="128C67B0" w:rsidR="004B18CD" w:rsidRPr="007848A3" w:rsidRDefault="0079766A" w:rsidP="0079766A">
      <w:pPr>
        <w:numPr>
          <w:ilvl w:val="0"/>
          <w:numId w:val="8"/>
        </w:numPr>
        <w:pBdr>
          <w:top w:val="nil"/>
          <w:left w:val="nil"/>
          <w:bottom w:val="nil"/>
          <w:right w:val="nil"/>
          <w:between w:val="nil"/>
        </w:pBdr>
        <w:spacing w:after="80" w:line="242" w:lineRule="auto"/>
        <w:ind w:left="850" w:right="260" w:hanging="425"/>
        <w:rPr>
          <w:rFonts w:asciiTheme="minorHAnsi" w:hAnsiTheme="minorHAnsi"/>
          <w:color w:val="000000"/>
        </w:rPr>
      </w:pPr>
      <w:r w:rsidRPr="007848A3">
        <w:t>Ne pas le soulever à l'aide de fils ou de câbles minces ou par la queue seulement.</w:t>
      </w:r>
    </w:p>
    <w:sectPr w:rsidR="004B18CD" w:rsidRPr="007848A3" w:rsidSect="00B34250">
      <w:pgSz w:w="11907" w:h="16840" w:code="9"/>
      <w:pgMar w:top="1418" w:right="1418" w:bottom="1418" w:left="1418" w:header="851" w:footer="113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1873" w14:textId="77777777" w:rsidR="006F7906" w:rsidRDefault="006F7906">
      <w:r>
        <w:separator/>
      </w:r>
    </w:p>
  </w:endnote>
  <w:endnote w:type="continuationSeparator" w:id="0">
    <w:p w14:paraId="76115460" w14:textId="77777777" w:rsidR="006F7906" w:rsidRDefault="006F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07C5" w14:textId="77777777" w:rsidR="00121B26" w:rsidRDefault="00121B26">
    <w:pPr>
      <w:pBdr>
        <w:top w:val="nil"/>
        <w:left w:val="nil"/>
        <w:bottom w:val="nil"/>
        <w:right w:val="nil"/>
        <w:between w:val="nil"/>
      </w:pBdr>
      <w:tabs>
        <w:tab w:val="center" w:pos="4513"/>
        <w:tab w:val="right" w:pos="9026"/>
      </w:tabs>
      <w:jc w:val="left"/>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51C" w14:textId="77777777" w:rsidR="00895FAF" w:rsidRPr="00E87D18" w:rsidRDefault="00EB6BE7" w:rsidP="00895FAF">
    <w:pPr>
      <w:tabs>
        <w:tab w:val="center" w:pos="4535"/>
        <w:tab w:val="center" w:pos="4680"/>
        <w:tab w:val="left" w:pos="6150"/>
        <w:tab w:val="right" w:pos="9360"/>
      </w:tabs>
      <w:jc w:val="center"/>
      <w:rPr>
        <w:rFonts w:eastAsia="Calibri" w:cs="Calibri"/>
        <w:szCs w:val="22"/>
        <w:lang w:val="en-US"/>
      </w:rPr>
    </w:pPr>
    <w:sdt>
      <w:sdtPr>
        <w:rPr>
          <w:rFonts w:ascii="Calibri" w:eastAsia="Calibri" w:hAnsi="Calibri" w:cs="Calibri"/>
          <w:lang w:val="en-US"/>
        </w:rPr>
        <w:id w:val="810910487"/>
        <w:docPartObj>
          <w:docPartGallery w:val="Page Numbers (Top of Page)"/>
          <w:docPartUnique/>
        </w:docPartObj>
      </w:sdtPr>
      <w:sdtEndPr/>
      <w:sdtContent>
        <w:r w:rsidR="00895FAF" w:rsidRPr="00713AD4">
          <w:rPr>
            <w:rFonts w:eastAsia="Calibri" w:cs="Calibri"/>
            <w:lang w:val="en-US"/>
          </w:rPr>
          <w:fldChar w:fldCharType="begin"/>
        </w:r>
        <w:r w:rsidR="00895FAF" w:rsidRPr="00713AD4">
          <w:rPr>
            <w:rFonts w:eastAsia="Calibri" w:cs="Calibri"/>
            <w:lang w:val="en-US"/>
          </w:rPr>
          <w:instrText xml:space="preserve"> PAGE </w:instrText>
        </w:r>
        <w:r w:rsidR="00895FAF" w:rsidRPr="00713AD4">
          <w:rPr>
            <w:rFonts w:eastAsia="Calibri" w:cs="Calibri"/>
            <w:lang w:val="en-US"/>
          </w:rPr>
          <w:fldChar w:fldCharType="separate"/>
        </w:r>
        <w:r w:rsidR="00895FAF">
          <w:rPr>
            <w:rFonts w:eastAsia="Calibri" w:cs="Calibri"/>
            <w:lang w:val="en-US"/>
          </w:rPr>
          <w:t>1</w:t>
        </w:r>
        <w:r w:rsidR="00895FAF" w:rsidRPr="00713AD4">
          <w:rPr>
            <w:rFonts w:eastAsia="Calibri" w:cs="Calibri"/>
            <w:lang w:val="en-US"/>
          </w:rPr>
          <w:fldChar w:fldCharType="end"/>
        </w:r>
        <w:r w:rsidR="00895FAF" w:rsidRPr="00713AD4">
          <w:rPr>
            <w:rFonts w:eastAsia="Calibri" w:cs="Calibri"/>
            <w:lang w:val="en-US"/>
          </w:rPr>
          <w:t xml:space="preserve"> / </w:t>
        </w:r>
        <w:r w:rsidR="00895FAF" w:rsidRPr="00713AD4">
          <w:rPr>
            <w:rFonts w:eastAsia="Calibri" w:cs="Calibri"/>
            <w:lang w:val="en-US"/>
          </w:rPr>
          <w:fldChar w:fldCharType="begin"/>
        </w:r>
        <w:r w:rsidR="00895FAF" w:rsidRPr="00713AD4">
          <w:rPr>
            <w:rFonts w:eastAsia="Calibri" w:cs="Calibri"/>
            <w:lang w:val="en-US"/>
          </w:rPr>
          <w:instrText xml:space="preserve"> NUMPAGES  </w:instrText>
        </w:r>
        <w:r w:rsidR="00895FAF" w:rsidRPr="00713AD4">
          <w:rPr>
            <w:rFonts w:eastAsia="Calibri" w:cs="Calibri"/>
            <w:lang w:val="en-US"/>
          </w:rPr>
          <w:fldChar w:fldCharType="separate"/>
        </w:r>
        <w:r w:rsidR="00895FAF">
          <w:rPr>
            <w:rFonts w:eastAsia="Calibri" w:cs="Calibri"/>
            <w:lang w:val="en-US"/>
          </w:rPr>
          <w:t>1</w:t>
        </w:r>
        <w:r w:rsidR="00895FAF" w:rsidRPr="00713AD4">
          <w:rPr>
            <w:rFonts w:eastAsia="Calibri" w:cs="Calibri"/>
            <w:lang w:val="en-U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A55A" w14:textId="77777777" w:rsidR="00121B26" w:rsidRDefault="00121B26">
    <w:pPr>
      <w:pBdr>
        <w:top w:val="nil"/>
        <w:left w:val="nil"/>
        <w:bottom w:val="nil"/>
        <w:right w:val="nil"/>
        <w:between w:val="nil"/>
      </w:pBdr>
      <w:tabs>
        <w:tab w:val="center" w:pos="4513"/>
        <w:tab w:val="right" w:pos="9026"/>
      </w:tabs>
      <w:jc w:val="lef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DA5B" w14:textId="77777777" w:rsidR="006F7906" w:rsidRDefault="006F7906">
      <w:r>
        <w:separator/>
      </w:r>
    </w:p>
  </w:footnote>
  <w:footnote w:type="continuationSeparator" w:id="0">
    <w:p w14:paraId="1E36A68B" w14:textId="77777777" w:rsidR="006F7906" w:rsidRDefault="006F7906">
      <w:r>
        <w:continuationSeparator/>
      </w:r>
    </w:p>
  </w:footnote>
  <w:footnote w:id="1">
    <w:p w14:paraId="0977B4CA" w14:textId="77777777" w:rsidR="00121B26" w:rsidRPr="00BB791C" w:rsidRDefault="00121B26" w:rsidP="00B30986">
      <w:pPr>
        <w:rPr>
          <w:sz w:val="16"/>
          <w:szCs w:val="16"/>
        </w:rPr>
      </w:pPr>
    </w:p>
  </w:footnote>
  <w:footnote w:id="2">
    <w:p w14:paraId="55E9B7AC" w14:textId="06895269" w:rsidR="00121B26" w:rsidRPr="00BB791C" w:rsidRDefault="00121B26" w:rsidP="00082CB7">
      <w:pPr>
        <w:pStyle w:val="FootnoteText"/>
        <w:ind w:left="284" w:hanging="284"/>
        <w:rPr>
          <w:sz w:val="16"/>
          <w:szCs w:val="16"/>
        </w:rPr>
      </w:pPr>
      <w:r w:rsidRPr="00BB791C">
        <w:rPr>
          <w:rStyle w:val="FootnoteReference"/>
          <w:sz w:val="16"/>
          <w:szCs w:val="16"/>
        </w:rPr>
        <w:footnoteRef/>
      </w:r>
      <w:r w:rsidRPr="00BB791C">
        <w:rPr>
          <w:sz w:val="16"/>
          <w:szCs w:val="16"/>
        </w:rPr>
        <w:t xml:space="preserve"> </w:t>
      </w:r>
      <w:r w:rsidRPr="00BB791C">
        <w:rPr>
          <w:sz w:val="16"/>
          <w:szCs w:val="16"/>
        </w:rPr>
        <w:tab/>
        <w:t>Le transfert suivant de la limite annuelle de débarquements devra être autorisé pour le makaire bleu : de l’Union européenne à Trinité-et-Tobago : 2 t</w:t>
      </w:r>
    </w:p>
  </w:footnote>
  <w:footnote w:id="3">
    <w:p w14:paraId="36C1251D" w14:textId="33097C95" w:rsidR="00121B26" w:rsidRPr="00082CB7" w:rsidRDefault="00121B26" w:rsidP="00067E78">
      <w:pPr>
        <w:pStyle w:val="FootnoteText"/>
        <w:rPr>
          <w:sz w:val="16"/>
          <w:szCs w:val="16"/>
        </w:rPr>
      </w:pPr>
      <w:r w:rsidRPr="00846363">
        <w:rPr>
          <w:rStyle w:val="FootnoteReference"/>
          <w:sz w:val="16"/>
          <w:szCs w:val="16"/>
        </w:rPr>
        <w:footnoteRef/>
      </w:r>
      <w:r w:rsidRPr="00A42137">
        <w:rPr>
          <w:sz w:val="16"/>
          <w:szCs w:val="16"/>
        </w:rPr>
        <w:t xml:space="preserve"> </w:t>
      </w:r>
      <w:hyperlink r:id="rId1" w:history="1">
        <w:r w:rsidRPr="00082CB7">
          <w:rPr>
            <w:rStyle w:val="Hyperlink"/>
            <w:sz w:val="16"/>
            <w:szCs w:val="16"/>
          </w:rPr>
          <w:t>https://www.bmis-bycatch.org/index.php/mitigation-techniques/safe-handling-release</w:t>
        </w:r>
      </w:hyperlink>
      <w:r w:rsidRPr="00082CB7">
        <w:rPr>
          <w:sz w:val="16"/>
          <w:szCs w:val="16"/>
        </w:rPr>
        <w:t xml:space="preserve"> </w:t>
      </w:r>
    </w:p>
    <w:p w14:paraId="2AB99F54" w14:textId="77777777" w:rsidR="00121B26" w:rsidRPr="00082CB7" w:rsidRDefault="00121B26" w:rsidP="00067E78">
      <w:pPr>
        <w:pStyle w:val="FootnoteText"/>
        <w:rPr>
          <w:sz w:val="16"/>
          <w:szCs w:val="16"/>
          <w:lang w:val="en-US"/>
        </w:rPr>
      </w:pPr>
      <w:r w:rsidRPr="00082CB7">
        <w:rPr>
          <w:sz w:val="16"/>
          <w:szCs w:val="16"/>
          <w:lang w:val="en-US"/>
        </w:rPr>
        <w:t>­</w:t>
      </w:r>
      <w:r w:rsidRPr="00082CB7">
        <w:rPr>
          <w:sz w:val="16"/>
          <w:szCs w:val="16"/>
          <w:lang w:val="en-US"/>
        </w:rPr>
        <w:tab/>
        <w:t xml:space="preserve">Poisson F., Wendling B., Cornella D., </w:t>
      </w:r>
      <w:proofErr w:type="spellStart"/>
      <w:r w:rsidRPr="00082CB7">
        <w:rPr>
          <w:sz w:val="16"/>
          <w:szCs w:val="16"/>
          <w:lang w:val="en-US"/>
        </w:rPr>
        <w:t>Segorb</w:t>
      </w:r>
      <w:proofErr w:type="spellEnd"/>
      <w:r w:rsidRPr="00082CB7">
        <w:rPr>
          <w:sz w:val="16"/>
          <w:szCs w:val="16"/>
          <w:lang w:val="en-US"/>
        </w:rPr>
        <w:t xml:space="preserve"> C., 2016. </w:t>
      </w:r>
      <w:r w:rsidRPr="00082CB7">
        <w:rPr>
          <w:sz w:val="16"/>
          <w:szCs w:val="16"/>
        </w:rPr>
        <w:t xml:space="preserve">Guide du pêcheur responsable : Bonnes pratiques pour réduire la mortalité des espèces sensibles capturées accidentellement par les palangriers pélagiques français en Méditerranée. </w:t>
      </w:r>
      <w:proofErr w:type="spellStart"/>
      <w:r w:rsidRPr="00082CB7">
        <w:rPr>
          <w:sz w:val="16"/>
          <w:szCs w:val="16"/>
          <w:lang w:val="en-US"/>
        </w:rPr>
        <w:t>Projets</w:t>
      </w:r>
      <w:proofErr w:type="spellEnd"/>
      <w:r w:rsidRPr="00082CB7">
        <w:rPr>
          <w:sz w:val="16"/>
          <w:szCs w:val="16"/>
          <w:lang w:val="en-US"/>
        </w:rPr>
        <w:t xml:space="preserve"> SELPAL et </w:t>
      </w:r>
      <w:proofErr w:type="spellStart"/>
      <w:r w:rsidRPr="00082CB7">
        <w:rPr>
          <w:sz w:val="16"/>
          <w:szCs w:val="16"/>
          <w:lang w:val="en-US"/>
        </w:rPr>
        <w:t>RéPAST</w:t>
      </w:r>
      <w:proofErr w:type="spellEnd"/>
      <w:r w:rsidRPr="00082CB7">
        <w:rPr>
          <w:sz w:val="16"/>
          <w:szCs w:val="16"/>
          <w:lang w:val="en-US"/>
        </w:rPr>
        <w:t>. 60 pages.</w:t>
      </w:r>
    </w:p>
    <w:p w14:paraId="2E223288" w14:textId="77777777" w:rsidR="00121B26" w:rsidRPr="00082CB7" w:rsidRDefault="00121B26" w:rsidP="00067E78">
      <w:pPr>
        <w:pStyle w:val="FootnoteText"/>
        <w:rPr>
          <w:sz w:val="16"/>
          <w:szCs w:val="16"/>
          <w:lang w:val="en-US"/>
        </w:rPr>
      </w:pPr>
      <w:r w:rsidRPr="00082CB7">
        <w:rPr>
          <w:sz w:val="16"/>
          <w:szCs w:val="16"/>
          <w:lang w:val="en-US"/>
        </w:rPr>
        <w:t>­</w:t>
      </w:r>
      <w:r w:rsidRPr="00082CB7">
        <w:rPr>
          <w:sz w:val="16"/>
          <w:szCs w:val="16"/>
          <w:lang w:val="en-US"/>
        </w:rPr>
        <w:tab/>
        <w:t xml:space="preserve">Poisson F., Vernet A. L., </w:t>
      </w:r>
      <w:proofErr w:type="spellStart"/>
      <w:r w:rsidRPr="00082CB7">
        <w:rPr>
          <w:sz w:val="16"/>
          <w:szCs w:val="16"/>
          <w:lang w:val="en-US"/>
        </w:rPr>
        <w:t>Séret</w:t>
      </w:r>
      <w:proofErr w:type="spellEnd"/>
      <w:r w:rsidRPr="00082CB7">
        <w:rPr>
          <w:sz w:val="16"/>
          <w:szCs w:val="16"/>
          <w:lang w:val="en-US"/>
        </w:rPr>
        <w:t xml:space="preserve"> B., </w:t>
      </w:r>
      <w:proofErr w:type="spellStart"/>
      <w:r w:rsidRPr="00082CB7">
        <w:rPr>
          <w:sz w:val="16"/>
          <w:szCs w:val="16"/>
          <w:lang w:val="en-US"/>
        </w:rPr>
        <w:t>Dagorn</w:t>
      </w:r>
      <w:proofErr w:type="spellEnd"/>
      <w:r w:rsidRPr="00082CB7">
        <w:rPr>
          <w:sz w:val="16"/>
          <w:szCs w:val="16"/>
          <w:lang w:val="en-US"/>
        </w:rPr>
        <w:t xml:space="preserve"> L. Good practices to reduce the mortality of sharks and rays caught incidentally by the tropical tuna purse seiners. EU FP7 project #210496 MADE, Deliverable 7.2., 30p.</w:t>
      </w:r>
    </w:p>
    <w:p w14:paraId="70F95D26" w14:textId="77777777" w:rsidR="00121B26" w:rsidRPr="00082CB7" w:rsidRDefault="00121B26" w:rsidP="00067E78">
      <w:pPr>
        <w:pStyle w:val="FootnoteText"/>
        <w:rPr>
          <w:sz w:val="16"/>
          <w:szCs w:val="16"/>
          <w:lang w:val="en-US"/>
        </w:rPr>
      </w:pPr>
      <w:r w:rsidRPr="00082CB7">
        <w:rPr>
          <w:sz w:val="16"/>
          <w:szCs w:val="16"/>
          <w:lang w:val="en-US"/>
        </w:rPr>
        <w:t>­</w:t>
      </w:r>
      <w:r w:rsidRPr="00082CB7">
        <w:rPr>
          <w:sz w:val="16"/>
          <w:szCs w:val="16"/>
          <w:lang w:val="en-US"/>
        </w:rPr>
        <w:tab/>
        <w:t>AFMA (2016) Shark and Ray Handling Practices - A guide for commercial fishers in southern Australia</w:t>
      </w:r>
    </w:p>
    <w:p w14:paraId="4A5DA2B3" w14:textId="29778187" w:rsidR="00121B26" w:rsidRPr="00082CB7" w:rsidRDefault="00121B26" w:rsidP="00067E78">
      <w:pPr>
        <w:pStyle w:val="FootnoteText"/>
        <w:rPr>
          <w:sz w:val="16"/>
          <w:szCs w:val="16"/>
        </w:rPr>
      </w:pPr>
      <w:r w:rsidRPr="00082CB7">
        <w:rPr>
          <w:sz w:val="16"/>
          <w:szCs w:val="16"/>
          <w:lang w:val="en-US"/>
        </w:rPr>
        <w:t>­</w:t>
      </w:r>
      <w:r w:rsidRPr="00082CB7">
        <w:rPr>
          <w:sz w:val="16"/>
          <w:szCs w:val="16"/>
          <w:lang w:val="en-US"/>
        </w:rPr>
        <w:tab/>
        <w:t xml:space="preserve">NOAA fisheries, 2017, Careful Catch and Release Brochure. </w:t>
      </w:r>
      <w:r w:rsidRPr="00082CB7">
        <w:rPr>
          <w:sz w:val="16"/>
          <w:szCs w:val="16"/>
        </w:rPr>
        <w:t>2 pages.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86F1" w14:textId="77777777" w:rsidR="00121B26" w:rsidRDefault="00121B26">
    <w:pPr>
      <w:pBdr>
        <w:top w:val="nil"/>
        <w:left w:val="nil"/>
        <w:bottom w:val="nil"/>
        <w:right w:val="nil"/>
        <w:between w:val="nil"/>
      </w:pBdr>
      <w:tabs>
        <w:tab w:val="center" w:pos="4513"/>
        <w:tab w:val="right" w:pos="9026"/>
      </w:tabs>
      <w:jc w:val="left"/>
      <w:rPr>
        <w:rFonts w:ascii="Arial" w:eastAsia="Arial" w:hAnsi="Arial" w:cs="Arial"/>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0BC4" w14:textId="344C47E7" w:rsidR="00CA4876" w:rsidRPr="00793F38" w:rsidRDefault="00CA4876" w:rsidP="00CA4876">
    <w:pPr>
      <w:tabs>
        <w:tab w:val="center" w:pos="4680"/>
        <w:tab w:val="left" w:pos="6520"/>
        <w:tab w:val="right" w:pos="9360"/>
        <w:tab w:val="right" w:pos="14240"/>
      </w:tabs>
      <w:jc w:val="right"/>
      <w:rPr>
        <w:rFonts w:eastAsia="Calibri"/>
        <w:b/>
        <w:bCs/>
        <w:lang w:val="en-US"/>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lang w:val="en-US"/>
      </w:rPr>
      <w:t>PA4</w:t>
    </w:r>
    <w:r w:rsidRPr="00793F38">
      <w:rPr>
        <w:rFonts w:eastAsia="Calibri"/>
        <w:b/>
        <w:bCs/>
        <w:lang w:val="en-US"/>
      </w:rPr>
      <w:t>_</w:t>
    </w:r>
    <w:r>
      <w:rPr>
        <w:rFonts w:eastAsia="Calibri"/>
        <w:b/>
        <w:bCs/>
        <w:lang w:val="en-US"/>
      </w:rPr>
      <w:t>806</w:t>
    </w:r>
    <w:r w:rsidRPr="00793F38">
      <w:rPr>
        <w:rFonts w:eastAsia="Calibri"/>
        <w:b/>
        <w:bCs/>
        <w:lang w:val="en-US"/>
      </w:rPr>
      <w:t>/202</w:t>
    </w:r>
    <w:r>
      <w:rPr>
        <w:rFonts w:eastAsia="Calibri"/>
        <w:b/>
        <w:bCs/>
        <w:lang w:val="en-US"/>
      </w:rPr>
      <w:t>5</w:t>
    </w:r>
  </w:p>
  <w:p w14:paraId="649A1FC3" w14:textId="1DFA0394" w:rsidR="00CA4876" w:rsidRPr="00793F38" w:rsidRDefault="00CA4876" w:rsidP="00CA4876">
    <w:pPr>
      <w:tabs>
        <w:tab w:val="left" w:pos="7320"/>
      </w:tabs>
      <w:spacing w:line="240" w:lineRule="exact"/>
      <w:jc w:val="right"/>
      <w:rPr>
        <w:b/>
        <w:bCs/>
        <w:sz w:val="16"/>
        <w:szCs w:val="16"/>
        <w:lang w:val="es-ES_tradnl"/>
      </w:rPr>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361A73">
      <w:rPr>
        <w:b/>
        <w:bCs/>
        <w:noProof/>
        <w:sz w:val="16"/>
        <w:szCs w:val="16"/>
        <w:lang w:val="es-ES_tradnl"/>
      </w:rPr>
      <w:t>20/10/2025 12:14</w:t>
    </w:r>
    <w:r w:rsidRPr="00793F38">
      <w:rPr>
        <w:b/>
        <w:bCs/>
        <w:sz w:val="16"/>
        <w:szCs w:val="16"/>
        <w:lang w:val="es-ES_tradnl"/>
      </w:rPr>
      <w:fldChar w:fldCharType="end"/>
    </w:r>
    <w:bookmarkEnd w:id="0"/>
    <w:bookmarkEnd w:id="1"/>
    <w:bookmarkEnd w:id="2"/>
    <w:bookmarkEnd w:id="3"/>
    <w:bookmarkEnd w:id="4"/>
    <w:bookmarkEnd w:id="5"/>
  </w:p>
  <w:p w14:paraId="6566081C" w14:textId="77777777" w:rsidR="00CA4876" w:rsidRDefault="00CA4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C455" w14:textId="77777777" w:rsidR="00121B26" w:rsidRDefault="00121B26">
    <w:pPr>
      <w:pBdr>
        <w:top w:val="nil"/>
        <w:left w:val="nil"/>
        <w:bottom w:val="nil"/>
        <w:right w:val="nil"/>
        <w:between w:val="nil"/>
      </w:pBdr>
      <w:tabs>
        <w:tab w:val="center" w:pos="4513"/>
        <w:tab w:val="right" w:pos="9026"/>
      </w:tabs>
      <w:jc w:val="left"/>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92C9C"/>
    <w:multiLevelType w:val="hybridMultilevel"/>
    <w:tmpl w:val="204C7FE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 w15:restartNumberingAfterBreak="0">
    <w:nsid w:val="1FAE0F59"/>
    <w:multiLevelType w:val="hybridMultilevel"/>
    <w:tmpl w:val="E948173E"/>
    <w:lvl w:ilvl="0" w:tplc="EEC6D908">
      <w:start w:val="5"/>
      <w:numFmt w:val="decimal"/>
      <w:lvlText w:val="%1."/>
      <w:lvlJc w:val="left"/>
      <w:pPr>
        <w:ind w:left="360" w:hanging="360"/>
      </w:pPr>
      <w:rPr>
        <w:sz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DD27B22"/>
    <w:multiLevelType w:val="hybridMultilevel"/>
    <w:tmpl w:val="BEAE9EDA"/>
    <w:lvl w:ilvl="0" w:tplc="B80084B6">
      <w:start w:val="7"/>
      <w:numFmt w:val="decimal"/>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A18BC"/>
    <w:multiLevelType w:val="hybridMultilevel"/>
    <w:tmpl w:val="14D8199E"/>
    <w:lvl w:ilvl="0" w:tplc="2D9E642A">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4" w15:restartNumberingAfterBreak="0">
    <w:nsid w:val="3C8B6A61"/>
    <w:multiLevelType w:val="hybridMultilevel"/>
    <w:tmpl w:val="DEA4E664"/>
    <w:lvl w:ilvl="0" w:tplc="406E23C0">
      <w:start w:val="1"/>
      <w:numFmt w:val="decimal"/>
      <w:lvlText w:val="%1"/>
      <w:lvlJc w:val="left"/>
      <w:pPr>
        <w:ind w:left="361" w:hanging="360"/>
      </w:pPr>
      <w:rPr>
        <w:rFonts w:hint="default"/>
        <w:sz w:val="1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51462E2E"/>
    <w:multiLevelType w:val="hybridMultilevel"/>
    <w:tmpl w:val="88A80998"/>
    <w:lvl w:ilvl="0" w:tplc="27069960">
      <w:start w:val="5"/>
      <w:numFmt w:val="decimal"/>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22F1D"/>
    <w:multiLevelType w:val="hybridMultilevel"/>
    <w:tmpl w:val="0F80F230"/>
    <w:lvl w:ilvl="0" w:tplc="E5FC912A">
      <w:start w:val="1"/>
      <w:numFmt w:val="decimal"/>
      <w:lvlText w:val="%1."/>
      <w:lvlJc w:val="left"/>
      <w:pPr>
        <w:ind w:left="620" w:hanging="394"/>
      </w:pPr>
      <w:rPr>
        <w:rFonts w:hint="default"/>
        <w:color w:val="auto"/>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7" w15:restartNumberingAfterBreak="0">
    <w:nsid w:val="6412496B"/>
    <w:multiLevelType w:val="hybridMultilevel"/>
    <w:tmpl w:val="AA32A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C3F0107"/>
    <w:multiLevelType w:val="hybridMultilevel"/>
    <w:tmpl w:val="07349B22"/>
    <w:lvl w:ilvl="0" w:tplc="EEAC02E2">
      <w:start w:val="7"/>
      <w:numFmt w:val="decimal"/>
      <w:lvlText w:val="%1."/>
      <w:lvlJc w:val="left"/>
      <w:pPr>
        <w:ind w:left="720" w:hanging="360"/>
      </w:pPr>
      <w:rPr>
        <w:rFonts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6369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332400">
    <w:abstractNumId w:val="5"/>
  </w:num>
  <w:num w:numId="3" w16cid:durableId="833836355">
    <w:abstractNumId w:val="2"/>
  </w:num>
  <w:num w:numId="4" w16cid:durableId="1167786225">
    <w:abstractNumId w:val="8"/>
  </w:num>
  <w:num w:numId="5" w16cid:durableId="95861010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3473192">
    <w:abstractNumId w:val="0"/>
  </w:num>
  <w:num w:numId="7" w16cid:durableId="2096903136">
    <w:abstractNumId w:val="7"/>
  </w:num>
  <w:num w:numId="8" w16cid:durableId="1676229147">
    <w:abstractNumId w:val="3"/>
  </w:num>
  <w:num w:numId="9" w16cid:durableId="191653617">
    <w:abstractNumId w:val="6"/>
  </w:num>
  <w:num w:numId="10" w16cid:durableId="1747457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CD"/>
    <w:rsid w:val="00035CE0"/>
    <w:rsid w:val="00042456"/>
    <w:rsid w:val="00067E78"/>
    <w:rsid w:val="00082CB7"/>
    <w:rsid w:val="00092E46"/>
    <w:rsid w:val="00094B4B"/>
    <w:rsid w:val="000D35F6"/>
    <w:rsid w:val="00121B26"/>
    <w:rsid w:val="00135A8B"/>
    <w:rsid w:val="00184BA2"/>
    <w:rsid w:val="001B7431"/>
    <w:rsid w:val="001C72F4"/>
    <w:rsid w:val="001E47FB"/>
    <w:rsid w:val="001F506D"/>
    <w:rsid w:val="00226F0A"/>
    <w:rsid w:val="002729EA"/>
    <w:rsid w:val="002904C0"/>
    <w:rsid w:val="002A63C0"/>
    <w:rsid w:val="002C03CD"/>
    <w:rsid w:val="002E54DA"/>
    <w:rsid w:val="00350EE0"/>
    <w:rsid w:val="00354BD5"/>
    <w:rsid w:val="00361A73"/>
    <w:rsid w:val="003932F6"/>
    <w:rsid w:val="003D3766"/>
    <w:rsid w:val="003E4667"/>
    <w:rsid w:val="003E58DA"/>
    <w:rsid w:val="003E6997"/>
    <w:rsid w:val="003F0823"/>
    <w:rsid w:val="003F19BC"/>
    <w:rsid w:val="00403E2A"/>
    <w:rsid w:val="00404927"/>
    <w:rsid w:val="0049762C"/>
    <w:rsid w:val="004A342C"/>
    <w:rsid w:val="004B18CD"/>
    <w:rsid w:val="004B1E0D"/>
    <w:rsid w:val="004B2A23"/>
    <w:rsid w:val="004D4ED4"/>
    <w:rsid w:val="004E615D"/>
    <w:rsid w:val="005209B9"/>
    <w:rsid w:val="00537024"/>
    <w:rsid w:val="00541A00"/>
    <w:rsid w:val="00553950"/>
    <w:rsid w:val="005721B2"/>
    <w:rsid w:val="00584FEA"/>
    <w:rsid w:val="005F7169"/>
    <w:rsid w:val="00620128"/>
    <w:rsid w:val="00626441"/>
    <w:rsid w:val="00642F10"/>
    <w:rsid w:val="0064386A"/>
    <w:rsid w:val="0065700D"/>
    <w:rsid w:val="00676B5E"/>
    <w:rsid w:val="006C4719"/>
    <w:rsid w:val="006C4A9D"/>
    <w:rsid w:val="006F7906"/>
    <w:rsid w:val="00711927"/>
    <w:rsid w:val="007152C3"/>
    <w:rsid w:val="00773723"/>
    <w:rsid w:val="0077527A"/>
    <w:rsid w:val="007848A3"/>
    <w:rsid w:val="0079766A"/>
    <w:rsid w:val="007E38F7"/>
    <w:rsid w:val="007E3E21"/>
    <w:rsid w:val="008137D5"/>
    <w:rsid w:val="00865086"/>
    <w:rsid w:val="00895FAF"/>
    <w:rsid w:val="008B5A7D"/>
    <w:rsid w:val="008F6975"/>
    <w:rsid w:val="00904C95"/>
    <w:rsid w:val="009325FE"/>
    <w:rsid w:val="00937358"/>
    <w:rsid w:val="00944C19"/>
    <w:rsid w:val="00945A80"/>
    <w:rsid w:val="00981C18"/>
    <w:rsid w:val="009D375C"/>
    <w:rsid w:val="009D7F85"/>
    <w:rsid w:val="009F69BC"/>
    <w:rsid w:val="00A42137"/>
    <w:rsid w:val="00A430FF"/>
    <w:rsid w:val="00A55F57"/>
    <w:rsid w:val="00A806E5"/>
    <w:rsid w:val="00AA7F5E"/>
    <w:rsid w:val="00AC3CB1"/>
    <w:rsid w:val="00AC6050"/>
    <w:rsid w:val="00AE75F7"/>
    <w:rsid w:val="00AF4607"/>
    <w:rsid w:val="00AF767D"/>
    <w:rsid w:val="00B30986"/>
    <w:rsid w:val="00B34250"/>
    <w:rsid w:val="00BB26FA"/>
    <w:rsid w:val="00BB791C"/>
    <w:rsid w:val="00BE46A4"/>
    <w:rsid w:val="00C35E81"/>
    <w:rsid w:val="00C45A7C"/>
    <w:rsid w:val="00CA4876"/>
    <w:rsid w:val="00CE6979"/>
    <w:rsid w:val="00D11EFA"/>
    <w:rsid w:val="00D20D7A"/>
    <w:rsid w:val="00D97609"/>
    <w:rsid w:val="00DA2937"/>
    <w:rsid w:val="00DD4CD1"/>
    <w:rsid w:val="00DE318B"/>
    <w:rsid w:val="00E47425"/>
    <w:rsid w:val="00E47BA0"/>
    <w:rsid w:val="00EB6BE7"/>
    <w:rsid w:val="00F37A49"/>
    <w:rsid w:val="00F8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DC9"/>
  <w15:docId w15:val="{7EF148FE-8967-3946-8996-14E2075D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line="276" w:lineRule="auto"/>
      <w:jc w:val="left"/>
      <w:outlineLvl w:val="0"/>
    </w:pPr>
    <w:rPr>
      <w:rFonts w:ascii="Arial" w:eastAsia="Arial" w:hAnsi="Arial" w:cs="Arial"/>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line="276" w:lineRule="auto"/>
      <w:jc w:val="left"/>
      <w:outlineLvl w:val="1"/>
    </w:pPr>
    <w:rPr>
      <w:rFonts w:ascii="Arial" w:eastAsia="Arial" w:hAnsi="Arial" w:cs="Arial"/>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line="276" w:lineRule="auto"/>
      <w:jc w:val="left"/>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line="276" w:lineRule="auto"/>
      <w:jc w:val="left"/>
      <w:outlineLvl w:val="3"/>
    </w:pPr>
    <w:rPr>
      <w:rFonts w:ascii="Arial" w:eastAsia="Arial" w:hAnsi="Arial" w:cs="Arial"/>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line="276" w:lineRule="auto"/>
      <w:jc w:val="left"/>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line="276" w:lineRule="auto"/>
      <w:jc w:val="left"/>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line="276" w:lineRule="auto"/>
      <w:jc w:val="left"/>
    </w:pPr>
    <w:rPr>
      <w:rFonts w:ascii="Arial" w:eastAsia="Arial" w:hAnsi="Arial" w:cs="Arial"/>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line="276" w:lineRule="auto"/>
      <w:jc w:val="left"/>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42F10"/>
    <w:pPr>
      <w:tabs>
        <w:tab w:val="center" w:pos="4419"/>
        <w:tab w:val="right" w:pos="8838"/>
      </w:tabs>
    </w:pPr>
  </w:style>
  <w:style w:type="character" w:customStyle="1" w:styleId="HeaderChar">
    <w:name w:val="Header Char"/>
    <w:basedOn w:val="DefaultParagraphFont"/>
    <w:link w:val="Header"/>
    <w:uiPriority w:val="99"/>
    <w:rsid w:val="00642F10"/>
  </w:style>
  <w:style w:type="paragraph" w:styleId="BalloonText">
    <w:name w:val="Balloon Text"/>
    <w:basedOn w:val="Normal"/>
    <w:link w:val="BalloonTextChar"/>
    <w:uiPriority w:val="99"/>
    <w:semiHidden/>
    <w:unhideWhenUsed/>
    <w:rsid w:val="006C4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719"/>
    <w:rPr>
      <w:rFonts w:ascii="Segoe UI" w:hAnsi="Segoe UI" w:cs="Segoe UI"/>
      <w:sz w:val="18"/>
      <w:szCs w:val="18"/>
    </w:rPr>
  </w:style>
  <w:style w:type="paragraph" w:styleId="ListParagraph">
    <w:name w:val="List Paragraph"/>
    <w:basedOn w:val="Normal"/>
    <w:uiPriority w:val="34"/>
    <w:qFormat/>
    <w:rsid w:val="00D11EFA"/>
    <w:pPr>
      <w:ind w:left="720"/>
      <w:contextualSpacing/>
    </w:pPr>
  </w:style>
  <w:style w:type="paragraph" w:styleId="FootnoteText">
    <w:name w:val="footnote text"/>
    <w:basedOn w:val="Normal"/>
    <w:link w:val="FootnoteTextChar"/>
    <w:uiPriority w:val="99"/>
    <w:unhideWhenUsed/>
    <w:rsid w:val="0079766A"/>
    <w:pPr>
      <w:ind w:left="429" w:right="12" w:hanging="429"/>
    </w:pPr>
    <w:rPr>
      <w:color w:val="000000"/>
      <w:lang w:eastAsia="en-GB"/>
    </w:rPr>
  </w:style>
  <w:style w:type="character" w:customStyle="1" w:styleId="FootnoteTextChar">
    <w:name w:val="Footnote Text Char"/>
    <w:basedOn w:val="DefaultParagraphFont"/>
    <w:link w:val="FootnoteText"/>
    <w:uiPriority w:val="99"/>
    <w:rsid w:val="0079766A"/>
    <w:rPr>
      <w:color w:val="000000"/>
      <w:lang w:eastAsia="en-GB"/>
    </w:rPr>
  </w:style>
  <w:style w:type="character" w:styleId="FootnoteReference">
    <w:name w:val="footnote reference"/>
    <w:basedOn w:val="DefaultParagraphFont"/>
    <w:uiPriority w:val="99"/>
    <w:semiHidden/>
    <w:unhideWhenUsed/>
    <w:rsid w:val="0079766A"/>
    <w:rPr>
      <w:vertAlign w:val="superscript"/>
    </w:rPr>
  </w:style>
  <w:style w:type="character" w:styleId="Hyperlink">
    <w:name w:val="Hyperlink"/>
    <w:basedOn w:val="DefaultParagraphFont"/>
    <w:unhideWhenUsed/>
    <w:rsid w:val="0079766A"/>
    <w:rPr>
      <w:color w:val="0000FF"/>
      <w:u w:val="single"/>
    </w:rPr>
  </w:style>
  <w:style w:type="character" w:styleId="UnresolvedMention">
    <w:name w:val="Unresolved Mention"/>
    <w:basedOn w:val="DefaultParagraphFont"/>
    <w:uiPriority w:val="99"/>
    <w:semiHidden/>
    <w:unhideWhenUsed/>
    <w:rsid w:val="00067E78"/>
    <w:rPr>
      <w:color w:val="605E5C"/>
      <w:shd w:val="clear" w:color="auto" w:fill="E1DFDD"/>
    </w:rPr>
  </w:style>
  <w:style w:type="character" w:styleId="FollowedHyperlink">
    <w:name w:val="FollowedHyperlink"/>
    <w:basedOn w:val="DefaultParagraphFont"/>
    <w:uiPriority w:val="99"/>
    <w:semiHidden/>
    <w:unhideWhenUsed/>
    <w:rsid w:val="00067E78"/>
    <w:rPr>
      <w:color w:val="800080" w:themeColor="followedHyperlink"/>
      <w:u w:val="single"/>
    </w:rPr>
  </w:style>
  <w:style w:type="table" w:styleId="TableGrid">
    <w:name w:val="Table Grid"/>
    <w:basedOn w:val="TableNormal"/>
    <w:uiPriority w:val="39"/>
    <w:rsid w:val="009F6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5FAF"/>
    <w:pPr>
      <w:tabs>
        <w:tab w:val="center" w:pos="4680"/>
        <w:tab w:val="right" w:pos="9360"/>
      </w:tabs>
    </w:pPr>
  </w:style>
  <w:style w:type="character" w:customStyle="1" w:styleId="FooterChar">
    <w:name w:val="Footer Char"/>
    <w:basedOn w:val="DefaultParagraphFont"/>
    <w:link w:val="Footer"/>
    <w:uiPriority w:val="99"/>
    <w:rsid w:val="00895FAF"/>
  </w:style>
  <w:style w:type="paragraph" w:styleId="BodyText">
    <w:name w:val="Body Text"/>
    <w:basedOn w:val="Normal"/>
    <w:link w:val="BodyTextChar"/>
    <w:uiPriority w:val="1"/>
    <w:qFormat/>
    <w:rsid w:val="007152C3"/>
    <w:pPr>
      <w:widowControl w:val="0"/>
      <w:autoSpaceDE w:val="0"/>
      <w:autoSpaceDN w:val="0"/>
      <w:jc w:val="left"/>
    </w:pPr>
  </w:style>
  <w:style w:type="character" w:customStyle="1" w:styleId="BodyTextChar">
    <w:name w:val="Body Text Char"/>
    <w:basedOn w:val="DefaultParagraphFont"/>
    <w:link w:val="BodyText"/>
    <w:uiPriority w:val="1"/>
    <w:rsid w:val="00715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42805">
      <w:bodyDiv w:val="1"/>
      <w:marLeft w:val="0"/>
      <w:marRight w:val="0"/>
      <w:marTop w:val="0"/>
      <w:marBottom w:val="0"/>
      <w:divBdr>
        <w:top w:val="none" w:sz="0" w:space="0" w:color="auto"/>
        <w:left w:val="none" w:sz="0" w:space="0" w:color="auto"/>
        <w:bottom w:val="none" w:sz="0" w:space="0" w:color="auto"/>
        <w:right w:val="none" w:sz="0" w:space="0" w:color="auto"/>
      </w:divBdr>
    </w:div>
    <w:div w:id="854031994">
      <w:bodyDiv w:val="1"/>
      <w:marLeft w:val="0"/>
      <w:marRight w:val="0"/>
      <w:marTop w:val="0"/>
      <w:marBottom w:val="0"/>
      <w:divBdr>
        <w:top w:val="none" w:sz="0" w:space="0" w:color="auto"/>
        <w:left w:val="none" w:sz="0" w:space="0" w:color="auto"/>
        <w:bottom w:val="none" w:sz="0" w:space="0" w:color="auto"/>
        <w:right w:val="none" w:sz="0" w:space="0" w:color="auto"/>
      </w:divBdr>
    </w:div>
    <w:div w:id="139350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mis-bycatch.org/index.php/mitigation-techniques/safe-handling-releas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AD843-EB33-4614-95F0-60DE117D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9</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Dorothee Pinet</dc:creator>
  <cp:lastModifiedBy>Christine Peyre</cp:lastModifiedBy>
  <cp:revision>56</cp:revision>
  <cp:lastPrinted>2019-11-25T10:23:00Z</cp:lastPrinted>
  <dcterms:created xsi:type="dcterms:W3CDTF">2019-11-25T09:54:00Z</dcterms:created>
  <dcterms:modified xsi:type="dcterms:W3CDTF">2025-10-20T13:06:00Z</dcterms:modified>
</cp:coreProperties>
</file>