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CD0C" w14:textId="77B04243" w:rsidR="001514BC" w:rsidRPr="00C573E6" w:rsidRDefault="001514BC" w:rsidP="001514BC">
      <w:pPr>
        <w:ind w:left="487" w:right="392"/>
        <w:jc w:val="center"/>
        <w:rPr>
          <w:b/>
          <w:spacing w:val="-2"/>
          <w:sz w:val="20"/>
          <w:szCs w:val="20"/>
        </w:rPr>
      </w:pPr>
      <w:r w:rsidRPr="00C573E6">
        <w:rPr>
          <w:b/>
          <w:sz w:val="20"/>
        </w:rPr>
        <w:t>Portada para acompañar nuevas propuestas</w:t>
      </w:r>
    </w:p>
    <w:p w14:paraId="069E01AE" w14:textId="77777777" w:rsidR="001514BC" w:rsidRPr="00C573E6" w:rsidRDefault="001514BC" w:rsidP="001514BC">
      <w:pPr>
        <w:ind w:left="487" w:right="392"/>
        <w:jc w:val="center"/>
        <w:rPr>
          <w:bCs/>
          <w:i/>
          <w:iCs/>
          <w:spacing w:val="-2"/>
          <w:sz w:val="20"/>
          <w:szCs w:val="20"/>
        </w:rPr>
      </w:pPr>
      <w:r w:rsidRPr="00C573E6">
        <w:rPr>
          <w:bCs/>
          <w:i/>
          <w:iCs/>
          <w:spacing w:val="-2"/>
          <w:sz w:val="20"/>
          <w:szCs w:val="20"/>
        </w:rPr>
        <w:t>(documento presentado por Japón)</w:t>
      </w:r>
    </w:p>
    <w:p w14:paraId="76B32C27" w14:textId="77777777" w:rsidR="001514BC" w:rsidRPr="00C573E6" w:rsidRDefault="001514BC" w:rsidP="001514BC">
      <w:pPr>
        <w:ind w:right="392"/>
        <w:rPr>
          <w:b/>
          <w:sz w:val="20"/>
          <w:szCs w:val="20"/>
        </w:rPr>
      </w:pPr>
    </w:p>
    <w:p w14:paraId="52B1B9FF" w14:textId="77777777" w:rsidR="001514BC" w:rsidRPr="00C573E6" w:rsidRDefault="001514BC" w:rsidP="001514BC">
      <w:pPr>
        <w:rPr>
          <w:sz w:val="20"/>
          <w:szCs w:val="20"/>
        </w:rPr>
      </w:pPr>
    </w:p>
    <w:p w14:paraId="07393FC9" w14:textId="38D9E6F7" w:rsidR="001514BC" w:rsidRPr="00E40B19" w:rsidRDefault="001514BC" w:rsidP="001514BC">
      <w:pPr>
        <w:jc w:val="both"/>
        <w:rPr>
          <w:bCs/>
          <w:color w:val="EE0000"/>
          <w:sz w:val="20"/>
          <w:szCs w:val="20"/>
        </w:rPr>
      </w:pPr>
      <w:r w:rsidRPr="00C573E6">
        <w:rPr>
          <w:b/>
          <w:sz w:val="20"/>
        </w:rPr>
        <w:t>Título de la propuesta de Proyecto de Recomendación/Resolución</w:t>
      </w:r>
      <w:r w:rsidRPr="00C573E6">
        <w:rPr>
          <w:bCs/>
          <w:i/>
          <w:iCs/>
          <w:color w:val="EE0000"/>
          <w:sz w:val="20"/>
        </w:rPr>
        <w:t xml:space="preserve">: </w:t>
      </w:r>
      <w:r w:rsidRPr="00E40B19">
        <w:rPr>
          <w:bCs/>
          <w:color w:val="EE0000"/>
          <w:sz w:val="20"/>
        </w:rPr>
        <w:t>Proyecto de Recomendación de ICCAT sobre la conservación y</w:t>
      </w:r>
      <w:r w:rsidR="00441BAD" w:rsidRPr="00E40B19">
        <w:rPr>
          <w:bCs/>
          <w:color w:val="EE0000"/>
          <w:sz w:val="20"/>
        </w:rPr>
        <w:t xml:space="preserve"> la</w:t>
      </w:r>
      <w:r w:rsidRPr="00E40B19">
        <w:rPr>
          <w:bCs/>
          <w:color w:val="EE0000"/>
          <w:sz w:val="20"/>
        </w:rPr>
        <w:t xml:space="preserve"> ordenación de los tiburones capturados en asociación con pesquerías de ICCAT</w:t>
      </w:r>
    </w:p>
    <w:p w14:paraId="3A50B4D2" w14:textId="77777777" w:rsidR="001514BC" w:rsidRPr="00E40B19" w:rsidRDefault="001514BC" w:rsidP="001514BC">
      <w:pPr>
        <w:ind w:left="318"/>
        <w:jc w:val="both"/>
        <w:rPr>
          <w:sz w:val="20"/>
          <w:szCs w:val="20"/>
        </w:rPr>
      </w:pPr>
    </w:p>
    <w:p w14:paraId="4535BBF9" w14:textId="77777777" w:rsidR="001514BC" w:rsidRPr="00E40B19" w:rsidRDefault="001514BC" w:rsidP="001514BC">
      <w:pPr>
        <w:jc w:val="both"/>
        <w:rPr>
          <w:rFonts w:eastAsiaTheme="minorEastAsia"/>
          <w:color w:val="FF0000"/>
          <w:sz w:val="20"/>
          <w:szCs w:val="20"/>
          <w:lang w:eastAsia="ja-JP"/>
        </w:rPr>
      </w:pPr>
      <w:r w:rsidRPr="00C573E6">
        <w:rPr>
          <w:b/>
          <w:sz w:val="20"/>
        </w:rPr>
        <w:t>Título de la(s) recomendación(es) o resolución(es) actualmente vigente(s) que aborda(n) la misma cuestión o cuestiones relacionadas</w:t>
      </w:r>
      <w:r w:rsidRPr="00E40B19">
        <w:rPr>
          <w:b/>
          <w:sz w:val="20"/>
        </w:rPr>
        <w:t xml:space="preserve">: </w:t>
      </w:r>
      <w:r w:rsidRPr="00E40B19">
        <w:rPr>
          <w:rFonts w:eastAsiaTheme="minorEastAsia"/>
          <w:color w:val="FF0000"/>
          <w:sz w:val="20"/>
          <w:szCs w:val="20"/>
          <w:lang w:eastAsia="ja-JP"/>
        </w:rPr>
        <w:t>Res. 95-02</w:t>
      </w:r>
      <w:r w:rsidRPr="00E40B19">
        <w:rPr>
          <w:rFonts w:eastAsiaTheme="minorEastAsia" w:hint="eastAsia"/>
          <w:color w:val="FF0000"/>
          <w:sz w:val="20"/>
          <w:szCs w:val="20"/>
          <w:lang w:eastAsia="ja-JP"/>
        </w:rPr>
        <w:t xml:space="preserve">, </w:t>
      </w:r>
      <w:r w:rsidRPr="00E40B19">
        <w:rPr>
          <w:rFonts w:eastAsiaTheme="minorEastAsia"/>
          <w:color w:val="FF0000"/>
          <w:sz w:val="20"/>
          <w:szCs w:val="20"/>
          <w:lang w:eastAsia="ja-JP"/>
        </w:rPr>
        <w:t>Res. 03-10</w:t>
      </w:r>
      <w:r w:rsidRPr="00E40B19">
        <w:rPr>
          <w:rFonts w:eastAsiaTheme="minorEastAsia" w:hint="eastAsia"/>
          <w:color w:val="FF0000"/>
          <w:sz w:val="20"/>
          <w:szCs w:val="20"/>
          <w:lang w:eastAsia="ja-JP"/>
        </w:rPr>
        <w:t xml:space="preserve">, </w:t>
      </w:r>
      <w:r w:rsidRPr="00E40B19">
        <w:rPr>
          <w:rFonts w:eastAsiaTheme="minorEastAsia"/>
          <w:color w:val="FF0000"/>
          <w:sz w:val="20"/>
          <w:szCs w:val="20"/>
          <w:lang w:eastAsia="ja-JP"/>
        </w:rPr>
        <w:t>Rec. 04-10</w:t>
      </w:r>
      <w:r w:rsidRPr="00E40B19">
        <w:rPr>
          <w:rFonts w:eastAsiaTheme="minorEastAsia" w:hint="eastAsia"/>
          <w:color w:val="FF0000"/>
          <w:sz w:val="20"/>
          <w:szCs w:val="20"/>
          <w:lang w:eastAsia="ja-JP"/>
        </w:rPr>
        <w:t xml:space="preserve">, </w:t>
      </w:r>
      <w:r w:rsidRPr="00E40B19">
        <w:rPr>
          <w:rFonts w:eastAsiaTheme="minorEastAsia"/>
          <w:color w:val="FF0000"/>
          <w:sz w:val="20"/>
          <w:szCs w:val="20"/>
          <w:lang w:eastAsia="ja-JP"/>
        </w:rPr>
        <w:t>Rec. 07-06,</w:t>
      </w:r>
      <w:r w:rsidRPr="00E40B19">
        <w:rPr>
          <w:rFonts w:eastAsiaTheme="minorEastAsia" w:hint="eastAsia"/>
          <w:color w:val="FF0000"/>
          <w:sz w:val="20"/>
          <w:szCs w:val="20"/>
          <w:lang w:eastAsia="ja-JP"/>
        </w:rPr>
        <w:t xml:space="preserve"> </w:t>
      </w:r>
      <w:r w:rsidRPr="00E40B19">
        <w:rPr>
          <w:rFonts w:eastAsiaTheme="minorEastAsia"/>
          <w:color w:val="FF0000"/>
          <w:sz w:val="20"/>
          <w:szCs w:val="20"/>
          <w:lang w:eastAsia="ja-JP"/>
        </w:rPr>
        <w:t>Rec. 09-07,</w:t>
      </w:r>
      <w:r w:rsidRPr="00E40B19">
        <w:rPr>
          <w:rFonts w:eastAsiaTheme="minorEastAsia" w:hint="eastAsia"/>
          <w:color w:val="FF0000"/>
          <w:sz w:val="20"/>
          <w:szCs w:val="20"/>
          <w:lang w:eastAsia="ja-JP"/>
        </w:rPr>
        <w:t xml:space="preserve"> </w:t>
      </w:r>
      <w:r w:rsidRPr="00E40B19">
        <w:rPr>
          <w:rFonts w:eastAsiaTheme="minorEastAsia"/>
          <w:color w:val="FF0000"/>
          <w:sz w:val="20"/>
          <w:szCs w:val="20"/>
          <w:lang w:eastAsia="ja-JP"/>
        </w:rPr>
        <w:t>Rec. 10-07</w:t>
      </w:r>
      <w:r w:rsidRPr="00E40B19">
        <w:rPr>
          <w:rFonts w:eastAsiaTheme="minorEastAsia" w:hint="eastAsia"/>
          <w:color w:val="FF0000"/>
          <w:sz w:val="20"/>
          <w:szCs w:val="20"/>
          <w:lang w:eastAsia="ja-JP"/>
        </w:rPr>
        <w:t xml:space="preserve">, </w:t>
      </w:r>
      <w:r w:rsidRPr="00E40B19">
        <w:rPr>
          <w:rFonts w:eastAsiaTheme="minorEastAsia"/>
          <w:color w:val="FF0000"/>
          <w:sz w:val="20"/>
          <w:szCs w:val="20"/>
          <w:lang w:eastAsia="ja-JP"/>
        </w:rPr>
        <w:t>Rec. 10-08</w:t>
      </w:r>
      <w:r w:rsidRPr="00E40B19">
        <w:rPr>
          <w:rFonts w:eastAsiaTheme="minorEastAsia" w:hint="eastAsia"/>
          <w:color w:val="FF0000"/>
          <w:sz w:val="20"/>
          <w:szCs w:val="20"/>
          <w:lang w:eastAsia="ja-JP"/>
        </w:rPr>
        <w:t xml:space="preserve">, </w:t>
      </w:r>
      <w:r w:rsidRPr="00E40B19">
        <w:rPr>
          <w:rFonts w:eastAsiaTheme="minorEastAsia"/>
          <w:color w:val="FF0000"/>
          <w:sz w:val="20"/>
          <w:szCs w:val="20"/>
          <w:lang w:eastAsia="ja-JP"/>
        </w:rPr>
        <w:t>Rec. 11-08,</w:t>
      </w:r>
      <w:r w:rsidRPr="00E40B19">
        <w:rPr>
          <w:rFonts w:eastAsiaTheme="minorEastAsia" w:hint="eastAsia"/>
          <w:color w:val="FF0000"/>
          <w:sz w:val="20"/>
          <w:szCs w:val="20"/>
          <w:lang w:eastAsia="ja-JP"/>
        </w:rPr>
        <w:t xml:space="preserve"> </w:t>
      </w:r>
      <w:r w:rsidRPr="00E40B19">
        <w:rPr>
          <w:rFonts w:eastAsiaTheme="minorEastAsia"/>
          <w:color w:val="FF0000"/>
          <w:sz w:val="20"/>
          <w:szCs w:val="20"/>
          <w:lang w:eastAsia="ja-JP"/>
        </w:rPr>
        <w:t>Rec. 13-10,</w:t>
      </w:r>
      <w:r w:rsidRPr="00E40B19">
        <w:rPr>
          <w:rFonts w:eastAsiaTheme="minorEastAsia" w:hint="eastAsia"/>
          <w:color w:val="FF0000"/>
          <w:sz w:val="20"/>
          <w:szCs w:val="20"/>
          <w:lang w:eastAsia="ja-JP"/>
        </w:rPr>
        <w:t xml:space="preserve"> </w:t>
      </w:r>
      <w:r w:rsidRPr="00E40B19">
        <w:rPr>
          <w:rFonts w:eastAsiaTheme="minorEastAsia"/>
          <w:color w:val="FF0000"/>
          <w:sz w:val="20"/>
          <w:szCs w:val="20"/>
          <w:lang w:eastAsia="ja-JP"/>
        </w:rPr>
        <w:t>Rec. 15-06,</w:t>
      </w:r>
      <w:r w:rsidRPr="00E40B19">
        <w:rPr>
          <w:rFonts w:eastAsiaTheme="minorEastAsia" w:hint="eastAsia"/>
          <w:color w:val="FF0000"/>
          <w:sz w:val="20"/>
          <w:szCs w:val="20"/>
          <w:lang w:eastAsia="ja-JP"/>
        </w:rPr>
        <w:t xml:space="preserve"> </w:t>
      </w:r>
      <w:r w:rsidRPr="00E40B19">
        <w:rPr>
          <w:rFonts w:eastAsiaTheme="minorEastAsia"/>
          <w:color w:val="FF0000"/>
          <w:sz w:val="20"/>
          <w:szCs w:val="20"/>
          <w:lang w:eastAsia="ja-JP"/>
        </w:rPr>
        <w:t>Rec. 18-06 y Rec. 23-12.</w:t>
      </w:r>
    </w:p>
    <w:p w14:paraId="39791793" w14:textId="77777777" w:rsidR="001514BC" w:rsidRPr="00C573E6" w:rsidRDefault="001514BC" w:rsidP="001514BC">
      <w:pPr>
        <w:ind w:left="318"/>
        <w:jc w:val="both"/>
        <w:rPr>
          <w:sz w:val="20"/>
          <w:szCs w:val="20"/>
        </w:rPr>
      </w:pPr>
    </w:p>
    <w:p w14:paraId="758A2D41" w14:textId="77777777" w:rsidR="001514BC" w:rsidRPr="00C573E6" w:rsidRDefault="001514BC" w:rsidP="001514BC">
      <w:pPr>
        <w:pStyle w:val="ListParagraph"/>
        <w:numPr>
          <w:ilvl w:val="0"/>
          <w:numId w:val="77"/>
        </w:numPr>
        <w:ind w:left="426" w:hanging="426"/>
        <w:jc w:val="both"/>
        <w:rPr>
          <w:sz w:val="20"/>
          <w:szCs w:val="20"/>
        </w:rPr>
      </w:pPr>
      <w:r w:rsidRPr="00C573E6">
        <w:rPr>
          <w:sz w:val="20"/>
        </w:rPr>
        <w:t xml:space="preserve">¿Crea nuevas </w:t>
      </w:r>
      <w:r w:rsidRPr="00C573E6">
        <w:rPr>
          <w:b/>
          <w:sz w:val="20"/>
        </w:rPr>
        <w:t xml:space="preserve">obligaciones de comunicación </w:t>
      </w:r>
      <w:r w:rsidRPr="00C573E6">
        <w:rPr>
          <w:sz w:val="20"/>
        </w:rPr>
        <w:t xml:space="preserve">para las CPC?    </w:t>
      </w:r>
    </w:p>
    <w:p w14:paraId="50F7020F" w14:textId="77777777" w:rsidR="001514BC" w:rsidRPr="00C573E6" w:rsidRDefault="001514BC" w:rsidP="001514BC">
      <w:pPr>
        <w:pStyle w:val="ListParagraph"/>
        <w:ind w:left="426" w:firstLine="0"/>
        <w:jc w:val="both"/>
        <w:rPr>
          <w:sz w:val="20"/>
        </w:rPr>
      </w:pPr>
    </w:p>
    <w:p w14:paraId="2F16E592" w14:textId="77777777" w:rsidR="001514BC" w:rsidRPr="00C573E6" w:rsidRDefault="001514BC" w:rsidP="001514BC">
      <w:pPr>
        <w:pStyle w:val="ListParagraph"/>
        <w:ind w:left="426" w:firstLine="0"/>
        <w:jc w:val="both"/>
        <w:rPr>
          <w:color w:val="EE0000"/>
          <w:sz w:val="20"/>
          <w:szCs w:val="20"/>
        </w:rPr>
      </w:pPr>
      <w:r w:rsidRPr="00C573E6">
        <w:rPr>
          <w:sz w:val="20"/>
        </w:rPr>
        <w:t xml:space="preserve"> </w:t>
      </w:r>
      <w:r w:rsidRPr="00C573E6">
        <w:rPr>
          <w:color w:val="EE0000"/>
          <w:sz w:val="20"/>
        </w:rPr>
        <w:t xml:space="preserve">Sí </w:t>
      </w:r>
      <w:sdt>
        <w:sdtPr>
          <w:rPr>
            <w:color w:val="EE0000"/>
            <w:spacing w:val="-2"/>
            <w:sz w:val="20"/>
            <w:szCs w:val="20"/>
          </w:rPr>
          <w:id w:val="-485468198"/>
          <w14:checkbox>
            <w14:checked w14:val="1"/>
            <w14:checkedState w14:val="2612" w14:font="MS Gothic"/>
            <w14:uncheckedState w14:val="2610" w14:font="MS Gothic"/>
          </w14:checkbox>
        </w:sdtPr>
        <w:sdtEndPr/>
        <w:sdtContent>
          <w:r w:rsidRPr="00C573E6">
            <w:rPr>
              <w:rFonts w:ascii="MS Gothic" w:eastAsia="MS Gothic" w:hAnsi="MS Gothic" w:hint="eastAsia"/>
              <w:color w:val="EE0000"/>
              <w:spacing w:val="-2"/>
              <w:sz w:val="20"/>
              <w:szCs w:val="20"/>
            </w:rPr>
            <w:t>☒</w:t>
          </w:r>
        </w:sdtContent>
      </w:sdt>
      <w:r w:rsidRPr="00C573E6">
        <w:rPr>
          <w:sz w:val="20"/>
        </w:rPr>
        <w:tab/>
        <w:t xml:space="preserve">No </w:t>
      </w:r>
      <w:sdt>
        <w:sdtPr>
          <w:rPr>
            <w:spacing w:val="-2"/>
            <w:sz w:val="20"/>
            <w:szCs w:val="20"/>
          </w:rPr>
          <w:id w:val="1023908184"/>
          <w14:checkbox>
            <w14:checked w14:val="1"/>
            <w14:checkedState w14:val="2612" w14:font="MS Gothic"/>
            <w14:uncheckedState w14:val="2610" w14:font="MS Gothic"/>
          </w14:checkbox>
        </w:sdtPr>
        <w:sdtEndPr/>
        <w:sdtContent>
          <w:r w:rsidRPr="00C573E6">
            <w:rPr>
              <w:rFonts w:ascii="MS Gothic" w:eastAsia="MS Gothic" w:hAnsi="MS Gothic" w:hint="eastAsia"/>
              <w:spacing w:val="-2"/>
              <w:sz w:val="20"/>
              <w:szCs w:val="20"/>
            </w:rPr>
            <w:t>☒</w:t>
          </w:r>
        </w:sdtContent>
      </w:sdt>
    </w:p>
    <w:p w14:paraId="1C71F000" w14:textId="77777777" w:rsidR="001514BC" w:rsidRPr="00C573E6" w:rsidRDefault="001514BC" w:rsidP="001514BC">
      <w:pPr>
        <w:pStyle w:val="BodyText"/>
      </w:pPr>
    </w:p>
    <w:p w14:paraId="5A11014C" w14:textId="77777777" w:rsidR="001514BC" w:rsidRPr="00C573E6" w:rsidRDefault="001514BC" w:rsidP="001514BC">
      <w:pPr>
        <w:ind w:left="426"/>
        <w:jc w:val="both"/>
        <w:rPr>
          <w:sz w:val="20"/>
          <w:szCs w:val="20"/>
        </w:rPr>
      </w:pPr>
      <w:r w:rsidRPr="00C573E6">
        <w:rPr>
          <w:sz w:val="20"/>
        </w:rPr>
        <w:t>Breve descripción de la(s) nueva(s) obligación(es) de comunicación:</w:t>
      </w:r>
    </w:p>
    <w:p w14:paraId="596B9D85" w14:textId="77777777" w:rsidR="001514BC" w:rsidRPr="00C573E6" w:rsidRDefault="001514BC" w:rsidP="001514BC">
      <w:pPr>
        <w:pStyle w:val="BodyText"/>
        <w:ind w:left="426"/>
        <w:jc w:val="both"/>
        <w:rPr>
          <w:i/>
          <w:iCs/>
          <w:color w:val="EE0000"/>
        </w:rPr>
      </w:pPr>
      <w:r w:rsidRPr="00E40B19">
        <w:rPr>
          <w:color w:val="EE0000"/>
        </w:rPr>
        <w:t>Esta propuesta incluye nuevas obligaciones de información que se aplican a las CPC que eligen una medida alternativa para la política de aletas adheridas de forma natural</w:t>
      </w:r>
      <w:r w:rsidRPr="00C573E6">
        <w:rPr>
          <w:i/>
          <w:iCs/>
          <w:color w:val="EE0000"/>
        </w:rPr>
        <w:t xml:space="preserve">.    </w:t>
      </w:r>
    </w:p>
    <w:p w14:paraId="2BCB4F45" w14:textId="77777777" w:rsidR="001F7BCC" w:rsidRPr="00C573E6" w:rsidRDefault="001F7BCC" w:rsidP="001514BC">
      <w:pPr>
        <w:pStyle w:val="BodyText"/>
        <w:ind w:left="426"/>
        <w:jc w:val="both"/>
        <w:rPr>
          <w:i/>
          <w:iCs/>
          <w:color w:val="EE0000"/>
        </w:rPr>
      </w:pPr>
    </w:p>
    <w:p w14:paraId="5DF2F028" w14:textId="77777777" w:rsidR="001514BC" w:rsidRPr="00C573E6" w:rsidRDefault="001514BC" w:rsidP="001514BC">
      <w:pPr>
        <w:pStyle w:val="ListParagraph"/>
        <w:numPr>
          <w:ilvl w:val="0"/>
          <w:numId w:val="77"/>
        </w:numPr>
        <w:tabs>
          <w:tab w:val="left" w:pos="6804"/>
        </w:tabs>
        <w:ind w:left="426" w:hanging="426"/>
        <w:jc w:val="both"/>
        <w:rPr>
          <w:sz w:val="20"/>
          <w:szCs w:val="20"/>
        </w:rPr>
      </w:pPr>
      <w:r w:rsidRPr="00C573E6">
        <w:rPr>
          <w:sz w:val="20"/>
        </w:rPr>
        <w:t xml:space="preserve">¿Requiere aportaciones o </w:t>
      </w:r>
      <w:r w:rsidRPr="00C573E6">
        <w:rPr>
          <w:b/>
          <w:sz w:val="20"/>
        </w:rPr>
        <w:t xml:space="preserve">trabajo </w:t>
      </w:r>
      <w:r w:rsidRPr="00C573E6">
        <w:rPr>
          <w:bCs/>
          <w:sz w:val="20"/>
        </w:rPr>
        <w:t>adicional</w:t>
      </w:r>
      <w:r w:rsidRPr="00C573E6">
        <w:rPr>
          <w:b/>
          <w:sz w:val="20"/>
        </w:rPr>
        <w:t xml:space="preserve"> por parte del SCRS</w:t>
      </w:r>
      <w:r w:rsidRPr="00C573E6">
        <w:rPr>
          <w:sz w:val="20"/>
        </w:rPr>
        <w:t xml:space="preserve">?   </w:t>
      </w:r>
    </w:p>
    <w:p w14:paraId="4BF429B7" w14:textId="77777777" w:rsidR="001514BC" w:rsidRPr="00C573E6" w:rsidRDefault="001514BC" w:rsidP="001514BC">
      <w:pPr>
        <w:pStyle w:val="ListParagraph"/>
        <w:tabs>
          <w:tab w:val="left" w:pos="6804"/>
        </w:tabs>
        <w:ind w:left="426" w:firstLine="0"/>
        <w:jc w:val="both"/>
        <w:rPr>
          <w:sz w:val="20"/>
        </w:rPr>
      </w:pPr>
    </w:p>
    <w:p w14:paraId="70F11CA2" w14:textId="77777777" w:rsidR="001514BC" w:rsidRPr="00C573E6" w:rsidRDefault="001514BC" w:rsidP="001514BC">
      <w:pPr>
        <w:pStyle w:val="ListParagraph"/>
        <w:tabs>
          <w:tab w:val="left" w:pos="6804"/>
        </w:tabs>
        <w:ind w:left="426" w:firstLine="0"/>
        <w:jc w:val="both"/>
        <w:rPr>
          <w:sz w:val="20"/>
          <w:szCs w:val="20"/>
        </w:rPr>
      </w:pPr>
      <w:r w:rsidRPr="00C573E6">
        <w:rPr>
          <w:sz w:val="20"/>
        </w:rPr>
        <w:t xml:space="preserve"> Sí </w:t>
      </w:r>
      <w:sdt>
        <w:sdtPr>
          <w:rPr>
            <w:spacing w:val="-2"/>
            <w:sz w:val="20"/>
            <w:szCs w:val="20"/>
          </w:rPr>
          <w:id w:val="-1931580304"/>
          <w14:checkbox>
            <w14:checked w14:val="0"/>
            <w14:checkedState w14:val="2612" w14:font="MS Gothic"/>
            <w14:uncheckedState w14:val="2610" w14:font="MS Gothic"/>
          </w14:checkbox>
        </w:sdtPr>
        <w:sdtEndPr/>
        <w:sdtContent>
          <w:r w:rsidRPr="00C573E6">
            <w:rPr>
              <w:rFonts w:ascii="MS Gothic" w:eastAsia="MS Gothic" w:hAnsi="MS Gothic" w:hint="eastAsia"/>
              <w:spacing w:val="-2"/>
              <w:sz w:val="20"/>
              <w:szCs w:val="20"/>
            </w:rPr>
            <w:t>☐</w:t>
          </w:r>
        </w:sdtContent>
      </w:sdt>
      <w:r w:rsidRPr="00C573E6">
        <w:rPr>
          <w:sz w:val="20"/>
        </w:rPr>
        <w:t xml:space="preserve">             </w:t>
      </w:r>
      <w:r w:rsidRPr="00C573E6">
        <w:rPr>
          <w:color w:val="EE0000"/>
          <w:sz w:val="20"/>
        </w:rPr>
        <w:t xml:space="preserve">No </w:t>
      </w:r>
      <w:sdt>
        <w:sdtPr>
          <w:rPr>
            <w:color w:val="EE0000"/>
            <w:spacing w:val="-2"/>
            <w:sz w:val="20"/>
            <w:szCs w:val="20"/>
          </w:rPr>
          <w:id w:val="1897850327"/>
          <w14:checkbox>
            <w14:checked w14:val="1"/>
            <w14:checkedState w14:val="2612" w14:font="MS Gothic"/>
            <w14:uncheckedState w14:val="2610" w14:font="MS Gothic"/>
          </w14:checkbox>
        </w:sdtPr>
        <w:sdtEndPr/>
        <w:sdtContent>
          <w:r w:rsidRPr="00C573E6">
            <w:rPr>
              <w:rFonts w:ascii="MS Gothic" w:eastAsia="MS Gothic" w:hAnsi="MS Gothic" w:hint="eastAsia"/>
              <w:color w:val="EE0000"/>
              <w:spacing w:val="-2"/>
              <w:sz w:val="20"/>
              <w:szCs w:val="20"/>
            </w:rPr>
            <w:t>☒</w:t>
          </w:r>
        </w:sdtContent>
      </w:sdt>
    </w:p>
    <w:p w14:paraId="6CE453CE" w14:textId="77777777" w:rsidR="001514BC" w:rsidRPr="00C573E6" w:rsidRDefault="001514BC" w:rsidP="001514BC">
      <w:pPr>
        <w:ind w:left="360"/>
        <w:rPr>
          <w:sz w:val="20"/>
          <w:szCs w:val="20"/>
        </w:rPr>
      </w:pPr>
    </w:p>
    <w:p w14:paraId="0E7007D7" w14:textId="77777777" w:rsidR="001514BC" w:rsidRPr="00C573E6" w:rsidRDefault="001514BC" w:rsidP="001514BC">
      <w:pPr>
        <w:tabs>
          <w:tab w:val="left" w:pos="6804"/>
          <w:tab w:val="left" w:pos="7371"/>
        </w:tabs>
        <w:ind w:left="360" w:firstLine="66"/>
        <w:jc w:val="both"/>
        <w:rPr>
          <w:sz w:val="20"/>
        </w:rPr>
      </w:pPr>
      <w:r w:rsidRPr="00C573E6">
        <w:rPr>
          <w:sz w:val="20"/>
        </w:rPr>
        <w:t>¿Está este trabajo ya incluido en el Plan de trabajo actual del SCRS?</w:t>
      </w:r>
      <w:r w:rsidRPr="00C573E6">
        <w:rPr>
          <w:sz w:val="20"/>
        </w:rPr>
        <w:tab/>
      </w:r>
    </w:p>
    <w:p w14:paraId="7AE97C46" w14:textId="77777777" w:rsidR="001514BC" w:rsidRPr="00C573E6" w:rsidRDefault="001514BC" w:rsidP="001514BC">
      <w:pPr>
        <w:ind w:left="360"/>
        <w:rPr>
          <w:sz w:val="20"/>
          <w:szCs w:val="20"/>
        </w:rPr>
      </w:pPr>
    </w:p>
    <w:p w14:paraId="6A5179F8" w14:textId="77777777" w:rsidR="001514BC" w:rsidRPr="00C573E6" w:rsidRDefault="001514BC" w:rsidP="001514BC">
      <w:pPr>
        <w:pStyle w:val="ListParagraph"/>
        <w:tabs>
          <w:tab w:val="left" w:pos="6804"/>
        </w:tabs>
        <w:ind w:left="426" w:firstLine="0"/>
        <w:jc w:val="both"/>
        <w:rPr>
          <w:sz w:val="20"/>
          <w:szCs w:val="20"/>
        </w:rPr>
      </w:pPr>
      <w:r w:rsidRPr="00C573E6">
        <w:rPr>
          <w:sz w:val="20"/>
        </w:rPr>
        <w:t xml:space="preserve"> Sí </w:t>
      </w:r>
      <w:sdt>
        <w:sdtPr>
          <w:rPr>
            <w:spacing w:val="-2"/>
            <w:sz w:val="20"/>
            <w:szCs w:val="20"/>
          </w:rPr>
          <w:id w:val="-2054992072"/>
          <w14:checkbox>
            <w14:checked w14:val="0"/>
            <w14:checkedState w14:val="2612" w14:font="MS Gothic"/>
            <w14:uncheckedState w14:val="2610" w14:font="MS Gothic"/>
          </w14:checkbox>
        </w:sdtPr>
        <w:sdtEndPr/>
        <w:sdtContent>
          <w:r w:rsidRPr="00C573E6">
            <w:rPr>
              <w:rFonts w:ascii="MS Gothic" w:eastAsia="MS Gothic" w:hAnsi="MS Gothic" w:hint="eastAsia"/>
              <w:spacing w:val="-2"/>
              <w:sz w:val="20"/>
              <w:szCs w:val="20"/>
            </w:rPr>
            <w:t>☐</w:t>
          </w:r>
        </w:sdtContent>
      </w:sdt>
      <w:r w:rsidRPr="00C573E6">
        <w:rPr>
          <w:sz w:val="20"/>
        </w:rPr>
        <w:t xml:space="preserve">             No </w:t>
      </w:r>
      <w:sdt>
        <w:sdtPr>
          <w:rPr>
            <w:spacing w:val="-2"/>
            <w:sz w:val="20"/>
            <w:szCs w:val="20"/>
          </w:rPr>
          <w:id w:val="1894932277"/>
          <w14:checkbox>
            <w14:checked w14:val="0"/>
            <w14:checkedState w14:val="2612" w14:font="MS Gothic"/>
            <w14:uncheckedState w14:val="2610" w14:font="MS Gothic"/>
          </w14:checkbox>
        </w:sdtPr>
        <w:sdtEndPr/>
        <w:sdtContent>
          <w:r w:rsidRPr="00C573E6">
            <w:rPr>
              <w:rFonts w:ascii="MS Gothic" w:eastAsia="MS Gothic" w:hAnsi="MS Gothic" w:hint="eastAsia"/>
              <w:spacing w:val="-2"/>
              <w:sz w:val="20"/>
              <w:szCs w:val="20"/>
            </w:rPr>
            <w:t>☐</w:t>
          </w:r>
        </w:sdtContent>
      </w:sdt>
    </w:p>
    <w:p w14:paraId="52C118B4" w14:textId="77777777" w:rsidR="001514BC" w:rsidRPr="00C573E6" w:rsidRDefault="001514BC" w:rsidP="001514BC">
      <w:pPr>
        <w:ind w:left="360"/>
        <w:rPr>
          <w:sz w:val="20"/>
          <w:szCs w:val="20"/>
        </w:rPr>
      </w:pPr>
    </w:p>
    <w:p w14:paraId="54DD83A9" w14:textId="77777777" w:rsidR="001514BC" w:rsidRPr="00C573E6" w:rsidRDefault="001514BC" w:rsidP="001514BC">
      <w:pPr>
        <w:ind w:left="360"/>
        <w:jc w:val="both"/>
        <w:rPr>
          <w:sz w:val="20"/>
          <w:szCs w:val="20"/>
        </w:rPr>
      </w:pPr>
      <w:r w:rsidRPr="00C573E6">
        <w:rPr>
          <w:sz w:val="20"/>
        </w:rPr>
        <w:t xml:space="preserve">Breve descripción del nuevo trabajo científico necesario (es decir, evaluación del stock, análisis, consultor externo): </w:t>
      </w:r>
    </w:p>
    <w:p w14:paraId="5110D52B" w14:textId="77777777" w:rsidR="001514BC" w:rsidRPr="00C573E6" w:rsidRDefault="001514BC" w:rsidP="001514BC">
      <w:pPr>
        <w:ind w:left="318"/>
        <w:rPr>
          <w:sz w:val="20"/>
          <w:szCs w:val="20"/>
        </w:rPr>
      </w:pPr>
    </w:p>
    <w:p w14:paraId="0DCEA63F" w14:textId="77777777" w:rsidR="001514BC" w:rsidRPr="00C573E6" w:rsidRDefault="001514BC" w:rsidP="001514BC">
      <w:pPr>
        <w:ind w:left="318"/>
        <w:rPr>
          <w:sz w:val="20"/>
          <w:szCs w:val="20"/>
        </w:rPr>
      </w:pPr>
    </w:p>
    <w:p w14:paraId="4BCC6746" w14:textId="77777777" w:rsidR="001514BC" w:rsidRPr="00C573E6" w:rsidRDefault="001514BC" w:rsidP="001514BC">
      <w:pPr>
        <w:ind w:left="318"/>
        <w:rPr>
          <w:sz w:val="20"/>
          <w:szCs w:val="20"/>
        </w:rPr>
      </w:pPr>
    </w:p>
    <w:p w14:paraId="7BA2BE98" w14:textId="77777777" w:rsidR="001514BC" w:rsidRPr="00C573E6" w:rsidRDefault="001514BC" w:rsidP="001514BC">
      <w:pPr>
        <w:pStyle w:val="ListParagraph"/>
        <w:numPr>
          <w:ilvl w:val="0"/>
          <w:numId w:val="77"/>
        </w:numPr>
        <w:ind w:left="426" w:hanging="426"/>
        <w:jc w:val="both"/>
        <w:rPr>
          <w:sz w:val="20"/>
          <w:szCs w:val="20"/>
        </w:rPr>
      </w:pPr>
      <w:r w:rsidRPr="00C573E6">
        <w:rPr>
          <w:sz w:val="20"/>
        </w:rPr>
        <w:t xml:space="preserve">¿Implica la creación de un </w:t>
      </w:r>
      <w:r w:rsidRPr="00C573E6">
        <w:rPr>
          <w:b/>
          <w:sz w:val="20"/>
        </w:rPr>
        <w:t>nuevo grupo de trabajo o proceso intersesiones</w:t>
      </w:r>
      <w:r w:rsidRPr="00C573E6">
        <w:rPr>
          <w:sz w:val="20"/>
        </w:rPr>
        <w:t xml:space="preserve">?   </w:t>
      </w:r>
    </w:p>
    <w:p w14:paraId="2D76C914" w14:textId="77777777" w:rsidR="001514BC" w:rsidRPr="00C573E6" w:rsidRDefault="001514BC" w:rsidP="001514BC">
      <w:pPr>
        <w:pStyle w:val="ListParagraph"/>
        <w:ind w:left="426" w:firstLine="0"/>
        <w:jc w:val="both"/>
        <w:rPr>
          <w:sz w:val="20"/>
        </w:rPr>
      </w:pPr>
    </w:p>
    <w:p w14:paraId="410CC17B" w14:textId="77777777" w:rsidR="001514BC" w:rsidRPr="00C573E6" w:rsidRDefault="001514BC" w:rsidP="001514BC">
      <w:pPr>
        <w:pStyle w:val="ListParagraph"/>
        <w:ind w:left="426" w:firstLine="0"/>
        <w:jc w:val="both"/>
        <w:rPr>
          <w:color w:val="EE0000"/>
          <w:sz w:val="20"/>
          <w:szCs w:val="20"/>
        </w:rPr>
      </w:pPr>
      <w:r w:rsidRPr="00C573E6">
        <w:rPr>
          <w:sz w:val="20"/>
        </w:rPr>
        <w:t xml:space="preserve"> Sí </w:t>
      </w:r>
      <w:sdt>
        <w:sdtPr>
          <w:rPr>
            <w:spacing w:val="-2"/>
            <w:sz w:val="20"/>
            <w:szCs w:val="20"/>
          </w:rPr>
          <w:id w:val="487145199"/>
          <w14:checkbox>
            <w14:checked w14:val="0"/>
            <w14:checkedState w14:val="2612" w14:font="MS Gothic"/>
            <w14:uncheckedState w14:val="2610" w14:font="MS Gothic"/>
          </w14:checkbox>
        </w:sdtPr>
        <w:sdtEndPr/>
        <w:sdtContent>
          <w:r w:rsidRPr="00C573E6">
            <w:rPr>
              <w:rFonts w:ascii="MS Gothic" w:eastAsia="MS Gothic" w:hAnsi="MS Gothic" w:hint="eastAsia"/>
              <w:spacing w:val="-2"/>
              <w:sz w:val="20"/>
              <w:szCs w:val="20"/>
            </w:rPr>
            <w:t>☐</w:t>
          </w:r>
        </w:sdtContent>
      </w:sdt>
      <w:r w:rsidRPr="00C573E6">
        <w:rPr>
          <w:sz w:val="20"/>
        </w:rPr>
        <w:t xml:space="preserve">    </w:t>
      </w:r>
      <w:r w:rsidRPr="00C573E6">
        <w:rPr>
          <w:color w:val="EE0000"/>
          <w:sz w:val="20"/>
        </w:rPr>
        <w:t xml:space="preserve">No </w:t>
      </w:r>
      <w:sdt>
        <w:sdtPr>
          <w:rPr>
            <w:rFonts w:ascii="Wingdings" w:hAnsi="Wingdings"/>
            <w:color w:val="EE0000"/>
            <w:spacing w:val="-2"/>
            <w:sz w:val="20"/>
            <w:szCs w:val="20"/>
          </w:rPr>
          <w:id w:val="124045408"/>
          <w14:checkbox>
            <w14:checked w14:val="1"/>
            <w14:checkedState w14:val="2612" w14:font="MS Gothic"/>
            <w14:uncheckedState w14:val="2610" w14:font="MS Gothic"/>
          </w14:checkbox>
        </w:sdtPr>
        <w:sdtEndPr/>
        <w:sdtContent>
          <w:r w:rsidRPr="00C573E6">
            <w:rPr>
              <w:rFonts w:ascii="MS Gothic" w:eastAsia="MS Gothic" w:hAnsi="MS Gothic" w:hint="eastAsia"/>
              <w:color w:val="EE0000"/>
              <w:spacing w:val="-2"/>
              <w:sz w:val="20"/>
              <w:szCs w:val="20"/>
            </w:rPr>
            <w:t>☒</w:t>
          </w:r>
        </w:sdtContent>
      </w:sdt>
    </w:p>
    <w:p w14:paraId="216774E3" w14:textId="77777777" w:rsidR="001514BC" w:rsidRPr="00C573E6" w:rsidRDefault="001514BC" w:rsidP="001514BC">
      <w:pPr>
        <w:ind w:left="318"/>
        <w:rPr>
          <w:sz w:val="20"/>
          <w:szCs w:val="20"/>
        </w:rPr>
      </w:pPr>
    </w:p>
    <w:p w14:paraId="18FBDCD8" w14:textId="77777777" w:rsidR="001514BC" w:rsidRPr="00C573E6" w:rsidRDefault="001514BC" w:rsidP="001514BC">
      <w:pPr>
        <w:ind w:left="318"/>
        <w:rPr>
          <w:sz w:val="20"/>
          <w:szCs w:val="20"/>
        </w:rPr>
      </w:pPr>
    </w:p>
    <w:p w14:paraId="1153FCAD" w14:textId="77777777" w:rsidR="001514BC" w:rsidRPr="00C573E6" w:rsidRDefault="001514BC" w:rsidP="001514BC">
      <w:pPr>
        <w:pStyle w:val="ListParagraph"/>
        <w:numPr>
          <w:ilvl w:val="0"/>
          <w:numId w:val="77"/>
        </w:numPr>
        <w:ind w:left="426" w:hanging="426"/>
        <w:jc w:val="both"/>
        <w:rPr>
          <w:sz w:val="20"/>
          <w:szCs w:val="20"/>
        </w:rPr>
      </w:pPr>
      <w:r w:rsidRPr="00C573E6">
        <w:rPr>
          <w:sz w:val="20"/>
        </w:rPr>
        <w:t xml:space="preserve">¿Requiere un nuevo </w:t>
      </w:r>
      <w:r w:rsidRPr="00C573E6">
        <w:rPr>
          <w:b/>
          <w:sz w:val="20"/>
        </w:rPr>
        <w:t>programa o actividades adicionales que deba gestionar la Secretaría</w:t>
      </w:r>
      <w:r w:rsidRPr="00C573E6">
        <w:rPr>
          <w:sz w:val="20"/>
        </w:rPr>
        <w:t xml:space="preserve">?  </w:t>
      </w:r>
    </w:p>
    <w:p w14:paraId="5E1120C8" w14:textId="77777777" w:rsidR="001514BC" w:rsidRPr="00C573E6" w:rsidRDefault="001514BC" w:rsidP="001514BC">
      <w:pPr>
        <w:pStyle w:val="ListParagraph"/>
        <w:ind w:left="426" w:firstLine="0"/>
        <w:rPr>
          <w:spacing w:val="-2"/>
          <w:sz w:val="20"/>
          <w:szCs w:val="20"/>
        </w:rPr>
      </w:pPr>
    </w:p>
    <w:p w14:paraId="522391BD" w14:textId="77777777" w:rsidR="001514BC" w:rsidRPr="00C573E6" w:rsidRDefault="001514BC" w:rsidP="001514BC">
      <w:pPr>
        <w:ind w:left="318" w:firstLine="108"/>
        <w:rPr>
          <w:rFonts w:ascii="Wingdings" w:hAnsi="Wingdings"/>
          <w:spacing w:val="-2"/>
          <w:sz w:val="20"/>
          <w:szCs w:val="20"/>
        </w:rPr>
      </w:pPr>
      <w:r w:rsidRPr="00C573E6">
        <w:rPr>
          <w:color w:val="EE0000"/>
          <w:sz w:val="20"/>
        </w:rPr>
        <w:t xml:space="preserve">Sí </w:t>
      </w:r>
      <w:sdt>
        <w:sdtPr>
          <w:rPr>
            <w:color w:val="EE0000"/>
            <w:spacing w:val="-2"/>
            <w:sz w:val="20"/>
            <w:szCs w:val="20"/>
          </w:rPr>
          <w:id w:val="1287232970"/>
          <w14:checkbox>
            <w14:checked w14:val="1"/>
            <w14:checkedState w14:val="2612" w14:font="MS Gothic"/>
            <w14:uncheckedState w14:val="2610" w14:font="MS Gothic"/>
          </w14:checkbox>
        </w:sdtPr>
        <w:sdtEndPr/>
        <w:sdtContent>
          <w:r w:rsidRPr="00C573E6">
            <w:rPr>
              <w:rFonts w:ascii="MS Gothic" w:eastAsia="MS Gothic" w:hAnsi="MS Gothic" w:hint="eastAsia"/>
              <w:color w:val="EE0000"/>
              <w:spacing w:val="-2"/>
              <w:sz w:val="20"/>
              <w:szCs w:val="20"/>
            </w:rPr>
            <w:t>☒</w:t>
          </w:r>
        </w:sdtContent>
      </w:sdt>
      <w:r w:rsidRPr="00C573E6">
        <w:rPr>
          <w:color w:val="EE0000"/>
          <w:sz w:val="20"/>
        </w:rPr>
        <w:t xml:space="preserve">    </w:t>
      </w:r>
      <w:r w:rsidRPr="00C573E6">
        <w:rPr>
          <w:sz w:val="20"/>
        </w:rPr>
        <w:t xml:space="preserve">No </w:t>
      </w:r>
      <w:sdt>
        <w:sdtPr>
          <w:rPr>
            <w:rFonts w:ascii="Wingdings" w:hAnsi="Wingdings"/>
            <w:spacing w:val="-2"/>
            <w:sz w:val="20"/>
            <w:szCs w:val="20"/>
          </w:rPr>
          <w:id w:val="-1378082529"/>
          <w14:checkbox>
            <w14:checked w14:val="1"/>
            <w14:checkedState w14:val="2612" w14:font="MS Gothic"/>
            <w14:uncheckedState w14:val="2610" w14:font="MS Gothic"/>
          </w14:checkbox>
        </w:sdtPr>
        <w:sdtEndPr/>
        <w:sdtContent>
          <w:r w:rsidRPr="00C573E6">
            <w:rPr>
              <w:rFonts w:ascii="MS Gothic" w:eastAsia="MS Gothic" w:hAnsi="MS Gothic" w:hint="eastAsia"/>
              <w:spacing w:val="-2"/>
              <w:sz w:val="20"/>
              <w:szCs w:val="20"/>
            </w:rPr>
            <w:t>☒</w:t>
          </w:r>
        </w:sdtContent>
      </w:sdt>
    </w:p>
    <w:p w14:paraId="399AEDE1" w14:textId="77777777" w:rsidR="001514BC" w:rsidRPr="00C573E6" w:rsidRDefault="001514BC" w:rsidP="001514BC">
      <w:pPr>
        <w:ind w:left="318"/>
        <w:rPr>
          <w:sz w:val="20"/>
          <w:szCs w:val="20"/>
        </w:rPr>
      </w:pPr>
    </w:p>
    <w:p w14:paraId="07A4B200" w14:textId="77777777" w:rsidR="001514BC" w:rsidRPr="00C573E6" w:rsidRDefault="001514BC" w:rsidP="001514BC">
      <w:pPr>
        <w:ind w:left="360" w:firstLine="66"/>
        <w:jc w:val="both"/>
        <w:rPr>
          <w:sz w:val="20"/>
        </w:rPr>
      </w:pPr>
      <w:r w:rsidRPr="00C573E6">
        <w:rPr>
          <w:sz w:val="20"/>
        </w:rPr>
        <w:t>Breve descripción del nuevo trabajo necesario de la Secretaría:</w:t>
      </w:r>
    </w:p>
    <w:p w14:paraId="544D54A2" w14:textId="77777777" w:rsidR="001514BC" w:rsidRPr="00E40B19" w:rsidRDefault="001514BC" w:rsidP="001514BC">
      <w:pPr>
        <w:ind w:left="426"/>
        <w:jc w:val="both"/>
        <w:rPr>
          <w:color w:val="EE0000"/>
          <w:spacing w:val="-2"/>
          <w:sz w:val="20"/>
          <w:szCs w:val="20"/>
        </w:rPr>
      </w:pPr>
      <w:r w:rsidRPr="00E40B19">
        <w:rPr>
          <w:color w:val="EE0000"/>
          <w:spacing w:val="-2"/>
          <w:sz w:val="20"/>
          <w:szCs w:val="20"/>
        </w:rPr>
        <w:t>Se solicita a la Secretaría que recopile la información relativa a la aplicación de la norma de aletas adheridas de forma natural o de las medidas alternativas.</w:t>
      </w:r>
    </w:p>
    <w:p w14:paraId="35B4B241" w14:textId="77777777" w:rsidR="001514BC" w:rsidRPr="00E40B19" w:rsidRDefault="001514BC" w:rsidP="001514BC">
      <w:pPr>
        <w:rPr>
          <w:spacing w:val="-2"/>
          <w:sz w:val="20"/>
          <w:szCs w:val="20"/>
        </w:rPr>
      </w:pPr>
    </w:p>
    <w:p w14:paraId="70273490" w14:textId="77777777" w:rsidR="001514BC" w:rsidRPr="00E40B19" w:rsidRDefault="001514BC" w:rsidP="001514BC">
      <w:pPr>
        <w:rPr>
          <w:spacing w:val="-2"/>
          <w:sz w:val="20"/>
          <w:szCs w:val="20"/>
        </w:rPr>
      </w:pPr>
    </w:p>
    <w:p w14:paraId="2B18670F" w14:textId="77777777" w:rsidR="001514BC" w:rsidRPr="00C573E6" w:rsidRDefault="001514BC" w:rsidP="001514BC">
      <w:pPr>
        <w:pStyle w:val="ListParagraph"/>
        <w:numPr>
          <w:ilvl w:val="0"/>
          <w:numId w:val="77"/>
        </w:numPr>
        <w:ind w:left="426" w:hanging="426"/>
        <w:jc w:val="both"/>
        <w:rPr>
          <w:spacing w:val="-2"/>
          <w:sz w:val="20"/>
          <w:szCs w:val="20"/>
        </w:rPr>
      </w:pPr>
      <w:r w:rsidRPr="00C573E6">
        <w:rPr>
          <w:sz w:val="20"/>
        </w:rPr>
        <w:t>¿Cuál es el calendario propuesto para la implementación? ¿Existen distintos calendarios específicos para determinadas CPC, pesquerías, regiones, etc.?</w:t>
      </w:r>
    </w:p>
    <w:p w14:paraId="62366FE8" w14:textId="77777777" w:rsidR="001514BC" w:rsidRPr="00C573E6" w:rsidRDefault="001514BC" w:rsidP="001514BC">
      <w:pPr>
        <w:pStyle w:val="ListParagraph"/>
        <w:ind w:left="426" w:firstLine="0"/>
        <w:jc w:val="both"/>
        <w:rPr>
          <w:spacing w:val="-2"/>
          <w:sz w:val="20"/>
          <w:szCs w:val="20"/>
        </w:rPr>
      </w:pPr>
    </w:p>
    <w:p w14:paraId="5D6FFFBB" w14:textId="7D48CF75" w:rsidR="001514BC" w:rsidRPr="00604609" w:rsidRDefault="001514BC" w:rsidP="001514BC">
      <w:pPr>
        <w:pStyle w:val="ListParagraph"/>
        <w:ind w:left="426" w:firstLine="0"/>
        <w:jc w:val="both"/>
        <w:rPr>
          <w:color w:val="EE0000"/>
          <w:spacing w:val="-2"/>
          <w:sz w:val="20"/>
          <w:szCs w:val="20"/>
        </w:rPr>
      </w:pPr>
      <w:r w:rsidRPr="00604609">
        <w:rPr>
          <w:color w:val="EE0000"/>
          <w:spacing w:val="-2"/>
          <w:sz w:val="20"/>
          <w:szCs w:val="20"/>
        </w:rPr>
        <w:t>La Recomendación entraría en vigor en 2026</w:t>
      </w:r>
      <w:r w:rsidR="00686441" w:rsidRPr="00604609">
        <w:rPr>
          <w:color w:val="EE0000"/>
          <w:spacing w:val="-2"/>
          <w:sz w:val="20"/>
          <w:szCs w:val="20"/>
        </w:rPr>
        <w:t>, tal y como se estipula en el Convenio.</w:t>
      </w:r>
    </w:p>
    <w:p w14:paraId="2CB28AB7" w14:textId="77777777" w:rsidR="001514BC" w:rsidRPr="00C573E6" w:rsidRDefault="001514BC" w:rsidP="001514BC">
      <w:pPr>
        <w:rPr>
          <w:spacing w:val="-2"/>
          <w:sz w:val="20"/>
          <w:szCs w:val="20"/>
        </w:rPr>
      </w:pPr>
    </w:p>
    <w:p w14:paraId="588069E4" w14:textId="77777777" w:rsidR="001514BC" w:rsidRPr="00C573E6" w:rsidRDefault="001514BC" w:rsidP="001514BC">
      <w:pPr>
        <w:pStyle w:val="ListParagraph"/>
        <w:numPr>
          <w:ilvl w:val="0"/>
          <w:numId w:val="77"/>
        </w:numPr>
        <w:ind w:left="426" w:hanging="426"/>
        <w:jc w:val="both"/>
        <w:rPr>
          <w:spacing w:val="-2"/>
          <w:sz w:val="20"/>
          <w:szCs w:val="20"/>
        </w:rPr>
      </w:pPr>
      <w:r w:rsidRPr="00C573E6">
        <w:rPr>
          <w:sz w:val="20"/>
        </w:rPr>
        <w:t>¿Hay alguna otra información pertinente sobre las repercusiones de la propuesta en lo referente a los recursos y a la carga de trabajo?</w:t>
      </w:r>
    </w:p>
    <w:p w14:paraId="516B40BF" w14:textId="77777777" w:rsidR="001514BC" w:rsidRPr="00C573E6" w:rsidRDefault="001514BC" w:rsidP="001514BC">
      <w:pPr>
        <w:ind w:left="426"/>
        <w:jc w:val="both"/>
        <w:rPr>
          <w:spacing w:val="-2"/>
          <w:sz w:val="20"/>
          <w:szCs w:val="20"/>
        </w:rPr>
      </w:pPr>
    </w:p>
    <w:p w14:paraId="1A9FAEF7" w14:textId="77777777" w:rsidR="001514BC" w:rsidRPr="00C573E6" w:rsidRDefault="001514BC" w:rsidP="001514BC">
      <w:pPr>
        <w:ind w:left="426"/>
        <w:jc w:val="both"/>
        <w:rPr>
          <w:i/>
          <w:iCs/>
          <w:color w:val="EE0000"/>
          <w:spacing w:val="-2"/>
          <w:sz w:val="20"/>
          <w:szCs w:val="20"/>
        </w:rPr>
      </w:pPr>
      <w:r w:rsidRPr="00604609">
        <w:rPr>
          <w:color w:val="EE0000"/>
          <w:spacing w:val="-2"/>
          <w:sz w:val="20"/>
          <w:szCs w:val="20"/>
        </w:rPr>
        <w:t>Ninguna</w:t>
      </w:r>
      <w:r w:rsidRPr="00C573E6">
        <w:rPr>
          <w:i/>
          <w:iCs/>
          <w:color w:val="EE0000"/>
          <w:spacing w:val="-2"/>
          <w:sz w:val="20"/>
          <w:szCs w:val="20"/>
        </w:rPr>
        <w:t>.</w:t>
      </w:r>
    </w:p>
    <w:p w14:paraId="7B07E975" w14:textId="77777777" w:rsidR="001514BC" w:rsidRPr="00C573E6" w:rsidRDefault="001514BC" w:rsidP="001514BC">
      <w:pPr>
        <w:pStyle w:val="ListParagraph"/>
        <w:ind w:left="426" w:firstLine="0"/>
        <w:rPr>
          <w:spacing w:val="-2"/>
          <w:sz w:val="20"/>
          <w:szCs w:val="20"/>
        </w:rPr>
      </w:pPr>
    </w:p>
    <w:p w14:paraId="79942264" w14:textId="77777777" w:rsidR="001514BC" w:rsidRPr="00C573E6" w:rsidRDefault="001514BC" w:rsidP="001514BC">
      <w:pPr>
        <w:pStyle w:val="ListParagraph"/>
        <w:ind w:left="426" w:firstLine="0"/>
        <w:jc w:val="both"/>
        <w:rPr>
          <w:i/>
          <w:iCs/>
          <w:spacing w:val="-2"/>
          <w:sz w:val="20"/>
          <w:szCs w:val="20"/>
        </w:rPr>
      </w:pPr>
    </w:p>
    <w:p w14:paraId="42F83DF4" w14:textId="77777777" w:rsidR="001514BC" w:rsidRPr="00C573E6" w:rsidRDefault="001514BC" w:rsidP="001514BC">
      <w:pPr>
        <w:rPr>
          <w:sz w:val="20"/>
          <w:szCs w:val="20"/>
        </w:rPr>
      </w:pPr>
    </w:p>
    <w:p w14:paraId="486D9B92" w14:textId="77777777" w:rsidR="001514BC" w:rsidRPr="00C573E6" w:rsidRDefault="001514BC" w:rsidP="001514BC">
      <w:pPr>
        <w:pStyle w:val="BodyText"/>
      </w:pPr>
    </w:p>
    <w:p w14:paraId="23657531" w14:textId="77777777" w:rsidR="00B03138" w:rsidRPr="00C573E6" w:rsidRDefault="00B03138" w:rsidP="00B03138">
      <w:pPr>
        <w:ind w:left="487" w:right="2"/>
        <w:jc w:val="right"/>
        <w:rPr>
          <w:b/>
          <w:spacing w:val="-2"/>
          <w:sz w:val="20"/>
          <w:szCs w:val="20"/>
        </w:rPr>
      </w:pPr>
      <w:r w:rsidRPr="00C573E6">
        <w:rPr>
          <w:b/>
          <w:sz w:val="20"/>
        </w:rPr>
        <w:t>Original: inglés</w:t>
      </w:r>
    </w:p>
    <w:p w14:paraId="35538C64" w14:textId="1D82AEC8" w:rsidR="00844C4B" w:rsidRPr="00C573E6" w:rsidRDefault="00844C4B" w:rsidP="00844C4B">
      <w:pPr>
        <w:jc w:val="center"/>
        <w:rPr>
          <w:b/>
          <w:bCs/>
          <w:sz w:val="20"/>
          <w:szCs w:val="20"/>
        </w:rPr>
      </w:pPr>
      <w:r w:rsidRPr="00C573E6">
        <w:rPr>
          <w:b/>
          <w:sz w:val="20"/>
          <w:szCs w:val="20"/>
        </w:rPr>
        <w:t>Nota explicativa sobre el Proyecto de Recomendación de ICCAT sobre la conservación y la ordenación de tiburones capturados en asociación con pesquerías de ICCAT</w:t>
      </w:r>
    </w:p>
    <w:p w14:paraId="402D95C8" w14:textId="77777777" w:rsidR="00844C4B" w:rsidRPr="00C573E6" w:rsidRDefault="00844C4B" w:rsidP="00844C4B">
      <w:pPr>
        <w:jc w:val="center"/>
        <w:rPr>
          <w:b/>
          <w:bCs/>
          <w:i/>
          <w:iCs/>
          <w:sz w:val="20"/>
          <w:szCs w:val="20"/>
        </w:rPr>
      </w:pPr>
    </w:p>
    <w:p w14:paraId="2FD7FBAA" w14:textId="05F4587C" w:rsidR="00844C4B" w:rsidRPr="00C573E6" w:rsidRDefault="00844C4B" w:rsidP="00844C4B">
      <w:pPr>
        <w:jc w:val="center"/>
        <w:rPr>
          <w:i/>
          <w:iCs/>
          <w:sz w:val="20"/>
          <w:szCs w:val="20"/>
        </w:rPr>
      </w:pPr>
      <w:r w:rsidRPr="00C573E6">
        <w:rPr>
          <w:i/>
          <w:sz w:val="20"/>
        </w:rPr>
        <w:t>(documento presentado por Japón)</w:t>
      </w:r>
    </w:p>
    <w:p w14:paraId="613DBA68" w14:textId="77777777" w:rsidR="00844C4B" w:rsidRPr="00C573E6" w:rsidRDefault="00844C4B" w:rsidP="00844C4B">
      <w:pPr>
        <w:rPr>
          <w:b/>
          <w:bCs/>
        </w:rPr>
      </w:pPr>
    </w:p>
    <w:p w14:paraId="6325AF9B" w14:textId="3BF795CA" w:rsidR="00844C4B" w:rsidRPr="00C573E6" w:rsidRDefault="00844C4B" w:rsidP="00833055">
      <w:pPr>
        <w:jc w:val="both"/>
        <w:rPr>
          <w:rFonts w:eastAsia="Yu Mincho" w:cs="Times New Roman"/>
          <w:sz w:val="20"/>
          <w:szCs w:val="20"/>
        </w:rPr>
      </w:pPr>
      <w:r w:rsidRPr="00C573E6">
        <w:rPr>
          <w:sz w:val="20"/>
        </w:rPr>
        <w:t>En la 24ª Reunión extraordinaria de la Comisión en 2024, la Unión Europea (UE) presentó un "Proyecto de Recomendación sobre la conservación y ordenación de tiburones capturados en asociación con pesquerías de ICCAT" [PA4_805/2024]. Esta propuesta pretendía integrar las recomendaciones existentes sobre los tiburones, así como insertar varios elementos nuevos.</w:t>
      </w:r>
    </w:p>
    <w:p w14:paraId="37CEC4BF" w14:textId="77777777" w:rsidR="00844C4B" w:rsidRPr="00C573E6" w:rsidRDefault="00844C4B" w:rsidP="00833055">
      <w:pPr>
        <w:jc w:val="both"/>
        <w:rPr>
          <w:rFonts w:eastAsia="Yu Mincho" w:cs="Times New Roman"/>
          <w:sz w:val="20"/>
          <w:szCs w:val="20"/>
        </w:rPr>
      </w:pPr>
    </w:p>
    <w:p w14:paraId="125E9B65" w14:textId="5F96A8DF" w:rsidR="00844C4B" w:rsidRPr="00C573E6" w:rsidRDefault="00844C4B" w:rsidP="00833055">
      <w:pPr>
        <w:jc w:val="both"/>
        <w:rPr>
          <w:rFonts w:eastAsia="Yu Mincho" w:cs="Times New Roman"/>
          <w:sz w:val="20"/>
          <w:szCs w:val="20"/>
        </w:rPr>
      </w:pPr>
      <w:r w:rsidRPr="00C573E6">
        <w:rPr>
          <w:sz w:val="20"/>
        </w:rPr>
        <w:t>Aunque la Subcomisión 4 estaba de acuerdo con muchos de los puntos de la propuesta, quedaban varias cuestiones pendientes y era necesario debatirlas más a fondo, especialmente la prohibición de almacenar, vender u ofrecer para su venta y las medidas relacionadas con las aletas naturalmente adheridas. En este documento, Japón desea presentar una propuesta que consolide las recomendaciones y resoluciones existentes relacionadas con los tiburones y añada un enfoque sugerido para lo anterior.</w:t>
      </w:r>
    </w:p>
    <w:p w14:paraId="527C3A85" w14:textId="77777777" w:rsidR="00844C4B" w:rsidRPr="00C573E6" w:rsidRDefault="00844C4B" w:rsidP="00833055">
      <w:pPr>
        <w:jc w:val="both"/>
        <w:rPr>
          <w:rFonts w:eastAsia="Yu Mincho" w:cs="Times New Roman"/>
          <w:sz w:val="20"/>
          <w:szCs w:val="20"/>
        </w:rPr>
      </w:pPr>
    </w:p>
    <w:p w14:paraId="02DDEF70" w14:textId="606EBB64" w:rsidR="00844C4B" w:rsidRPr="00C573E6" w:rsidRDefault="00844C4B" w:rsidP="00833055">
      <w:pPr>
        <w:jc w:val="both"/>
        <w:rPr>
          <w:rFonts w:eastAsia="Yu Mincho" w:cs="Times New Roman"/>
          <w:sz w:val="20"/>
          <w:szCs w:val="20"/>
        </w:rPr>
      </w:pPr>
      <w:r w:rsidRPr="00C573E6">
        <w:rPr>
          <w:sz w:val="20"/>
        </w:rPr>
        <w:t xml:space="preserve">La UE propuso aplicar la "prohibición de almacenar, vender u ofrecer para su venta" no sólo al zorro ojón, al tiburón oceánico y a los peces martillo, sino también al tiburón jaquetón y al tiburón ballena. Sin embargo, Japón tiene serias dudas sobre la aplicación de esta medida por parte de las CPC si la Comisión acepta ampliar su ámbito de aplicación de las tres especies actuales a cinco especies. Tal y como presentó Japón en su evaluación "Análisis de la implementación de las medidas de conservación de los tiburones y propuesta para avanzar" [IMM_06/i2025] en la reunión del Grupo de trabajo sobre medidas de seguimiento integradas (IMM), muy pocas CPC aplican plenamente la "prohibición de almacenar, vender u ofrecer para su venta" de zorro ojón, tiburón oceánico y peces martillo. Algunas CPC sólo prohíben a sus buques pesqueros, pero no a sus nacionales, almacenar, vender u ofrecer para su venta tiburones. La mayoría de las CPC ni aplican estas medidas ni facilitan información sobre su aplicación. </w:t>
      </w:r>
    </w:p>
    <w:p w14:paraId="17375D7A" w14:textId="77777777" w:rsidR="00844C4B" w:rsidRPr="00C573E6" w:rsidRDefault="00844C4B" w:rsidP="00833055">
      <w:pPr>
        <w:jc w:val="both"/>
        <w:rPr>
          <w:rFonts w:eastAsia="Yu Mincho" w:cs="Times New Roman"/>
          <w:sz w:val="20"/>
          <w:szCs w:val="20"/>
        </w:rPr>
      </w:pPr>
    </w:p>
    <w:p w14:paraId="4209D73B" w14:textId="6448FD34" w:rsidR="00844C4B" w:rsidRPr="00C573E6" w:rsidRDefault="00844C4B" w:rsidP="00833055">
      <w:pPr>
        <w:jc w:val="both"/>
        <w:rPr>
          <w:rFonts w:eastAsia="Yu Mincho" w:cs="Times New Roman"/>
          <w:sz w:val="20"/>
          <w:szCs w:val="20"/>
        </w:rPr>
      </w:pPr>
      <w:r w:rsidRPr="00C573E6">
        <w:rPr>
          <w:sz w:val="20"/>
        </w:rPr>
        <w:t>Japón está de acuerdo en que la prohibición de determinadas acciones es necesaria para garantizar la protección de estas especies y no tiene intención de debilitar la medida actual. Por lo tanto, Japón sugiere que las CPC prohíban a los buques que enarbolan su pabellón, no a sus nacionales, retener a bordo, transbordar y desembarcar estos tiburones, lo que permitiría alcanzar el objetivo de las medidas sin imponer demasiada carga a las CPC.</w:t>
      </w:r>
    </w:p>
    <w:p w14:paraId="0E92CEF9" w14:textId="77777777" w:rsidR="00844C4B" w:rsidRPr="00C573E6" w:rsidRDefault="00844C4B" w:rsidP="00833055">
      <w:pPr>
        <w:jc w:val="both"/>
        <w:rPr>
          <w:rFonts w:eastAsia="Yu Mincho" w:cs="Times New Roman"/>
          <w:sz w:val="20"/>
          <w:szCs w:val="20"/>
        </w:rPr>
      </w:pPr>
    </w:p>
    <w:p w14:paraId="311AE672" w14:textId="2B6929A3" w:rsidR="00844C4B" w:rsidRPr="00C573E6" w:rsidRDefault="00844C4B" w:rsidP="00833055">
      <w:pPr>
        <w:jc w:val="both"/>
        <w:rPr>
          <w:rFonts w:eastAsia="Yu Mincho" w:cs="Times New Roman"/>
          <w:sz w:val="20"/>
          <w:szCs w:val="20"/>
        </w:rPr>
      </w:pPr>
      <w:r w:rsidRPr="00C573E6">
        <w:rPr>
          <w:sz w:val="20"/>
        </w:rPr>
        <w:t xml:space="preserve">En cuanto a las aletas de tiburón, Japón propone el enfoque de la Comisión de Pesca del Pacífico Occidental y Central (WCPFC), que introduce la norma de aletas adheridas de forma natural con medidas alternativas. Otras organizaciones regionales de ordenación pesquera (OROP) de túnidos, como la Comisión Interamericana del Atún Tropical (IATTC) y la Comisión del Atún del Océano Índico (IOTC), han adoptado enfoques similares. </w:t>
      </w:r>
    </w:p>
    <w:p w14:paraId="700781E5" w14:textId="77777777" w:rsidR="00844C4B" w:rsidRPr="00C573E6" w:rsidRDefault="00844C4B" w:rsidP="00833055">
      <w:pPr>
        <w:jc w:val="both"/>
        <w:rPr>
          <w:rFonts w:eastAsia="Yu Mincho" w:cs="Times New Roman"/>
          <w:sz w:val="20"/>
          <w:szCs w:val="20"/>
        </w:rPr>
      </w:pPr>
    </w:p>
    <w:p w14:paraId="6B0F3044" w14:textId="1A241C0E" w:rsidR="00844C4B" w:rsidRPr="00C573E6" w:rsidRDefault="00844C4B" w:rsidP="003B185D">
      <w:pPr>
        <w:jc w:val="both"/>
        <w:rPr>
          <w:rFonts w:eastAsia="Yu Mincho" w:cs="Times New Roman"/>
          <w:sz w:val="20"/>
          <w:szCs w:val="20"/>
        </w:rPr>
      </w:pPr>
      <w:r w:rsidRPr="00C573E6">
        <w:t xml:space="preserve">Esto se reconoce de manera general en la </w:t>
      </w:r>
      <w:hyperlink r:id="rId8" w:history="1">
        <w:r w:rsidRPr="00C573E6">
          <w:rPr>
            <w:rStyle w:val="Hyperlink"/>
            <w:i/>
            <w:sz w:val="20"/>
            <w:u w:val="none"/>
          </w:rPr>
          <w:t>Recomendación de ICCAT sobre la conservación de tiburones capturados en asociación con las pesquerías que son competencia de ICCAT</w:t>
        </w:r>
        <w:r w:rsidRPr="00C573E6">
          <w:rPr>
            <w:rStyle w:val="Hyperlink"/>
            <w:sz w:val="20"/>
            <w:u w:val="none"/>
          </w:rPr>
          <w:t xml:space="preserve"> (Rec. 04-10)</w:t>
        </w:r>
      </w:hyperlink>
      <w:r w:rsidRPr="00C573E6">
        <w:rPr>
          <w:sz w:val="20"/>
        </w:rPr>
        <w:t xml:space="preserve">. Japón ha aplicado la norma de utilización plena y considera que, siempre que se utilicen tanto las aletas como el cuerpo, el corte de aletas a bordo debe permitirse como una de las operaciones. </w:t>
      </w:r>
    </w:p>
    <w:p w14:paraId="40BB8721" w14:textId="77777777" w:rsidR="00844C4B" w:rsidRPr="00C573E6" w:rsidRDefault="00844C4B" w:rsidP="00833055">
      <w:pPr>
        <w:jc w:val="both"/>
        <w:rPr>
          <w:rFonts w:eastAsia="Yu Mincho" w:cs="Times New Roman"/>
          <w:sz w:val="20"/>
          <w:szCs w:val="20"/>
        </w:rPr>
      </w:pPr>
    </w:p>
    <w:p w14:paraId="753BE283" w14:textId="3C757B76" w:rsidR="00844C4B" w:rsidRPr="00C573E6" w:rsidRDefault="00844C4B" w:rsidP="00833055">
      <w:pPr>
        <w:jc w:val="both"/>
        <w:rPr>
          <w:rFonts w:eastAsia="Yu Mincho" w:cs="Times New Roman"/>
          <w:sz w:val="20"/>
          <w:szCs w:val="20"/>
        </w:rPr>
      </w:pPr>
      <w:r w:rsidRPr="00C573E6">
        <w:rPr>
          <w:sz w:val="20"/>
        </w:rPr>
        <w:t xml:space="preserve">En cuanto a la exención de la hoja de comprobación de tiburones, en la reunión del Comité Permanente de Investigación y Estadísticas (SCRS) de 2025 se propuso un procedimiento como respuesta a la petición de la Comisión. El procedimiento propuesto figura en el </w:t>
      </w:r>
      <w:r w:rsidRPr="00C573E6">
        <w:rPr>
          <w:b/>
          <w:bCs/>
          <w:sz w:val="20"/>
        </w:rPr>
        <w:t>Anexo 3.</w:t>
      </w:r>
    </w:p>
    <w:p w14:paraId="156DC084" w14:textId="77777777" w:rsidR="00844C4B" w:rsidRPr="00C573E6" w:rsidRDefault="00844C4B" w:rsidP="00833055">
      <w:pPr>
        <w:jc w:val="both"/>
        <w:rPr>
          <w:rFonts w:eastAsia="Yu Mincho" w:cs="Times New Roman"/>
          <w:sz w:val="20"/>
          <w:szCs w:val="20"/>
        </w:rPr>
      </w:pPr>
    </w:p>
    <w:p w14:paraId="2E7F446C" w14:textId="327A3F27" w:rsidR="00844C4B" w:rsidRPr="00C573E6" w:rsidRDefault="00844C4B" w:rsidP="00833055">
      <w:pPr>
        <w:jc w:val="both"/>
        <w:rPr>
          <w:rFonts w:eastAsia="Yu Mincho" w:cs="Times New Roman"/>
          <w:sz w:val="20"/>
          <w:szCs w:val="20"/>
        </w:rPr>
      </w:pPr>
      <w:r w:rsidRPr="00C573E6">
        <w:rPr>
          <w:sz w:val="20"/>
        </w:rPr>
        <w:t xml:space="preserve">En la propuesta, el número o texto entre corchetes al final de cada párrafo/sección indica la fuente del párrafo, por ejemplo, las recomendaciones existentes de ICCAT, el nombre de la OROP, etc. La cita se suprimirá cuando se adopte esta propuesta. </w:t>
      </w:r>
    </w:p>
    <w:p w14:paraId="6370AD1D" w14:textId="77777777" w:rsidR="00844C4B" w:rsidRPr="00C573E6" w:rsidRDefault="00844C4B" w:rsidP="00833055">
      <w:pPr>
        <w:widowControl/>
        <w:jc w:val="both"/>
        <w:rPr>
          <w:sz w:val="20"/>
          <w:szCs w:val="20"/>
        </w:rPr>
      </w:pPr>
    </w:p>
    <w:p w14:paraId="74AE0F1E" w14:textId="77777777" w:rsidR="00844C4B" w:rsidRPr="00C573E6" w:rsidRDefault="00844C4B" w:rsidP="00833055">
      <w:pPr>
        <w:widowControl/>
        <w:jc w:val="both"/>
        <w:rPr>
          <w:sz w:val="20"/>
          <w:szCs w:val="20"/>
        </w:rPr>
      </w:pPr>
    </w:p>
    <w:p w14:paraId="004EBBAE" w14:textId="77777777" w:rsidR="00833055" w:rsidRPr="00C573E6" w:rsidRDefault="00833055">
      <w:pPr>
        <w:rPr>
          <w:sz w:val="20"/>
          <w:szCs w:val="20"/>
        </w:rPr>
      </w:pPr>
      <w:r w:rsidRPr="00C573E6">
        <w:br w:type="page"/>
      </w:r>
    </w:p>
    <w:p w14:paraId="249A8220" w14:textId="77777777" w:rsidR="00C573E6" w:rsidRPr="00C573E6" w:rsidRDefault="00C573E6" w:rsidP="00833055">
      <w:pPr>
        <w:jc w:val="center"/>
        <w:rPr>
          <w:b/>
          <w:sz w:val="20"/>
        </w:rPr>
      </w:pPr>
    </w:p>
    <w:p w14:paraId="6CAB9C2E" w14:textId="77777777" w:rsidR="00B03138" w:rsidRDefault="00B03138" w:rsidP="00833055">
      <w:pPr>
        <w:jc w:val="center"/>
        <w:rPr>
          <w:b/>
          <w:sz w:val="20"/>
        </w:rPr>
      </w:pPr>
    </w:p>
    <w:p w14:paraId="5486ED14" w14:textId="064DAB27" w:rsidR="00844C4B" w:rsidRPr="00C573E6" w:rsidRDefault="00844C4B" w:rsidP="00833055">
      <w:pPr>
        <w:jc w:val="center"/>
        <w:rPr>
          <w:b/>
          <w:bCs/>
          <w:sz w:val="20"/>
          <w:szCs w:val="20"/>
        </w:rPr>
      </w:pPr>
      <w:r w:rsidRPr="00C573E6">
        <w:rPr>
          <w:b/>
          <w:sz w:val="20"/>
        </w:rPr>
        <w:t>Proyecto de Recomendación de ICCAT sobre la conservación y la ordenación</w:t>
      </w:r>
    </w:p>
    <w:p w14:paraId="574209C8" w14:textId="6782A760" w:rsidR="00844C4B" w:rsidRPr="00C573E6" w:rsidRDefault="00844C4B" w:rsidP="00833055">
      <w:pPr>
        <w:jc w:val="center"/>
        <w:rPr>
          <w:b/>
          <w:bCs/>
          <w:sz w:val="20"/>
          <w:szCs w:val="20"/>
        </w:rPr>
      </w:pPr>
      <w:r w:rsidRPr="00C573E6">
        <w:rPr>
          <w:b/>
          <w:sz w:val="20"/>
        </w:rPr>
        <w:t>de tiburones capturados en asociación con pesquerías de ICCAT</w:t>
      </w:r>
    </w:p>
    <w:p w14:paraId="19B40B8F" w14:textId="77777777" w:rsidR="00A02699" w:rsidRPr="00C573E6" w:rsidRDefault="00A02699" w:rsidP="00833055">
      <w:pPr>
        <w:jc w:val="center"/>
        <w:rPr>
          <w:i/>
          <w:iCs/>
          <w:sz w:val="20"/>
          <w:szCs w:val="20"/>
        </w:rPr>
      </w:pPr>
    </w:p>
    <w:p w14:paraId="1B7E1E9E" w14:textId="16D58DF7" w:rsidR="00844C4B" w:rsidRPr="00C573E6" w:rsidRDefault="00844C4B" w:rsidP="00833055">
      <w:pPr>
        <w:jc w:val="center"/>
        <w:rPr>
          <w:i/>
          <w:iCs/>
          <w:sz w:val="20"/>
          <w:szCs w:val="20"/>
        </w:rPr>
      </w:pPr>
      <w:r w:rsidRPr="00C573E6">
        <w:rPr>
          <w:i/>
          <w:sz w:val="20"/>
        </w:rPr>
        <w:t>(documento presentado por Japón)</w:t>
      </w:r>
    </w:p>
    <w:p w14:paraId="50694886" w14:textId="77777777" w:rsidR="00844C4B" w:rsidRPr="00C573E6" w:rsidRDefault="00844C4B" w:rsidP="00C07C12">
      <w:pPr>
        <w:ind w:firstLine="425"/>
        <w:jc w:val="both"/>
        <w:rPr>
          <w:sz w:val="20"/>
          <w:szCs w:val="20"/>
        </w:rPr>
      </w:pPr>
    </w:p>
    <w:p w14:paraId="6CFDAC57" w14:textId="77777777" w:rsidR="00844C4B" w:rsidRPr="00C573E6" w:rsidRDefault="00844C4B" w:rsidP="00C07C12">
      <w:pPr>
        <w:ind w:firstLine="425"/>
        <w:jc w:val="both"/>
        <w:rPr>
          <w:sz w:val="20"/>
          <w:szCs w:val="20"/>
        </w:rPr>
      </w:pPr>
      <w:r w:rsidRPr="00C573E6">
        <w:rPr>
          <w:i/>
          <w:iCs/>
          <w:sz w:val="20"/>
        </w:rPr>
        <w:t>RECORDANDO</w:t>
      </w:r>
      <w:r w:rsidRPr="00C573E6">
        <w:rPr>
          <w:sz w:val="20"/>
        </w:rPr>
        <w:t xml:space="preserve"> que la Comisión ha adoptado varias Recomendaciones sobre la conservación y ordenación de tiburones capturados en asociación con las pesquerías de ICCAT;</w:t>
      </w:r>
    </w:p>
    <w:p w14:paraId="5AC98282" w14:textId="77777777" w:rsidR="00844C4B" w:rsidRPr="00C573E6" w:rsidRDefault="00844C4B" w:rsidP="00C07C12">
      <w:pPr>
        <w:ind w:firstLine="425"/>
        <w:jc w:val="both"/>
        <w:rPr>
          <w:sz w:val="20"/>
          <w:szCs w:val="20"/>
        </w:rPr>
      </w:pPr>
    </w:p>
    <w:p w14:paraId="7FA0ADA2" w14:textId="77777777" w:rsidR="00844C4B" w:rsidRPr="00C573E6" w:rsidRDefault="00844C4B" w:rsidP="00C07C12">
      <w:pPr>
        <w:ind w:firstLine="425"/>
        <w:jc w:val="both"/>
        <w:rPr>
          <w:sz w:val="20"/>
          <w:szCs w:val="20"/>
        </w:rPr>
      </w:pPr>
      <w:r w:rsidRPr="00C573E6">
        <w:rPr>
          <w:i/>
          <w:iCs/>
          <w:sz w:val="20"/>
        </w:rPr>
        <w:t>RECONOCIENDO</w:t>
      </w:r>
      <w:r w:rsidRPr="00C573E6">
        <w:rPr>
          <w:sz w:val="20"/>
        </w:rPr>
        <w:t xml:space="preserve"> que se han introducido enfoques de ordenación similares para varias especies de tiburones;  </w:t>
      </w:r>
    </w:p>
    <w:p w14:paraId="52321C15" w14:textId="77777777" w:rsidR="00844C4B" w:rsidRPr="00C573E6" w:rsidRDefault="00844C4B" w:rsidP="00C07C12">
      <w:pPr>
        <w:ind w:firstLine="425"/>
        <w:jc w:val="both"/>
        <w:rPr>
          <w:sz w:val="20"/>
          <w:szCs w:val="20"/>
        </w:rPr>
      </w:pPr>
    </w:p>
    <w:p w14:paraId="676C31C3" w14:textId="54D935DC" w:rsidR="00844C4B" w:rsidRPr="00C573E6" w:rsidRDefault="00844C4B" w:rsidP="00C07C12">
      <w:pPr>
        <w:ind w:firstLine="425"/>
        <w:jc w:val="both"/>
        <w:rPr>
          <w:sz w:val="20"/>
          <w:szCs w:val="20"/>
        </w:rPr>
      </w:pPr>
      <w:r w:rsidRPr="00C573E6">
        <w:rPr>
          <w:i/>
          <w:iCs/>
          <w:sz w:val="20"/>
        </w:rPr>
        <w:t>DESEANDO</w:t>
      </w:r>
      <w:r w:rsidRPr="00C573E6">
        <w:rPr>
          <w:sz w:val="20"/>
        </w:rPr>
        <w:t xml:space="preserve"> racionalizar las Recomendaciones de ICCAT para los tiburones, lo que </w:t>
      </w:r>
      <w:r w:rsidR="00567D1D" w:rsidRPr="00C573E6">
        <w:rPr>
          <w:sz w:val="20"/>
        </w:rPr>
        <w:t>incluye eliminar</w:t>
      </w:r>
      <w:r w:rsidRPr="00C573E6">
        <w:rPr>
          <w:sz w:val="20"/>
        </w:rPr>
        <w:t xml:space="preserve"> redundancias, aclarar las obligaciones clave y facilitar su aplicación, así como el seguimiento de su cumplimiento; </w:t>
      </w:r>
    </w:p>
    <w:p w14:paraId="3CBDE167" w14:textId="77777777" w:rsidR="00844C4B" w:rsidRPr="00C573E6" w:rsidRDefault="00844C4B" w:rsidP="00C07C12">
      <w:pPr>
        <w:ind w:firstLine="425"/>
        <w:jc w:val="both"/>
        <w:rPr>
          <w:sz w:val="20"/>
          <w:szCs w:val="20"/>
        </w:rPr>
      </w:pPr>
    </w:p>
    <w:p w14:paraId="5B7D04E8" w14:textId="77777777" w:rsidR="00844C4B" w:rsidRPr="00C573E6" w:rsidRDefault="00844C4B" w:rsidP="00C07C12">
      <w:pPr>
        <w:ind w:firstLine="425"/>
        <w:jc w:val="both"/>
        <w:rPr>
          <w:sz w:val="20"/>
          <w:szCs w:val="20"/>
        </w:rPr>
      </w:pPr>
      <w:r w:rsidRPr="00C573E6">
        <w:rPr>
          <w:i/>
          <w:iCs/>
          <w:sz w:val="20"/>
        </w:rPr>
        <w:t>OBSERVANDO</w:t>
      </w:r>
      <w:r w:rsidRPr="00C573E6">
        <w:rPr>
          <w:sz w:val="20"/>
        </w:rPr>
        <w:t xml:space="preserve"> la lista de especies que figura en el párrafo 2 de la</w:t>
      </w:r>
      <w:r w:rsidRPr="00C573E6">
        <w:rPr>
          <w:i/>
          <w:iCs/>
          <w:sz w:val="20"/>
        </w:rPr>
        <w:t xml:space="preserve"> Recomendación de ICCAT sobre las especies consideradas atunes y especies afines o elasmobranquios oceánicos, pelágicos y altamente migratorios </w:t>
      </w:r>
      <w:r w:rsidRPr="00C573E6">
        <w:rPr>
          <w:sz w:val="20"/>
        </w:rPr>
        <w:t xml:space="preserve"> (Rec. 19-01);</w:t>
      </w:r>
    </w:p>
    <w:p w14:paraId="663225F9" w14:textId="77777777" w:rsidR="00844C4B" w:rsidRPr="00C573E6" w:rsidRDefault="00844C4B" w:rsidP="00A02699">
      <w:pPr>
        <w:ind w:left="284" w:hanging="284"/>
        <w:jc w:val="both"/>
        <w:rPr>
          <w:sz w:val="20"/>
          <w:szCs w:val="20"/>
        </w:rPr>
      </w:pPr>
    </w:p>
    <w:p w14:paraId="518A473D" w14:textId="77777777" w:rsidR="00844C4B" w:rsidRPr="00C573E6" w:rsidRDefault="00844C4B" w:rsidP="00592E25">
      <w:pPr>
        <w:jc w:val="center"/>
        <w:rPr>
          <w:sz w:val="20"/>
          <w:szCs w:val="20"/>
        </w:rPr>
      </w:pPr>
    </w:p>
    <w:p w14:paraId="40DBD3F0" w14:textId="77777777" w:rsidR="00844C4B" w:rsidRPr="00C573E6" w:rsidRDefault="00844C4B" w:rsidP="00592E25">
      <w:pPr>
        <w:jc w:val="center"/>
        <w:rPr>
          <w:sz w:val="20"/>
          <w:szCs w:val="20"/>
        </w:rPr>
      </w:pPr>
      <w:r w:rsidRPr="00C573E6">
        <w:rPr>
          <w:sz w:val="20"/>
        </w:rPr>
        <w:t>LA COMISIÓN INTERNACIONAL PARA LA CONSERVACIÓN</w:t>
      </w:r>
    </w:p>
    <w:p w14:paraId="4C5E83CA" w14:textId="77777777" w:rsidR="00844C4B" w:rsidRPr="00C573E6" w:rsidRDefault="00844C4B" w:rsidP="00592E25">
      <w:pPr>
        <w:jc w:val="center"/>
        <w:rPr>
          <w:sz w:val="20"/>
          <w:szCs w:val="20"/>
        </w:rPr>
      </w:pPr>
      <w:r w:rsidRPr="00C573E6">
        <w:rPr>
          <w:sz w:val="20"/>
        </w:rPr>
        <w:t>DEL ATÚN ATLÁNTICO (ICCAT) RECOMIENDA LO SIGUIENTE:</w:t>
      </w:r>
    </w:p>
    <w:p w14:paraId="60F2C1E9" w14:textId="77777777" w:rsidR="00844C4B" w:rsidRPr="00C573E6" w:rsidRDefault="00844C4B" w:rsidP="00833055">
      <w:pPr>
        <w:jc w:val="both"/>
        <w:rPr>
          <w:sz w:val="20"/>
          <w:szCs w:val="20"/>
        </w:rPr>
      </w:pPr>
    </w:p>
    <w:p w14:paraId="695D3B92" w14:textId="77777777" w:rsidR="00844C4B" w:rsidRPr="00C573E6" w:rsidRDefault="00844C4B" w:rsidP="00833055">
      <w:pPr>
        <w:jc w:val="both"/>
        <w:rPr>
          <w:b/>
          <w:bCs/>
          <w:sz w:val="20"/>
          <w:szCs w:val="20"/>
        </w:rPr>
      </w:pPr>
      <w:r w:rsidRPr="00C573E6">
        <w:rPr>
          <w:b/>
          <w:sz w:val="20"/>
        </w:rPr>
        <w:t>Definición</w:t>
      </w:r>
    </w:p>
    <w:p w14:paraId="38C33259" w14:textId="77777777" w:rsidR="00844C4B" w:rsidRPr="00C573E6" w:rsidRDefault="00844C4B" w:rsidP="00833055">
      <w:pPr>
        <w:jc w:val="both"/>
        <w:rPr>
          <w:b/>
          <w:bCs/>
          <w:sz w:val="20"/>
          <w:szCs w:val="20"/>
        </w:rPr>
      </w:pPr>
    </w:p>
    <w:p w14:paraId="336F3FCC" w14:textId="7777777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 xml:space="preserve">A efectos de esta Recomendación: </w:t>
      </w:r>
    </w:p>
    <w:p w14:paraId="4D9130E6" w14:textId="77777777" w:rsidR="00592E25" w:rsidRPr="00C573E6" w:rsidRDefault="00592E25" w:rsidP="00592E25">
      <w:pPr>
        <w:pStyle w:val="ListParagraph"/>
        <w:autoSpaceDE/>
        <w:autoSpaceDN/>
        <w:ind w:left="360" w:firstLine="0"/>
        <w:contextualSpacing/>
        <w:jc w:val="both"/>
        <w:rPr>
          <w:sz w:val="20"/>
          <w:szCs w:val="20"/>
        </w:rPr>
      </w:pPr>
    </w:p>
    <w:p w14:paraId="4DEF492E" w14:textId="77777777" w:rsidR="00844C4B" w:rsidRPr="00C573E6" w:rsidRDefault="00844C4B" w:rsidP="00CC148E">
      <w:pPr>
        <w:pStyle w:val="ListParagraph"/>
        <w:numPr>
          <w:ilvl w:val="0"/>
          <w:numId w:val="61"/>
        </w:numPr>
        <w:autoSpaceDE/>
        <w:autoSpaceDN/>
        <w:contextualSpacing/>
        <w:jc w:val="both"/>
        <w:rPr>
          <w:sz w:val="20"/>
          <w:szCs w:val="20"/>
          <w:lang w:val="pt-BR"/>
        </w:rPr>
      </w:pPr>
      <w:r w:rsidRPr="00C573E6">
        <w:rPr>
          <w:sz w:val="20"/>
          <w:lang w:val="pt-BR"/>
        </w:rPr>
        <w:t>"CPC" significa Partes contratantes, Partes, Entidades o Entidades pesqueras no contratantes colaboradoras.</w:t>
      </w:r>
    </w:p>
    <w:p w14:paraId="3146A8EA" w14:textId="77777777" w:rsidR="00401335" w:rsidRPr="00C573E6" w:rsidRDefault="00401335" w:rsidP="00401335">
      <w:pPr>
        <w:pStyle w:val="ListParagraph"/>
        <w:autoSpaceDE/>
        <w:autoSpaceDN/>
        <w:ind w:left="720" w:firstLine="0"/>
        <w:contextualSpacing/>
        <w:jc w:val="both"/>
        <w:rPr>
          <w:sz w:val="20"/>
          <w:szCs w:val="20"/>
          <w:lang w:val="pt-BR"/>
        </w:rPr>
      </w:pPr>
    </w:p>
    <w:p w14:paraId="6FD73BE8" w14:textId="77777777" w:rsidR="00844C4B" w:rsidRPr="00C573E6" w:rsidRDefault="00844C4B" w:rsidP="00CC148E">
      <w:pPr>
        <w:pStyle w:val="ListParagraph"/>
        <w:numPr>
          <w:ilvl w:val="0"/>
          <w:numId w:val="61"/>
        </w:numPr>
        <w:autoSpaceDE/>
        <w:autoSpaceDN/>
        <w:contextualSpacing/>
        <w:jc w:val="both"/>
        <w:rPr>
          <w:sz w:val="20"/>
          <w:szCs w:val="20"/>
        </w:rPr>
      </w:pPr>
      <w:r w:rsidRPr="00C573E6">
        <w:rPr>
          <w:sz w:val="20"/>
        </w:rPr>
        <w:t>"COC" significa Comité de cumplimiento de las medidas de conservación y ordenación.</w:t>
      </w:r>
    </w:p>
    <w:p w14:paraId="5B07A515" w14:textId="77777777" w:rsidR="00401335" w:rsidRPr="00C573E6" w:rsidRDefault="00401335" w:rsidP="00401335">
      <w:pPr>
        <w:pStyle w:val="ListParagraph"/>
        <w:rPr>
          <w:sz w:val="20"/>
          <w:szCs w:val="20"/>
        </w:rPr>
      </w:pPr>
    </w:p>
    <w:p w14:paraId="2F221716" w14:textId="77777777" w:rsidR="00844C4B" w:rsidRPr="00C573E6" w:rsidRDefault="00844C4B" w:rsidP="00CC148E">
      <w:pPr>
        <w:pStyle w:val="ListParagraph"/>
        <w:numPr>
          <w:ilvl w:val="0"/>
          <w:numId w:val="61"/>
        </w:numPr>
        <w:autoSpaceDE/>
        <w:autoSpaceDN/>
        <w:contextualSpacing/>
        <w:jc w:val="both"/>
        <w:rPr>
          <w:sz w:val="20"/>
          <w:szCs w:val="20"/>
        </w:rPr>
      </w:pPr>
      <w:r w:rsidRPr="00C573E6">
        <w:rPr>
          <w:sz w:val="20"/>
        </w:rPr>
        <w:t>"GTP" significa Grupo de trabajo permanente para la mejora de las estadísticas y medidas de conservación de ICCAT.</w:t>
      </w:r>
    </w:p>
    <w:p w14:paraId="513B28DF" w14:textId="77777777" w:rsidR="00401335" w:rsidRPr="00C573E6" w:rsidRDefault="00401335" w:rsidP="00401335">
      <w:pPr>
        <w:pStyle w:val="ListParagraph"/>
        <w:rPr>
          <w:sz w:val="20"/>
          <w:szCs w:val="20"/>
        </w:rPr>
      </w:pPr>
    </w:p>
    <w:p w14:paraId="49DC7EBC" w14:textId="77777777" w:rsidR="00844C4B" w:rsidRPr="00C573E6" w:rsidRDefault="00844C4B" w:rsidP="00CC148E">
      <w:pPr>
        <w:pStyle w:val="ListParagraph"/>
        <w:numPr>
          <w:ilvl w:val="0"/>
          <w:numId w:val="61"/>
        </w:numPr>
        <w:autoSpaceDE/>
        <w:autoSpaceDN/>
        <w:contextualSpacing/>
        <w:jc w:val="both"/>
        <w:rPr>
          <w:sz w:val="20"/>
          <w:szCs w:val="20"/>
        </w:rPr>
      </w:pPr>
      <w:r w:rsidRPr="00C573E6">
        <w:rPr>
          <w:sz w:val="20"/>
        </w:rPr>
        <w:t>"SCRS" significa Comité permanente de investigación y estadísticas.</w:t>
      </w:r>
    </w:p>
    <w:p w14:paraId="0E5696FD" w14:textId="77777777" w:rsidR="00401335" w:rsidRPr="00C573E6" w:rsidRDefault="00401335" w:rsidP="00401335">
      <w:pPr>
        <w:pStyle w:val="ListParagraph"/>
        <w:rPr>
          <w:sz w:val="20"/>
          <w:szCs w:val="20"/>
        </w:rPr>
      </w:pPr>
    </w:p>
    <w:p w14:paraId="2AF6C0AC" w14:textId="77777777" w:rsidR="00844C4B" w:rsidRPr="00C573E6" w:rsidRDefault="00844C4B" w:rsidP="00CC148E">
      <w:pPr>
        <w:pStyle w:val="ListParagraph"/>
        <w:numPr>
          <w:ilvl w:val="0"/>
          <w:numId w:val="61"/>
        </w:numPr>
        <w:autoSpaceDE/>
        <w:autoSpaceDN/>
        <w:contextualSpacing/>
        <w:jc w:val="both"/>
        <w:rPr>
          <w:sz w:val="20"/>
          <w:szCs w:val="20"/>
        </w:rPr>
      </w:pPr>
      <w:r w:rsidRPr="00C573E6">
        <w:rPr>
          <w:sz w:val="20"/>
        </w:rPr>
        <w:t>«Plena utilización» significa la retención por parte de los buques pesqueros de todas las partes del tiburón, con la excepción de la cabeza, las vísceras, las vértebras y la piel, hasta el primer punto de desembarque.</w:t>
      </w:r>
    </w:p>
    <w:p w14:paraId="2599DAF9" w14:textId="77777777" w:rsidR="00401335" w:rsidRPr="00C573E6" w:rsidRDefault="00401335" w:rsidP="00401335">
      <w:pPr>
        <w:pStyle w:val="ListParagraph"/>
        <w:rPr>
          <w:sz w:val="20"/>
          <w:szCs w:val="20"/>
        </w:rPr>
      </w:pPr>
    </w:p>
    <w:p w14:paraId="574A602C" w14:textId="77777777" w:rsidR="00844C4B" w:rsidRPr="00C573E6" w:rsidRDefault="00844C4B" w:rsidP="00CC148E">
      <w:pPr>
        <w:pStyle w:val="ListParagraph"/>
        <w:numPr>
          <w:ilvl w:val="0"/>
          <w:numId w:val="61"/>
        </w:numPr>
        <w:autoSpaceDE/>
        <w:autoSpaceDN/>
        <w:contextualSpacing/>
        <w:jc w:val="both"/>
        <w:rPr>
          <w:sz w:val="20"/>
          <w:szCs w:val="20"/>
        </w:rPr>
      </w:pPr>
      <w:r w:rsidRPr="00C573E6">
        <w:rPr>
          <w:sz w:val="20"/>
        </w:rPr>
        <w:t>«Cercenamiento de aletas» significa cortar y retener todas o algunas de las aletas de un tiburón y desechar su carcasa en el mar.</w:t>
      </w:r>
    </w:p>
    <w:p w14:paraId="418619E2" w14:textId="77777777" w:rsidR="00401335" w:rsidRPr="00C573E6" w:rsidRDefault="00401335" w:rsidP="00401335">
      <w:pPr>
        <w:pStyle w:val="ListParagraph"/>
        <w:rPr>
          <w:sz w:val="20"/>
          <w:szCs w:val="20"/>
        </w:rPr>
      </w:pPr>
    </w:p>
    <w:p w14:paraId="5B586215" w14:textId="75942F4E" w:rsidR="00844C4B" w:rsidRPr="00C573E6" w:rsidRDefault="00844C4B" w:rsidP="00CC148E">
      <w:pPr>
        <w:pStyle w:val="ListParagraph"/>
        <w:numPr>
          <w:ilvl w:val="0"/>
          <w:numId w:val="61"/>
        </w:numPr>
        <w:autoSpaceDE/>
        <w:autoSpaceDN/>
        <w:contextualSpacing/>
        <w:jc w:val="both"/>
        <w:rPr>
          <w:sz w:val="20"/>
          <w:szCs w:val="20"/>
        </w:rPr>
      </w:pPr>
      <w:r w:rsidRPr="00C573E6">
        <w:t xml:space="preserve">"Tiburones" significa todas las especies de tiburones enumeradas en </w:t>
      </w:r>
      <w:proofErr w:type="spellStart"/>
      <w:r w:rsidRPr="00C573E6">
        <w:t>la</w:t>
      </w:r>
      <w:hyperlink r:id="rId9" w:history="1">
        <w:r w:rsidRPr="00C573E6">
          <w:rPr>
            <w:rStyle w:val="Hyperlink"/>
            <w:sz w:val="20"/>
            <w:u w:val="none"/>
          </w:rPr>
          <w:t>Rec</w:t>
        </w:r>
        <w:proofErr w:type="spellEnd"/>
        <w:r w:rsidRPr="00C573E6">
          <w:rPr>
            <w:rStyle w:val="Hyperlink"/>
            <w:sz w:val="20"/>
            <w:u w:val="none"/>
          </w:rPr>
          <w:t>. 19-01</w:t>
        </w:r>
      </w:hyperlink>
      <w:r w:rsidRPr="00C573E6">
        <w:rPr>
          <w:sz w:val="20"/>
        </w:rPr>
        <w:t xml:space="preserve"> </w:t>
      </w:r>
      <w:r w:rsidRPr="00C573E6">
        <w:t xml:space="preserve"> capturados en asociación con las pesquerías de ICCAT.</w:t>
      </w:r>
    </w:p>
    <w:p w14:paraId="527F919C" w14:textId="77777777" w:rsidR="00401335" w:rsidRPr="00C573E6" w:rsidRDefault="00401335" w:rsidP="00401335">
      <w:pPr>
        <w:pStyle w:val="ListParagraph"/>
        <w:rPr>
          <w:sz w:val="20"/>
          <w:szCs w:val="20"/>
        </w:rPr>
      </w:pPr>
    </w:p>
    <w:p w14:paraId="68B7A142" w14:textId="67A9C6D7" w:rsidR="00844C4B" w:rsidRPr="00C573E6" w:rsidRDefault="00844C4B" w:rsidP="00CC148E">
      <w:pPr>
        <w:pStyle w:val="ListParagraph"/>
        <w:numPr>
          <w:ilvl w:val="0"/>
          <w:numId w:val="61"/>
        </w:numPr>
        <w:autoSpaceDE/>
        <w:autoSpaceDN/>
        <w:contextualSpacing/>
        <w:jc w:val="both"/>
        <w:rPr>
          <w:sz w:val="20"/>
          <w:szCs w:val="20"/>
        </w:rPr>
      </w:pPr>
      <w:r w:rsidRPr="00C573E6">
        <w:t xml:space="preserve">Las definiciones de las especies de tiburones se ajustarán a la </w:t>
      </w:r>
      <w:hyperlink r:id="rId10" w:history="1">
        <w:r w:rsidRPr="00C573E6">
          <w:rPr>
            <w:rStyle w:val="Hyperlink"/>
            <w:sz w:val="20"/>
            <w:u w:val="none"/>
          </w:rPr>
          <w:t>Rec. 19-01</w:t>
        </w:r>
      </w:hyperlink>
      <w:r w:rsidRPr="00C573E6">
        <w:rPr>
          <w:sz w:val="20"/>
        </w:rPr>
        <w:t xml:space="preserve">  </w:t>
      </w:r>
    </w:p>
    <w:p w14:paraId="67B254D0" w14:textId="77777777" w:rsidR="00844C4B" w:rsidRPr="00C573E6" w:rsidRDefault="00844C4B" w:rsidP="00833055">
      <w:pPr>
        <w:jc w:val="both"/>
        <w:rPr>
          <w:sz w:val="20"/>
          <w:szCs w:val="20"/>
        </w:rPr>
      </w:pPr>
    </w:p>
    <w:p w14:paraId="46919008" w14:textId="77777777" w:rsidR="00844C4B" w:rsidRPr="00C573E6" w:rsidRDefault="00844C4B" w:rsidP="00833055">
      <w:pPr>
        <w:jc w:val="both"/>
        <w:rPr>
          <w:b/>
          <w:bCs/>
          <w:sz w:val="20"/>
          <w:szCs w:val="20"/>
        </w:rPr>
      </w:pPr>
      <w:r w:rsidRPr="00C573E6">
        <w:rPr>
          <w:b/>
          <w:sz w:val="20"/>
        </w:rPr>
        <w:t>Objetivos y ámbito</w:t>
      </w:r>
    </w:p>
    <w:p w14:paraId="594F600A" w14:textId="77777777" w:rsidR="00844C4B" w:rsidRPr="00C573E6" w:rsidRDefault="00844C4B" w:rsidP="00833055">
      <w:pPr>
        <w:jc w:val="both"/>
        <w:rPr>
          <w:sz w:val="20"/>
          <w:szCs w:val="20"/>
        </w:rPr>
      </w:pPr>
    </w:p>
    <w:p w14:paraId="5524575E" w14:textId="7777777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El objetivo de esta Recomendación es garantizar el uso sostenible y la conservación a largo plazo de los tiburones, mediante la aplicación del criterio de precaución y de un enfoque ecosistémico a la ordenación pesquera [WCPFC]</w:t>
      </w:r>
    </w:p>
    <w:p w14:paraId="6E389506" w14:textId="77777777" w:rsidR="00844C4B" w:rsidRPr="00C573E6" w:rsidRDefault="00844C4B" w:rsidP="00833055">
      <w:pPr>
        <w:pStyle w:val="ListParagraph"/>
        <w:ind w:left="360"/>
        <w:jc w:val="both"/>
        <w:rPr>
          <w:sz w:val="20"/>
          <w:szCs w:val="20"/>
        </w:rPr>
      </w:pPr>
    </w:p>
    <w:p w14:paraId="0BBA0C41" w14:textId="25732055" w:rsidR="00844C4B" w:rsidRPr="00C573E6" w:rsidRDefault="00844C4B" w:rsidP="00CC148E">
      <w:pPr>
        <w:pStyle w:val="ListParagraph"/>
        <w:numPr>
          <w:ilvl w:val="0"/>
          <w:numId w:val="60"/>
        </w:numPr>
        <w:autoSpaceDE/>
        <w:autoSpaceDN/>
        <w:contextualSpacing/>
        <w:jc w:val="both"/>
        <w:rPr>
          <w:sz w:val="20"/>
          <w:szCs w:val="20"/>
        </w:rPr>
      </w:pPr>
      <w:r w:rsidRPr="00C573E6">
        <w:t xml:space="preserve">Esta Recomendación se aplicará a los tiburones enumerados en la </w:t>
      </w:r>
      <w:hyperlink r:id="rId11" w:history="1">
        <w:r w:rsidRPr="00C573E6">
          <w:rPr>
            <w:rStyle w:val="Hyperlink"/>
            <w:sz w:val="20"/>
            <w:u w:val="none"/>
          </w:rPr>
          <w:t>Rec. 19-01</w:t>
        </w:r>
      </w:hyperlink>
      <w:r w:rsidRPr="00C573E6">
        <w:rPr>
          <w:sz w:val="20"/>
        </w:rPr>
        <w:t xml:space="preserve"> </w:t>
      </w:r>
      <w:r w:rsidRPr="00C573E6">
        <w:t xml:space="preserve"> que se capturen en asociación con pesquerías gestionadas por ICCAT.</w:t>
      </w:r>
    </w:p>
    <w:p w14:paraId="7B74E3DD" w14:textId="77777777" w:rsidR="00844C4B" w:rsidRPr="00C573E6" w:rsidRDefault="00844C4B" w:rsidP="00833055">
      <w:pPr>
        <w:pStyle w:val="ListParagraph"/>
        <w:ind w:left="360"/>
        <w:jc w:val="both"/>
        <w:rPr>
          <w:sz w:val="20"/>
          <w:szCs w:val="20"/>
        </w:rPr>
      </w:pPr>
    </w:p>
    <w:p w14:paraId="4E5695B6" w14:textId="27B85204" w:rsidR="00844C4B" w:rsidRPr="00C573E6" w:rsidRDefault="00844C4B" w:rsidP="00783A78">
      <w:pPr>
        <w:pStyle w:val="ListParagraph"/>
        <w:ind w:left="0" w:firstLine="0"/>
        <w:jc w:val="both"/>
        <w:rPr>
          <w:b/>
          <w:bCs/>
          <w:sz w:val="20"/>
          <w:szCs w:val="20"/>
        </w:rPr>
      </w:pPr>
      <w:r w:rsidRPr="00C573E6">
        <w:rPr>
          <w:b/>
          <w:sz w:val="20"/>
        </w:rPr>
        <w:t xml:space="preserve">Cooperación con la FAO y aplicación del Plan de Acción </w:t>
      </w:r>
    </w:p>
    <w:p w14:paraId="6ABA4DD7" w14:textId="77777777" w:rsidR="00844C4B" w:rsidRPr="00C573E6" w:rsidRDefault="00844C4B" w:rsidP="00833055">
      <w:pPr>
        <w:jc w:val="both"/>
        <w:rPr>
          <w:sz w:val="20"/>
          <w:szCs w:val="20"/>
        </w:rPr>
      </w:pPr>
    </w:p>
    <w:p w14:paraId="0849326F" w14:textId="2F999401"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FAO será el punto convergente a partir del cual se iniciará un programa para recopilar, a escala global, los necesarios datos biológicos, lo que incluye la abundancia de stock y la magnitud de la captura fortuita, y los datos comerciales sobre especies de tiburones, y llevará a cabo una función coordinadora de las actividades mencionadas entre organizaciones regionales o subregionales de ordenación de pesquerías. [ICCAT Res. 95-02]</w:t>
      </w:r>
    </w:p>
    <w:p w14:paraId="2419240E" w14:textId="77777777" w:rsidR="00CE0C69" w:rsidRPr="00C573E6" w:rsidRDefault="00CE0C69" w:rsidP="00CE0C69">
      <w:pPr>
        <w:pStyle w:val="ListParagraph"/>
        <w:autoSpaceDE/>
        <w:autoSpaceDN/>
        <w:ind w:left="360" w:firstLine="0"/>
        <w:contextualSpacing/>
        <w:jc w:val="both"/>
        <w:rPr>
          <w:sz w:val="20"/>
          <w:szCs w:val="20"/>
        </w:rPr>
      </w:pPr>
    </w:p>
    <w:p w14:paraId="2BC4CB43" w14:textId="7B107CB4"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Las Partes contratantes de ICCAT debería facilitar la información a la FAO y, cuando sea posible,  deberían proporcionar ayuda financiera para llevar a cabo las tareas requeridas. [ICCAT Res. 95-02]</w:t>
      </w:r>
    </w:p>
    <w:p w14:paraId="37B69D2F" w14:textId="77777777" w:rsidR="00844C4B" w:rsidRPr="00C573E6" w:rsidRDefault="00844C4B" w:rsidP="00833055">
      <w:pPr>
        <w:jc w:val="both"/>
        <w:rPr>
          <w:sz w:val="20"/>
          <w:szCs w:val="20"/>
        </w:rPr>
      </w:pPr>
    </w:p>
    <w:p w14:paraId="73B8F7BA" w14:textId="37DFE12C"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ICCAT cooperará con la FAO facilitando la información y asesoramiento necesarios, en respuesta a las solicitudes presentadas, incluyendo la mencionada Resolución de CITES. [ICCAT Res. 95-02]</w:t>
      </w:r>
    </w:p>
    <w:p w14:paraId="1A048ABE" w14:textId="77777777" w:rsidR="00844C4B" w:rsidRPr="00C573E6" w:rsidRDefault="00844C4B" w:rsidP="00833055">
      <w:pPr>
        <w:pStyle w:val="ListParagraph"/>
        <w:jc w:val="both"/>
        <w:rPr>
          <w:sz w:val="20"/>
          <w:szCs w:val="20"/>
        </w:rPr>
      </w:pPr>
    </w:p>
    <w:p w14:paraId="3B4B4B5A" w14:textId="37BB8D16"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Las CPC aplicarán plenamente un plan de acción nacional (NPOA) de conformidad con el plan de acción internacional (IPOA) de la FAO para la conservación y ordenación de los tiburones adoptado por la FAO. [ICCAT Res. 03-10]</w:t>
      </w:r>
    </w:p>
    <w:p w14:paraId="52969B9A" w14:textId="77777777" w:rsidR="00844C4B" w:rsidRPr="00C573E6" w:rsidRDefault="00844C4B" w:rsidP="00833055">
      <w:pPr>
        <w:pStyle w:val="ListParagraph"/>
        <w:jc w:val="both"/>
        <w:rPr>
          <w:sz w:val="20"/>
          <w:szCs w:val="20"/>
        </w:rPr>
      </w:pPr>
    </w:p>
    <w:p w14:paraId="76DC4FF7" w14:textId="77777777" w:rsidR="00844C4B" w:rsidRPr="00C573E6" w:rsidRDefault="00844C4B" w:rsidP="003B05EA">
      <w:pPr>
        <w:pStyle w:val="ListParagraph"/>
        <w:ind w:left="0" w:firstLine="0"/>
        <w:jc w:val="both"/>
        <w:rPr>
          <w:b/>
          <w:bCs/>
          <w:sz w:val="20"/>
          <w:szCs w:val="20"/>
        </w:rPr>
      </w:pPr>
      <w:r w:rsidRPr="00C573E6">
        <w:rPr>
          <w:b/>
          <w:sz w:val="20"/>
        </w:rPr>
        <w:t>Plena utilización del tiburón y prohibición del cercenamiento de las aletas [WCPFC].</w:t>
      </w:r>
    </w:p>
    <w:p w14:paraId="7CF49B95" w14:textId="77777777" w:rsidR="00844C4B" w:rsidRPr="00C573E6" w:rsidRDefault="00844C4B" w:rsidP="00833055">
      <w:pPr>
        <w:pStyle w:val="ListParagraph"/>
        <w:jc w:val="both"/>
        <w:rPr>
          <w:sz w:val="20"/>
          <w:szCs w:val="20"/>
        </w:rPr>
      </w:pPr>
    </w:p>
    <w:p w14:paraId="4F018FD9" w14:textId="7777777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Las CPC tomarán las medidas necesarias para requerir que todos los tiburones retenidos a bordo de sus buques se utilicen en su totalidad. Las CPC velarán por que se prohíba la práctica del cercenamiento de aletas.</w:t>
      </w:r>
    </w:p>
    <w:p w14:paraId="09F86741" w14:textId="77777777" w:rsidR="00844C4B" w:rsidRPr="00C573E6" w:rsidRDefault="00844C4B" w:rsidP="00833055">
      <w:pPr>
        <w:pStyle w:val="ListParagraph"/>
        <w:ind w:left="360"/>
        <w:jc w:val="both"/>
        <w:rPr>
          <w:sz w:val="20"/>
          <w:szCs w:val="20"/>
        </w:rPr>
      </w:pPr>
    </w:p>
    <w:p w14:paraId="199DDFEA" w14:textId="7777777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Para cumplir la obligación del párrafo 8, las CPC requerirán a sus buques que desembarquen los tiburones con las aletas adheridas de forma natural a la carcasa.</w:t>
      </w:r>
    </w:p>
    <w:p w14:paraId="58A3C96E" w14:textId="77777777" w:rsidR="00844C4B" w:rsidRPr="00C573E6" w:rsidRDefault="00844C4B" w:rsidP="00833055">
      <w:pPr>
        <w:pStyle w:val="ListParagraph"/>
        <w:ind w:left="360"/>
        <w:jc w:val="both"/>
        <w:rPr>
          <w:sz w:val="20"/>
          <w:szCs w:val="20"/>
        </w:rPr>
      </w:pPr>
    </w:p>
    <w:p w14:paraId="1E736E5C" w14:textId="7777777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No obstante lo dispuesto en el párrafo 9, las CPC podrán autorizar a sus buques a aplicar una de las medidas alternativas enumeradas a continuación para cumplir lo dispuesto en el párrafo 8. Las CPC aplicarán esfuerzos de seguimiento reforzados en sus buques autorizados a aplicar las alternativas.</w:t>
      </w:r>
    </w:p>
    <w:p w14:paraId="48323108" w14:textId="77777777" w:rsidR="00B85EFB" w:rsidRPr="00C573E6" w:rsidRDefault="00B85EFB" w:rsidP="00B85EFB">
      <w:pPr>
        <w:pStyle w:val="ListParagraph"/>
        <w:ind w:left="360" w:firstLine="0"/>
        <w:jc w:val="both"/>
        <w:rPr>
          <w:sz w:val="20"/>
          <w:szCs w:val="20"/>
        </w:rPr>
      </w:pPr>
    </w:p>
    <w:p w14:paraId="4D5D7A64" w14:textId="7FA71734" w:rsidR="00844C4B" w:rsidRPr="00C573E6" w:rsidRDefault="00844C4B" w:rsidP="00B85EFB">
      <w:pPr>
        <w:pStyle w:val="ListParagraph"/>
        <w:ind w:left="360" w:firstLine="0"/>
        <w:jc w:val="both"/>
        <w:rPr>
          <w:sz w:val="20"/>
          <w:szCs w:val="20"/>
        </w:rPr>
      </w:pPr>
      <w:r w:rsidRPr="00C573E6">
        <w:rPr>
          <w:sz w:val="20"/>
        </w:rPr>
        <w:t>Para garantizar que los inspectores a bordo del buque puedan identificar fácilmente y en cualquier momento las carcasas individuales de tiburón y sus correspondientes aletas, estas alternativas se aplicarán lo más rápidamente posible antes de almacenar los tiburones en las bodegas de pescado .</w:t>
      </w:r>
    </w:p>
    <w:p w14:paraId="162D264C" w14:textId="77777777" w:rsidR="00844C4B" w:rsidRPr="00C573E6" w:rsidRDefault="00844C4B" w:rsidP="00833055">
      <w:pPr>
        <w:jc w:val="both"/>
        <w:rPr>
          <w:sz w:val="20"/>
          <w:szCs w:val="20"/>
        </w:rPr>
      </w:pPr>
    </w:p>
    <w:p w14:paraId="5D22EE86" w14:textId="5505D8EF" w:rsidR="00844C4B" w:rsidRPr="00C573E6" w:rsidRDefault="00844C4B" w:rsidP="00CC148E">
      <w:pPr>
        <w:pStyle w:val="ListParagraph"/>
        <w:numPr>
          <w:ilvl w:val="0"/>
          <w:numId w:val="69"/>
        </w:numPr>
        <w:jc w:val="both"/>
        <w:rPr>
          <w:sz w:val="20"/>
          <w:szCs w:val="20"/>
        </w:rPr>
      </w:pPr>
      <w:r w:rsidRPr="00C573E6">
        <w:rPr>
          <w:sz w:val="20"/>
        </w:rPr>
        <w:t xml:space="preserve">Cada carcasa de tiburón se atará a las aletas correspondientes con cuerda o alambre; o </w:t>
      </w:r>
    </w:p>
    <w:p w14:paraId="18A0345F" w14:textId="77777777" w:rsidR="00B85EFB" w:rsidRPr="00C573E6" w:rsidRDefault="00B85EFB" w:rsidP="00B85EFB">
      <w:pPr>
        <w:pStyle w:val="ListParagraph"/>
        <w:ind w:left="720" w:firstLine="0"/>
        <w:jc w:val="both"/>
        <w:rPr>
          <w:sz w:val="20"/>
          <w:szCs w:val="20"/>
        </w:rPr>
      </w:pPr>
    </w:p>
    <w:p w14:paraId="20257E5F" w14:textId="307FEB03" w:rsidR="00844C4B" w:rsidRPr="00C573E6" w:rsidRDefault="00844C4B" w:rsidP="00CC148E">
      <w:pPr>
        <w:pStyle w:val="ListParagraph"/>
        <w:numPr>
          <w:ilvl w:val="0"/>
          <w:numId w:val="69"/>
        </w:numPr>
        <w:jc w:val="both"/>
        <w:rPr>
          <w:sz w:val="20"/>
          <w:szCs w:val="20"/>
        </w:rPr>
      </w:pPr>
      <w:r w:rsidRPr="00C573E6">
        <w:rPr>
          <w:sz w:val="20"/>
        </w:rPr>
        <w:t>A cada carcasa de tiburón y a sus aletas correspondientes se le colocarán marcas idénticas y numeradas de forma que los inspectores puedan identificar fácilmente la correspondencia entre la carcasa y las aletas en cualquier momento. Tanto las carcasas como las aletas se almacenarán a bordo en la misma bodega.</w:t>
      </w:r>
    </w:p>
    <w:p w14:paraId="596DC75F" w14:textId="77777777" w:rsidR="00844C4B" w:rsidRPr="00C573E6" w:rsidRDefault="00844C4B" w:rsidP="00833055">
      <w:pPr>
        <w:pStyle w:val="ListParagraph"/>
        <w:ind w:left="360"/>
        <w:jc w:val="both"/>
        <w:rPr>
          <w:sz w:val="20"/>
          <w:szCs w:val="20"/>
        </w:rPr>
      </w:pPr>
    </w:p>
    <w:p w14:paraId="63865E94" w14:textId="433F9895"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Todas las CPC incluirán en su Informe anual información sobre la implementación de las medidas de los párrafos 9 y 10, según proceda, incluyendo: 1) cómo han reforzado los buques autorizados sus esfuerzos de seguimiento; 2) cuántos buques utilizaron las medidas alternativas el año anterior; 3) cómo se vela por el cumplimiento en el mar y en puerto, lo que incluye cómo se han abordado los posibles incidentes de número desproporcionado de aletas, de descarte selectivo y de sustitución de especies; 4) una explicación de por qué la flota ha adoptado su práctica de manipulación de aletas y 5) cualquier otra información que el GTP considere necesaria.</w:t>
      </w:r>
    </w:p>
    <w:p w14:paraId="34E73027" w14:textId="77777777" w:rsidR="00844C4B" w:rsidRPr="00C573E6" w:rsidRDefault="00844C4B" w:rsidP="00833055">
      <w:pPr>
        <w:pStyle w:val="ListParagraph"/>
        <w:ind w:left="360"/>
        <w:jc w:val="both"/>
        <w:rPr>
          <w:sz w:val="20"/>
          <w:szCs w:val="20"/>
        </w:rPr>
      </w:pPr>
    </w:p>
    <w:p w14:paraId="242F2096" w14:textId="7777777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Las CPC proporcionarán información al GTP sobre cualquier dificultad de ejecución encontrada en el caso de las medidas alternativas, a partir de los informes de los observadores, del seguimiento electrónico y de la inspección de los desembarques.</w:t>
      </w:r>
    </w:p>
    <w:p w14:paraId="3F01DADB" w14:textId="77777777" w:rsidR="00844C4B" w:rsidRPr="00C573E6" w:rsidRDefault="00844C4B" w:rsidP="00833055">
      <w:pPr>
        <w:pStyle w:val="ListParagraph"/>
        <w:ind w:left="360"/>
        <w:jc w:val="both"/>
        <w:rPr>
          <w:sz w:val="20"/>
          <w:szCs w:val="20"/>
        </w:rPr>
      </w:pPr>
    </w:p>
    <w:p w14:paraId="4535DE86" w14:textId="6533FA5C"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La Secretaría de ICCAT recopilará la información facilitada por las CPC con respecto a los párrafos 9 y 10 cada año y la pondrá a disposición del GTP.</w:t>
      </w:r>
    </w:p>
    <w:p w14:paraId="7F8FA559" w14:textId="77777777" w:rsidR="00C573E6" w:rsidRPr="00C573E6" w:rsidRDefault="00C573E6" w:rsidP="00C573E6">
      <w:pPr>
        <w:pStyle w:val="ListParagraph"/>
        <w:rPr>
          <w:sz w:val="20"/>
          <w:szCs w:val="20"/>
        </w:rPr>
      </w:pPr>
    </w:p>
    <w:p w14:paraId="36CA0787" w14:textId="77777777" w:rsidR="00C573E6" w:rsidRPr="00C573E6" w:rsidRDefault="00C573E6" w:rsidP="00C573E6">
      <w:pPr>
        <w:pStyle w:val="ListParagraph"/>
        <w:autoSpaceDE/>
        <w:autoSpaceDN/>
        <w:ind w:left="360" w:firstLine="0"/>
        <w:contextualSpacing/>
        <w:jc w:val="both"/>
        <w:rPr>
          <w:sz w:val="20"/>
          <w:szCs w:val="20"/>
        </w:rPr>
      </w:pPr>
    </w:p>
    <w:p w14:paraId="3EA681C9" w14:textId="77777777" w:rsidR="00844C4B" w:rsidRPr="00C573E6" w:rsidRDefault="00844C4B" w:rsidP="00833055">
      <w:pPr>
        <w:jc w:val="both"/>
        <w:rPr>
          <w:sz w:val="20"/>
          <w:szCs w:val="20"/>
        </w:rPr>
      </w:pPr>
    </w:p>
    <w:p w14:paraId="14CDE453" w14:textId="14A71C4F"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El GTP examinará y debatirá la información presentada de conformidad con los párrafos 11 y 12. Si una CPC que utilizó las medidas alternativas no proporciona información de acuerdo con el párrafo 11 para garantizar la eficacia de las medidas alternativas establecidas en el párrafo 10, el párrafo 10 no será aplicable en los años siguientes para esta CPC hasta que la CPC proporcione dicha información al GTP.</w:t>
      </w:r>
    </w:p>
    <w:p w14:paraId="39BCF1A2" w14:textId="77777777" w:rsidR="00844C4B" w:rsidRPr="00C573E6" w:rsidRDefault="00844C4B" w:rsidP="00833055">
      <w:pPr>
        <w:pStyle w:val="ListParagraph"/>
        <w:ind w:left="360"/>
        <w:jc w:val="both"/>
        <w:rPr>
          <w:sz w:val="20"/>
          <w:szCs w:val="20"/>
        </w:rPr>
      </w:pPr>
    </w:p>
    <w:p w14:paraId="208EB782" w14:textId="7777777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Las CPC tomarán las medidas necesarias para evitar que sus buques pesqueros conserven a bordo (incluso para consumo de la tripulación), transborden y desembarquen aletas recogidas contraviniendo esta Recomendación.</w:t>
      </w:r>
    </w:p>
    <w:p w14:paraId="442FDE42" w14:textId="77777777" w:rsidR="00411CEA" w:rsidRPr="00C573E6" w:rsidRDefault="00411CEA" w:rsidP="00411CEA">
      <w:pPr>
        <w:pStyle w:val="ListParagraph"/>
        <w:rPr>
          <w:sz w:val="20"/>
          <w:szCs w:val="20"/>
        </w:rPr>
      </w:pPr>
    </w:p>
    <w:p w14:paraId="362DC986" w14:textId="7777777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Las CPC tomarán las medidas necesarias para garantizar que se desembarcan tanto las carcasas como sus correspondientes aletas, de forma que los inspectores/observadores puedan verificar la correspondencia entre una carcasa individual y sus aletas cuando se desembarquen o transborden.</w:t>
      </w:r>
    </w:p>
    <w:p w14:paraId="1598F29F" w14:textId="77777777" w:rsidR="00844C4B" w:rsidRPr="00C573E6" w:rsidRDefault="00844C4B" w:rsidP="00833055">
      <w:pPr>
        <w:pStyle w:val="ListParagraph"/>
        <w:jc w:val="both"/>
        <w:rPr>
          <w:sz w:val="20"/>
          <w:szCs w:val="20"/>
        </w:rPr>
      </w:pPr>
    </w:p>
    <w:p w14:paraId="1F44BE8C" w14:textId="77777777" w:rsidR="00411CEA" w:rsidRPr="00C573E6" w:rsidRDefault="00411CEA" w:rsidP="00833055">
      <w:pPr>
        <w:jc w:val="both"/>
        <w:rPr>
          <w:b/>
          <w:bCs/>
          <w:sz w:val="20"/>
          <w:szCs w:val="20"/>
        </w:rPr>
      </w:pPr>
    </w:p>
    <w:p w14:paraId="54A2FA9C" w14:textId="2B4EBE01" w:rsidR="00844C4B" w:rsidRPr="00C573E6" w:rsidRDefault="00844C4B" w:rsidP="00833055">
      <w:pPr>
        <w:jc w:val="both"/>
        <w:rPr>
          <w:b/>
          <w:bCs/>
          <w:sz w:val="20"/>
          <w:szCs w:val="20"/>
        </w:rPr>
      </w:pPr>
      <w:r w:rsidRPr="00C573E6">
        <w:rPr>
          <w:b/>
          <w:sz w:val="20"/>
        </w:rPr>
        <w:t>Prohibición de retención</w:t>
      </w:r>
    </w:p>
    <w:p w14:paraId="0B7522C5" w14:textId="77777777" w:rsidR="00844C4B" w:rsidRPr="00C573E6" w:rsidRDefault="00844C4B" w:rsidP="00833055">
      <w:pPr>
        <w:jc w:val="both"/>
        <w:rPr>
          <w:sz w:val="20"/>
          <w:szCs w:val="20"/>
        </w:rPr>
      </w:pPr>
    </w:p>
    <w:p w14:paraId="27C388DB" w14:textId="56FB5E7C"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No obstante lo dispuesto en el párrafo 8, las CPC prohibirán a los buques que enarbolen su pabellón mantener a bordo, transbordar, desembarcar, almacenar, vender u ofrecer para su venta cualquier parte o la carcasa entera de ejemplares de zorro ojón, tiburón oceánico, peces martillo, tiburón jaquetón y tiburón ballena capturados en la zona del Convenio en asociación con las pesquerías de ICCAT. [IMM_06/2025]</w:t>
      </w:r>
      <w:r w:rsidRPr="00C573E6">
        <w:rPr>
          <w:color w:val="FF0000"/>
          <w:sz w:val="20"/>
        </w:rPr>
        <w:t xml:space="preserve"> </w:t>
      </w:r>
    </w:p>
    <w:p w14:paraId="1365F042" w14:textId="77777777" w:rsidR="00844C4B" w:rsidRPr="00C573E6" w:rsidRDefault="00844C4B" w:rsidP="00833055">
      <w:pPr>
        <w:pStyle w:val="ListParagraph"/>
        <w:ind w:left="360"/>
        <w:jc w:val="both"/>
        <w:rPr>
          <w:sz w:val="20"/>
          <w:szCs w:val="20"/>
        </w:rPr>
      </w:pPr>
    </w:p>
    <w:p w14:paraId="48BEDE61" w14:textId="556FCB80"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La prohibición de retención del párrafo 17 no se aplica a las CPC cuyas leyes internas requieran que se desembarquen todos los ejemplares muertos, que los pescadores no obtengan ningún beneficio comercial de dichos peces y que incluyan una prohibición para la pesquería de tiburón jaquetón. [Rec. 11-08 de ICCAT]</w:t>
      </w:r>
    </w:p>
    <w:p w14:paraId="5D66173D" w14:textId="77777777" w:rsidR="00844C4B" w:rsidRPr="00C573E6" w:rsidRDefault="00844C4B" w:rsidP="00833055">
      <w:pPr>
        <w:pStyle w:val="ListParagraph"/>
        <w:jc w:val="both"/>
        <w:rPr>
          <w:sz w:val="20"/>
          <w:szCs w:val="20"/>
        </w:rPr>
      </w:pPr>
    </w:p>
    <w:p w14:paraId="30965D7F" w14:textId="7777777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No obstante lo dispuesto en el párrafo 17, la recogida de muestras biológicas durante las operaciones de pesca comercial (por ejemplo, vértebras, tejidos, tractos reproductores, estómagos, muestras de piel, válvulas helicoidales, mandíbulas, peces enteros o esqueletos para estudios taxonómicos e inventarios de fauna) por parte de observadores científicos o personas debidamente autorizadas por la CPC para recoger muestras biológicas está autorizada en las siguientes condiciones:</w:t>
      </w:r>
    </w:p>
    <w:p w14:paraId="138D9EEA" w14:textId="77777777" w:rsidR="00844C4B" w:rsidRPr="00C573E6" w:rsidRDefault="00844C4B" w:rsidP="00833055">
      <w:pPr>
        <w:jc w:val="both"/>
        <w:rPr>
          <w:sz w:val="20"/>
          <w:szCs w:val="20"/>
        </w:rPr>
      </w:pPr>
    </w:p>
    <w:p w14:paraId="3B163F50" w14:textId="77777777" w:rsidR="00844C4B" w:rsidRPr="00C573E6" w:rsidRDefault="00844C4B" w:rsidP="00CC148E">
      <w:pPr>
        <w:pStyle w:val="ListParagraph"/>
        <w:numPr>
          <w:ilvl w:val="0"/>
          <w:numId w:val="66"/>
        </w:numPr>
        <w:autoSpaceDE/>
        <w:autoSpaceDN/>
        <w:contextualSpacing/>
        <w:jc w:val="both"/>
        <w:rPr>
          <w:sz w:val="20"/>
          <w:szCs w:val="20"/>
        </w:rPr>
      </w:pPr>
      <w:r w:rsidRPr="00C573E6">
        <w:rPr>
          <w:sz w:val="20"/>
        </w:rPr>
        <w:t>Las muestras biológicas se recogerán solo de animales que estén muertos en la virada.</w:t>
      </w:r>
    </w:p>
    <w:p w14:paraId="61264649" w14:textId="77777777" w:rsidR="00EA3BA5" w:rsidRPr="00C573E6" w:rsidRDefault="00EA3BA5" w:rsidP="00EA3BA5">
      <w:pPr>
        <w:pStyle w:val="ListParagraph"/>
        <w:autoSpaceDE/>
        <w:autoSpaceDN/>
        <w:ind w:left="720" w:firstLine="0"/>
        <w:contextualSpacing/>
        <w:jc w:val="both"/>
        <w:rPr>
          <w:sz w:val="20"/>
          <w:szCs w:val="20"/>
        </w:rPr>
      </w:pPr>
    </w:p>
    <w:p w14:paraId="5F87C4C4" w14:textId="4174FAA5" w:rsidR="00844C4B" w:rsidRPr="00C573E6" w:rsidRDefault="00844C4B" w:rsidP="00CC148E">
      <w:pPr>
        <w:pStyle w:val="ListParagraph"/>
        <w:numPr>
          <w:ilvl w:val="0"/>
          <w:numId w:val="66"/>
        </w:numPr>
        <w:autoSpaceDE/>
        <w:autoSpaceDN/>
        <w:contextualSpacing/>
        <w:jc w:val="both"/>
        <w:rPr>
          <w:sz w:val="20"/>
          <w:szCs w:val="20"/>
        </w:rPr>
      </w:pPr>
      <w:r w:rsidRPr="00C573E6">
        <w:rPr>
          <w:sz w:val="20"/>
        </w:rPr>
        <w:t>Las muestras biológicas se tomarán en el marco de un proyecto de investigación notificado al SCRS y desarrollado teniendo en cuenta las prioridades de investigación recomendadas por el Grupo de especies de tiburones del SCRS. El proyecto de investigación debería incluir un documento detallado que describa el objetivo del trabajo, las metodologías que se utilizarán, el número y tipo de muestras que se recogerán, la distribución espaciotemporal del muestreo y un cronograma de las actividades que se van a realizar.</w:t>
      </w:r>
    </w:p>
    <w:p w14:paraId="6AAB7B61" w14:textId="77777777" w:rsidR="00EA3BA5" w:rsidRPr="00C573E6" w:rsidRDefault="00EA3BA5" w:rsidP="00EA3BA5">
      <w:pPr>
        <w:pStyle w:val="ListParagraph"/>
        <w:rPr>
          <w:sz w:val="20"/>
          <w:szCs w:val="20"/>
        </w:rPr>
      </w:pPr>
    </w:p>
    <w:p w14:paraId="769471D6" w14:textId="77777777" w:rsidR="00844C4B" w:rsidRPr="00C573E6" w:rsidRDefault="00844C4B" w:rsidP="00CC148E">
      <w:pPr>
        <w:pStyle w:val="ListParagraph"/>
        <w:numPr>
          <w:ilvl w:val="0"/>
          <w:numId w:val="66"/>
        </w:numPr>
        <w:autoSpaceDE/>
        <w:autoSpaceDN/>
        <w:contextualSpacing/>
        <w:jc w:val="both"/>
        <w:rPr>
          <w:sz w:val="20"/>
          <w:szCs w:val="20"/>
        </w:rPr>
      </w:pPr>
      <w:r w:rsidRPr="00C573E6">
        <w:rPr>
          <w:sz w:val="20"/>
        </w:rPr>
        <w:t>Las muestras biológicas deben mantenerse a bordo hasta el puerto de desembarque o transbordo.</w:t>
      </w:r>
    </w:p>
    <w:p w14:paraId="2FEC37B4" w14:textId="77777777" w:rsidR="00EA3BA5" w:rsidRPr="00C573E6" w:rsidRDefault="00EA3BA5" w:rsidP="00EA3BA5">
      <w:pPr>
        <w:pStyle w:val="ListParagraph"/>
        <w:rPr>
          <w:sz w:val="20"/>
          <w:szCs w:val="20"/>
        </w:rPr>
      </w:pPr>
    </w:p>
    <w:p w14:paraId="37E00864" w14:textId="3D62A8D4" w:rsidR="00844C4B" w:rsidRPr="00C573E6" w:rsidRDefault="00844C4B" w:rsidP="00CC148E">
      <w:pPr>
        <w:pStyle w:val="ListParagraph"/>
        <w:numPr>
          <w:ilvl w:val="0"/>
          <w:numId w:val="66"/>
        </w:numPr>
        <w:autoSpaceDE/>
        <w:autoSpaceDN/>
        <w:contextualSpacing/>
        <w:jc w:val="both"/>
        <w:rPr>
          <w:sz w:val="20"/>
          <w:szCs w:val="20"/>
        </w:rPr>
      </w:pPr>
      <w:r w:rsidRPr="00C573E6">
        <w:rPr>
          <w:sz w:val="20"/>
        </w:rPr>
        <w:t>La autorización de la CPC del Estado del pabellón o, en el caso de buques fletados, de la CPC del fletador y de la CPC del Estado del pabellón, deberá acompañar a todas las muestras recogidas de conformidad con esta Recomendación hasta el puerto final de desembarque. Dichas muestras y otras partes de los ejemplares de tiburón muestreados no podrán comercializarse ni venderse. [ICCAT Rec. 13-10]</w:t>
      </w:r>
    </w:p>
    <w:p w14:paraId="28AEC2AA" w14:textId="77777777" w:rsidR="00844C4B" w:rsidRPr="00C573E6" w:rsidRDefault="00844C4B" w:rsidP="00833055">
      <w:pPr>
        <w:pStyle w:val="ListParagraph"/>
        <w:ind w:left="360"/>
        <w:jc w:val="both"/>
        <w:rPr>
          <w:sz w:val="20"/>
          <w:szCs w:val="20"/>
        </w:rPr>
      </w:pPr>
    </w:p>
    <w:p w14:paraId="536EC188" w14:textId="5B1148D8"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Se debería presentar un informe anual de los resultados del proyecto de investigación al Grupo de especies de tiburones y al SCRS. El SCRS debería revisar y evaluar este informe y asesorar sobre su seguimiento. [ICCAT Rec. 13-10]</w:t>
      </w:r>
    </w:p>
    <w:p w14:paraId="5B036D13" w14:textId="77777777" w:rsidR="00844C4B" w:rsidRPr="00C573E6" w:rsidRDefault="00844C4B" w:rsidP="00833055">
      <w:pPr>
        <w:pStyle w:val="ListParagraph"/>
        <w:ind w:left="360"/>
        <w:jc w:val="both"/>
        <w:rPr>
          <w:sz w:val="20"/>
          <w:szCs w:val="20"/>
        </w:rPr>
      </w:pPr>
    </w:p>
    <w:p w14:paraId="161356F2" w14:textId="77777777" w:rsidR="00844C4B" w:rsidRPr="00C573E6" w:rsidRDefault="00844C4B" w:rsidP="00833055">
      <w:pPr>
        <w:jc w:val="both"/>
        <w:rPr>
          <w:b/>
          <w:bCs/>
          <w:sz w:val="20"/>
          <w:szCs w:val="20"/>
        </w:rPr>
      </w:pPr>
      <w:r w:rsidRPr="00C573E6">
        <w:rPr>
          <w:b/>
          <w:sz w:val="20"/>
        </w:rPr>
        <w:t>Reducción al mínimo de las capturas fortuitas y práctica de la liberación segura</w:t>
      </w:r>
    </w:p>
    <w:p w14:paraId="7EFB4532" w14:textId="77777777" w:rsidR="00844C4B" w:rsidRPr="00C573E6" w:rsidRDefault="00844C4B" w:rsidP="00833055">
      <w:pPr>
        <w:jc w:val="both"/>
        <w:rPr>
          <w:sz w:val="20"/>
          <w:szCs w:val="20"/>
        </w:rPr>
      </w:pPr>
    </w:p>
    <w:p w14:paraId="089A93B7" w14:textId="5BB33E60"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 xml:space="preserve">Las CPC requerirán a los buques que enarbolen su pabellón que liberen con prontitud e ilesos, en la medida de lo posible y teniendo debidamente en cuenta la seguridad de los miembros de la tripulación, </w:t>
      </w:r>
      <w:r w:rsidRPr="00C573E6">
        <w:rPr>
          <w:sz w:val="20"/>
        </w:rPr>
        <w:lastRenderedPageBreak/>
        <w:t>al zorro ojón, al tiburón oceánico, a los peces martillo, al tiburón jaquetón y al marrajo sardinero cuando sean llevados al costado del buque para subirlos a bordo. [ICCAT Recs. 09-07] [10-08] [11-08] [15-06]</w:t>
      </w:r>
    </w:p>
    <w:p w14:paraId="2D219365" w14:textId="77777777" w:rsidR="00844C4B" w:rsidRPr="00C573E6" w:rsidRDefault="00844C4B" w:rsidP="00833055">
      <w:pPr>
        <w:pStyle w:val="ListParagraph"/>
        <w:ind w:left="360"/>
        <w:jc w:val="both"/>
        <w:rPr>
          <w:sz w:val="20"/>
          <w:szCs w:val="20"/>
        </w:rPr>
      </w:pPr>
    </w:p>
    <w:p w14:paraId="013E0E17" w14:textId="77777777" w:rsidR="00844C4B" w:rsidRPr="00C573E6" w:rsidRDefault="00844C4B" w:rsidP="00411CEA">
      <w:pPr>
        <w:pStyle w:val="ListParagraph"/>
        <w:ind w:left="0" w:firstLine="0"/>
        <w:jc w:val="both"/>
        <w:rPr>
          <w:b/>
          <w:bCs/>
          <w:sz w:val="20"/>
          <w:szCs w:val="20"/>
        </w:rPr>
      </w:pPr>
      <w:r w:rsidRPr="00C573E6">
        <w:rPr>
          <w:b/>
          <w:sz w:val="20"/>
        </w:rPr>
        <w:t xml:space="preserve">Requisitos específicos de las especies </w:t>
      </w:r>
    </w:p>
    <w:p w14:paraId="44AF481F" w14:textId="77777777" w:rsidR="00844C4B" w:rsidRPr="00C573E6" w:rsidRDefault="00844C4B" w:rsidP="00833055">
      <w:pPr>
        <w:jc w:val="both"/>
        <w:rPr>
          <w:sz w:val="20"/>
          <w:szCs w:val="20"/>
        </w:rPr>
      </w:pPr>
    </w:p>
    <w:p w14:paraId="136E96D8" w14:textId="7777777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 xml:space="preserve">Tiburón zorro </w:t>
      </w:r>
    </w:p>
    <w:p w14:paraId="7FC8D3CF" w14:textId="77777777" w:rsidR="00EA3BA5" w:rsidRPr="00C573E6" w:rsidRDefault="00EA3BA5" w:rsidP="00EA3BA5">
      <w:pPr>
        <w:pStyle w:val="ListParagraph"/>
        <w:autoSpaceDE/>
        <w:autoSpaceDN/>
        <w:ind w:left="360" w:firstLine="0"/>
        <w:contextualSpacing/>
        <w:jc w:val="both"/>
        <w:rPr>
          <w:sz w:val="20"/>
          <w:szCs w:val="20"/>
        </w:rPr>
      </w:pPr>
    </w:p>
    <w:p w14:paraId="149DA9A6" w14:textId="2E76E878" w:rsidR="00844C4B" w:rsidRPr="00C573E6" w:rsidRDefault="00844C4B" w:rsidP="00411CEA">
      <w:pPr>
        <w:pStyle w:val="ListParagraph"/>
        <w:ind w:left="360" w:firstLine="0"/>
        <w:jc w:val="both"/>
        <w:rPr>
          <w:sz w:val="20"/>
          <w:szCs w:val="20"/>
        </w:rPr>
      </w:pPr>
      <w:r w:rsidRPr="00C573E6">
        <w:rPr>
          <w:sz w:val="20"/>
        </w:rPr>
        <w:t xml:space="preserve">Las CPC deberían hacer todos los esfuerzos posibles para garantizar que los buques que enarbolan su pabellón no emprenden una pesquería dirigida a las especies de tiburones zorro del género </w:t>
      </w:r>
      <w:proofErr w:type="spellStart"/>
      <w:r w:rsidRPr="00C573E6">
        <w:rPr>
          <w:i/>
          <w:iCs/>
          <w:sz w:val="20"/>
        </w:rPr>
        <w:t>Alopias</w:t>
      </w:r>
      <w:proofErr w:type="spellEnd"/>
      <w:r w:rsidRPr="00C573E6">
        <w:rPr>
          <w:sz w:val="20"/>
        </w:rPr>
        <w:t xml:space="preserve"> spp.  [Rec. 09-07 de ICCAT].</w:t>
      </w:r>
    </w:p>
    <w:p w14:paraId="7F81FC39" w14:textId="77777777" w:rsidR="00844C4B" w:rsidRPr="00C573E6" w:rsidRDefault="00844C4B" w:rsidP="00833055">
      <w:pPr>
        <w:pStyle w:val="ListParagraph"/>
        <w:ind w:left="360"/>
        <w:jc w:val="both"/>
        <w:rPr>
          <w:sz w:val="20"/>
          <w:szCs w:val="20"/>
        </w:rPr>
      </w:pPr>
    </w:p>
    <w:p w14:paraId="38B61C61" w14:textId="7777777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Peces martillo</w:t>
      </w:r>
    </w:p>
    <w:p w14:paraId="50ADF23E" w14:textId="77777777" w:rsidR="00411CEA" w:rsidRPr="00C573E6" w:rsidRDefault="00411CEA" w:rsidP="00411CEA">
      <w:pPr>
        <w:pStyle w:val="ListParagraph"/>
        <w:autoSpaceDE/>
        <w:autoSpaceDN/>
        <w:ind w:left="360" w:firstLine="0"/>
        <w:contextualSpacing/>
        <w:jc w:val="both"/>
        <w:rPr>
          <w:sz w:val="20"/>
          <w:szCs w:val="20"/>
        </w:rPr>
      </w:pPr>
    </w:p>
    <w:p w14:paraId="3D6B90E0" w14:textId="522CAA41" w:rsidR="00844C4B" w:rsidRPr="00C573E6" w:rsidRDefault="00844C4B" w:rsidP="00CC148E">
      <w:pPr>
        <w:pStyle w:val="ListParagraph"/>
        <w:numPr>
          <w:ilvl w:val="0"/>
          <w:numId w:val="62"/>
        </w:numPr>
        <w:autoSpaceDE/>
        <w:autoSpaceDN/>
        <w:contextualSpacing/>
        <w:jc w:val="both"/>
        <w:rPr>
          <w:sz w:val="20"/>
          <w:szCs w:val="20"/>
        </w:rPr>
      </w:pPr>
      <w:r w:rsidRPr="00C573E6">
        <w:rPr>
          <w:sz w:val="20"/>
        </w:rPr>
        <w:t xml:space="preserve">Los peces martillo que sean capturados por CPC costeras en desarrollo para consumo local están exentos de las medidas establecidas en los párrafos 17 y 20, siempre que estas CPC envíen datos de Tarea 1 y, si es posible, de Tarea 2 de conformidad con los procedimientos de comunicación establecidos por el SCRS. Si no es posible facilitar datos de captura por especies, deberán facilitarlos al menos por género Sphyrna. </w:t>
      </w:r>
    </w:p>
    <w:p w14:paraId="4FCEC1B1" w14:textId="77777777" w:rsidR="00E614DD" w:rsidRPr="00C573E6" w:rsidRDefault="00E614DD" w:rsidP="00E614DD">
      <w:pPr>
        <w:pStyle w:val="ListParagraph"/>
        <w:autoSpaceDE/>
        <w:autoSpaceDN/>
        <w:ind w:left="720" w:firstLine="0"/>
        <w:contextualSpacing/>
        <w:jc w:val="both"/>
        <w:rPr>
          <w:sz w:val="20"/>
          <w:szCs w:val="20"/>
        </w:rPr>
      </w:pPr>
    </w:p>
    <w:p w14:paraId="62A1C0D5" w14:textId="0D71522F" w:rsidR="00844C4B" w:rsidRPr="00C573E6" w:rsidRDefault="00844C4B" w:rsidP="00CC148E">
      <w:pPr>
        <w:pStyle w:val="ListParagraph"/>
        <w:numPr>
          <w:ilvl w:val="0"/>
          <w:numId w:val="62"/>
        </w:numPr>
        <w:autoSpaceDE/>
        <w:autoSpaceDN/>
        <w:contextualSpacing/>
        <w:jc w:val="both"/>
        <w:rPr>
          <w:sz w:val="20"/>
          <w:szCs w:val="20"/>
        </w:rPr>
      </w:pPr>
      <w:r w:rsidRPr="00C573E6">
        <w:rPr>
          <w:sz w:val="20"/>
        </w:rPr>
        <w:t>Las CPC costeras en desarrollo exentas de esta prohibición, de conformidad con este párrafo, deberían esforzarse en no incrementar sus capturas de peces martillo.</w:t>
      </w:r>
      <w:r w:rsidRPr="00C573E6">
        <w:rPr>
          <w:sz w:val="20"/>
        </w:rPr>
        <w:tab/>
        <w:t xml:space="preserve"> Dichas CPC adoptarán las medidas necesarias para garantizar que los ejemplares de peces martillo no se comercializan a nivel internacional y notificarán a la Comisión dichas medidas. [Rec. 10-08 de ICCAT]</w:t>
      </w:r>
    </w:p>
    <w:p w14:paraId="2DD01FFC" w14:textId="77777777" w:rsidR="008D02C6" w:rsidRPr="00C573E6" w:rsidRDefault="008D02C6" w:rsidP="008D02C6">
      <w:pPr>
        <w:pStyle w:val="ListParagraph"/>
        <w:autoSpaceDE/>
        <w:autoSpaceDN/>
        <w:ind w:left="720" w:firstLine="0"/>
        <w:contextualSpacing/>
        <w:jc w:val="both"/>
        <w:rPr>
          <w:sz w:val="20"/>
          <w:szCs w:val="20"/>
        </w:rPr>
      </w:pPr>
    </w:p>
    <w:p w14:paraId="3DB22BDC" w14:textId="7777777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Tiburón jaquetón</w:t>
      </w:r>
    </w:p>
    <w:p w14:paraId="2FF8DC40" w14:textId="77777777" w:rsidR="00411CEA" w:rsidRPr="00C573E6" w:rsidRDefault="00411CEA" w:rsidP="00411CEA">
      <w:pPr>
        <w:pStyle w:val="ListParagraph"/>
        <w:autoSpaceDE/>
        <w:autoSpaceDN/>
        <w:ind w:left="360" w:firstLine="0"/>
        <w:contextualSpacing/>
        <w:jc w:val="both"/>
        <w:rPr>
          <w:sz w:val="20"/>
          <w:szCs w:val="20"/>
        </w:rPr>
      </w:pPr>
    </w:p>
    <w:p w14:paraId="77495AE1" w14:textId="43C9291F" w:rsidR="00844C4B" w:rsidRPr="00C573E6" w:rsidRDefault="00844C4B" w:rsidP="00CC148E">
      <w:pPr>
        <w:pStyle w:val="ListParagraph"/>
        <w:numPr>
          <w:ilvl w:val="0"/>
          <w:numId w:val="63"/>
        </w:numPr>
        <w:autoSpaceDE/>
        <w:autoSpaceDN/>
        <w:contextualSpacing/>
        <w:jc w:val="both"/>
        <w:rPr>
          <w:sz w:val="20"/>
          <w:szCs w:val="20"/>
        </w:rPr>
      </w:pPr>
      <w:r w:rsidRPr="00C573E6">
        <w:rPr>
          <w:sz w:val="20"/>
        </w:rPr>
        <w:t>Los cerqueros que participan en las pesquerías de ICCAT se esforzarán en tomar medidas adicionales con el fin de incrementar la tasa de supervivencia de los ejemplares de tiburón jaquetón capturados de forma incidental. [Rec. 11-08 de ICCAT]</w:t>
      </w:r>
    </w:p>
    <w:p w14:paraId="79536F9E" w14:textId="77777777" w:rsidR="00411CEA" w:rsidRPr="00C573E6" w:rsidRDefault="00411CEA" w:rsidP="00411CEA">
      <w:pPr>
        <w:pStyle w:val="ListParagraph"/>
        <w:autoSpaceDE/>
        <w:autoSpaceDN/>
        <w:ind w:left="720" w:firstLine="0"/>
        <w:contextualSpacing/>
        <w:jc w:val="both"/>
        <w:rPr>
          <w:sz w:val="20"/>
          <w:szCs w:val="20"/>
        </w:rPr>
      </w:pPr>
    </w:p>
    <w:p w14:paraId="54306046" w14:textId="514FAFAA" w:rsidR="00844C4B" w:rsidRPr="00C573E6" w:rsidRDefault="00844C4B" w:rsidP="00CC148E">
      <w:pPr>
        <w:pStyle w:val="ListParagraph"/>
        <w:numPr>
          <w:ilvl w:val="0"/>
          <w:numId w:val="63"/>
        </w:numPr>
        <w:autoSpaceDE/>
        <w:autoSpaceDN/>
        <w:contextualSpacing/>
        <w:jc w:val="both"/>
        <w:rPr>
          <w:sz w:val="20"/>
          <w:szCs w:val="20"/>
        </w:rPr>
      </w:pPr>
      <w:r w:rsidRPr="00C573E6">
        <w:rPr>
          <w:sz w:val="20"/>
        </w:rPr>
        <w:t xml:space="preserve">Los ejemplares de tiburón jaquetón que sean capturados por CPC costeras en desarrollo para consumo local están exentos de las medidas establecidas en los párrafos 17 y 20, siempre que estas CPC envíen datos de Tarea 1 y, si es posible, de Tarea 2 de conformidad con los procedimientos de comunicación establecidos por el SCRS. Las CPC que no hayan comunicado datos de tiburones específicos de las especies facilitarán, antes del [1 de julio de 2012], un plan para la mejora de su recopilación de datos sobre tiburones a nivel de especies para su examen por parte del SCRS y la Comisión. </w:t>
      </w:r>
    </w:p>
    <w:p w14:paraId="71E41C5E" w14:textId="77777777" w:rsidR="00411CEA" w:rsidRPr="00C573E6" w:rsidRDefault="00411CEA" w:rsidP="00411CEA">
      <w:pPr>
        <w:pStyle w:val="ListParagraph"/>
        <w:rPr>
          <w:sz w:val="20"/>
          <w:szCs w:val="20"/>
        </w:rPr>
      </w:pPr>
    </w:p>
    <w:p w14:paraId="5EEA450E" w14:textId="0A41FA3A" w:rsidR="00844C4B" w:rsidRPr="00C573E6" w:rsidRDefault="00844C4B" w:rsidP="00CC148E">
      <w:pPr>
        <w:pStyle w:val="ListParagraph"/>
        <w:numPr>
          <w:ilvl w:val="0"/>
          <w:numId w:val="63"/>
        </w:numPr>
        <w:autoSpaceDE/>
        <w:autoSpaceDN/>
        <w:contextualSpacing/>
        <w:jc w:val="both"/>
        <w:rPr>
          <w:sz w:val="20"/>
          <w:szCs w:val="20"/>
        </w:rPr>
      </w:pPr>
      <w:r w:rsidRPr="00C573E6">
        <w:rPr>
          <w:sz w:val="20"/>
        </w:rPr>
        <w:t>Las CPC costeras en desarrollo exentas de la prohibición, de conformidad con este párrafo, no incrementarán sus capturas de tiburón jaquetón. Dichas CPC adoptarán las medidas necesarias para garantizar que los ejemplares de tiburón jaquetón no se comercializan internacionalmente y notificarán a la Comisión dichas medidas. [Rec. 11-08 de ICCAT]</w:t>
      </w:r>
    </w:p>
    <w:p w14:paraId="5C680BF1" w14:textId="77777777" w:rsidR="00844C4B" w:rsidRPr="00C573E6" w:rsidRDefault="00844C4B" w:rsidP="00833055">
      <w:pPr>
        <w:pStyle w:val="ListParagraph"/>
        <w:ind w:left="360"/>
        <w:jc w:val="both"/>
        <w:rPr>
          <w:sz w:val="20"/>
          <w:szCs w:val="20"/>
        </w:rPr>
      </w:pPr>
    </w:p>
    <w:p w14:paraId="1E9EFEEF" w14:textId="7777777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Marrajo sardinero</w:t>
      </w:r>
    </w:p>
    <w:p w14:paraId="0C81DA38" w14:textId="77777777" w:rsidR="00411CEA" w:rsidRPr="00C573E6" w:rsidRDefault="00411CEA" w:rsidP="00411CEA">
      <w:pPr>
        <w:pStyle w:val="ListParagraph"/>
        <w:ind w:left="360" w:firstLine="0"/>
        <w:jc w:val="both"/>
        <w:rPr>
          <w:sz w:val="20"/>
          <w:szCs w:val="20"/>
        </w:rPr>
      </w:pPr>
    </w:p>
    <w:p w14:paraId="54A6DD42" w14:textId="27B51F4B" w:rsidR="00844C4B" w:rsidRPr="00C573E6" w:rsidRDefault="00844C4B" w:rsidP="00411CEA">
      <w:pPr>
        <w:pStyle w:val="ListParagraph"/>
        <w:ind w:left="360" w:firstLine="0"/>
        <w:jc w:val="both"/>
        <w:rPr>
          <w:sz w:val="20"/>
          <w:szCs w:val="20"/>
        </w:rPr>
      </w:pPr>
      <w:r w:rsidRPr="00C573E6">
        <w:rPr>
          <w:sz w:val="20"/>
        </w:rPr>
        <w:t>En caso de que las capturas de marrajo sardinero realizadas en asociación con las pesquerías de ICCAT aumenten por encima de los niveles de 2014, la Comisión estudiará medidas adicionales. [Rec. 15-06 de ICCAT]</w:t>
      </w:r>
    </w:p>
    <w:p w14:paraId="2082FCED" w14:textId="77777777" w:rsidR="00844C4B" w:rsidRPr="00C573E6" w:rsidRDefault="00844C4B" w:rsidP="00833055">
      <w:pPr>
        <w:pStyle w:val="ListParagraph"/>
        <w:ind w:left="360"/>
        <w:jc w:val="both"/>
        <w:rPr>
          <w:sz w:val="20"/>
          <w:szCs w:val="20"/>
        </w:rPr>
      </w:pPr>
    </w:p>
    <w:p w14:paraId="5C2DE2AB" w14:textId="7777777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Tiburón ballena</w:t>
      </w:r>
    </w:p>
    <w:p w14:paraId="69D24733" w14:textId="77777777" w:rsidR="00411CEA" w:rsidRPr="00C573E6" w:rsidRDefault="00411CEA" w:rsidP="00411CEA">
      <w:pPr>
        <w:pStyle w:val="ListParagraph"/>
        <w:autoSpaceDE/>
        <w:autoSpaceDN/>
        <w:ind w:left="720" w:firstLine="0"/>
        <w:contextualSpacing/>
        <w:jc w:val="both"/>
        <w:rPr>
          <w:sz w:val="20"/>
          <w:szCs w:val="20"/>
        </w:rPr>
      </w:pPr>
    </w:p>
    <w:p w14:paraId="675D9A67" w14:textId="6C9D4E50" w:rsidR="00844C4B" w:rsidRPr="00C573E6" w:rsidRDefault="00844C4B" w:rsidP="00CC148E">
      <w:pPr>
        <w:pStyle w:val="ListParagraph"/>
        <w:numPr>
          <w:ilvl w:val="0"/>
          <w:numId w:val="64"/>
        </w:numPr>
        <w:autoSpaceDE/>
        <w:autoSpaceDN/>
        <w:contextualSpacing/>
        <w:jc w:val="both"/>
        <w:rPr>
          <w:sz w:val="20"/>
          <w:szCs w:val="20"/>
        </w:rPr>
      </w:pPr>
      <w:r w:rsidRPr="00C573E6">
        <w:rPr>
          <w:sz w:val="20"/>
        </w:rPr>
        <w:t>Las CPC prohibirán a los buques pesqueros que enarbolen su pabellón lanzar una red de cerco sobre un banco de túnidos asociado a un tiburón ballena si el animal es avistado antes del inicio del lance.</w:t>
      </w:r>
    </w:p>
    <w:p w14:paraId="1DCAFEED" w14:textId="77777777" w:rsidR="00411CEA" w:rsidRPr="00C573E6" w:rsidRDefault="00411CEA" w:rsidP="00411CEA">
      <w:pPr>
        <w:pStyle w:val="ListParagraph"/>
        <w:autoSpaceDE/>
        <w:autoSpaceDN/>
        <w:ind w:left="720" w:firstLine="0"/>
        <w:contextualSpacing/>
        <w:jc w:val="both"/>
        <w:rPr>
          <w:sz w:val="20"/>
          <w:szCs w:val="20"/>
        </w:rPr>
      </w:pPr>
    </w:p>
    <w:p w14:paraId="0CF94AEC" w14:textId="0AD480DE" w:rsidR="00844C4B" w:rsidRPr="00C573E6" w:rsidRDefault="00844C4B" w:rsidP="00CC148E">
      <w:pPr>
        <w:pStyle w:val="ListParagraph"/>
        <w:numPr>
          <w:ilvl w:val="0"/>
          <w:numId w:val="64"/>
        </w:numPr>
        <w:autoSpaceDE/>
        <w:autoSpaceDN/>
        <w:contextualSpacing/>
        <w:jc w:val="both"/>
        <w:rPr>
          <w:sz w:val="20"/>
          <w:szCs w:val="20"/>
        </w:rPr>
      </w:pPr>
      <w:r w:rsidRPr="00C573E6">
        <w:rPr>
          <w:sz w:val="20"/>
        </w:rPr>
        <w:t xml:space="preserve">Las CPC requerirán que, en el caso de que se rodee incidentalmente a un tiburón ballena con la red de cerco, el patrón del buque pesquero emprenda todas las acciones razonables para garantizar su liberación segura. Las CPC deberían requerir a los patrones de los buques de su pabellón que, al </w:t>
      </w:r>
      <w:r w:rsidRPr="00C573E6">
        <w:rPr>
          <w:sz w:val="20"/>
        </w:rPr>
        <w:lastRenderedPageBreak/>
        <w:t xml:space="preserve">tomar las medidas necesarias para garantizar la manipulación y liberación seguras de un tiburón ballena, tal y como se establece en el párrafo 3, y al tiempo que garantizan la seguridad de la tripulación, apliquen las directrices descritas en el </w:t>
      </w:r>
      <w:r w:rsidRPr="00C573E6">
        <w:rPr>
          <w:b/>
          <w:bCs/>
          <w:sz w:val="20"/>
        </w:rPr>
        <w:t>Anexo 1.</w:t>
      </w:r>
      <w:r w:rsidRPr="00C573E6">
        <w:rPr>
          <w:sz w:val="20"/>
        </w:rPr>
        <w:t xml:space="preserve"> [Rec. 23-12 de ICCAT]</w:t>
      </w:r>
    </w:p>
    <w:p w14:paraId="49CE666D" w14:textId="77777777" w:rsidR="00411CEA" w:rsidRPr="00432047" w:rsidRDefault="00411CEA" w:rsidP="00411CEA">
      <w:pPr>
        <w:pStyle w:val="ListParagraph"/>
        <w:rPr>
          <w:sz w:val="12"/>
          <w:szCs w:val="12"/>
        </w:rPr>
      </w:pPr>
    </w:p>
    <w:p w14:paraId="52BBE99E" w14:textId="77777777" w:rsidR="00844C4B" w:rsidRPr="00C573E6" w:rsidRDefault="00844C4B" w:rsidP="00CC148E">
      <w:pPr>
        <w:pStyle w:val="ListParagraph"/>
        <w:numPr>
          <w:ilvl w:val="0"/>
          <w:numId w:val="64"/>
        </w:numPr>
        <w:autoSpaceDE/>
        <w:autoSpaceDN/>
        <w:contextualSpacing/>
        <w:jc w:val="both"/>
        <w:rPr>
          <w:sz w:val="20"/>
          <w:szCs w:val="20"/>
        </w:rPr>
      </w:pPr>
      <w:r w:rsidRPr="00C573E6">
        <w:rPr>
          <w:sz w:val="20"/>
        </w:rPr>
        <w:t>Las CPC se asegurarán de que, en consonancia con los requisitos de la</w:t>
      </w:r>
      <w:r w:rsidRPr="00C573E6">
        <w:rPr>
          <w:i/>
          <w:iCs/>
          <w:sz w:val="20"/>
        </w:rPr>
        <w:t xml:space="preserve"> Recomendación de ICCAT sobre el establecimiento de normas mínimas para los programas de observadores científicos de los buques pesqueros</w:t>
      </w:r>
      <w:r w:rsidRPr="00C573E6">
        <w:rPr>
          <w:sz w:val="20"/>
        </w:rPr>
        <w:t xml:space="preserve"> (Rec. 16-14), las interacciones con tiburones ballena durante las operaciones de cerco se registran a través de sus programas nacionales de observadores. También se recopilará la siguiente información: i) información sobre cómo y por qué se produjo el cercamiento, </w:t>
      </w:r>
      <w:proofErr w:type="spellStart"/>
      <w:r w:rsidRPr="00C573E6">
        <w:rPr>
          <w:sz w:val="20"/>
        </w:rPr>
        <w:t>ii</w:t>
      </w:r>
      <w:proofErr w:type="spellEnd"/>
      <w:r w:rsidRPr="00C573E6">
        <w:rPr>
          <w:sz w:val="20"/>
        </w:rPr>
        <w:t xml:space="preserve">) número de individuos implicados durante la interacción, </w:t>
      </w:r>
      <w:proofErr w:type="spellStart"/>
      <w:r w:rsidRPr="00C573E6">
        <w:rPr>
          <w:sz w:val="20"/>
        </w:rPr>
        <w:t>iii</w:t>
      </w:r>
      <w:proofErr w:type="spellEnd"/>
      <w:r w:rsidRPr="00C573E6">
        <w:rPr>
          <w:sz w:val="20"/>
        </w:rPr>
        <w:t xml:space="preserve">) lugar de la interacción, </w:t>
      </w:r>
      <w:proofErr w:type="spellStart"/>
      <w:r w:rsidRPr="00C573E6">
        <w:rPr>
          <w:sz w:val="20"/>
        </w:rPr>
        <w:t>iv</w:t>
      </w:r>
      <w:proofErr w:type="spellEnd"/>
      <w:r w:rsidRPr="00C573E6">
        <w:rPr>
          <w:sz w:val="20"/>
        </w:rPr>
        <w:t>) medidas adoptadas para garantizar la manipulación y liberación seguras de los ejemplares cercados con la red de cerco, y v) una evaluación del estado de vida del ejemplar o ejemplares de tiburón ballena en el momento de su liberación (vivo/muerto/moribundo /incierto).</w:t>
      </w:r>
    </w:p>
    <w:p w14:paraId="023FD8D0" w14:textId="77777777" w:rsidR="00411CEA" w:rsidRPr="00432047" w:rsidRDefault="00411CEA" w:rsidP="00411CEA">
      <w:pPr>
        <w:pStyle w:val="ListParagraph"/>
        <w:rPr>
          <w:sz w:val="12"/>
          <w:szCs w:val="12"/>
        </w:rPr>
      </w:pPr>
    </w:p>
    <w:p w14:paraId="0DFE40D9" w14:textId="0CCAC884" w:rsidR="00844C4B" w:rsidRPr="00C573E6" w:rsidRDefault="00844C4B" w:rsidP="00CC148E">
      <w:pPr>
        <w:pStyle w:val="ListParagraph"/>
        <w:numPr>
          <w:ilvl w:val="0"/>
          <w:numId w:val="64"/>
        </w:numPr>
        <w:autoSpaceDE/>
        <w:autoSpaceDN/>
        <w:contextualSpacing/>
        <w:jc w:val="both"/>
        <w:rPr>
          <w:sz w:val="20"/>
          <w:szCs w:val="20"/>
        </w:rPr>
      </w:pPr>
      <w:r w:rsidRPr="00C573E6">
        <w:rPr>
          <w:sz w:val="20"/>
        </w:rPr>
        <w:t>Las CPC comunicarán los datos y la información recopilados con arreglo a este párrafo en sus informes anuales y, en el caso de datos recopilados a través de programas de observadores, a la Secretaría de ICCAT de conformidad con los requisitos de comunicación de datos de ICCAT. [Rec. 23-12 de ICCAT]</w:t>
      </w:r>
    </w:p>
    <w:p w14:paraId="6E0A6E44" w14:textId="77777777" w:rsidR="00844C4B" w:rsidRPr="00C573E6" w:rsidRDefault="00844C4B" w:rsidP="00833055">
      <w:pPr>
        <w:pStyle w:val="ListParagraph"/>
        <w:ind w:left="360"/>
        <w:jc w:val="both"/>
        <w:rPr>
          <w:sz w:val="20"/>
          <w:szCs w:val="20"/>
        </w:rPr>
      </w:pPr>
    </w:p>
    <w:p w14:paraId="0BF4E88E" w14:textId="77777777" w:rsidR="00844C4B" w:rsidRPr="00C573E6" w:rsidRDefault="00844C4B" w:rsidP="00411CEA">
      <w:pPr>
        <w:pStyle w:val="ListParagraph"/>
        <w:ind w:left="0" w:firstLine="0"/>
        <w:jc w:val="both"/>
        <w:rPr>
          <w:b/>
          <w:bCs/>
          <w:sz w:val="20"/>
          <w:szCs w:val="20"/>
        </w:rPr>
      </w:pPr>
      <w:r w:rsidRPr="00C573E6">
        <w:rPr>
          <w:b/>
          <w:sz w:val="20"/>
        </w:rPr>
        <w:t xml:space="preserve">Requisitos de comunicación </w:t>
      </w:r>
    </w:p>
    <w:p w14:paraId="4D8A51F9" w14:textId="77777777" w:rsidR="00844C4B" w:rsidRPr="00C573E6" w:rsidRDefault="00844C4B" w:rsidP="00833055">
      <w:pPr>
        <w:pStyle w:val="ListParagraph"/>
        <w:ind w:left="360"/>
        <w:jc w:val="both"/>
        <w:rPr>
          <w:sz w:val="20"/>
          <w:szCs w:val="20"/>
        </w:rPr>
      </w:pPr>
    </w:p>
    <w:p w14:paraId="4E7794BF" w14:textId="1C0569B4"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Las CPC comunicarán anualmente los datos de Tarea 1 y de Tarea 2 para las capturas de tiburones, de conformidad con los procedimientos de comunicación de datos de ICCAT, incluyendo los datos históricos disponibles. [Rec. 04-10 de ICCAT]</w:t>
      </w:r>
    </w:p>
    <w:p w14:paraId="0C27CC61" w14:textId="77777777" w:rsidR="00047658" w:rsidRPr="00C573E6" w:rsidRDefault="00047658" w:rsidP="00833055">
      <w:pPr>
        <w:pStyle w:val="ListParagraph"/>
        <w:ind w:left="360"/>
        <w:jc w:val="both"/>
        <w:rPr>
          <w:sz w:val="20"/>
          <w:szCs w:val="20"/>
        </w:rPr>
      </w:pPr>
    </w:p>
    <w:p w14:paraId="74C76343" w14:textId="7C3BD3A9" w:rsidR="00844C4B" w:rsidRPr="00C573E6" w:rsidRDefault="00047658" w:rsidP="00CC148E">
      <w:pPr>
        <w:pStyle w:val="ListParagraph"/>
        <w:numPr>
          <w:ilvl w:val="0"/>
          <w:numId w:val="60"/>
        </w:numPr>
        <w:autoSpaceDE/>
        <w:autoSpaceDN/>
        <w:contextualSpacing/>
        <w:jc w:val="both"/>
        <w:rPr>
          <w:sz w:val="20"/>
          <w:szCs w:val="20"/>
        </w:rPr>
      </w:pPr>
      <w:r w:rsidRPr="00C573E6">
        <w:rPr>
          <w:sz w:val="20"/>
        </w:rPr>
        <w:t>Las CPC registrarán a través de sus programas de observadores el número de descartes y liberaciones de zorro ojón, tiburón oceánico, peces martillo, tiburón jaquetón, marrajo sardinero y tiburón ballena, indicando su estado (vivo o muerto), y lo comunicarán a ICCAT de conformidad con los requisitos de comunicación de datos de ICCAT [Recs. ICCAT. 09-07, 10-07, 10-08, 11-08, 15-06]</w:t>
      </w:r>
    </w:p>
    <w:p w14:paraId="2037E931" w14:textId="77777777" w:rsidR="00844C4B" w:rsidRPr="00C573E6" w:rsidRDefault="00844C4B" w:rsidP="00833055">
      <w:pPr>
        <w:jc w:val="both"/>
        <w:rPr>
          <w:sz w:val="20"/>
          <w:szCs w:val="20"/>
        </w:rPr>
      </w:pPr>
    </w:p>
    <w:p w14:paraId="5947B349" w14:textId="6D95AFD9" w:rsidR="00844C4B" w:rsidRPr="00C573E6" w:rsidRDefault="00844C4B" w:rsidP="00833055">
      <w:pPr>
        <w:jc w:val="both"/>
        <w:rPr>
          <w:b/>
          <w:bCs/>
          <w:sz w:val="20"/>
          <w:szCs w:val="20"/>
        </w:rPr>
      </w:pPr>
      <w:r w:rsidRPr="00C573E6">
        <w:rPr>
          <w:b/>
          <w:sz w:val="20"/>
        </w:rPr>
        <w:t>Implementación y cumplimiento</w:t>
      </w:r>
    </w:p>
    <w:p w14:paraId="2EB5DD33" w14:textId="77777777" w:rsidR="00844C4B" w:rsidRPr="00C573E6" w:rsidRDefault="00844C4B" w:rsidP="00833055">
      <w:pPr>
        <w:pStyle w:val="ListParagraph"/>
        <w:ind w:left="360"/>
        <w:jc w:val="both"/>
        <w:rPr>
          <w:sz w:val="20"/>
          <w:szCs w:val="20"/>
        </w:rPr>
      </w:pPr>
    </w:p>
    <w:p w14:paraId="11F3B3AA" w14:textId="37A9AAFE"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 xml:space="preserve">Todas las CPC presentarán a la Secretaría de ICCAT, junto con sus informes anuales, detalles sobre su implementación y cumplimiento de esta Recomendación, de la </w:t>
      </w:r>
      <w:r w:rsidRPr="00C573E6">
        <w:rPr>
          <w:i/>
          <w:iCs/>
          <w:sz w:val="20"/>
        </w:rPr>
        <w:t xml:space="preserve">Recomendación de ICCAT sobre la conservación del stock de marrajo dientuso del Atlántico norte  capturado en asociación con las pesquerías de ICCAT </w:t>
      </w:r>
      <w:r w:rsidRPr="00C573E6">
        <w:rPr>
          <w:sz w:val="20"/>
        </w:rPr>
        <w:t xml:space="preserve">(Rec. 21-09), de la </w:t>
      </w:r>
      <w:r w:rsidRPr="00C573E6">
        <w:rPr>
          <w:i/>
          <w:iCs/>
          <w:sz w:val="20"/>
        </w:rPr>
        <w:t xml:space="preserve">Recomendación de ICCAT sobre la conservación del stock de marrajo dientuso del Atlántico sur capturado en asociación con las pesquerías de ICCAT </w:t>
      </w:r>
      <w:r w:rsidRPr="00C573E6">
        <w:rPr>
          <w:sz w:val="20"/>
        </w:rPr>
        <w:t>(Rec. 22-11)</w:t>
      </w:r>
      <w:r w:rsidRPr="00C573E6">
        <w:rPr>
          <w:i/>
          <w:iCs/>
          <w:sz w:val="20"/>
        </w:rPr>
        <w:t xml:space="preserve">, </w:t>
      </w:r>
      <w:r w:rsidRPr="00C573E6">
        <w:rPr>
          <w:sz w:val="20"/>
        </w:rPr>
        <w:t xml:space="preserve">de la </w:t>
      </w:r>
      <w:r w:rsidRPr="00C573E6">
        <w:rPr>
          <w:i/>
          <w:iCs/>
          <w:sz w:val="20"/>
        </w:rPr>
        <w:t xml:space="preserve">Recomendación de ICCAT que reemplaza la Recomendación 19-07 sobre medidas de ordenación para la conservación del tiburón azul del Atlántico norte capturado en asociación con las pesquerías de ICCAT </w:t>
      </w:r>
      <w:r w:rsidRPr="00C573E6">
        <w:rPr>
          <w:sz w:val="20"/>
        </w:rPr>
        <w:t>(Rec. 23-10)</w:t>
      </w:r>
      <w:r w:rsidRPr="00C573E6">
        <w:rPr>
          <w:i/>
          <w:iCs/>
          <w:sz w:val="20"/>
        </w:rPr>
        <w:t xml:space="preserve"> </w:t>
      </w:r>
      <w:r w:rsidRPr="00C573E6">
        <w:rPr>
          <w:sz w:val="20"/>
        </w:rPr>
        <w:t xml:space="preserve">y de la </w:t>
      </w:r>
      <w:r w:rsidRPr="00C573E6">
        <w:rPr>
          <w:i/>
          <w:iCs/>
          <w:sz w:val="20"/>
        </w:rPr>
        <w:t>Recomendación de ICCAT que reemplaza la Recomendación 19-08 sobre medidas de ordenación para la conservación del tiburón azul del Atlántico sur capturada en asociación con las pesquerías de ICCAT</w:t>
      </w:r>
      <w:r w:rsidRPr="00C573E6">
        <w:rPr>
          <w:sz w:val="20"/>
        </w:rPr>
        <w:t xml:space="preserve"> (Rec. 23-11) utilizando la Hoja de comprobación del </w:t>
      </w:r>
      <w:r w:rsidRPr="00C573E6">
        <w:rPr>
          <w:b/>
          <w:bCs/>
          <w:sz w:val="20"/>
        </w:rPr>
        <w:t>Anexo 2</w:t>
      </w:r>
      <w:r w:rsidRPr="00C573E6">
        <w:rPr>
          <w:sz w:val="20"/>
        </w:rPr>
        <w:t>, que puede ser revisada por la Secretaría de ICCAT en consulta con los presidentes del Comité de Cumplimiento (COC) y de la Subcomisión 4 para reflejar las nuevas medidas relativas a los tiburones adoptadas por la Comisión. [Rec. 18-06 de ICCAT]</w:t>
      </w:r>
    </w:p>
    <w:p w14:paraId="4D4034D5" w14:textId="77777777" w:rsidR="00844C4B" w:rsidRPr="00C573E6" w:rsidRDefault="00844C4B" w:rsidP="00833055">
      <w:pPr>
        <w:pStyle w:val="ListParagraph"/>
        <w:ind w:left="360"/>
        <w:jc w:val="both"/>
        <w:rPr>
          <w:sz w:val="20"/>
          <w:szCs w:val="20"/>
        </w:rPr>
      </w:pPr>
    </w:p>
    <w:p w14:paraId="3337B26F" w14:textId="32232B2C"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 xml:space="preserve">Si no se producen cambios con respecto al año anterior en la implementación por parte de una CPC de las medidas de ICCAT para los tiburones cubiertas por la Hoja de comprobación del </w:t>
      </w:r>
      <w:r w:rsidRPr="00C573E6">
        <w:rPr>
          <w:b/>
          <w:bCs/>
          <w:sz w:val="20"/>
        </w:rPr>
        <w:t>Anexo 2</w:t>
      </w:r>
      <w:r w:rsidRPr="00C573E6">
        <w:rPr>
          <w:sz w:val="20"/>
        </w:rPr>
        <w:t xml:space="preserve"> y no se han incluido campos de comunicación adicionales para reflejar nuevas medidas para los tiburones, no se requerirá que la CPC presente una Hoja de comprobación de tiburones, siempre que indique en su Informe anual que no se han producido cambios. Si se producen cambios con respecto al año anterior en la implementación de una CPC o se incluyen campos de información adicionales en la Hoja de comprobación de tiburones para reflejar nuevas medidas relativas a los tiburones, la CPC sólo deberá presentar dichas actualizaciones relativas a la implementación o las respuestas a los nuevos campos de información con sus Informes anuales. No obstante, las CPC presentarán las Hojas de comprobación de tiburones actualizadas en su totalidad en los años en los que el COC tenga previsto priorizar la revisión de las Hojas de comprobación de tiburones de conformidad con el párrafo 33. [Rec. 18-06 de ICCAT]</w:t>
      </w:r>
    </w:p>
    <w:p w14:paraId="7AC52B1B" w14:textId="77777777" w:rsidR="00844C4B" w:rsidRPr="00C573E6" w:rsidRDefault="00844C4B" w:rsidP="00833055">
      <w:pPr>
        <w:pStyle w:val="ListParagraph"/>
        <w:ind w:left="360"/>
        <w:jc w:val="both"/>
        <w:rPr>
          <w:sz w:val="20"/>
          <w:szCs w:val="20"/>
        </w:rPr>
      </w:pPr>
    </w:p>
    <w:p w14:paraId="7913A264" w14:textId="3FEE0D62"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Las CPC podrán quedar exentas de la presentación de la Hoja de comprobación cuando no sea probable que los buques que enarbolan su pabellón capturen especies de tiburones cubiertas por las</w:t>
      </w:r>
      <w:r w:rsidR="00365875">
        <w:rPr>
          <w:sz w:val="20"/>
        </w:rPr>
        <w:t xml:space="preserve"> </w:t>
      </w:r>
      <w:r w:rsidRPr="00C573E6">
        <w:rPr>
          <w:sz w:val="20"/>
        </w:rPr>
        <w:t xml:space="preserve">Recomendaciones mencionadas en el párrafo 29, con la condición de que las CPC afectadas hayan </w:t>
      </w:r>
      <w:r w:rsidRPr="00C573E6">
        <w:rPr>
          <w:sz w:val="20"/>
        </w:rPr>
        <w:lastRenderedPageBreak/>
        <w:t xml:space="preserve">obtenido la confirmación del Grupo de especies de tiburones de conformidad con el </w:t>
      </w:r>
      <w:r w:rsidRPr="00C573E6">
        <w:rPr>
          <w:b/>
          <w:bCs/>
          <w:sz w:val="20"/>
        </w:rPr>
        <w:t>Anexo 3</w:t>
      </w:r>
      <w:r w:rsidRPr="00C573E6">
        <w:rPr>
          <w:sz w:val="20"/>
        </w:rPr>
        <w:t>. [ICCAT Rec. 18-06] [Informe del SCRS de 2025]</w:t>
      </w:r>
    </w:p>
    <w:p w14:paraId="0149D2A3" w14:textId="77777777" w:rsidR="00844C4B" w:rsidRPr="00C573E6" w:rsidRDefault="00844C4B" w:rsidP="00833055">
      <w:pPr>
        <w:pStyle w:val="ListParagraph"/>
        <w:ind w:left="360"/>
        <w:jc w:val="both"/>
        <w:rPr>
          <w:sz w:val="20"/>
          <w:szCs w:val="20"/>
        </w:rPr>
      </w:pPr>
    </w:p>
    <w:p w14:paraId="082277E2" w14:textId="451AB13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El Comité de cumplimiento dará prioridad al examen de las hojas de comprobación de las CPC en un ciclo de reuniones de ICCAT determinado por el Comité, sin perjuicio de la competencia del Comité para considerar cuestiones de implementación de medidas sobre tiburones en reuniones anuales durante otros años, según proceda. [Rec. 18-06 de ICCAT]</w:t>
      </w:r>
    </w:p>
    <w:p w14:paraId="2D5DC337" w14:textId="77777777" w:rsidR="00844C4B" w:rsidRPr="00C573E6" w:rsidRDefault="00844C4B" w:rsidP="00833055">
      <w:pPr>
        <w:pStyle w:val="ListParagraph"/>
        <w:jc w:val="both"/>
        <w:rPr>
          <w:sz w:val="20"/>
          <w:szCs w:val="20"/>
        </w:rPr>
      </w:pPr>
    </w:p>
    <w:p w14:paraId="6446F8E4" w14:textId="77777777" w:rsidR="00844C4B" w:rsidRPr="00C573E6" w:rsidRDefault="00844C4B" w:rsidP="00833055">
      <w:pPr>
        <w:pStyle w:val="ListParagraph"/>
        <w:ind w:left="0"/>
        <w:jc w:val="both"/>
        <w:rPr>
          <w:b/>
          <w:bCs/>
          <w:sz w:val="20"/>
          <w:szCs w:val="20"/>
        </w:rPr>
      </w:pPr>
      <w:r w:rsidRPr="00C573E6">
        <w:rPr>
          <w:b/>
          <w:sz w:val="20"/>
        </w:rPr>
        <w:t>Investigación</w:t>
      </w:r>
    </w:p>
    <w:p w14:paraId="11C72F5E" w14:textId="77777777" w:rsidR="00844C4B" w:rsidRPr="00C573E6" w:rsidRDefault="00844C4B" w:rsidP="00833055">
      <w:pPr>
        <w:pStyle w:val="ListParagraph"/>
        <w:jc w:val="both"/>
        <w:rPr>
          <w:sz w:val="20"/>
          <w:szCs w:val="20"/>
        </w:rPr>
      </w:pPr>
    </w:p>
    <w:p w14:paraId="2170D908" w14:textId="31214AE0"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Las CPC implementarán, cuando sea posible, investigaciones sobre especies de tiburones pelágicos capturados en la zona del Convenio con el fin de identificar posibles zonas de cría. Basándose en estas investigaciones, las CPC considerarán vedas espaciales y temporales y otras medidas cuando proceda. [ICCAT Recs. 07-06, 09-07] [ICCAT Rec. 10-08]</w:t>
      </w:r>
    </w:p>
    <w:p w14:paraId="0142BE02" w14:textId="77777777" w:rsidR="00844C4B" w:rsidRPr="00C573E6" w:rsidRDefault="00844C4B" w:rsidP="00833055">
      <w:pPr>
        <w:pStyle w:val="ListParagraph"/>
        <w:ind w:left="360"/>
        <w:jc w:val="both"/>
        <w:rPr>
          <w:sz w:val="20"/>
          <w:szCs w:val="20"/>
        </w:rPr>
      </w:pPr>
    </w:p>
    <w:p w14:paraId="78800BBE" w14:textId="7777777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 xml:space="preserve">El SCRS proporcionará periódicamente asesoramiento sobre el estado de los stocks de las especies de tiburones pelágicos capturados en la zona del Convenio para su evaluación. [WCPFC] </w:t>
      </w:r>
    </w:p>
    <w:p w14:paraId="634F80FE" w14:textId="77777777" w:rsidR="00844C4B" w:rsidRPr="00C573E6" w:rsidRDefault="00844C4B" w:rsidP="00833055">
      <w:pPr>
        <w:pStyle w:val="ListParagraph"/>
        <w:ind w:left="360"/>
        <w:jc w:val="both"/>
        <w:rPr>
          <w:sz w:val="20"/>
          <w:szCs w:val="20"/>
        </w:rPr>
      </w:pPr>
    </w:p>
    <w:p w14:paraId="7C147726" w14:textId="0403F99B"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Se insta a las CPC a implementar las recomendaciones de investigación de la reunión conjunta intersesiones ICES-ICCAT de 2009. En particular, se insta a las CPC a implementar los proyectos de seguimiento e investigación a nivel regional (stock), en la zona del Convenio, con el fin de cubrir las lagunas existentes para datos biológicos clave para el marrajo sardinero e identificar zonas con elevada abundancia de fases importantes del ciclo vital (por ejemplo, zonas de apareamiento, nacimiento y cría). El SCRS debería seguir trabajando conjuntamente con el Grupo de trabajo de ICES sobre elasmobranquios [Rec. 15-06 de ICCAT]</w:t>
      </w:r>
    </w:p>
    <w:p w14:paraId="382BD5B5" w14:textId="77777777" w:rsidR="00844C4B" w:rsidRPr="00C573E6" w:rsidRDefault="00844C4B" w:rsidP="00833055">
      <w:pPr>
        <w:pStyle w:val="ListParagraph"/>
        <w:jc w:val="both"/>
        <w:rPr>
          <w:sz w:val="20"/>
          <w:szCs w:val="20"/>
        </w:rPr>
      </w:pPr>
    </w:p>
    <w:p w14:paraId="453F7973" w14:textId="1E294718" w:rsidR="00844C4B" w:rsidRPr="00C573E6" w:rsidRDefault="00844C4B" w:rsidP="00411CEA">
      <w:pPr>
        <w:pStyle w:val="ListParagraph"/>
        <w:ind w:left="0" w:firstLine="0"/>
        <w:jc w:val="both"/>
        <w:rPr>
          <w:b/>
          <w:bCs/>
          <w:sz w:val="20"/>
          <w:szCs w:val="20"/>
        </w:rPr>
      </w:pPr>
      <w:r w:rsidRPr="00C573E6">
        <w:rPr>
          <w:b/>
          <w:sz w:val="20"/>
        </w:rPr>
        <w:t xml:space="preserve">Asistencia para la creación de capacidad </w:t>
      </w:r>
    </w:p>
    <w:p w14:paraId="2F22FD95" w14:textId="77777777" w:rsidR="00844C4B" w:rsidRPr="00C573E6" w:rsidRDefault="00844C4B" w:rsidP="00833055">
      <w:pPr>
        <w:jc w:val="both"/>
        <w:rPr>
          <w:sz w:val="20"/>
          <w:szCs w:val="20"/>
        </w:rPr>
      </w:pPr>
    </w:p>
    <w:p w14:paraId="6C66F792" w14:textId="557FBD35"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Cuando proceda, la Comisión y sus CPC deberían emprender, de forma individual y colectiva, esfuerzos de creación de capacidad y otras actividades de colaboración para respaldar la implementación efectiva de esta Recomendación, lo que incluye llegar a acuerdos de colaboración con otros organismos internacionales pertinentes. [Rec. 10-08 de ICCAT]</w:t>
      </w:r>
    </w:p>
    <w:p w14:paraId="45348FF4" w14:textId="77777777" w:rsidR="00844C4B" w:rsidRPr="00C573E6" w:rsidRDefault="00844C4B" w:rsidP="00833055">
      <w:pPr>
        <w:pStyle w:val="ListParagraph"/>
        <w:ind w:left="360"/>
        <w:jc w:val="both"/>
        <w:rPr>
          <w:sz w:val="20"/>
          <w:szCs w:val="20"/>
        </w:rPr>
      </w:pPr>
    </w:p>
    <w:p w14:paraId="26A6095B" w14:textId="77777777" w:rsidR="00844C4B" w:rsidRPr="00C573E6" w:rsidRDefault="00844C4B" w:rsidP="00411CEA">
      <w:pPr>
        <w:pStyle w:val="ListParagraph"/>
        <w:ind w:left="0" w:firstLine="0"/>
        <w:jc w:val="both"/>
        <w:rPr>
          <w:b/>
          <w:bCs/>
          <w:sz w:val="20"/>
          <w:szCs w:val="20"/>
        </w:rPr>
      </w:pPr>
      <w:r w:rsidRPr="00C573E6">
        <w:rPr>
          <w:b/>
          <w:sz w:val="20"/>
        </w:rPr>
        <w:t>Disposiciones finales</w:t>
      </w:r>
    </w:p>
    <w:p w14:paraId="4AC1C173" w14:textId="77777777" w:rsidR="00844C4B" w:rsidRPr="00C573E6" w:rsidRDefault="00844C4B" w:rsidP="00833055">
      <w:pPr>
        <w:jc w:val="both"/>
        <w:rPr>
          <w:sz w:val="20"/>
          <w:szCs w:val="20"/>
        </w:rPr>
      </w:pPr>
    </w:p>
    <w:p w14:paraId="06272702" w14:textId="77777777" w:rsidR="00844C4B" w:rsidRPr="00C573E6" w:rsidRDefault="00844C4B" w:rsidP="00CC148E">
      <w:pPr>
        <w:pStyle w:val="ListParagraph"/>
        <w:numPr>
          <w:ilvl w:val="0"/>
          <w:numId w:val="60"/>
        </w:numPr>
        <w:autoSpaceDE/>
        <w:autoSpaceDN/>
        <w:contextualSpacing/>
        <w:jc w:val="both"/>
        <w:rPr>
          <w:sz w:val="20"/>
          <w:szCs w:val="20"/>
        </w:rPr>
      </w:pPr>
      <w:r w:rsidRPr="00C573E6">
        <w:rPr>
          <w:sz w:val="20"/>
        </w:rPr>
        <w:t>Esta Recomendación deroga y sustituye:</w:t>
      </w:r>
    </w:p>
    <w:p w14:paraId="27101D1E" w14:textId="77777777" w:rsidR="00844C4B" w:rsidRPr="00C573E6" w:rsidRDefault="00844C4B" w:rsidP="00833055">
      <w:pPr>
        <w:jc w:val="both"/>
        <w:rPr>
          <w:sz w:val="20"/>
          <w:szCs w:val="20"/>
        </w:rPr>
      </w:pPr>
    </w:p>
    <w:p w14:paraId="3039D3E1" w14:textId="52E47996" w:rsidR="00844C4B" w:rsidRPr="00C573E6" w:rsidRDefault="00844C4B" w:rsidP="00CC148E">
      <w:pPr>
        <w:pStyle w:val="ListParagraph"/>
        <w:numPr>
          <w:ilvl w:val="0"/>
          <w:numId w:val="65"/>
        </w:numPr>
        <w:autoSpaceDE/>
        <w:autoSpaceDN/>
        <w:ind w:left="851" w:hanging="425"/>
        <w:contextualSpacing/>
        <w:jc w:val="both"/>
        <w:rPr>
          <w:sz w:val="20"/>
          <w:szCs w:val="20"/>
        </w:rPr>
      </w:pPr>
      <w:r w:rsidRPr="00C573E6">
        <w:rPr>
          <w:sz w:val="20"/>
        </w:rPr>
        <w:t xml:space="preserve">la </w:t>
      </w:r>
      <w:r w:rsidRPr="00C573E6">
        <w:rPr>
          <w:i/>
          <w:iCs/>
          <w:sz w:val="20"/>
        </w:rPr>
        <w:t xml:space="preserve">Resolución de ICCAT sobre cooperación con la Organización de las Naciones Unidas para la </w:t>
      </w:r>
      <w:r w:rsidR="00365875" w:rsidRPr="00C573E6">
        <w:rPr>
          <w:i/>
          <w:iCs/>
          <w:sz w:val="20"/>
        </w:rPr>
        <w:t>Alimentación y</w:t>
      </w:r>
      <w:r w:rsidRPr="00C573E6">
        <w:rPr>
          <w:i/>
          <w:iCs/>
          <w:sz w:val="20"/>
        </w:rPr>
        <w:t xml:space="preserve"> </w:t>
      </w:r>
      <w:r w:rsidR="00432047" w:rsidRPr="00C573E6">
        <w:rPr>
          <w:i/>
          <w:iCs/>
          <w:sz w:val="20"/>
        </w:rPr>
        <w:t>la Agricultura</w:t>
      </w:r>
      <w:r w:rsidRPr="00C573E6">
        <w:rPr>
          <w:i/>
          <w:iCs/>
          <w:sz w:val="20"/>
        </w:rPr>
        <w:t xml:space="preserve"> (FAO) respecto al estudio sobre el estado de los stocks y capturas fortuitas de especies de tiburones (Res. 95-02)</w:t>
      </w:r>
    </w:p>
    <w:p w14:paraId="0B9E98EB" w14:textId="77777777" w:rsidR="00411CEA" w:rsidRPr="00C573E6" w:rsidRDefault="00411CEA" w:rsidP="00411CEA">
      <w:pPr>
        <w:pStyle w:val="ListParagraph"/>
        <w:autoSpaceDE/>
        <w:autoSpaceDN/>
        <w:ind w:left="851" w:firstLine="0"/>
        <w:contextualSpacing/>
        <w:jc w:val="both"/>
        <w:rPr>
          <w:sz w:val="20"/>
          <w:szCs w:val="20"/>
        </w:rPr>
      </w:pPr>
    </w:p>
    <w:p w14:paraId="35821942" w14:textId="77777777" w:rsidR="00844C4B" w:rsidRPr="00C573E6" w:rsidRDefault="00844C4B" w:rsidP="00CC148E">
      <w:pPr>
        <w:pStyle w:val="ListParagraph"/>
        <w:numPr>
          <w:ilvl w:val="0"/>
          <w:numId w:val="65"/>
        </w:numPr>
        <w:autoSpaceDE/>
        <w:autoSpaceDN/>
        <w:ind w:left="851" w:hanging="425"/>
        <w:contextualSpacing/>
        <w:jc w:val="both"/>
        <w:rPr>
          <w:sz w:val="20"/>
          <w:szCs w:val="20"/>
        </w:rPr>
      </w:pPr>
      <w:r w:rsidRPr="00C573E6">
        <w:rPr>
          <w:sz w:val="20"/>
        </w:rPr>
        <w:t xml:space="preserve">la </w:t>
      </w:r>
      <w:r w:rsidRPr="00C573E6">
        <w:rPr>
          <w:i/>
          <w:sz w:val="20"/>
        </w:rPr>
        <w:t>Resolución de ICCAT sobre la pesquería de tiburones</w:t>
      </w:r>
      <w:r w:rsidRPr="00C573E6">
        <w:rPr>
          <w:sz w:val="20"/>
        </w:rPr>
        <w:t xml:space="preserve"> (Res. 03- 10),</w:t>
      </w:r>
    </w:p>
    <w:p w14:paraId="13D7129A" w14:textId="77777777" w:rsidR="00411CEA" w:rsidRPr="00C573E6" w:rsidRDefault="00411CEA" w:rsidP="00411CEA">
      <w:pPr>
        <w:pStyle w:val="ListParagraph"/>
        <w:rPr>
          <w:sz w:val="20"/>
          <w:szCs w:val="20"/>
        </w:rPr>
      </w:pPr>
    </w:p>
    <w:p w14:paraId="5B0FCD7F" w14:textId="77777777" w:rsidR="00844C4B" w:rsidRPr="00C573E6" w:rsidRDefault="00844C4B" w:rsidP="00CC148E">
      <w:pPr>
        <w:pStyle w:val="ListParagraph"/>
        <w:numPr>
          <w:ilvl w:val="0"/>
          <w:numId w:val="65"/>
        </w:numPr>
        <w:autoSpaceDE/>
        <w:autoSpaceDN/>
        <w:ind w:left="851" w:hanging="425"/>
        <w:contextualSpacing/>
        <w:jc w:val="both"/>
        <w:rPr>
          <w:sz w:val="20"/>
          <w:szCs w:val="20"/>
        </w:rPr>
      </w:pPr>
      <w:r w:rsidRPr="00C573E6">
        <w:rPr>
          <w:sz w:val="20"/>
        </w:rPr>
        <w:t xml:space="preserve">la </w:t>
      </w:r>
      <w:r w:rsidRPr="00C573E6">
        <w:rPr>
          <w:i/>
          <w:sz w:val="20"/>
        </w:rPr>
        <w:t xml:space="preserve">Recomendación de ICCAT sobre la conservación de tiburones capturados en asociación con las pesquerías que son competencia de ICCAT </w:t>
      </w:r>
      <w:r w:rsidRPr="00C573E6">
        <w:rPr>
          <w:sz w:val="20"/>
        </w:rPr>
        <w:t>(Rec. 04-10)</w:t>
      </w:r>
    </w:p>
    <w:p w14:paraId="6D7B10CC" w14:textId="77777777" w:rsidR="00411CEA" w:rsidRPr="00C573E6" w:rsidRDefault="00411CEA" w:rsidP="00411CEA">
      <w:pPr>
        <w:pStyle w:val="ListParagraph"/>
        <w:rPr>
          <w:sz w:val="20"/>
          <w:szCs w:val="20"/>
        </w:rPr>
      </w:pPr>
    </w:p>
    <w:p w14:paraId="084B56C9" w14:textId="77777777" w:rsidR="00844C4B" w:rsidRPr="00C573E6" w:rsidRDefault="00844C4B" w:rsidP="00CC148E">
      <w:pPr>
        <w:pStyle w:val="ListParagraph"/>
        <w:numPr>
          <w:ilvl w:val="0"/>
          <w:numId w:val="65"/>
        </w:numPr>
        <w:autoSpaceDE/>
        <w:autoSpaceDN/>
        <w:ind w:left="851" w:hanging="425"/>
        <w:contextualSpacing/>
        <w:jc w:val="both"/>
        <w:rPr>
          <w:sz w:val="20"/>
          <w:szCs w:val="20"/>
        </w:rPr>
      </w:pPr>
      <w:r w:rsidRPr="00C573E6">
        <w:rPr>
          <w:sz w:val="20"/>
        </w:rPr>
        <w:t xml:space="preserve">la </w:t>
      </w:r>
      <w:r w:rsidRPr="00C573E6">
        <w:rPr>
          <w:i/>
          <w:iCs/>
          <w:sz w:val="20"/>
        </w:rPr>
        <w:t>Recomendación suplementaria de ICCAT sobre tiburones</w:t>
      </w:r>
      <w:r w:rsidRPr="00C573E6">
        <w:rPr>
          <w:sz w:val="20"/>
        </w:rPr>
        <w:t xml:space="preserve"> (Rec. 07-06),</w:t>
      </w:r>
    </w:p>
    <w:p w14:paraId="22EA2098" w14:textId="77777777" w:rsidR="00411CEA" w:rsidRPr="00C573E6" w:rsidRDefault="00411CEA" w:rsidP="00411CEA">
      <w:pPr>
        <w:pStyle w:val="ListParagraph"/>
        <w:rPr>
          <w:sz w:val="20"/>
          <w:szCs w:val="20"/>
        </w:rPr>
      </w:pPr>
    </w:p>
    <w:p w14:paraId="4D4D01BC" w14:textId="77777777" w:rsidR="00844C4B" w:rsidRPr="00C573E6" w:rsidRDefault="00844C4B" w:rsidP="00CC148E">
      <w:pPr>
        <w:pStyle w:val="ListParagraph"/>
        <w:numPr>
          <w:ilvl w:val="0"/>
          <w:numId w:val="65"/>
        </w:numPr>
        <w:autoSpaceDE/>
        <w:autoSpaceDN/>
        <w:ind w:left="851" w:hanging="425"/>
        <w:contextualSpacing/>
        <w:jc w:val="both"/>
        <w:rPr>
          <w:sz w:val="20"/>
          <w:szCs w:val="20"/>
        </w:rPr>
      </w:pPr>
      <w:r w:rsidRPr="00C573E6">
        <w:rPr>
          <w:sz w:val="20"/>
        </w:rPr>
        <w:t xml:space="preserve">la </w:t>
      </w:r>
      <w:r w:rsidRPr="00C573E6">
        <w:rPr>
          <w:i/>
          <w:sz w:val="20"/>
        </w:rPr>
        <w:t xml:space="preserve">Recomendación de ICCAT sobre la conservación de los tiburones zorro capturados en asociación con las pesquerías en la zona del Convenio ICCAT </w:t>
      </w:r>
      <w:r w:rsidRPr="00C573E6">
        <w:rPr>
          <w:sz w:val="20"/>
        </w:rPr>
        <w:t>(Rec. 09-07)</w:t>
      </w:r>
    </w:p>
    <w:p w14:paraId="77E2D98E" w14:textId="77777777" w:rsidR="00411CEA" w:rsidRPr="00C573E6" w:rsidRDefault="00411CEA" w:rsidP="00411CEA">
      <w:pPr>
        <w:pStyle w:val="ListParagraph"/>
        <w:rPr>
          <w:sz w:val="20"/>
          <w:szCs w:val="20"/>
        </w:rPr>
      </w:pPr>
    </w:p>
    <w:p w14:paraId="1E48634A" w14:textId="77777777" w:rsidR="00844C4B" w:rsidRPr="00C573E6" w:rsidRDefault="00844C4B" w:rsidP="00CC148E">
      <w:pPr>
        <w:pStyle w:val="ListParagraph"/>
        <w:numPr>
          <w:ilvl w:val="0"/>
          <w:numId w:val="65"/>
        </w:numPr>
        <w:autoSpaceDE/>
        <w:autoSpaceDN/>
        <w:ind w:left="851" w:hanging="425"/>
        <w:contextualSpacing/>
        <w:jc w:val="both"/>
        <w:rPr>
          <w:sz w:val="20"/>
          <w:szCs w:val="20"/>
        </w:rPr>
      </w:pPr>
      <w:r w:rsidRPr="00C573E6">
        <w:rPr>
          <w:sz w:val="20"/>
        </w:rPr>
        <w:t xml:space="preserve">la </w:t>
      </w:r>
      <w:r w:rsidRPr="00C573E6">
        <w:rPr>
          <w:i/>
          <w:sz w:val="20"/>
        </w:rPr>
        <w:t xml:space="preserve">Recomendación de ICCAT sobre la conservación de los tiburones oceánicos capturados en asociación con las pesquerías en la zona del Convenio de ICCAT </w:t>
      </w:r>
      <w:r w:rsidRPr="00C573E6">
        <w:rPr>
          <w:sz w:val="20"/>
        </w:rPr>
        <w:t>(Rec. 10-07)</w:t>
      </w:r>
    </w:p>
    <w:p w14:paraId="011CB764" w14:textId="77777777" w:rsidR="00411CEA" w:rsidRPr="00C573E6" w:rsidRDefault="00411CEA" w:rsidP="00411CEA">
      <w:pPr>
        <w:pStyle w:val="ListParagraph"/>
        <w:rPr>
          <w:sz w:val="20"/>
          <w:szCs w:val="20"/>
        </w:rPr>
      </w:pPr>
    </w:p>
    <w:p w14:paraId="5A15C720" w14:textId="6305A221" w:rsidR="00844C4B" w:rsidRPr="00C573E6" w:rsidRDefault="00844C4B" w:rsidP="00CC148E">
      <w:pPr>
        <w:pStyle w:val="ListParagraph"/>
        <w:numPr>
          <w:ilvl w:val="0"/>
          <w:numId w:val="65"/>
        </w:numPr>
        <w:autoSpaceDE/>
        <w:autoSpaceDN/>
        <w:ind w:left="851" w:hanging="425"/>
        <w:contextualSpacing/>
        <w:jc w:val="both"/>
        <w:rPr>
          <w:sz w:val="20"/>
          <w:szCs w:val="20"/>
        </w:rPr>
      </w:pPr>
      <w:r w:rsidRPr="00C573E6">
        <w:rPr>
          <w:sz w:val="20"/>
        </w:rPr>
        <w:t xml:space="preserve">la </w:t>
      </w:r>
      <w:r w:rsidRPr="00C573E6">
        <w:rPr>
          <w:i/>
          <w:iCs/>
          <w:sz w:val="20"/>
        </w:rPr>
        <w:t xml:space="preserve">Recomendación de ICCAT sobre peces martillo (familia </w:t>
      </w:r>
      <w:proofErr w:type="spellStart"/>
      <w:r w:rsidRPr="00C573E6">
        <w:rPr>
          <w:i/>
          <w:iCs/>
          <w:sz w:val="20"/>
        </w:rPr>
        <w:t>Sphyrnidae</w:t>
      </w:r>
      <w:proofErr w:type="spellEnd"/>
      <w:r w:rsidRPr="00C573E6">
        <w:rPr>
          <w:i/>
          <w:iCs/>
          <w:sz w:val="20"/>
        </w:rPr>
        <w:t xml:space="preserve">) </w:t>
      </w:r>
      <w:r w:rsidR="00432047" w:rsidRPr="00C573E6">
        <w:rPr>
          <w:i/>
          <w:iCs/>
          <w:sz w:val="20"/>
        </w:rPr>
        <w:t>capturados en</w:t>
      </w:r>
      <w:r w:rsidRPr="00C573E6">
        <w:rPr>
          <w:i/>
          <w:iCs/>
          <w:sz w:val="20"/>
        </w:rPr>
        <w:t xml:space="preserve"> asociación con las pesquerías gestionadas por ICCAT </w:t>
      </w:r>
      <w:r w:rsidRPr="00C573E6">
        <w:rPr>
          <w:sz w:val="20"/>
        </w:rPr>
        <w:t>(Rec. 10-08),</w:t>
      </w:r>
    </w:p>
    <w:p w14:paraId="1D635686" w14:textId="77777777" w:rsidR="00411CEA" w:rsidRPr="00C573E6" w:rsidRDefault="00411CEA" w:rsidP="00411CEA">
      <w:pPr>
        <w:pStyle w:val="ListParagraph"/>
        <w:rPr>
          <w:sz w:val="20"/>
          <w:szCs w:val="20"/>
        </w:rPr>
      </w:pPr>
    </w:p>
    <w:p w14:paraId="10850E24" w14:textId="77777777" w:rsidR="00844C4B" w:rsidRPr="00C573E6" w:rsidRDefault="00844C4B" w:rsidP="00CC148E">
      <w:pPr>
        <w:pStyle w:val="ListParagraph"/>
        <w:numPr>
          <w:ilvl w:val="0"/>
          <w:numId w:val="65"/>
        </w:numPr>
        <w:autoSpaceDE/>
        <w:autoSpaceDN/>
        <w:ind w:left="851" w:hanging="425"/>
        <w:contextualSpacing/>
        <w:jc w:val="both"/>
        <w:rPr>
          <w:sz w:val="20"/>
          <w:szCs w:val="20"/>
        </w:rPr>
      </w:pPr>
      <w:r w:rsidRPr="00C573E6">
        <w:rPr>
          <w:sz w:val="20"/>
        </w:rPr>
        <w:t xml:space="preserve">la </w:t>
      </w:r>
      <w:r w:rsidRPr="00C573E6">
        <w:rPr>
          <w:i/>
          <w:iCs/>
          <w:sz w:val="20"/>
        </w:rPr>
        <w:t>Recomendación de ICCAT sobre la conservación del tiburón jaquetón capturado en asociación con las pesquerías de ICCAT</w:t>
      </w:r>
      <w:r w:rsidRPr="00C573E6">
        <w:rPr>
          <w:sz w:val="20"/>
        </w:rPr>
        <w:t xml:space="preserve"> (Rec. 11-08),</w:t>
      </w:r>
    </w:p>
    <w:p w14:paraId="55272448" w14:textId="77777777" w:rsidR="00411CEA" w:rsidRPr="00C573E6" w:rsidRDefault="00411CEA" w:rsidP="00411CEA">
      <w:pPr>
        <w:pStyle w:val="ListParagraph"/>
        <w:rPr>
          <w:sz w:val="20"/>
          <w:szCs w:val="20"/>
        </w:rPr>
      </w:pPr>
    </w:p>
    <w:p w14:paraId="5B7C23B0" w14:textId="77777777" w:rsidR="00844C4B" w:rsidRPr="00C573E6" w:rsidRDefault="00844C4B" w:rsidP="00CC148E">
      <w:pPr>
        <w:pStyle w:val="ListParagraph"/>
        <w:numPr>
          <w:ilvl w:val="0"/>
          <w:numId w:val="65"/>
        </w:numPr>
        <w:autoSpaceDE/>
        <w:autoSpaceDN/>
        <w:ind w:left="851" w:hanging="425"/>
        <w:contextualSpacing/>
        <w:jc w:val="both"/>
        <w:rPr>
          <w:sz w:val="20"/>
          <w:szCs w:val="20"/>
        </w:rPr>
      </w:pPr>
      <w:r w:rsidRPr="00C573E6">
        <w:rPr>
          <w:sz w:val="20"/>
        </w:rPr>
        <w:t xml:space="preserve">la </w:t>
      </w:r>
      <w:r w:rsidRPr="00C573E6">
        <w:rPr>
          <w:i/>
          <w:iCs/>
          <w:sz w:val="20"/>
        </w:rPr>
        <w:t>Recomendación de ICCAT sobre el muestreo biológico de especies prohibidas de tiburones por parte de observadores científicos</w:t>
      </w:r>
      <w:r w:rsidRPr="00C573E6">
        <w:rPr>
          <w:sz w:val="20"/>
        </w:rPr>
        <w:t xml:space="preserve"> (Rec. 13-10),</w:t>
      </w:r>
    </w:p>
    <w:p w14:paraId="1FC99C80" w14:textId="77777777" w:rsidR="00411CEA" w:rsidRPr="00C573E6" w:rsidRDefault="00411CEA" w:rsidP="00411CEA">
      <w:pPr>
        <w:pStyle w:val="ListParagraph"/>
        <w:rPr>
          <w:sz w:val="20"/>
          <w:szCs w:val="20"/>
        </w:rPr>
      </w:pPr>
    </w:p>
    <w:p w14:paraId="44720203" w14:textId="77777777" w:rsidR="00844C4B" w:rsidRPr="00C573E6" w:rsidRDefault="00844C4B" w:rsidP="00CC148E">
      <w:pPr>
        <w:pStyle w:val="ListParagraph"/>
        <w:numPr>
          <w:ilvl w:val="0"/>
          <w:numId w:val="65"/>
        </w:numPr>
        <w:autoSpaceDE/>
        <w:autoSpaceDN/>
        <w:ind w:left="851" w:hanging="425"/>
        <w:contextualSpacing/>
        <w:jc w:val="both"/>
        <w:rPr>
          <w:sz w:val="20"/>
          <w:szCs w:val="20"/>
        </w:rPr>
      </w:pPr>
      <w:r w:rsidRPr="00C573E6">
        <w:rPr>
          <w:sz w:val="20"/>
        </w:rPr>
        <w:t xml:space="preserve">la </w:t>
      </w:r>
      <w:r w:rsidRPr="00C573E6">
        <w:rPr>
          <w:i/>
          <w:sz w:val="20"/>
        </w:rPr>
        <w:t xml:space="preserve">Recomendación de ICCAT sobre marrajo sardinero capturado en asociación con pesquerías de ICCAT </w:t>
      </w:r>
      <w:r w:rsidRPr="00C573E6">
        <w:rPr>
          <w:sz w:val="20"/>
        </w:rPr>
        <w:t>(Rec. 15-06),</w:t>
      </w:r>
    </w:p>
    <w:p w14:paraId="66736529" w14:textId="77777777" w:rsidR="00411CEA" w:rsidRPr="00C573E6" w:rsidRDefault="00411CEA" w:rsidP="00411CEA">
      <w:pPr>
        <w:pStyle w:val="ListParagraph"/>
        <w:rPr>
          <w:sz w:val="20"/>
          <w:szCs w:val="20"/>
        </w:rPr>
      </w:pPr>
    </w:p>
    <w:p w14:paraId="64C3F638" w14:textId="77777777" w:rsidR="00844C4B" w:rsidRPr="00C573E6" w:rsidRDefault="00844C4B" w:rsidP="00CC148E">
      <w:pPr>
        <w:pStyle w:val="ListParagraph"/>
        <w:numPr>
          <w:ilvl w:val="0"/>
          <w:numId w:val="65"/>
        </w:numPr>
        <w:autoSpaceDE/>
        <w:autoSpaceDN/>
        <w:ind w:left="851" w:hanging="425"/>
        <w:contextualSpacing/>
        <w:jc w:val="both"/>
        <w:rPr>
          <w:sz w:val="20"/>
          <w:szCs w:val="20"/>
        </w:rPr>
      </w:pPr>
      <w:r w:rsidRPr="00C573E6">
        <w:rPr>
          <w:sz w:val="20"/>
        </w:rPr>
        <w:t>la</w:t>
      </w:r>
      <w:r w:rsidRPr="00C573E6">
        <w:rPr>
          <w:i/>
          <w:sz w:val="20"/>
        </w:rPr>
        <w:t xml:space="preserve"> Recomendación de ICCAT para sustituir la Recomendación 16-13 para mejorar la revisión del cumplimiento de las medidas de conservación y ordenación relacionadas con los tiburones capturados en asociación con las pesquerías de ICCAT</w:t>
      </w:r>
      <w:r w:rsidRPr="00C573E6">
        <w:rPr>
          <w:sz w:val="20"/>
        </w:rPr>
        <w:t xml:space="preserve"> (Rec. 18-06) y</w:t>
      </w:r>
    </w:p>
    <w:p w14:paraId="229593E5" w14:textId="77777777" w:rsidR="00411CEA" w:rsidRPr="00C573E6" w:rsidRDefault="00411CEA" w:rsidP="00411CEA">
      <w:pPr>
        <w:pStyle w:val="ListParagraph"/>
        <w:rPr>
          <w:sz w:val="20"/>
          <w:szCs w:val="20"/>
        </w:rPr>
      </w:pPr>
    </w:p>
    <w:p w14:paraId="21CC1DCB" w14:textId="34DD31B4" w:rsidR="00844C4B" w:rsidRPr="00C573E6" w:rsidRDefault="00844C4B" w:rsidP="00CC148E">
      <w:pPr>
        <w:pStyle w:val="ListParagraph"/>
        <w:numPr>
          <w:ilvl w:val="0"/>
          <w:numId w:val="65"/>
        </w:numPr>
        <w:autoSpaceDE/>
        <w:autoSpaceDN/>
        <w:ind w:left="851" w:hanging="425"/>
        <w:contextualSpacing/>
        <w:jc w:val="both"/>
        <w:rPr>
          <w:sz w:val="20"/>
          <w:szCs w:val="20"/>
        </w:rPr>
      </w:pPr>
      <w:r w:rsidRPr="00C573E6">
        <w:rPr>
          <w:sz w:val="20"/>
        </w:rPr>
        <w:t xml:space="preserve">la </w:t>
      </w:r>
      <w:r w:rsidRPr="00C573E6">
        <w:rPr>
          <w:i/>
          <w:iCs/>
          <w:sz w:val="20"/>
        </w:rPr>
        <w:t>Recomendación de ICCAT para la conservación del tiburón ballena (</w:t>
      </w:r>
      <w:proofErr w:type="spellStart"/>
      <w:r w:rsidRPr="00C573E6">
        <w:rPr>
          <w:sz w:val="20"/>
        </w:rPr>
        <w:t>Rhincodon</w:t>
      </w:r>
      <w:proofErr w:type="spellEnd"/>
      <w:r w:rsidRPr="00C573E6">
        <w:rPr>
          <w:sz w:val="20"/>
        </w:rPr>
        <w:t xml:space="preserve"> </w:t>
      </w:r>
      <w:proofErr w:type="spellStart"/>
      <w:r w:rsidRPr="00C573E6">
        <w:rPr>
          <w:sz w:val="20"/>
        </w:rPr>
        <w:t>typus</w:t>
      </w:r>
      <w:proofErr w:type="spellEnd"/>
      <w:r w:rsidRPr="00C573E6">
        <w:rPr>
          <w:sz w:val="20"/>
        </w:rPr>
        <w:t>)</w:t>
      </w:r>
      <w:r w:rsidRPr="00C573E6">
        <w:rPr>
          <w:i/>
          <w:iCs/>
          <w:sz w:val="20"/>
        </w:rPr>
        <w:t xml:space="preserve"> capturado en asociación con las pesquerías de ICCAT</w:t>
      </w:r>
      <w:r w:rsidRPr="00C573E6">
        <w:rPr>
          <w:sz w:val="20"/>
        </w:rPr>
        <w:t xml:space="preserve"> (Rec. 23-12).</w:t>
      </w:r>
    </w:p>
    <w:p w14:paraId="2E9FBF27" w14:textId="77777777" w:rsidR="00844C4B" w:rsidRPr="00C573E6" w:rsidRDefault="00844C4B" w:rsidP="00833055">
      <w:pPr>
        <w:jc w:val="both"/>
        <w:rPr>
          <w:sz w:val="20"/>
          <w:szCs w:val="20"/>
        </w:rPr>
      </w:pPr>
    </w:p>
    <w:p w14:paraId="4174FCCE" w14:textId="77777777" w:rsidR="00844C4B" w:rsidRPr="00C573E6" w:rsidRDefault="00844C4B" w:rsidP="00833055">
      <w:pPr>
        <w:jc w:val="both"/>
        <w:rPr>
          <w:sz w:val="20"/>
          <w:szCs w:val="20"/>
        </w:rPr>
      </w:pPr>
    </w:p>
    <w:p w14:paraId="4013492C" w14:textId="77777777" w:rsidR="00844C4B" w:rsidRPr="00C573E6" w:rsidRDefault="00844C4B" w:rsidP="00833055">
      <w:pPr>
        <w:jc w:val="both"/>
        <w:rPr>
          <w:sz w:val="20"/>
          <w:szCs w:val="20"/>
        </w:rPr>
      </w:pPr>
    </w:p>
    <w:p w14:paraId="3EEAEAC3" w14:textId="77777777" w:rsidR="00844C4B" w:rsidRPr="00C573E6" w:rsidRDefault="00844C4B" w:rsidP="00833055">
      <w:pPr>
        <w:jc w:val="both"/>
        <w:rPr>
          <w:sz w:val="20"/>
          <w:szCs w:val="20"/>
        </w:rPr>
      </w:pPr>
    </w:p>
    <w:p w14:paraId="553D0325" w14:textId="77777777" w:rsidR="00844C4B" w:rsidRPr="00C573E6" w:rsidRDefault="00844C4B" w:rsidP="00833055">
      <w:pPr>
        <w:widowControl/>
        <w:jc w:val="both"/>
        <w:rPr>
          <w:sz w:val="20"/>
          <w:szCs w:val="20"/>
        </w:rPr>
      </w:pPr>
      <w:r w:rsidRPr="00C573E6">
        <w:br w:type="page"/>
      </w:r>
    </w:p>
    <w:p w14:paraId="20AE8726" w14:textId="77777777" w:rsidR="00844C4B" w:rsidRPr="00C573E6" w:rsidRDefault="00844C4B" w:rsidP="00411CEA">
      <w:pPr>
        <w:jc w:val="right"/>
        <w:rPr>
          <w:b/>
          <w:bCs/>
          <w:sz w:val="20"/>
          <w:szCs w:val="20"/>
        </w:rPr>
      </w:pPr>
      <w:r w:rsidRPr="00C573E6">
        <w:rPr>
          <w:b/>
          <w:sz w:val="20"/>
        </w:rPr>
        <w:lastRenderedPageBreak/>
        <w:t>Anexo 1</w:t>
      </w:r>
    </w:p>
    <w:p w14:paraId="62837513" w14:textId="77777777" w:rsidR="00844C4B" w:rsidRPr="00C573E6" w:rsidRDefault="00844C4B" w:rsidP="00833055">
      <w:pPr>
        <w:jc w:val="both"/>
        <w:rPr>
          <w:sz w:val="20"/>
          <w:szCs w:val="20"/>
        </w:rPr>
      </w:pPr>
    </w:p>
    <w:p w14:paraId="682F438D" w14:textId="737F0C1D" w:rsidR="00844C4B" w:rsidRPr="002F309E" w:rsidRDefault="00844C4B" w:rsidP="00411CEA">
      <w:pPr>
        <w:jc w:val="center"/>
        <w:rPr>
          <w:b/>
          <w:bCs/>
          <w:sz w:val="20"/>
          <w:szCs w:val="20"/>
        </w:rPr>
      </w:pPr>
      <w:r w:rsidRPr="002F309E">
        <w:rPr>
          <w:b/>
          <w:bCs/>
          <w:sz w:val="20"/>
        </w:rPr>
        <w:t>Directrices para la manipulación y liberación seguras del tiburón ballena [ICCAT Rec. 23-12]</w:t>
      </w:r>
    </w:p>
    <w:p w14:paraId="783F5668" w14:textId="77777777" w:rsidR="00844C4B" w:rsidRPr="00C573E6" w:rsidRDefault="00844C4B" w:rsidP="00833055">
      <w:pPr>
        <w:jc w:val="both"/>
        <w:rPr>
          <w:sz w:val="20"/>
          <w:szCs w:val="20"/>
        </w:rPr>
      </w:pPr>
    </w:p>
    <w:p w14:paraId="0505C919" w14:textId="77777777" w:rsidR="00844C4B" w:rsidRPr="00C573E6" w:rsidRDefault="00844C4B" w:rsidP="00CC148E">
      <w:pPr>
        <w:pStyle w:val="Default"/>
        <w:widowControl w:val="0"/>
        <w:numPr>
          <w:ilvl w:val="0"/>
          <w:numId w:val="67"/>
        </w:numPr>
        <w:ind w:left="360" w:hanging="360"/>
        <w:jc w:val="both"/>
        <w:rPr>
          <w:sz w:val="20"/>
          <w:szCs w:val="20"/>
        </w:rPr>
      </w:pPr>
      <w:r w:rsidRPr="00C573E6">
        <w:rPr>
          <w:sz w:val="20"/>
        </w:rPr>
        <w:t>En la zona del Convenio de ICCAT, al liberar tiburones ballena capturados incidentalmente en pesquerías de ICCAT deberían seguirse las siguientes prácticas:</w:t>
      </w:r>
    </w:p>
    <w:p w14:paraId="4A0081AC" w14:textId="77777777" w:rsidR="00844C4B" w:rsidRPr="00C573E6" w:rsidRDefault="00844C4B" w:rsidP="00833055">
      <w:pPr>
        <w:pStyle w:val="Default"/>
        <w:ind w:left="360"/>
        <w:jc w:val="both"/>
        <w:rPr>
          <w:sz w:val="20"/>
          <w:szCs w:val="20"/>
        </w:rPr>
      </w:pPr>
    </w:p>
    <w:p w14:paraId="107B892A" w14:textId="77777777" w:rsidR="00844C4B" w:rsidRPr="00C573E6" w:rsidRDefault="00844C4B" w:rsidP="00CC148E">
      <w:pPr>
        <w:pStyle w:val="Default"/>
        <w:widowControl w:val="0"/>
        <w:numPr>
          <w:ilvl w:val="0"/>
          <w:numId w:val="68"/>
        </w:numPr>
        <w:ind w:left="709" w:hanging="283"/>
        <w:jc w:val="both"/>
        <w:rPr>
          <w:sz w:val="20"/>
          <w:szCs w:val="20"/>
        </w:rPr>
      </w:pPr>
      <w:r w:rsidRPr="00C573E6">
        <w:rPr>
          <w:sz w:val="20"/>
        </w:rPr>
        <w:t xml:space="preserve">Utilizar el salabardo o saco de red para levantar y liberar a los tiburones ballena, operación también definida como "salabardeo". Esta operación se utilizará cuando se capturen ejemplares de menos de 2 m, para liberarlos directamente en mar abierto, sin subirlos a bordo; o </w:t>
      </w:r>
    </w:p>
    <w:p w14:paraId="6E49D663" w14:textId="77777777" w:rsidR="00844C4B" w:rsidRPr="00C573E6" w:rsidRDefault="00844C4B" w:rsidP="00833055">
      <w:pPr>
        <w:pStyle w:val="Default"/>
        <w:ind w:left="360"/>
        <w:jc w:val="both"/>
        <w:rPr>
          <w:sz w:val="20"/>
          <w:szCs w:val="20"/>
        </w:rPr>
      </w:pPr>
    </w:p>
    <w:p w14:paraId="21B294C5" w14:textId="77777777" w:rsidR="00844C4B" w:rsidRPr="00C573E6" w:rsidRDefault="00844C4B" w:rsidP="00CC148E">
      <w:pPr>
        <w:pStyle w:val="Default"/>
        <w:widowControl w:val="0"/>
        <w:numPr>
          <w:ilvl w:val="0"/>
          <w:numId w:val="68"/>
        </w:numPr>
        <w:ind w:left="709" w:hanging="283"/>
        <w:jc w:val="both"/>
        <w:rPr>
          <w:sz w:val="20"/>
          <w:szCs w:val="20"/>
        </w:rPr>
      </w:pPr>
      <w:r w:rsidRPr="00C573E6">
        <w:rPr>
          <w:sz w:val="20"/>
        </w:rPr>
        <w:t xml:space="preserve">hundir la línea de corchos para que el tiburón ballena salga rodando de la red. Si el ejemplar no sale de la red por sí mismo, colocar una cuerda debajo del animal y unirla a la línea de flotación para que le ayude a rodar fuera de la red; o </w:t>
      </w:r>
    </w:p>
    <w:p w14:paraId="5B020655" w14:textId="77777777" w:rsidR="00844C4B" w:rsidRPr="00C573E6" w:rsidRDefault="00844C4B" w:rsidP="00411CEA">
      <w:pPr>
        <w:pStyle w:val="Default"/>
        <w:widowControl w:val="0"/>
        <w:ind w:left="709"/>
        <w:jc w:val="both"/>
        <w:rPr>
          <w:sz w:val="20"/>
          <w:szCs w:val="20"/>
        </w:rPr>
      </w:pPr>
    </w:p>
    <w:p w14:paraId="2E85A3F4" w14:textId="30277F25" w:rsidR="00844C4B" w:rsidRPr="002F309E" w:rsidRDefault="00844C4B" w:rsidP="002F309E">
      <w:pPr>
        <w:pStyle w:val="Default"/>
        <w:widowControl w:val="0"/>
        <w:numPr>
          <w:ilvl w:val="0"/>
          <w:numId w:val="68"/>
        </w:numPr>
        <w:ind w:left="709" w:hanging="283"/>
        <w:jc w:val="both"/>
        <w:rPr>
          <w:sz w:val="20"/>
          <w:szCs w:val="20"/>
        </w:rPr>
      </w:pPr>
      <w:r w:rsidRPr="002F309E">
        <w:rPr>
          <w:sz w:val="20"/>
        </w:rPr>
        <w:t xml:space="preserve">Cortar unos metros de la red delante del tiburón ballena. </w:t>
      </w:r>
    </w:p>
    <w:p w14:paraId="57EF9E08" w14:textId="77777777" w:rsidR="00844C4B" w:rsidRPr="00C573E6" w:rsidRDefault="00844C4B" w:rsidP="00833055">
      <w:pPr>
        <w:pStyle w:val="Default"/>
        <w:ind w:left="360"/>
        <w:jc w:val="both"/>
        <w:rPr>
          <w:sz w:val="20"/>
          <w:szCs w:val="20"/>
        </w:rPr>
      </w:pPr>
      <w:r w:rsidRPr="00C573E6">
        <w:rPr>
          <w:sz w:val="20"/>
        </w:rPr>
        <w:t xml:space="preserve"> </w:t>
      </w:r>
    </w:p>
    <w:p w14:paraId="1E8E834F" w14:textId="77777777" w:rsidR="00844C4B" w:rsidRPr="00C573E6" w:rsidRDefault="00844C4B" w:rsidP="00CC148E">
      <w:pPr>
        <w:pStyle w:val="Default"/>
        <w:widowControl w:val="0"/>
        <w:numPr>
          <w:ilvl w:val="0"/>
          <w:numId w:val="67"/>
        </w:numPr>
        <w:ind w:left="360" w:hanging="360"/>
        <w:jc w:val="both"/>
        <w:rPr>
          <w:sz w:val="20"/>
          <w:szCs w:val="20"/>
        </w:rPr>
      </w:pPr>
      <w:r w:rsidRPr="00C573E6">
        <w:rPr>
          <w:sz w:val="20"/>
        </w:rPr>
        <w:t xml:space="preserve">En la zona del Convenio de ICCAT, al liberar tiburones ballena capturados incidentalmente en pesquerías de ICCAT deberían evitarse las siguientes prácticas: </w:t>
      </w:r>
    </w:p>
    <w:p w14:paraId="5C501E7A" w14:textId="77777777" w:rsidR="00844C4B" w:rsidRPr="00C573E6" w:rsidRDefault="00844C4B" w:rsidP="00833055">
      <w:pPr>
        <w:pStyle w:val="Default"/>
        <w:ind w:left="360"/>
        <w:jc w:val="both"/>
        <w:rPr>
          <w:sz w:val="20"/>
          <w:szCs w:val="20"/>
        </w:rPr>
      </w:pPr>
    </w:p>
    <w:p w14:paraId="08AE11AE" w14:textId="77777777" w:rsidR="00844C4B" w:rsidRPr="00C573E6" w:rsidRDefault="00844C4B" w:rsidP="00CC148E">
      <w:pPr>
        <w:pStyle w:val="Default"/>
        <w:widowControl w:val="0"/>
        <w:numPr>
          <w:ilvl w:val="0"/>
          <w:numId w:val="68"/>
        </w:numPr>
        <w:ind w:left="709" w:hanging="283"/>
        <w:jc w:val="both"/>
        <w:rPr>
          <w:sz w:val="20"/>
          <w:szCs w:val="20"/>
        </w:rPr>
      </w:pPr>
      <w:r w:rsidRPr="00C573E6">
        <w:rPr>
          <w:sz w:val="20"/>
        </w:rPr>
        <w:t>Levantar a los tiburones ballena por la cola;</w:t>
      </w:r>
    </w:p>
    <w:p w14:paraId="18E8EE25" w14:textId="6198FDD9" w:rsidR="00844C4B" w:rsidRPr="00C573E6" w:rsidRDefault="00844C4B" w:rsidP="00411CEA">
      <w:pPr>
        <w:pStyle w:val="Default"/>
        <w:widowControl w:val="0"/>
        <w:ind w:left="709"/>
        <w:jc w:val="both"/>
        <w:rPr>
          <w:sz w:val="20"/>
          <w:szCs w:val="20"/>
        </w:rPr>
      </w:pPr>
    </w:p>
    <w:p w14:paraId="3B04C22E" w14:textId="77777777" w:rsidR="00844C4B" w:rsidRPr="00C573E6" w:rsidRDefault="00844C4B" w:rsidP="00CC148E">
      <w:pPr>
        <w:pStyle w:val="Default"/>
        <w:widowControl w:val="0"/>
        <w:numPr>
          <w:ilvl w:val="0"/>
          <w:numId w:val="68"/>
        </w:numPr>
        <w:ind w:left="709" w:hanging="283"/>
        <w:jc w:val="both"/>
        <w:rPr>
          <w:sz w:val="20"/>
          <w:szCs w:val="20"/>
        </w:rPr>
      </w:pPr>
      <w:r w:rsidRPr="00C573E6">
        <w:rPr>
          <w:sz w:val="20"/>
        </w:rPr>
        <w:t>Tirar del tiburón ballena mediante un lazo enganchado alrededor de su branquia o por agujeros perforados en una aleta;</w:t>
      </w:r>
    </w:p>
    <w:p w14:paraId="409A3627" w14:textId="77777777" w:rsidR="00844C4B" w:rsidRPr="00C573E6" w:rsidRDefault="00844C4B" w:rsidP="00411CEA">
      <w:pPr>
        <w:pStyle w:val="Default"/>
        <w:widowControl w:val="0"/>
        <w:ind w:left="709"/>
        <w:jc w:val="both"/>
        <w:rPr>
          <w:sz w:val="20"/>
          <w:szCs w:val="20"/>
        </w:rPr>
      </w:pPr>
    </w:p>
    <w:p w14:paraId="771C4F08" w14:textId="77777777" w:rsidR="00844C4B" w:rsidRPr="00C573E6" w:rsidRDefault="00844C4B" w:rsidP="00CC148E">
      <w:pPr>
        <w:pStyle w:val="Default"/>
        <w:widowControl w:val="0"/>
        <w:numPr>
          <w:ilvl w:val="0"/>
          <w:numId w:val="68"/>
        </w:numPr>
        <w:ind w:left="709" w:hanging="283"/>
        <w:jc w:val="both"/>
        <w:rPr>
          <w:sz w:val="20"/>
          <w:szCs w:val="20"/>
        </w:rPr>
      </w:pPr>
      <w:r w:rsidRPr="00C573E6">
        <w:rPr>
          <w:sz w:val="20"/>
        </w:rPr>
        <w:t xml:space="preserve">Utilizar bicheros; </w:t>
      </w:r>
    </w:p>
    <w:p w14:paraId="1410D015" w14:textId="77777777" w:rsidR="00844C4B" w:rsidRPr="00C573E6" w:rsidRDefault="00844C4B" w:rsidP="00411CEA">
      <w:pPr>
        <w:pStyle w:val="Default"/>
        <w:widowControl w:val="0"/>
        <w:ind w:left="709"/>
        <w:jc w:val="both"/>
        <w:rPr>
          <w:sz w:val="20"/>
          <w:szCs w:val="20"/>
        </w:rPr>
      </w:pPr>
    </w:p>
    <w:p w14:paraId="640B77F0" w14:textId="77777777" w:rsidR="00844C4B" w:rsidRPr="00C573E6" w:rsidRDefault="00844C4B" w:rsidP="00CC148E">
      <w:pPr>
        <w:pStyle w:val="Default"/>
        <w:widowControl w:val="0"/>
        <w:numPr>
          <w:ilvl w:val="0"/>
          <w:numId w:val="68"/>
        </w:numPr>
        <w:ind w:left="709" w:hanging="283"/>
        <w:jc w:val="both"/>
        <w:rPr>
          <w:sz w:val="20"/>
          <w:szCs w:val="20"/>
        </w:rPr>
      </w:pPr>
      <w:r w:rsidRPr="00C573E6">
        <w:rPr>
          <w:sz w:val="20"/>
        </w:rPr>
        <w:t xml:space="preserve">Dejar las cuerdas de remolque atadas al tronco de los tiburones ballena; </w:t>
      </w:r>
    </w:p>
    <w:p w14:paraId="270528E0" w14:textId="77777777" w:rsidR="00844C4B" w:rsidRPr="00C573E6" w:rsidRDefault="00844C4B" w:rsidP="00411CEA">
      <w:pPr>
        <w:pStyle w:val="Default"/>
        <w:widowControl w:val="0"/>
        <w:ind w:left="709"/>
        <w:jc w:val="both"/>
        <w:rPr>
          <w:sz w:val="20"/>
          <w:szCs w:val="20"/>
        </w:rPr>
      </w:pPr>
    </w:p>
    <w:p w14:paraId="0BFDE86E" w14:textId="77777777" w:rsidR="00844C4B" w:rsidRPr="00C573E6" w:rsidRDefault="00844C4B" w:rsidP="00CC148E">
      <w:pPr>
        <w:pStyle w:val="Default"/>
        <w:widowControl w:val="0"/>
        <w:numPr>
          <w:ilvl w:val="0"/>
          <w:numId w:val="68"/>
        </w:numPr>
        <w:ind w:left="709" w:hanging="283"/>
        <w:jc w:val="both"/>
        <w:rPr>
          <w:sz w:val="20"/>
          <w:szCs w:val="20"/>
        </w:rPr>
      </w:pPr>
      <w:r w:rsidRPr="00C573E6">
        <w:rPr>
          <w:sz w:val="20"/>
        </w:rPr>
        <w:t xml:space="preserve">Liberar con salabardo a los tiburones ballena de más de 2 metros; </w:t>
      </w:r>
    </w:p>
    <w:p w14:paraId="26CA6947" w14:textId="77777777" w:rsidR="00844C4B" w:rsidRPr="00C573E6" w:rsidRDefault="00844C4B" w:rsidP="00411CEA">
      <w:pPr>
        <w:pStyle w:val="Default"/>
        <w:widowControl w:val="0"/>
        <w:ind w:left="709"/>
        <w:jc w:val="both"/>
        <w:rPr>
          <w:sz w:val="20"/>
          <w:szCs w:val="20"/>
        </w:rPr>
      </w:pPr>
    </w:p>
    <w:p w14:paraId="3E358DCD" w14:textId="77777777" w:rsidR="00844C4B" w:rsidRPr="00C573E6" w:rsidRDefault="00844C4B" w:rsidP="00CC148E">
      <w:pPr>
        <w:pStyle w:val="Default"/>
        <w:widowControl w:val="0"/>
        <w:numPr>
          <w:ilvl w:val="0"/>
          <w:numId w:val="68"/>
        </w:numPr>
        <w:ind w:left="709" w:hanging="283"/>
        <w:jc w:val="both"/>
        <w:rPr>
          <w:sz w:val="20"/>
          <w:szCs w:val="20"/>
        </w:rPr>
      </w:pPr>
      <w:r w:rsidRPr="00C573E6">
        <w:rPr>
          <w:sz w:val="20"/>
        </w:rPr>
        <w:t xml:space="preserve">Subir a cubierta a los tiburones ballena con un salabardo; </w:t>
      </w:r>
    </w:p>
    <w:p w14:paraId="278DD67A" w14:textId="77777777" w:rsidR="00844C4B" w:rsidRPr="00C573E6" w:rsidRDefault="00844C4B" w:rsidP="00411CEA">
      <w:pPr>
        <w:pStyle w:val="Default"/>
        <w:widowControl w:val="0"/>
        <w:ind w:left="709"/>
        <w:jc w:val="both"/>
        <w:rPr>
          <w:sz w:val="20"/>
          <w:szCs w:val="20"/>
        </w:rPr>
      </w:pPr>
    </w:p>
    <w:p w14:paraId="0769DA78" w14:textId="77777777" w:rsidR="00844C4B" w:rsidRPr="00C573E6" w:rsidRDefault="00844C4B" w:rsidP="00CC148E">
      <w:pPr>
        <w:pStyle w:val="Default"/>
        <w:widowControl w:val="0"/>
        <w:numPr>
          <w:ilvl w:val="0"/>
          <w:numId w:val="68"/>
        </w:numPr>
        <w:ind w:left="709" w:hanging="283"/>
        <w:jc w:val="both"/>
        <w:rPr>
          <w:sz w:val="20"/>
          <w:szCs w:val="20"/>
        </w:rPr>
      </w:pPr>
      <w:r w:rsidRPr="00C573E6">
        <w:rPr>
          <w:sz w:val="20"/>
        </w:rPr>
        <w:t xml:space="preserve">Iniciar el proceso de salabardeo mientras el tiburón ballena aún está en la red de cerco. </w:t>
      </w:r>
    </w:p>
    <w:p w14:paraId="02EEE066" w14:textId="77777777" w:rsidR="00844C4B" w:rsidRPr="00C573E6" w:rsidRDefault="00844C4B" w:rsidP="00411CEA">
      <w:pPr>
        <w:pStyle w:val="Default"/>
        <w:widowControl w:val="0"/>
        <w:ind w:left="709"/>
        <w:jc w:val="both"/>
        <w:rPr>
          <w:sz w:val="20"/>
          <w:szCs w:val="20"/>
        </w:rPr>
      </w:pPr>
    </w:p>
    <w:p w14:paraId="21236261" w14:textId="77777777" w:rsidR="00844C4B" w:rsidRPr="00C573E6" w:rsidRDefault="00844C4B" w:rsidP="00833055">
      <w:pPr>
        <w:widowControl/>
        <w:jc w:val="both"/>
        <w:rPr>
          <w:sz w:val="20"/>
          <w:szCs w:val="20"/>
        </w:rPr>
      </w:pPr>
    </w:p>
    <w:p w14:paraId="6581D4FE" w14:textId="77777777" w:rsidR="00844C4B" w:rsidRPr="00C573E6" w:rsidRDefault="00844C4B" w:rsidP="00833055">
      <w:pPr>
        <w:widowControl/>
        <w:jc w:val="both"/>
        <w:rPr>
          <w:sz w:val="20"/>
          <w:szCs w:val="20"/>
        </w:rPr>
      </w:pPr>
      <w:r w:rsidRPr="00C573E6">
        <w:br w:type="page"/>
      </w:r>
    </w:p>
    <w:p w14:paraId="44F3325F" w14:textId="77777777" w:rsidR="00844C4B" w:rsidRPr="00C573E6" w:rsidRDefault="00844C4B" w:rsidP="00411CEA">
      <w:pPr>
        <w:jc w:val="right"/>
        <w:rPr>
          <w:b/>
          <w:bCs/>
          <w:sz w:val="20"/>
          <w:szCs w:val="20"/>
        </w:rPr>
      </w:pPr>
      <w:r w:rsidRPr="00C573E6">
        <w:rPr>
          <w:b/>
          <w:sz w:val="20"/>
        </w:rPr>
        <w:lastRenderedPageBreak/>
        <w:t>Anexo 2</w:t>
      </w:r>
    </w:p>
    <w:p w14:paraId="40E02CF2" w14:textId="77777777" w:rsidR="00844C4B" w:rsidRPr="00C573E6" w:rsidRDefault="00844C4B" w:rsidP="00411CEA">
      <w:pPr>
        <w:jc w:val="center"/>
        <w:rPr>
          <w:b/>
          <w:bCs/>
          <w:sz w:val="20"/>
          <w:szCs w:val="20"/>
        </w:rPr>
      </w:pPr>
    </w:p>
    <w:p w14:paraId="73290FDC" w14:textId="77777777" w:rsidR="00844C4B" w:rsidRPr="00C573E6" w:rsidRDefault="00844C4B" w:rsidP="00411CEA">
      <w:pPr>
        <w:jc w:val="center"/>
        <w:rPr>
          <w:b/>
          <w:bCs/>
          <w:sz w:val="20"/>
          <w:szCs w:val="20"/>
        </w:rPr>
      </w:pPr>
      <w:r w:rsidRPr="00C573E6">
        <w:rPr>
          <w:b/>
          <w:sz w:val="20"/>
        </w:rPr>
        <w:t>Hoja de comprobación del cumplimiento de las medidas relacionadas con los tiburones</w:t>
      </w:r>
    </w:p>
    <w:p w14:paraId="095263DC" w14:textId="77777777" w:rsidR="00844C4B" w:rsidRPr="00C573E6" w:rsidRDefault="00844C4B" w:rsidP="00833055">
      <w:pPr>
        <w:jc w:val="both"/>
        <w:rPr>
          <w:sz w:val="20"/>
          <w:szCs w:val="20"/>
        </w:rPr>
      </w:pPr>
    </w:p>
    <w:p w14:paraId="38CDA8FE" w14:textId="77777777" w:rsidR="00844C4B" w:rsidRPr="00C573E6" w:rsidRDefault="00844C4B" w:rsidP="00833055">
      <w:pPr>
        <w:jc w:val="both"/>
        <w:rPr>
          <w:sz w:val="20"/>
          <w:szCs w:val="20"/>
        </w:rPr>
      </w:pPr>
      <w:r w:rsidRPr="00C573E6">
        <w:rPr>
          <w:sz w:val="20"/>
        </w:rPr>
        <w:t>Se redactará</w:t>
      </w:r>
    </w:p>
    <w:p w14:paraId="44D8E959" w14:textId="77777777" w:rsidR="00844C4B" w:rsidRPr="00C573E6" w:rsidRDefault="00844C4B" w:rsidP="00833055">
      <w:pPr>
        <w:jc w:val="both"/>
        <w:rPr>
          <w:sz w:val="20"/>
          <w:szCs w:val="20"/>
        </w:rPr>
      </w:pPr>
    </w:p>
    <w:p w14:paraId="507CC356" w14:textId="77777777" w:rsidR="00844C4B" w:rsidRPr="00C573E6" w:rsidRDefault="00844C4B" w:rsidP="00833055">
      <w:pPr>
        <w:jc w:val="both"/>
        <w:rPr>
          <w:sz w:val="20"/>
          <w:szCs w:val="20"/>
        </w:rPr>
      </w:pPr>
    </w:p>
    <w:p w14:paraId="5D5EA96F" w14:textId="77777777" w:rsidR="00844C4B" w:rsidRPr="00C573E6" w:rsidRDefault="00844C4B" w:rsidP="00833055">
      <w:pPr>
        <w:jc w:val="both"/>
        <w:rPr>
          <w:sz w:val="20"/>
          <w:szCs w:val="20"/>
        </w:rPr>
      </w:pPr>
    </w:p>
    <w:p w14:paraId="1396F672" w14:textId="77777777" w:rsidR="00844C4B" w:rsidRPr="00C573E6" w:rsidRDefault="00844C4B" w:rsidP="00833055">
      <w:pPr>
        <w:jc w:val="both"/>
        <w:rPr>
          <w:sz w:val="20"/>
          <w:szCs w:val="20"/>
        </w:rPr>
      </w:pPr>
    </w:p>
    <w:p w14:paraId="21793534" w14:textId="77777777" w:rsidR="00844C4B" w:rsidRPr="00C573E6" w:rsidRDefault="00844C4B" w:rsidP="00833055">
      <w:pPr>
        <w:widowControl/>
        <w:jc w:val="both"/>
        <w:rPr>
          <w:sz w:val="20"/>
          <w:szCs w:val="20"/>
        </w:rPr>
      </w:pPr>
      <w:r w:rsidRPr="00C573E6">
        <w:br w:type="page"/>
      </w:r>
    </w:p>
    <w:p w14:paraId="41FAD1CD" w14:textId="77777777" w:rsidR="00844C4B" w:rsidRPr="00C573E6" w:rsidRDefault="00844C4B" w:rsidP="00411CEA">
      <w:pPr>
        <w:jc w:val="right"/>
        <w:rPr>
          <w:b/>
          <w:bCs/>
          <w:sz w:val="20"/>
          <w:szCs w:val="20"/>
        </w:rPr>
      </w:pPr>
      <w:r w:rsidRPr="00C573E6">
        <w:rPr>
          <w:b/>
          <w:sz w:val="20"/>
        </w:rPr>
        <w:lastRenderedPageBreak/>
        <w:t>Anexo 3</w:t>
      </w:r>
    </w:p>
    <w:p w14:paraId="4E4F6B01" w14:textId="77777777" w:rsidR="00844C4B" w:rsidRPr="00C573E6" w:rsidRDefault="00844C4B" w:rsidP="00833055">
      <w:pPr>
        <w:jc w:val="both"/>
        <w:rPr>
          <w:sz w:val="20"/>
          <w:szCs w:val="20"/>
        </w:rPr>
      </w:pPr>
    </w:p>
    <w:p w14:paraId="57C8F4C8" w14:textId="77777777" w:rsidR="00844C4B" w:rsidRPr="00C573E6" w:rsidRDefault="00844C4B" w:rsidP="00411CEA">
      <w:pPr>
        <w:jc w:val="center"/>
        <w:rPr>
          <w:b/>
          <w:bCs/>
          <w:sz w:val="20"/>
          <w:szCs w:val="20"/>
        </w:rPr>
      </w:pPr>
      <w:r w:rsidRPr="00C573E6">
        <w:rPr>
          <w:b/>
          <w:sz w:val="20"/>
        </w:rPr>
        <w:t>Procedimiento para que las CPC soliciten exenciones de la presentación de la hoja de comprobación de tiburones</w:t>
      </w:r>
    </w:p>
    <w:p w14:paraId="53637A51" w14:textId="77777777" w:rsidR="00844C4B" w:rsidRPr="00C573E6" w:rsidRDefault="00844C4B" w:rsidP="00833055">
      <w:pPr>
        <w:jc w:val="both"/>
        <w:rPr>
          <w:sz w:val="20"/>
          <w:szCs w:val="20"/>
        </w:rPr>
      </w:pPr>
    </w:p>
    <w:p w14:paraId="2A585137" w14:textId="77777777" w:rsidR="00844C4B" w:rsidRPr="00C573E6" w:rsidRDefault="00844C4B" w:rsidP="00833055">
      <w:pPr>
        <w:jc w:val="both"/>
        <w:rPr>
          <w:sz w:val="20"/>
          <w:szCs w:val="20"/>
        </w:rPr>
      </w:pPr>
      <w:r w:rsidRPr="00C573E6">
        <w:rPr>
          <w:sz w:val="20"/>
        </w:rPr>
        <w:t>En caso de que una CPC solicite la exención de la presentación de la Hoja de comprobación de tiburones, se seguirá el siguiente procedimiento:</w:t>
      </w:r>
    </w:p>
    <w:p w14:paraId="7292BE6B" w14:textId="77777777" w:rsidR="00844C4B" w:rsidRPr="00C573E6" w:rsidRDefault="00844C4B" w:rsidP="00833055">
      <w:pPr>
        <w:jc w:val="both"/>
        <w:rPr>
          <w:sz w:val="20"/>
          <w:szCs w:val="20"/>
        </w:rPr>
      </w:pPr>
    </w:p>
    <w:p w14:paraId="02A00D34" w14:textId="2DB98347" w:rsidR="00844C4B" w:rsidRPr="00C573E6" w:rsidRDefault="00844C4B" w:rsidP="00CC148E">
      <w:pPr>
        <w:pStyle w:val="ListParagraph"/>
        <w:numPr>
          <w:ilvl w:val="0"/>
          <w:numId w:val="70"/>
        </w:numPr>
        <w:ind w:left="426" w:hanging="426"/>
        <w:jc w:val="both"/>
        <w:rPr>
          <w:sz w:val="20"/>
          <w:szCs w:val="20"/>
        </w:rPr>
      </w:pPr>
      <w:r w:rsidRPr="00C573E6">
        <w:rPr>
          <w:sz w:val="20"/>
        </w:rPr>
        <w:t>Presentación en el año Y de una solicitud de exención de presentación de la hoja de comprobación de tiburones en el año Y+1.</w:t>
      </w:r>
    </w:p>
    <w:p w14:paraId="512740F5" w14:textId="77777777" w:rsidR="00844C4B" w:rsidRPr="00C573E6" w:rsidRDefault="00844C4B" w:rsidP="00833055">
      <w:pPr>
        <w:jc w:val="both"/>
        <w:rPr>
          <w:sz w:val="20"/>
          <w:szCs w:val="20"/>
        </w:rPr>
      </w:pPr>
    </w:p>
    <w:p w14:paraId="69F3D244" w14:textId="51C0D49C" w:rsidR="00844C4B" w:rsidRPr="00C573E6" w:rsidRDefault="00844C4B" w:rsidP="00CC148E">
      <w:pPr>
        <w:pStyle w:val="ListParagraph"/>
        <w:numPr>
          <w:ilvl w:val="0"/>
          <w:numId w:val="71"/>
        </w:numPr>
        <w:tabs>
          <w:tab w:val="left" w:pos="142"/>
        </w:tabs>
        <w:jc w:val="both"/>
        <w:rPr>
          <w:sz w:val="20"/>
          <w:szCs w:val="20"/>
        </w:rPr>
      </w:pPr>
      <w:r w:rsidRPr="00C573E6">
        <w:rPr>
          <w:sz w:val="20"/>
        </w:rPr>
        <w:t>La solicitud inicial en el año Y debe presentarse a la Secretaría para su revisión por parte del SCRS en el mismo plazo establecido para la presentación de la hoja de comprobación de tiburones.</w:t>
      </w:r>
    </w:p>
    <w:p w14:paraId="49D674B0" w14:textId="77777777" w:rsidR="00844C4B" w:rsidRPr="00C573E6" w:rsidRDefault="00844C4B" w:rsidP="00833055">
      <w:pPr>
        <w:ind w:leftChars="100" w:left="374" w:hangingChars="77" w:hanging="154"/>
        <w:jc w:val="both"/>
        <w:rPr>
          <w:sz w:val="20"/>
          <w:szCs w:val="20"/>
        </w:rPr>
      </w:pPr>
    </w:p>
    <w:p w14:paraId="434752B0" w14:textId="47308718" w:rsidR="00844C4B" w:rsidRPr="00C573E6" w:rsidRDefault="00844C4B" w:rsidP="00CC148E">
      <w:pPr>
        <w:pStyle w:val="ListParagraph"/>
        <w:numPr>
          <w:ilvl w:val="0"/>
          <w:numId w:val="71"/>
        </w:numPr>
        <w:tabs>
          <w:tab w:val="left" w:pos="142"/>
        </w:tabs>
        <w:jc w:val="both"/>
        <w:rPr>
          <w:sz w:val="20"/>
          <w:szCs w:val="20"/>
        </w:rPr>
      </w:pPr>
      <w:r w:rsidRPr="00C573E6">
        <w:rPr>
          <w:sz w:val="20"/>
        </w:rPr>
        <w:t xml:space="preserve">La solicitud debe ir acompañada de un documento escrito en el que se explique claramente el fundamento de la exención, junto con los datos justificativos necesarios, tal y como se establece en el párrafo 2. </w:t>
      </w:r>
    </w:p>
    <w:p w14:paraId="223C001B" w14:textId="77777777" w:rsidR="00844C4B" w:rsidRPr="00C573E6" w:rsidRDefault="00844C4B" w:rsidP="00411CEA">
      <w:pPr>
        <w:pStyle w:val="ListParagraph"/>
        <w:tabs>
          <w:tab w:val="left" w:pos="142"/>
        </w:tabs>
        <w:ind w:left="736" w:firstLine="0"/>
        <w:jc w:val="both"/>
        <w:rPr>
          <w:sz w:val="20"/>
          <w:szCs w:val="20"/>
        </w:rPr>
      </w:pPr>
    </w:p>
    <w:p w14:paraId="72DCE14D" w14:textId="242D4C6F" w:rsidR="00844C4B" w:rsidRPr="00C573E6" w:rsidRDefault="00844C4B" w:rsidP="00CC148E">
      <w:pPr>
        <w:pStyle w:val="ListParagraph"/>
        <w:numPr>
          <w:ilvl w:val="0"/>
          <w:numId w:val="71"/>
        </w:numPr>
        <w:tabs>
          <w:tab w:val="left" w:pos="142"/>
        </w:tabs>
        <w:jc w:val="both"/>
        <w:rPr>
          <w:sz w:val="20"/>
          <w:szCs w:val="20"/>
        </w:rPr>
      </w:pPr>
      <w:r w:rsidRPr="00C573E6">
        <w:rPr>
          <w:sz w:val="20"/>
        </w:rPr>
        <w:t>La exención puede solicitarse para toda la hoja de comprobación de tiburones o sólo para las recomendaciones con implicaciones norte/sur específicas.</w:t>
      </w:r>
    </w:p>
    <w:p w14:paraId="1EBC2A7B" w14:textId="77777777" w:rsidR="00844C4B" w:rsidRPr="00C573E6" w:rsidRDefault="00844C4B" w:rsidP="00411CEA">
      <w:pPr>
        <w:pStyle w:val="ListParagraph"/>
        <w:tabs>
          <w:tab w:val="left" w:pos="142"/>
        </w:tabs>
        <w:ind w:left="736" w:firstLine="0"/>
        <w:jc w:val="both"/>
        <w:rPr>
          <w:sz w:val="20"/>
          <w:szCs w:val="20"/>
        </w:rPr>
      </w:pPr>
    </w:p>
    <w:p w14:paraId="33B66C8D" w14:textId="345A5F46" w:rsidR="00844C4B" w:rsidRPr="00C573E6" w:rsidRDefault="00844C4B" w:rsidP="00CC148E">
      <w:pPr>
        <w:pStyle w:val="ListParagraph"/>
        <w:numPr>
          <w:ilvl w:val="0"/>
          <w:numId w:val="71"/>
        </w:numPr>
        <w:tabs>
          <w:tab w:val="left" w:pos="142"/>
        </w:tabs>
        <w:jc w:val="both"/>
        <w:rPr>
          <w:sz w:val="20"/>
          <w:szCs w:val="20"/>
        </w:rPr>
      </w:pPr>
      <w:r w:rsidRPr="00C573E6">
        <w:rPr>
          <w:sz w:val="20"/>
        </w:rPr>
        <w:t>La presentación de la solicitud inicial no exime de la presentación de la hoja de comprobación de tiburones del año Y-1.</w:t>
      </w:r>
    </w:p>
    <w:p w14:paraId="786F3C14" w14:textId="77777777" w:rsidR="00844C4B" w:rsidRPr="00C573E6" w:rsidRDefault="00844C4B" w:rsidP="00833055">
      <w:pPr>
        <w:jc w:val="both"/>
        <w:rPr>
          <w:sz w:val="20"/>
          <w:szCs w:val="20"/>
        </w:rPr>
      </w:pPr>
    </w:p>
    <w:p w14:paraId="5E60C9D1" w14:textId="157B6C9C" w:rsidR="00844C4B" w:rsidRPr="00C573E6" w:rsidRDefault="00844C4B" w:rsidP="00CC148E">
      <w:pPr>
        <w:pStyle w:val="ListParagraph"/>
        <w:numPr>
          <w:ilvl w:val="0"/>
          <w:numId w:val="70"/>
        </w:numPr>
        <w:tabs>
          <w:tab w:val="left" w:pos="426"/>
        </w:tabs>
        <w:ind w:left="426" w:hanging="426"/>
        <w:jc w:val="both"/>
        <w:rPr>
          <w:sz w:val="20"/>
          <w:szCs w:val="20"/>
        </w:rPr>
      </w:pPr>
      <w:r w:rsidRPr="00C573E6">
        <w:rPr>
          <w:sz w:val="20"/>
        </w:rPr>
        <w:t>Evaluación de la solicitud por el SCRS.</w:t>
      </w:r>
    </w:p>
    <w:p w14:paraId="4105C5A0" w14:textId="77777777" w:rsidR="00411CEA" w:rsidRPr="00C573E6" w:rsidRDefault="00411CEA" w:rsidP="00411CEA">
      <w:pPr>
        <w:pStyle w:val="ListParagraph"/>
        <w:tabs>
          <w:tab w:val="left" w:pos="426"/>
        </w:tabs>
        <w:ind w:left="720" w:firstLine="0"/>
        <w:jc w:val="both"/>
        <w:rPr>
          <w:sz w:val="20"/>
          <w:szCs w:val="20"/>
        </w:rPr>
      </w:pPr>
    </w:p>
    <w:p w14:paraId="422B4F30" w14:textId="7DDB9D4C" w:rsidR="00844C4B" w:rsidRPr="00C573E6" w:rsidRDefault="00844C4B" w:rsidP="00CC148E">
      <w:pPr>
        <w:pStyle w:val="ListParagraph"/>
        <w:numPr>
          <w:ilvl w:val="0"/>
          <w:numId w:val="72"/>
        </w:numPr>
        <w:jc w:val="both"/>
        <w:rPr>
          <w:sz w:val="20"/>
          <w:szCs w:val="20"/>
        </w:rPr>
      </w:pPr>
      <w:r w:rsidRPr="00C573E6">
        <w:rPr>
          <w:sz w:val="20"/>
        </w:rPr>
        <w:t>Un representante de la CPC que solicita la exención deberá presentar el documento a la reunión del Grupo de especies de tiburones de septiembre en el mismo año de presentación.</w:t>
      </w:r>
    </w:p>
    <w:p w14:paraId="1289AC5F" w14:textId="77777777" w:rsidR="00844C4B" w:rsidRPr="00C573E6" w:rsidRDefault="00844C4B" w:rsidP="00833055">
      <w:pPr>
        <w:ind w:leftChars="100" w:left="374" w:hangingChars="77" w:hanging="154"/>
        <w:jc w:val="both"/>
        <w:rPr>
          <w:sz w:val="20"/>
          <w:szCs w:val="20"/>
        </w:rPr>
      </w:pPr>
    </w:p>
    <w:p w14:paraId="46A67A60" w14:textId="09E18996" w:rsidR="00844C4B" w:rsidRPr="00C573E6" w:rsidRDefault="00844C4B" w:rsidP="00CC148E">
      <w:pPr>
        <w:pStyle w:val="ListParagraph"/>
        <w:numPr>
          <w:ilvl w:val="0"/>
          <w:numId w:val="72"/>
        </w:numPr>
        <w:jc w:val="both"/>
        <w:rPr>
          <w:sz w:val="20"/>
          <w:szCs w:val="20"/>
        </w:rPr>
      </w:pPr>
      <w:r w:rsidRPr="00C573E6">
        <w:rPr>
          <w:sz w:val="20"/>
        </w:rPr>
        <w:t>El Grupo de especies de tiburones revisará el documento para evaluar la idoneidad de la solicitud de exención, de acuerdo con las siguientes directrices:</w:t>
      </w:r>
    </w:p>
    <w:p w14:paraId="7BB181C0" w14:textId="77777777" w:rsidR="00844C4B" w:rsidRPr="00C573E6" w:rsidRDefault="00844C4B" w:rsidP="00833055">
      <w:pPr>
        <w:jc w:val="both"/>
        <w:rPr>
          <w:sz w:val="20"/>
          <w:szCs w:val="20"/>
        </w:rPr>
      </w:pPr>
    </w:p>
    <w:p w14:paraId="63CB8A86" w14:textId="7E50422D" w:rsidR="00844C4B" w:rsidRPr="00C573E6" w:rsidRDefault="00844C4B" w:rsidP="00CC148E">
      <w:pPr>
        <w:pStyle w:val="ListParagraph"/>
        <w:numPr>
          <w:ilvl w:val="0"/>
          <w:numId w:val="73"/>
        </w:numPr>
        <w:jc w:val="both"/>
        <w:rPr>
          <w:sz w:val="20"/>
          <w:szCs w:val="20"/>
        </w:rPr>
      </w:pPr>
      <w:r w:rsidRPr="00C573E6">
        <w:rPr>
          <w:sz w:val="20"/>
        </w:rPr>
        <w:t>Para las CPC que no tengan flotas activas dirigidas a los túnidos y especies afines en la zona de competencia de ICCAT:</w:t>
      </w:r>
    </w:p>
    <w:p w14:paraId="128E268D" w14:textId="77777777" w:rsidR="00844C4B" w:rsidRPr="00C573E6" w:rsidRDefault="00844C4B" w:rsidP="00833055">
      <w:pPr>
        <w:jc w:val="both"/>
        <w:rPr>
          <w:sz w:val="20"/>
          <w:szCs w:val="20"/>
        </w:rPr>
      </w:pPr>
    </w:p>
    <w:p w14:paraId="7269A9F7" w14:textId="2D875B0E" w:rsidR="00844C4B" w:rsidRPr="00C573E6" w:rsidRDefault="00844C4B" w:rsidP="00CC148E">
      <w:pPr>
        <w:pStyle w:val="ListParagraph"/>
        <w:numPr>
          <w:ilvl w:val="0"/>
          <w:numId w:val="74"/>
        </w:numPr>
        <w:ind w:left="1134" w:hanging="245"/>
        <w:jc w:val="both"/>
        <w:rPr>
          <w:sz w:val="20"/>
          <w:szCs w:val="20"/>
        </w:rPr>
      </w:pPr>
      <w:r w:rsidRPr="00C573E6">
        <w:rPr>
          <w:sz w:val="20"/>
        </w:rPr>
        <w:t>Declaración y prueba de que la CPC que no tiene flotas activas dirigidas a los túnidos y especies afines en la zona de competencia de ICCAT</w:t>
      </w:r>
    </w:p>
    <w:p w14:paraId="5AAA5227" w14:textId="77777777" w:rsidR="00844C4B" w:rsidRPr="00C573E6" w:rsidRDefault="00844C4B" w:rsidP="00833055">
      <w:pPr>
        <w:jc w:val="both"/>
        <w:rPr>
          <w:sz w:val="20"/>
          <w:szCs w:val="20"/>
        </w:rPr>
      </w:pPr>
    </w:p>
    <w:p w14:paraId="531E91E3" w14:textId="5B38778C" w:rsidR="00844C4B" w:rsidRPr="00C573E6" w:rsidRDefault="00844C4B" w:rsidP="00CC148E">
      <w:pPr>
        <w:pStyle w:val="ListParagraph"/>
        <w:numPr>
          <w:ilvl w:val="0"/>
          <w:numId w:val="73"/>
        </w:numPr>
        <w:jc w:val="both"/>
        <w:rPr>
          <w:sz w:val="20"/>
          <w:szCs w:val="20"/>
        </w:rPr>
      </w:pPr>
      <w:r w:rsidRPr="00C573E6">
        <w:rPr>
          <w:sz w:val="20"/>
        </w:rPr>
        <w:t>Para las CPC que tengan flotas activas dirigidas a los túnidos y especies afines en la zona de competencia de ICCAT:</w:t>
      </w:r>
    </w:p>
    <w:p w14:paraId="56CF84A2" w14:textId="77777777" w:rsidR="00844C4B" w:rsidRPr="00C573E6" w:rsidRDefault="00844C4B" w:rsidP="00833055">
      <w:pPr>
        <w:jc w:val="both"/>
        <w:rPr>
          <w:sz w:val="20"/>
          <w:szCs w:val="20"/>
        </w:rPr>
      </w:pPr>
    </w:p>
    <w:p w14:paraId="72202C84" w14:textId="7B48D7AF" w:rsidR="00844C4B" w:rsidRPr="00C573E6" w:rsidRDefault="00844C4B" w:rsidP="00CC148E">
      <w:pPr>
        <w:pStyle w:val="ListParagraph"/>
        <w:numPr>
          <w:ilvl w:val="0"/>
          <w:numId w:val="75"/>
        </w:numPr>
        <w:tabs>
          <w:tab w:val="left" w:pos="1134"/>
        </w:tabs>
        <w:ind w:left="1134" w:hanging="326"/>
        <w:jc w:val="both"/>
        <w:rPr>
          <w:sz w:val="20"/>
          <w:szCs w:val="20"/>
        </w:rPr>
      </w:pPr>
      <w:r w:rsidRPr="00C573E6">
        <w:rPr>
          <w:sz w:val="20"/>
        </w:rPr>
        <w:t>La existencia de una lista de especies de tiburones de ICCAT registradas en la zona en la que la CPC realiza las actividades pesqueras para las que se solicita la exención.</w:t>
      </w:r>
    </w:p>
    <w:p w14:paraId="5758B2D9" w14:textId="77777777" w:rsidR="00844C4B" w:rsidRPr="00C573E6" w:rsidRDefault="00844C4B" w:rsidP="00833055">
      <w:pPr>
        <w:jc w:val="both"/>
        <w:rPr>
          <w:sz w:val="20"/>
          <w:szCs w:val="20"/>
        </w:rPr>
      </w:pPr>
    </w:p>
    <w:p w14:paraId="00D20215" w14:textId="4159C12F" w:rsidR="00844C4B" w:rsidRPr="00C573E6" w:rsidRDefault="00844C4B" w:rsidP="00CC148E">
      <w:pPr>
        <w:pStyle w:val="ListParagraph"/>
        <w:numPr>
          <w:ilvl w:val="0"/>
          <w:numId w:val="75"/>
        </w:numPr>
        <w:tabs>
          <w:tab w:val="left" w:pos="1134"/>
        </w:tabs>
        <w:ind w:left="1134" w:hanging="326"/>
        <w:jc w:val="both"/>
        <w:rPr>
          <w:sz w:val="20"/>
          <w:szCs w:val="20"/>
        </w:rPr>
      </w:pPr>
      <w:r w:rsidRPr="00C573E6">
        <w:rPr>
          <w:sz w:val="20"/>
        </w:rPr>
        <w:t>La existencia de pruebas científicas (por ejemplo, informe basado en datos del programa de observadores a bordo) que demuestren claramente la ausencia de interacciones entre las especies de tiburones incluidas en la lista de ICCAT y los artes de pesca utilizados por la CPC que solicita la exención:</w:t>
      </w:r>
    </w:p>
    <w:p w14:paraId="13A68B8A" w14:textId="77777777" w:rsidR="00844C4B" w:rsidRPr="00C573E6" w:rsidRDefault="00844C4B" w:rsidP="00833055">
      <w:pPr>
        <w:jc w:val="both"/>
        <w:rPr>
          <w:sz w:val="20"/>
          <w:szCs w:val="20"/>
        </w:rPr>
      </w:pPr>
    </w:p>
    <w:p w14:paraId="7743F18A" w14:textId="6D34F9B1" w:rsidR="00844C4B" w:rsidRPr="00C573E6" w:rsidRDefault="00844C4B" w:rsidP="00567D1D">
      <w:pPr>
        <w:pStyle w:val="ListParagraph"/>
        <w:numPr>
          <w:ilvl w:val="0"/>
          <w:numId w:val="76"/>
        </w:numPr>
        <w:ind w:left="1560"/>
        <w:jc w:val="both"/>
        <w:rPr>
          <w:sz w:val="20"/>
          <w:szCs w:val="20"/>
        </w:rPr>
      </w:pPr>
      <w:r w:rsidRPr="00C573E6">
        <w:rPr>
          <w:sz w:val="20"/>
        </w:rPr>
        <w:t>El informe debería abarcar todas las temporadas e incluir varias mareas, para garantizar que puedan detectarse los casos de capturas fortuitas poco frecuentes.</w:t>
      </w:r>
    </w:p>
    <w:p w14:paraId="0496409F" w14:textId="77777777" w:rsidR="00844C4B" w:rsidRPr="00C573E6" w:rsidRDefault="00844C4B" w:rsidP="00567D1D">
      <w:pPr>
        <w:ind w:left="1560"/>
        <w:jc w:val="both"/>
        <w:rPr>
          <w:sz w:val="20"/>
          <w:szCs w:val="20"/>
        </w:rPr>
      </w:pPr>
    </w:p>
    <w:p w14:paraId="1339CAD6" w14:textId="2E38AD35" w:rsidR="00844C4B" w:rsidRPr="00C573E6" w:rsidRDefault="00844C4B" w:rsidP="00567D1D">
      <w:pPr>
        <w:pStyle w:val="ListParagraph"/>
        <w:numPr>
          <w:ilvl w:val="0"/>
          <w:numId w:val="76"/>
        </w:numPr>
        <w:ind w:left="1560"/>
        <w:jc w:val="both"/>
        <w:rPr>
          <w:sz w:val="20"/>
          <w:szCs w:val="20"/>
        </w:rPr>
      </w:pPr>
      <w:r w:rsidRPr="00C573E6">
        <w:rPr>
          <w:sz w:val="20"/>
        </w:rPr>
        <w:t>El informe debería proporcionar datos con un alto grado de cobertura espacial del esfuerzo pesquero por tipo de arte.</w:t>
      </w:r>
    </w:p>
    <w:p w14:paraId="2B273AA0" w14:textId="77777777" w:rsidR="00844C4B" w:rsidRPr="00C573E6" w:rsidRDefault="00844C4B" w:rsidP="00833055">
      <w:pPr>
        <w:jc w:val="both"/>
        <w:rPr>
          <w:sz w:val="20"/>
          <w:szCs w:val="20"/>
        </w:rPr>
      </w:pPr>
    </w:p>
    <w:p w14:paraId="1B00DF86" w14:textId="6EC2EF12" w:rsidR="00844C4B" w:rsidRPr="00C573E6" w:rsidRDefault="00844C4B" w:rsidP="00CC148E">
      <w:pPr>
        <w:pStyle w:val="ListParagraph"/>
        <w:numPr>
          <w:ilvl w:val="0"/>
          <w:numId w:val="73"/>
        </w:numPr>
        <w:jc w:val="both"/>
        <w:rPr>
          <w:sz w:val="20"/>
          <w:szCs w:val="20"/>
        </w:rPr>
      </w:pPr>
      <w:r w:rsidRPr="00C573E6">
        <w:rPr>
          <w:sz w:val="20"/>
        </w:rPr>
        <w:t>Si el SCRS no aprueba la solicitud, la CPC tendrá que seguir presentando la hoja de comprobación de tiburones el año siguiente. La CPC podrá volver a presentar una solicitud de exención en los años siguientes.</w:t>
      </w:r>
    </w:p>
    <w:p w14:paraId="0B8BD187" w14:textId="77777777" w:rsidR="00844C4B" w:rsidRPr="00C573E6" w:rsidRDefault="00844C4B" w:rsidP="00833055">
      <w:pPr>
        <w:ind w:left="118" w:hangingChars="59" w:hanging="118"/>
        <w:jc w:val="both"/>
        <w:rPr>
          <w:sz w:val="20"/>
          <w:szCs w:val="20"/>
        </w:rPr>
      </w:pPr>
    </w:p>
    <w:p w14:paraId="73EB5F27" w14:textId="77777777" w:rsidR="00411CEA" w:rsidRPr="00C573E6" w:rsidRDefault="00411CEA" w:rsidP="00833055">
      <w:pPr>
        <w:ind w:left="118" w:hangingChars="59" w:hanging="118"/>
        <w:jc w:val="both"/>
        <w:rPr>
          <w:sz w:val="20"/>
          <w:szCs w:val="20"/>
        </w:rPr>
      </w:pPr>
    </w:p>
    <w:p w14:paraId="65CC0A81" w14:textId="77777777" w:rsidR="00411CEA" w:rsidRPr="00C573E6" w:rsidRDefault="00411CEA" w:rsidP="00833055">
      <w:pPr>
        <w:ind w:left="118" w:hangingChars="59" w:hanging="118"/>
        <w:jc w:val="both"/>
        <w:rPr>
          <w:sz w:val="20"/>
          <w:szCs w:val="20"/>
        </w:rPr>
      </w:pPr>
    </w:p>
    <w:p w14:paraId="438FF792" w14:textId="77777777" w:rsidR="00411CEA" w:rsidRPr="00C573E6" w:rsidRDefault="00411CEA" w:rsidP="00833055">
      <w:pPr>
        <w:ind w:left="118" w:hangingChars="59" w:hanging="118"/>
        <w:jc w:val="both"/>
        <w:rPr>
          <w:sz w:val="20"/>
          <w:szCs w:val="20"/>
        </w:rPr>
      </w:pPr>
    </w:p>
    <w:p w14:paraId="0DF1E437" w14:textId="0A2C800D" w:rsidR="00844C4B" w:rsidRPr="00C573E6" w:rsidRDefault="00844C4B" w:rsidP="00CC148E">
      <w:pPr>
        <w:pStyle w:val="ListParagraph"/>
        <w:numPr>
          <w:ilvl w:val="0"/>
          <w:numId w:val="73"/>
        </w:numPr>
        <w:jc w:val="both"/>
        <w:rPr>
          <w:sz w:val="20"/>
          <w:szCs w:val="20"/>
        </w:rPr>
      </w:pPr>
      <w:r w:rsidRPr="00C573E6">
        <w:rPr>
          <w:sz w:val="20"/>
        </w:rPr>
        <w:t xml:space="preserve">Cada año, durante un periodo de cinco años, la CPC exenta de cumplimentar la ficha de comprobación de tiburones tendrá que confirmar anualmente en su Informe anual que no se han producido cambios en sus pesquerías que puedan alterar la conclusión de que reúne los requisitos para una exención.  Para renovar la exención para el siguiente periodo de cinco años debería presentarse una nueva solicitud de exención en el año Y+ 5 conforme a los requisitos del punto 2.b.  </w:t>
      </w:r>
    </w:p>
    <w:p w14:paraId="13CCBFFD" w14:textId="77777777" w:rsidR="00844C4B" w:rsidRPr="00C573E6" w:rsidRDefault="00844C4B" w:rsidP="00833055">
      <w:pPr>
        <w:ind w:left="118" w:hangingChars="59" w:hanging="118"/>
        <w:jc w:val="both"/>
        <w:rPr>
          <w:sz w:val="20"/>
          <w:szCs w:val="20"/>
        </w:rPr>
      </w:pPr>
    </w:p>
    <w:p w14:paraId="30EE149E" w14:textId="254792DC" w:rsidR="00844C4B" w:rsidRPr="00C573E6" w:rsidRDefault="00844C4B" w:rsidP="00CC148E">
      <w:pPr>
        <w:pStyle w:val="ListParagraph"/>
        <w:numPr>
          <w:ilvl w:val="0"/>
          <w:numId w:val="73"/>
        </w:numPr>
        <w:jc w:val="both"/>
        <w:rPr>
          <w:sz w:val="20"/>
          <w:szCs w:val="20"/>
        </w:rPr>
      </w:pPr>
      <w:r w:rsidRPr="00C573E6">
        <w:rPr>
          <w:sz w:val="20"/>
        </w:rPr>
        <w:t>En ausencia de pruebas científicas tal y como se definen en el punto 2.b o si el SCRS determina que estas pruebas "aparentes" ya no justifican una exención, el SCRS rescindiría el estatus de exención.</w:t>
      </w:r>
    </w:p>
    <w:p w14:paraId="46996642" w14:textId="3899C4B8" w:rsidR="00082853" w:rsidRPr="00833055" w:rsidRDefault="00082853" w:rsidP="00833055">
      <w:pPr>
        <w:tabs>
          <w:tab w:val="left" w:pos="284"/>
        </w:tabs>
        <w:jc w:val="both"/>
        <w:rPr>
          <w:sz w:val="20"/>
          <w:szCs w:val="20"/>
        </w:rPr>
      </w:pPr>
    </w:p>
    <w:sectPr w:rsidR="00082853" w:rsidRPr="00833055" w:rsidSect="00592E25">
      <w:headerReference w:type="default" r:id="rId12"/>
      <w:footerReference w:type="default" r:id="rId13"/>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636E" w14:textId="77777777" w:rsidR="008309F8" w:rsidRPr="009D7C60" w:rsidRDefault="008309F8">
      <w:r w:rsidRPr="009D7C60">
        <w:separator/>
      </w:r>
    </w:p>
  </w:endnote>
  <w:endnote w:type="continuationSeparator" w:id="0">
    <w:p w14:paraId="0E1A5C1E" w14:textId="77777777" w:rsidR="008309F8" w:rsidRPr="009D7C60" w:rsidRDefault="008309F8">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rPr>
      <w:fldChar w:fldCharType="begin"/>
    </w:r>
    <w:r w:rsidRPr="001F2E99">
      <w:rPr>
        <w:rFonts w:eastAsia="Calibri" w:cs="Calibri"/>
        <w:sz w:val="20"/>
      </w:rPr>
      <w:instrText xml:space="preserve"> PAGE </w:instrText>
    </w:r>
    <w:r w:rsidRPr="001F2E99">
      <w:rPr>
        <w:rFonts w:eastAsia="Calibri" w:cs="Calibri"/>
        <w:sz w:val="20"/>
      </w:rPr>
      <w:fldChar w:fldCharType="separate"/>
    </w:r>
    <w:r w:rsidRPr="001F2E99">
      <w:rPr>
        <w:rFonts w:eastAsia="Calibri" w:cs="Calibri"/>
        <w:sz w:val="20"/>
      </w:rPr>
      <w:t>1</w:t>
    </w:r>
    <w:r w:rsidRPr="001F2E99">
      <w:rPr>
        <w:rFonts w:eastAsia="Calibri" w:cs="Calibri"/>
        <w:sz w:val="20"/>
      </w:rPr>
      <w:fldChar w:fldCharType="end"/>
    </w:r>
    <w:r>
      <w:rPr>
        <w:sz w:val="20"/>
      </w:rPr>
      <w:t xml:space="preserve"> / </w:t>
    </w:r>
    <w:r w:rsidRPr="001F2E99">
      <w:rPr>
        <w:rFonts w:eastAsia="Calibri" w:cs="Calibri"/>
        <w:sz w:val="20"/>
      </w:rPr>
      <w:fldChar w:fldCharType="begin"/>
    </w:r>
    <w:r w:rsidRPr="001F2E99">
      <w:rPr>
        <w:rFonts w:eastAsia="Calibri" w:cs="Calibri"/>
        <w:sz w:val="20"/>
      </w:rPr>
      <w:instrText xml:space="preserve"> NUMPAGES  </w:instrText>
    </w:r>
    <w:r w:rsidRPr="001F2E99">
      <w:rPr>
        <w:rFonts w:eastAsia="Calibri" w:cs="Calibri"/>
        <w:sz w:val="20"/>
      </w:rPr>
      <w:fldChar w:fldCharType="separate"/>
    </w:r>
    <w:r w:rsidRPr="001F2E99">
      <w:rPr>
        <w:rFonts w:eastAsia="Calibri" w:cs="Calibri"/>
        <w:sz w:val="20"/>
      </w:rPr>
      <w:t>4</w:t>
    </w:r>
    <w:r w:rsidRPr="001F2E99">
      <w:rPr>
        <w:rFonts w:eastAsia="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6497" w14:textId="77777777" w:rsidR="008309F8" w:rsidRPr="009D7C60" w:rsidRDefault="008309F8">
      <w:r>
        <w:separator/>
      </w:r>
    </w:p>
  </w:footnote>
  <w:footnote w:type="continuationSeparator" w:id="0">
    <w:p w14:paraId="75D67FBB" w14:textId="77777777" w:rsidR="008309F8" w:rsidRPr="009D7C60" w:rsidRDefault="008309F8">
      <w:r w:rsidRPr="009D7C60">
        <w:continuationSeparator/>
      </w:r>
    </w:p>
  </w:footnote>
  <w:footnote w:type="continuationNotice" w:id="1">
    <w:p w14:paraId="2FD68ED0" w14:textId="77777777" w:rsidR="008309F8" w:rsidRPr="009D7C60" w:rsidRDefault="00830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26DE93C4" w:rsidR="005A6763" w:rsidRPr="00793F38" w:rsidRDefault="005A6763" w:rsidP="005A6763">
    <w:pPr>
      <w:tabs>
        <w:tab w:val="center" w:pos="4680"/>
        <w:tab w:val="left" w:pos="6520"/>
        <w:tab w:val="right" w:pos="9360"/>
        <w:tab w:val="right" w:pos="14240"/>
      </w:tabs>
      <w:jc w:val="right"/>
      <w:rPr>
        <w:rFonts w:eastAsia="Calibr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b/>
        <w:sz w:val="20"/>
      </w:rPr>
      <w:t>PA4_804/2025</w:t>
    </w:r>
  </w:p>
  <w:p w14:paraId="5A9DE81A" w14:textId="30ED30DA" w:rsidR="005A6763" w:rsidRDefault="005A6763" w:rsidP="00645452">
    <w:pPr>
      <w:tabs>
        <w:tab w:val="left" w:pos="7320"/>
      </w:tabs>
      <w:spacing w:line="240" w:lineRule="exact"/>
      <w:jc w:val="right"/>
    </w:pPr>
    <w:r w:rsidRPr="00793F38">
      <w:rPr>
        <w:b/>
        <w:sz w:val="16"/>
      </w:rPr>
      <w:fldChar w:fldCharType="begin"/>
    </w:r>
    <w:r w:rsidRPr="00793F38">
      <w:rPr>
        <w:b/>
        <w:sz w:val="16"/>
      </w:rPr>
      <w:instrText xml:space="preserve"> TIME \@ "dd/MM/yyyy H:mm" </w:instrText>
    </w:r>
    <w:r w:rsidRPr="00793F38">
      <w:rPr>
        <w:b/>
        <w:sz w:val="16"/>
      </w:rPr>
      <w:fldChar w:fldCharType="separate"/>
    </w:r>
    <w:r w:rsidR="00B03138">
      <w:rPr>
        <w:b/>
        <w:noProof/>
        <w:sz w:val="16"/>
      </w:rPr>
      <w:t>20/10/2025 12:03</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AE22B6D"/>
    <w:multiLevelType w:val="hybridMultilevel"/>
    <w:tmpl w:val="439ADC72"/>
    <w:lvl w:ilvl="0" w:tplc="D764AC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C56BF0"/>
    <w:multiLevelType w:val="hybridMultilevel"/>
    <w:tmpl w:val="0F9AE756"/>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2902799"/>
    <w:multiLevelType w:val="hybridMultilevel"/>
    <w:tmpl w:val="C734A86E"/>
    <w:lvl w:ilvl="0" w:tplc="37CAB9A0">
      <w:start w:val="1"/>
      <w:numFmt w:val="lowerRoman"/>
      <w:lvlText w:val="%1."/>
      <w:lvlJc w:val="left"/>
      <w:pPr>
        <w:ind w:left="1609" w:hanging="720"/>
      </w:pPr>
      <w:rPr>
        <w:rFonts w:hint="default"/>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17"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8"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FC83A88"/>
    <w:multiLevelType w:val="hybridMultilevel"/>
    <w:tmpl w:val="A4AAA006"/>
    <w:lvl w:ilvl="0" w:tplc="04090011">
      <w:start w:val="1"/>
      <w:numFmt w:val="decimal"/>
      <w:lvlText w:val="%1)"/>
      <w:lvlJc w:val="left"/>
      <w:pPr>
        <w:ind w:left="372" w:hanging="3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18859BE"/>
    <w:multiLevelType w:val="hybridMultilevel"/>
    <w:tmpl w:val="D7B6F1C8"/>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5"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8"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2"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CB1E618"/>
    <w:multiLevelType w:val="hybridMultilevel"/>
    <w:tmpl w:val="6B669EBE"/>
    <w:lvl w:ilvl="0" w:tplc="874CEDF6">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53E1D5B"/>
    <w:multiLevelType w:val="hybridMultilevel"/>
    <w:tmpl w:val="619AAF88"/>
    <w:lvl w:ilvl="0" w:tplc="7CC4F3A4">
      <w:start w:val="1"/>
      <w:numFmt w:val="bullet"/>
      <w:lvlText w:val="-"/>
      <w:lvlJc w:val="left"/>
      <w:pPr>
        <w:ind w:left="360" w:hanging="360"/>
      </w:pPr>
      <w:rPr>
        <w:rFonts w:ascii="Cambria" w:eastAsia="MS Gothic" w:hAnsi="Cambria" w:cs="Cambria"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B926778"/>
    <w:multiLevelType w:val="hybridMultilevel"/>
    <w:tmpl w:val="BB203E68"/>
    <w:lvl w:ilvl="0" w:tplc="F4ECC434">
      <w:start w:val="1"/>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5" w15:restartNumberingAfterBreak="0">
    <w:nsid w:val="4DBB51A4"/>
    <w:multiLevelType w:val="hybridMultilevel"/>
    <w:tmpl w:val="AA2E508A"/>
    <w:lvl w:ilvl="0" w:tplc="67ACB4D4">
      <w:start w:val="1"/>
      <w:numFmt w:val="lowerRoman"/>
      <w:lvlText w:val="%1."/>
      <w:lvlJc w:val="left"/>
      <w:pPr>
        <w:ind w:left="1528" w:hanging="720"/>
      </w:pPr>
      <w:rPr>
        <w:rFonts w:hint="default"/>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46"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51EB58E2"/>
    <w:multiLevelType w:val="hybridMultilevel"/>
    <w:tmpl w:val="CFAEE4B8"/>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0" w15:restartNumberingAfterBreak="0">
    <w:nsid w:val="58974F5A"/>
    <w:multiLevelType w:val="hybridMultilevel"/>
    <w:tmpl w:val="6194F6EE"/>
    <w:lvl w:ilvl="0" w:tplc="7AA824B4">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1" w15:restartNumberingAfterBreak="0">
    <w:nsid w:val="5A331B46"/>
    <w:multiLevelType w:val="hybridMultilevel"/>
    <w:tmpl w:val="0A363ADE"/>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2"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5"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1"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F403DE0"/>
    <w:multiLevelType w:val="hybridMultilevel"/>
    <w:tmpl w:val="598CA626"/>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6" w15:restartNumberingAfterBreak="0">
    <w:nsid w:val="71274355"/>
    <w:multiLevelType w:val="hybridMultilevel"/>
    <w:tmpl w:val="93F488A0"/>
    <w:lvl w:ilvl="0" w:tplc="EB607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6074658"/>
    <w:multiLevelType w:val="hybridMultilevel"/>
    <w:tmpl w:val="B0AE96D4"/>
    <w:lvl w:ilvl="0" w:tplc="6E588194">
      <w:start w:val="1"/>
      <w:numFmt w:val="lowerLetter"/>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69"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2"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C784CA3"/>
    <w:multiLevelType w:val="hybridMultilevel"/>
    <w:tmpl w:val="A0902246"/>
    <w:lvl w:ilvl="0" w:tplc="6FE079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D7C59D8"/>
    <w:multiLevelType w:val="hybridMultilevel"/>
    <w:tmpl w:val="78503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5880084">
    <w:abstractNumId w:val="26"/>
  </w:num>
  <w:num w:numId="3" w16cid:durableId="1756170864">
    <w:abstractNumId w:val="17"/>
  </w:num>
  <w:num w:numId="4" w16cid:durableId="121852735">
    <w:abstractNumId w:val="60"/>
  </w:num>
  <w:num w:numId="5" w16cid:durableId="1280408722">
    <w:abstractNumId w:val="31"/>
  </w:num>
  <w:num w:numId="6" w16cid:durableId="1705138088">
    <w:abstractNumId w:val="0"/>
  </w:num>
  <w:num w:numId="7" w16cid:durableId="1956717995">
    <w:abstractNumId w:val="2"/>
  </w:num>
  <w:num w:numId="8" w16cid:durableId="607926232">
    <w:abstractNumId w:val="3"/>
  </w:num>
  <w:num w:numId="9" w16cid:durableId="884609657">
    <w:abstractNumId w:val="4"/>
  </w:num>
  <w:num w:numId="10" w16cid:durableId="212035735">
    <w:abstractNumId w:val="54"/>
  </w:num>
  <w:num w:numId="11" w16cid:durableId="1200165681">
    <w:abstractNumId w:val="27"/>
  </w:num>
  <w:num w:numId="12" w16cid:durableId="2004813808">
    <w:abstractNumId w:val="14"/>
  </w:num>
  <w:num w:numId="13" w16cid:durableId="1609003381">
    <w:abstractNumId w:val="43"/>
  </w:num>
  <w:num w:numId="14" w16cid:durableId="311565708">
    <w:abstractNumId w:val="18"/>
  </w:num>
  <w:num w:numId="15" w16cid:durableId="598685712">
    <w:abstractNumId w:val="67"/>
  </w:num>
  <w:num w:numId="16" w16cid:durableId="169108757">
    <w:abstractNumId w:val="13"/>
  </w:num>
  <w:num w:numId="17" w16cid:durableId="1599216064">
    <w:abstractNumId w:val="69"/>
  </w:num>
  <w:num w:numId="18" w16cid:durableId="1285848019">
    <w:abstractNumId w:val="42"/>
  </w:num>
  <w:num w:numId="19" w16cid:durableId="2144500574">
    <w:abstractNumId w:val="40"/>
  </w:num>
  <w:num w:numId="20" w16cid:durableId="99302873">
    <w:abstractNumId w:val="70"/>
  </w:num>
  <w:num w:numId="21" w16cid:durableId="1451240854">
    <w:abstractNumId w:val="32"/>
  </w:num>
  <w:num w:numId="22" w16cid:durableId="587888515">
    <w:abstractNumId w:val="7"/>
  </w:num>
  <w:num w:numId="23" w16cid:durableId="153451121">
    <w:abstractNumId w:val="21"/>
  </w:num>
  <w:num w:numId="24" w16cid:durableId="1292904809">
    <w:abstractNumId w:val="10"/>
  </w:num>
  <w:num w:numId="25" w16cid:durableId="1158154002">
    <w:abstractNumId w:val="56"/>
  </w:num>
  <w:num w:numId="26" w16cid:durableId="1553079017">
    <w:abstractNumId w:val="36"/>
  </w:num>
  <w:num w:numId="27" w16cid:durableId="2032220368">
    <w:abstractNumId w:val="12"/>
  </w:num>
  <w:num w:numId="28" w16cid:durableId="430274537">
    <w:abstractNumId w:val="73"/>
  </w:num>
  <w:num w:numId="29" w16cid:durableId="1694845481">
    <w:abstractNumId w:val="58"/>
  </w:num>
  <w:num w:numId="30" w16cid:durableId="1910460296">
    <w:abstractNumId w:val="57"/>
  </w:num>
  <w:num w:numId="31" w16cid:durableId="1527789104">
    <w:abstractNumId w:val="34"/>
  </w:num>
  <w:num w:numId="32" w16cid:durableId="337542362">
    <w:abstractNumId w:val="64"/>
  </w:num>
  <w:num w:numId="33" w16cid:durableId="1317496219">
    <w:abstractNumId w:val="53"/>
  </w:num>
  <w:num w:numId="34" w16cid:durableId="1998655792">
    <w:abstractNumId w:val="20"/>
  </w:num>
  <w:num w:numId="35" w16cid:durableId="710688847">
    <w:abstractNumId w:val="29"/>
  </w:num>
  <w:num w:numId="36" w16cid:durableId="407270913">
    <w:abstractNumId w:val="48"/>
  </w:num>
  <w:num w:numId="37" w16cid:durableId="1821379702">
    <w:abstractNumId w:val="23"/>
  </w:num>
  <w:num w:numId="38" w16cid:durableId="48959298">
    <w:abstractNumId w:val="15"/>
  </w:num>
  <w:num w:numId="39" w16cid:durableId="1626542123">
    <w:abstractNumId w:val="52"/>
  </w:num>
  <w:num w:numId="40" w16cid:durableId="1828740577">
    <w:abstractNumId w:val="63"/>
  </w:num>
  <w:num w:numId="41" w16cid:durableId="819886137">
    <w:abstractNumId w:val="47"/>
  </w:num>
  <w:num w:numId="42" w16cid:durableId="644512682">
    <w:abstractNumId w:val="5"/>
  </w:num>
  <w:num w:numId="43" w16cid:durableId="515194995">
    <w:abstractNumId w:val="30"/>
  </w:num>
  <w:num w:numId="44" w16cid:durableId="99840888">
    <w:abstractNumId w:val="37"/>
  </w:num>
  <w:num w:numId="45" w16cid:durableId="1400788244">
    <w:abstractNumId w:val="35"/>
  </w:num>
  <w:num w:numId="46" w16cid:durableId="243149332">
    <w:abstractNumId w:val="41"/>
  </w:num>
  <w:num w:numId="47" w16cid:durableId="2044480170">
    <w:abstractNumId w:val="8"/>
  </w:num>
  <w:num w:numId="48" w16cid:durableId="569268702">
    <w:abstractNumId w:val="72"/>
  </w:num>
  <w:num w:numId="49" w16cid:durableId="1906527987">
    <w:abstractNumId w:val="61"/>
  </w:num>
  <w:num w:numId="50" w16cid:durableId="1161048355">
    <w:abstractNumId w:val="25"/>
  </w:num>
  <w:num w:numId="51" w16cid:durableId="1584488646">
    <w:abstractNumId w:val="59"/>
  </w:num>
  <w:num w:numId="52" w16cid:durableId="26686603">
    <w:abstractNumId w:val="28"/>
  </w:num>
  <w:num w:numId="53" w16cid:durableId="911427534">
    <w:abstractNumId w:val="62"/>
  </w:num>
  <w:num w:numId="54" w16cid:durableId="1717043713">
    <w:abstractNumId w:val="9"/>
  </w:num>
  <w:num w:numId="55" w16cid:durableId="877857179">
    <w:abstractNumId w:val="46"/>
  </w:num>
  <w:num w:numId="56" w16cid:durableId="563611236">
    <w:abstractNumId w:val="55"/>
  </w:num>
  <w:num w:numId="57" w16cid:durableId="1530413349">
    <w:abstractNumId w:val="39"/>
  </w:num>
  <w:num w:numId="58" w16cid:durableId="1428499735">
    <w:abstractNumId w:val="19"/>
  </w:num>
  <w:num w:numId="59" w16cid:durableId="147509749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50312260">
    <w:abstractNumId w:val="6"/>
  </w:num>
  <w:num w:numId="61" w16cid:durableId="2011785279">
    <w:abstractNumId w:val="51"/>
  </w:num>
  <w:num w:numId="62" w16cid:durableId="80416287">
    <w:abstractNumId w:val="65"/>
  </w:num>
  <w:num w:numId="63" w16cid:durableId="2005932894">
    <w:abstractNumId w:val="24"/>
  </w:num>
  <w:num w:numId="64" w16cid:durableId="1543595148">
    <w:abstractNumId w:val="49"/>
  </w:num>
  <w:num w:numId="65" w16cid:durableId="1975478136">
    <w:abstractNumId w:val="22"/>
  </w:num>
  <w:num w:numId="66" w16cid:durableId="321856087">
    <w:abstractNumId w:val="11"/>
  </w:num>
  <w:num w:numId="67" w16cid:durableId="1079332969">
    <w:abstractNumId w:val="33"/>
  </w:num>
  <w:num w:numId="68" w16cid:durableId="199980715">
    <w:abstractNumId w:val="38"/>
  </w:num>
  <w:num w:numId="69" w16cid:durableId="1155561895">
    <w:abstractNumId w:val="75"/>
  </w:num>
  <w:num w:numId="70" w16cid:durableId="1960331198">
    <w:abstractNumId w:val="66"/>
  </w:num>
  <w:num w:numId="71" w16cid:durableId="2093425196">
    <w:abstractNumId w:val="68"/>
  </w:num>
  <w:num w:numId="72" w16cid:durableId="683363916">
    <w:abstractNumId w:val="44"/>
  </w:num>
  <w:num w:numId="73" w16cid:durableId="2062633279">
    <w:abstractNumId w:val="50"/>
  </w:num>
  <w:num w:numId="74" w16cid:durableId="1368945675">
    <w:abstractNumId w:val="16"/>
  </w:num>
  <w:num w:numId="75" w16cid:durableId="1258978553">
    <w:abstractNumId w:val="45"/>
  </w:num>
  <w:num w:numId="76" w16cid:durableId="812066666">
    <w:abstractNumId w:val="74"/>
  </w:num>
  <w:num w:numId="77" w16cid:durableId="37125249">
    <w:abstractNumId w:val="7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658"/>
    <w:rsid w:val="000508D5"/>
    <w:rsid w:val="00051985"/>
    <w:rsid w:val="00051A58"/>
    <w:rsid w:val="0005269F"/>
    <w:rsid w:val="000529F7"/>
    <w:rsid w:val="00053274"/>
    <w:rsid w:val="000533B9"/>
    <w:rsid w:val="00056751"/>
    <w:rsid w:val="0005795C"/>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13A8"/>
    <w:rsid w:val="000D1B4C"/>
    <w:rsid w:val="000D26E9"/>
    <w:rsid w:val="000D2936"/>
    <w:rsid w:val="000D3412"/>
    <w:rsid w:val="000D424B"/>
    <w:rsid w:val="000D6776"/>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14BC"/>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9BE"/>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5DF3"/>
    <w:rsid w:val="001964E6"/>
    <w:rsid w:val="001A01D5"/>
    <w:rsid w:val="001A01EA"/>
    <w:rsid w:val="001A033A"/>
    <w:rsid w:val="001A0442"/>
    <w:rsid w:val="001A0EA9"/>
    <w:rsid w:val="001A180E"/>
    <w:rsid w:val="001A24A9"/>
    <w:rsid w:val="001A2AD2"/>
    <w:rsid w:val="001A3E9B"/>
    <w:rsid w:val="001A3F0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BCC"/>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58AE"/>
    <w:rsid w:val="00235D40"/>
    <w:rsid w:val="00236BA8"/>
    <w:rsid w:val="002374DA"/>
    <w:rsid w:val="002375C2"/>
    <w:rsid w:val="00240357"/>
    <w:rsid w:val="0024108C"/>
    <w:rsid w:val="00242D4B"/>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6C1A"/>
    <w:rsid w:val="002671DA"/>
    <w:rsid w:val="0027178F"/>
    <w:rsid w:val="0027227E"/>
    <w:rsid w:val="002729FD"/>
    <w:rsid w:val="00272D9A"/>
    <w:rsid w:val="00273FCA"/>
    <w:rsid w:val="002742E8"/>
    <w:rsid w:val="002742EF"/>
    <w:rsid w:val="0027436D"/>
    <w:rsid w:val="00274FE3"/>
    <w:rsid w:val="0027582D"/>
    <w:rsid w:val="00275A09"/>
    <w:rsid w:val="00280215"/>
    <w:rsid w:val="00280338"/>
    <w:rsid w:val="002819EF"/>
    <w:rsid w:val="00283782"/>
    <w:rsid w:val="00285BC8"/>
    <w:rsid w:val="002861CC"/>
    <w:rsid w:val="002865A2"/>
    <w:rsid w:val="00291839"/>
    <w:rsid w:val="0029251B"/>
    <w:rsid w:val="0029261D"/>
    <w:rsid w:val="002926EE"/>
    <w:rsid w:val="00292D67"/>
    <w:rsid w:val="00294181"/>
    <w:rsid w:val="00294279"/>
    <w:rsid w:val="002946F2"/>
    <w:rsid w:val="00295B80"/>
    <w:rsid w:val="002A184B"/>
    <w:rsid w:val="002A1E7C"/>
    <w:rsid w:val="002A234C"/>
    <w:rsid w:val="002A261C"/>
    <w:rsid w:val="002A34D0"/>
    <w:rsid w:val="002A3B80"/>
    <w:rsid w:val="002A408B"/>
    <w:rsid w:val="002A4734"/>
    <w:rsid w:val="002A4BB9"/>
    <w:rsid w:val="002A51D5"/>
    <w:rsid w:val="002A5D16"/>
    <w:rsid w:val="002A6835"/>
    <w:rsid w:val="002A74CF"/>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066"/>
    <w:rsid w:val="002C75A5"/>
    <w:rsid w:val="002D0644"/>
    <w:rsid w:val="002D08C2"/>
    <w:rsid w:val="002D0D51"/>
    <w:rsid w:val="002D14A8"/>
    <w:rsid w:val="002D1510"/>
    <w:rsid w:val="002D2D3D"/>
    <w:rsid w:val="002D3E26"/>
    <w:rsid w:val="002D4E1C"/>
    <w:rsid w:val="002D52A0"/>
    <w:rsid w:val="002D550F"/>
    <w:rsid w:val="002D7531"/>
    <w:rsid w:val="002D7895"/>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09E"/>
    <w:rsid w:val="002F33DA"/>
    <w:rsid w:val="002F33F6"/>
    <w:rsid w:val="002F3805"/>
    <w:rsid w:val="002F4BE7"/>
    <w:rsid w:val="002F4DE4"/>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58AD"/>
    <w:rsid w:val="00355F5D"/>
    <w:rsid w:val="003566F0"/>
    <w:rsid w:val="003568FA"/>
    <w:rsid w:val="0035695F"/>
    <w:rsid w:val="00356EC3"/>
    <w:rsid w:val="00356F14"/>
    <w:rsid w:val="00357BFB"/>
    <w:rsid w:val="00360EF7"/>
    <w:rsid w:val="003617A2"/>
    <w:rsid w:val="0036191D"/>
    <w:rsid w:val="003619E4"/>
    <w:rsid w:val="00361F0E"/>
    <w:rsid w:val="00362C5B"/>
    <w:rsid w:val="00363175"/>
    <w:rsid w:val="003638E5"/>
    <w:rsid w:val="00363962"/>
    <w:rsid w:val="00363D9F"/>
    <w:rsid w:val="003655F9"/>
    <w:rsid w:val="00365875"/>
    <w:rsid w:val="00365BD4"/>
    <w:rsid w:val="003711AE"/>
    <w:rsid w:val="00371267"/>
    <w:rsid w:val="0037207E"/>
    <w:rsid w:val="00372AA6"/>
    <w:rsid w:val="00374114"/>
    <w:rsid w:val="0037488E"/>
    <w:rsid w:val="00374CC1"/>
    <w:rsid w:val="0037594D"/>
    <w:rsid w:val="0037712E"/>
    <w:rsid w:val="00377D78"/>
    <w:rsid w:val="00377E36"/>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5EA"/>
    <w:rsid w:val="003B087C"/>
    <w:rsid w:val="003B1189"/>
    <w:rsid w:val="003B13C3"/>
    <w:rsid w:val="003B185D"/>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38A4"/>
    <w:rsid w:val="003D4064"/>
    <w:rsid w:val="003D469B"/>
    <w:rsid w:val="003D57A4"/>
    <w:rsid w:val="003D5AB9"/>
    <w:rsid w:val="003D5B17"/>
    <w:rsid w:val="003D6A4B"/>
    <w:rsid w:val="003D7C25"/>
    <w:rsid w:val="003E05F4"/>
    <w:rsid w:val="003E066D"/>
    <w:rsid w:val="003E07FC"/>
    <w:rsid w:val="003E0F21"/>
    <w:rsid w:val="003E2542"/>
    <w:rsid w:val="003E3592"/>
    <w:rsid w:val="003E3DE6"/>
    <w:rsid w:val="003E48FC"/>
    <w:rsid w:val="003E5716"/>
    <w:rsid w:val="003E5E8B"/>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133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19D9"/>
    <w:rsid w:val="00411CEA"/>
    <w:rsid w:val="00413A5A"/>
    <w:rsid w:val="00415D82"/>
    <w:rsid w:val="004173E5"/>
    <w:rsid w:val="004177B3"/>
    <w:rsid w:val="00417F48"/>
    <w:rsid w:val="00420723"/>
    <w:rsid w:val="0042145D"/>
    <w:rsid w:val="0042172A"/>
    <w:rsid w:val="00421806"/>
    <w:rsid w:val="00422F47"/>
    <w:rsid w:val="0042520D"/>
    <w:rsid w:val="00425A0C"/>
    <w:rsid w:val="00426B8C"/>
    <w:rsid w:val="00426FB1"/>
    <w:rsid w:val="004270AD"/>
    <w:rsid w:val="0042735E"/>
    <w:rsid w:val="0042784F"/>
    <w:rsid w:val="00430B7E"/>
    <w:rsid w:val="00431F73"/>
    <w:rsid w:val="00432047"/>
    <w:rsid w:val="00433704"/>
    <w:rsid w:val="00433807"/>
    <w:rsid w:val="0043384D"/>
    <w:rsid w:val="00434FF7"/>
    <w:rsid w:val="004357E1"/>
    <w:rsid w:val="00436A66"/>
    <w:rsid w:val="00436E22"/>
    <w:rsid w:val="00441BAD"/>
    <w:rsid w:val="00441DBA"/>
    <w:rsid w:val="00441E39"/>
    <w:rsid w:val="004422D7"/>
    <w:rsid w:val="004423E9"/>
    <w:rsid w:val="004433C3"/>
    <w:rsid w:val="00444277"/>
    <w:rsid w:val="0044445B"/>
    <w:rsid w:val="004447B7"/>
    <w:rsid w:val="00445177"/>
    <w:rsid w:val="00445180"/>
    <w:rsid w:val="00446DE2"/>
    <w:rsid w:val="0044751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017"/>
    <w:rsid w:val="00471423"/>
    <w:rsid w:val="004724AA"/>
    <w:rsid w:val="00472F98"/>
    <w:rsid w:val="00473753"/>
    <w:rsid w:val="004747CC"/>
    <w:rsid w:val="00475F99"/>
    <w:rsid w:val="00476A51"/>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B4C"/>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178A"/>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67D1D"/>
    <w:rsid w:val="005706BF"/>
    <w:rsid w:val="005709F7"/>
    <w:rsid w:val="00570E39"/>
    <w:rsid w:val="0057237B"/>
    <w:rsid w:val="0057302C"/>
    <w:rsid w:val="005737AE"/>
    <w:rsid w:val="005739DD"/>
    <w:rsid w:val="0057426F"/>
    <w:rsid w:val="00574EF8"/>
    <w:rsid w:val="00575566"/>
    <w:rsid w:val="00575ABB"/>
    <w:rsid w:val="00576EDB"/>
    <w:rsid w:val="0058070F"/>
    <w:rsid w:val="00580D5C"/>
    <w:rsid w:val="00581864"/>
    <w:rsid w:val="00581E90"/>
    <w:rsid w:val="00582177"/>
    <w:rsid w:val="00582FD3"/>
    <w:rsid w:val="0058372D"/>
    <w:rsid w:val="00584E77"/>
    <w:rsid w:val="00585726"/>
    <w:rsid w:val="0058634E"/>
    <w:rsid w:val="00586E50"/>
    <w:rsid w:val="00587695"/>
    <w:rsid w:val="005900F0"/>
    <w:rsid w:val="00590577"/>
    <w:rsid w:val="00590C0E"/>
    <w:rsid w:val="00591EF7"/>
    <w:rsid w:val="00592184"/>
    <w:rsid w:val="00592E25"/>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A7E4C"/>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83D"/>
    <w:rsid w:val="005E1E59"/>
    <w:rsid w:val="005E2FEC"/>
    <w:rsid w:val="005E37DE"/>
    <w:rsid w:val="005E4905"/>
    <w:rsid w:val="005E5CE0"/>
    <w:rsid w:val="005E6612"/>
    <w:rsid w:val="005E738B"/>
    <w:rsid w:val="005E7EDE"/>
    <w:rsid w:val="005F0E80"/>
    <w:rsid w:val="005F109A"/>
    <w:rsid w:val="005F10D6"/>
    <w:rsid w:val="005F180D"/>
    <w:rsid w:val="005F3561"/>
    <w:rsid w:val="005F5550"/>
    <w:rsid w:val="005F5D64"/>
    <w:rsid w:val="005F6516"/>
    <w:rsid w:val="005F6A52"/>
    <w:rsid w:val="005F6F03"/>
    <w:rsid w:val="005F757C"/>
    <w:rsid w:val="00601D09"/>
    <w:rsid w:val="00602DED"/>
    <w:rsid w:val="00603563"/>
    <w:rsid w:val="00604609"/>
    <w:rsid w:val="00606098"/>
    <w:rsid w:val="00606424"/>
    <w:rsid w:val="00606EA4"/>
    <w:rsid w:val="006074D2"/>
    <w:rsid w:val="006106FC"/>
    <w:rsid w:val="00610DD8"/>
    <w:rsid w:val="0061108C"/>
    <w:rsid w:val="0061163A"/>
    <w:rsid w:val="0061239A"/>
    <w:rsid w:val="00612ABD"/>
    <w:rsid w:val="0061353E"/>
    <w:rsid w:val="00613A30"/>
    <w:rsid w:val="0061432D"/>
    <w:rsid w:val="0061472A"/>
    <w:rsid w:val="00614A2D"/>
    <w:rsid w:val="00614A93"/>
    <w:rsid w:val="0061653A"/>
    <w:rsid w:val="00617686"/>
    <w:rsid w:val="00620521"/>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6441"/>
    <w:rsid w:val="00687AB7"/>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000"/>
    <w:rsid w:val="006D24A0"/>
    <w:rsid w:val="006D2888"/>
    <w:rsid w:val="006D4FF3"/>
    <w:rsid w:val="006D5085"/>
    <w:rsid w:val="006D7D4D"/>
    <w:rsid w:val="006E014B"/>
    <w:rsid w:val="006E19D9"/>
    <w:rsid w:val="006E40CF"/>
    <w:rsid w:val="006E6382"/>
    <w:rsid w:val="006E6D4A"/>
    <w:rsid w:val="006F0396"/>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26E9E"/>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A78"/>
    <w:rsid w:val="00783C4C"/>
    <w:rsid w:val="0078460C"/>
    <w:rsid w:val="00785243"/>
    <w:rsid w:val="0078544E"/>
    <w:rsid w:val="007857C5"/>
    <w:rsid w:val="00785A02"/>
    <w:rsid w:val="0078603D"/>
    <w:rsid w:val="00786695"/>
    <w:rsid w:val="00786ADB"/>
    <w:rsid w:val="00787590"/>
    <w:rsid w:val="00790C6C"/>
    <w:rsid w:val="007917FE"/>
    <w:rsid w:val="00792BFE"/>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9F8"/>
    <w:rsid w:val="00830DCC"/>
    <w:rsid w:val="00833055"/>
    <w:rsid w:val="00833524"/>
    <w:rsid w:val="00833530"/>
    <w:rsid w:val="00833E3E"/>
    <w:rsid w:val="00833EF3"/>
    <w:rsid w:val="00836AA9"/>
    <w:rsid w:val="008407CE"/>
    <w:rsid w:val="00841235"/>
    <w:rsid w:val="008426DB"/>
    <w:rsid w:val="008427E1"/>
    <w:rsid w:val="008427F7"/>
    <w:rsid w:val="008430B8"/>
    <w:rsid w:val="008439FC"/>
    <w:rsid w:val="00844C4B"/>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55D2"/>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02C6"/>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33A4"/>
    <w:rsid w:val="009246C6"/>
    <w:rsid w:val="00925221"/>
    <w:rsid w:val="00925EEE"/>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DB5"/>
    <w:rsid w:val="00946F82"/>
    <w:rsid w:val="00946F90"/>
    <w:rsid w:val="009474A5"/>
    <w:rsid w:val="00950FDF"/>
    <w:rsid w:val="00951145"/>
    <w:rsid w:val="009517F7"/>
    <w:rsid w:val="00951B2E"/>
    <w:rsid w:val="00952662"/>
    <w:rsid w:val="00953F51"/>
    <w:rsid w:val="009540A0"/>
    <w:rsid w:val="00954135"/>
    <w:rsid w:val="00955389"/>
    <w:rsid w:val="00955A14"/>
    <w:rsid w:val="00955C11"/>
    <w:rsid w:val="0096030F"/>
    <w:rsid w:val="0096098E"/>
    <w:rsid w:val="009616E9"/>
    <w:rsid w:val="0096184D"/>
    <w:rsid w:val="00961B5E"/>
    <w:rsid w:val="00962370"/>
    <w:rsid w:val="00962444"/>
    <w:rsid w:val="00963326"/>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28FF"/>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699"/>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3F74"/>
    <w:rsid w:val="00A764FF"/>
    <w:rsid w:val="00A76BCD"/>
    <w:rsid w:val="00A7712C"/>
    <w:rsid w:val="00A80416"/>
    <w:rsid w:val="00A80A58"/>
    <w:rsid w:val="00A8184E"/>
    <w:rsid w:val="00A821DC"/>
    <w:rsid w:val="00A831E5"/>
    <w:rsid w:val="00A845E8"/>
    <w:rsid w:val="00A8463D"/>
    <w:rsid w:val="00A846F5"/>
    <w:rsid w:val="00A85AF6"/>
    <w:rsid w:val="00A85D1A"/>
    <w:rsid w:val="00A8645E"/>
    <w:rsid w:val="00A866A8"/>
    <w:rsid w:val="00A902CE"/>
    <w:rsid w:val="00A913E6"/>
    <w:rsid w:val="00A91786"/>
    <w:rsid w:val="00A92CEB"/>
    <w:rsid w:val="00A93057"/>
    <w:rsid w:val="00A93324"/>
    <w:rsid w:val="00A935DF"/>
    <w:rsid w:val="00A939F8"/>
    <w:rsid w:val="00A94E3D"/>
    <w:rsid w:val="00A95AC0"/>
    <w:rsid w:val="00A96067"/>
    <w:rsid w:val="00A96124"/>
    <w:rsid w:val="00A9691F"/>
    <w:rsid w:val="00A96ACB"/>
    <w:rsid w:val="00A96CAD"/>
    <w:rsid w:val="00AA07A4"/>
    <w:rsid w:val="00AA07BB"/>
    <w:rsid w:val="00AA0BB4"/>
    <w:rsid w:val="00AA0ED8"/>
    <w:rsid w:val="00AA101A"/>
    <w:rsid w:val="00AA2A55"/>
    <w:rsid w:val="00AA2D90"/>
    <w:rsid w:val="00AA3255"/>
    <w:rsid w:val="00AA4458"/>
    <w:rsid w:val="00AA47E4"/>
    <w:rsid w:val="00AA69FF"/>
    <w:rsid w:val="00AA6BCA"/>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63CD"/>
    <w:rsid w:val="00AF755A"/>
    <w:rsid w:val="00B00EB9"/>
    <w:rsid w:val="00B00EF4"/>
    <w:rsid w:val="00B01060"/>
    <w:rsid w:val="00B012A9"/>
    <w:rsid w:val="00B017CE"/>
    <w:rsid w:val="00B01ACE"/>
    <w:rsid w:val="00B03138"/>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3E86"/>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314"/>
    <w:rsid w:val="00B70FA6"/>
    <w:rsid w:val="00B710DD"/>
    <w:rsid w:val="00B7285D"/>
    <w:rsid w:val="00B74828"/>
    <w:rsid w:val="00B74D75"/>
    <w:rsid w:val="00B75D3A"/>
    <w:rsid w:val="00B75F0E"/>
    <w:rsid w:val="00B7606D"/>
    <w:rsid w:val="00B761E2"/>
    <w:rsid w:val="00B7744B"/>
    <w:rsid w:val="00B77A48"/>
    <w:rsid w:val="00B800DE"/>
    <w:rsid w:val="00B8094E"/>
    <w:rsid w:val="00B81CC4"/>
    <w:rsid w:val="00B8372D"/>
    <w:rsid w:val="00B850FD"/>
    <w:rsid w:val="00B85ED0"/>
    <w:rsid w:val="00B85EFB"/>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1EA9"/>
    <w:rsid w:val="00BC2A98"/>
    <w:rsid w:val="00BC3540"/>
    <w:rsid w:val="00BC43A2"/>
    <w:rsid w:val="00BC59F8"/>
    <w:rsid w:val="00BC667A"/>
    <w:rsid w:val="00BD0534"/>
    <w:rsid w:val="00BD0BC5"/>
    <w:rsid w:val="00BD1179"/>
    <w:rsid w:val="00BD1C3A"/>
    <w:rsid w:val="00BD224C"/>
    <w:rsid w:val="00BD281E"/>
    <w:rsid w:val="00BD2BA5"/>
    <w:rsid w:val="00BD2CF1"/>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C12"/>
    <w:rsid w:val="00C07DF2"/>
    <w:rsid w:val="00C07ECA"/>
    <w:rsid w:val="00C1046A"/>
    <w:rsid w:val="00C11C6F"/>
    <w:rsid w:val="00C12396"/>
    <w:rsid w:val="00C12CF4"/>
    <w:rsid w:val="00C14339"/>
    <w:rsid w:val="00C145E8"/>
    <w:rsid w:val="00C14B46"/>
    <w:rsid w:val="00C1555D"/>
    <w:rsid w:val="00C15673"/>
    <w:rsid w:val="00C17E97"/>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728A"/>
    <w:rsid w:val="00C372B4"/>
    <w:rsid w:val="00C4151C"/>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3E6"/>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458E"/>
    <w:rsid w:val="00CB4D9D"/>
    <w:rsid w:val="00CB58B7"/>
    <w:rsid w:val="00CB5FD1"/>
    <w:rsid w:val="00CB68DC"/>
    <w:rsid w:val="00CB7173"/>
    <w:rsid w:val="00CB7F39"/>
    <w:rsid w:val="00CB7F8F"/>
    <w:rsid w:val="00CC05AF"/>
    <w:rsid w:val="00CC0B56"/>
    <w:rsid w:val="00CC10D5"/>
    <w:rsid w:val="00CC148E"/>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0C69"/>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608F"/>
    <w:rsid w:val="00D70006"/>
    <w:rsid w:val="00D700EB"/>
    <w:rsid w:val="00D70E5A"/>
    <w:rsid w:val="00D711FA"/>
    <w:rsid w:val="00D71C10"/>
    <w:rsid w:val="00D724F5"/>
    <w:rsid w:val="00D7314E"/>
    <w:rsid w:val="00D733EB"/>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20A6"/>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F42"/>
    <w:rsid w:val="00DD1A48"/>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0425"/>
    <w:rsid w:val="00E210A0"/>
    <w:rsid w:val="00E21B43"/>
    <w:rsid w:val="00E22F17"/>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0B19"/>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4DD"/>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96A"/>
    <w:rsid w:val="00E75C90"/>
    <w:rsid w:val="00E7615D"/>
    <w:rsid w:val="00E77032"/>
    <w:rsid w:val="00E77BE8"/>
    <w:rsid w:val="00E8034F"/>
    <w:rsid w:val="00E80E1A"/>
    <w:rsid w:val="00E82931"/>
    <w:rsid w:val="00E82AC1"/>
    <w:rsid w:val="00E82BC9"/>
    <w:rsid w:val="00E830E8"/>
    <w:rsid w:val="00E83563"/>
    <w:rsid w:val="00E83A06"/>
    <w:rsid w:val="00E83FD5"/>
    <w:rsid w:val="00E8497D"/>
    <w:rsid w:val="00E84C49"/>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3BA5"/>
    <w:rsid w:val="00EA6122"/>
    <w:rsid w:val="00EA7A73"/>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70"/>
    <w:rsid w:val="00F41C95"/>
    <w:rsid w:val="00F41F7D"/>
    <w:rsid w:val="00F42047"/>
    <w:rsid w:val="00F423C4"/>
    <w:rsid w:val="00F426D0"/>
    <w:rsid w:val="00F43050"/>
    <w:rsid w:val="00F43A61"/>
    <w:rsid w:val="00F43C76"/>
    <w:rsid w:val="00F43DFE"/>
    <w:rsid w:val="00F44AB0"/>
    <w:rsid w:val="00F45547"/>
    <w:rsid w:val="00F4583B"/>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1"/>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1"/>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3"/>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5"/>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2"/>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3"/>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3"/>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3"/>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rPr>
  </w:style>
  <w:style w:type="paragraph" w:customStyle="1" w:styleId="ListDash2">
    <w:name w:val="List Dash 2"/>
    <w:basedOn w:val="Normal"/>
    <w:rsid w:val="00E75C90"/>
    <w:pPr>
      <w:widowControl/>
      <w:numPr>
        <w:numId w:val="4"/>
      </w:numPr>
      <w:autoSpaceDE/>
      <w:autoSpaceDN/>
      <w:spacing w:after="240"/>
      <w:jc w:val="both"/>
    </w:pPr>
    <w:rPr>
      <w:rFonts w:ascii="Times New Roman" w:eastAsia="Times New Roman" w:hAnsi="Times New Roman" w:cs="Times New Roman"/>
      <w:sz w:val="24"/>
      <w:szCs w:val="20"/>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s-ES"/>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s-ES"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s-ES"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s-ES"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s-ES"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s-ES"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s-ES"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6"/>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ListContinue">
    <w:name w:val="List Continue"/>
    <w:basedOn w:val="Normal"/>
    <w:uiPriority w:val="99"/>
    <w:rsid w:val="00E75C90"/>
    <w:pPr>
      <w:widowControl/>
      <w:numPr>
        <w:numId w:val="8"/>
      </w:numPr>
      <w:tabs>
        <w:tab w:val="clear" w:pos="709"/>
      </w:tabs>
      <w:suppressAutoHyphens/>
      <w:autoSpaceDE/>
      <w:autoSpaceDN/>
      <w:spacing w:after="120"/>
      <w:jc w:val="both"/>
    </w:pPr>
    <w:rPr>
      <w:rFonts w:ascii="Times New Roman" w:eastAsia="Calibri" w:hAnsi="Times New Roman" w:cs="Times New Roman"/>
      <w:sz w:val="24"/>
      <w:szCs w:val="20"/>
      <w:lang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s-ES"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s-ES"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s-ES"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s-ES"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s-ES"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eastAsia="ar-SA"/>
    </w:rPr>
  </w:style>
  <w:style w:type="paragraph" w:styleId="TOC6">
    <w:name w:val="toc 6"/>
    <w:basedOn w:val="Normal"/>
    <w:next w:val="Normal"/>
    <w:autoRedefine/>
    <w:uiPriority w:val="39"/>
    <w:rsid w:val="00E75C90"/>
    <w:pPr>
      <w:widowControl/>
      <w:numPr>
        <w:numId w:val="7"/>
      </w:numPr>
      <w:tabs>
        <w:tab w:val="clear" w:pos="765"/>
      </w:tabs>
      <w:suppressAutoHyphens/>
      <w:autoSpaceDE/>
      <w:autoSpaceDN/>
      <w:spacing w:after="240"/>
      <w:jc w:val="both"/>
    </w:pPr>
    <w:rPr>
      <w:rFonts w:ascii="Times New Roman" w:eastAsia="Calibri" w:hAnsi="Times New Roman" w:cs="Times New Roman"/>
      <w:sz w:val="24"/>
      <w:szCs w:val="20"/>
      <w:lang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eastAsia="ar-SA"/>
    </w:rPr>
  </w:style>
  <w:style w:type="paragraph" w:customStyle="1" w:styleId="ListDash3">
    <w:name w:val="List Dash 3"/>
    <w:basedOn w:val="Text3"/>
    <w:rsid w:val="00E75C90"/>
    <w:pPr>
      <w:numPr>
        <w:numId w:val="9"/>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s-ES"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s-E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0"/>
      </w:numPr>
    </w:pPr>
  </w:style>
  <w:style w:type="numbering" w:customStyle="1" w:styleId="List1">
    <w:name w:val="List 1"/>
    <w:basedOn w:val="NoList"/>
    <w:rsid w:val="00E75C90"/>
    <w:pPr>
      <w:numPr>
        <w:numId w:val="11"/>
      </w:numPr>
    </w:pPr>
  </w:style>
  <w:style w:type="numbering" w:customStyle="1" w:styleId="List21">
    <w:name w:val="List 21"/>
    <w:basedOn w:val="NoList"/>
    <w:rsid w:val="00E75C90"/>
    <w:pPr>
      <w:numPr>
        <w:numId w:val="12"/>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3"/>
      </w:numPr>
    </w:pPr>
  </w:style>
  <w:style w:type="numbering" w:customStyle="1" w:styleId="ImportedStyle2">
    <w:name w:val="Imported Style 2"/>
    <w:rsid w:val="00E75C90"/>
    <w:pPr>
      <w:numPr>
        <w:numId w:val="14"/>
      </w:numPr>
    </w:pPr>
  </w:style>
  <w:style w:type="character" w:customStyle="1" w:styleId="None">
    <w:name w:val="None"/>
    <w:rsid w:val="00E75C90"/>
  </w:style>
  <w:style w:type="character" w:customStyle="1" w:styleId="Hyperlink0">
    <w:name w:val="Hyperlink.0"/>
    <w:basedOn w:val="None"/>
    <w:rsid w:val="00E75C90"/>
    <w:rPr>
      <w:color w:val="000000"/>
      <w:u w:color="000000"/>
      <w:lang w:val="es-ES"/>
    </w:rPr>
  </w:style>
  <w:style w:type="numbering" w:customStyle="1" w:styleId="ImportedStyle3">
    <w:name w:val="Imported Style 3"/>
    <w:rsid w:val="00E75C90"/>
    <w:pPr>
      <w:numPr>
        <w:numId w:val="15"/>
      </w:numPr>
    </w:pPr>
  </w:style>
  <w:style w:type="character" w:customStyle="1" w:styleId="Hyperlink1">
    <w:name w:val="Hyperlink.1"/>
    <w:basedOn w:val="None"/>
    <w:rsid w:val="00E75C90"/>
    <w:rPr>
      <w:strike/>
      <w:dstrike w:val="0"/>
      <w:color w:val="000000"/>
      <w:u w:color="000000"/>
      <w:lang w:val="es-ES"/>
    </w:rPr>
  </w:style>
  <w:style w:type="numbering" w:customStyle="1" w:styleId="ImportedStyle4">
    <w:name w:val="Imported Style 4"/>
    <w:rsid w:val="00E75C90"/>
    <w:pPr>
      <w:numPr>
        <w:numId w:val="16"/>
      </w:numPr>
    </w:pPr>
  </w:style>
  <w:style w:type="numbering" w:customStyle="1" w:styleId="ImportedStyle5">
    <w:name w:val="Imported Style 5"/>
    <w:rsid w:val="00E75C90"/>
    <w:pPr>
      <w:numPr>
        <w:numId w:val="17"/>
      </w:numPr>
    </w:pPr>
  </w:style>
  <w:style w:type="character" w:customStyle="1" w:styleId="Hyperlink2">
    <w:name w:val="Hyperlink.2"/>
    <w:basedOn w:val="None"/>
    <w:rsid w:val="00E75C90"/>
    <w:rPr>
      <w:color w:val="000000"/>
      <w:u w:val="single" w:color="000000"/>
      <w:lang w:val="es-ES"/>
    </w:rPr>
  </w:style>
  <w:style w:type="character" w:customStyle="1" w:styleId="Hyperlink3">
    <w:name w:val="Hyperlink.3"/>
    <w:basedOn w:val="None"/>
    <w:rsid w:val="00E75C90"/>
    <w:rPr>
      <w:rFonts w:ascii="Cambria" w:eastAsia="Cambria" w:hAnsi="Cambria" w:cs="Cambria"/>
      <w:color w:val="000000"/>
      <w:u w:color="000000"/>
      <w:lang w:val="es-ES"/>
    </w:rPr>
  </w:style>
  <w:style w:type="numbering" w:customStyle="1" w:styleId="ImportedStyle6">
    <w:name w:val="Imported Style 6"/>
    <w:rsid w:val="00E75C90"/>
    <w:pPr>
      <w:numPr>
        <w:numId w:val="18"/>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19"/>
      </w:numPr>
    </w:pPr>
  </w:style>
  <w:style w:type="numbering" w:customStyle="1" w:styleId="ImportedStyle8">
    <w:name w:val="Imported Style 8"/>
    <w:rsid w:val="00E75C90"/>
    <w:pPr>
      <w:numPr>
        <w:numId w:val="20"/>
      </w:numPr>
    </w:pPr>
  </w:style>
  <w:style w:type="character" w:customStyle="1" w:styleId="Hyperlink4">
    <w:name w:val="Hyperlink.4"/>
    <w:basedOn w:val="None"/>
    <w:rsid w:val="00E75C90"/>
    <w:rPr>
      <w:rFonts w:ascii="Cambria" w:eastAsia="Cambria" w:hAnsi="Cambria" w:cs="Cambria"/>
      <w:color w:val="000000"/>
      <w:sz w:val="20"/>
      <w:szCs w:val="20"/>
      <w:u w:color="000000"/>
      <w:lang w:val="es-ES"/>
    </w:rPr>
  </w:style>
  <w:style w:type="numbering" w:customStyle="1" w:styleId="ImportedStyle9">
    <w:name w:val="Imported Style 9"/>
    <w:rsid w:val="00E75C90"/>
    <w:pPr>
      <w:numPr>
        <w:numId w:val="21"/>
      </w:numPr>
    </w:pPr>
  </w:style>
  <w:style w:type="numbering" w:customStyle="1" w:styleId="ImportedStyle10">
    <w:name w:val="Imported Style 10"/>
    <w:rsid w:val="00E75C90"/>
    <w:pPr>
      <w:numPr>
        <w:numId w:val="22"/>
      </w:numPr>
    </w:pPr>
  </w:style>
  <w:style w:type="numbering" w:customStyle="1" w:styleId="ImportedStyle11">
    <w:name w:val="Imported Style 11"/>
    <w:rsid w:val="00E75C90"/>
    <w:pPr>
      <w:numPr>
        <w:numId w:val="23"/>
      </w:numPr>
    </w:pPr>
  </w:style>
  <w:style w:type="numbering" w:customStyle="1" w:styleId="ImportedStyle12">
    <w:name w:val="Imported Style 12"/>
    <w:rsid w:val="00E75C90"/>
    <w:pPr>
      <w:numPr>
        <w:numId w:val="24"/>
      </w:numPr>
    </w:pPr>
  </w:style>
  <w:style w:type="numbering" w:customStyle="1" w:styleId="ImportedStyle13">
    <w:name w:val="Imported Style 13"/>
    <w:rsid w:val="00E75C90"/>
    <w:pPr>
      <w:numPr>
        <w:numId w:val="25"/>
      </w:numPr>
    </w:pPr>
  </w:style>
  <w:style w:type="numbering" w:customStyle="1" w:styleId="ImportedStyle14">
    <w:name w:val="Imported Style 14"/>
    <w:rsid w:val="00E75C90"/>
    <w:pPr>
      <w:numPr>
        <w:numId w:val="26"/>
      </w:numPr>
    </w:pPr>
  </w:style>
  <w:style w:type="numbering" w:customStyle="1" w:styleId="ImportedStyle15">
    <w:name w:val="Imported Style 15"/>
    <w:rsid w:val="00E75C90"/>
    <w:pPr>
      <w:numPr>
        <w:numId w:val="27"/>
      </w:numPr>
    </w:pPr>
  </w:style>
  <w:style w:type="numbering" w:customStyle="1" w:styleId="ImportedStyle16">
    <w:name w:val="Imported Style 16"/>
    <w:rsid w:val="00E75C90"/>
    <w:pPr>
      <w:numPr>
        <w:numId w:val="28"/>
      </w:numPr>
    </w:pPr>
  </w:style>
  <w:style w:type="numbering" w:customStyle="1" w:styleId="ImportedStyle17">
    <w:name w:val="Imported Style 17"/>
    <w:rsid w:val="00E75C90"/>
    <w:pPr>
      <w:numPr>
        <w:numId w:val="29"/>
      </w:numPr>
    </w:pPr>
  </w:style>
  <w:style w:type="numbering" w:customStyle="1" w:styleId="ImportedStyle18">
    <w:name w:val="Imported Style 18"/>
    <w:rsid w:val="00E75C90"/>
    <w:pPr>
      <w:numPr>
        <w:numId w:val="30"/>
      </w:numPr>
    </w:pPr>
  </w:style>
  <w:style w:type="numbering" w:customStyle="1" w:styleId="ImportedStyle19">
    <w:name w:val="Imported Style 19"/>
    <w:rsid w:val="00E75C90"/>
    <w:pPr>
      <w:numPr>
        <w:numId w:val="31"/>
      </w:numPr>
    </w:pPr>
  </w:style>
  <w:style w:type="numbering" w:customStyle="1" w:styleId="ImportedStyle20">
    <w:name w:val="Imported Style 20"/>
    <w:rsid w:val="00E75C90"/>
    <w:pPr>
      <w:numPr>
        <w:numId w:val="32"/>
      </w:numPr>
    </w:pPr>
  </w:style>
  <w:style w:type="numbering" w:customStyle="1" w:styleId="ImportedStyle21">
    <w:name w:val="Imported Style 21"/>
    <w:rsid w:val="00E75C90"/>
    <w:pPr>
      <w:numPr>
        <w:numId w:val="33"/>
      </w:numPr>
    </w:pPr>
  </w:style>
  <w:style w:type="numbering" w:customStyle="1" w:styleId="ImportedStyle22">
    <w:name w:val="Imported Style 22"/>
    <w:rsid w:val="00E75C90"/>
    <w:pPr>
      <w:numPr>
        <w:numId w:val="34"/>
      </w:numPr>
    </w:pPr>
  </w:style>
  <w:style w:type="numbering" w:customStyle="1" w:styleId="ImportedStyle23">
    <w:name w:val="Imported Style 23"/>
    <w:rsid w:val="00E75C90"/>
    <w:pPr>
      <w:numPr>
        <w:numId w:val="35"/>
      </w:numPr>
    </w:pPr>
  </w:style>
  <w:style w:type="numbering" w:customStyle="1" w:styleId="ImportedStyle24">
    <w:name w:val="Imported Style 24"/>
    <w:rsid w:val="00E75C90"/>
    <w:pPr>
      <w:numPr>
        <w:numId w:val="36"/>
      </w:numPr>
    </w:pPr>
  </w:style>
  <w:style w:type="numbering" w:customStyle="1" w:styleId="ImportedStyle25">
    <w:name w:val="Imported Style 25"/>
    <w:rsid w:val="00E75C90"/>
    <w:pPr>
      <w:numPr>
        <w:numId w:val="37"/>
      </w:numPr>
    </w:pPr>
  </w:style>
  <w:style w:type="numbering" w:customStyle="1" w:styleId="ImportedStyle26">
    <w:name w:val="Imported Style 26"/>
    <w:rsid w:val="00E75C90"/>
    <w:pPr>
      <w:numPr>
        <w:numId w:val="38"/>
      </w:numPr>
    </w:pPr>
  </w:style>
  <w:style w:type="numbering" w:customStyle="1" w:styleId="ImportedStyle27">
    <w:name w:val="Imported Style 27"/>
    <w:rsid w:val="00E75C90"/>
    <w:pPr>
      <w:numPr>
        <w:numId w:val="39"/>
      </w:numPr>
    </w:pPr>
  </w:style>
  <w:style w:type="numbering" w:customStyle="1" w:styleId="ImportedStyle28">
    <w:name w:val="Imported Style 28"/>
    <w:rsid w:val="00E75C90"/>
    <w:pPr>
      <w:numPr>
        <w:numId w:val="40"/>
      </w:numPr>
    </w:pPr>
  </w:style>
  <w:style w:type="numbering" w:customStyle="1" w:styleId="ImportedStyle29">
    <w:name w:val="Imported Style 29"/>
    <w:rsid w:val="00E75C90"/>
    <w:pPr>
      <w:numPr>
        <w:numId w:val="41"/>
      </w:numPr>
    </w:pPr>
  </w:style>
  <w:style w:type="numbering" w:customStyle="1" w:styleId="ImportedStyle30">
    <w:name w:val="Imported Style 30"/>
    <w:rsid w:val="00E75C90"/>
    <w:pPr>
      <w:numPr>
        <w:numId w:val="42"/>
      </w:numPr>
    </w:pPr>
  </w:style>
  <w:style w:type="numbering" w:customStyle="1" w:styleId="ImportedStyle31">
    <w:name w:val="Imported Style 31"/>
    <w:rsid w:val="00E75C90"/>
    <w:pPr>
      <w:numPr>
        <w:numId w:val="43"/>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44"/>
      </w:numPr>
    </w:pPr>
  </w:style>
  <w:style w:type="numbering" w:customStyle="1" w:styleId="ImportedStyle34">
    <w:name w:val="Imported Style 34"/>
    <w:rsid w:val="00E75C90"/>
    <w:pPr>
      <w:numPr>
        <w:numId w:val="45"/>
      </w:numPr>
    </w:pPr>
  </w:style>
  <w:style w:type="numbering" w:customStyle="1" w:styleId="ImportedStyle35">
    <w:name w:val="Imported Style 35"/>
    <w:rsid w:val="00E75C90"/>
    <w:pPr>
      <w:numPr>
        <w:numId w:val="46"/>
      </w:numPr>
    </w:pPr>
  </w:style>
  <w:style w:type="numbering" w:customStyle="1" w:styleId="ImportedStyle36">
    <w:name w:val="Imported Style 36"/>
    <w:rsid w:val="00E75C90"/>
    <w:pPr>
      <w:numPr>
        <w:numId w:val="47"/>
      </w:numPr>
    </w:pPr>
  </w:style>
  <w:style w:type="numbering" w:customStyle="1" w:styleId="ImportedStyle37">
    <w:name w:val="Imported Style 37"/>
    <w:rsid w:val="00E75C90"/>
    <w:pPr>
      <w:numPr>
        <w:numId w:val="48"/>
      </w:numPr>
    </w:pPr>
  </w:style>
  <w:style w:type="numbering" w:customStyle="1" w:styleId="ImportedStyle38">
    <w:name w:val="Imported Style 38"/>
    <w:rsid w:val="00E75C90"/>
    <w:pPr>
      <w:numPr>
        <w:numId w:val="49"/>
      </w:numPr>
    </w:pPr>
  </w:style>
  <w:style w:type="numbering" w:customStyle="1" w:styleId="ImportedStyle39">
    <w:name w:val="Imported Style 39"/>
    <w:rsid w:val="00E75C90"/>
    <w:pPr>
      <w:numPr>
        <w:numId w:val="50"/>
      </w:numPr>
    </w:pPr>
  </w:style>
  <w:style w:type="numbering" w:customStyle="1" w:styleId="ImportedStyle40">
    <w:name w:val="Imported Style 40"/>
    <w:rsid w:val="00E75C90"/>
    <w:pPr>
      <w:numPr>
        <w:numId w:val="51"/>
      </w:numPr>
    </w:pPr>
  </w:style>
  <w:style w:type="numbering" w:customStyle="1" w:styleId="ImportedStyle41">
    <w:name w:val="Imported Style 41"/>
    <w:rsid w:val="00E75C90"/>
    <w:pPr>
      <w:numPr>
        <w:numId w:val="52"/>
      </w:numPr>
    </w:pPr>
  </w:style>
  <w:style w:type="numbering" w:customStyle="1" w:styleId="ImportedStyle42">
    <w:name w:val="Imported Style 42"/>
    <w:rsid w:val="00E75C90"/>
    <w:pPr>
      <w:numPr>
        <w:numId w:val="53"/>
      </w:numPr>
    </w:pPr>
  </w:style>
  <w:style w:type="numbering" w:customStyle="1" w:styleId="ImportedStyle43">
    <w:name w:val="Imported Style 43"/>
    <w:rsid w:val="00E75C90"/>
    <w:pPr>
      <w:numPr>
        <w:numId w:val="54"/>
      </w:numPr>
    </w:pPr>
  </w:style>
  <w:style w:type="numbering" w:customStyle="1" w:styleId="ImportedStyle44">
    <w:name w:val="Imported Style 44"/>
    <w:rsid w:val="00E75C90"/>
    <w:pPr>
      <w:numPr>
        <w:numId w:val="55"/>
      </w:numPr>
    </w:pPr>
  </w:style>
  <w:style w:type="numbering" w:customStyle="1" w:styleId="ImportedStyle45">
    <w:name w:val="Imported Style 45"/>
    <w:rsid w:val="00E75C90"/>
    <w:pPr>
      <w:numPr>
        <w:numId w:val="56"/>
      </w:numPr>
    </w:pPr>
  </w:style>
  <w:style w:type="numbering" w:customStyle="1" w:styleId="ImportedStyle46">
    <w:name w:val="Imported Style 46"/>
    <w:rsid w:val="00E75C90"/>
    <w:pPr>
      <w:numPr>
        <w:numId w:val="57"/>
      </w:numPr>
    </w:pPr>
  </w:style>
  <w:style w:type="numbering" w:customStyle="1" w:styleId="ImportedStyle47">
    <w:name w:val="Imported Style 47"/>
    <w:rsid w:val="00E75C90"/>
    <w:pPr>
      <w:numPr>
        <w:numId w:val="58"/>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s-E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s-E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s-E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s-E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s-ES" w:eastAsia="en-US"/>
    </w:rPr>
  </w:style>
  <w:style w:type="character" w:customStyle="1" w:styleId="QuoteChar1">
    <w:name w:val="Quote Char1"/>
    <w:basedOn w:val="DefaultParagraphFont"/>
    <w:uiPriority w:val="29"/>
    <w:rsid w:val="00E75C90"/>
    <w:rPr>
      <w:i/>
      <w:iCs/>
      <w:color w:val="404040" w:themeColor="text1" w:themeTint="BF"/>
      <w:sz w:val="24"/>
      <w:szCs w:val="24"/>
      <w:lang w:val="es-E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s/2004-10-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s/2019-01-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cat.int/Documents/Recs/compendiopdf-s/2019-01-s.pdf" TargetMode="External"/><Relationship Id="rId4" Type="http://schemas.openxmlformats.org/officeDocument/2006/relationships/settings" Target="settings.xml"/><Relationship Id="rId9" Type="http://schemas.openxmlformats.org/officeDocument/2006/relationships/hyperlink" Target="https://www.iccat.int/Documents/Recs/compendiopdf-s/2019-01-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658B7-5FE0-4CBD-8325-FE3F0FC8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4909</Words>
  <Characters>27986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2025-10-16T09:13:00Z</dcterms:created>
  <dcterms:modified xsi:type="dcterms:W3CDTF">2025-10-20T10:04:00Z</dcterms:modified>
</cp:coreProperties>
</file>