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467A" w14:textId="77777777" w:rsidR="00082853" w:rsidRPr="007060D6" w:rsidRDefault="00082853" w:rsidP="005C4D20">
      <w:pPr>
        <w:pStyle w:val="BodyText"/>
      </w:pPr>
    </w:p>
    <w:p w14:paraId="5C457B72" w14:textId="77777777" w:rsidR="00AE5554" w:rsidRPr="00CC02DF" w:rsidRDefault="00AE5554" w:rsidP="005C4D20">
      <w:pPr>
        <w:jc w:val="center"/>
        <w:rPr>
          <w:b/>
          <w:iCs/>
          <w:sz w:val="20"/>
          <w:szCs w:val="20"/>
        </w:rPr>
      </w:pPr>
      <w:r w:rsidRPr="00CC02DF">
        <w:rPr>
          <w:b/>
          <w:iCs/>
          <w:sz w:val="20"/>
        </w:rPr>
        <w:t>Page de garde accompagnant les nouvelles propositions</w:t>
      </w:r>
    </w:p>
    <w:p w14:paraId="709DA0CC" w14:textId="77777777" w:rsidR="00AE5554" w:rsidRPr="00CC02DF" w:rsidRDefault="00AE5554" w:rsidP="005C4D20">
      <w:pPr>
        <w:jc w:val="center"/>
        <w:rPr>
          <w:b/>
          <w:bCs/>
          <w:i/>
          <w:iCs/>
          <w:sz w:val="20"/>
          <w:szCs w:val="20"/>
        </w:rPr>
      </w:pPr>
    </w:p>
    <w:p w14:paraId="6A2EB0E3" w14:textId="09F32EEB" w:rsidR="00AE5554" w:rsidRPr="00CC02DF" w:rsidRDefault="00AE5554" w:rsidP="005C4D20">
      <w:pPr>
        <w:jc w:val="center"/>
        <w:rPr>
          <w:i/>
          <w:iCs/>
          <w:sz w:val="20"/>
          <w:szCs w:val="20"/>
        </w:rPr>
      </w:pPr>
      <w:r w:rsidRPr="00CC02DF">
        <w:rPr>
          <w:i/>
          <w:sz w:val="20"/>
        </w:rPr>
        <w:t>(Document présenté par le Japon)</w:t>
      </w:r>
    </w:p>
    <w:p w14:paraId="1B270155" w14:textId="77777777" w:rsidR="00476A51" w:rsidRPr="00CC02DF" w:rsidRDefault="00476A51" w:rsidP="00476A51">
      <w:pPr>
        <w:rPr>
          <w:b/>
          <w:sz w:val="20"/>
          <w:szCs w:val="20"/>
        </w:rPr>
      </w:pPr>
    </w:p>
    <w:p w14:paraId="426AC9E8" w14:textId="77777777" w:rsidR="00476A51" w:rsidRPr="00CC02DF" w:rsidRDefault="00476A51" w:rsidP="00476A51">
      <w:pPr>
        <w:jc w:val="both"/>
        <w:rPr>
          <w:rFonts w:eastAsia="MS Mincho"/>
          <w:b/>
          <w:bCs/>
          <w:iCs/>
          <w:color w:val="FF0000"/>
          <w:sz w:val="20"/>
          <w:szCs w:val="20"/>
        </w:rPr>
      </w:pPr>
      <w:r w:rsidRPr="00CC02DF">
        <w:rPr>
          <w:b/>
          <w:sz w:val="20"/>
        </w:rPr>
        <w:t xml:space="preserve">Titre de la proposition de projet de Recommandation/Résolution : </w:t>
      </w:r>
      <w:r w:rsidRPr="00CC02DF">
        <w:rPr>
          <w:iCs/>
          <w:color w:val="FF0000"/>
          <w:sz w:val="20"/>
        </w:rPr>
        <w:t>Projet de Recommandation de l'ICCAT concernant la conservation et la gestion des requins capturés en association avec les pêcheries de l’ICCAT</w:t>
      </w:r>
    </w:p>
    <w:p w14:paraId="15D0B3AF" w14:textId="77777777" w:rsidR="00476A51" w:rsidRPr="00CC02DF" w:rsidRDefault="00476A51" w:rsidP="00476A51">
      <w:pPr>
        <w:ind w:left="318"/>
        <w:jc w:val="both"/>
        <w:rPr>
          <w:sz w:val="20"/>
          <w:szCs w:val="20"/>
        </w:rPr>
      </w:pPr>
    </w:p>
    <w:p w14:paraId="0289F15B" w14:textId="77777777" w:rsidR="00476A51" w:rsidRPr="00CC02DF" w:rsidRDefault="00476A51" w:rsidP="00476A51">
      <w:pPr>
        <w:jc w:val="both"/>
        <w:rPr>
          <w:rFonts w:eastAsia="MS Mincho"/>
          <w:iCs/>
          <w:color w:val="FF0000"/>
          <w:sz w:val="20"/>
          <w:szCs w:val="20"/>
        </w:rPr>
      </w:pPr>
      <w:r w:rsidRPr="00CC02DF">
        <w:rPr>
          <w:b/>
          <w:sz w:val="20"/>
        </w:rPr>
        <w:t>Titre de la ou des Recommandations ou Résolutions en vigueur traitant des mêmes questions ou de questions connexes :</w:t>
      </w:r>
      <w:r w:rsidRPr="00CC02DF">
        <w:rPr>
          <w:i/>
          <w:color w:val="FF0000"/>
          <w:sz w:val="20"/>
        </w:rPr>
        <w:t xml:space="preserve"> </w:t>
      </w:r>
      <w:r w:rsidRPr="00CC02DF">
        <w:rPr>
          <w:iCs/>
          <w:color w:val="FF0000"/>
          <w:sz w:val="20"/>
        </w:rPr>
        <w:t>Rés. 95-02, Rés. 03-10, Rec. 04-10, Rec. 07-06, Rec. 09-07, Rec. 10-07, Rec. 10-08, Rec. 11-08, Rec. 13-10, Rec. 15-06, Rec. 18-06 et Rec. 23-12.</w:t>
      </w:r>
    </w:p>
    <w:p w14:paraId="00FCED0E" w14:textId="77777777" w:rsidR="00476A51" w:rsidRPr="00CC02DF" w:rsidRDefault="00476A51" w:rsidP="00476A51">
      <w:pPr>
        <w:ind w:left="318"/>
        <w:jc w:val="both"/>
        <w:rPr>
          <w:sz w:val="20"/>
          <w:szCs w:val="20"/>
        </w:rPr>
      </w:pPr>
    </w:p>
    <w:p w14:paraId="7584F78C" w14:textId="70506794" w:rsidR="00476A51" w:rsidRPr="00CC02DF" w:rsidRDefault="00476A51" w:rsidP="00CC148E">
      <w:pPr>
        <w:numPr>
          <w:ilvl w:val="0"/>
          <w:numId w:val="59"/>
        </w:numPr>
        <w:ind w:left="426" w:hanging="426"/>
        <w:jc w:val="both"/>
        <w:rPr>
          <w:sz w:val="20"/>
          <w:szCs w:val="20"/>
        </w:rPr>
      </w:pPr>
      <w:r w:rsidRPr="00CC02DF">
        <w:rPr>
          <w:sz w:val="20"/>
        </w:rPr>
        <w:t xml:space="preserve">Cela crée-t-il de nouvelles </w:t>
      </w:r>
      <w:r w:rsidRPr="00CC02DF">
        <w:rPr>
          <w:b/>
          <w:sz w:val="20"/>
        </w:rPr>
        <w:t xml:space="preserve">obligations de déclaration </w:t>
      </w:r>
      <w:r w:rsidRPr="00CC02DF">
        <w:rPr>
          <w:sz w:val="20"/>
        </w:rPr>
        <w:t xml:space="preserve">pour les CPC ?     </w:t>
      </w:r>
      <w:r w:rsidRPr="00CC02DF">
        <w:rPr>
          <w:color w:val="EE0000"/>
          <w:sz w:val="20"/>
        </w:rPr>
        <w:t xml:space="preserve">Oui </w:t>
      </w:r>
      <w:r w:rsidRPr="00CC02DF">
        <w:rPr>
          <w:color w:val="EE0000"/>
          <w:sz w:val="20"/>
        </w:rPr>
        <w:tab/>
      </w:r>
      <w:r w:rsidR="00602823" w:rsidRPr="00CC02DF">
        <w:rPr>
          <w:rFonts w:ascii="Wingdings" w:hAnsi="Wingdings"/>
          <w:color w:val="EE0000"/>
          <w:sz w:val="20"/>
        </w:rPr>
        <w:t>x</w:t>
      </w:r>
      <w:r w:rsidRPr="00CC02DF">
        <w:rPr>
          <w:sz w:val="20"/>
        </w:rPr>
        <w:tab/>
      </w:r>
      <w:r w:rsidR="00602823" w:rsidRPr="00CC02DF">
        <w:rPr>
          <w:sz w:val="20"/>
        </w:rPr>
        <w:t xml:space="preserve">Non </w:t>
      </w:r>
      <w:r w:rsidR="00602823" w:rsidRPr="00CC02DF">
        <w:rPr>
          <w:color w:val="FF0000"/>
          <w:sz w:val="20"/>
        </w:rPr>
        <w:t xml:space="preserve"> </w:t>
      </w:r>
      <w:r w:rsidR="00602823" w:rsidRPr="00CC02DF">
        <w:rPr>
          <w:rFonts w:ascii="Wingdings" w:hAnsi="Wingdings"/>
          <w:sz w:val="20"/>
        </w:rPr>
        <w:t>¨</w:t>
      </w:r>
    </w:p>
    <w:p w14:paraId="0919BDD7" w14:textId="77777777" w:rsidR="00476A51" w:rsidRPr="00CC02DF" w:rsidRDefault="00476A51" w:rsidP="00476A51">
      <w:pPr>
        <w:rPr>
          <w:sz w:val="20"/>
          <w:szCs w:val="20"/>
        </w:rPr>
      </w:pPr>
    </w:p>
    <w:p w14:paraId="3B94A72A" w14:textId="77777777" w:rsidR="00476A51" w:rsidRPr="00CC02DF" w:rsidRDefault="00476A51" w:rsidP="00476A51">
      <w:pPr>
        <w:ind w:left="426"/>
        <w:jc w:val="both"/>
        <w:rPr>
          <w:sz w:val="20"/>
          <w:szCs w:val="20"/>
        </w:rPr>
      </w:pPr>
      <w:r w:rsidRPr="00CC02DF">
        <w:rPr>
          <w:sz w:val="20"/>
        </w:rPr>
        <w:t>Brève description de la ou des nouvelle(s) obligation(s) de déclaration :</w:t>
      </w:r>
    </w:p>
    <w:p w14:paraId="50DDC9BA" w14:textId="77777777" w:rsidR="00476A51" w:rsidRPr="00CC02DF" w:rsidRDefault="00476A51" w:rsidP="00476A51">
      <w:pPr>
        <w:rPr>
          <w:sz w:val="20"/>
          <w:szCs w:val="20"/>
        </w:rPr>
      </w:pPr>
    </w:p>
    <w:p w14:paraId="0F44285A" w14:textId="6883BB38" w:rsidR="00602823" w:rsidRPr="00CC02DF" w:rsidRDefault="0074067A" w:rsidP="004F28FD">
      <w:pPr>
        <w:ind w:left="426"/>
        <w:jc w:val="both"/>
        <w:rPr>
          <w:rFonts w:eastAsiaTheme="minorEastAsia"/>
          <w:color w:val="FF0000"/>
          <w:spacing w:val="-2"/>
          <w:sz w:val="20"/>
          <w:szCs w:val="20"/>
          <w:lang w:eastAsia="ja-JP"/>
        </w:rPr>
      </w:pPr>
      <w:r w:rsidRPr="00CC02DF">
        <w:rPr>
          <w:rFonts w:eastAsiaTheme="minorEastAsia"/>
          <w:color w:val="FF0000"/>
          <w:spacing w:val="-2"/>
          <w:sz w:val="20"/>
          <w:szCs w:val="20"/>
          <w:lang w:eastAsia="ja-JP"/>
        </w:rPr>
        <w:t>Cette proposition comprend de nouvelles obligations de déclaration qui s'appliquent aux CPC qui choisissent une mesure alternative à la politique des ailerons naturellement attachés au corps.</w:t>
      </w:r>
    </w:p>
    <w:p w14:paraId="6790CBBF" w14:textId="77777777" w:rsidR="00476A51" w:rsidRPr="00CC02DF" w:rsidRDefault="00476A51" w:rsidP="00476A51">
      <w:pPr>
        <w:ind w:left="318"/>
        <w:rPr>
          <w:sz w:val="20"/>
          <w:szCs w:val="20"/>
        </w:rPr>
      </w:pPr>
    </w:p>
    <w:p w14:paraId="38E53CCC" w14:textId="26129987" w:rsidR="00476A51" w:rsidRPr="00CC02DF" w:rsidRDefault="00476A51" w:rsidP="00CC148E">
      <w:pPr>
        <w:numPr>
          <w:ilvl w:val="0"/>
          <w:numId w:val="59"/>
        </w:numPr>
        <w:ind w:left="426" w:hanging="426"/>
        <w:jc w:val="both"/>
        <w:rPr>
          <w:sz w:val="20"/>
          <w:szCs w:val="20"/>
        </w:rPr>
      </w:pPr>
      <w:r w:rsidRPr="00CC02DF">
        <w:rPr>
          <w:sz w:val="20"/>
        </w:rPr>
        <w:t xml:space="preserve">Cela nécessite-t-il une contribution ou un </w:t>
      </w:r>
      <w:r w:rsidRPr="00CC02DF">
        <w:rPr>
          <w:b/>
          <w:sz w:val="20"/>
        </w:rPr>
        <w:t>travail</w:t>
      </w:r>
      <w:r w:rsidRPr="00CC02DF">
        <w:rPr>
          <w:sz w:val="20"/>
        </w:rPr>
        <w:t xml:space="preserve"> supplémentaire </w:t>
      </w:r>
      <w:r w:rsidRPr="00CC02DF">
        <w:rPr>
          <w:b/>
          <w:sz w:val="20"/>
        </w:rPr>
        <w:t>de la part du SCRS</w:t>
      </w:r>
      <w:r w:rsidRPr="00CC02DF">
        <w:rPr>
          <w:sz w:val="20"/>
        </w:rPr>
        <w:t xml:space="preserve"> ? Oui</w:t>
      </w:r>
      <w:r w:rsidRPr="00CC02DF">
        <w:rPr>
          <w:color w:val="FF0000"/>
          <w:sz w:val="20"/>
        </w:rPr>
        <w:t xml:space="preserve"> </w:t>
      </w:r>
      <w:bookmarkStart w:id="0" w:name="_Hlk208928396"/>
      <w:r w:rsidRPr="00CC02DF">
        <w:rPr>
          <w:rFonts w:ascii="Wingdings" w:hAnsi="Wingdings"/>
          <w:sz w:val="20"/>
        </w:rPr>
        <w:t>¨</w:t>
      </w:r>
      <w:bookmarkEnd w:id="0"/>
      <w:r w:rsidRPr="00CC02DF">
        <w:rPr>
          <w:color w:val="FF0000"/>
          <w:sz w:val="20"/>
        </w:rPr>
        <w:t xml:space="preserve">Non </w:t>
      </w:r>
      <w:r w:rsidR="0074067A" w:rsidRPr="00CC02DF">
        <w:rPr>
          <w:rFonts w:ascii="Wingdings" w:hAnsi="Wingdings"/>
          <w:color w:val="FF0000"/>
          <w:sz w:val="20"/>
        </w:rPr>
        <w:t>x</w:t>
      </w:r>
    </w:p>
    <w:p w14:paraId="4D5A32DA" w14:textId="77777777" w:rsidR="00476A51" w:rsidRPr="00CC02DF" w:rsidRDefault="00476A51" w:rsidP="00476A51">
      <w:pPr>
        <w:ind w:left="360"/>
        <w:rPr>
          <w:sz w:val="20"/>
          <w:szCs w:val="20"/>
        </w:rPr>
      </w:pPr>
    </w:p>
    <w:p w14:paraId="185DBFBF" w14:textId="77777777" w:rsidR="00476A51" w:rsidRPr="00CC02DF" w:rsidRDefault="00476A51" w:rsidP="00476A51">
      <w:pPr>
        <w:ind w:left="360" w:firstLine="66"/>
        <w:jc w:val="both"/>
        <w:rPr>
          <w:rFonts w:eastAsia="MS Mincho"/>
          <w:sz w:val="20"/>
          <w:szCs w:val="20"/>
        </w:rPr>
      </w:pPr>
      <w:r w:rsidRPr="00CC02DF">
        <w:rPr>
          <w:sz w:val="20"/>
        </w:rPr>
        <w:t xml:space="preserve">Ce travail est-il déjà inclus dans le plan de travail actuel du SCRS ? Oui </w:t>
      </w:r>
      <w:r w:rsidRPr="00CC02DF">
        <w:rPr>
          <w:rFonts w:ascii="Wingdings" w:hAnsi="Wingdings"/>
          <w:sz w:val="20"/>
        </w:rPr>
        <w:t>¨</w:t>
      </w:r>
      <w:r w:rsidRPr="00CC02DF">
        <w:rPr>
          <w:sz w:val="20"/>
        </w:rPr>
        <w:tab/>
        <w:t xml:space="preserve">Non </w:t>
      </w:r>
      <w:r w:rsidRPr="00CC02DF">
        <w:rPr>
          <w:color w:val="FF0000"/>
          <w:sz w:val="20"/>
        </w:rPr>
        <w:t xml:space="preserve"> </w:t>
      </w:r>
      <w:r w:rsidRPr="00CC02DF">
        <w:rPr>
          <w:rFonts w:ascii="Wingdings" w:hAnsi="Wingdings"/>
          <w:sz w:val="20"/>
        </w:rPr>
        <w:t>¨</w:t>
      </w:r>
    </w:p>
    <w:p w14:paraId="5F91C11A" w14:textId="77777777" w:rsidR="00476A51" w:rsidRPr="00CC02DF" w:rsidRDefault="00476A51" w:rsidP="00476A51">
      <w:pPr>
        <w:ind w:left="360"/>
        <w:rPr>
          <w:sz w:val="20"/>
          <w:szCs w:val="20"/>
        </w:rPr>
      </w:pPr>
    </w:p>
    <w:p w14:paraId="75A9DD8E" w14:textId="31AA3CB7" w:rsidR="00476A51" w:rsidRPr="00CC02DF" w:rsidRDefault="00476A51" w:rsidP="00476A51">
      <w:pPr>
        <w:ind w:left="360" w:firstLine="66"/>
        <w:jc w:val="both"/>
        <w:rPr>
          <w:sz w:val="20"/>
          <w:szCs w:val="20"/>
        </w:rPr>
      </w:pPr>
      <w:r w:rsidRPr="00CC02DF">
        <w:rPr>
          <w:sz w:val="20"/>
        </w:rPr>
        <w:t>Brève description des nouveaux travaux scientifiques requis (évaluation des stocks, analyse, consultant externe)</w:t>
      </w:r>
      <w:r w:rsidR="00670847" w:rsidRPr="00CC02DF">
        <w:rPr>
          <w:sz w:val="20"/>
        </w:rPr>
        <w:t> :</w:t>
      </w:r>
    </w:p>
    <w:p w14:paraId="10A58BFF" w14:textId="77777777" w:rsidR="00476A51" w:rsidRPr="00CC02DF" w:rsidRDefault="00476A51" w:rsidP="00476A51">
      <w:pPr>
        <w:rPr>
          <w:rFonts w:eastAsia="MS Mincho"/>
          <w:color w:val="FF0000"/>
          <w:sz w:val="20"/>
          <w:szCs w:val="20"/>
          <w:lang w:eastAsia="ja-JP"/>
        </w:rPr>
      </w:pPr>
    </w:p>
    <w:p w14:paraId="39F86F68" w14:textId="77777777" w:rsidR="00476A51" w:rsidRPr="00CC02DF" w:rsidRDefault="00476A51" w:rsidP="00476A51">
      <w:pPr>
        <w:ind w:left="318"/>
        <w:rPr>
          <w:sz w:val="20"/>
          <w:szCs w:val="20"/>
        </w:rPr>
      </w:pPr>
    </w:p>
    <w:p w14:paraId="0AD6C459" w14:textId="23A92C92" w:rsidR="00476A51" w:rsidRPr="00CC02DF" w:rsidRDefault="00476A51" w:rsidP="00CC148E">
      <w:pPr>
        <w:numPr>
          <w:ilvl w:val="0"/>
          <w:numId w:val="59"/>
        </w:numPr>
        <w:ind w:left="426" w:hanging="426"/>
        <w:jc w:val="both"/>
        <w:rPr>
          <w:sz w:val="20"/>
          <w:szCs w:val="20"/>
        </w:rPr>
      </w:pPr>
      <w:r w:rsidRPr="00CC02DF">
        <w:rPr>
          <w:sz w:val="20"/>
        </w:rPr>
        <w:t xml:space="preserve">Cela implique-t-il la création d'un </w:t>
      </w:r>
      <w:r w:rsidRPr="00CC02DF">
        <w:rPr>
          <w:b/>
          <w:sz w:val="20"/>
        </w:rPr>
        <w:t xml:space="preserve">nouveau groupe de travail ou d'un processus intersessions </w:t>
      </w:r>
      <w:r w:rsidRPr="00CC02DF">
        <w:rPr>
          <w:sz w:val="20"/>
        </w:rPr>
        <w:t xml:space="preserve">?    Oui </w:t>
      </w:r>
      <w:r w:rsidRPr="00CC02DF">
        <w:rPr>
          <w:rFonts w:ascii="Wingdings" w:hAnsi="Wingdings"/>
          <w:sz w:val="20"/>
        </w:rPr>
        <w:t>¨</w:t>
      </w:r>
      <w:r w:rsidRPr="00CC02DF">
        <w:rPr>
          <w:sz w:val="20"/>
        </w:rPr>
        <w:t xml:space="preserve">     </w:t>
      </w:r>
      <w:r w:rsidRPr="00CC02DF">
        <w:rPr>
          <w:color w:val="FF0000"/>
          <w:sz w:val="20"/>
        </w:rPr>
        <w:t xml:space="preserve"> Non </w:t>
      </w:r>
      <w:r w:rsidR="00D17EB0" w:rsidRPr="00CC02DF">
        <w:rPr>
          <w:rFonts w:ascii="Wingdings" w:hAnsi="Wingdings"/>
          <w:color w:val="FF0000"/>
          <w:sz w:val="20"/>
        </w:rPr>
        <w:t>x</w:t>
      </w:r>
    </w:p>
    <w:p w14:paraId="6C373C75" w14:textId="77777777" w:rsidR="00476A51" w:rsidRPr="00CC02DF" w:rsidRDefault="00476A51" w:rsidP="00476A51">
      <w:pPr>
        <w:ind w:left="318"/>
        <w:rPr>
          <w:sz w:val="20"/>
          <w:szCs w:val="20"/>
        </w:rPr>
      </w:pPr>
    </w:p>
    <w:p w14:paraId="1E174234" w14:textId="77777777" w:rsidR="00476A51" w:rsidRPr="00CC02DF" w:rsidRDefault="00476A51" w:rsidP="00476A51">
      <w:pPr>
        <w:ind w:left="318"/>
        <w:rPr>
          <w:sz w:val="20"/>
          <w:szCs w:val="20"/>
        </w:rPr>
      </w:pPr>
    </w:p>
    <w:p w14:paraId="7D53755E" w14:textId="77777777" w:rsidR="00476A51" w:rsidRPr="00CC02DF" w:rsidRDefault="00476A51" w:rsidP="00CC148E">
      <w:pPr>
        <w:numPr>
          <w:ilvl w:val="0"/>
          <w:numId w:val="59"/>
        </w:numPr>
        <w:ind w:left="426" w:hanging="426"/>
        <w:jc w:val="both"/>
        <w:rPr>
          <w:sz w:val="20"/>
          <w:szCs w:val="20"/>
        </w:rPr>
      </w:pPr>
      <w:r w:rsidRPr="00CC02DF">
        <w:rPr>
          <w:sz w:val="20"/>
        </w:rPr>
        <w:t xml:space="preserve">Cela nécessite-t-il un nouveau </w:t>
      </w:r>
      <w:r w:rsidRPr="00CC02DF">
        <w:rPr>
          <w:b/>
          <w:sz w:val="20"/>
        </w:rPr>
        <w:t xml:space="preserve">programme ou des activités supplémentaires à gérer par le Secrétariat </w:t>
      </w:r>
      <w:r w:rsidRPr="00CC02DF">
        <w:rPr>
          <w:sz w:val="20"/>
        </w:rPr>
        <w:t xml:space="preserve">?  </w:t>
      </w:r>
    </w:p>
    <w:p w14:paraId="05CA84FF" w14:textId="77777777" w:rsidR="00476A51" w:rsidRPr="00CC02DF" w:rsidRDefault="00476A51" w:rsidP="00476A51">
      <w:pPr>
        <w:ind w:left="426"/>
        <w:rPr>
          <w:spacing w:val="-2"/>
          <w:sz w:val="20"/>
          <w:szCs w:val="20"/>
        </w:rPr>
      </w:pPr>
    </w:p>
    <w:p w14:paraId="186B3D12" w14:textId="0A43230D" w:rsidR="00476A51" w:rsidRPr="00CC02DF" w:rsidRDefault="00D17EB0" w:rsidP="00D17EB0">
      <w:pPr>
        <w:ind w:left="318" w:firstLine="42"/>
        <w:rPr>
          <w:rFonts w:ascii="Wingdings" w:hAnsi="Wingdings"/>
          <w:sz w:val="20"/>
        </w:rPr>
      </w:pPr>
      <w:r w:rsidRPr="00CC02DF">
        <w:rPr>
          <w:color w:val="EE0000"/>
          <w:sz w:val="20"/>
        </w:rPr>
        <w:t xml:space="preserve">Oui </w:t>
      </w:r>
      <w:r w:rsidRPr="00CC02DF">
        <w:rPr>
          <w:color w:val="EE0000"/>
          <w:sz w:val="20"/>
        </w:rPr>
        <w:tab/>
      </w:r>
      <w:r w:rsidRPr="00CC02DF">
        <w:rPr>
          <w:rFonts w:ascii="Wingdings" w:hAnsi="Wingdings"/>
          <w:color w:val="EE0000"/>
          <w:sz w:val="20"/>
        </w:rPr>
        <w:t>x</w:t>
      </w:r>
      <w:r w:rsidRPr="00CC02DF">
        <w:rPr>
          <w:sz w:val="20"/>
        </w:rPr>
        <w:tab/>
        <w:t xml:space="preserve">Non </w:t>
      </w:r>
      <w:r w:rsidRPr="00CC02DF">
        <w:rPr>
          <w:color w:val="FF0000"/>
          <w:sz w:val="20"/>
        </w:rPr>
        <w:t xml:space="preserve"> </w:t>
      </w:r>
      <w:r w:rsidRPr="00CC02DF">
        <w:rPr>
          <w:rFonts w:ascii="Wingdings" w:hAnsi="Wingdings"/>
          <w:sz w:val="20"/>
        </w:rPr>
        <w:t>¨</w:t>
      </w:r>
    </w:p>
    <w:p w14:paraId="56BDF489" w14:textId="77777777" w:rsidR="00D17EB0" w:rsidRPr="00CC02DF" w:rsidRDefault="00D17EB0" w:rsidP="00D17EB0">
      <w:pPr>
        <w:ind w:left="318" w:firstLine="42"/>
        <w:rPr>
          <w:sz w:val="20"/>
          <w:szCs w:val="20"/>
        </w:rPr>
      </w:pPr>
    </w:p>
    <w:p w14:paraId="65129276" w14:textId="77777777" w:rsidR="00476A51" w:rsidRPr="00CC02DF" w:rsidRDefault="00476A51" w:rsidP="00476A51">
      <w:pPr>
        <w:ind w:left="360" w:firstLine="66"/>
        <w:jc w:val="both"/>
        <w:rPr>
          <w:spacing w:val="-2"/>
          <w:sz w:val="20"/>
          <w:szCs w:val="20"/>
        </w:rPr>
      </w:pPr>
      <w:r w:rsidRPr="00CC02DF">
        <w:rPr>
          <w:sz w:val="20"/>
        </w:rPr>
        <w:t>Brève description du nouveau travail requis pour le Secrétariat :</w:t>
      </w:r>
    </w:p>
    <w:p w14:paraId="1489982E" w14:textId="77777777" w:rsidR="00476A51" w:rsidRPr="00CC02DF" w:rsidRDefault="00476A51" w:rsidP="00476A51">
      <w:pPr>
        <w:rPr>
          <w:spacing w:val="-2"/>
          <w:sz w:val="20"/>
          <w:szCs w:val="20"/>
        </w:rPr>
      </w:pPr>
    </w:p>
    <w:p w14:paraId="530C3424" w14:textId="3C8CC83C" w:rsidR="00D17EB0" w:rsidRPr="00CC02DF" w:rsidRDefault="00771568" w:rsidP="00771568">
      <w:pPr>
        <w:ind w:left="426"/>
        <w:jc w:val="both"/>
        <w:rPr>
          <w:rFonts w:eastAsiaTheme="minorEastAsia"/>
          <w:color w:val="FF0000"/>
          <w:spacing w:val="-2"/>
          <w:sz w:val="20"/>
          <w:szCs w:val="20"/>
          <w:lang w:eastAsia="ja-JP"/>
        </w:rPr>
      </w:pPr>
      <w:r w:rsidRPr="00CC02DF">
        <w:rPr>
          <w:rFonts w:eastAsiaTheme="minorEastAsia"/>
          <w:color w:val="FF0000"/>
          <w:spacing w:val="-2"/>
          <w:sz w:val="20"/>
          <w:szCs w:val="20"/>
          <w:lang w:eastAsia="ja-JP"/>
        </w:rPr>
        <w:t>Il est demandé au</w:t>
      </w:r>
      <w:r w:rsidR="00172865" w:rsidRPr="00CC02DF">
        <w:rPr>
          <w:rFonts w:eastAsiaTheme="minorEastAsia"/>
          <w:color w:val="FF0000"/>
          <w:spacing w:val="-2"/>
          <w:sz w:val="20"/>
          <w:szCs w:val="20"/>
          <w:lang w:eastAsia="ja-JP"/>
        </w:rPr>
        <w:t xml:space="preserve"> Secrétariat de compiler les informations relatives à la mise en œuvre de la politique des ailerons naturellement attachés au corps ou des mesures alternatives.</w:t>
      </w:r>
    </w:p>
    <w:p w14:paraId="7D9FD1FB" w14:textId="77777777" w:rsidR="00476A51" w:rsidRPr="00CC02DF" w:rsidRDefault="00476A51" w:rsidP="00476A51">
      <w:pPr>
        <w:rPr>
          <w:spacing w:val="-2"/>
          <w:sz w:val="20"/>
          <w:szCs w:val="20"/>
        </w:rPr>
      </w:pPr>
    </w:p>
    <w:p w14:paraId="77479001" w14:textId="77777777" w:rsidR="00476A51" w:rsidRPr="00CC02DF" w:rsidRDefault="00476A51" w:rsidP="00CC148E">
      <w:pPr>
        <w:numPr>
          <w:ilvl w:val="0"/>
          <w:numId w:val="59"/>
        </w:numPr>
        <w:ind w:left="426" w:hanging="426"/>
        <w:jc w:val="both"/>
        <w:rPr>
          <w:spacing w:val="-2"/>
          <w:sz w:val="20"/>
          <w:szCs w:val="20"/>
        </w:rPr>
      </w:pPr>
      <w:r w:rsidRPr="00CC02DF">
        <w:rPr>
          <w:sz w:val="20"/>
        </w:rPr>
        <w:t>Quel est le calendrier proposé pour la mise en œuvre, et existe-t-il des calendriers spécifiques différents pour certaines CPC, pêcheries, régions, etc. ?</w:t>
      </w:r>
    </w:p>
    <w:p w14:paraId="0F6C6017" w14:textId="77777777" w:rsidR="00476A51" w:rsidRPr="00CC02DF" w:rsidRDefault="00476A51" w:rsidP="00476A51">
      <w:pPr>
        <w:rPr>
          <w:spacing w:val="-2"/>
          <w:sz w:val="20"/>
          <w:szCs w:val="20"/>
        </w:rPr>
      </w:pPr>
    </w:p>
    <w:p w14:paraId="4BAF1138" w14:textId="391A96F9" w:rsidR="00476A51" w:rsidRPr="00CC02DF" w:rsidRDefault="00476A51" w:rsidP="00476A51">
      <w:pPr>
        <w:ind w:left="426"/>
        <w:jc w:val="both"/>
        <w:rPr>
          <w:iCs/>
          <w:spacing w:val="-2"/>
          <w:sz w:val="20"/>
          <w:szCs w:val="20"/>
        </w:rPr>
      </w:pPr>
      <w:r w:rsidRPr="00CC02DF">
        <w:rPr>
          <w:iCs/>
          <w:color w:val="FF0000"/>
          <w:sz w:val="20"/>
        </w:rPr>
        <w:t>La Recommandation entrerait en vigueur en 2026</w:t>
      </w:r>
      <w:r w:rsidR="00172865" w:rsidRPr="00CC02DF">
        <w:rPr>
          <w:iCs/>
          <w:color w:val="FF0000"/>
          <w:sz w:val="20"/>
        </w:rPr>
        <w:t xml:space="preserve">, </w:t>
      </w:r>
      <w:r w:rsidR="00E560E9" w:rsidRPr="00CC02DF">
        <w:rPr>
          <w:iCs/>
          <w:color w:val="FF0000"/>
          <w:sz w:val="20"/>
        </w:rPr>
        <w:t>conformément à la Convention.</w:t>
      </w:r>
    </w:p>
    <w:p w14:paraId="16347A65" w14:textId="77777777" w:rsidR="00476A51" w:rsidRPr="00CC02DF" w:rsidRDefault="00476A51" w:rsidP="00476A51">
      <w:pPr>
        <w:ind w:left="318" w:hanging="233"/>
        <w:rPr>
          <w:spacing w:val="-2"/>
          <w:sz w:val="20"/>
          <w:szCs w:val="20"/>
        </w:rPr>
      </w:pPr>
    </w:p>
    <w:p w14:paraId="7648417D" w14:textId="77777777" w:rsidR="00476A51" w:rsidRPr="00CC02DF" w:rsidRDefault="00476A51" w:rsidP="00CC148E">
      <w:pPr>
        <w:numPr>
          <w:ilvl w:val="0"/>
          <w:numId w:val="59"/>
        </w:numPr>
        <w:ind w:left="426" w:hanging="426"/>
        <w:jc w:val="both"/>
        <w:rPr>
          <w:spacing w:val="-2"/>
          <w:sz w:val="20"/>
          <w:szCs w:val="20"/>
        </w:rPr>
      </w:pPr>
      <w:r w:rsidRPr="00CC02DF">
        <w:rPr>
          <w:sz w:val="20"/>
        </w:rPr>
        <w:t>Existe-t-il d'autres informations pertinentes concernant les implications de la proposition en termes de ressources et de charge de travail ?</w:t>
      </w:r>
    </w:p>
    <w:p w14:paraId="4D055F95" w14:textId="77777777" w:rsidR="00476A51" w:rsidRPr="00CC02DF" w:rsidRDefault="00476A51" w:rsidP="00476A51">
      <w:pPr>
        <w:ind w:left="426"/>
        <w:rPr>
          <w:spacing w:val="-2"/>
          <w:sz w:val="20"/>
          <w:szCs w:val="20"/>
        </w:rPr>
      </w:pPr>
    </w:p>
    <w:p w14:paraId="6230A4AE" w14:textId="77777777" w:rsidR="00476A51" w:rsidRPr="00CC02DF" w:rsidRDefault="00476A51" w:rsidP="00476A51">
      <w:pPr>
        <w:ind w:leftChars="200" w:left="440"/>
        <w:rPr>
          <w:rFonts w:eastAsia="MS Mincho"/>
          <w:color w:val="FF0000"/>
          <w:sz w:val="20"/>
          <w:szCs w:val="20"/>
        </w:rPr>
      </w:pPr>
      <w:r w:rsidRPr="00CC02DF">
        <w:rPr>
          <w:iCs/>
          <w:color w:val="FF0000"/>
          <w:sz w:val="20"/>
        </w:rPr>
        <w:t>Aucune</w:t>
      </w:r>
      <w:r w:rsidRPr="00CC02DF">
        <w:rPr>
          <w:i/>
          <w:color w:val="FF0000"/>
          <w:sz w:val="20"/>
        </w:rPr>
        <w:t>.</w:t>
      </w:r>
    </w:p>
    <w:p w14:paraId="7F2A80F9" w14:textId="77777777" w:rsidR="00476A51" w:rsidRPr="00CC02DF" w:rsidRDefault="00476A51" w:rsidP="00476A51">
      <w:pPr>
        <w:rPr>
          <w:color w:val="FF0000"/>
          <w:sz w:val="20"/>
          <w:szCs w:val="20"/>
        </w:rPr>
      </w:pPr>
    </w:p>
    <w:p w14:paraId="1CA2C187" w14:textId="77777777" w:rsidR="00476A51" w:rsidRPr="00CC02DF" w:rsidRDefault="00476A51" w:rsidP="00476A51">
      <w:pPr>
        <w:ind w:left="280"/>
        <w:rPr>
          <w:sz w:val="20"/>
          <w:szCs w:val="20"/>
        </w:rPr>
      </w:pPr>
    </w:p>
    <w:p w14:paraId="52A6C511" w14:textId="77777777" w:rsidR="00E560E9" w:rsidRPr="00CC02DF" w:rsidRDefault="00E560E9">
      <w:pPr>
        <w:rPr>
          <w:b/>
        </w:rPr>
      </w:pPr>
      <w:r w:rsidRPr="00CC02DF">
        <w:rPr>
          <w:b/>
        </w:rPr>
        <w:br w:type="page"/>
      </w:r>
    </w:p>
    <w:p w14:paraId="37FDDA09" w14:textId="77777777" w:rsidR="00716926" w:rsidRPr="00CC02DF" w:rsidRDefault="00716926" w:rsidP="00716926">
      <w:pPr>
        <w:ind w:left="487" w:right="2"/>
        <w:jc w:val="right"/>
        <w:rPr>
          <w:b/>
          <w:spacing w:val="-2"/>
          <w:sz w:val="20"/>
          <w:szCs w:val="20"/>
        </w:rPr>
      </w:pPr>
      <w:r w:rsidRPr="00CC02DF">
        <w:rPr>
          <w:b/>
          <w:sz w:val="20"/>
        </w:rPr>
        <w:lastRenderedPageBreak/>
        <w:t xml:space="preserve">Original : </w:t>
      </w:r>
      <w:r w:rsidRPr="00CC02DF">
        <w:rPr>
          <w:b/>
          <w:bCs/>
          <w:sz w:val="20"/>
        </w:rPr>
        <w:t>anglais</w:t>
      </w:r>
    </w:p>
    <w:p w14:paraId="4D830FB1" w14:textId="77777777" w:rsidR="00716926" w:rsidRPr="00CC02DF" w:rsidRDefault="00716926" w:rsidP="00844C4B">
      <w:pPr>
        <w:jc w:val="center"/>
        <w:rPr>
          <w:b/>
          <w:sz w:val="20"/>
          <w:szCs w:val="20"/>
        </w:rPr>
      </w:pPr>
    </w:p>
    <w:p w14:paraId="4EEBAF8E" w14:textId="7626E744" w:rsidR="00B7744B" w:rsidRPr="00CC02DF" w:rsidRDefault="00844C4B" w:rsidP="00844C4B">
      <w:pPr>
        <w:jc w:val="center"/>
        <w:rPr>
          <w:b/>
          <w:bCs/>
          <w:sz w:val="20"/>
          <w:szCs w:val="20"/>
        </w:rPr>
      </w:pPr>
      <w:r w:rsidRPr="00CC02DF">
        <w:rPr>
          <w:b/>
          <w:sz w:val="20"/>
          <w:szCs w:val="20"/>
        </w:rPr>
        <w:t xml:space="preserve">Note explicative sur le </w:t>
      </w:r>
    </w:p>
    <w:p w14:paraId="468E5718" w14:textId="4A1C5C5B" w:rsidR="00B7744B" w:rsidRPr="00CC02DF" w:rsidRDefault="00844C4B" w:rsidP="00844C4B">
      <w:pPr>
        <w:jc w:val="center"/>
        <w:rPr>
          <w:b/>
          <w:bCs/>
          <w:sz w:val="20"/>
          <w:szCs w:val="20"/>
        </w:rPr>
      </w:pPr>
      <w:r w:rsidRPr="00CC02DF">
        <w:rPr>
          <w:b/>
          <w:sz w:val="20"/>
          <w:szCs w:val="20"/>
        </w:rPr>
        <w:t>Projet de Recommandation de l'ICCAT concernant la conservation et la gestion des requins capturés en association avec les pêcheries de l’ICCAT</w:t>
      </w:r>
    </w:p>
    <w:p w14:paraId="402D95C8" w14:textId="77777777" w:rsidR="00844C4B" w:rsidRPr="00CC02DF" w:rsidRDefault="00844C4B" w:rsidP="00844C4B">
      <w:pPr>
        <w:jc w:val="center"/>
        <w:rPr>
          <w:b/>
          <w:bCs/>
          <w:i/>
          <w:iCs/>
          <w:sz w:val="20"/>
          <w:szCs w:val="20"/>
        </w:rPr>
      </w:pPr>
    </w:p>
    <w:p w14:paraId="2FD7FBAA" w14:textId="05F4587C" w:rsidR="00844C4B" w:rsidRPr="00CC02DF" w:rsidRDefault="00844C4B" w:rsidP="00844C4B">
      <w:pPr>
        <w:jc w:val="center"/>
        <w:rPr>
          <w:i/>
          <w:iCs/>
          <w:sz w:val="20"/>
          <w:szCs w:val="20"/>
        </w:rPr>
      </w:pPr>
      <w:r w:rsidRPr="00CC02DF">
        <w:rPr>
          <w:i/>
          <w:sz w:val="20"/>
        </w:rPr>
        <w:t>(Document présenté par le Japon)</w:t>
      </w:r>
    </w:p>
    <w:p w14:paraId="613DBA68" w14:textId="77777777" w:rsidR="00844C4B" w:rsidRPr="00CC02DF" w:rsidRDefault="00844C4B" w:rsidP="00844C4B">
      <w:pPr>
        <w:rPr>
          <w:b/>
          <w:bCs/>
        </w:rPr>
      </w:pPr>
    </w:p>
    <w:p w14:paraId="6325AF9B" w14:textId="5F000CC5" w:rsidR="00844C4B" w:rsidRPr="00CC02DF" w:rsidRDefault="00844C4B" w:rsidP="00833055">
      <w:pPr>
        <w:jc w:val="both"/>
        <w:rPr>
          <w:rFonts w:eastAsia="Yu Mincho" w:cs="Times New Roman"/>
          <w:sz w:val="20"/>
          <w:szCs w:val="20"/>
        </w:rPr>
      </w:pPr>
      <w:r w:rsidRPr="00CC02DF">
        <w:rPr>
          <w:sz w:val="20"/>
        </w:rPr>
        <w:t>Lors de la 24</w:t>
      </w:r>
      <w:r w:rsidR="00EC1693" w:rsidRPr="00CC02DF">
        <w:rPr>
          <w:sz w:val="20"/>
          <w:vertAlign w:val="superscript"/>
        </w:rPr>
        <w:t>e</w:t>
      </w:r>
      <w:r w:rsidR="00EC1693" w:rsidRPr="00CC02DF">
        <w:rPr>
          <w:sz w:val="20"/>
        </w:rPr>
        <w:t xml:space="preserve"> </w:t>
      </w:r>
      <w:r w:rsidRPr="00CC02DF">
        <w:rPr>
          <w:sz w:val="20"/>
        </w:rPr>
        <w:t xml:space="preserve">réunion extraordinaire de la Commission en 2024, l'Union européenne (UE) a soumis le « Projet de Recommandation de l’ICCAT concernant la conservation et la gestion des requins capturés en association avec les pêcheries de l’ICCAT » [PA4_805/2024]. Cette proposition visait à intégrer les </w:t>
      </w:r>
      <w:r w:rsidR="00EC1693" w:rsidRPr="00CC02DF">
        <w:rPr>
          <w:sz w:val="20"/>
        </w:rPr>
        <w:t xml:space="preserve">Recommandations </w:t>
      </w:r>
      <w:r w:rsidRPr="00CC02DF">
        <w:rPr>
          <w:sz w:val="20"/>
        </w:rPr>
        <w:t>existantes concernant les requins et à insérer plusieurs nouveaux éléments.</w:t>
      </w:r>
    </w:p>
    <w:p w14:paraId="37CEC4BF" w14:textId="77777777" w:rsidR="00844C4B" w:rsidRPr="00CC02DF" w:rsidRDefault="00844C4B" w:rsidP="00833055">
      <w:pPr>
        <w:jc w:val="both"/>
        <w:rPr>
          <w:rFonts w:eastAsia="Yu Mincho" w:cs="Times New Roman"/>
          <w:sz w:val="20"/>
          <w:szCs w:val="20"/>
        </w:rPr>
      </w:pPr>
    </w:p>
    <w:p w14:paraId="125E9B65" w14:textId="04158F51" w:rsidR="00844C4B" w:rsidRPr="00CC02DF" w:rsidRDefault="00844C4B" w:rsidP="00833055">
      <w:pPr>
        <w:jc w:val="both"/>
        <w:rPr>
          <w:rFonts w:eastAsia="Yu Mincho" w:cs="Times New Roman"/>
          <w:sz w:val="20"/>
          <w:szCs w:val="20"/>
        </w:rPr>
      </w:pPr>
      <w:r w:rsidRPr="00CC02DF">
        <w:rPr>
          <w:sz w:val="20"/>
        </w:rPr>
        <w:t xml:space="preserve">Bien que la Sous-commission 4 ait approuvé de nombreux points de la proposition, plusieurs questions restent en suspens et doivent faire l'objet d'une discussion plus approfondie, en particulier l'interdiction de stocker, de vendre ou d'offrir à la vente, ainsi que la mesure relative aux ailerons naturellement attachés au corps. Le Japon souhaite soumettre par la présente une proposition qui consolide les </w:t>
      </w:r>
      <w:r w:rsidR="00A6521C" w:rsidRPr="00CC02DF">
        <w:rPr>
          <w:sz w:val="20"/>
        </w:rPr>
        <w:t xml:space="preserve">Recommandations </w:t>
      </w:r>
      <w:r w:rsidRPr="00CC02DF">
        <w:rPr>
          <w:sz w:val="20"/>
        </w:rPr>
        <w:t xml:space="preserve">et les </w:t>
      </w:r>
      <w:r w:rsidR="00A6521C" w:rsidRPr="00CC02DF">
        <w:rPr>
          <w:sz w:val="20"/>
        </w:rPr>
        <w:t xml:space="preserve">Résolutions </w:t>
      </w:r>
      <w:r w:rsidRPr="00CC02DF">
        <w:rPr>
          <w:sz w:val="20"/>
        </w:rPr>
        <w:t>existantes relatives aux requins et qui ajoute une suggestion d’approche concernant ce qui précède.</w:t>
      </w:r>
    </w:p>
    <w:p w14:paraId="527C3A85" w14:textId="77777777" w:rsidR="00844C4B" w:rsidRPr="00CC02DF" w:rsidRDefault="00844C4B" w:rsidP="00833055">
      <w:pPr>
        <w:jc w:val="both"/>
        <w:rPr>
          <w:rFonts w:eastAsia="Yu Mincho" w:cs="Times New Roman"/>
          <w:sz w:val="20"/>
          <w:szCs w:val="20"/>
        </w:rPr>
      </w:pPr>
    </w:p>
    <w:p w14:paraId="02DDEF70" w14:textId="2BFE5A8D" w:rsidR="00844C4B" w:rsidRPr="00CC02DF" w:rsidRDefault="00844C4B" w:rsidP="00833055">
      <w:pPr>
        <w:jc w:val="both"/>
        <w:rPr>
          <w:rFonts w:eastAsia="Yu Mincho" w:cs="Times New Roman"/>
          <w:sz w:val="20"/>
          <w:szCs w:val="20"/>
        </w:rPr>
      </w:pPr>
      <w:r w:rsidRPr="00CC02DF">
        <w:rPr>
          <w:sz w:val="20"/>
        </w:rPr>
        <w:t xml:space="preserve">L'Union européenne a proposé d'appliquer « l'interdiction de stocker, de vendre ou d'offrir à la vente » non seulement au renard à gros yeux, au requin océanique et au requin marteau, mais également au requin soyeux et au requin baleine. Toutefois, le Japon a de sérieux doutes quant à la mise en œuvre de cette mesure par les CPC si la Commission accepte d'étendre son champ d'application de trois à cinq espèces. Comme le Japon l'a présenté dans son évaluation « Analyse de la mise en œuvre des mesures de conservation des requins et proposition d'une marche à suivre » [IMM_06/i2025] au Groupe de travail sur les mesures de contrôle intégré (IMM), très peu de CPC mettent pleinement en œuvre l'interdiction de stocker, de vendre ou d'offrir à la vente le renard à gros yeux, le requin océanique et le requin marteau. Certaines CPC n'interdisent qu'à leurs navires de pêche de stocker, de vendre ou d'offrir à la vente des requins, mais </w:t>
      </w:r>
      <w:r w:rsidR="0032107E" w:rsidRPr="00CC02DF">
        <w:rPr>
          <w:sz w:val="20"/>
        </w:rPr>
        <w:t xml:space="preserve">ne l’interdisent </w:t>
      </w:r>
      <w:r w:rsidRPr="00CC02DF">
        <w:rPr>
          <w:sz w:val="20"/>
        </w:rPr>
        <w:t xml:space="preserve">pas à leurs ressortissants. La plupart des CPC ne mettent pas en œuvre ces mesures et ne fournissent aucune information à ce sujet. </w:t>
      </w:r>
    </w:p>
    <w:p w14:paraId="17375D7A" w14:textId="77777777" w:rsidR="00844C4B" w:rsidRPr="00CC02DF" w:rsidRDefault="00844C4B" w:rsidP="00833055">
      <w:pPr>
        <w:jc w:val="both"/>
        <w:rPr>
          <w:rFonts w:eastAsia="Yu Mincho" w:cs="Times New Roman"/>
          <w:sz w:val="20"/>
          <w:szCs w:val="20"/>
        </w:rPr>
      </w:pPr>
    </w:p>
    <w:p w14:paraId="4209D73B" w14:textId="6448FD34" w:rsidR="00844C4B" w:rsidRPr="00CC02DF" w:rsidRDefault="00844C4B" w:rsidP="00833055">
      <w:pPr>
        <w:jc w:val="both"/>
        <w:rPr>
          <w:rFonts w:eastAsia="Yu Mincho" w:cs="Times New Roman"/>
          <w:sz w:val="20"/>
          <w:szCs w:val="20"/>
        </w:rPr>
      </w:pPr>
      <w:r w:rsidRPr="00CC02DF">
        <w:rPr>
          <w:sz w:val="20"/>
        </w:rPr>
        <w:t>Le Japon reconnaît que l'interdiction de certaines actions est nécessaire pour assurer la protection de ces espèces et n'a pas l'intention d'affaiblir la mesure actuelle. Par conséquent, le Japon suggère que les CPC interdisent aux navires battant leur pavillon, et non à leurs ressortissants, de retenir à bord, de transborder et de débarquer ces requins, ce qui permettrait d'atteindre l'objectif des mesures sans imposer une charge trop importante aux CPC.</w:t>
      </w:r>
    </w:p>
    <w:p w14:paraId="0E92CEF9" w14:textId="77777777" w:rsidR="00844C4B" w:rsidRPr="00CC02DF" w:rsidRDefault="00844C4B" w:rsidP="00833055">
      <w:pPr>
        <w:jc w:val="both"/>
        <w:rPr>
          <w:rFonts w:eastAsia="Yu Mincho" w:cs="Times New Roman"/>
          <w:sz w:val="20"/>
          <w:szCs w:val="20"/>
        </w:rPr>
      </w:pPr>
    </w:p>
    <w:p w14:paraId="311AE672" w14:textId="2B6929A3" w:rsidR="00844C4B" w:rsidRPr="00CC02DF" w:rsidRDefault="00844C4B" w:rsidP="00833055">
      <w:pPr>
        <w:jc w:val="both"/>
        <w:rPr>
          <w:rFonts w:eastAsia="Yu Mincho" w:cs="Times New Roman"/>
          <w:sz w:val="20"/>
          <w:szCs w:val="20"/>
        </w:rPr>
      </w:pPr>
      <w:r w:rsidRPr="00CC02DF">
        <w:rPr>
          <w:sz w:val="20"/>
        </w:rPr>
        <w:t xml:space="preserve">En ce qui concerne les ailerons de requins, le Japon propose l'approche de la Commission des pêches du Pacifique occidental et central (WCPFC), qui introduit une politique d’ailerons naturellement attachés au corps assortie de mesures alternatives. Des approches similaires ont été adoptées par d'autres organisations régionales de gestion des pêches (ORGP), à savoir la Commission interaméricaine du thon tropical (IATTC) et la Commission des thons de l'océan Indien (CTOI). </w:t>
      </w:r>
    </w:p>
    <w:p w14:paraId="700781E5" w14:textId="77777777" w:rsidR="00844C4B" w:rsidRPr="00CC02DF" w:rsidRDefault="00844C4B" w:rsidP="00833055">
      <w:pPr>
        <w:jc w:val="both"/>
        <w:rPr>
          <w:rFonts w:eastAsia="Yu Mincho" w:cs="Times New Roman"/>
          <w:sz w:val="20"/>
          <w:szCs w:val="20"/>
        </w:rPr>
      </w:pPr>
    </w:p>
    <w:p w14:paraId="6B0F3044" w14:textId="7463ED85" w:rsidR="00844C4B" w:rsidRPr="00CC02DF" w:rsidRDefault="00844C4B" w:rsidP="003B185D">
      <w:pPr>
        <w:jc w:val="both"/>
        <w:rPr>
          <w:rFonts w:eastAsia="Yu Mincho" w:cs="Times New Roman"/>
          <w:sz w:val="20"/>
          <w:szCs w:val="20"/>
        </w:rPr>
      </w:pPr>
      <w:r w:rsidRPr="00CC02DF">
        <w:rPr>
          <w:sz w:val="20"/>
          <w:szCs w:val="20"/>
        </w:rPr>
        <w:t>L</w:t>
      </w:r>
      <w:r w:rsidR="00D86204" w:rsidRPr="00CC02DF">
        <w:rPr>
          <w:sz w:val="20"/>
          <w:szCs w:val="20"/>
        </w:rPr>
        <w:t>’</w:t>
      </w:r>
      <w:r w:rsidRPr="00CC02DF">
        <w:rPr>
          <w:sz w:val="20"/>
          <w:szCs w:val="20"/>
        </w:rPr>
        <w:t xml:space="preserve">utilisation </w:t>
      </w:r>
      <w:r w:rsidR="00D86204" w:rsidRPr="00CC02DF">
        <w:rPr>
          <w:sz w:val="20"/>
          <w:szCs w:val="20"/>
        </w:rPr>
        <w:t xml:space="preserve">intégrale </w:t>
      </w:r>
      <w:r w:rsidRPr="00CC02DF">
        <w:rPr>
          <w:sz w:val="20"/>
          <w:szCs w:val="20"/>
        </w:rPr>
        <w:t xml:space="preserve">des requins </w:t>
      </w:r>
      <w:r w:rsidR="00D86204" w:rsidRPr="00CC02DF">
        <w:rPr>
          <w:sz w:val="20"/>
          <w:szCs w:val="20"/>
        </w:rPr>
        <w:t>est imposée</w:t>
      </w:r>
      <w:r w:rsidRPr="00CC02DF">
        <w:rPr>
          <w:sz w:val="20"/>
          <w:szCs w:val="20"/>
        </w:rPr>
        <w:t xml:space="preserve"> par la </w:t>
      </w:r>
      <w:hyperlink r:id="rId8" w:history="1">
        <w:r w:rsidRPr="00CC02DF">
          <w:rPr>
            <w:rStyle w:val="Hyperlink"/>
            <w:i/>
            <w:iCs/>
            <w:sz w:val="20"/>
            <w:szCs w:val="20"/>
            <w:u w:val="none"/>
          </w:rPr>
          <w:t>Recommandation de l’ICCAT concernant la conservation des requins capturés en association avec les pêcheries gérées par l’ICCAT</w:t>
        </w:r>
        <w:r w:rsidRPr="00CC02DF">
          <w:rPr>
            <w:rStyle w:val="Hyperlink"/>
            <w:sz w:val="20"/>
            <w:szCs w:val="20"/>
            <w:u w:val="none"/>
          </w:rPr>
          <w:t xml:space="preserve"> (Rec. 04-10).</w:t>
        </w:r>
      </w:hyperlink>
      <w:r w:rsidRPr="00CC02DF">
        <w:rPr>
          <w:sz w:val="20"/>
          <w:szCs w:val="20"/>
        </w:rPr>
        <w:t xml:space="preserve"> Le Japon a mis en œuvre la politique d'utilisation </w:t>
      </w:r>
      <w:r w:rsidR="00D86204" w:rsidRPr="00CC02DF">
        <w:rPr>
          <w:sz w:val="20"/>
          <w:szCs w:val="20"/>
        </w:rPr>
        <w:t>intégrale</w:t>
      </w:r>
      <w:r w:rsidRPr="00CC02DF">
        <w:rPr>
          <w:sz w:val="20"/>
          <w:szCs w:val="20"/>
        </w:rPr>
        <w:t xml:space="preserve"> et estime que tant que les ailerons et le corps sont utilisés, la découpe des ailerons à bord devrait être autorisée comme l'une des opérations. </w:t>
      </w:r>
    </w:p>
    <w:p w14:paraId="40BB8721" w14:textId="77777777" w:rsidR="00844C4B" w:rsidRPr="00CC02DF" w:rsidRDefault="00844C4B" w:rsidP="00833055">
      <w:pPr>
        <w:jc w:val="both"/>
        <w:rPr>
          <w:rFonts w:eastAsia="Yu Mincho" w:cs="Times New Roman"/>
          <w:sz w:val="20"/>
          <w:szCs w:val="20"/>
        </w:rPr>
      </w:pPr>
    </w:p>
    <w:p w14:paraId="753BE283" w14:textId="65E6DC7A" w:rsidR="00844C4B" w:rsidRPr="00CC02DF" w:rsidRDefault="00844C4B" w:rsidP="00833055">
      <w:pPr>
        <w:jc w:val="both"/>
        <w:rPr>
          <w:rFonts w:eastAsia="Yu Mincho" w:cs="Times New Roman"/>
          <w:sz w:val="20"/>
          <w:szCs w:val="20"/>
        </w:rPr>
      </w:pPr>
      <w:r w:rsidRPr="00CC02DF">
        <w:rPr>
          <w:sz w:val="20"/>
        </w:rPr>
        <w:t>En ce qui concerne l'exemption de la présentation de la feuille de contrôle de la mise en œuvre des mesures s'appliquant aux requins, le Comité permanent pour la recherche et les statistiques (SCRS) a proposé en 2025 une procédure en réponse à la demande de la Commission. La procédure proposée figure à l'</w:t>
      </w:r>
      <w:r w:rsidRPr="00CC02DF">
        <w:rPr>
          <w:b/>
          <w:bCs/>
          <w:sz w:val="20"/>
        </w:rPr>
        <w:t>annexe</w:t>
      </w:r>
      <w:r w:rsidR="008C679D" w:rsidRPr="00CC02DF">
        <w:rPr>
          <w:b/>
          <w:bCs/>
          <w:sz w:val="20"/>
        </w:rPr>
        <w:t> </w:t>
      </w:r>
      <w:r w:rsidRPr="00CC02DF">
        <w:rPr>
          <w:b/>
          <w:bCs/>
          <w:sz w:val="20"/>
        </w:rPr>
        <w:t>3.</w:t>
      </w:r>
    </w:p>
    <w:p w14:paraId="156DC084" w14:textId="77777777" w:rsidR="00844C4B" w:rsidRPr="00CC02DF" w:rsidRDefault="00844C4B" w:rsidP="00833055">
      <w:pPr>
        <w:jc w:val="both"/>
        <w:rPr>
          <w:rFonts w:eastAsia="Yu Mincho" w:cs="Times New Roman"/>
          <w:sz w:val="20"/>
          <w:szCs w:val="20"/>
        </w:rPr>
      </w:pPr>
    </w:p>
    <w:p w14:paraId="2E7F446C" w14:textId="5CC1C420" w:rsidR="00844C4B" w:rsidRPr="00CC02DF" w:rsidRDefault="00844C4B" w:rsidP="00833055">
      <w:pPr>
        <w:jc w:val="both"/>
        <w:rPr>
          <w:rFonts w:eastAsia="Yu Mincho" w:cs="Times New Roman"/>
          <w:sz w:val="20"/>
          <w:szCs w:val="20"/>
        </w:rPr>
      </w:pPr>
      <w:r w:rsidRPr="00CC02DF">
        <w:rPr>
          <w:sz w:val="20"/>
        </w:rPr>
        <w:t xml:space="preserve">Dans la proposition, le numéro ou le texte entre crochets à la fin de chaque paragraphe/section est la source du paragraphe, par exemple, les Recommandations existantes de l’ICCAT, le nom de l'ORGP, etc. Ces références seront supprimées lors de l'adoption de cette proposition. </w:t>
      </w:r>
    </w:p>
    <w:p w14:paraId="6370AD1D" w14:textId="77777777" w:rsidR="00844C4B" w:rsidRPr="00CC02DF" w:rsidRDefault="00844C4B" w:rsidP="00833055">
      <w:pPr>
        <w:widowControl/>
        <w:jc w:val="both"/>
        <w:rPr>
          <w:sz w:val="20"/>
          <w:szCs w:val="20"/>
        </w:rPr>
      </w:pPr>
    </w:p>
    <w:p w14:paraId="74AE0F1E" w14:textId="77777777" w:rsidR="00844C4B" w:rsidRPr="00CC02DF" w:rsidRDefault="00844C4B" w:rsidP="00833055">
      <w:pPr>
        <w:widowControl/>
        <w:jc w:val="both"/>
        <w:rPr>
          <w:sz w:val="20"/>
          <w:szCs w:val="20"/>
        </w:rPr>
      </w:pPr>
    </w:p>
    <w:p w14:paraId="004EBBAE" w14:textId="77777777" w:rsidR="00833055" w:rsidRPr="00CC02DF" w:rsidRDefault="00833055">
      <w:pPr>
        <w:rPr>
          <w:sz w:val="20"/>
          <w:szCs w:val="20"/>
        </w:rPr>
      </w:pPr>
      <w:r w:rsidRPr="00CC02DF">
        <w:br w:type="page"/>
      </w:r>
    </w:p>
    <w:p w14:paraId="5486ED14" w14:textId="63A9B341" w:rsidR="00844C4B" w:rsidRPr="00CC02DF" w:rsidRDefault="00844C4B" w:rsidP="00833055">
      <w:pPr>
        <w:jc w:val="center"/>
        <w:rPr>
          <w:b/>
          <w:bCs/>
          <w:sz w:val="20"/>
          <w:szCs w:val="20"/>
        </w:rPr>
      </w:pPr>
      <w:r w:rsidRPr="00CC02DF">
        <w:rPr>
          <w:b/>
          <w:sz w:val="20"/>
        </w:rPr>
        <w:lastRenderedPageBreak/>
        <w:t>Projet de Recommandation de l'ICCAT concernant la conservation et la gestion des requins capturés en association avec les pêcheries de l’ICCAT</w:t>
      </w:r>
    </w:p>
    <w:p w14:paraId="19B40B8F" w14:textId="77777777" w:rsidR="00A02699" w:rsidRPr="00CC02DF" w:rsidRDefault="00A02699" w:rsidP="00833055">
      <w:pPr>
        <w:jc w:val="center"/>
        <w:rPr>
          <w:i/>
          <w:iCs/>
          <w:sz w:val="20"/>
          <w:szCs w:val="20"/>
        </w:rPr>
      </w:pPr>
    </w:p>
    <w:p w14:paraId="1B7E1E9E" w14:textId="3261792C" w:rsidR="00844C4B" w:rsidRPr="00CC02DF" w:rsidRDefault="00844C4B" w:rsidP="00833055">
      <w:pPr>
        <w:jc w:val="center"/>
        <w:rPr>
          <w:i/>
          <w:iCs/>
          <w:sz w:val="20"/>
          <w:szCs w:val="20"/>
        </w:rPr>
      </w:pPr>
      <w:r w:rsidRPr="00CC02DF">
        <w:rPr>
          <w:i/>
          <w:sz w:val="20"/>
        </w:rPr>
        <w:t>(</w:t>
      </w:r>
      <w:r w:rsidR="00F47C7A" w:rsidRPr="00CC02DF">
        <w:rPr>
          <w:i/>
          <w:sz w:val="20"/>
        </w:rPr>
        <w:t>Proposition</w:t>
      </w:r>
      <w:r w:rsidRPr="00CC02DF">
        <w:rPr>
          <w:i/>
          <w:sz w:val="20"/>
        </w:rPr>
        <w:t xml:space="preserve"> présenté</w:t>
      </w:r>
      <w:r w:rsidR="00F47C7A" w:rsidRPr="00CC02DF">
        <w:rPr>
          <w:i/>
          <w:sz w:val="20"/>
        </w:rPr>
        <w:t>e</w:t>
      </w:r>
      <w:r w:rsidRPr="00CC02DF">
        <w:rPr>
          <w:i/>
          <w:sz w:val="20"/>
        </w:rPr>
        <w:t xml:space="preserve"> par le Japon)</w:t>
      </w:r>
    </w:p>
    <w:p w14:paraId="50694886" w14:textId="77777777" w:rsidR="00844C4B" w:rsidRPr="00CC02DF" w:rsidRDefault="00844C4B" w:rsidP="00C07C12">
      <w:pPr>
        <w:ind w:firstLine="425"/>
        <w:jc w:val="both"/>
        <w:rPr>
          <w:sz w:val="20"/>
          <w:szCs w:val="20"/>
        </w:rPr>
      </w:pPr>
    </w:p>
    <w:p w14:paraId="6CFDAC57" w14:textId="77777777" w:rsidR="00844C4B" w:rsidRPr="00CC02DF" w:rsidRDefault="00844C4B" w:rsidP="009772C5">
      <w:pPr>
        <w:ind w:firstLine="425"/>
        <w:jc w:val="both"/>
        <w:rPr>
          <w:sz w:val="20"/>
          <w:szCs w:val="20"/>
        </w:rPr>
      </w:pPr>
      <w:r w:rsidRPr="00CC02DF">
        <w:rPr>
          <w:i/>
          <w:iCs/>
          <w:sz w:val="20"/>
        </w:rPr>
        <w:t>RAPPELANT</w:t>
      </w:r>
      <w:r w:rsidRPr="00CC02DF">
        <w:rPr>
          <w:sz w:val="20"/>
        </w:rPr>
        <w:t xml:space="preserve"> que la Commission a adopté plusieurs Recommandations sur la conservation et la gestion des requins capturés en association avec les pêcheries de l’ICCAT ;</w:t>
      </w:r>
    </w:p>
    <w:p w14:paraId="5AC98282" w14:textId="77777777" w:rsidR="00844C4B" w:rsidRPr="00CC02DF" w:rsidRDefault="00844C4B" w:rsidP="009772C5">
      <w:pPr>
        <w:ind w:firstLine="425"/>
        <w:jc w:val="both"/>
        <w:rPr>
          <w:sz w:val="20"/>
          <w:szCs w:val="20"/>
        </w:rPr>
      </w:pPr>
    </w:p>
    <w:p w14:paraId="7FA0ADA2" w14:textId="4BA608BF" w:rsidR="00844C4B" w:rsidRPr="00CC02DF" w:rsidRDefault="00844C4B" w:rsidP="009772C5">
      <w:pPr>
        <w:ind w:firstLine="425"/>
        <w:jc w:val="both"/>
        <w:rPr>
          <w:sz w:val="20"/>
          <w:szCs w:val="20"/>
        </w:rPr>
      </w:pPr>
      <w:r w:rsidRPr="00CC02DF">
        <w:rPr>
          <w:i/>
          <w:iCs/>
          <w:sz w:val="20"/>
        </w:rPr>
        <w:t>RECONNAISSANT</w:t>
      </w:r>
      <w:r w:rsidRPr="00CC02DF">
        <w:rPr>
          <w:sz w:val="20"/>
        </w:rPr>
        <w:t xml:space="preserve"> que des approches de gestion similaires ont été introduites pour plusieurs espèces de requins</w:t>
      </w:r>
      <w:r w:rsidR="00662448" w:rsidRPr="00CC02DF">
        <w:rPr>
          <w:sz w:val="20"/>
        </w:rPr>
        <w:t> ;</w:t>
      </w:r>
    </w:p>
    <w:p w14:paraId="52321C15" w14:textId="77777777" w:rsidR="00844C4B" w:rsidRPr="00CC02DF" w:rsidRDefault="00844C4B" w:rsidP="009772C5">
      <w:pPr>
        <w:ind w:firstLine="425"/>
        <w:jc w:val="both"/>
        <w:rPr>
          <w:sz w:val="20"/>
          <w:szCs w:val="20"/>
        </w:rPr>
      </w:pPr>
    </w:p>
    <w:p w14:paraId="676C31C3" w14:textId="746D20C6" w:rsidR="00844C4B" w:rsidRPr="00CC02DF" w:rsidRDefault="00844C4B" w:rsidP="009772C5">
      <w:pPr>
        <w:ind w:firstLine="425"/>
        <w:jc w:val="both"/>
        <w:rPr>
          <w:sz w:val="20"/>
          <w:szCs w:val="20"/>
        </w:rPr>
      </w:pPr>
      <w:r w:rsidRPr="00CC02DF">
        <w:rPr>
          <w:i/>
          <w:iCs/>
          <w:sz w:val="20"/>
        </w:rPr>
        <w:t>SOUHAITANT</w:t>
      </w:r>
      <w:r w:rsidRPr="00CC02DF">
        <w:rPr>
          <w:sz w:val="20"/>
        </w:rPr>
        <w:t xml:space="preserve"> rationaliser les Recommandations de l’ICCAT concernant les requins, notamment en éliminant les redondances, en clarifiant les principales obligations et en facilitant leur mise en œuvre, ainsi qu’en contrôlant l’application</w:t>
      </w:r>
      <w:r w:rsidR="00662448" w:rsidRPr="00CC02DF">
        <w:rPr>
          <w:sz w:val="20"/>
        </w:rPr>
        <w:t> ;</w:t>
      </w:r>
    </w:p>
    <w:p w14:paraId="3CBDE167" w14:textId="77777777" w:rsidR="00844C4B" w:rsidRPr="00CC02DF" w:rsidRDefault="00844C4B" w:rsidP="009772C5">
      <w:pPr>
        <w:ind w:firstLine="425"/>
        <w:jc w:val="both"/>
        <w:rPr>
          <w:sz w:val="20"/>
          <w:szCs w:val="20"/>
        </w:rPr>
      </w:pPr>
    </w:p>
    <w:p w14:paraId="5B7D04E8" w14:textId="4218134D" w:rsidR="00844C4B" w:rsidRPr="00CC02DF" w:rsidRDefault="00844C4B" w:rsidP="009772C5">
      <w:pPr>
        <w:ind w:firstLine="425"/>
        <w:jc w:val="both"/>
        <w:rPr>
          <w:sz w:val="20"/>
          <w:szCs w:val="20"/>
        </w:rPr>
      </w:pPr>
      <w:r w:rsidRPr="00CC02DF">
        <w:rPr>
          <w:i/>
          <w:iCs/>
          <w:sz w:val="20"/>
        </w:rPr>
        <w:t>NOTANT</w:t>
      </w:r>
      <w:r w:rsidRPr="00CC02DF">
        <w:rPr>
          <w:sz w:val="20"/>
        </w:rPr>
        <w:t xml:space="preserve"> la liste des espèces figurant au paragraphe 2 de la</w:t>
      </w:r>
      <w:r w:rsidRPr="00CC02DF">
        <w:rPr>
          <w:i/>
          <w:iCs/>
          <w:sz w:val="20"/>
        </w:rPr>
        <w:t xml:space="preserve"> Recommandation de l’ICCAT sur les espèces considérées comme étant des thonidés et des espèces voisines ou des élasmobranches océaniques, pélagiques et hautement migratoires</w:t>
      </w:r>
      <w:r w:rsidRPr="00CC02DF">
        <w:rPr>
          <w:sz w:val="20"/>
        </w:rPr>
        <w:t xml:space="preserve"> (Rec. 19-01) ;</w:t>
      </w:r>
    </w:p>
    <w:p w14:paraId="663225F9" w14:textId="77777777" w:rsidR="00844C4B" w:rsidRPr="00CC02DF" w:rsidRDefault="00844C4B" w:rsidP="009772C5">
      <w:pPr>
        <w:ind w:firstLine="425"/>
        <w:jc w:val="both"/>
        <w:rPr>
          <w:sz w:val="20"/>
          <w:szCs w:val="20"/>
        </w:rPr>
      </w:pPr>
    </w:p>
    <w:p w14:paraId="518A473D" w14:textId="77777777" w:rsidR="00844C4B" w:rsidRPr="00CC02DF" w:rsidRDefault="00844C4B" w:rsidP="00592E25">
      <w:pPr>
        <w:jc w:val="center"/>
        <w:rPr>
          <w:sz w:val="20"/>
          <w:szCs w:val="20"/>
        </w:rPr>
      </w:pPr>
    </w:p>
    <w:p w14:paraId="40DBD3F0" w14:textId="77777777" w:rsidR="00844C4B" w:rsidRPr="00CC02DF" w:rsidRDefault="00844C4B" w:rsidP="00592E25">
      <w:pPr>
        <w:jc w:val="center"/>
        <w:rPr>
          <w:sz w:val="20"/>
          <w:szCs w:val="20"/>
        </w:rPr>
      </w:pPr>
      <w:r w:rsidRPr="00CC02DF">
        <w:rPr>
          <w:sz w:val="20"/>
        </w:rPr>
        <w:t>LA COMMISSION INTERNATIONALE POUR LA CONSERVATION</w:t>
      </w:r>
    </w:p>
    <w:p w14:paraId="4C5E83CA" w14:textId="77777777" w:rsidR="00844C4B" w:rsidRPr="00CC02DF" w:rsidRDefault="00844C4B" w:rsidP="00592E25">
      <w:pPr>
        <w:jc w:val="center"/>
        <w:rPr>
          <w:sz w:val="20"/>
          <w:szCs w:val="20"/>
        </w:rPr>
      </w:pPr>
      <w:r w:rsidRPr="00CC02DF">
        <w:rPr>
          <w:sz w:val="20"/>
        </w:rPr>
        <w:t>DES THONIDÉS DE L’ATLANTIQUE (ICCAT) RECOMMANDE CE QUI SUIT :</w:t>
      </w:r>
    </w:p>
    <w:p w14:paraId="60F2C1E9" w14:textId="77777777" w:rsidR="00844C4B" w:rsidRPr="00CC02DF" w:rsidRDefault="00844C4B" w:rsidP="00833055">
      <w:pPr>
        <w:jc w:val="both"/>
        <w:rPr>
          <w:sz w:val="20"/>
          <w:szCs w:val="20"/>
        </w:rPr>
      </w:pPr>
    </w:p>
    <w:p w14:paraId="695D3B92" w14:textId="77777777" w:rsidR="00844C4B" w:rsidRPr="00CC02DF" w:rsidRDefault="00844C4B" w:rsidP="00833055">
      <w:pPr>
        <w:jc w:val="both"/>
        <w:rPr>
          <w:b/>
          <w:bCs/>
          <w:sz w:val="20"/>
          <w:szCs w:val="20"/>
        </w:rPr>
      </w:pPr>
      <w:r w:rsidRPr="00CC02DF">
        <w:rPr>
          <w:b/>
          <w:sz w:val="20"/>
        </w:rPr>
        <w:t>Définition</w:t>
      </w:r>
    </w:p>
    <w:p w14:paraId="38C33259" w14:textId="77777777" w:rsidR="00844C4B" w:rsidRPr="00CC02DF" w:rsidRDefault="00844C4B" w:rsidP="00833055">
      <w:pPr>
        <w:jc w:val="both"/>
        <w:rPr>
          <w:b/>
          <w:bCs/>
          <w:sz w:val="20"/>
          <w:szCs w:val="20"/>
        </w:rPr>
      </w:pPr>
    </w:p>
    <w:p w14:paraId="336F3FCC" w14:textId="7AA418AE"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Aux fins de la présente Recommandation</w:t>
      </w:r>
      <w:r w:rsidR="007C585A" w:rsidRPr="00CC02DF">
        <w:rPr>
          <w:sz w:val="20"/>
        </w:rPr>
        <w:t> :</w:t>
      </w:r>
    </w:p>
    <w:p w14:paraId="4D9130E6" w14:textId="77777777" w:rsidR="00592E25" w:rsidRPr="00CC02DF" w:rsidRDefault="00592E25" w:rsidP="00592E25">
      <w:pPr>
        <w:pStyle w:val="ListParagraph"/>
        <w:autoSpaceDE/>
        <w:autoSpaceDN/>
        <w:ind w:left="360" w:firstLine="0"/>
        <w:contextualSpacing/>
        <w:jc w:val="both"/>
        <w:rPr>
          <w:sz w:val="20"/>
          <w:szCs w:val="20"/>
        </w:rPr>
      </w:pPr>
    </w:p>
    <w:p w14:paraId="4DEF492E" w14:textId="77777777" w:rsidR="00844C4B" w:rsidRPr="00CC02DF" w:rsidRDefault="00844C4B" w:rsidP="00CC148E">
      <w:pPr>
        <w:pStyle w:val="ListParagraph"/>
        <w:numPr>
          <w:ilvl w:val="0"/>
          <w:numId w:val="61"/>
        </w:numPr>
        <w:autoSpaceDE/>
        <w:autoSpaceDN/>
        <w:contextualSpacing/>
        <w:jc w:val="both"/>
        <w:rPr>
          <w:sz w:val="20"/>
          <w:szCs w:val="20"/>
        </w:rPr>
      </w:pPr>
      <w:r w:rsidRPr="00CC02DF">
        <w:rPr>
          <w:sz w:val="20"/>
        </w:rPr>
        <w:t>On entend par « CPC » les Parties contractantes et les Parties, Entités ou Entités de pêche non contractantes coopérantes.</w:t>
      </w:r>
    </w:p>
    <w:p w14:paraId="3146A8EA" w14:textId="77777777" w:rsidR="00401335" w:rsidRPr="00CC02DF" w:rsidRDefault="00401335" w:rsidP="00401335">
      <w:pPr>
        <w:pStyle w:val="ListParagraph"/>
        <w:autoSpaceDE/>
        <w:autoSpaceDN/>
        <w:ind w:left="720" w:firstLine="0"/>
        <w:contextualSpacing/>
        <w:jc w:val="both"/>
        <w:rPr>
          <w:sz w:val="20"/>
          <w:szCs w:val="20"/>
        </w:rPr>
      </w:pPr>
    </w:p>
    <w:p w14:paraId="6FD73BE8" w14:textId="780BD8AE" w:rsidR="00844C4B" w:rsidRPr="00CC02DF" w:rsidRDefault="00DB2B45" w:rsidP="00DB2B45">
      <w:pPr>
        <w:pStyle w:val="ListParagraph"/>
        <w:autoSpaceDE/>
        <w:autoSpaceDN/>
        <w:ind w:left="720" w:firstLine="0"/>
        <w:contextualSpacing/>
        <w:jc w:val="both"/>
        <w:rPr>
          <w:sz w:val="20"/>
          <w:szCs w:val="20"/>
        </w:rPr>
      </w:pPr>
      <w:r w:rsidRPr="00CC02DF">
        <w:rPr>
          <w:sz w:val="20"/>
        </w:rPr>
        <w:t>[…]</w:t>
      </w:r>
    </w:p>
    <w:p w14:paraId="5B07A515" w14:textId="77777777" w:rsidR="00401335" w:rsidRPr="00CC02DF" w:rsidRDefault="00401335" w:rsidP="00401335">
      <w:pPr>
        <w:pStyle w:val="ListParagraph"/>
        <w:rPr>
          <w:sz w:val="20"/>
          <w:szCs w:val="20"/>
        </w:rPr>
      </w:pPr>
    </w:p>
    <w:p w14:paraId="79C6730B" w14:textId="77777777" w:rsidR="00DB2B45" w:rsidRPr="00CC02DF" w:rsidRDefault="00DB2B45" w:rsidP="00DB2B45">
      <w:pPr>
        <w:pStyle w:val="ListParagraph"/>
        <w:autoSpaceDE/>
        <w:autoSpaceDN/>
        <w:ind w:left="720" w:firstLine="0"/>
        <w:contextualSpacing/>
        <w:jc w:val="both"/>
        <w:rPr>
          <w:sz w:val="20"/>
          <w:szCs w:val="20"/>
        </w:rPr>
      </w:pPr>
      <w:r w:rsidRPr="00CC02DF">
        <w:rPr>
          <w:sz w:val="20"/>
        </w:rPr>
        <w:t>[…]</w:t>
      </w:r>
    </w:p>
    <w:p w14:paraId="513B28DF" w14:textId="77777777" w:rsidR="00401335" w:rsidRPr="00CC02DF" w:rsidRDefault="00401335" w:rsidP="00401335">
      <w:pPr>
        <w:pStyle w:val="ListParagraph"/>
        <w:rPr>
          <w:sz w:val="20"/>
          <w:szCs w:val="20"/>
        </w:rPr>
      </w:pPr>
    </w:p>
    <w:p w14:paraId="69BAD1BC" w14:textId="77777777" w:rsidR="00DB2B45" w:rsidRPr="00CC02DF" w:rsidRDefault="00DB2B45" w:rsidP="00DB2B45">
      <w:pPr>
        <w:pStyle w:val="ListParagraph"/>
        <w:autoSpaceDE/>
        <w:autoSpaceDN/>
        <w:ind w:left="720" w:firstLine="0"/>
        <w:contextualSpacing/>
        <w:jc w:val="both"/>
        <w:rPr>
          <w:sz w:val="20"/>
          <w:szCs w:val="20"/>
        </w:rPr>
      </w:pPr>
      <w:r w:rsidRPr="00CC02DF">
        <w:rPr>
          <w:sz w:val="20"/>
        </w:rPr>
        <w:t>[…]</w:t>
      </w:r>
    </w:p>
    <w:p w14:paraId="0E5696FD" w14:textId="77777777" w:rsidR="00401335" w:rsidRPr="00CC02DF" w:rsidRDefault="00401335" w:rsidP="00401335">
      <w:pPr>
        <w:pStyle w:val="ListParagraph"/>
        <w:rPr>
          <w:sz w:val="20"/>
          <w:szCs w:val="20"/>
        </w:rPr>
      </w:pPr>
    </w:p>
    <w:p w14:paraId="2AF6C0AC" w14:textId="77777777" w:rsidR="00844C4B" w:rsidRPr="00CC02DF" w:rsidRDefault="00844C4B" w:rsidP="00CC148E">
      <w:pPr>
        <w:pStyle w:val="ListParagraph"/>
        <w:numPr>
          <w:ilvl w:val="0"/>
          <w:numId w:val="61"/>
        </w:numPr>
        <w:autoSpaceDE/>
        <w:autoSpaceDN/>
        <w:contextualSpacing/>
        <w:jc w:val="both"/>
        <w:rPr>
          <w:sz w:val="20"/>
          <w:szCs w:val="20"/>
        </w:rPr>
      </w:pPr>
      <w:r w:rsidRPr="00CC02DF">
        <w:rPr>
          <w:sz w:val="20"/>
        </w:rPr>
        <w:t>On entend par « utilisation intégrale » la rétention par le navire de pêche de toutes les parties du requin, à l’exception de la tête, des viscères, des vertèbres et des peaux, jusqu’au premier point de débarquement.</w:t>
      </w:r>
    </w:p>
    <w:p w14:paraId="2599DAF9" w14:textId="77777777" w:rsidR="00401335" w:rsidRPr="00CC02DF" w:rsidRDefault="00401335" w:rsidP="00401335">
      <w:pPr>
        <w:pStyle w:val="ListParagraph"/>
        <w:rPr>
          <w:sz w:val="20"/>
          <w:szCs w:val="20"/>
        </w:rPr>
      </w:pPr>
    </w:p>
    <w:p w14:paraId="574A602C" w14:textId="77777777" w:rsidR="00844C4B" w:rsidRPr="00CC02DF" w:rsidRDefault="00844C4B" w:rsidP="00CC148E">
      <w:pPr>
        <w:pStyle w:val="ListParagraph"/>
        <w:numPr>
          <w:ilvl w:val="0"/>
          <w:numId w:val="61"/>
        </w:numPr>
        <w:autoSpaceDE/>
        <w:autoSpaceDN/>
        <w:contextualSpacing/>
        <w:jc w:val="both"/>
        <w:rPr>
          <w:sz w:val="20"/>
          <w:szCs w:val="20"/>
        </w:rPr>
      </w:pPr>
      <w:r w:rsidRPr="00CC02DF">
        <w:rPr>
          <w:sz w:val="20"/>
          <w:szCs w:val="20"/>
        </w:rPr>
        <w:t>On entend par « prélèvement des ailerons » l’opération qui consiste à enlever et à retenir tout ou partie des ailerons d'un requin et à rejeter sa carcasse en mer.</w:t>
      </w:r>
    </w:p>
    <w:p w14:paraId="418619E2" w14:textId="77777777" w:rsidR="00401335" w:rsidRPr="00CC02DF" w:rsidRDefault="00401335" w:rsidP="00401335">
      <w:pPr>
        <w:pStyle w:val="ListParagraph"/>
        <w:rPr>
          <w:sz w:val="20"/>
          <w:szCs w:val="20"/>
        </w:rPr>
      </w:pPr>
    </w:p>
    <w:p w14:paraId="5B586215" w14:textId="49B23AA8" w:rsidR="00844C4B" w:rsidRPr="00CC02DF" w:rsidRDefault="00844C4B" w:rsidP="00CC148E">
      <w:pPr>
        <w:pStyle w:val="ListParagraph"/>
        <w:numPr>
          <w:ilvl w:val="0"/>
          <w:numId w:val="61"/>
        </w:numPr>
        <w:autoSpaceDE/>
        <w:autoSpaceDN/>
        <w:contextualSpacing/>
        <w:jc w:val="both"/>
        <w:rPr>
          <w:sz w:val="20"/>
          <w:szCs w:val="20"/>
        </w:rPr>
      </w:pPr>
      <w:r w:rsidRPr="00CC02DF">
        <w:rPr>
          <w:sz w:val="20"/>
          <w:szCs w:val="20"/>
        </w:rPr>
        <w:t xml:space="preserve">On entend par « requins » toutes les espèces de requins énumérées dans la </w:t>
      </w:r>
      <w:hyperlink r:id="rId9" w:history="1">
        <w:r w:rsidRPr="00CC02DF">
          <w:rPr>
            <w:rStyle w:val="Hyperlink"/>
            <w:sz w:val="20"/>
            <w:szCs w:val="20"/>
            <w:u w:val="none"/>
          </w:rPr>
          <w:t>Rec. 19-01</w:t>
        </w:r>
      </w:hyperlink>
      <w:r w:rsidRPr="00CC02DF">
        <w:rPr>
          <w:sz w:val="20"/>
          <w:szCs w:val="20"/>
        </w:rPr>
        <w:t xml:space="preserve"> capturées en association avec les pêcheries de l’ICCAT.</w:t>
      </w:r>
    </w:p>
    <w:p w14:paraId="527F919C" w14:textId="77777777" w:rsidR="00401335" w:rsidRPr="00CC02DF" w:rsidRDefault="00401335" w:rsidP="00401335">
      <w:pPr>
        <w:pStyle w:val="ListParagraph"/>
        <w:rPr>
          <w:sz w:val="20"/>
          <w:szCs w:val="20"/>
        </w:rPr>
      </w:pPr>
    </w:p>
    <w:p w14:paraId="68B7A142" w14:textId="5B23468C" w:rsidR="00844C4B" w:rsidRPr="00CC02DF" w:rsidRDefault="00844C4B" w:rsidP="00CC148E">
      <w:pPr>
        <w:pStyle w:val="ListParagraph"/>
        <w:numPr>
          <w:ilvl w:val="0"/>
          <w:numId w:val="61"/>
        </w:numPr>
        <w:autoSpaceDE/>
        <w:autoSpaceDN/>
        <w:contextualSpacing/>
        <w:jc w:val="both"/>
        <w:rPr>
          <w:sz w:val="20"/>
          <w:szCs w:val="20"/>
        </w:rPr>
      </w:pPr>
      <w:r w:rsidRPr="00CC02DF">
        <w:rPr>
          <w:sz w:val="20"/>
          <w:szCs w:val="20"/>
        </w:rPr>
        <w:t xml:space="preserve">Les définitions des espèces de requins devront être conformes à la </w:t>
      </w:r>
      <w:hyperlink r:id="rId10" w:history="1">
        <w:r w:rsidRPr="00CC02DF">
          <w:rPr>
            <w:rStyle w:val="Hyperlink"/>
            <w:sz w:val="20"/>
            <w:szCs w:val="20"/>
            <w:u w:val="none"/>
          </w:rPr>
          <w:t>Rec. 19-01</w:t>
        </w:r>
      </w:hyperlink>
      <w:r w:rsidRPr="00CC02DF">
        <w:rPr>
          <w:sz w:val="20"/>
          <w:szCs w:val="20"/>
        </w:rPr>
        <w:t>.</w:t>
      </w:r>
    </w:p>
    <w:p w14:paraId="67B254D0" w14:textId="77777777" w:rsidR="00844C4B" w:rsidRPr="00CC02DF" w:rsidRDefault="00844C4B" w:rsidP="00833055">
      <w:pPr>
        <w:jc w:val="both"/>
        <w:rPr>
          <w:sz w:val="20"/>
          <w:szCs w:val="20"/>
        </w:rPr>
      </w:pPr>
    </w:p>
    <w:p w14:paraId="46919008" w14:textId="77777777" w:rsidR="00844C4B" w:rsidRPr="00CC02DF" w:rsidRDefault="00844C4B" w:rsidP="00833055">
      <w:pPr>
        <w:jc w:val="both"/>
        <w:rPr>
          <w:b/>
          <w:bCs/>
          <w:sz w:val="20"/>
          <w:szCs w:val="20"/>
        </w:rPr>
      </w:pPr>
      <w:r w:rsidRPr="00CC02DF">
        <w:rPr>
          <w:b/>
          <w:sz w:val="20"/>
        </w:rPr>
        <w:t>Objectif et champ d’application</w:t>
      </w:r>
    </w:p>
    <w:p w14:paraId="594F600A" w14:textId="77777777" w:rsidR="00844C4B" w:rsidRPr="00CC02DF" w:rsidRDefault="00844C4B" w:rsidP="00833055">
      <w:pPr>
        <w:jc w:val="both"/>
        <w:rPr>
          <w:sz w:val="20"/>
          <w:szCs w:val="20"/>
        </w:rPr>
      </w:pPr>
    </w:p>
    <w:p w14:paraId="5524575E" w14:textId="77777777"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L'objectif de la présente Recommandation est de garantir la conservation à long terme et l'utilisation durable des requins par l'application du principe de précaution et d'une approche écosystémique de la gestion des pêches. [WCPFC]</w:t>
      </w:r>
    </w:p>
    <w:p w14:paraId="6E389506" w14:textId="77777777" w:rsidR="00844C4B" w:rsidRPr="00CC02DF" w:rsidRDefault="00844C4B" w:rsidP="00833055">
      <w:pPr>
        <w:pStyle w:val="ListParagraph"/>
        <w:ind w:left="360"/>
        <w:jc w:val="both"/>
        <w:rPr>
          <w:sz w:val="20"/>
          <w:szCs w:val="20"/>
        </w:rPr>
      </w:pPr>
    </w:p>
    <w:p w14:paraId="7B74E3DD" w14:textId="25A971AA" w:rsidR="00844C4B" w:rsidRPr="00CC02DF" w:rsidRDefault="00844C4B" w:rsidP="00A014FA">
      <w:pPr>
        <w:pStyle w:val="ListParagraph"/>
        <w:numPr>
          <w:ilvl w:val="0"/>
          <w:numId w:val="60"/>
        </w:numPr>
        <w:jc w:val="both"/>
        <w:rPr>
          <w:sz w:val="20"/>
          <w:szCs w:val="20"/>
        </w:rPr>
      </w:pPr>
      <w:r w:rsidRPr="00CC02DF">
        <w:rPr>
          <w:sz w:val="20"/>
          <w:szCs w:val="20"/>
        </w:rPr>
        <w:t xml:space="preserve">La présente Recommandation devra s'appliquer aux requins énumérés dans la </w:t>
      </w:r>
      <w:hyperlink r:id="rId11" w:history="1">
        <w:r w:rsidRPr="00CC02DF">
          <w:rPr>
            <w:rStyle w:val="Hyperlink"/>
            <w:sz w:val="20"/>
            <w:szCs w:val="20"/>
            <w:u w:val="none"/>
          </w:rPr>
          <w:t>Rec. 19-01</w:t>
        </w:r>
      </w:hyperlink>
      <w:r w:rsidRPr="00CC02DF">
        <w:rPr>
          <w:sz w:val="20"/>
          <w:szCs w:val="20"/>
        </w:rPr>
        <w:t xml:space="preserve"> qui sont capturés en association avec des pêcheries gérées par l’ICCAT.</w:t>
      </w:r>
      <w:r w:rsidR="00E52A39" w:rsidRPr="00CC02DF">
        <w:rPr>
          <w:sz w:val="20"/>
          <w:szCs w:val="20"/>
        </w:rPr>
        <w:t xml:space="preserve"> </w:t>
      </w:r>
      <w:r w:rsidR="005C5370" w:rsidRPr="00CC02DF">
        <w:rPr>
          <w:sz w:val="20"/>
          <w:szCs w:val="20"/>
          <w:u w:val="single"/>
        </w:rPr>
        <w:t xml:space="preserve">Les CPC </w:t>
      </w:r>
      <w:r w:rsidR="005C5370" w:rsidRPr="00CC02DF">
        <w:rPr>
          <w:sz w:val="20"/>
          <w:szCs w:val="20"/>
          <w:u w:val="single"/>
        </w:rPr>
        <w:t>devront</w:t>
      </w:r>
      <w:r w:rsidR="005C5370" w:rsidRPr="00CC02DF">
        <w:rPr>
          <w:sz w:val="20"/>
          <w:szCs w:val="20"/>
          <w:u w:val="single"/>
        </w:rPr>
        <w:t xml:space="preserve"> mettre en œuvre les mesures suivantes concernant les requins capturés </w:t>
      </w:r>
      <w:r w:rsidR="005C5370" w:rsidRPr="00CC02DF">
        <w:rPr>
          <w:sz w:val="20"/>
          <w:szCs w:val="20"/>
          <w:u w:val="single"/>
        </w:rPr>
        <w:t xml:space="preserve">en association avec les </w:t>
      </w:r>
      <w:r w:rsidR="005C5370" w:rsidRPr="00CC02DF">
        <w:rPr>
          <w:sz w:val="20"/>
          <w:szCs w:val="20"/>
          <w:u w:val="single"/>
        </w:rPr>
        <w:t xml:space="preserve">pêcheries de </w:t>
      </w:r>
      <w:r w:rsidR="005C5370" w:rsidRPr="00CC02DF">
        <w:rPr>
          <w:sz w:val="20"/>
          <w:szCs w:val="20"/>
          <w:u w:val="single"/>
        </w:rPr>
        <w:t>l’ICCAT</w:t>
      </w:r>
      <w:r w:rsidR="005C5370" w:rsidRPr="00CC02DF">
        <w:rPr>
          <w:sz w:val="20"/>
          <w:szCs w:val="20"/>
          <w:u w:val="single"/>
        </w:rPr>
        <w:t>.</w:t>
      </w:r>
    </w:p>
    <w:p w14:paraId="4F836527" w14:textId="77777777" w:rsidR="00286EE4" w:rsidRPr="00CC02DF" w:rsidRDefault="00286EE4">
      <w:pPr>
        <w:rPr>
          <w:b/>
          <w:sz w:val="20"/>
        </w:rPr>
      </w:pPr>
      <w:r w:rsidRPr="00CC02DF">
        <w:rPr>
          <w:b/>
          <w:sz w:val="20"/>
        </w:rPr>
        <w:br w:type="page"/>
      </w:r>
    </w:p>
    <w:p w14:paraId="4E5695B6" w14:textId="01FFDB0E" w:rsidR="00844C4B" w:rsidRPr="00CC02DF" w:rsidRDefault="00844C4B" w:rsidP="00783A78">
      <w:pPr>
        <w:pStyle w:val="ListParagraph"/>
        <w:ind w:left="0" w:firstLine="0"/>
        <w:jc w:val="both"/>
        <w:rPr>
          <w:b/>
          <w:bCs/>
          <w:sz w:val="20"/>
          <w:szCs w:val="20"/>
        </w:rPr>
      </w:pPr>
      <w:r w:rsidRPr="00CC02DF">
        <w:rPr>
          <w:b/>
          <w:sz w:val="20"/>
        </w:rPr>
        <w:t xml:space="preserve">Coopération avec la FAO et mise en œuvre du plan d'action </w:t>
      </w:r>
    </w:p>
    <w:p w14:paraId="6ABA4DD7" w14:textId="77777777" w:rsidR="00844C4B" w:rsidRPr="00CC02DF" w:rsidRDefault="00844C4B" w:rsidP="00833055">
      <w:pPr>
        <w:jc w:val="both"/>
        <w:rPr>
          <w:sz w:val="20"/>
          <w:szCs w:val="20"/>
        </w:rPr>
      </w:pPr>
    </w:p>
    <w:p w14:paraId="0849326F" w14:textId="51434368"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 xml:space="preserve">La FAO </w:t>
      </w:r>
      <w:r w:rsidR="00FB75BE" w:rsidRPr="00CC02DF">
        <w:rPr>
          <w:sz w:val="20"/>
          <w:u w:val="single"/>
        </w:rPr>
        <w:t>devrait servir</w:t>
      </w:r>
      <w:r w:rsidR="0055226D" w:rsidRPr="00CC02DF">
        <w:rPr>
          <w:sz w:val="20"/>
        </w:rPr>
        <w:t xml:space="preserve"> </w:t>
      </w:r>
      <w:r w:rsidRPr="00CC02DF">
        <w:rPr>
          <w:sz w:val="20"/>
        </w:rPr>
        <w:t xml:space="preserve">de plaque tournante donnant le départ à un programme de collecte à l'échelle mondiale, des données biologiques nécessaires, notamment sur l'abondance du stock et l'ampleur des prises accessoires, et des données sur le commerce des espèces de requins, et </w:t>
      </w:r>
      <w:r w:rsidR="000656A3" w:rsidRPr="00CC02DF">
        <w:rPr>
          <w:sz w:val="20"/>
        </w:rPr>
        <w:t>a</w:t>
      </w:r>
      <w:r w:rsidRPr="00CC02DF">
        <w:rPr>
          <w:sz w:val="20"/>
        </w:rPr>
        <w:t xml:space="preserve">ssure la coordination entre les organisations régionales ou sous-régionales de gestion des pêcheries dans le cadre de ces activités. </w:t>
      </w:r>
      <w:r w:rsidR="002E7E84" w:rsidRPr="00CC02DF">
        <w:rPr>
          <w:sz w:val="20"/>
        </w:rPr>
        <w:t>[</w:t>
      </w:r>
      <w:r w:rsidRPr="00CC02DF">
        <w:rPr>
          <w:sz w:val="20"/>
        </w:rPr>
        <w:t>Rés. 95-02 de l’ICCAT</w:t>
      </w:r>
      <w:r w:rsidR="002E7E84" w:rsidRPr="00CC02DF">
        <w:rPr>
          <w:sz w:val="20"/>
        </w:rPr>
        <w:t>]</w:t>
      </w:r>
    </w:p>
    <w:p w14:paraId="2419240E" w14:textId="77777777" w:rsidR="00CE0C69" w:rsidRPr="00CC02DF" w:rsidRDefault="00CE0C69" w:rsidP="00CE0C69">
      <w:pPr>
        <w:pStyle w:val="ListParagraph"/>
        <w:autoSpaceDE/>
        <w:autoSpaceDN/>
        <w:ind w:left="360" w:firstLine="0"/>
        <w:contextualSpacing/>
        <w:jc w:val="both"/>
        <w:rPr>
          <w:sz w:val="20"/>
          <w:szCs w:val="20"/>
        </w:rPr>
      </w:pPr>
    </w:p>
    <w:p w14:paraId="2BC4CB43" w14:textId="6158E5B8"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Les Parties contractantes de l’ICCAT devraient fournir à la FAO l'information, et si possible</w:t>
      </w:r>
      <w:r w:rsidR="000656A3" w:rsidRPr="00CC02DF">
        <w:rPr>
          <w:sz w:val="20"/>
        </w:rPr>
        <w:t>,</w:t>
      </w:r>
      <w:r w:rsidRPr="00CC02DF">
        <w:rPr>
          <w:sz w:val="20"/>
        </w:rPr>
        <w:t xml:space="preserve"> le soutien financier permettant l'exécution des tâches assignées. </w:t>
      </w:r>
      <w:r w:rsidR="002E7E84" w:rsidRPr="00CC02DF">
        <w:rPr>
          <w:sz w:val="20"/>
        </w:rPr>
        <w:t>[</w:t>
      </w:r>
      <w:r w:rsidRPr="00CC02DF">
        <w:rPr>
          <w:sz w:val="20"/>
        </w:rPr>
        <w:t>Rés. 95-02 de l’ICCAT</w:t>
      </w:r>
      <w:r w:rsidR="002E7E84" w:rsidRPr="00CC02DF">
        <w:rPr>
          <w:sz w:val="20"/>
        </w:rPr>
        <w:t>]</w:t>
      </w:r>
    </w:p>
    <w:p w14:paraId="37B69D2F" w14:textId="77777777" w:rsidR="00844C4B" w:rsidRPr="00CC02DF" w:rsidRDefault="00844C4B" w:rsidP="00833055">
      <w:pPr>
        <w:jc w:val="both"/>
        <w:rPr>
          <w:sz w:val="20"/>
          <w:szCs w:val="20"/>
        </w:rPr>
      </w:pPr>
    </w:p>
    <w:p w14:paraId="73B8F7BA" w14:textId="7422B4D9"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 xml:space="preserve">L’ICCAT coopère avec la FAO pour fournir les informations nécessaires et des avis répondant aux requêtes exprimées, notamment à la </w:t>
      </w:r>
      <w:r w:rsidR="009D0825" w:rsidRPr="00CC02DF">
        <w:rPr>
          <w:sz w:val="20"/>
          <w:u w:val="single"/>
        </w:rPr>
        <w:t xml:space="preserve">Résolution de la Convention sur le commerce international des espèces de faune et de flore sauvages menacées d'extinction </w:t>
      </w:r>
      <w:r w:rsidR="009D0825" w:rsidRPr="00CC02DF">
        <w:rPr>
          <w:sz w:val="20"/>
        </w:rPr>
        <w:t xml:space="preserve">(CITES) </w:t>
      </w:r>
      <w:r w:rsidR="009D0825" w:rsidRPr="00CC02DF">
        <w:rPr>
          <w:sz w:val="20"/>
          <w:u w:val="single"/>
        </w:rPr>
        <w:t>sur le « Statut du commerce international des espèces de requins » (adoptée lors de la neuvième session de la Conférence des Parties)</w:t>
      </w:r>
      <w:r w:rsidR="005218E9" w:rsidRPr="00CC02DF">
        <w:rPr>
          <w:sz w:val="20"/>
          <w:u w:val="single"/>
        </w:rPr>
        <w:t>.</w:t>
      </w:r>
      <w:r w:rsidR="00195BE0" w:rsidRPr="00CC02DF">
        <w:rPr>
          <w:sz w:val="20"/>
        </w:rPr>
        <w:t xml:space="preserve"> </w:t>
      </w:r>
      <w:r w:rsidR="002E7E84" w:rsidRPr="00CC02DF">
        <w:rPr>
          <w:sz w:val="20"/>
        </w:rPr>
        <w:t>[</w:t>
      </w:r>
      <w:r w:rsidRPr="00CC02DF">
        <w:rPr>
          <w:sz w:val="20"/>
        </w:rPr>
        <w:t>Rés. 95-02 de l’ICCAT</w:t>
      </w:r>
      <w:r w:rsidR="002E7E84" w:rsidRPr="00CC02DF">
        <w:rPr>
          <w:sz w:val="20"/>
        </w:rPr>
        <w:t>]</w:t>
      </w:r>
    </w:p>
    <w:p w14:paraId="1A048ABE" w14:textId="77777777" w:rsidR="00844C4B" w:rsidRPr="00CC02DF" w:rsidRDefault="00844C4B" w:rsidP="00833055">
      <w:pPr>
        <w:pStyle w:val="ListParagraph"/>
        <w:jc w:val="both"/>
        <w:rPr>
          <w:sz w:val="20"/>
          <w:szCs w:val="20"/>
        </w:rPr>
      </w:pPr>
    </w:p>
    <w:p w14:paraId="3B4B4B5A" w14:textId="6407153A" w:rsidR="00844C4B" w:rsidRPr="00CC02DF" w:rsidRDefault="002016B9" w:rsidP="00CC148E">
      <w:pPr>
        <w:pStyle w:val="ListParagraph"/>
        <w:numPr>
          <w:ilvl w:val="0"/>
          <w:numId w:val="60"/>
        </w:numPr>
        <w:autoSpaceDE/>
        <w:autoSpaceDN/>
        <w:contextualSpacing/>
        <w:jc w:val="both"/>
        <w:rPr>
          <w:sz w:val="20"/>
          <w:szCs w:val="20"/>
        </w:rPr>
      </w:pPr>
      <w:r w:rsidRPr="00CC02DF">
        <w:rPr>
          <w:sz w:val="20"/>
          <w:u w:val="single"/>
        </w:rPr>
        <w:t>Chaque</w:t>
      </w:r>
      <w:r w:rsidR="00844C4B" w:rsidRPr="00CC02DF">
        <w:rPr>
          <w:sz w:val="20"/>
        </w:rPr>
        <w:t xml:space="preserve"> CPC </w:t>
      </w:r>
      <w:r w:rsidR="00844C4B" w:rsidRPr="00CC02DF">
        <w:rPr>
          <w:sz w:val="20"/>
          <w:u w:val="single"/>
        </w:rPr>
        <w:t>devr</w:t>
      </w:r>
      <w:r w:rsidRPr="00CC02DF">
        <w:rPr>
          <w:sz w:val="20"/>
          <w:u w:val="single"/>
        </w:rPr>
        <w:t>a</w:t>
      </w:r>
      <w:r w:rsidR="00844C4B" w:rsidRPr="00CC02DF">
        <w:rPr>
          <w:sz w:val="20"/>
        </w:rPr>
        <w:t xml:space="preserve"> mettre </w:t>
      </w:r>
      <w:r w:rsidR="007C5FA1" w:rsidRPr="00CC02DF">
        <w:rPr>
          <w:sz w:val="20"/>
        </w:rPr>
        <w:t xml:space="preserve">intégralement </w:t>
      </w:r>
      <w:r w:rsidR="00844C4B" w:rsidRPr="00CC02DF">
        <w:rPr>
          <w:sz w:val="20"/>
        </w:rPr>
        <w:t>en œuvre un plan d'action national (NPOA) conformément au plan d'action international (IPOA)</w:t>
      </w:r>
      <w:r w:rsidR="00AE79C1" w:rsidRPr="00CC02DF">
        <w:rPr>
          <w:sz w:val="20"/>
          <w:u w:val="single"/>
        </w:rPr>
        <w:t xml:space="preserve"> </w:t>
      </w:r>
      <w:r w:rsidR="00171A97" w:rsidRPr="00CC02DF">
        <w:rPr>
          <w:sz w:val="20"/>
          <w:u w:val="single"/>
        </w:rPr>
        <w:t>de 1999</w:t>
      </w:r>
      <w:r w:rsidR="00171A97" w:rsidRPr="00CC02DF">
        <w:rPr>
          <w:sz w:val="20"/>
        </w:rPr>
        <w:t xml:space="preserve"> </w:t>
      </w:r>
      <w:r w:rsidR="00AE79C1" w:rsidRPr="00CC02DF">
        <w:rPr>
          <w:sz w:val="20"/>
        </w:rPr>
        <w:t>de la FAO</w:t>
      </w:r>
      <w:r w:rsidR="00844C4B" w:rsidRPr="00CC02DF">
        <w:rPr>
          <w:sz w:val="20"/>
        </w:rPr>
        <w:t xml:space="preserve"> pour la conservation et la gestion des requin</w:t>
      </w:r>
      <w:r w:rsidR="00844C4B" w:rsidRPr="00CC02DF">
        <w:rPr>
          <w:sz w:val="20"/>
          <w:u w:val="single"/>
        </w:rPr>
        <w:t>s</w:t>
      </w:r>
      <w:r w:rsidR="005218E9" w:rsidRPr="00CC02DF">
        <w:rPr>
          <w:sz w:val="20"/>
          <w:u w:val="single"/>
        </w:rPr>
        <w:t xml:space="preserve">. </w:t>
      </w:r>
      <w:r w:rsidR="002E7E84" w:rsidRPr="00CC02DF">
        <w:rPr>
          <w:sz w:val="20"/>
          <w:u w:val="single"/>
        </w:rPr>
        <w:t>[</w:t>
      </w:r>
      <w:r w:rsidR="00844C4B" w:rsidRPr="00CC02DF">
        <w:rPr>
          <w:sz w:val="20"/>
        </w:rPr>
        <w:t xml:space="preserve">Rés. </w:t>
      </w:r>
      <w:r w:rsidR="00977B5A" w:rsidRPr="00CC02DF">
        <w:rPr>
          <w:sz w:val="20"/>
        </w:rPr>
        <w:t>03</w:t>
      </w:r>
      <w:r w:rsidR="00844C4B" w:rsidRPr="00CC02DF">
        <w:rPr>
          <w:sz w:val="20"/>
        </w:rPr>
        <w:t>-</w:t>
      </w:r>
      <w:r w:rsidR="00977B5A" w:rsidRPr="00CC02DF">
        <w:rPr>
          <w:sz w:val="20"/>
        </w:rPr>
        <w:t>10</w:t>
      </w:r>
      <w:r w:rsidR="00844C4B" w:rsidRPr="00CC02DF">
        <w:rPr>
          <w:sz w:val="20"/>
        </w:rPr>
        <w:t xml:space="preserve"> de l’ICCAT</w:t>
      </w:r>
      <w:r w:rsidR="002E7E84" w:rsidRPr="00CC02DF">
        <w:rPr>
          <w:sz w:val="20"/>
        </w:rPr>
        <w:t>]</w:t>
      </w:r>
    </w:p>
    <w:p w14:paraId="52969B9A" w14:textId="77777777" w:rsidR="00844C4B" w:rsidRPr="00CC02DF" w:rsidRDefault="00844C4B" w:rsidP="00833055">
      <w:pPr>
        <w:pStyle w:val="ListParagraph"/>
        <w:jc w:val="both"/>
        <w:rPr>
          <w:sz w:val="20"/>
          <w:szCs w:val="20"/>
        </w:rPr>
      </w:pPr>
    </w:p>
    <w:p w14:paraId="76DC4FF7" w14:textId="6A2EC8B1" w:rsidR="00844C4B" w:rsidRPr="00CC02DF" w:rsidRDefault="00844C4B" w:rsidP="003B05EA">
      <w:pPr>
        <w:pStyle w:val="ListParagraph"/>
        <w:ind w:left="0" w:firstLine="0"/>
        <w:jc w:val="both"/>
        <w:rPr>
          <w:b/>
          <w:bCs/>
          <w:sz w:val="20"/>
          <w:szCs w:val="20"/>
        </w:rPr>
      </w:pPr>
      <w:r w:rsidRPr="00CC02DF">
        <w:rPr>
          <w:b/>
          <w:sz w:val="20"/>
        </w:rPr>
        <w:t xml:space="preserve">Utilisation intégrale du requin et interdiction du </w:t>
      </w:r>
      <w:r w:rsidR="0098551F" w:rsidRPr="00CC02DF">
        <w:rPr>
          <w:b/>
          <w:sz w:val="20"/>
        </w:rPr>
        <w:t>prélèvement</w:t>
      </w:r>
      <w:r w:rsidRPr="00CC02DF">
        <w:rPr>
          <w:b/>
          <w:sz w:val="20"/>
        </w:rPr>
        <w:t xml:space="preserve"> des ailerons [WCPFC]</w:t>
      </w:r>
    </w:p>
    <w:p w14:paraId="7CF49B95" w14:textId="77777777" w:rsidR="00844C4B" w:rsidRPr="00CC02DF" w:rsidRDefault="00844C4B" w:rsidP="00833055">
      <w:pPr>
        <w:pStyle w:val="ListParagraph"/>
        <w:jc w:val="both"/>
        <w:rPr>
          <w:sz w:val="20"/>
          <w:szCs w:val="20"/>
        </w:rPr>
      </w:pPr>
    </w:p>
    <w:p w14:paraId="4F018FD9" w14:textId="1098FC1A"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 xml:space="preserve">Les CPC devront prendre les mesures nécessaires pour exiger que tous les requins retenus à bord de leurs navires soient intégralement utilisés. Les CPC devront s'assurer que la pratique du </w:t>
      </w:r>
      <w:r w:rsidR="00200CAA" w:rsidRPr="00CC02DF">
        <w:rPr>
          <w:sz w:val="20"/>
        </w:rPr>
        <w:t>prélèvement</w:t>
      </w:r>
      <w:r w:rsidRPr="00CC02DF">
        <w:rPr>
          <w:sz w:val="20"/>
        </w:rPr>
        <w:t xml:space="preserve"> des ailerons est interdite.</w:t>
      </w:r>
    </w:p>
    <w:p w14:paraId="09F86741" w14:textId="77777777" w:rsidR="00844C4B" w:rsidRPr="00CC02DF" w:rsidRDefault="00844C4B" w:rsidP="00833055">
      <w:pPr>
        <w:pStyle w:val="ListParagraph"/>
        <w:ind w:left="360"/>
        <w:jc w:val="both"/>
        <w:rPr>
          <w:sz w:val="20"/>
          <w:szCs w:val="20"/>
        </w:rPr>
      </w:pPr>
    </w:p>
    <w:p w14:paraId="199DDFEA" w14:textId="4894F132" w:rsidR="00844C4B" w:rsidRPr="00CC02DF" w:rsidRDefault="00844C4B" w:rsidP="00CC148E">
      <w:pPr>
        <w:pStyle w:val="ListParagraph"/>
        <w:numPr>
          <w:ilvl w:val="0"/>
          <w:numId w:val="60"/>
        </w:numPr>
        <w:autoSpaceDE/>
        <w:autoSpaceDN/>
        <w:contextualSpacing/>
        <w:jc w:val="both"/>
        <w:rPr>
          <w:sz w:val="20"/>
          <w:szCs w:val="20"/>
          <w:u w:val="single"/>
        </w:rPr>
      </w:pPr>
      <w:r w:rsidRPr="00CC02DF">
        <w:rPr>
          <w:sz w:val="20"/>
        </w:rPr>
        <w:t>Afin de mettre en œuvre l'obligation visée au paragraphe 8, les CPC devront exiger de leurs navires qu'ils débarquent les requins avec leurs ailerons naturellement attachés</w:t>
      </w:r>
      <w:r w:rsidR="005218E9" w:rsidRPr="00CC02DF">
        <w:rPr>
          <w:sz w:val="20"/>
        </w:rPr>
        <w:t xml:space="preserve"> (</w:t>
      </w:r>
      <w:r w:rsidR="005218E9" w:rsidRPr="00CC02DF">
        <w:rPr>
          <w:sz w:val="20"/>
          <w:u w:val="single"/>
        </w:rPr>
        <w:t>entièrement ou partiellement)</w:t>
      </w:r>
      <w:r w:rsidRPr="00CC02DF">
        <w:rPr>
          <w:sz w:val="20"/>
        </w:rPr>
        <w:t xml:space="preserve"> à la carcasse</w:t>
      </w:r>
      <w:r w:rsidR="006E0460" w:rsidRPr="00CC02DF">
        <w:rPr>
          <w:sz w:val="20"/>
        </w:rPr>
        <w:t xml:space="preserve"> </w:t>
      </w:r>
      <w:r w:rsidR="006E0460" w:rsidRPr="00CC02DF">
        <w:rPr>
          <w:sz w:val="20"/>
          <w:u w:val="single"/>
        </w:rPr>
        <w:t>au point d</w:t>
      </w:r>
      <w:r w:rsidR="00A36B1B" w:rsidRPr="00CC02DF">
        <w:rPr>
          <w:sz w:val="20"/>
          <w:u w:val="single"/>
        </w:rPr>
        <w:t>e premier débarquement des r</w:t>
      </w:r>
      <w:r w:rsidR="006E0460" w:rsidRPr="00CC02DF">
        <w:rPr>
          <w:sz w:val="20"/>
          <w:u w:val="single"/>
        </w:rPr>
        <w:t>equin</w:t>
      </w:r>
      <w:r w:rsidR="00A36B1B" w:rsidRPr="00CC02DF">
        <w:rPr>
          <w:sz w:val="20"/>
          <w:u w:val="single"/>
        </w:rPr>
        <w:t>s.</w:t>
      </w:r>
    </w:p>
    <w:p w14:paraId="58A3C96E" w14:textId="77777777" w:rsidR="00844C4B" w:rsidRPr="00CC02DF" w:rsidRDefault="00844C4B" w:rsidP="00833055">
      <w:pPr>
        <w:pStyle w:val="ListParagraph"/>
        <w:ind w:left="360"/>
        <w:jc w:val="both"/>
        <w:rPr>
          <w:sz w:val="20"/>
          <w:szCs w:val="20"/>
        </w:rPr>
      </w:pPr>
    </w:p>
    <w:p w14:paraId="1E736E5C" w14:textId="4C41A5EF" w:rsidR="00844C4B" w:rsidRPr="00CC02DF" w:rsidRDefault="004C6B3A" w:rsidP="00CC148E">
      <w:pPr>
        <w:pStyle w:val="ListParagraph"/>
        <w:numPr>
          <w:ilvl w:val="0"/>
          <w:numId w:val="60"/>
        </w:numPr>
        <w:autoSpaceDE/>
        <w:autoSpaceDN/>
        <w:contextualSpacing/>
        <w:jc w:val="both"/>
        <w:rPr>
          <w:sz w:val="20"/>
          <w:szCs w:val="20"/>
        </w:rPr>
      </w:pPr>
      <w:r w:rsidRPr="00CC02DF">
        <w:rPr>
          <w:sz w:val="20"/>
          <w:u w:val="single"/>
        </w:rPr>
        <w:t>[</w:t>
      </w:r>
      <w:r w:rsidR="00844C4B" w:rsidRPr="00CC02DF">
        <w:rPr>
          <w:sz w:val="20"/>
        </w:rPr>
        <w:t>Nonobstant le paragraphe 9, les CPC peuvent autoriser leurs navires à mettre en œuvre l'une des mesures alternatives énumérées ci-dessous afin de se conformer au paragraphe 8. Les CPC devront mettre en œuvre des efforts de surveillance renforcés à bord de leurs navires autorisés à mettre en œuvre les alternatives.</w:t>
      </w:r>
    </w:p>
    <w:p w14:paraId="48323108" w14:textId="77777777" w:rsidR="00B85EFB" w:rsidRPr="00CC02DF" w:rsidRDefault="00B85EFB" w:rsidP="00B85EFB">
      <w:pPr>
        <w:pStyle w:val="ListParagraph"/>
        <w:ind w:left="360" w:firstLine="0"/>
        <w:jc w:val="both"/>
        <w:rPr>
          <w:sz w:val="20"/>
          <w:szCs w:val="20"/>
        </w:rPr>
      </w:pPr>
    </w:p>
    <w:p w14:paraId="4D5D7A64" w14:textId="7FA71734" w:rsidR="00844C4B" w:rsidRPr="00CC02DF" w:rsidRDefault="00844C4B" w:rsidP="00B85EFB">
      <w:pPr>
        <w:pStyle w:val="ListParagraph"/>
        <w:ind w:left="360" w:firstLine="0"/>
        <w:jc w:val="both"/>
        <w:rPr>
          <w:sz w:val="20"/>
          <w:szCs w:val="20"/>
        </w:rPr>
      </w:pPr>
      <w:r w:rsidRPr="00CC02DF">
        <w:rPr>
          <w:sz w:val="20"/>
        </w:rPr>
        <w:t>Afin de garantir que les carcasses de requins et leurs ailerons correspondants puissent être facilement identifiées par les inspecteurs présents à bord du navire à tout moment, ces solutions devront être appliquées dès que possible avant que les requins ne soient stockés dans les cales à poisson.</w:t>
      </w:r>
    </w:p>
    <w:p w14:paraId="162D264C" w14:textId="77777777" w:rsidR="00844C4B" w:rsidRPr="00CC02DF" w:rsidRDefault="00844C4B" w:rsidP="00833055">
      <w:pPr>
        <w:jc w:val="both"/>
        <w:rPr>
          <w:sz w:val="20"/>
          <w:szCs w:val="20"/>
        </w:rPr>
      </w:pPr>
    </w:p>
    <w:p w14:paraId="5D22EE86" w14:textId="5A9229AF" w:rsidR="00844C4B" w:rsidRPr="00CC02DF" w:rsidRDefault="00844C4B" w:rsidP="00286EE4">
      <w:pPr>
        <w:pStyle w:val="ListParagraph"/>
        <w:numPr>
          <w:ilvl w:val="0"/>
          <w:numId w:val="69"/>
        </w:numPr>
        <w:ind w:left="851" w:hanging="425"/>
        <w:jc w:val="both"/>
        <w:rPr>
          <w:sz w:val="20"/>
          <w:szCs w:val="20"/>
        </w:rPr>
      </w:pPr>
      <w:r w:rsidRPr="00CC02DF">
        <w:rPr>
          <w:sz w:val="20"/>
        </w:rPr>
        <w:t xml:space="preserve">Chaque carcasse de requin </w:t>
      </w:r>
      <w:r w:rsidR="00516B33" w:rsidRPr="00CC02DF">
        <w:rPr>
          <w:sz w:val="20"/>
        </w:rPr>
        <w:t>est</w:t>
      </w:r>
      <w:r w:rsidRPr="00CC02DF">
        <w:rPr>
          <w:sz w:val="20"/>
        </w:rPr>
        <w:t xml:space="preserve"> attachée aux ailerons correspondants à l'aide d'une corde ou d'un fil ; ou</w:t>
      </w:r>
    </w:p>
    <w:p w14:paraId="18A0345F" w14:textId="77777777" w:rsidR="00B85EFB" w:rsidRPr="00CC02DF" w:rsidRDefault="00B85EFB" w:rsidP="00286EE4">
      <w:pPr>
        <w:pStyle w:val="ListParagraph"/>
        <w:ind w:left="851" w:hanging="425"/>
        <w:jc w:val="both"/>
        <w:rPr>
          <w:sz w:val="20"/>
          <w:szCs w:val="20"/>
        </w:rPr>
      </w:pPr>
    </w:p>
    <w:p w14:paraId="20257E5F" w14:textId="48490722" w:rsidR="00844C4B" w:rsidRPr="00CC02DF" w:rsidRDefault="00844C4B" w:rsidP="00286EE4">
      <w:pPr>
        <w:pStyle w:val="ListParagraph"/>
        <w:numPr>
          <w:ilvl w:val="0"/>
          <w:numId w:val="69"/>
        </w:numPr>
        <w:ind w:left="851" w:hanging="425"/>
        <w:jc w:val="both"/>
        <w:rPr>
          <w:sz w:val="20"/>
          <w:szCs w:val="20"/>
        </w:rPr>
      </w:pPr>
      <w:r w:rsidRPr="00CC02DF">
        <w:rPr>
          <w:sz w:val="20"/>
        </w:rPr>
        <w:t xml:space="preserve">Des </w:t>
      </w:r>
      <w:r w:rsidR="004865C9" w:rsidRPr="00CC02DF">
        <w:rPr>
          <w:sz w:val="20"/>
        </w:rPr>
        <w:t>marques</w:t>
      </w:r>
      <w:r w:rsidRPr="00CC02DF">
        <w:rPr>
          <w:sz w:val="20"/>
        </w:rPr>
        <w:t xml:space="preserve"> identiques et numérotées sont attachées à chaque carcasse de requin et à ses ailerons correspondants de manière à ce que les inspecteurs puissent facilement identifier la correspondance entre la carcasse et les ailerons à tout moment. Les carcasses et les ailerons </w:t>
      </w:r>
      <w:r w:rsidR="00516B33" w:rsidRPr="00CC02DF">
        <w:rPr>
          <w:sz w:val="20"/>
        </w:rPr>
        <w:t>devront être</w:t>
      </w:r>
      <w:r w:rsidRPr="00CC02DF">
        <w:rPr>
          <w:sz w:val="20"/>
        </w:rPr>
        <w:t xml:space="preserve"> stockés à bord dans la même cale.</w:t>
      </w:r>
    </w:p>
    <w:p w14:paraId="596DC75F" w14:textId="77777777" w:rsidR="00844C4B" w:rsidRPr="00CC02DF" w:rsidRDefault="00844C4B" w:rsidP="00833055">
      <w:pPr>
        <w:pStyle w:val="ListParagraph"/>
        <w:ind w:left="360"/>
        <w:jc w:val="both"/>
        <w:rPr>
          <w:sz w:val="20"/>
          <w:szCs w:val="20"/>
        </w:rPr>
      </w:pPr>
    </w:p>
    <w:p w14:paraId="63865E94" w14:textId="433F9895"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Toutes les CPC devront inclure dans leur rapport annuel des informations sur la mise en œuvre des mesures visées aux paragraphes 9 et 10, selon le cas, y compris : 1) comment les navires autorisés ont renforcé leurs efforts de surveillance ; 2) combien de navires ont utilisé les mesures alternatives au cours de l'année précédente ; 3) comment l’application est assurée en mer et au port, y compris comment les incidents éventuels de nombre disproportionné d’ailerons, de pratique d’écrémage et de substitution d'espèces ont été traités ; 4) une explication de la raison pour laquelle la flottille a adopté sa pratique de manipulation des ailerons et 5) toute autre information que le PWG pourrait juger nécessaire.</w:t>
      </w:r>
    </w:p>
    <w:p w14:paraId="34E73027" w14:textId="77777777" w:rsidR="00844C4B" w:rsidRPr="00CC02DF" w:rsidRDefault="00844C4B" w:rsidP="00833055">
      <w:pPr>
        <w:pStyle w:val="ListParagraph"/>
        <w:ind w:left="360"/>
        <w:jc w:val="both"/>
        <w:rPr>
          <w:sz w:val="20"/>
          <w:szCs w:val="20"/>
        </w:rPr>
      </w:pPr>
    </w:p>
    <w:p w14:paraId="0F4D7ED2" w14:textId="77777777" w:rsidR="00E54649" w:rsidRPr="00CC02DF" w:rsidRDefault="00E54649">
      <w:pPr>
        <w:rPr>
          <w:sz w:val="20"/>
        </w:rPr>
      </w:pPr>
      <w:r w:rsidRPr="00CC02DF">
        <w:rPr>
          <w:sz w:val="20"/>
        </w:rPr>
        <w:br w:type="page"/>
      </w:r>
    </w:p>
    <w:p w14:paraId="2449E01E" w14:textId="2B07010D" w:rsidR="00286EE4" w:rsidRPr="00CC02DF" w:rsidRDefault="00844C4B" w:rsidP="000E6528">
      <w:pPr>
        <w:pStyle w:val="ListParagraph"/>
        <w:numPr>
          <w:ilvl w:val="0"/>
          <w:numId w:val="60"/>
        </w:numPr>
        <w:autoSpaceDE/>
        <w:autoSpaceDN/>
        <w:contextualSpacing/>
        <w:jc w:val="both"/>
        <w:rPr>
          <w:sz w:val="20"/>
        </w:rPr>
      </w:pPr>
      <w:r w:rsidRPr="00CC02DF">
        <w:rPr>
          <w:sz w:val="20"/>
        </w:rPr>
        <w:t>Les CPC devront fournir des informations au PWG sur toute difficulté d'application rencontrée dans le cas des mesures alternatives, à partir des rapports des observateurs, de suivi électronique et d'inspection des débarquements.</w:t>
      </w:r>
    </w:p>
    <w:p w14:paraId="541E7575" w14:textId="77777777" w:rsidR="00E54649" w:rsidRPr="00CC02DF" w:rsidRDefault="00E54649" w:rsidP="00E54649">
      <w:pPr>
        <w:pStyle w:val="ListParagraph"/>
        <w:autoSpaceDE/>
        <w:autoSpaceDN/>
        <w:ind w:left="360" w:firstLine="0"/>
        <w:contextualSpacing/>
        <w:jc w:val="both"/>
        <w:rPr>
          <w:sz w:val="20"/>
        </w:rPr>
      </w:pPr>
    </w:p>
    <w:p w14:paraId="4535DE86" w14:textId="789FC4B2"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Le Secrétariat de l'ICCAT devra compiler les informations fournies par les CPC en ce qui concerne les paragraphes 9 et 10, chaque année, et les mettre à la disposition du PWG.</w:t>
      </w:r>
    </w:p>
    <w:p w14:paraId="3EA681C9" w14:textId="77777777" w:rsidR="00844C4B" w:rsidRPr="00CC02DF" w:rsidRDefault="00844C4B" w:rsidP="00833055">
      <w:pPr>
        <w:jc w:val="both"/>
        <w:rPr>
          <w:sz w:val="20"/>
          <w:szCs w:val="20"/>
        </w:rPr>
      </w:pPr>
    </w:p>
    <w:p w14:paraId="14CDE453" w14:textId="0AC9714F"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Le PWG devra examiner et discuter les rapports présentés conformément aux paragraphes 11 et 12. Si une CPC qui a utilisé les mesures alternatives ne fournit pas d'informations conformément au paragraphe 1</w:t>
      </w:r>
      <w:r w:rsidRPr="00CC02DF">
        <w:rPr>
          <w:sz w:val="20"/>
          <w:u w:val="single"/>
        </w:rPr>
        <w:t>1, l</w:t>
      </w:r>
      <w:r w:rsidRPr="00CC02DF">
        <w:rPr>
          <w:sz w:val="20"/>
        </w:rPr>
        <w:t>e paragraphe 10 ne sera pas applicable au cours des années suivantes pour cette CPC jusqu'à ce que la CPC fournisse ces informations au PWG</w:t>
      </w:r>
      <w:r w:rsidRPr="00CC02DF">
        <w:rPr>
          <w:sz w:val="20"/>
          <w:u w:val="single"/>
        </w:rPr>
        <w:t>.</w:t>
      </w:r>
      <w:r w:rsidR="00001E50" w:rsidRPr="00CC02DF">
        <w:rPr>
          <w:sz w:val="20"/>
          <w:u w:val="single"/>
        </w:rPr>
        <w:t>]</w:t>
      </w:r>
    </w:p>
    <w:p w14:paraId="39BCF1A2" w14:textId="77777777" w:rsidR="00844C4B" w:rsidRPr="00CC02DF" w:rsidRDefault="00844C4B" w:rsidP="00833055">
      <w:pPr>
        <w:pStyle w:val="ListParagraph"/>
        <w:ind w:left="360"/>
        <w:jc w:val="both"/>
        <w:rPr>
          <w:sz w:val="20"/>
          <w:szCs w:val="20"/>
        </w:rPr>
      </w:pPr>
    </w:p>
    <w:p w14:paraId="208EB782" w14:textId="77777777"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Les CPC devront prendre les mesures nécessaires pour empêcher leurs navires de pêche de retenir à bord (y compris pour la consommation de l'équipage), de transborder et de débarquer tout aileron prélevé en violation de la présente Recommandation.</w:t>
      </w:r>
    </w:p>
    <w:p w14:paraId="442FDE42" w14:textId="77777777" w:rsidR="00411CEA" w:rsidRPr="00CC02DF" w:rsidRDefault="00411CEA" w:rsidP="00411CEA">
      <w:pPr>
        <w:pStyle w:val="ListParagraph"/>
        <w:rPr>
          <w:sz w:val="20"/>
          <w:szCs w:val="20"/>
        </w:rPr>
      </w:pPr>
    </w:p>
    <w:p w14:paraId="362DC986" w14:textId="173E68F4" w:rsidR="00844C4B" w:rsidRPr="00CC02DF" w:rsidRDefault="00001E50" w:rsidP="00CC148E">
      <w:pPr>
        <w:pStyle w:val="ListParagraph"/>
        <w:numPr>
          <w:ilvl w:val="0"/>
          <w:numId w:val="60"/>
        </w:numPr>
        <w:autoSpaceDE/>
        <w:autoSpaceDN/>
        <w:contextualSpacing/>
        <w:jc w:val="both"/>
        <w:rPr>
          <w:sz w:val="20"/>
          <w:szCs w:val="20"/>
        </w:rPr>
      </w:pPr>
      <w:r w:rsidRPr="00CC02DF">
        <w:rPr>
          <w:sz w:val="20"/>
          <w:u w:val="single"/>
        </w:rPr>
        <w:t>[</w:t>
      </w:r>
      <w:r w:rsidR="00844C4B" w:rsidRPr="00CC02DF">
        <w:rPr>
          <w:sz w:val="20"/>
        </w:rPr>
        <w:t>Les CPC devront prendre les mesures nécessaires pour s'assurer que les carcasses et leurs ailerons correspondants sont débarqués, de manière à permettre aux inspecteurs/observateurs de vérifier la correspondance entre une carcasse individuelle et ses ailerons lorsqu'ils sont débarqués ou transbordés.</w:t>
      </w:r>
      <w:r w:rsidRPr="00CC02DF">
        <w:rPr>
          <w:sz w:val="20"/>
          <w:u w:val="single"/>
        </w:rPr>
        <w:t>]</w:t>
      </w:r>
    </w:p>
    <w:p w14:paraId="1F44BE8C" w14:textId="77777777" w:rsidR="00411CEA" w:rsidRPr="00CC02DF" w:rsidRDefault="00411CEA" w:rsidP="00833055">
      <w:pPr>
        <w:jc w:val="both"/>
        <w:rPr>
          <w:b/>
          <w:bCs/>
          <w:sz w:val="20"/>
          <w:szCs w:val="20"/>
        </w:rPr>
      </w:pPr>
    </w:p>
    <w:p w14:paraId="54A2FA9C" w14:textId="2B4EBE01" w:rsidR="00844C4B" w:rsidRPr="00CC02DF" w:rsidRDefault="00844C4B" w:rsidP="00833055">
      <w:pPr>
        <w:jc w:val="both"/>
        <w:rPr>
          <w:b/>
          <w:bCs/>
          <w:sz w:val="20"/>
          <w:szCs w:val="20"/>
        </w:rPr>
      </w:pPr>
      <w:r w:rsidRPr="00CC02DF">
        <w:rPr>
          <w:b/>
          <w:sz w:val="20"/>
        </w:rPr>
        <w:t>Interdiction de rétention</w:t>
      </w:r>
    </w:p>
    <w:p w14:paraId="0B7522C5" w14:textId="77777777" w:rsidR="00844C4B" w:rsidRPr="00CC02DF" w:rsidRDefault="00844C4B" w:rsidP="00833055">
      <w:pPr>
        <w:jc w:val="both"/>
        <w:rPr>
          <w:sz w:val="20"/>
          <w:szCs w:val="20"/>
        </w:rPr>
      </w:pPr>
    </w:p>
    <w:p w14:paraId="27C388DB" w14:textId="14B2B47B"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 xml:space="preserve">Nonobstant les dispositions du paragraphe 8, les CPC devront interdire aux navires battant leur pavillon de retenir à bord, de transborder, de débarquer, de stocker, de vendre, ou d’offrir à la vente une partie ou la totalité de la carcasse de spécimens </w:t>
      </w:r>
      <w:r w:rsidR="001D6886" w:rsidRPr="00CC02DF">
        <w:rPr>
          <w:sz w:val="20"/>
          <w:u w:val="single"/>
        </w:rPr>
        <w:t>[de requin pèlerin]</w:t>
      </w:r>
      <w:r w:rsidR="001D6886" w:rsidRPr="00CC02DF">
        <w:rPr>
          <w:sz w:val="20"/>
        </w:rPr>
        <w:t xml:space="preserve">, </w:t>
      </w:r>
      <w:r w:rsidRPr="00CC02DF">
        <w:rPr>
          <w:sz w:val="20"/>
        </w:rPr>
        <w:t xml:space="preserve">de renard à gros yeux, </w:t>
      </w:r>
      <w:r w:rsidR="00F74BC3" w:rsidRPr="00CC02DF">
        <w:rPr>
          <w:sz w:val="20"/>
          <w:u w:val="single"/>
        </w:rPr>
        <w:t>[de grand requin blanc]</w:t>
      </w:r>
      <w:r w:rsidR="00F74BC3" w:rsidRPr="00CC02DF">
        <w:rPr>
          <w:sz w:val="20"/>
        </w:rPr>
        <w:t xml:space="preserve">, </w:t>
      </w:r>
      <w:r w:rsidRPr="00CC02DF">
        <w:rPr>
          <w:sz w:val="20"/>
        </w:rPr>
        <w:t>de requin océanique, de requin marteau, de requin soyeux et de requin-baleine capturés dans la zone de la Convention en association avec les pêcheries relevant de l'ICCAT. [IMM_06/2025]</w:t>
      </w:r>
    </w:p>
    <w:p w14:paraId="1365F042" w14:textId="77777777" w:rsidR="00844C4B" w:rsidRPr="00CC02DF" w:rsidRDefault="00844C4B" w:rsidP="00833055">
      <w:pPr>
        <w:pStyle w:val="ListParagraph"/>
        <w:ind w:left="360"/>
        <w:jc w:val="both"/>
        <w:rPr>
          <w:sz w:val="20"/>
          <w:szCs w:val="20"/>
        </w:rPr>
      </w:pPr>
    </w:p>
    <w:p w14:paraId="48BEDE61" w14:textId="556FCB80"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L'interdiction de rétention énoncée au paragraphe 17 ne s'applique pas aux CPC dont la législation nationale prévoit que tous les poissons morts doivent être débarqués, que les pêcheurs ne peuvent tirer aucun profit commercial de ces poissons et qui inclut une interdiction frappant les pêcheries de requins soyeux. [Rec. 11-08 de l'ICCAT]</w:t>
      </w:r>
    </w:p>
    <w:p w14:paraId="5D66173D" w14:textId="77777777" w:rsidR="00844C4B" w:rsidRPr="00CC02DF" w:rsidRDefault="00844C4B" w:rsidP="00833055">
      <w:pPr>
        <w:pStyle w:val="ListParagraph"/>
        <w:jc w:val="both"/>
        <w:rPr>
          <w:sz w:val="20"/>
          <w:szCs w:val="20"/>
        </w:rPr>
      </w:pPr>
    </w:p>
    <w:p w14:paraId="30965D7F" w14:textId="718CD3AC"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Par dérogation aux dispositions du paragraphe 17, la collecte d'échantillons biologiques pendant les opérations de pêche commerciale (à savoir vertèbres, tissus, organes de reproduction, contenus stomacaux, échantillons de peau, valves spirales, mâchoires, spécimens entiers ou squelettes pour des travaux taxonomiques ou inventaires de la faune) par des observateurs scientifiques ou des personnes dûment autorisées par la CPC à prélever des échantillonnages biologiques est autorisée dans les conditions ci-après</w:t>
      </w:r>
      <w:r w:rsidR="00AB7293" w:rsidRPr="00CC02DF">
        <w:rPr>
          <w:sz w:val="20"/>
        </w:rPr>
        <w:t> :</w:t>
      </w:r>
    </w:p>
    <w:p w14:paraId="138D9EEA" w14:textId="77777777" w:rsidR="00844C4B" w:rsidRPr="00CC02DF" w:rsidRDefault="00844C4B" w:rsidP="00833055">
      <w:pPr>
        <w:jc w:val="both"/>
        <w:rPr>
          <w:sz w:val="20"/>
          <w:szCs w:val="20"/>
        </w:rPr>
      </w:pPr>
    </w:p>
    <w:p w14:paraId="3B163F50" w14:textId="77777777" w:rsidR="00844C4B" w:rsidRPr="00CC02DF" w:rsidRDefault="00844C4B" w:rsidP="00871616">
      <w:pPr>
        <w:pStyle w:val="ListParagraph"/>
        <w:numPr>
          <w:ilvl w:val="0"/>
          <w:numId w:val="66"/>
        </w:numPr>
        <w:autoSpaceDE/>
        <w:autoSpaceDN/>
        <w:ind w:left="851" w:hanging="425"/>
        <w:contextualSpacing/>
        <w:jc w:val="both"/>
        <w:rPr>
          <w:sz w:val="20"/>
          <w:szCs w:val="20"/>
        </w:rPr>
      </w:pPr>
      <w:r w:rsidRPr="00CC02DF">
        <w:rPr>
          <w:sz w:val="20"/>
        </w:rPr>
        <w:t>Les échantillons biologiques ne sont recueillis que sur des animaux morts à la remontée de l'engin.</w:t>
      </w:r>
    </w:p>
    <w:p w14:paraId="61264649" w14:textId="77777777" w:rsidR="00EA3BA5" w:rsidRPr="00CC02DF" w:rsidRDefault="00EA3BA5" w:rsidP="00871616">
      <w:pPr>
        <w:pStyle w:val="ListParagraph"/>
        <w:autoSpaceDE/>
        <w:autoSpaceDN/>
        <w:ind w:left="851" w:hanging="425"/>
        <w:contextualSpacing/>
        <w:jc w:val="both"/>
        <w:rPr>
          <w:sz w:val="20"/>
          <w:szCs w:val="20"/>
        </w:rPr>
      </w:pPr>
    </w:p>
    <w:p w14:paraId="5F87C4C4" w14:textId="62B147ED" w:rsidR="00844C4B" w:rsidRPr="00CC02DF" w:rsidRDefault="00844C4B" w:rsidP="00871616">
      <w:pPr>
        <w:pStyle w:val="ListParagraph"/>
        <w:numPr>
          <w:ilvl w:val="0"/>
          <w:numId w:val="66"/>
        </w:numPr>
        <w:autoSpaceDE/>
        <w:autoSpaceDN/>
        <w:ind w:left="851" w:hanging="425"/>
        <w:contextualSpacing/>
        <w:jc w:val="both"/>
        <w:rPr>
          <w:sz w:val="20"/>
          <w:szCs w:val="20"/>
        </w:rPr>
      </w:pPr>
      <w:r w:rsidRPr="00CC02DF">
        <w:rPr>
          <w:sz w:val="20"/>
        </w:rPr>
        <w:t>Les échantillons biologiques sont prélevés dans le cadre d'un projet de recherche communiqué au SCRS et élaboré en tenant compte des priorités de recherche recommandées par le Groupe d’espèces sur les requins du SCRS. Le projet de recherche devrait inclure un document détaillé décrivant l’objectif du travail, les méthodologies à utiliser, le nombre et le type d’échantillons à prélever, la distribution spatio-temporelle de l’échantillonnage et un chronogramme des activités à réaliser.</w:t>
      </w:r>
    </w:p>
    <w:p w14:paraId="6AAB7B61" w14:textId="77777777" w:rsidR="00EA3BA5" w:rsidRPr="00CC02DF" w:rsidRDefault="00EA3BA5" w:rsidP="00871616">
      <w:pPr>
        <w:pStyle w:val="ListParagraph"/>
        <w:ind w:left="851" w:hanging="425"/>
        <w:rPr>
          <w:sz w:val="20"/>
          <w:szCs w:val="20"/>
        </w:rPr>
      </w:pPr>
    </w:p>
    <w:p w14:paraId="769471D6" w14:textId="77777777" w:rsidR="00844C4B" w:rsidRPr="00CC02DF" w:rsidRDefault="00844C4B" w:rsidP="00871616">
      <w:pPr>
        <w:pStyle w:val="ListParagraph"/>
        <w:numPr>
          <w:ilvl w:val="0"/>
          <w:numId w:val="66"/>
        </w:numPr>
        <w:autoSpaceDE/>
        <w:autoSpaceDN/>
        <w:ind w:left="851" w:hanging="425"/>
        <w:contextualSpacing/>
        <w:jc w:val="both"/>
        <w:rPr>
          <w:sz w:val="20"/>
          <w:szCs w:val="20"/>
        </w:rPr>
      </w:pPr>
      <w:r w:rsidRPr="00CC02DF">
        <w:rPr>
          <w:sz w:val="20"/>
        </w:rPr>
        <w:t>Les échantillons biologiques doivent être conservés à bord jusqu'au port de débarquement ou de transbordement.</w:t>
      </w:r>
    </w:p>
    <w:p w14:paraId="2FEC37B4" w14:textId="77777777" w:rsidR="00EA3BA5" w:rsidRPr="00CC02DF" w:rsidRDefault="00EA3BA5" w:rsidP="00871616">
      <w:pPr>
        <w:pStyle w:val="ListParagraph"/>
        <w:ind w:left="851" w:hanging="425"/>
        <w:rPr>
          <w:sz w:val="20"/>
          <w:szCs w:val="20"/>
        </w:rPr>
      </w:pPr>
    </w:p>
    <w:p w14:paraId="37E00864" w14:textId="2F1EE197" w:rsidR="00844C4B" w:rsidRPr="00CC02DF" w:rsidRDefault="00844C4B" w:rsidP="00871616">
      <w:pPr>
        <w:pStyle w:val="ListParagraph"/>
        <w:numPr>
          <w:ilvl w:val="0"/>
          <w:numId w:val="66"/>
        </w:numPr>
        <w:autoSpaceDE/>
        <w:autoSpaceDN/>
        <w:ind w:left="851" w:hanging="425"/>
        <w:contextualSpacing/>
        <w:jc w:val="both"/>
        <w:rPr>
          <w:sz w:val="20"/>
          <w:szCs w:val="20"/>
        </w:rPr>
      </w:pPr>
      <w:r w:rsidRPr="00CC02DF">
        <w:rPr>
          <w:sz w:val="20"/>
        </w:rPr>
        <w:t xml:space="preserve">L’autorisation de la CPC de l’État de pavillon, ou, dans le cas des navires affrétés, de la CPC affréteuse et la CPC de l’État de pavillon, doit accompagner tous les échantillons collectés en vertu </w:t>
      </w:r>
      <w:r w:rsidR="00F1109E" w:rsidRPr="00CC02DF">
        <w:rPr>
          <w:sz w:val="20"/>
          <w:u w:val="single"/>
        </w:rPr>
        <w:t>du présent paragraphe</w:t>
      </w:r>
      <w:r w:rsidRPr="00CC02DF">
        <w:rPr>
          <w:sz w:val="20"/>
        </w:rPr>
        <w:t xml:space="preserve"> jusqu’au port final de débarquement. Ces échantillons et les autres parties des spécimens de requins échantillonnés ne peuvent pas être commercialisés ou vendus. [Rec. 13-10 de l’ICCAT]</w:t>
      </w:r>
    </w:p>
    <w:p w14:paraId="605AB3DE" w14:textId="77777777" w:rsidR="009A6AA0" w:rsidRPr="00CC02DF" w:rsidRDefault="009A6AA0" w:rsidP="009A6AA0">
      <w:pPr>
        <w:pStyle w:val="ListParagraph"/>
        <w:rPr>
          <w:sz w:val="20"/>
          <w:szCs w:val="20"/>
        </w:rPr>
      </w:pPr>
    </w:p>
    <w:p w14:paraId="28AEC2AA" w14:textId="3F43F472" w:rsidR="00844C4B" w:rsidRPr="00CC02DF" w:rsidRDefault="00A66C36" w:rsidP="00871616">
      <w:pPr>
        <w:pStyle w:val="ListParagraph"/>
        <w:ind w:left="851" w:firstLine="0"/>
        <w:jc w:val="both"/>
        <w:rPr>
          <w:sz w:val="20"/>
          <w:szCs w:val="20"/>
        </w:rPr>
      </w:pPr>
      <w:r w:rsidRPr="00CC02DF">
        <w:rPr>
          <w:sz w:val="20"/>
          <w:szCs w:val="20"/>
          <w:u w:val="single"/>
        </w:rPr>
        <w:t xml:space="preserve">La campagne d'échantillonnage ne peut commencer que lorsque l’État pertinent </w:t>
      </w:r>
      <w:r w:rsidR="004C06F6" w:rsidRPr="00CC02DF">
        <w:rPr>
          <w:sz w:val="20"/>
          <w:szCs w:val="20"/>
          <w:u w:val="single"/>
        </w:rPr>
        <w:t xml:space="preserve">en </w:t>
      </w:r>
      <w:r w:rsidRPr="00CC02DF">
        <w:rPr>
          <w:sz w:val="20"/>
          <w:szCs w:val="20"/>
          <w:u w:val="single"/>
        </w:rPr>
        <w:t>a émis l’autorisation.</w:t>
      </w:r>
    </w:p>
    <w:p w14:paraId="72D30C77" w14:textId="69B8B689" w:rsidR="0098585D" w:rsidRPr="00CC02DF" w:rsidRDefault="0098585D">
      <w:pPr>
        <w:rPr>
          <w:sz w:val="20"/>
        </w:rPr>
      </w:pPr>
    </w:p>
    <w:p w14:paraId="6A16E565" w14:textId="34BB7942" w:rsidR="00324335" w:rsidRPr="00CC02DF" w:rsidRDefault="00844C4B" w:rsidP="003737D0">
      <w:pPr>
        <w:pStyle w:val="ListParagraph"/>
        <w:numPr>
          <w:ilvl w:val="0"/>
          <w:numId w:val="60"/>
        </w:numPr>
        <w:autoSpaceDE/>
        <w:autoSpaceDN/>
        <w:ind w:left="426" w:hanging="426"/>
        <w:contextualSpacing/>
        <w:jc w:val="both"/>
        <w:rPr>
          <w:sz w:val="20"/>
        </w:rPr>
      </w:pPr>
      <w:r w:rsidRPr="00CC02DF">
        <w:rPr>
          <w:sz w:val="20"/>
        </w:rPr>
        <w:t xml:space="preserve">Un rapport annuel sur les résultats atteints par le projet de recherche </w:t>
      </w:r>
      <w:r w:rsidR="004C06F6" w:rsidRPr="00CC02DF">
        <w:rPr>
          <w:sz w:val="20"/>
          <w:u w:val="single"/>
        </w:rPr>
        <w:t xml:space="preserve">mentionné au paragraphe 19 </w:t>
      </w:r>
      <w:r w:rsidRPr="00CC02DF">
        <w:rPr>
          <w:sz w:val="20"/>
        </w:rPr>
        <w:t>devrait être présenté au Groupe d’espèces sur les requins et au SCRS. Le SCRS devrait examiner et évaluer ce rapport et fournir un avis sur le suivi à apporter. [Rec. 13-10 de l’ICCAT]</w:t>
      </w:r>
    </w:p>
    <w:p w14:paraId="37DC239E" w14:textId="77777777" w:rsidR="0098585D" w:rsidRPr="00CC02DF" w:rsidRDefault="0098585D" w:rsidP="0098585D">
      <w:pPr>
        <w:pStyle w:val="ListParagraph"/>
        <w:autoSpaceDE/>
        <w:autoSpaceDN/>
        <w:ind w:left="426" w:firstLine="0"/>
        <w:contextualSpacing/>
        <w:jc w:val="both"/>
        <w:rPr>
          <w:sz w:val="20"/>
        </w:rPr>
      </w:pPr>
    </w:p>
    <w:p w14:paraId="161356F2" w14:textId="0EC6577C" w:rsidR="00844C4B" w:rsidRPr="00CC02DF" w:rsidRDefault="00844C4B" w:rsidP="00833055">
      <w:pPr>
        <w:jc w:val="both"/>
        <w:rPr>
          <w:b/>
          <w:bCs/>
          <w:sz w:val="20"/>
          <w:szCs w:val="20"/>
        </w:rPr>
      </w:pPr>
      <w:r w:rsidRPr="00CC02DF">
        <w:rPr>
          <w:b/>
          <w:sz w:val="20"/>
        </w:rPr>
        <w:t>Minimiser les prises accessoires et pratiquer la remise à l'eau en toute sécurité</w:t>
      </w:r>
    </w:p>
    <w:p w14:paraId="7EFB4532" w14:textId="77777777" w:rsidR="00844C4B" w:rsidRPr="00CC02DF" w:rsidRDefault="00844C4B" w:rsidP="00981AF5">
      <w:pPr>
        <w:pStyle w:val="ListParagraph"/>
        <w:autoSpaceDE/>
        <w:autoSpaceDN/>
        <w:ind w:left="426" w:firstLine="0"/>
        <w:contextualSpacing/>
        <w:jc w:val="both"/>
        <w:rPr>
          <w:sz w:val="20"/>
        </w:rPr>
      </w:pPr>
    </w:p>
    <w:p w14:paraId="569BEF98" w14:textId="03B765B0" w:rsidR="00981AF5" w:rsidRPr="00CC02DF" w:rsidRDefault="006A203D" w:rsidP="00981AF5">
      <w:pPr>
        <w:pStyle w:val="ListParagraph"/>
        <w:numPr>
          <w:ilvl w:val="0"/>
          <w:numId w:val="60"/>
        </w:numPr>
        <w:autoSpaceDE/>
        <w:autoSpaceDN/>
        <w:ind w:left="426" w:hanging="426"/>
        <w:contextualSpacing/>
        <w:jc w:val="both"/>
        <w:rPr>
          <w:sz w:val="20"/>
          <w:u w:val="single"/>
        </w:rPr>
      </w:pPr>
      <w:r w:rsidRPr="00CC02DF">
        <w:rPr>
          <w:sz w:val="20"/>
          <w:u w:val="single"/>
        </w:rPr>
        <w:t>Nonobstant les dispositions du paragraphe 22, dans les pêcheries qui ne ciblent pas les requins, les CPC devront encourager, dans toute la mesure du possible, la remise à l’eau en toute sécurité des requins</w:t>
      </w:r>
      <w:r w:rsidR="0069124B" w:rsidRPr="00CC02DF">
        <w:rPr>
          <w:sz w:val="20"/>
          <w:u w:val="single"/>
        </w:rPr>
        <w:t xml:space="preserve"> vivants</w:t>
      </w:r>
      <w:r w:rsidRPr="00CC02DF">
        <w:rPr>
          <w:sz w:val="20"/>
          <w:u w:val="single"/>
        </w:rPr>
        <w:t>, notamment des juvéniles, qui sont capturés accidentellement et ne sont pas utilisés à des fins alimentaires et/ou de subsistance.</w:t>
      </w:r>
    </w:p>
    <w:p w14:paraId="3FF467C5" w14:textId="77777777" w:rsidR="00DF058E" w:rsidRPr="00CC02DF" w:rsidRDefault="00DF058E" w:rsidP="00DF058E">
      <w:pPr>
        <w:pStyle w:val="ListParagraph"/>
        <w:autoSpaceDE/>
        <w:autoSpaceDN/>
        <w:ind w:left="360" w:firstLine="0"/>
        <w:contextualSpacing/>
        <w:jc w:val="both"/>
        <w:rPr>
          <w:sz w:val="20"/>
          <w:szCs w:val="20"/>
        </w:rPr>
      </w:pPr>
    </w:p>
    <w:p w14:paraId="089A93B7" w14:textId="7780FEB6" w:rsidR="00844C4B" w:rsidRPr="00CC02DF" w:rsidRDefault="00844C4B" w:rsidP="00970A7C">
      <w:pPr>
        <w:pStyle w:val="ListParagraph"/>
        <w:numPr>
          <w:ilvl w:val="0"/>
          <w:numId w:val="60"/>
        </w:numPr>
        <w:autoSpaceDE/>
        <w:autoSpaceDN/>
        <w:ind w:left="426" w:hanging="426"/>
        <w:contextualSpacing/>
        <w:jc w:val="both"/>
        <w:rPr>
          <w:sz w:val="20"/>
          <w:szCs w:val="20"/>
        </w:rPr>
      </w:pPr>
      <w:r w:rsidRPr="00CC02DF">
        <w:rPr>
          <w:sz w:val="20"/>
        </w:rPr>
        <w:t xml:space="preserve">Les CPC devront exiger aux navires battant leur pavillon de remettre rapidement à l’eau et indemnes, dans la mesure du possible, et en tenant dûment compte de la sécurité des membres de l'équipage, les renards à gros yeux, les requins océaniques, </w:t>
      </w:r>
      <w:r w:rsidR="003737D0" w:rsidRPr="00CC02DF">
        <w:rPr>
          <w:sz w:val="20"/>
        </w:rPr>
        <w:t>les requins martea</w:t>
      </w:r>
      <w:r w:rsidR="003737D0" w:rsidRPr="00CC02DF">
        <w:rPr>
          <w:sz w:val="20"/>
          <w:u w:val="single"/>
        </w:rPr>
        <w:t>ux</w:t>
      </w:r>
      <w:r w:rsidR="00970A7C" w:rsidRPr="00CC02DF">
        <w:rPr>
          <w:sz w:val="20"/>
          <w:u w:val="single"/>
        </w:rPr>
        <w:t xml:space="preserve"> </w:t>
      </w:r>
      <w:r w:rsidRPr="00CC02DF">
        <w:rPr>
          <w:sz w:val="20"/>
          <w:u w:val="single"/>
        </w:rPr>
        <w:t>et</w:t>
      </w:r>
      <w:r w:rsidRPr="00CC02DF">
        <w:rPr>
          <w:sz w:val="20"/>
        </w:rPr>
        <w:t xml:space="preserve"> les requins-taupes communs </w:t>
      </w:r>
      <w:r w:rsidR="004A6B2E" w:rsidRPr="00CC02DF">
        <w:rPr>
          <w:sz w:val="20"/>
          <w:u w:val="single"/>
        </w:rPr>
        <w:t xml:space="preserve">qui sont vivants </w:t>
      </w:r>
      <w:r w:rsidRPr="00CC02DF">
        <w:rPr>
          <w:sz w:val="20"/>
        </w:rPr>
        <w:t>lorsqu’ils sont amenés le long du bateau afin de les hisser à bord. [Recs 09-07, 10-08, 11-08</w:t>
      </w:r>
      <w:r w:rsidR="005E6D84" w:rsidRPr="00CC02DF">
        <w:rPr>
          <w:sz w:val="20"/>
        </w:rPr>
        <w:t xml:space="preserve"> </w:t>
      </w:r>
      <w:r w:rsidRPr="00CC02DF">
        <w:rPr>
          <w:sz w:val="20"/>
        </w:rPr>
        <w:t>et 15-06</w:t>
      </w:r>
      <w:r w:rsidR="005E6D84" w:rsidRPr="00CC02DF">
        <w:rPr>
          <w:sz w:val="20"/>
        </w:rPr>
        <w:t xml:space="preserve"> de l’ICCAT</w:t>
      </w:r>
      <w:r w:rsidRPr="00CC02DF">
        <w:rPr>
          <w:sz w:val="20"/>
        </w:rPr>
        <w:t>]</w:t>
      </w:r>
    </w:p>
    <w:p w14:paraId="2D219365" w14:textId="77777777" w:rsidR="00844C4B" w:rsidRPr="00CC02DF" w:rsidRDefault="00844C4B" w:rsidP="00833055">
      <w:pPr>
        <w:pStyle w:val="ListParagraph"/>
        <w:ind w:left="360"/>
        <w:jc w:val="both"/>
        <w:rPr>
          <w:sz w:val="20"/>
          <w:szCs w:val="20"/>
        </w:rPr>
      </w:pPr>
    </w:p>
    <w:p w14:paraId="013E0E17" w14:textId="77777777" w:rsidR="00844C4B" w:rsidRPr="00CC02DF" w:rsidRDefault="00844C4B" w:rsidP="00411CEA">
      <w:pPr>
        <w:pStyle w:val="ListParagraph"/>
        <w:ind w:left="0" w:firstLine="0"/>
        <w:jc w:val="both"/>
        <w:rPr>
          <w:b/>
          <w:bCs/>
          <w:sz w:val="20"/>
          <w:szCs w:val="20"/>
        </w:rPr>
      </w:pPr>
      <w:r w:rsidRPr="00CC02DF">
        <w:rPr>
          <w:b/>
          <w:sz w:val="20"/>
        </w:rPr>
        <w:t>Exigences spécifiques aux espèces</w:t>
      </w:r>
    </w:p>
    <w:p w14:paraId="44AF481F" w14:textId="77777777" w:rsidR="00844C4B" w:rsidRPr="00CC02DF" w:rsidRDefault="00844C4B" w:rsidP="00833055">
      <w:pPr>
        <w:jc w:val="both"/>
        <w:rPr>
          <w:sz w:val="20"/>
          <w:szCs w:val="20"/>
        </w:rPr>
      </w:pPr>
    </w:p>
    <w:p w14:paraId="136E96D8" w14:textId="3D55EF5C"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Requin renard</w:t>
      </w:r>
    </w:p>
    <w:p w14:paraId="7FC8D3CF" w14:textId="77777777" w:rsidR="00EA3BA5" w:rsidRPr="00CC02DF" w:rsidRDefault="00EA3BA5" w:rsidP="00EA3BA5">
      <w:pPr>
        <w:pStyle w:val="ListParagraph"/>
        <w:autoSpaceDE/>
        <w:autoSpaceDN/>
        <w:ind w:left="360" w:firstLine="0"/>
        <w:contextualSpacing/>
        <w:jc w:val="both"/>
        <w:rPr>
          <w:sz w:val="20"/>
          <w:szCs w:val="20"/>
        </w:rPr>
      </w:pPr>
    </w:p>
    <w:p w14:paraId="04C97917" w14:textId="5CC8D325" w:rsidR="004A6B2E" w:rsidRPr="00CC02DF" w:rsidRDefault="009E08F5" w:rsidP="009E08F5">
      <w:pPr>
        <w:pStyle w:val="ListParagraph"/>
        <w:autoSpaceDE/>
        <w:autoSpaceDN/>
        <w:ind w:left="851" w:hanging="425"/>
        <w:contextualSpacing/>
        <w:jc w:val="both"/>
        <w:rPr>
          <w:sz w:val="20"/>
          <w:szCs w:val="20"/>
        </w:rPr>
      </w:pPr>
      <w:r w:rsidRPr="00CC02DF">
        <w:rPr>
          <w:sz w:val="20"/>
          <w:szCs w:val="20"/>
        </w:rPr>
        <w:t>1)</w:t>
      </w:r>
      <w:r w:rsidRPr="00CC02DF">
        <w:rPr>
          <w:sz w:val="20"/>
          <w:szCs w:val="20"/>
        </w:rPr>
        <w:tab/>
      </w:r>
      <w:r w:rsidR="00BE06A1" w:rsidRPr="00CC02DF">
        <w:rPr>
          <w:sz w:val="20"/>
          <w:u w:val="single"/>
        </w:rPr>
        <w:t>Les mesures énoncées au paragraphe 17 concernant le renard à gros yeux ne devront pas s'appliquer à la pêcherie côtière mexicaine à petite échelle dont les captures sont inférieures à 110 renards à gros yeux.</w:t>
      </w:r>
    </w:p>
    <w:p w14:paraId="5B608940" w14:textId="77777777" w:rsidR="009E08F5" w:rsidRPr="00CC02DF" w:rsidRDefault="009E08F5" w:rsidP="00EA3BA5">
      <w:pPr>
        <w:pStyle w:val="ListParagraph"/>
        <w:autoSpaceDE/>
        <w:autoSpaceDN/>
        <w:ind w:left="360" w:firstLine="0"/>
        <w:contextualSpacing/>
        <w:jc w:val="both"/>
        <w:rPr>
          <w:sz w:val="20"/>
          <w:szCs w:val="20"/>
        </w:rPr>
      </w:pPr>
    </w:p>
    <w:p w14:paraId="149DA9A6" w14:textId="3A2F2B98" w:rsidR="00844C4B" w:rsidRPr="00CC02DF" w:rsidRDefault="009E08F5" w:rsidP="009E08F5">
      <w:pPr>
        <w:pStyle w:val="ListParagraph"/>
        <w:autoSpaceDE/>
        <w:autoSpaceDN/>
        <w:ind w:left="851" w:hanging="425"/>
        <w:contextualSpacing/>
        <w:jc w:val="both"/>
        <w:rPr>
          <w:sz w:val="20"/>
          <w:szCs w:val="20"/>
        </w:rPr>
      </w:pPr>
      <w:r w:rsidRPr="00CC02DF">
        <w:rPr>
          <w:sz w:val="20"/>
        </w:rPr>
        <w:t>2)</w:t>
      </w:r>
      <w:r w:rsidRPr="00CC02DF">
        <w:rPr>
          <w:sz w:val="20"/>
        </w:rPr>
        <w:tab/>
      </w:r>
      <w:r w:rsidR="00844C4B" w:rsidRPr="00CC02DF">
        <w:rPr>
          <w:sz w:val="20"/>
        </w:rPr>
        <w:t xml:space="preserve">Les CPC </w:t>
      </w:r>
      <w:r w:rsidR="00844C4B" w:rsidRPr="00CC02DF">
        <w:rPr>
          <w:sz w:val="20"/>
          <w:szCs w:val="20"/>
        </w:rPr>
        <w:t>devraient</w:t>
      </w:r>
      <w:r w:rsidR="00844C4B" w:rsidRPr="00CC02DF">
        <w:rPr>
          <w:sz w:val="20"/>
        </w:rPr>
        <w:t xml:space="preserve"> vigoureusement s’efforcer de s’assurer que les navires battant leur pavillon n’entreprennent pas de pêcherie dirigée sur les espèces de renards de mer du genre </w:t>
      </w:r>
      <w:r w:rsidR="00844C4B" w:rsidRPr="00CC02DF">
        <w:rPr>
          <w:i/>
          <w:sz w:val="20"/>
        </w:rPr>
        <w:t xml:space="preserve">Alopias spp. </w:t>
      </w:r>
      <w:r w:rsidR="00844C4B" w:rsidRPr="00CC02DF">
        <w:rPr>
          <w:sz w:val="20"/>
        </w:rPr>
        <w:t>[Rec. 09-07 de l’ICCAT]</w:t>
      </w:r>
    </w:p>
    <w:p w14:paraId="7F81FC39" w14:textId="77777777" w:rsidR="00844C4B" w:rsidRPr="00CC02DF" w:rsidRDefault="00844C4B" w:rsidP="00833055">
      <w:pPr>
        <w:pStyle w:val="ListParagraph"/>
        <w:ind w:left="360"/>
        <w:jc w:val="both"/>
        <w:rPr>
          <w:sz w:val="20"/>
          <w:szCs w:val="20"/>
        </w:rPr>
      </w:pPr>
    </w:p>
    <w:p w14:paraId="38B61C61" w14:textId="54C78D69" w:rsidR="00844C4B" w:rsidRPr="00CC02DF" w:rsidRDefault="00A86CF8" w:rsidP="00CC148E">
      <w:pPr>
        <w:pStyle w:val="ListParagraph"/>
        <w:numPr>
          <w:ilvl w:val="0"/>
          <w:numId w:val="60"/>
        </w:numPr>
        <w:autoSpaceDE/>
        <w:autoSpaceDN/>
        <w:contextualSpacing/>
        <w:jc w:val="both"/>
        <w:rPr>
          <w:sz w:val="20"/>
          <w:szCs w:val="20"/>
        </w:rPr>
      </w:pPr>
      <w:r w:rsidRPr="00CC02DF">
        <w:rPr>
          <w:sz w:val="20"/>
        </w:rPr>
        <w:t>Requin marteau</w:t>
      </w:r>
    </w:p>
    <w:p w14:paraId="50ADF23E" w14:textId="77777777" w:rsidR="00411CEA" w:rsidRPr="00CC02DF" w:rsidRDefault="00411CEA" w:rsidP="00411CEA">
      <w:pPr>
        <w:pStyle w:val="ListParagraph"/>
        <w:autoSpaceDE/>
        <w:autoSpaceDN/>
        <w:ind w:left="360" w:firstLine="0"/>
        <w:contextualSpacing/>
        <w:jc w:val="both"/>
        <w:rPr>
          <w:sz w:val="20"/>
          <w:szCs w:val="20"/>
        </w:rPr>
      </w:pPr>
    </w:p>
    <w:p w14:paraId="3D6B90E0" w14:textId="2B0581AC" w:rsidR="00844C4B" w:rsidRPr="00CC02DF" w:rsidRDefault="00A86CF8" w:rsidP="00CC148E">
      <w:pPr>
        <w:pStyle w:val="ListParagraph"/>
        <w:numPr>
          <w:ilvl w:val="0"/>
          <w:numId w:val="62"/>
        </w:numPr>
        <w:autoSpaceDE/>
        <w:autoSpaceDN/>
        <w:contextualSpacing/>
        <w:jc w:val="both"/>
        <w:rPr>
          <w:sz w:val="20"/>
          <w:szCs w:val="20"/>
        </w:rPr>
      </w:pPr>
      <w:r w:rsidRPr="00CC02DF">
        <w:rPr>
          <w:sz w:val="20"/>
        </w:rPr>
        <w:t>Les requins marteaux</w:t>
      </w:r>
      <w:r w:rsidR="00844C4B" w:rsidRPr="00CC02DF">
        <w:rPr>
          <w:sz w:val="20"/>
        </w:rPr>
        <w:t xml:space="preserve"> capturés par les CPC côtières en développement pour leur consommation locale sont exonérés des mesures établies aux paragraphes 1</w:t>
      </w:r>
      <w:r w:rsidRPr="00CC02DF">
        <w:rPr>
          <w:sz w:val="20"/>
        </w:rPr>
        <w:t>7</w:t>
      </w:r>
      <w:r w:rsidR="00844C4B" w:rsidRPr="00CC02DF">
        <w:rPr>
          <w:sz w:val="20"/>
        </w:rPr>
        <w:t xml:space="preserve"> et </w:t>
      </w:r>
      <w:r w:rsidR="009E08F5" w:rsidRPr="00CC02DF">
        <w:rPr>
          <w:sz w:val="20"/>
          <w:u w:val="single"/>
        </w:rPr>
        <w:t>22</w:t>
      </w:r>
      <w:r w:rsidR="00844C4B" w:rsidRPr="00CC02DF">
        <w:rPr>
          <w:sz w:val="20"/>
        </w:rPr>
        <w:t xml:space="preserve">, sous réserve que ces CPC soumettent des données de la tâche 1 et, si possible, de la tâche 2, selon les procédures de déclaration établies par le SCRS. S’il n’est pas possible de fournir des données de capture par espèce, celles-ci devront être fournies au moins par genre </w:t>
      </w:r>
      <w:r w:rsidR="00844C4B" w:rsidRPr="00CC02DF">
        <w:rPr>
          <w:i/>
          <w:iCs/>
          <w:sz w:val="20"/>
        </w:rPr>
        <w:t>Sphryna</w:t>
      </w:r>
      <w:r w:rsidR="00844C4B" w:rsidRPr="00CC02DF">
        <w:rPr>
          <w:sz w:val="20"/>
        </w:rPr>
        <w:t>.</w:t>
      </w:r>
    </w:p>
    <w:p w14:paraId="4833D8E8" w14:textId="77777777" w:rsidR="008D02C6" w:rsidRPr="00CC02DF" w:rsidRDefault="008D02C6" w:rsidP="00E614DD">
      <w:pPr>
        <w:pStyle w:val="ListParagraph"/>
        <w:autoSpaceDE/>
        <w:autoSpaceDN/>
        <w:ind w:left="720" w:firstLine="0"/>
        <w:contextualSpacing/>
        <w:jc w:val="both"/>
        <w:rPr>
          <w:sz w:val="20"/>
          <w:szCs w:val="20"/>
        </w:rPr>
      </w:pPr>
    </w:p>
    <w:p w14:paraId="62A1C0D5" w14:textId="6FD1910A" w:rsidR="00844C4B" w:rsidRPr="00CC02DF" w:rsidRDefault="00844C4B" w:rsidP="00CC148E">
      <w:pPr>
        <w:pStyle w:val="ListParagraph"/>
        <w:numPr>
          <w:ilvl w:val="0"/>
          <w:numId w:val="62"/>
        </w:numPr>
        <w:autoSpaceDE/>
        <w:autoSpaceDN/>
        <w:contextualSpacing/>
        <w:jc w:val="both"/>
        <w:rPr>
          <w:sz w:val="20"/>
          <w:szCs w:val="20"/>
        </w:rPr>
      </w:pPr>
      <w:r w:rsidRPr="00CC02DF">
        <w:rPr>
          <w:sz w:val="20"/>
        </w:rPr>
        <w:t>Les CPC côtières en développement exemptées de cette interdiction conformément au présent paragraphe devraient s’efforcer de ne pas augmenter leurs captures de requins marteau</w:t>
      </w:r>
      <w:r w:rsidR="00A86CF8" w:rsidRPr="00CC02DF">
        <w:rPr>
          <w:sz w:val="20"/>
        </w:rPr>
        <w:t>x</w:t>
      </w:r>
      <w:r w:rsidRPr="00CC02DF">
        <w:rPr>
          <w:sz w:val="20"/>
        </w:rPr>
        <w:t xml:space="preserve">. Ces CPC devront prendre les mesures nécessaires visant à garantir que </w:t>
      </w:r>
      <w:r w:rsidR="00A86CF8" w:rsidRPr="00CC02DF">
        <w:rPr>
          <w:sz w:val="20"/>
        </w:rPr>
        <w:t>les requins marteaux</w:t>
      </w:r>
      <w:r w:rsidRPr="00CC02DF">
        <w:rPr>
          <w:sz w:val="20"/>
        </w:rPr>
        <w:t xml:space="preserve"> n’entrent pas sur le marché international, et devront notifier ces mesures à la Commission. [Rec. 10-08 de l'ICCAT]</w:t>
      </w:r>
    </w:p>
    <w:p w14:paraId="2DD01FFC" w14:textId="77777777" w:rsidR="008D02C6" w:rsidRPr="00CC02DF" w:rsidRDefault="008D02C6" w:rsidP="008D02C6">
      <w:pPr>
        <w:pStyle w:val="ListParagraph"/>
        <w:autoSpaceDE/>
        <w:autoSpaceDN/>
        <w:ind w:left="720" w:firstLine="0"/>
        <w:contextualSpacing/>
        <w:jc w:val="both"/>
        <w:rPr>
          <w:sz w:val="20"/>
          <w:szCs w:val="20"/>
        </w:rPr>
      </w:pPr>
    </w:p>
    <w:p w14:paraId="3DB22BDC" w14:textId="77777777"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Requin soyeux</w:t>
      </w:r>
    </w:p>
    <w:p w14:paraId="2FF8DC40" w14:textId="77777777" w:rsidR="00411CEA" w:rsidRPr="00CC02DF" w:rsidRDefault="00411CEA" w:rsidP="00411CEA">
      <w:pPr>
        <w:pStyle w:val="ListParagraph"/>
        <w:autoSpaceDE/>
        <w:autoSpaceDN/>
        <w:ind w:left="360" w:firstLine="0"/>
        <w:contextualSpacing/>
        <w:jc w:val="both"/>
        <w:rPr>
          <w:sz w:val="20"/>
          <w:szCs w:val="20"/>
        </w:rPr>
      </w:pPr>
    </w:p>
    <w:p w14:paraId="77495AE1" w14:textId="43C9291F" w:rsidR="00844C4B" w:rsidRPr="00CC02DF" w:rsidRDefault="00844C4B" w:rsidP="00CC148E">
      <w:pPr>
        <w:pStyle w:val="ListParagraph"/>
        <w:numPr>
          <w:ilvl w:val="0"/>
          <w:numId w:val="63"/>
        </w:numPr>
        <w:autoSpaceDE/>
        <w:autoSpaceDN/>
        <w:contextualSpacing/>
        <w:jc w:val="both"/>
        <w:rPr>
          <w:sz w:val="20"/>
          <w:szCs w:val="20"/>
        </w:rPr>
      </w:pPr>
      <w:r w:rsidRPr="00CC02DF">
        <w:rPr>
          <w:sz w:val="20"/>
        </w:rPr>
        <w:t>Les senneurs participant aux pêcheries de l'ICCAT devront s’efforcer de prendre des mesures additionnelles en vue d’accroître le taux de survie des requins soyeux capturés accidentellement. [Rec. 11-08 de l'ICCAT]</w:t>
      </w:r>
    </w:p>
    <w:p w14:paraId="79536F9E" w14:textId="77777777" w:rsidR="00411CEA" w:rsidRPr="00CC02DF" w:rsidRDefault="00411CEA" w:rsidP="00411CEA">
      <w:pPr>
        <w:pStyle w:val="ListParagraph"/>
        <w:autoSpaceDE/>
        <w:autoSpaceDN/>
        <w:ind w:left="720" w:firstLine="0"/>
        <w:contextualSpacing/>
        <w:jc w:val="both"/>
        <w:rPr>
          <w:sz w:val="20"/>
          <w:szCs w:val="20"/>
        </w:rPr>
      </w:pPr>
    </w:p>
    <w:p w14:paraId="54306046" w14:textId="1C8F523A" w:rsidR="00844C4B" w:rsidRPr="00CC02DF" w:rsidRDefault="00844C4B" w:rsidP="00CC148E">
      <w:pPr>
        <w:pStyle w:val="ListParagraph"/>
        <w:numPr>
          <w:ilvl w:val="0"/>
          <w:numId w:val="63"/>
        </w:numPr>
        <w:autoSpaceDE/>
        <w:autoSpaceDN/>
        <w:contextualSpacing/>
        <w:jc w:val="both"/>
        <w:rPr>
          <w:sz w:val="20"/>
          <w:szCs w:val="20"/>
          <w:u w:val="single"/>
        </w:rPr>
      </w:pPr>
      <w:r w:rsidRPr="00CC02DF">
        <w:rPr>
          <w:sz w:val="20"/>
        </w:rPr>
        <w:t xml:space="preserve">Les requins soyeux capturés par les CPC côtières en développement pour leur consommation locale sont exonérés des mesures établies aux paragraphes 17 et </w:t>
      </w:r>
      <w:r w:rsidR="00910BDC" w:rsidRPr="00CC02DF">
        <w:rPr>
          <w:sz w:val="20"/>
          <w:u w:val="single"/>
        </w:rPr>
        <w:t>22</w:t>
      </w:r>
      <w:r w:rsidRPr="00CC02DF">
        <w:rPr>
          <w:sz w:val="20"/>
        </w:rPr>
        <w:t xml:space="preserve">, sous réserve que ces CPC soumettent des données de la tâche 1 et, si possible, de la tâche 2, selon les procédures de déclaration établies par le SCRS. </w:t>
      </w:r>
      <w:r w:rsidR="006D6CC1" w:rsidRPr="00CC02DF">
        <w:rPr>
          <w:sz w:val="20"/>
          <w:u w:val="single"/>
        </w:rPr>
        <w:t>Toute CPC qui ne déclare pas les données de la tâche 1 relatives au requin soyeux, conformément aux exigences de déclaration des données du SCRS, devra être soumise aux dispositions du paragraphe 17, tant que ces données n'auront pas été déclarées.</w:t>
      </w:r>
    </w:p>
    <w:p w14:paraId="75968882" w14:textId="77777777" w:rsidR="006D6CC1" w:rsidRPr="00CC02DF" w:rsidRDefault="006D6CC1">
      <w:pPr>
        <w:rPr>
          <w:sz w:val="20"/>
        </w:rPr>
      </w:pPr>
      <w:r w:rsidRPr="00CC02DF">
        <w:rPr>
          <w:sz w:val="20"/>
        </w:rPr>
        <w:br w:type="page"/>
      </w:r>
    </w:p>
    <w:p w14:paraId="5EEA450E" w14:textId="39A477D9" w:rsidR="00844C4B" w:rsidRPr="00CC02DF" w:rsidRDefault="00844C4B" w:rsidP="00CC148E">
      <w:pPr>
        <w:pStyle w:val="ListParagraph"/>
        <w:numPr>
          <w:ilvl w:val="0"/>
          <w:numId w:val="63"/>
        </w:numPr>
        <w:autoSpaceDE/>
        <w:autoSpaceDN/>
        <w:contextualSpacing/>
        <w:jc w:val="both"/>
        <w:rPr>
          <w:sz w:val="20"/>
          <w:szCs w:val="20"/>
        </w:rPr>
      </w:pPr>
      <w:r w:rsidRPr="00CC02DF">
        <w:rPr>
          <w:sz w:val="20"/>
        </w:rPr>
        <w:t>Les CPC côtières en développement exemptées de l’interdiction conformément au présent paragraphe ne devront pas augmenter leurs captures de requins soyeux. Ces CPC devront prendre les mesures nécessaires visant à garantir que les requins soyeux n’entrent pas sur le marché international, et devront notifier ces mesures à la Commission. [Rec. 11-08 de l'ICCAT]</w:t>
      </w:r>
    </w:p>
    <w:p w14:paraId="63F3BFFB" w14:textId="2AFFEAC6" w:rsidR="00DF4CE2" w:rsidRPr="00CC02DF" w:rsidRDefault="00DF4CE2">
      <w:pPr>
        <w:rPr>
          <w:sz w:val="20"/>
        </w:rPr>
      </w:pPr>
    </w:p>
    <w:p w14:paraId="1E9EFEEF" w14:textId="5B338EA2"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Requin-taupe commun</w:t>
      </w:r>
    </w:p>
    <w:p w14:paraId="0C81DA38" w14:textId="77777777" w:rsidR="00411CEA" w:rsidRPr="00CC02DF" w:rsidRDefault="00411CEA" w:rsidP="00411CEA">
      <w:pPr>
        <w:pStyle w:val="ListParagraph"/>
        <w:ind w:left="360" w:firstLine="0"/>
        <w:jc w:val="both"/>
        <w:rPr>
          <w:sz w:val="20"/>
          <w:szCs w:val="20"/>
        </w:rPr>
      </w:pPr>
    </w:p>
    <w:p w14:paraId="54A6DD42" w14:textId="27B51F4B" w:rsidR="00844C4B" w:rsidRPr="00CC02DF" w:rsidRDefault="00844C4B" w:rsidP="00411CEA">
      <w:pPr>
        <w:pStyle w:val="ListParagraph"/>
        <w:ind w:left="360" w:firstLine="0"/>
        <w:jc w:val="both"/>
        <w:rPr>
          <w:sz w:val="20"/>
          <w:szCs w:val="20"/>
        </w:rPr>
      </w:pPr>
      <w:r w:rsidRPr="00CC02DF">
        <w:rPr>
          <w:sz w:val="20"/>
        </w:rPr>
        <w:t>Si les prises de requin-taupe commun capturé en association avec des pêcheries de l'ICCAT augmentent au-delà des niveaux de 2014, la Commission envisagera des mesures supplémentaires. [Rec. 15-06 de l'ICCAT]</w:t>
      </w:r>
    </w:p>
    <w:p w14:paraId="2082FCED" w14:textId="77777777" w:rsidR="00844C4B" w:rsidRPr="00CC02DF" w:rsidRDefault="00844C4B" w:rsidP="00833055">
      <w:pPr>
        <w:pStyle w:val="ListParagraph"/>
        <w:ind w:left="360"/>
        <w:jc w:val="both"/>
        <w:rPr>
          <w:sz w:val="20"/>
          <w:szCs w:val="20"/>
        </w:rPr>
      </w:pPr>
    </w:p>
    <w:p w14:paraId="5C2DE2AB" w14:textId="77777777"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Requin baleine</w:t>
      </w:r>
    </w:p>
    <w:p w14:paraId="69D24733" w14:textId="77777777" w:rsidR="00411CEA" w:rsidRPr="00CC02DF" w:rsidRDefault="00411CEA" w:rsidP="00411CEA">
      <w:pPr>
        <w:pStyle w:val="ListParagraph"/>
        <w:autoSpaceDE/>
        <w:autoSpaceDN/>
        <w:ind w:left="720" w:firstLine="0"/>
        <w:contextualSpacing/>
        <w:jc w:val="both"/>
        <w:rPr>
          <w:sz w:val="20"/>
          <w:szCs w:val="20"/>
        </w:rPr>
      </w:pPr>
    </w:p>
    <w:p w14:paraId="675D9A67" w14:textId="6C9D4E50" w:rsidR="00844C4B" w:rsidRPr="00CC02DF" w:rsidRDefault="00844C4B" w:rsidP="0014170B">
      <w:pPr>
        <w:pStyle w:val="ListParagraph"/>
        <w:numPr>
          <w:ilvl w:val="0"/>
          <w:numId w:val="64"/>
        </w:numPr>
        <w:autoSpaceDE/>
        <w:autoSpaceDN/>
        <w:ind w:left="851" w:hanging="425"/>
        <w:contextualSpacing/>
        <w:jc w:val="both"/>
        <w:rPr>
          <w:sz w:val="20"/>
          <w:szCs w:val="20"/>
        </w:rPr>
      </w:pPr>
      <w:r w:rsidRPr="00CC02DF">
        <w:rPr>
          <w:sz w:val="20"/>
        </w:rPr>
        <w:t>Les CPC devront interdire aux navires de pêche sous leur pavillon de caler un filet de senne sur un banc de thonidés associé à un requin-baleine si l'animal a été observé avant le début de l’opération.</w:t>
      </w:r>
    </w:p>
    <w:p w14:paraId="1DCAFEED" w14:textId="77777777" w:rsidR="00411CEA" w:rsidRPr="00CC02DF" w:rsidRDefault="00411CEA" w:rsidP="0014170B">
      <w:pPr>
        <w:pStyle w:val="ListParagraph"/>
        <w:autoSpaceDE/>
        <w:autoSpaceDN/>
        <w:ind w:left="851" w:hanging="425"/>
        <w:contextualSpacing/>
        <w:jc w:val="both"/>
        <w:rPr>
          <w:sz w:val="20"/>
          <w:szCs w:val="20"/>
        </w:rPr>
      </w:pPr>
    </w:p>
    <w:p w14:paraId="0CF94AEC" w14:textId="0AD480DE" w:rsidR="00844C4B" w:rsidRPr="00CC02DF" w:rsidRDefault="00844C4B" w:rsidP="0014170B">
      <w:pPr>
        <w:pStyle w:val="ListParagraph"/>
        <w:numPr>
          <w:ilvl w:val="0"/>
          <w:numId w:val="64"/>
        </w:numPr>
        <w:autoSpaceDE/>
        <w:autoSpaceDN/>
        <w:ind w:left="851" w:hanging="425"/>
        <w:contextualSpacing/>
        <w:jc w:val="both"/>
        <w:rPr>
          <w:sz w:val="20"/>
          <w:szCs w:val="20"/>
        </w:rPr>
      </w:pPr>
      <w:r w:rsidRPr="00CC02DF">
        <w:rPr>
          <w:sz w:val="20"/>
        </w:rPr>
        <w:t>Les CPC devront exiger que, lorsqu'un requin-baleine est accidentellement encerclé dans un filet de senne, le capitaine du navire de pêche prenne toutes les mesures raisonnables pour assurer sa remise l’eau en toute sécurité. Les CPC devraient sommer les capitaines des navires battant leur pavillon, de prendre des mesures pour assurer la manipulation et la remise à l'eau en toute sécurité d’un requin-baleine comme l'exige le paragraphe 3 et, tout en assurant la sécurité de l'équipage, d’appliquer les directives énoncées à l'</w:t>
      </w:r>
      <w:r w:rsidRPr="00CC02DF">
        <w:rPr>
          <w:b/>
          <w:bCs/>
          <w:sz w:val="20"/>
        </w:rPr>
        <w:t>annexe 1</w:t>
      </w:r>
      <w:r w:rsidRPr="00CC02DF">
        <w:rPr>
          <w:sz w:val="20"/>
        </w:rPr>
        <w:t>. [Rec. 23-12 de l'ICCAT]</w:t>
      </w:r>
    </w:p>
    <w:p w14:paraId="49CE666D" w14:textId="77777777" w:rsidR="00411CEA" w:rsidRPr="00CC02DF" w:rsidRDefault="00411CEA" w:rsidP="0014170B">
      <w:pPr>
        <w:pStyle w:val="ListParagraph"/>
        <w:ind w:left="851" w:hanging="425"/>
        <w:rPr>
          <w:sz w:val="20"/>
          <w:szCs w:val="20"/>
        </w:rPr>
      </w:pPr>
    </w:p>
    <w:p w14:paraId="52BBE99E" w14:textId="04B72433" w:rsidR="00844C4B" w:rsidRPr="00CC02DF" w:rsidRDefault="00844C4B" w:rsidP="0014170B">
      <w:pPr>
        <w:pStyle w:val="ListParagraph"/>
        <w:numPr>
          <w:ilvl w:val="0"/>
          <w:numId w:val="64"/>
        </w:numPr>
        <w:autoSpaceDE/>
        <w:autoSpaceDN/>
        <w:ind w:left="851" w:hanging="425"/>
        <w:contextualSpacing/>
        <w:jc w:val="both"/>
        <w:rPr>
          <w:sz w:val="20"/>
          <w:szCs w:val="20"/>
        </w:rPr>
      </w:pPr>
      <w:r w:rsidRPr="00CC02DF">
        <w:rPr>
          <w:sz w:val="20"/>
        </w:rPr>
        <w:t xml:space="preserve">Les CPC devront veiller à ce que, conformément aux exigences de la </w:t>
      </w:r>
      <w:r w:rsidRPr="00CC02DF">
        <w:rPr>
          <w:i/>
          <w:iCs/>
          <w:sz w:val="20"/>
        </w:rPr>
        <w:t>Recommandation de l’ICCAT visant à établir des normes minimales pour les programmes d’observateurs scientifiques à bord de navires de pêche</w:t>
      </w:r>
      <w:r w:rsidRPr="00CC02DF">
        <w:rPr>
          <w:sz w:val="20"/>
        </w:rPr>
        <w:t xml:space="preserve"> (Rec. 16-14), les interactions avec les requins-baleines au cours des opérations de pêche à la senne soient enregistrées dans le cadre de leurs programmes d'observateurs nationaux. Les informations suivantes seront également collectées : i) comment et pourquoi l'encerclement s'est produit, ii) le nombre de spécimens impliqués dans l'interaction, iii) le lieu de l'interaction, iv) les mesures prises pour assurer la manipulation et la remise en liberté en toute sécurité des spécimens encerclés dans la senne et v) une évaluation de l'état de vie du/des spécimen(s) de requin-baleine au moment de sa remise en liberté (vivant/mort/moribond/incertain).</w:t>
      </w:r>
    </w:p>
    <w:p w14:paraId="023FD8D0" w14:textId="77777777" w:rsidR="00411CEA" w:rsidRPr="00CC02DF" w:rsidRDefault="00411CEA" w:rsidP="0014170B">
      <w:pPr>
        <w:pStyle w:val="ListParagraph"/>
        <w:ind w:left="851" w:hanging="425"/>
        <w:rPr>
          <w:sz w:val="20"/>
          <w:szCs w:val="20"/>
        </w:rPr>
      </w:pPr>
    </w:p>
    <w:p w14:paraId="0DFE40D9" w14:textId="08B247AA" w:rsidR="00844C4B" w:rsidRPr="00CC02DF" w:rsidRDefault="00844C4B" w:rsidP="0014170B">
      <w:pPr>
        <w:pStyle w:val="ListParagraph"/>
        <w:numPr>
          <w:ilvl w:val="0"/>
          <w:numId w:val="64"/>
        </w:numPr>
        <w:autoSpaceDE/>
        <w:autoSpaceDN/>
        <w:ind w:left="851" w:hanging="425"/>
        <w:contextualSpacing/>
        <w:jc w:val="both"/>
        <w:rPr>
          <w:sz w:val="20"/>
          <w:szCs w:val="20"/>
        </w:rPr>
      </w:pPr>
      <w:r w:rsidRPr="00CC02DF">
        <w:rPr>
          <w:sz w:val="20"/>
        </w:rPr>
        <w:t>Les CPC devront déclarer les données et les informations recueillies au titre du présent paragraphe dans leurs rapports annuels et, dans le cas des données recueillies dans le cadre des programmes d'observateurs, au Secrétariat de l’ICCAT, conformément aux exigences de l’ICCAT en matière de déclaration des données. [Rec. 23-12 de l'ICCAT]</w:t>
      </w:r>
    </w:p>
    <w:p w14:paraId="6E0A6E44" w14:textId="77777777" w:rsidR="00844C4B" w:rsidRPr="00CC02DF" w:rsidRDefault="00844C4B" w:rsidP="0014170B">
      <w:pPr>
        <w:pStyle w:val="ListParagraph"/>
        <w:ind w:left="851" w:hanging="425"/>
        <w:jc w:val="both"/>
        <w:rPr>
          <w:sz w:val="20"/>
          <w:szCs w:val="20"/>
        </w:rPr>
      </w:pPr>
    </w:p>
    <w:p w14:paraId="6B39F549" w14:textId="2348E587" w:rsidR="00DF4CE2" w:rsidRPr="00CC02DF" w:rsidRDefault="00784DDF" w:rsidP="0014170B">
      <w:pPr>
        <w:pStyle w:val="ListParagraph"/>
        <w:numPr>
          <w:ilvl w:val="0"/>
          <w:numId w:val="64"/>
        </w:numPr>
        <w:autoSpaceDE/>
        <w:autoSpaceDN/>
        <w:ind w:left="851" w:hanging="425"/>
        <w:contextualSpacing/>
        <w:jc w:val="both"/>
        <w:rPr>
          <w:sz w:val="20"/>
          <w:szCs w:val="20"/>
          <w:u w:val="single"/>
        </w:rPr>
      </w:pPr>
      <w:r w:rsidRPr="00CC02DF">
        <w:rPr>
          <w:sz w:val="20"/>
          <w:u w:val="single"/>
        </w:rPr>
        <w:t>En ce qui concerne le requin baleine, les paragraphes 17, 27 1), 2), 3) et 4) ne devront pas s'appliquer aux navires de pêche opérant exclusivement au Nord de 40°N ou au Sud de 40°S (c'est-à-dire en dehors de l'aire de distribution géographique principale du requin baleine dans l'océan Atlantique).</w:t>
      </w:r>
    </w:p>
    <w:p w14:paraId="4555FDF5" w14:textId="77777777" w:rsidR="00DF4CE2" w:rsidRPr="00CC02DF" w:rsidRDefault="00DF4CE2" w:rsidP="00833055">
      <w:pPr>
        <w:pStyle w:val="ListParagraph"/>
        <w:ind w:left="360"/>
        <w:jc w:val="both"/>
        <w:rPr>
          <w:sz w:val="20"/>
          <w:szCs w:val="20"/>
        </w:rPr>
      </w:pPr>
    </w:p>
    <w:p w14:paraId="0BF4E88E" w14:textId="77777777" w:rsidR="00844C4B" w:rsidRPr="00CC02DF" w:rsidRDefault="00844C4B" w:rsidP="00411CEA">
      <w:pPr>
        <w:pStyle w:val="ListParagraph"/>
        <w:ind w:left="0" w:firstLine="0"/>
        <w:jc w:val="both"/>
        <w:rPr>
          <w:b/>
          <w:bCs/>
          <w:sz w:val="20"/>
          <w:szCs w:val="20"/>
        </w:rPr>
      </w:pPr>
      <w:r w:rsidRPr="00CC02DF">
        <w:rPr>
          <w:b/>
          <w:bCs/>
          <w:sz w:val="20"/>
        </w:rPr>
        <w:t xml:space="preserve">Exigences en matière de déclaration </w:t>
      </w:r>
    </w:p>
    <w:p w14:paraId="4D8A51F9" w14:textId="77777777" w:rsidR="00844C4B" w:rsidRPr="00CC02DF" w:rsidRDefault="00844C4B" w:rsidP="00833055">
      <w:pPr>
        <w:pStyle w:val="ListParagraph"/>
        <w:ind w:left="360"/>
        <w:jc w:val="both"/>
        <w:rPr>
          <w:sz w:val="20"/>
          <w:szCs w:val="20"/>
        </w:rPr>
      </w:pPr>
    </w:p>
    <w:p w14:paraId="4E7794BF" w14:textId="6B72F871"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Les CPC devront déclarer, chaque année, les données de tâche 1 et de tâche 2 pour les prises de requins</w:t>
      </w:r>
      <w:r w:rsidR="003E4A23" w:rsidRPr="00CC02DF">
        <w:rPr>
          <w:sz w:val="20"/>
        </w:rPr>
        <w:t xml:space="preserve"> </w:t>
      </w:r>
      <w:r w:rsidR="00CC7FA3" w:rsidRPr="00CC02DF">
        <w:rPr>
          <w:sz w:val="20"/>
          <w:u w:val="single"/>
        </w:rPr>
        <w:t>(y compris les estimations des rejets morts et des fréquences de taille)</w:t>
      </w:r>
      <w:r w:rsidR="00CC7FA3" w:rsidRPr="00CC02DF">
        <w:rPr>
          <w:sz w:val="20"/>
        </w:rPr>
        <w:t>,</w:t>
      </w:r>
      <w:r w:rsidRPr="00CC02DF">
        <w:rPr>
          <w:sz w:val="20"/>
        </w:rPr>
        <w:t xml:space="preserve"> conformément aux procédures de soumission de données de l’ICCAT, y compris les données historiques disponibles. [Rec. 04-10 de l'ICCAT]</w:t>
      </w:r>
    </w:p>
    <w:p w14:paraId="0C27CC61" w14:textId="77777777" w:rsidR="00047658" w:rsidRPr="00CC02DF" w:rsidRDefault="00047658" w:rsidP="00833055">
      <w:pPr>
        <w:pStyle w:val="ListParagraph"/>
        <w:ind w:left="360"/>
        <w:jc w:val="both"/>
        <w:rPr>
          <w:sz w:val="20"/>
          <w:szCs w:val="20"/>
        </w:rPr>
      </w:pPr>
    </w:p>
    <w:p w14:paraId="74C76343" w14:textId="1316EB59" w:rsidR="00844C4B" w:rsidRPr="00CC02DF" w:rsidRDefault="00047658" w:rsidP="00CC148E">
      <w:pPr>
        <w:pStyle w:val="ListParagraph"/>
        <w:numPr>
          <w:ilvl w:val="0"/>
          <w:numId w:val="60"/>
        </w:numPr>
        <w:autoSpaceDE/>
        <w:autoSpaceDN/>
        <w:contextualSpacing/>
        <w:jc w:val="both"/>
        <w:rPr>
          <w:sz w:val="20"/>
          <w:szCs w:val="20"/>
        </w:rPr>
      </w:pPr>
      <w:r w:rsidRPr="00CC02DF">
        <w:rPr>
          <w:sz w:val="20"/>
        </w:rPr>
        <w:t>Les CPC devront consigner, par le biais de leurs programmes d’observateurs, le nombre de rejets et de remises à l’eau de renards à gros yeux, de requins océaniques, de requins marteaux, de requins soyeux, de requins-taupes communs et de requins baleines en indiquant leur état (mort ou vivant) et le déclarer à l’ICCAT conformément aux exigences en matière de déclaration des données de l’ICCAT. [Recs de l’ICCAT 09-07, 10-07, 10-08, 11-08, 15-06]</w:t>
      </w:r>
    </w:p>
    <w:p w14:paraId="2037E931" w14:textId="77777777" w:rsidR="00844C4B" w:rsidRPr="00CC02DF" w:rsidRDefault="00844C4B" w:rsidP="00833055">
      <w:pPr>
        <w:jc w:val="both"/>
        <w:rPr>
          <w:sz w:val="20"/>
          <w:szCs w:val="20"/>
        </w:rPr>
      </w:pPr>
    </w:p>
    <w:p w14:paraId="0123F74E" w14:textId="77777777" w:rsidR="00CC7FA3" w:rsidRPr="00CC02DF" w:rsidRDefault="00CC7FA3">
      <w:pPr>
        <w:rPr>
          <w:b/>
          <w:sz w:val="20"/>
        </w:rPr>
      </w:pPr>
      <w:r w:rsidRPr="00CC02DF">
        <w:rPr>
          <w:b/>
          <w:sz w:val="20"/>
        </w:rPr>
        <w:br w:type="page"/>
      </w:r>
    </w:p>
    <w:p w14:paraId="5947B349" w14:textId="3FCEF1ED" w:rsidR="00844C4B" w:rsidRPr="00CC02DF" w:rsidRDefault="00844C4B" w:rsidP="00833055">
      <w:pPr>
        <w:jc w:val="both"/>
        <w:rPr>
          <w:b/>
          <w:bCs/>
          <w:sz w:val="20"/>
          <w:szCs w:val="20"/>
        </w:rPr>
      </w:pPr>
      <w:r w:rsidRPr="00CC02DF">
        <w:rPr>
          <w:b/>
          <w:sz w:val="20"/>
        </w:rPr>
        <w:t>Mise en œuvre et application</w:t>
      </w:r>
    </w:p>
    <w:p w14:paraId="2EB5DD33" w14:textId="77777777" w:rsidR="00844C4B" w:rsidRPr="00CC02DF" w:rsidRDefault="00844C4B" w:rsidP="00833055">
      <w:pPr>
        <w:pStyle w:val="ListParagraph"/>
        <w:ind w:left="360"/>
        <w:jc w:val="both"/>
        <w:rPr>
          <w:sz w:val="8"/>
          <w:szCs w:val="8"/>
        </w:rPr>
      </w:pPr>
    </w:p>
    <w:p w14:paraId="11F3B3AA" w14:textId="329DEFA6"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 xml:space="preserve">Toutes les CPC devront soumettre au Secrétariat de l'ICCAT, avec leurs rapports annuels, les détails sur la mise en œuvre et l'application de la présente Recommandation et de la </w:t>
      </w:r>
      <w:r w:rsidRPr="00CC02DF">
        <w:rPr>
          <w:i/>
          <w:iCs/>
          <w:sz w:val="20"/>
        </w:rPr>
        <w:t>Recommandation de l’ICCAT sur la conservation du stock de requin-taupe bleu de l'Atlantique Nord capturé en association avec les pêcheries de l’ICCAT</w:t>
      </w:r>
      <w:r w:rsidRPr="00CC02DF">
        <w:rPr>
          <w:sz w:val="20"/>
        </w:rPr>
        <w:t xml:space="preserve"> (Rec. 21-09)</w:t>
      </w:r>
      <w:r w:rsidRPr="00CC02DF">
        <w:rPr>
          <w:i/>
          <w:sz w:val="20"/>
        </w:rPr>
        <w:t xml:space="preserve">, </w:t>
      </w:r>
      <w:r w:rsidRPr="00CC02DF">
        <w:rPr>
          <w:sz w:val="20"/>
        </w:rPr>
        <w:t>la</w:t>
      </w:r>
      <w:r w:rsidRPr="00CC02DF">
        <w:rPr>
          <w:i/>
          <w:sz w:val="20"/>
        </w:rPr>
        <w:t xml:space="preserve"> Recommandation de l’ICCAT sur la conservation du stock de requin-taupe bleu de l'Atlantique Sud capturé en association avec les pêcheries de l’ICCAT </w:t>
      </w:r>
      <w:r w:rsidRPr="00CC02DF">
        <w:rPr>
          <w:sz w:val="20"/>
        </w:rPr>
        <w:t>(Rec. 22-11)</w:t>
      </w:r>
      <w:r w:rsidRPr="00CC02DF">
        <w:rPr>
          <w:i/>
          <w:sz w:val="20"/>
        </w:rPr>
        <w:t>,</w:t>
      </w:r>
      <w:r w:rsidRPr="00CC02DF">
        <w:rPr>
          <w:sz w:val="20"/>
        </w:rPr>
        <w:t xml:space="preserve"> la</w:t>
      </w:r>
      <w:r w:rsidRPr="00CC02DF">
        <w:rPr>
          <w:i/>
          <w:sz w:val="20"/>
        </w:rPr>
        <w:t xml:space="preserve"> Recommandation de l'ICCAT remplaçant la Recommandation 19-07 sur des mesures de gestion pour la conservation du requin peau bleue de l’Atlantique Nord capturé en association avec les pêcheries de l’ICCAT </w:t>
      </w:r>
      <w:r w:rsidRPr="00CC02DF">
        <w:rPr>
          <w:sz w:val="20"/>
        </w:rPr>
        <w:t>(Rec. 23-10)</w:t>
      </w:r>
      <w:r w:rsidRPr="00CC02DF">
        <w:rPr>
          <w:i/>
          <w:sz w:val="20"/>
        </w:rPr>
        <w:t xml:space="preserve"> </w:t>
      </w:r>
      <w:r w:rsidRPr="00CC02DF">
        <w:rPr>
          <w:sz w:val="20"/>
        </w:rPr>
        <w:t>et la</w:t>
      </w:r>
      <w:r w:rsidRPr="00CC02DF">
        <w:rPr>
          <w:i/>
          <w:sz w:val="20"/>
        </w:rPr>
        <w:t xml:space="preserve"> Recommandation de l'ICCAT remplaçant la Recommandation 19-08 sur des mesures de gestion pour la conservation du requin peau bleue de l’Atlantique Sud capturé en association avec les pêcheries de l’ICCAT </w:t>
      </w:r>
      <w:r w:rsidRPr="00CC02DF">
        <w:rPr>
          <w:sz w:val="20"/>
        </w:rPr>
        <w:t>(Rec. 23-11) en se servant de la feuille de contrôle figurant à l’</w:t>
      </w:r>
      <w:r w:rsidRPr="00CC02DF">
        <w:rPr>
          <w:b/>
          <w:bCs/>
          <w:sz w:val="20"/>
        </w:rPr>
        <w:t>annexe 2</w:t>
      </w:r>
      <w:r w:rsidRPr="00CC02DF">
        <w:rPr>
          <w:sz w:val="20"/>
        </w:rPr>
        <w:t>, qui pourrait être révisée par le Secrétariat de l'ICCAT en consultation avec les présidents du Comité d’application (COC) et de la Sous-commission 4 pour refléter de nouvelles mesures relatives aux requins adoptées par la Commission</w:t>
      </w:r>
      <w:r w:rsidR="00CB62CE" w:rsidRPr="00CC02DF">
        <w:rPr>
          <w:sz w:val="20"/>
        </w:rPr>
        <w:t>.</w:t>
      </w:r>
      <w:r w:rsidRPr="00CC02DF">
        <w:rPr>
          <w:sz w:val="20"/>
        </w:rPr>
        <w:t xml:space="preserve"> [Rec. 18-06 de l'ICCAT]</w:t>
      </w:r>
    </w:p>
    <w:p w14:paraId="4D4034D5" w14:textId="77777777" w:rsidR="00844C4B" w:rsidRPr="00CC02DF" w:rsidRDefault="00844C4B" w:rsidP="00833055">
      <w:pPr>
        <w:pStyle w:val="ListParagraph"/>
        <w:ind w:left="360"/>
        <w:jc w:val="both"/>
        <w:rPr>
          <w:sz w:val="20"/>
          <w:szCs w:val="20"/>
        </w:rPr>
      </w:pPr>
    </w:p>
    <w:p w14:paraId="3337B26F" w14:textId="560AC78B"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Si une CPC n’a pas modifié, par rapport à l’année antérieure, la mise en œuvre des mesures relatives aux requins de l’ICCAT couvertes par la feuille de contrôle figurant à l’</w:t>
      </w:r>
      <w:r w:rsidRPr="00CC02DF">
        <w:rPr>
          <w:b/>
          <w:bCs/>
          <w:sz w:val="20"/>
        </w:rPr>
        <w:t xml:space="preserve">annexe 2 </w:t>
      </w:r>
      <w:r w:rsidRPr="00CC02DF">
        <w:rPr>
          <w:sz w:val="20"/>
        </w:rPr>
        <w:t>et si aucun champ de déclaration supplémentaire n’a été ajouté pour refléter de nouvelles mesures relatives aux requins, la CPC ne devra pas être tenue de soumettre de feuille de contrôle de la mise en œuvre des mesures s'appliquant aux requins, à condition qu’elle affirme dans son rapport annuel qu’il n’y a pas de changement. Si des changements sont apportés à la mise en œuvre d’une CPC par rapport à l’année antérieure, ou si des champs de déclaration supplémentaires ont été ajoutés dans la feuille de contrôle de la mise en œuvre des mesures s'appliquant aux requins afin de refléter de nouvelles mesures relatives aux requins, la CPC ne devra soumettre que ces mises à jour en ce qui concerne la mise en œuvre ou les réponses aux nouveaux champs de déclaration avec son rapport annuel. Toutefois, les CPC devront soumettre des feuilles de contrôle des requins actualisées dans leur intégralité lors des années où il est prévu que le Comité d’application priorise l’examen des feuilles de contrôle des requins conformément au paragraphe 33. [Rec. 18-06 de l'ICCAT]</w:t>
      </w:r>
    </w:p>
    <w:p w14:paraId="7AC52B1B" w14:textId="77777777" w:rsidR="00844C4B" w:rsidRPr="00CC02DF" w:rsidRDefault="00844C4B" w:rsidP="00833055">
      <w:pPr>
        <w:pStyle w:val="ListParagraph"/>
        <w:ind w:left="360"/>
        <w:jc w:val="both"/>
        <w:rPr>
          <w:sz w:val="20"/>
          <w:szCs w:val="20"/>
        </w:rPr>
      </w:pPr>
    </w:p>
    <w:p w14:paraId="7913A264" w14:textId="11491DCD"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Les CPC pourraient être exemptées de la soumission de la feuille de contrôle s’il est peu probable que les navires battant leur pavillon capturent des espèces de requins couvertes par les Recommandations précitées au paragraphe 29, à condition que les CPC concernées obtiennent confirmation du Groupe d’espèces sur les requins conformément à l’</w:t>
      </w:r>
      <w:r w:rsidRPr="00CC02DF">
        <w:rPr>
          <w:b/>
          <w:bCs/>
          <w:sz w:val="20"/>
        </w:rPr>
        <w:t>annexe 3</w:t>
      </w:r>
      <w:r w:rsidRPr="00CC02DF">
        <w:rPr>
          <w:sz w:val="20"/>
        </w:rPr>
        <w:t>. [Rec. 18-06 de l’ICCAT] [Rapport du SCRS</w:t>
      </w:r>
      <w:r w:rsidR="000C5BBC" w:rsidRPr="00CC02DF">
        <w:rPr>
          <w:sz w:val="20"/>
        </w:rPr>
        <w:t xml:space="preserve"> </w:t>
      </w:r>
      <w:r w:rsidRPr="00CC02DF">
        <w:rPr>
          <w:sz w:val="20"/>
        </w:rPr>
        <w:t>de 2025]</w:t>
      </w:r>
    </w:p>
    <w:p w14:paraId="0149D2A3" w14:textId="77777777" w:rsidR="00844C4B" w:rsidRPr="00CC02DF" w:rsidRDefault="00844C4B" w:rsidP="00833055">
      <w:pPr>
        <w:pStyle w:val="ListParagraph"/>
        <w:ind w:left="360"/>
        <w:jc w:val="both"/>
        <w:rPr>
          <w:sz w:val="20"/>
          <w:szCs w:val="20"/>
        </w:rPr>
      </w:pPr>
    </w:p>
    <w:p w14:paraId="082277E2" w14:textId="451AB137"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Le Comité d’application devra accorder la priorité à l'examen des feuilles de contrôle de la mise en œuvre des mesures s'appliquant aux requins des CPC pendant un cycle de réunions de l’ICCAT tel que déterminé par le Comité, sans préjuger de la compétence du Comité d'examiner les questions relatives à la mise en œuvre des mesures concernant les requins lors de réunions annuelles lors d’autres années le cas échéant. [Rec. 18-06 de l'ICCAT]</w:t>
      </w:r>
    </w:p>
    <w:p w14:paraId="2D5DC337" w14:textId="77777777" w:rsidR="00844C4B" w:rsidRPr="00CC02DF" w:rsidRDefault="00844C4B" w:rsidP="00833055">
      <w:pPr>
        <w:pStyle w:val="ListParagraph"/>
        <w:jc w:val="both"/>
        <w:rPr>
          <w:sz w:val="20"/>
          <w:szCs w:val="20"/>
        </w:rPr>
      </w:pPr>
    </w:p>
    <w:p w14:paraId="6446F8E4" w14:textId="77777777" w:rsidR="00844C4B" w:rsidRPr="00CC02DF" w:rsidRDefault="00844C4B" w:rsidP="00833055">
      <w:pPr>
        <w:pStyle w:val="ListParagraph"/>
        <w:ind w:left="0"/>
        <w:jc w:val="both"/>
        <w:rPr>
          <w:b/>
          <w:bCs/>
          <w:sz w:val="20"/>
          <w:szCs w:val="20"/>
        </w:rPr>
      </w:pPr>
      <w:r w:rsidRPr="00CC02DF">
        <w:rPr>
          <w:b/>
          <w:sz w:val="20"/>
        </w:rPr>
        <w:t>Recherche</w:t>
      </w:r>
    </w:p>
    <w:p w14:paraId="11C72F5E" w14:textId="77777777" w:rsidR="00844C4B" w:rsidRPr="00CC02DF" w:rsidRDefault="00844C4B" w:rsidP="00833055">
      <w:pPr>
        <w:pStyle w:val="ListParagraph"/>
        <w:jc w:val="both"/>
        <w:rPr>
          <w:sz w:val="20"/>
          <w:szCs w:val="20"/>
        </w:rPr>
      </w:pPr>
    </w:p>
    <w:p w14:paraId="3AAFF149" w14:textId="77777777" w:rsidR="00831A37" w:rsidRPr="00CC02DF" w:rsidRDefault="00844C4B" w:rsidP="00796A67">
      <w:pPr>
        <w:pStyle w:val="ListParagraph"/>
        <w:numPr>
          <w:ilvl w:val="0"/>
          <w:numId w:val="60"/>
        </w:numPr>
        <w:autoSpaceDE/>
        <w:autoSpaceDN/>
        <w:ind w:left="426" w:hanging="426"/>
        <w:contextualSpacing/>
        <w:jc w:val="both"/>
        <w:rPr>
          <w:sz w:val="20"/>
          <w:szCs w:val="20"/>
          <w:u w:val="single"/>
        </w:rPr>
      </w:pPr>
      <w:r w:rsidRPr="00CC02DF">
        <w:rPr>
          <w:sz w:val="20"/>
          <w:u w:val="single"/>
        </w:rPr>
        <w:t xml:space="preserve">Les CPC devront, dans la mesure du possible, </w:t>
      </w:r>
      <w:r w:rsidR="00831A37" w:rsidRPr="00CC02DF">
        <w:rPr>
          <w:sz w:val="20"/>
          <w:u w:val="single"/>
        </w:rPr>
        <w:t xml:space="preserve">entreprendre des travaux de </w:t>
      </w:r>
      <w:r w:rsidRPr="00CC02DF">
        <w:rPr>
          <w:sz w:val="20"/>
          <w:u w:val="single"/>
        </w:rPr>
        <w:t>recherche</w:t>
      </w:r>
      <w:r w:rsidR="00831A37" w:rsidRPr="00CC02DF">
        <w:rPr>
          <w:sz w:val="20"/>
          <w:u w:val="single"/>
        </w:rPr>
        <w:t> :</w:t>
      </w:r>
    </w:p>
    <w:p w14:paraId="3F81FBFD" w14:textId="77777777" w:rsidR="00831A37" w:rsidRPr="00CC02DF" w:rsidRDefault="00831A37" w:rsidP="00831A37">
      <w:pPr>
        <w:pStyle w:val="ListParagraph"/>
        <w:autoSpaceDE/>
        <w:autoSpaceDN/>
        <w:ind w:left="426" w:firstLine="0"/>
        <w:contextualSpacing/>
        <w:jc w:val="both"/>
        <w:rPr>
          <w:sz w:val="20"/>
          <w:szCs w:val="20"/>
        </w:rPr>
      </w:pPr>
    </w:p>
    <w:p w14:paraId="24380BCF" w14:textId="77777777" w:rsidR="00700B1F" w:rsidRPr="00CC02DF" w:rsidRDefault="00700B1F" w:rsidP="00700B1F">
      <w:pPr>
        <w:numPr>
          <w:ilvl w:val="1"/>
          <w:numId w:val="81"/>
        </w:numPr>
        <w:ind w:left="851" w:hanging="425"/>
        <w:contextualSpacing/>
        <w:jc w:val="both"/>
        <w:rPr>
          <w:sz w:val="20"/>
          <w:szCs w:val="20"/>
          <w:u w:val="single"/>
        </w:rPr>
      </w:pPr>
      <w:r w:rsidRPr="00CC02DF">
        <w:rPr>
          <w:sz w:val="20"/>
          <w:u w:val="single"/>
        </w:rPr>
        <w:t>Pour identifier les moyens de rendre les engins de pêche plus sélectifs.</w:t>
      </w:r>
    </w:p>
    <w:p w14:paraId="1529D580" w14:textId="55C6FD20" w:rsidR="00700B1F" w:rsidRPr="00CC02DF" w:rsidRDefault="008B669B" w:rsidP="00700B1F">
      <w:pPr>
        <w:numPr>
          <w:ilvl w:val="1"/>
          <w:numId w:val="81"/>
        </w:numPr>
        <w:ind w:left="851" w:hanging="425"/>
        <w:contextualSpacing/>
        <w:jc w:val="both"/>
        <w:rPr>
          <w:sz w:val="20"/>
          <w:szCs w:val="20"/>
        </w:rPr>
      </w:pPr>
      <w:r w:rsidRPr="00CC02DF">
        <w:rPr>
          <w:sz w:val="20"/>
          <w:u w:val="single"/>
        </w:rPr>
        <w:t>Pour i</w:t>
      </w:r>
      <w:r w:rsidR="00700B1F" w:rsidRPr="00CC02DF">
        <w:rPr>
          <w:sz w:val="20"/>
          <w:u w:val="single"/>
        </w:rPr>
        <w:t>dentifier les zones potentielles d'accouplement, de mise bas et de nourricerie des requins, ainsi que d'autres zones à forte concentration</w:t>
      </w:r>
      <w:r w:rsidRPr="00CC02DF">
        <w:rPr>
          <w:sz w:val="20"/>
          <w:u w:val="single"/>
        </w:rPr>
        <w:t xml:space="preserve"> </w:t>
      </w:r>
      <w:r w:rsidRPr="00CC02DF">
        <w:rPr>
          <w:sz w:val="20"/>
        </w:rPr>
        <w:t>Sur la base de cette recherche, les CPC devront envisager des fermetures spatiales et temporelles et d’autres mesures, selon le cas.</w:t>
      </w:r>
    </w:p>
    <w:p w14:paraId="1CBC1D31" w14:textId="369E103C" w:rsidR="00700B1F" w:rsidRPr="00CC02DF" w:rsidRDefault="009E12C9" w:rsidP="00700B1F">
      <w:pPr>
        <w:numPr>
          <w:ilvl w:val="1"/>
          <w:numId w:val="81"/>
        </w:numPr>
        <w:ind w:left="851" w:hanging="425"/>
        <w:contextualSpacing/>
        <w:jc w:val="both"/>
        <w:rPr>
          <w:sz w:val="20"/>
          <w:szCs w:val="20"/>
          <w:u w:val="single"/>
        </w:rPr>
      </w:pPr>
      <w:r w:rsidRPr="00CC02DF">
        <w:rPr>
          <w:sz w:val="20"/>
          <w:u w:val="single"/>
        </w:rPr>
        <w:t>Pour c</w:t>
      </w:r>
      <w:r w:rsidR="00700B1F" w:rsidRPr="00CC02DF">
        <w:rPr>
          <w:sz w:val="20"/>
          <w:u w:val="single"/>
        </w:rPr>
        <w:t xml:space="preserve">ombler les lacunes, au niveau des stocks, dans les données biologiques clés. </w:t>
      </w:r>
    </w:p>
    <w:p w14:paraId="77B8AAAE" w14:textId="77777777" w:rsidR="00700B1F" w:rsidRPr="00CC02DF" w:rsidRDefault="00700B1F" w:rsidP="00700B1F">
      <w:pPr>
        <w:numPr>
          <w:ilvl w:val="1"/>
          <w:numId w:val="81"/>
        </w:numPr>
        <w:ind w:left="851" w:hanging="425"/>
        <w:contextualSpacing/>
        <w:jc w:val="both"/>
        <w:rPr>
          <w:sz w:val="20"/>
          <w:szCs w:val="20"/>
          <w:u w:val="single"/>
        </w:rPr>
      </w:pPr>
      <w:r w:rsidRPr="00CC02DF">
        <w:rPr>
          <w:sz w:val="20"/>
          <w:u w:val="single"/>
        </w:rPr>
        <w:t>Sur les pratiques de manipulation et de remise en liberté garantissant des taux de survie élevés après la remise en liberté de tous les requins capturés qui doivent être remis à l’eau indemnes en vertu du paragraphe 22.</w:t>
      </w:r>
    </w:p>
    <w:p w14:paraId="7331DEF3" w14:textId="77777777" w:rsidR="00700B1F" w:rsidRPr="00CC02DF" w:rsidRDefault="00700B1F" w:rsidP="00831A37">
      <w:pPr>
        <w:pStyle w:val="ListParagraph"/>
        <w:autoSpaceDE/>
        <w:autoSpaceDN/>
        <w:ind w:left="426" w:firstLine="0"/>
        <w:contextualSpacing/>
        <w:jc w:val="both"/>
        <w:rPr>
          <w:sz w:val="20"/>
          <w:szCs w:val="20"/>
        </w:rPr>
      </w:pPr>
    </w:p>
    <w:p w14:paraId="56A8ED13" w14:textId="0E8860A2" w:rsidR="007307DD" w:rsidRPr="00CC02DF" w:rsidRDefault="00657C18" w:rsidP="000406B3">
      <w:pPr>
        <w:pStyle w:val="ListParagraph"/>
        <w:numPr>
          <w:ilvl w:val="0"/>
          <w:numId w:val="60"/>
        </w:numPr>
        <w:autoSpaceDE/>
        <w:autoSpaceDN/>
        <w:ind w:left="426" w:hanging="426"/>
        <w:contextualSpacing/>
        <w:jc w:val="both"/>
        <w:rPr>
          <w:sz w:val="20"/>
          <w:u w:val="single"/>
        </w:rPr>
      </w:pPr>
      <w:r w:rsidRPr="00CC02DF">
        <w:rPr>
          <w:sz w:val="20"/>
          <w:u w:val="single"/>
        </w:rPr>
        <w:t xml:space="preserve">D'ici 2026, le SCRS devra mettre à jour l'évaluation du risque écologique pour les requins de 2012 et </w:t>
      </w:r>
      <w:r w:rsidR="001002F1" w:rsidRPr="00CC02DF">
        <w:rPr>
          <w:sz w:val="20"/>
          <w:u w:val="single"/>
        </w:rPr>
        <w:t xml:space="preserve">devra </w:t>
      </w:r>
      <w:r w:rsidRPr="00CC02DF">
        <w:rPr>
          <w:sz w:val="20"/>
          <w:u w:val="single"/>
        </w:rPr>
        <w:t xml:space="preserve">formuler un avis à la Commission sur l'état des populations des espèces de requins concernées et leur vulnérabilité à la surpêche, et sur la question de savoir s'il est recommandé de mettre en place une gestion de précaution de ces espèces en appliquant les mesures prévues par la présente Recommandation. </w:t>
      </w:r>
      <w:r w:rsidR="007307DD" w:rsidRPr="00CC02DF">
        <w:rPr>
          <w:sz w:val="20"/>
          <w:u w:val="single"/>
        </w:rPr>
        <w:br w:type="page"/>
      </w:r>
    </w:p>
    <w:p w14:paraId="4392819B" w14:textId="666BF528" w:rsidR="006F064A" w:rsidRPr="00CC02DF" w:rsidRDefault="006F064A" w:rsidP="00452BFC">
      <w:pPr>
        <w:pStyle w:val="ListParagraph"/>
        <w:numPr>
          <w:ilvl w:val="0"/>
          <w:numId w:val="60"/>
        </w:numPr>
        <w:ind w:left="426" w:hanging="426"/>
        <w:contextualSpacing/>
        <w:jc w:val="both"/>
        <w:rPr>
          <w:sz w:val="20"/>
          <w:u w:val="single"/>
        </w:rPr>
      </w:pPr>
      <w:r w:rsidRPr="00CC02DF">
        <w:rPr>
          <w:sz w:val="20"/>
          <w:u w:val="single"/>
        </w:rPr>
        <w:t>Le SCRS devrait continuer à travailler conjointement avec le Groupe de travail sur les poissons élasmobranches du CIEM sur l'évaluation des espèces d'intérêt commun, telles que le requin-taupe commun.</w:t>
      </w:r>
    </w:p>
    <w:p w14:paraId="1CDC445C" w14:textId="77777777" w:rsidR="006F064A" w:rsidRPr="00CC02DF" w:rsidRDefault="006F064A" w:rsidP="00452BFC">
      <w:pPr>
        <w:pStyle w:val="ListParagraph"/>
        <w:autoSpaceDE/>
        <w:autoSpaceDN/>
        <w:ind w:left="426" w:firstLine="0"/>
        <w:contextualSpacing/>
        <w:jc w:val="both"/>
        <w:rPr>
          <w:sz w:val="20"/>
          <w:szCs w:val="20"/>
        </w:rPr>
      </w:pPr>
    </w:p>
    <w:p w14:paraId="453F7973" w14:textId="1E294718" w:rsidR="00844C4B" w:rsidRPr="00CC02DF" w:rsidRDefault="00844C4B" w:rsidP="00411CEA">
      <w:pPr>
        <w:pStyle w:val="ListParagraph"/>
        <w:ind w:left="0" w:firstLine="0"/>
        <w:jc w:val="both"/>
        <w:rPr>
          <w:b/>
          <w:bCs/>
          <w:sz w:val="20"/>
          <w:szCs w:val="20"/>
        </w:rPr>
      </w:pPr>
      <w:r w:rsidRPr="00CC02DF">
        <w:rPr>
          <w:b/>
          <w:sz w:val="20"/>
        </w:rPr>
        <w:t>Aide au renforcement des capacités</w:t>
      </w:r>
    </w:p>
    <w:p w14:paraId="2F22FD95" w14:textId="77777777" w:rsidR="00844C4B" w:rsidRPr="00CC02DF" w:rsidRDefault="00844C4B" w:rsidP="00833055">
      <w:pPr>
        <w:jc w:val="both"/>
        <w:rPr>
          <w:sz w:val="20"/>
          <w:szCs w:val="20"/>
        </w:rPr>
      </w:pPr>
    </w:p>
    <w:p w14:paraId="128E0C54" w14:textId="4F3F3274" w:rsidR="00046DA4" w:rsidRPr="00CC02DF" w:rsidRDefault="00FB3CF3" w:rsidP="00046DA4">
      <w:pPr>
        <w:pStyle w:val="ListParagraph"/>
        <w:numPr>
          <w:ilvl w:val="0"/>
          <w:numId w:val="60"/>
        </w:numPr>
        <w:rPr>
          <w:sz w:val="20"/>
          <w:szCs w:val="20"/>
          <w:u w:val="single"/>
        </w:rPr>
      </w:pPr>
      <w:r w:rsidRPr="00CC02DF">
        <w:rPr>
          <w:sz w:val="20"/>
          <w:u w:val="single"/>
        </w:rPr>
        <w:t>La Commission devra envisager d’apporter une assistance appropriée aux CPC en développement aux fins de la collecte des données sur leurs prises de requins.</w:t>
      </w:r>
    </w:p>
    <w:p w14:paraId="0971A3B7" w14:textId="77777777" w:rsidR="00046DA4" w:rsidRPr="00CC02DF" w:rsidRDefault="00046DA4" w:rsidP="00046DA4">
      <w:pPr>
        <w:pStyle w:val="ListParagraph"/>
        <w:autoSpaceDE/>
        <w:autoSpaceDN/>
        <w:ind w:left="426" w:firstLine="0"/>
        <w:contextualSpacing/>
        <w:jc w:val="both"/>
        <w:rPr>
          <w:sz w:val="20"/>
          <w:szCs w:val="20"/>
        </w:rPr>
      </w:pPr>
    </w:p>
    <w:p w14:paraId="6C66F792" w14:textId="4952D2E6" w:rsidR="00844C4B" w:rsidRPr="00CC02DF" w:rsidRDefault="00844C4B" w:rsidP="008253BE">
      <w:pPr>
        <w:pStyle w:val="ListParagraph"/>
        <w:numPr>
          <w:ilvl w:val="0"/>
          <w:numId w:val="60"/>
        </w:numPr>
        <w:autoSpaceDE/>
        <w:autoSpaceDN/>
        <w:ind w:left="426" w:hanging="426"/>
        <w:contextualSpacing/>
        <w:jc w:val="both"/>
        <w:rPr>
          <w:sz w:val="20"/>
          <w:szCs w:val="20"/>
        </w:rPr>
      </w:pPr>
      <w:r w:rsidRPr="00CC02DF">
        <w:rPr>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[Rec. 10-08 de l'ICCAT]</w:t>
      </w:r>
    </w:p>
    <w:p w14:paraId="45348FF4" w14:textId="77777777" w:rsidR="00844C4B" w:rsidRPr="00CC02DF" w:rsidRDefault="00844C4B" w:rsidP="00833055">
      <w:pPr>
        <w:pStyle w:val="ListParagraph"/>
        <w:ind w:left="360"/>
        <w:jc w:val="both"/>
        <w:rPr>
          <w:sz w:val="20"/>
          <w:szCs w:val="20"/>
        </w:rPr>
      </w:pPr>
    </w:p>
    <w:p w14:paraId="26A6095B" w14:textId="77777777" w:rsidR="00844C4B" w:rsidRPr="00CC02DF" w:rsidRDefault="00844C4B" w:rsidP="00411CEA">
      <w:pPr>
        <w:pStyle w:val="ListParagraph"/>
        <w:ind w:left="0" w:firstLine="0"/>
        <w:jc w:val="both"/>
        <w:rPr>
          <w:b/>
          <w:bCs/>
          <w:sz w:val="20"/>
          <w:szCs w:val="20"/>
        </w:rPr>
      </w:pPr>
      <w:r w:rsidRPr="00CC02DF">
        <w:rPr>
          <w:b/>
          <w:sz w:val="20"/>
        </w:rPr>
        <w:t>Dispositions finales</w:t>
      </w:r>
    </w:p>
    <w:p w14:paraId="4AC1C173" w14:textId="77777777" w:rsidR="00844C4B" w:rsidRPr="00CC02DF" w:rsidRDefault="00844C4B" w:rsidP="00833055">
      <w:pPr>
        <w:jc w:val="both"/>
        <w:rPr>
          <w:sz w:val="20"/>
          <w:szCs w:val="20"/>
        </w:rPr>
      </w:pPr>
    </w:p>
    <w:p w14:paraId="06272702" w14:textId="48812FE8" w:rsidR="00844C4B" w:rsidRPr="00CC02DF" w:rsidRDefault="00844C4B" w:rsidP="00CC148E">
      <w:pPr>
        <w:pStyle w:val="ListParagraph"/>
        <w:numPr>
          <w:ilvl w:val="0"/>
          <w:numId w:val="60"/>
        </w:numPr>
        <w:autoSpaceDE/>
        <w:autoSpaceDN/>
        <w:contextualSpacing/>
        <w:jc w:val="both"/>
        <w:rPr>
          <w:sz w:val="20"/>
          <w:szCs w:val="20"/>
        </w:rPr>
      </w:pPr>
      <w:r w:rsidRPr="00CC02DF">
        <w:rPr>
          <w:sz w:val="20"/>
        </w:rPr>
        <w:t>La présente Recommandation abroge et remplace</w:t>
      </w:r>
      <w:r w:rsidR="007F3116" w:rsidRPr="00CC02DF">
        <w:rPr>
          <w:sz w:val="20"/>
        </w:rPr>
        <w:t> :</w:t>
      </w:r>
    </w:p>
    <w:p w14:paraId="27101D1E" w14:textId="77777777" w:rsidR="00844C4B" w:rsidRPr="00CC02DF" w:rsidRDefault="00844C4B" w:rsidP="00833055">
      <w:pPr>
        <w:jc w:val="both"/>
        <w:rPr>
          <w:sz w:val="20"/>
          <w:szCs w:val="20"/>
        </w:rPr>
      </w:pPr>
    </w:p>
    <w:p w14:paraId="3039D3E1"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Résolution de l’ICCAT concernant une coopération avec l’Organisation des Nations-Unies pour l’Alimentation et l’Agriculture (FAO) pour l’étude de l’état des stocks de requins et de leur capture accidentelle</w:t>
      </w:r>
      <w:r w:rsidRPr="00CC02DF">
        <w:rPr>
          <w:i/>
          <w:sz w:val="20"/>
        </w:rPr>
        <w:t xml:space="preserve"> </w:t>
      </w:r>
      <w:r w:rsidRPr="00CC02DF">
        <w:rPr>
          <w:sz w:val="20"/>
        </w:rPr>
        <w:t xml:space="preserve">(Rés. 95-02), </w:t>
      </w:r>
    </w:p>
    <w:p w14:paraId="0B9E98EB" w14:textId="77777777" w:rsidR="00411CEA" w:rsidRPr="00CC02DF" w:rsidRDefault="00411CEA" w:rsidP="00411CEA">
      <w:pPr>
        <w:pStyle w:val="ListParagraph"/>
        <w:autoSpaceDE/>
        <w:autoSpaceDN/>
        <w:ind w:left="851" w:firstLine="0"/>
        <w:contextualSpacing/>
        <w:jc w:val="both"/>
        <w:rPr>
          <w:sz w:val="20"/>
          <w:szCs w:val="20"/>
        </w:rPr>
      </w:pPr>
    </w:p>
    <w:p w14:paraId="35821942"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 xml:space="preserve">Résolution de l’ICCAT sur la pêcherie de requins </w:t>
      </w:r>
      <w:r w:rsidRPr="00CC02DF">
        <w:rPr>
          <w:sz w:val="20"/>
        </w:rPr>
        <w:t>(Rés. 03-10),</w:t>
      </w:r>
    </w:p>
    <w:p w14:paraId="13D7129A" w14:textId="77777777" w:rsidR="00411CEA" w:rsidRPr="00CC02DF" w:rsidRDefault="00411CEA" w:rsidP="00411CEA">
      <w:pPr>
        <w:pStyle w:val="ListParagraph"/>
        <w:rPr>
          <w:sz w:val="20"/>
          <w:szCs w:val="20"/>
        </w:rPr>
      </w:pPr>
    </w:p>
    <w:p w14:paraId="5B0FCD7F"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Recommandation de l’ICCAT concernant la conservation des requins capturés en association avec les pêcheries gérées par l’ICCAT</w:t>
      </w:r>
      <w:r w:rsidRPr="00CC02DF">
        <w:rPr>
          <w:sz w:val="20"/>
        </w:rPr>
        <w:t xml:space="preserve"> (Rec. 04-10),</w:t>
      </w:r>
    </w:p>
    <w:p w14:paraId="6D7B10CC" w14:textId="77777777" w:rsidR="00411CEA" w:rsidRPr="00CC02DF" w:rsidRDefault="00411CEA" w:rsidP="00411CEA">
      <w:pPr>
        <w:pStyle w:val="ListParagraph"/>
        <w:rPr>
          <w:sz w:val="20"/>
          <w:szCs w:val="20"/>
        </w:rPr>
      </w:pPr>
    </w:p>
    <w:p w14:paraId="084B56C9"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Recommandation supplémentaire de l’ICCAT concernant les requins</w:t>
      </w:r>
      <w:r w:rsidRPr="00CC02DF">
        <w:rPr>
          <w:i/>
          <w:sz w:val="20"/>
        </w:rPr>
        <w:t xml:space="preserve"> </w:t>
      </w:r>
      <w:r w:rsidRPr="00CC02DF">
        <w:rPr>
          <w:sz w:val="20"/>
        </w:rPr>
        <w:t>(Rec. 07-06),</w:t>
      </w:r>
    </w:p>
    <w:p w14:paraId="22EA2098" w14:textId="77777777" w:rsidR="00411CEA" w:rsidRPr="00CC02DF" w:rsidRDefault="00411CEA" w:rsidP="00411CEA">
      <w:pPr>
        <w:pStyle w:val="ListParagraph"/>
        <w:rPr>
          <w:sz w:val="20"/>
          <w:szCs w:val="20"/>
        </w:rPr>
      </w:pPr>
    </w:p>
    <w:p w14:paraId="4D4D01BC"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Recommandation de l’ICCAT sur la conservation des renards de mer capturés en association avec les pêcheries dans la zone de la Convention de l’ICCAT</w:t>
      </w:r>
      <w:r w:rsidRPr="00CC02DF">
        <w:rPr>
          <w:sz w:val="20"/>
        </w:rPr>
        <w:t xml:space="preserve"> (Rec. 09-07),</w:t>
      </w:r>
    </w:p>
    <w:p w14:paraId="77E2D98E" w14:textId="77777777" w:rsidR="00411CEA" w:rsidRPr="00CC02DF" w:rsidRDefault="00411CEA" w:rsidP="00411CEA">
      <w:pPr>
        <w:pStyle w:val="ListParagraph"/>
        <w:rPr>
          <w:sz w:val="20"/>
          <w:szCs w:val="20"/>
        </w:rPr>
      </w:pPr>
    </w:p>
    <w:p w14:paraId="1E48634A"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Recommandation de l’ICCAT sur la conservation du requin océanique capturé en association avec les pêcheries dans la zone de la Convention de l’ICCAT</w:t>
      </w:r>
      <w:r w:rsidRPr="00CC02DF">
        <w:rPr>
          <w:sz w:val="20"/>
        </w:rPr>
        <w:t xml:space="preserve"> (Rec. 10-07),</w:t>
      </w:r>
    </w:p>
    <w:p w14:paraId="011CB764" w14:textId="77777777" w:rsidR="00411CEA" w:rsidRPr="00CC02DF" w:rsidRDefault="00411CEA" w:rsidP="00411CEA">
      <w:pPr>
        <w:pStyle w:val="ListParagraph"/>
        <w:rPr>
          <w:sz w:val="20"/>
          <w:szCs w:val="20"/>
        </w:rPr>
      </w:pPr>
    </w:p>
    <w:p w14:paraId="5A15C720"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Recommandation de l’ICCAT sur le requin marteau (famille</w:t>
      </w:r>
      <w:r w:rsidRPr="00CC02DF">
        <w:rPr>
          <w:sz w:val="20"/>
        </w:rPr>
        <w:t xml:space="preserve"> Sphyrnidae) </w:t>
      </w:r>
      <w:r w:rsidRPr="00CC02DF">
        <w:rPr>
          <w:i/>
          <w:iCs/>
          <w:sz w:val="20"/>
        </w:rPr>
        <w:t>capturé en association avec les pêcheries gérées par l'ICCAT</w:t>
      </w:r>
      <w:r w:rsidRPr="00CC02DF">
        <w:rPr>
          <w:sz w:val="20"/>
        </w:rPr>
        <w:t xml:space="preserve"> (Rec. 10-08),</w:t>
      </w:r>
    </w:p>
    <w:p w14:paraId="1D635686" w14:textId="77777777" w:rsidR="00411CEA" w:rsidRPr="00CC02DF" w:rsidRDefault="00411CEA" w:rsidP="00411CEA">
      <w:pPr>
        <w:pStyle w:val="ListParagraph"/>
        <w:rPr>
          <w:sz w:val="20"/>
          <w:szCs w:val="20"/>
        </w:rPr>
      </w:pPr>
    </w:p>
    <w:p w14:paraId="10850E24" w14:textId="156F656C"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Recommandation de l’ICCAT sur la conservation du requin soyeux capturé en association avec les pêcheries de l’ICCAT</w:t>
      </w:r>
      <w:r w:rsidRPr="00CC02DF">
        <w:rPr>
          <w:sz w:val="20"/>
        </w:rPr>
        <w:t xml:space="preserve"> (Rec. 11-08)</w:t>
      </w:r>
      <w:r w:rsidR="00ED3CC8" w:rsidRPr="00CC02DF">
        <w:rPr>
          <w:sz w:val="20"/>
        </w:rPr>
        <w:t>,</w:t>
      </w:r>
    </w:p>
    <w:p w14:paraId="55272448" w14:textId="77777777" w:rsidR="00411CEA" w:rsidRPr="00CC02DF" w:rsidRDefault="00411CEA" w:rsidP="00411CEA">
      <w:pPr>
        <w:pStyle w:val="ListParagraph"/>
        <w:rPr>
          <w:sz w:val="20"/>
          <w:szCs w:val="20"/>
        </w:rPr>
      </w:pPr>
    </w:p>
    <w:p w14:paraId="5B7C23B0"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Recommandation de l’ICCAT sur l'échantillonnage biologique des espèces interdites de requins par des observateurs scientifiques</w:t>
      </w:r>
      <w:r w:rsidRPr="00CC02DF">
        <w:rPr>
          <w:b/>
          <w:bCs/>
          <w:sz w:val="20"/>
        </w:rPr>
        <w:t xml:space="preserve"> </w:t>
      </w:r>
      <w:r w:rsidRPr="00CC02DF">
        <w:rPr>
          <w:sz w:val="20"/>
        </w:rPr>
        <w:t>(Rec. 13-10),</w:t>
      </w:r>
    </w:p>
    <w:p w14:paraId="1FC99C80" w14:textId="77777777" w:rsidR="00411CEA" w:rsidRPr="00CC02DF" w:rsidRDefault="00411CEA" w:rsidP="00411CEA">
      <w:pPr>
        <w:pStyle w:val="ListParagraph"/>
        <w:rPr>
          <w:sz w:val="20"/>
          <w:szCs w:val="20"/>
        </w:rPr>
      </w:pPr>
    </w:p>
    <w:p w14:paraId="44720203"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iCs/>
          <w:sz w:val="20"/>
        </w:rPr>
        <w:t>Recommandation de l’ICCAT sur le requin-taupe commun capturé en association avec les pêcheries de l’ICCAT</w:t>
      </w:r>
      <w:r w:rsidRPr="00CC02DF">
        <w:rPr>
          <w:sz w:val="20"/>
        </w:rPr>
        <w:t xml:space="preserve"> (Rec. 15-06),</w:t>
      </w:r>
    </w:p>
    <w:p w14:paraId="66736529" w14:textId="77777777" w:rsidR="00411CEA" w:rsidRPr="00CC02DF" w:rsidRDefault="00411CEA" w:rsidP="00411CEA">
      <w:pPr>
        <w:pStyle w:val="ListParagraph"/>
        <w:rPr>
          <w:sz w:val="20"/>
          <w:szCs w:val="20"/>
        </w:rPr>
      </w:pPr>
    </w:p>
    <w:p w14:paraId="64C3F638" w14:textId="77777777" w:rsidR="00844C4B" w:rsidRPr="00CC02DF" w:rsidRDefault="00844C4B"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Pr="00CC02DF">
        <w:rPr>
          <w:i/>
          <w:sz w:val="20"/>
        </w:rPr>
        <w:t xml:space="preserve">Recommandation de l’ICCAT remplaçant la Recommandation 16-13 en vue d'améliorer l'examen de l'application des mesures de conservation et de gestion s'appliquant aux requins capturés en association avec les pêcheries de l’ICCAT </w:t>
      </w:r>
      <w:r w:rsidRPr="00CC02DF">
        <w:rPr>
          <w:sz w:val="20"/>
        </w:rPr>
        <w:t>(Rec. 18-06) et</w:t>
      </w:r>
    </w:p>
    <w:p w14:paraId="229593E5" w14:textId="77777777" w:rsidR="00411CEA" w:rsidRPr="00CC02DF" w:rsidRDefault="00411CEA" w:rsidP="00411CEA">
      <w:pPr>
        <w:pStyle w:val="ListParagraph"/>
        <w:rPr>
          <w:sz w:val="20"/>
          <w:szCs w:val="20"/>
        </w:rPr>
      </w:pPr>
    </w:p>
    <w:p w14:paraId="21CC1DCB" w14:textId="2D6E4008" w:rsidR="00844C4B" w:rsidRPr="00CC02DF" w:rsidRDefault="007F3116" w:rsidP="00CC148E">
      <w:pPr>
        <w:pStyle w:val="ListParagraph"/>
        <w:numPr>
          <w:ilvl w:val="0"/>
          <w:numId w:val="65"/>
        </w:numPr>
        <w:autoSpaceDE/>
        <w:autoSpaceDN/>
        <w:ind w:left="851" w:hanging="425"/>
        <w:contextualSpacing/>
        <w:jc w:val="both"/>
        <w:rPr>
          <w:sz w:val="20"/>
          <w:szCs w:val="20"/>
        </w:rPr>
      </w:pPr>
      <w:r w:rsidRPr="00CC02DF">
        <w:rPr>
          <w:sz w:val="20"/>
        </w:rPr>
        <w:t xml:space="preserve">la </w:t>
      </w:r>
      <w:r w:rsidR="00844C4B" w:rsidRPr="00CC02DF">
        <w:rPr>
          <w:i/>
          <w:iCs/>
          <w:sz w:val="20"/>
        </w:rPr>
        <w:t>Recommandation de l’ICCAT pour la conservation des requins-baleines (</w:t>
      </w:r>
      <w:r w:rsidR="00844C4B" w:rsidRPr="00CC02DF">
        <w:rPr>
          <w:sz w:val="20"/>
        </w:rPr>
        <w:t>Rhincodon typus</w:t>
      </w:r>
      <w:r w:rsidR="00844C4B" w:rsidRPr="00CC02DF">
        <w:rPr>
          <w:i/>
          <w:iCs/>
          <w:sz w:val="20"/>
        </w:rPr>
        <w:t xml:space="preserve">) capturés en association avec les pêcheries de l’ICCAT </w:t>
      </w:r>
      <w:r w:rsidR="00844C4B" w:rsidRPr="00CC02DF">
        <w:rPr>
          <w:sz w:val="20"/>
        </w:rPr>
        <w:t>(Rec. 23-12).</w:t>
      </w:r>
    </w:p>
    <w:p w14:paraId="2E9FBF27" w14:textId="77777777" w:rsidR="00844C4B" w:rsidRPr="00CC02DF" w:rsidRDefault="00844C4B" w:rsidP="00833055">
      <w:pPr>
        <w:jc w:val="both"/>
        <w:rPr>
          <w:sz w:val="20"/>
          <w:szCs w:val="20"/>
        </w:rPr>
      </w:pPr>
    </w:p>
    <w:p w14:paraId="4013492C" w14:textId="014DE4F7" w:rsidR="00844C4B" w:rsidRPr="00CC02DF" w:rsidRDefault="009D1C8C" w:rsidP="00833055">
      <w:pPr>
        <w:jc w:val="both"/>
        <w:rPr>
          <w:sz w:val="20"/>
          <w:szCs w:val="20"/>
          <w:u w:val="single"/>
        </w:rPr>
      </w:pPr>
      <w:r w:rsidRPr="00CC02DF">
        <w:rPr>
          <w:sz w:val="20"/>
          <w:u w:val="single"/>
        </w:rPr>
        <w:t>Toute référence à ces mesures abrogées dans d'autres mesures de gestion actives devra être présumée se référer à cette nouvelle Recommandation, le cas échéant.</w:t>
      </w:r>
    </w:p>
    <w:p w14:paraId="553D0325" w14:textId="77777777" w:rsidR="00844C4B" w:rsidRPr="00CC02DF" w:rsidRDefault="00844C4B" w:rsidP="00833055">
      <w:pPr>
        <w:widowControl/>
        <w:jc w:val="both"/>
        <w:rPr>
          <w:sz w:val="20"/>
          <w:szCs w:val="20"/>
        </w:rPr>
      </w:pPr>
      <w:r w:rsidRPr="00CC02DF">
        <w:br w:type="page"/>
      </w:r>
    </w:p>
    <w:p w14:paraId="20AE8726" w14:textId="77777777" w:rsidR="00844C4B" w:rsidRPr="00CC02DF" w:rsidRDefault="00844C4B" w:rsidP="00411CEA">
      <w:pPr>
        <w:jc w:val="right"/>
        <w:rPr>
          <w:b/>
          <w:bCs/>
          <w:sz w:val="20"/>
          <w:szCs w:val="20"/>
        </w:rPr>
      </w:pPr>
      <w:r w:rsidRPr="00CC02DF">
        <w:rPr>
          <w:b/>
          <w:sz w:val="20"/>
        </w:rPr>
        <w:t>Annexe 1</w:t>
      </w:r>
    </w:p>
    <w:p w14:paraId="62837513" w14:textId="77777777" w:rsidR="00844C4B" w:rsidRPr="00CC02DF" w:rsidRDefault="00844C4B" w:rsidP="00833055">
      <w:pPr>
        <w:jc w:val="both"/>
        <w:rPr>
          <w:sz w:val="20"/>
          <w:szCs w:val="20"/>
        </w:rPr>
      </w:pPr>
    </w:p>
    <w:p w14:paraId="7E4410BB" w14:textId="77777777" w:rsidR="007F3116" w:rsidRPr="00CC02DF" w:rsidRDefault="00844C4B" w:rsidP="00411CEA">
      <w:pPr>
        <w:jc w:val="center"/>
        <w:rPr>
          <w:b/>
          <w:bCs/>
          <w:sz w:val="20"/>
        </w:rPr>
      </w:pPr>
      <w:r w:rsidRPr="00CC02DF">
        <w:rPr>
          <w:b/>
          <w:bCs/>
          <w:sz w:val="20"/>
        </w:rPr>
        <w:t xml:space="preserve">Directives pour la manipulation et la remise à l'eau en toute sécurité des requins-baleines </w:t>
      </w:r>
    </w:p>
    <w:p w14:paraId="682F438D" w14:textId="12F9CC91" w:rsidR="00844C4B" w:rsidRPr="00CC02DF" w:rsidRDefault="00844C4B" w:rsidP="00411CEA">
      <w:pPr>
        <w:jc w:val="center"/>
        <w:rPr>
          <w:sz w:val="20"/>
          <w:szCs w:val="20"/>
        </w:rPr>
      </w:pPr>
      <w:r w:rsidRPr="00CC02DF">
        <w:rPr>
          <w:sz w:val="20"/>
        </w:rPr>
        <w:t>[Rec. 23-12</w:t>
      </w:r>
      <w:r w:rsidR="007F3116" w:rsidRPr="00CC02DF">
        <w:rPr>
          <w:sz w:val="20"/>
        </w:rPr>
        <w:t xml:space="preserve"> de l’ICCAT</w:t>
      </w:r>
      <w:r w:rsidRPr="00CC02DF">
        <w:rPr>
          <w:sz w:val="20"/>
        </w:rPr>
        <w:t>]</w:t>
      </w:r>
    </w:p>
    <w:p w14:paraId="783F5668" w14:textId="77777777" w:rsidR="00844C4B" w:rsidRPr="00CC02DF" w:rsidRDefault="00844C4B" w:rsidP="00833055">
      <w:pPr>
        <w:jc w:val="both"/>
        <w:rPr>
          <w:sz w:val="20"/>
          <w:szCs w:val="20"/>
        </w:rPr>
      </w:pPr>
    </w:p>
    <w:p w14:paraId="10E52DF4" w14:textId="0E7D7629" w:rsidR="007034D9" w:rsidRPr="00CC02DF" w:rsidRDefault="007034D9" w:rsidP="007034D9">
      <w:pPr>
        <w:autoSpaceDE/>
        <w:autoSpaceDN/>
        <w:ind w:left="426" w:hanging="426"/>
        <w:contextualSpacing/>
        <w:jc w:val="both"/>
        <w:rPr>
          <w:rFonts w:eastAsia="Calibri" w:cs="Calibri"/>
          <w:sz w:val="20"/>
          <w:szCs w:val="20"/>
        </w:rPr>
      </w:pPr>
      <w:r w:rsidRPr="00CC02DF">
        <w:rPr>
          <w:rFonts w:eastAsia="Times New Roman" w:cs="Times New Roman"/>
          <w:sz w:val="20"/>
          <w:szCs w:val="20"/>
        </w:rPr>
        <w:t xml:space="preserve">1. </w:t>
      </w:r>
      <w:r w:rsidRPr="00CC02DF">
        <w:rPr>
          <w:rFonts w:eastAsia="Times New Roman" w:cs="Times New Roman"/>
          <w:sz w:val="20"/>
          <w:szCs w:val="20"/>
        </w:rPr>
        <w:tab/>
        <w:t>Dans la zone de la Convention de l’ICCAT, les pratiques suivantes devraient être appliquées pour remettre à l'eau les requins-baleines capturés accidentellement dans les pêcheries de l’ICCAT</w:t>
      </w:r>
      <w:r w:rsidR="007A5687" w:rsidRPr="00CC02DF">
        <w:rPr>
          <w:rFonts w:eastAsia="Times New Roman" w:cs="Times New Roman"/>
          <w:sz w:val="20"/>
          <w:szCs w:val="20"/>
        </w:rPr>
        <w:t> :</w:t>
      </w:r>
    </w:p>
    <w:p w14:paraId="43209147" w14:textId="77777777" w:rsidR="007034D9" w:rsidRPr="00CC02DF" w:rsidRDefault="007034D9" w:rsidP="007034D9">
      <w:pPr>
        <w:autoSpaceDE/>
        <w:autoSpaceDN/>
        <w:jc w:val="both"/>
        <w:rPr>
          <w:rFonts w:eastAsia="Calibri" w:cs="Calibri"/>
          <w:sz w:val="20"/>
          <w:szCs w:val="20"/>
        </w:rPr>
      </w:pPr>
    </w:p>
    <w:p w14:paraId="53722E01"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Utiliser une salabarde ou une épuisette pour hisser et remettre à l'eau les requins-baleines, opération également définie comme « salabardage ». Cette opération doit être réalisée lorsque des spécimens de moins de 2 mètres sont capturés, afin de les relâcher directement dans la mer, sans les monter à bord ; ou</w:t>
      </w:r>
    </w:p>
    <w:p w14:paraId="5E5BB4B4" w14:textId="77777777" w:rsidR="007034D9" w:rsidRPr="00CC02DF" w:rsidRDefault="007034D9" w:rsidP="007034D9">
      <w:pPr>
        <w:autoSpaceDE/>
        <w:autoSpaceDN/>
        <w:ind w:left="1146" w:hanging="425"/>
        <w:jc w:val="both"/>
        <w:rPr>
          <w:rFonts w:eastAsia="Calibri" w:cs="Calibri"/>
          <w:sz w:val="20"/>
          <w:szCs w:val="20"/>
        </w:rPr>
      </w:pPr>
    </w:p>
    <w:p w14:paraId="7F303D25"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Faire couler la ligne de liège de manière à ce que le requin-baleine roule hors du filet. Si le spécimen ne sort pas de lui-même du filet, placer une corde sous l'animal et l'attacher à la ligne de flottaison pour l'aider à rouler hors du filet ; ou</w:t>
      </w:r>
    </w:p>
    <w:p w14:paraId="78A6B9E3" w14:textId="77777777" w:rsidR="007034D9" w:rsidRPr="00CC02DF" w:rsidRDefault="007034D9" w:rsidP="007034D9">
      <w:pPr>
        <w:widowControl/>
        <w:autoSpaceDE/>
        <w:autoSpaceDN/>
        <w:ind w:left="1440" w:hanging="425"/>
        <w:contextualSpacing/>
        <w:rPr>
          <w:rFonts w:eastAsia="Calibri" w:cs="Calibri"/>
          <w:sz w:val="20"/>
          <w:szCs w:val="20"/>
        </w:rPr>
      </w:pPr>
    </w:p>
    <w:p w14:paraId="2F3626A3"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Couper quelques mètres de filet devant le requin-baleine.</w:t>
      </w:r>
    </w:p>
    <w:p w14:paraId="4B7507B7" w14:textId="77777777" w:rsidR="007034D9" w:rsidRPr="00CC02DF" w:rsidRDefault="007034D9" w:rsidP="007034D9">
      <w:pPr>
        <w:autoSpaceDE/>
        <w:autoSpaceDN/>
        <w:ind w:left="720"/>
        <w:contextualSpacing/>
        <w:jc w:val="both"/>
        <w:rPr>
          <w:rFonts w:eastAsia="Calibri" w:cs="Calibri"/>
          <w:sz w:val="20"/>
          <w:szCs w:val="20"/>
        </w:rPr>
      </w:pPr>
    </w:p>
    <w:p w14:paraId="63B5E2C7" w14:textId="77777777" w:rsidR="007034D9" w:rsidRPr="00CC02DF" w:rsidRDefault="007034D9" w:rsidP="007034D9">
      <w:pPr>
        <w:autoSpaceDE/>
        <w:autoSpaceDN/>
        <w:ind w:left="426" w:hanging="426"/>
        <w:contextualSpacing/>
        <w:jc w:val="both"/>
        <w:rPr>
          <w:rFonts w:asciiTheme="majorHAnsi" w:eastAsia="Calibri" w:hAnsiTheme="majorHAnsi" w:cs="Calibri"/>
          <w:sz w:val="20"/>
          <w:szCs w:val="20"/>
        </w:rPr>
      </w:pPr>
      <w:r w:rsidRPr="00CC02DF">
        <w:rPr>
          <w:rFonts w:asciiTheme="majorHAnsi" w:eastAsia="Times New Roman" w:hAnsiTheme="majorHAnsi" w:cs="Times New Roman"/>
          <w:sz w:val="20"/>
          <w:szCs w:val="20"/>
        </w:rPr>
        <w:t>2.</w:t>
      </w:r>
      <w:r w:rsidRPr="00CC02DF">
        <w:rPr>
          <w:rFonts w:asciiTheme="majorHAnsi" w:eastAsia="Times New Roman" w:hAnsiTheme="majorHAnsi" w:cs="Times New Roman"/>
          <w:sz w:val="20"/>
          <w:szCs w:val="20"/>
        </w:rPr>
        <w:tab/>
        <w:t xml:space="preserve">Dans la zone de la </w:t>
      </w:r>
      <w:r w:rsidRPr="00CC02DF">
        <w:rPr>
          <w:rFonts w:eastAsia="Times New Roman" w:cs="Times New Roman"/>
          <w:sz w:val="20"/>
          <w:szCs w:val="20"/>
        </w:rPr>
        <w:t>Convention</w:t>
      </w:r>
      <w:r w:rsidRPr="00CC02DF">
        <w:rPr>
          <w:rFonts w:asciiTheme="majorHAnsi" w:eastAsia="Times New Roman" w:hAnsiTheme="majorHAnsi" w:cs="Times New Roman"/>
          <w:sz w:val="20"/>
          <w:szCs w:val="20"/>
        </w:rPr>
        <w:t xml:space="preserve"> de l’ICCAT, les pratiques suivantes devraient être évitées lors de la remise à l'eau de des requins-baleines capturés accidentellement dans les pêcheries de l’ICCAT :</w:t>
      </w:r>
    </w:p>
    <w:p w14:paraId="53C9CA54" w14:textId="77777777" w:rsidR="007034D9" w:rsidRPr="00CC02DF" w:rsidRDefault="007034D9" w:rsidP="007034D9">
      <w:pPr>
        <w:autoSpaceDE/>
        <w:autoSpaceDN/>
        <w:ind w:left="720"/>
        <w:contextualSpacing/>
        <w:jc w:val="both"/>
        <w:rPr>
          <w:rFonts w:eastAsia="Calibri" w:cs="Calibri"/>
          <w:sz w:val="20"/>
          <w:szCs w:val="20"/>
        </w:rPr>
      </w:pPr>
    </w:p>
    <w:p w14:paraId="7F63D0C7"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Soulever le requin-baleine par la queue ;</w:t>
      </w:r>
    </w:p>
    <w:p w14:paraId="334D6173" w14:textId="77777777" w:rsidR="007034D9" w:rsidRPr="00CC02DF" w:rsidRDefault="007034D9" w:rsidP="007034D9">
      <w:pPr>
        <w:autoSpaceDE/>
        <w:autoSpaceDN/>
        <w:ind w:left="1276"/>
        <w:contextualSpacing/>
        <w:jc w:val="both"/>
        <w:rPr>
          <w:rFonts w:eastAsia="Calibri" w:cs="Calibri"/>
          <w:sz w:val="20"/>
          <w:szCs w:val="20"/>
        </w:rPr>
      </w:pPr>
    </w:p>
    <w:p w14:paraId="3AA035B2"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Tirer le requin-baleine par une boucle accrochée autour de ses branchies ou par des trous percés dans une nageoire ;</w:t>
      </w:r>
    </w:p>
    <w:p w14:paraId="2F38BAFE" w14:textId="77777777" w:rsidR="007034D9" w:rsidRPr="00CC02DF" w:rsidRDefault="007034D9" w:rsidP="007034D9">
      <w:pPr>
        <w:autoSpaceDE/>
        <w:autoSpaceDN/>
        <w:ind w:left="1276"/>
        <w:contextualSpacing/>
        <w:jc w:val="both"/>
        <w:rPr>
          <w:rFonts w:eastAsia="Calibri" w:cs="Calibri"/>
          <w:sz w:val="20"/>
          <w:szCs w:val="20"/>
        </w:rPr>
      </w:pPr>
    </w:p>
    <w:p w14:paraId="2E6A6722"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Le gaffer ;</w:t>
      </w:r>
    </w:p>
    <w:p w14:paraId="43035A6B" w14:textId="77777777" w:rsidR="007034D9" w:rsidRPr="00CC02DF" w:rsidRDefault="007034D9" w:rsidP="007034D9">
      <w:pPr>
        <w:autoSpaceDE/>
        <w:autoSpaceDN/>
        <w:ind w:left="1276"/>
        <w:contextualSpacing/>
        <w:jc w:val="both"/>
        <w:rPr>
          <w:rFonts w:eastAsia="Calibri" w:cs="Calibri"/>
          <w:sz w:val="20"/>
          <w:szCs w:val="20"/>
          <w:lang w:val="en-AU"/>
        </w:rPr>
      </w:pPr>
    </w:p>
    <w:p w14:paraId="72B09741"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Laisser les cordes de remorquage attachées au tronc des requins-baleines ;</w:t>
      </w:r>
    </w:p>
    <w:p w14:paraId="7BA79763" w14:textId="77777777" w:rsidR="007034D9" w:rsidRPr="00CC02DF" w:rsidRDefault="007034D9" w:rsidP="007034D9">
      <w:pPr>
        <w:autoSpaceDE/>
        <w:autoSpaceDN/>
        <w:ind w:left="1276"/>
        <w:contextualSpacing/>
        <w:jc w:val="both"/>
        <w:rPr>
          <w:rFonts w:eastAsia="Calibri" w:cs="Calibri"/>
          <w:sz w:val="20"/>
          <w:szCs w:val="20"/>
        </w:rPr>
      </w:pPr>
    </w:p>
    <w:p w14:paraId="6767BE0E"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Salabarder des requins-baleines de plus de 2 mètres ;</w:t>
      </w:r>
    </w:p>
    <w:p w14:paraId="11F2FA20" w14:textId="77777777" w:rsidR="007034D9" w:rsidRPr="00CC02DF" w:rsidRDefault="007034D9" w:rsidP="007034D9">
      <w:pPr>
        <w:autoSpaceDE/>
        <w:autoSpaceDN/>
        <w:ind w:left="1276"/>
        <w:contextualSpacing/>
        <w:jc w:val="both"/>
        <w:rPr>
          <w:rFonts w:eastAsia="Calibri" w:cs="Calibri"/>
          <w:sz w:val="20"/>
          <w:szCs w:val="20"/>
        </w:rPr>
      </w:pPr>
    </w:p>
    <w:p w14:paraId="31726BB4"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Salabarder les requins-baleines sur le pont ;</w:t>
      </w:r>
    </w:p>
    <w:p w14:paraId="0D9A9636" w14:textId="77777777" w:rsidR="007034D9" w:rsidRPr="00CC02DF" w:rsidRDefault="007034D9" w:rsidP="007034D9">
      <w:pPr>
        <w:autoSpaceDE/>
        <w:autoSpaceDN/>
        <w:ind w:left="1276"/>
        <w:contextualSpacing/>
        <w:jc w:val="both"/>
        <w:rPr>
          <w:rFonts w:eastAsia="Calibri" w:cs="Calibri"/>
          <w:sz w:val="20"/>
          <w:szCs w:val="20"/>
        </w:rPr>
      </w:pPr>
    </w:p>
    <w:p w14:paraId="7E814378" w14:textId="77777777" w:rsidR="007034D9" w:rsidRPr="00CC02DF" w:rsidRDefault="007034D9" w:rsidP="007034D9">
      <w:pPr>
        <w:widowControl/>
        <w:numPr>
          <w:ilvl w:val="0"/>
          <w:numId w:val="77"/>
        </w:numPr>
        <w:autoSpaceDE/>
        <w:autoSpaceDN/>
        <w:ind w:left="1276" w:hanging="425"/>
        <w:contextualSpacing/>
        <w:jc w:val="both"/>
        <w:rPr>
          <w:rFonts w:eastAsia="Calibri" w:cs="Calibri"/>
          <w:sz w:val="20"/>
          <w:szCs w:val="20"/>
        </w:rPr>
      </w:pPr>
      <w:r w:rsidRPr="00CC02DF">
        <w:rPr>
          <w:rFonts w:eastAsia="Times New Roman" w:cs="Times New Roman"/>
          <w:sz w:val="20"/>
          <w:szCs w:val="20"/>
        </w:rPr>
        <w:t>Commencer le processus de salabardage alors que le requin-baleine est encore dans le filet de la senne.</w:t>
      </w:r>
    </w:p>
    <w:p w14:paraId="00490870" w14:textId="77777777" w:rsidR="007034D9" w:rsidRPr="00CC02DF" w:rsidRDefault="007034D9" w:rsidP="00833055">
      <w:pPr>
        <w:jc w:val="both"/>
        <w:rPr>
          <w:sz w:val="20"/>
          <w:szCs w:val="20"/>
        </w:rPr>
      </w:pPr>
    </w:p>
    <w:p w14:paraId="02EEE066" w14:textId="77777777" w:rsidR="00844C4B" w:rsidRPr="00CC02DF" w:rsidRDefault="00844C4B" w:rsidP="00411CEA">
      <w:pPr>
        <w:pStyle w:val="Default"/>
        <w:widowControl w:val="0"/>
        <w:ind w:left="709"/>
        <w:jc w:val="both"/>
        <w:rPr>
          <w:sz w:val="20"/>
          <w:szCs w:val="20"/>
        </w:rPr>
      </w:pPr>
    </w:p>
    <w:p w14:paraId="21236261" w14:textId="77777777" w:rsidR="00844C4B" w:rsidRPr="00CC02DF" w:rsidRDefault="00844C4B" w:rsidP="00833055">
      <w:pPr>
        <w:widowControl/>
        <w:jc w:val="both"/>
        <w:rPr>
          <w:sz w:val="20"/>
          <w:szCs w:val="20"/>
        </w:rPr>
      </w:pPr>
    </w:p>
    <w:p w14:paraId="6581D4FE" w14:textId="77777777" w:rsidR="00844C4B" w:rsidRPr="00CC02DF" w:rsidRDefault="00844C4B" w:rsidP="00833055">
      <w:pPr>
        <w:widowControl/>
        <w:jc w:val="both"/>
        <w:rPr>
          <w:sz w:val="20"/>
          <w:szCs w:val="20"/>
        </w:rPr>
      </w:pPr>
      <w:r w:rsidRPr="00CC02DF">
        <w:br w:type="page"/>
      </w:r>
    </w:p>
    <w:p w14:paraId="44F3325F" w14:textId="77777777" w:rsidR="00844C4B" w:rsidRPr="00CC02DF" w:rsidRDefault="00844C4B" w:rsidP="00411CEA">
      <w:pPr>
        <w:jc w:val="right"/>
        <w:rPr>
          <w:b/>
          <w:bCs/>
          <w:sz w:val="20"/>
          <w:szCs w:val="20"/>
        </w:rPr>
      </w:pPr>
      <w:r w:rsidRPr="00CC02DF">
        <w:rPr>
          <w:b/>
          <w:sz w:val="20"/>
        </w:rPr>
        <w:t>Annexe 2</w:t>
      </w:r>
    </w:p>
    <w:p w14:paraId="40E02CF2" w14:textId="77777777" w:rsidR="00844C4B" w:rsidRPr="00CC02DF" w:rsidRDefault="00844C4B" w:rsidP="00411CEA">
      <w:pPr>
        <w:jc w:val="center"/>
        <w:rPr>
          <w:b/>
          <w:bCs/>
          <w:sz w:val="20"/>
          <w:szCs w:val="20"/>
        </w:rPr>
      </w:pPr>
    </w:p>
    <w:p w14:paraId="73290FDC" w14:textId="77777777" w:rsidR="00844C4B" w:rsidRPr="00CC02DF" w:rsidRDefault="00844C4B" w:rsidP="00411CEA">
      <w:pPr>
        <w:jc w:val="center"/>
        <w:rPr>
          <w:b/>
          <w:bCs/>
          <w:sz w:val="20"/>
          <w:szCs w:val="20"/>
        </w:rPr>
      </w:pPr>
      <w:r w:rsidRPr="00CC02DF">
        <w:rPr>
          <w:b/>
          <w:sz w:val="20"/>
        </w:rPr>
        <w:t>Feuille de contrôle de la mise en œuvre des mesures s'appliquant aux requins</w:t>
      </w:r>
    </w:p>
    <w:p w14:paraId="095263DC" w14:textId="77777777" w:rsidR="00844C4B" w:rsidRPr="00CC02DF" w:rsidRDefault="00844C4B" w:rsidP="00833055">
      <w:pPr>
        <w:jc w:val="both"/>
        <w:rPr>
          <w:sz w:val="20"/>
          <w:szCs w:val="20"/>
        </w:rPr>
      </w:pPr>
    </w:p>
    <w:p w14:paraId="38CDA8FE" w14:textId="77777777" w:rsidR="00844C4B" w:rsidRPr="00CC02DF" w:rsidRDefault="00844C4B" w:rsidP="00833055">
      <w:pPr>
        <w:jc w:val="both"/>
        <w:rPr>
          <w:sz w:val="20"/>
          <w:szCs w:val="20"/>
        </w:rPr>
      </w:pPr>
      <w:r w:rsidRPr="00CC02DF">
        <w:rPr>
          <w:sz w:val="20"/>
        </w:rPr>
        <w:t>À rédiger</w:t>
      </w:r>
    </w:p>
    <w:p w14:paraId="44D8E959" w14:textId="77777777" w:rsidR="00844C4B" w:rsidRPr="00CC02DF" w:rsidRDefault="00844C4B" w:rsidP="00833055">
      <w:pPr>
        <w:jc w:val="both"/>
        <w:rPr>
          <w:sz w:val="20"/>
          <w:szCs w:val="20"/>
        </w:rPr>
      </w:pPr>
    </w:p>
    <w:p w14:paraId="507CC356" w14:textId="77777777" w:rsidR="00844C4B" w:rsidRPr="00CC02DF" w:rsidRDefault="00844C4B" w:rsidP="00833055">
      <w:pPr>
        <w:jc w:val="both"/>
        <w:rPr>
          <w:sz w:val="20"/>
          <w:szCs w:val="20"/>
        </w:rPr>
      </w:pPr>
    </w:p>
    <w:p w14:paraId="5D5EA96F" w14:textId="77777777" w:rsidR="00844C4B" w:rsidRPr="00CC02DF" w:rsidRDefault="00844C4B" w:rsidP="00833055">
      <w:pPr>
        <w:jc w:val="both"/>
        <w:rPr>
          <w:sz w:val="20"/>
          <w:szCs w:val="20"/>
        </w:rPr>
      </w:pPr>
    </w:p>
    <w:p w14:paraId="1396F672" w14:textId="77777777" w:rsidR="00844C4B" w:rsidRPr="00CC02DF" w:rsidRDefault="00844C4B" w:rsidP="00833055">
      <w:pPr>
        <w:jc w:val="both"/>
        <w:rPr>
          <w:sz w:val="20"/>
          <w:szCs w:val="20"/>
        </w:rPr>
      </w:pPr>
    </w:p>
    <w:p w14:paraId="21793534" w14:textId="77777777" w:rsidR="00844C4B" w:rsidRPr="00CC02DF" w:rsidRDefault="00844C4B" w:rsidP="00833055">
      <w:pPr>
        <w:widowControl/>
        <w:jc w:val="both"/>
        <w:rPr>
          <w:sz w:val="20"/>
          <w:szCs w:val="20"/>
        </w:rPr>
      </w:pPr>
      <w:r w:rsidRPr="00CC02DF">
        <w:br w:type="page"/>
      </w:r>
    </w:p>
    <w:p w14:paraId="41FAD1CD" w14:textId="77777777" w:rsidR="00844C4B" w:rsidRPr="00CC02DF" w:rsidRDefault="00844C4B" w:rsidP="00411CEA">
      <w:pPr>
        <w:jc w:val="right"/>
        <w:rPr>
          <w:b/>
          <w:bCs/>
          <w:sz w:val="20"/>
          <w:szCs w:val="20"/>
        </w:rPr>
      </w:pPr>
      <w:r w:rsidRPr="00CC02DF">
        <w:rPr>
          <w:b/>
          <w:sz w:val="20"/>
        </w:rPr>
        <w:t>Annexe 3</w:t>
      </w:r>
    </w:p>
    <w:p w14:paraId="4E4F6B01" w14:textId="77777777" w:rsidR="00844C4B" w:rsidRPr="00CC02DF" w:rsidRDefault="00844C4B" w:rsidP="00833055">
      <w:pPr>
        <w:jc w:val="both"/>
        <w:rPr>
          <w:sz w:val="20"/>
          <w:szCs w:val="20"/>
        </w:rPr>
      </w:pPr>
    </w:p>
    <w:p w14:paraId="57C8F4C8" w14:textId="77777777" w:rsidR="00844C4B" w:rsidRPr="00CC02DF" w:rsidRDefault="00844C4B" w:rsidP="00411CEA">
      <w:pPr>
        <w:jc w:val="center"/>
        <w:rPr>
          <w:b/>
          <w:bCs/>
          <w:sz w:val="20"/>
          <w:szCs w:val="20"/>
        </w:rPr>
      </w:pPr>
      <w:r w:rsidRPr="00CC02DF">
        <w:rPr>
          <w:b/>
          <w:sz w:val="20"/>
        </w:rPr>
        <w:t>Procédure à suivre par les CPC pour solliciter une exemption à la présentation de la feuille de contrôle de la mise en œuvre des mesures s'appliquant aux requins</w:t>
      </w:r>
    </w:p>
    <w:p w14:paraId="53637A51" w14:textId="77777777" w:rsidR="00844C4B" w:rsidRPr="00CC02DF" w:rsidRDefault="00844C4B" w:rsidP="00833055">
      <w:pPr>
        <w:jc w:val="both"/>
        <w:rPr>
          <w:sz w:val="20"/>
          <w:szCs w:val="20"/>
        </w:rPr>
      </w:pPr>
    </w:p>
    <w:p w14:paraId="50437DEE" w14:textId="77777777" w:rsidR="00B427B1" w:rsidRPr="00CC02DF" w:rsidRDefault="00B427B1" w:rsidP="00B427B1">
      <w:pPr>
        <w:widowControl/>
        <w:numPr>
          <w:ilvl w:val="0"/>
          <w:numId w:val="79"/>
        </w:numPr>
        <w:autoSpaceDE/>
        <w:autoSpaceDN/>
        <w:ind w:left="426" w:hanging="426"/>
        <w:jc w:val="both"/>
        <w:rPr>
          <w:rFonts w:eastAsia="Aptos" w:cs="Arial"/>
          <w:kern w:val="2"/>
          <w:sz w:val="20"/>
          <w:szCs w:val="20"/>
          <w14:ligatures w14:val="standardContextual"/>
        </w:rPr>
      </w:pPr>
      <w:r w:rsidRPr="00CC02DF">
        <w:rPr>
          <w:rFonts w:eastAsia="Aptos" w:cs="Arial"/>
          <w:kern w:val="2"/>
          <w:sz w:val="20"/>
          <w:szCs w:val="20"/>
          <w14:ligatures w14:val="standardContextual"/>
        </w:rPr>
        <w:t>Présentation pendant l’année Y d’une demande d’exemption de présentation de la feuille de contrôle s’appliquant aux requins pendant l’année Y+1.</w:t>
      </w:r>
    </w:p>
    <w:p w14:paraId="4842FBC3" w14:textId="77777777" w:rsidR="00B427B1" w:rsidRPr="00CC02DF" w:rsidRDefault="00B427B1" w:rsidP="00B427B1">
      <w:pPr>
        <w:widowControl/>
        <w:autoSpaceDE/>
        <w:autoSpaceDN/>
        <w:ind w:left="567"/>
        <w:jc w:val="both"/>
        <w:rPr>
          <w:rFonts w:eastAsia="Aptos" w:cs="Arial"/>
          <w:kern w:val="2"/>
          <w:sz w:val="20"/>
          <w:szCs w:val="20"/>
          <w14:ligatures w14:val="standardContextual"/>
        </w:rPr>
      </w:pPr>
    </w:p>
    <w:p w14:paraId="4CC13BAF" w14:textId="77777777" w:rsidR="00B427B1" w:rsidRPr="00CC02DF"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La demande initiale pendant l’année Y doit être soumise au Secrétariat pour examen par le SCRS, dans les mêmes délais que la soumission de la feuille de contrôle s’appliquant aux requins.</w:t>
      </w:r>
    </w:p>
    <w:p w14:paraId="2C1B8C3B" w14:textId="77777777" w:rsidR="00B427B1" w:rsidRPr="00CC02DF" w:rsidRDefault="00B427B1" w:rsidP="00B427B1">
      <w:pPr>
        <w:widowControl/>
        <w:autoSpaceDE/>
        <w:autoSpaceDN/>
        <w:ind w:left="851"/>
        <w:jc w:val="both"/>
        <w:rPr>
          <w:rFonts w:eastAsia="Aptos" w:cs="Arial"/>
          <w:kern w:val="2"/>
          <w:sz w:val="20"/>
          <w:szCs w:val="20"/>
          <w14:ligatures w14:val="standardContextual"/>
        </w:rPr>
      </w:pPr>
    </w:p>
    <w:p w14:paraId="37DF7D3D" w14:textId="77777777" w:rsidR="00B427B1" w:rsidRPr="00CC02DF"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La demande doit être accompagnée d'un document écrit expliquant clairement la raison de l'exemption, ainsi que de toutes les données justificatives nécessaires comme stipulé au paragraphe 2.</w:t>
      </w:r>
    </w:p>
    <w:p w14:paraId="13D463C8" w14:textId="77777777" w:rsidR="00B427B1" w:rsidRPr="00CC02DF" w:rsidRDefault="00B427B1" w:rsidP="00B427B1">
      <w:pPr>
        <w:widowControl/>
        <w:autoSpaceDE/>
        <w:autoSpaceDN/>
        <w:ind w:left="720"/>
        <w:contextualSpacing/>
        <w:jc w:val="center"/>
        <w:rPr>
          <w:rFonts w:eastAsia="Aptos" w:cs="Arial"/>
          <w:kern w:val="2"/>
          <w:sz w:val="20"/>
          <w:szCs w:val="20"/>
          <w14:ligatures w14:val="standardContextual"/>
        </w:rPr>
      </w:pPr>
    </w:p>
    <w:p w14:paraId="5604A23B" w14:textId="77777777" w:rsidR="00B427B1" w:rsidRPr="00CC02DF"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L'exemption peut être demandée pour l'ensemble de la feuille de contrôle s’appliquant aux requins ou uniquement pour les recommandations ayant des implications spécifiques pour le Nord/Sud.</w:t>
      </w:r>
    </w:p>
    <w:p w14:paraId="0AD0A294" w14:textId="77777777" w:rsidR="00B427B1" w:rsidRPr="00CC02DF" w:rsidRDefault="00B427B1" w:rsidP="00B427B1">
      <w:pPr>
        <w:widowControl/>
        <w:autoSpaceDE/>
        <w:autoSpaceDN/>
        <w:ind w:left="720"/>
        <w:contextualSpacing/>
        <w:jc w:val="center"/>
        <w:rPr>
          <w:rFonts w:eastAsia="Aptos" w:cs="Arial"/>
          <w:kern w:val="2"/>
          <w:sz w:val="20"/>
          <w:szCs w:val="20"/>
          <w14:ligatures w14:val="standardContextual"/>
        </w:rPr>
      </w:pPr>
    </w:p>
    <w:p w14:paraId="00F9C5E3" w14:textId="77777777" w:rsidR="00B427B1" w:rsidRPr="00CC02DF"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La présentation de la demande initiale ne dispense pas de la présentation de la feuille de contrôle s’appliquant aux requins de l'année Y-1.</w:t>
      </w:r>
    </w:p>
    <w:p w14:paraId="092938D6" w14:textId="77777777" w:rsidR="00B427B1" w:rsidRPr="00CC02DF" w:rsidRDefault="00B427B1" w:rsidP="00B427B1">
      <w:pPr>
        <w:widowControl/>
        <w:autoSpaceDE/>
        <w:autoSpaceDN/>
        <w:ind w:left="720"/>
        <w:jc w:val="both"/>
        <w:rPr>
          <w:rFonts w:eastAsia="Aptos" w:cs="Arial"/>
          <w:kern w:val="2"/>
          <w:sz w:val="20"/>
          <w:szCs w:val="20"/>
          <w14:ligatures w14:val="standardContextual"/>
        </w:rPr>
      </w:pPr>
    </w:p>
    <w:p w14:paraId="0D761308" w14:textId="77777777" w:rsidR="00B427B1" w:rsidRPr="00CC02DF" w:rsidRDefault="00B427B1" w:rsidP="00B427B1">
      <w:pPr>
        <w:widowControl/>
        <w:numPr>
          <w:ilvl w:val="0"/>
          <w:numId w:val="79"/>
        </w:numPr>
        <w:autoSpaceDE/>
        <w:autoSpaceDN/>
        <w:ind w:left="426" w:hanging="426"/>
        <w:jc w:val="both"/>
        <w:rPr>
          <w:rFonts w:eastAsia="Aptos" w:cs="Arial"/>
          <w:kern w:val="2"/>
          <w:sz w:val="20"/>
          <w:szCs w:val="20"/>
          <w14:ligatures w14:val="standardContextual"/>
        </w:rPr>
      </w:pPr>
      <w:r w:rsidRPr="00CC02DF">
        <w:rPr>
          <w:rFonts w:eastAsia="Aptos" w:cs="Arial"/>
          <w:kern w:val="2"/>
          <w:sz w:val="20"/>
          <w:szCs w:val="20"/>
          <w14:ligatures w14:val="standardContextual"/>
        </w:rPr>
        <w:t>Évaluation de la demande par le SCRS.</w:t>
      </w:r>
    </w:p>
    <w:p w14:paraId="05C4DC1C" w14:textId="77777777" w:rsidR="00B427B1" w:rsidRPr="00CC02DF" w:rsidRDefault="00B427B1" w:rsidP="00B427B1">
      <w:pPr>
        <w:widowControl/>
        <w:autoSpaceDE/>
        <w:autoSpaceDN/>
        <w:ind w:left="567"/>
        <w:jc w:val="both"/>
        <w:rPr>
          <w:rFonts w:eastAsia="Aptos" w:cs="Arial"/>
          <w:kern w:val="2"/>
          <w:sz w:val="20"/>
          <w:szCs w:val="20"/>
          <w14:ligatures w14:val="standardContextual"/>
        </w:rPr>
      </w:pPr>
    </w:p>
    <w:p w14:paraId="6C3CD0DC" w14:textId="77777777" w:rsidR="00B427B1" w:rsidRPr="00CC02DF"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 xml:space="preserve">Un représentant de la CPC demandant l'exemption doit présenter le document soumis au cours de la réunion de septembre du Groupe d'espèces sur les requins de la même année où a lieu la soumission. </w:t>
      </w:r>
    </w:p>
    <w:p w14:paraId="74257055" w14:textId="77777777" w:rsidR="00B427B1" w:rsidRPr="00CC02DF" w:rsidRDefault="00B427B1" w:rsidP="00B427B1">
      <w:pPr>
        <w:widowControl/>
        <w:autoSpaceDE/>
        <w:autoSpaceDN/>
        <w:ind w:left="851"/>
        <w:jc w:val="both"/>
        <w:rPr>
          <w:rFonts w:eastAsia="Aptos" w:cs="Arial"/>
          <w:kern w:val="2"/>
          <w:sz w:val="20"/>
          <w:szCs w:val="20"/>
          <w14:ligatures w14:val="standardContextual"/>
        </w:rPr>
      </w:pPr>
    </w:p>
    <w:p w14:paraId="5B535E65" w14:textId="77777777" w:rsidR="00B427B1" w:rsidRPr="00CC02DF" w:rsidRDefault="00B427B1" w:rsidP="00B427B1">
      <w:pPr>
        <w:widowControl/>
        <w:numPr>
          <w:ilvl w:val="1"/>
          <w:numId w:val="79"/>
        </w:numPr>
        <w:autoSpaceDE/>
        <w:autoSpaceDN/>
        <w:ind w:left="851"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Le Groupe d'espèces sur les requins examinera le document afin d'évaluer l'opportunité de la demande d’exemption, conformément aux lignes directrices suivantes :</w:t>
      </w:r>
    </w:p>
    <w:p w14:paraId="285929BA" w14:textId="77777777" w:rsidR="00B427B1" w:rsidRPr="00CC02DF" w:rsidRDefault="00B427B1" w:rsidP="00B427B1">
      <w:pPr>
        <w:widowControl/>
        <w:autoSpaceDE/>
        <w:autoSpaceDN/>
        <w:ind w:left="851"/>
        <w:jc w:val="both"/>
        <w:rPr>
          <w:rFonts w:eastAsia="Aptos" w:cs="Arial"/>
          <w:kern w:val="2"/>
          <w:sz w:val="20"/>
          <w:szCs w:val="20"/>
          <w14:ligatures w14:val="standardContextual"/>
        </w:rPr>
      </w:pPr>
    </w:p>
    <w:p w14:paraId="7FA280A9" w14:textId="77777777" w:rsidR="00B427B1" w:rsidRPr="00CC02DF" w:rsidRDefault="00B427B1" w:rsidP="00B427B1">
      <w:pPr>
        <w:widowControl/>
        <w:numPr>
          <w:ilvl w:val="0"/>
          <w:numId w:val="78"/>
        </w:numPr>
        <w:autoSpaceDE/>
        <w:autoSpaceDN/>
        <w:jc w:val="both"/>
        <w:rPr>
          <w:rFonts w:eastAsia="Aptos" w:cs="Arial"/>
          <w:kern w:val="2"/>
          <w:sz w:val="20"/>
          <w:szCs w:val="20"/>
          <w14:ligatures w14:val="standardContextual"/>
        </w:rPr>
      </w:pPr>
      <w:r w:rsidRPr="00CC02DF">
        <w:rPr>
          <w:rFonts w:eastAsia="Aptos" w:cs="Arial"/>
          <w:kern w:val="2"/>
          <w:sz w:val="20"/>
          <w:szCs w:val="20"/>
          <w14:ligatures w14:val="standardContextual"/>
        </w:rPr>
        <w:t xml:space="preserve">Pour les CPC n'ayant pas de flottille active ciblant les thonidés et les espèces apparentées dans la zone relevant du mandat de l’ICCAT : </w:t>
      </w:r>
    </w:p>
    <w:p w14:paraId="182EC729" w14:textId="77777777" w:rsidR="00B427B1" w:rsidRPr="00CC02DF" w:rsidRDefault="00B427B1" w:rsidP="00B427B1">
      <w:pPr>
        <w:widowControl/>
        <w:autoSpaceDE/>
        <w:autoSpaceDN/>
        <w:ind w:left="1211"/>
        <w:jc w:val="both"/>
        <w:rPr>
          <w:rFonts w:eastAsia="Aptos" w:cs="Arial"/>
          <w:kern w:val="2"/>
          <w:sz w:val="20"/>
          <w:szCs w:val="20"/>
          <w14:ligatures w14:val="standardContextual"/>
        </w:rPr>
      </w:pPr>
    </w:p>
    <w:p w14:paraId="559B3BCC" w14:textId="77777777" w:rsidR="00B427B1" w:rsidRPr="00CC02DF" w:rsidRDefault="00B427B1" w:rsidP="00B427B1">
      <w:pPr>
        <w:widowControl/>
        <w:autoSpaceDE/>
        <w:autoSpaceDN/>
        <w:ind w:left="1418"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i.</w:t>
      </w:r>
      <w:r w:rsidRPr="00CC02DF">
        <w:rPr>
          <w:rFonts w:eastAsia="Aptos" w:cs="Arial"/>
          <w:kern w:val="2"/>
          <w:sz w:val="20"/>
          <w:szCs w:val="20"/>
          <w14:ligatures w14:val="standardContextual"/>
        </w:rPr>
        <w:tab/>
        <w:t xml:space="preserve">Déclaration et éléments de preuve que la CPC n'a pas de flottille active ciblant les thonidés et les espèces apparentées dans la zone relevant du mandat de l'ICCAT. </w:t>
      </w:r>
    </w:p>
    <w:p w14:paraId="3F51DB06" w14:textId="77777777" w:rsidR="00B427B1" w:rsidRPr="00CC02DF" w:rsidRDefault="00B427B1" w:rsidP="00B427B1">
      <w:pPr>
        <w:widowControl/>
        <w:autoSpaceDE/>
        <w:autoSpaceDN/>
        <w:ind w:left="1418"/>
        <w:jc w:val="both"/>
        <w:rPr>
          <w:rFonts w:eastAsia="Aptos" w:cs="Arial"/>
          <w:kern w:val="2"/>
          <w:sz w:val="20"/>
          <w:szCs w:val="20"/>
          <w14:ligatures w14:val="standardContextual"/>
        </w:rPr>
      </w:pPr>
    </w:p>
    <w:p w14:paraId="424C4DD2" w14:textId="77777777" w:rsidR="00B427B1" w:rsidRPr="00CC02DF" w:rsidRDefault="00B427B1" w:rsidP="00B427B1">
      <w:pPr>
        <w:widowControl/>
        <w:numPr>
          <w:ilvl w:val="0"/>
          <w:numId w:val="78"/>
        </w:numPr>
        <w:autoSpaceDE/>
        <w:autoSpaceDN/>
        <w:jc w:val="both"/>
        <w:rPr>
          <w:rFonts w:eastAsia="Aptos" w:cs="Arial"/>
          <w:kern w:val="2"/>
          <w:sz w:val="20"/>
          <w:szCs w:val="20"/>
          <w14:ligatures w14:val="standardContextual"/>
        </w:rPr>
      </w:pPr>
      <w:r w:rsidRPr="00CC02DF">
        <w:rPr>
          <w:rFonts w:eastAsia="Aptos" w:cs="Arial"/>
          <w:kern w:val="2"/>
          <w:sz w:val="20"/>
          <w:szCs w:val="20"/>
          <w14:ligatures w14:val="standardContextual"/>
        </w:rPr>
        <w:t xml:space="preserve">Pour les CPC qui ont des flottilles actives ciblant les thonidés et les espèces apparentées dans la zone relevant du mandat de l'ICCAT : </w:t>
      </w:r>
    </w:p>
    <w:p w14:paraId="04524690" w14:textId="77777777" w:rsidR="00B427B1" w:rsidRPr="00CC02DF" w:rsidRDefault="00B427B1" w:rsidP="00B427B1">
      <w:pPr>
        <w:widowControl/>
        <w:autoSpaceDE/>
        <w:autoSpaceDN/>
        <w:ind w:left="1211"/>
        <w:jc w:val="both"/>
        <w:rPr>
          <w:rFonts w:eastAsia="Aptos" w:cs="Arial"/>
          <w:kern w:val="2"/>
          <w:sz w:val="20"/>
          <w:szCs w:val="20"/>
          <w14:ligatures w14:val="standardContextual"/>
        </w:rPr>
      </w:pPr>
    </w:p>
    <w:p w14:paraId="6369AA8C" w14:textId="77777777" w:rsidR="00B427B1" w:rsidRPr="00CC02DF" w:rsidRDefault="00B427B1" w:rsidP="00B427B1">
      <w:pPr>
        <w:widowControl/>
        <w:autoSpaceDE/>
        <w:autoSpaceDN/>
        <w:ind w:left="1418"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 xml:space="preserve">i. </w:t>
      </w:r>
      <w:r w:rsidRPr="00CC02DF">
        <w:rPr>
          <w:rFonts w:eastAsia="Aptos" w:cs="Arial"/>
          <w:kern w:val="2"/>
          <w:sz w:val="20"/>
          <w:szCs w:val="20"/>
          <w14:ligatures w14:val="standardContextual"/>
        </w:rPr>
        <w:tab/>
        <w:t xml:space="preserve">L'existence d'une liste des espèces de requins de l'ICCAT enregistrées dans la zone dans laquelle la CPC exerce des activités de pêche pour lesquelles l'exemption est demandée. </w:t>
      </w:r>
    </w:p>
    <w:p w14:paraId="67C0AB74" w14:textId="77777777" w:rsidR="00B427B1" w:rsidRPr="00CC02DF" w:rsidRDefault="00B427B1" w:rsidP="00B427B1">
      <w:pPr>
        <w:widowControl/>
        <w:autoSpaceDE/>
        <w:autoSpaceDN/>
        <w:ind w:left="1418" w:hanging="284"/>
        <w:jc w:val="both"/>
        <w:rPr>
          <w:rFonts w:eastAsia="Aptos" w:cs="Arial"/>
          <w:kern w:val="2"/>
          <w:sz w:val="20"/>
          <w:szCs w:val="20"/>
          <w14:ligatures w14:val="standardContextual"/>
        </w:rPr>
      </w:pPr>
    </w:p>
    <w:p w14:paraId="657E5EE0" w14:textId="77777777" w:rsidR="00B427B1" w:rsidRPr="00CC02DF" w:rsidRDefault="00B427B1" w:rsidP="00B427B1">
      <w:pPr>
        <w:widowControl/>
        <w:autoSpaceDE/>
        <w:autoSpaceDN/>
        <w:ind w:left="1418" w:hanging="284"/>
        <w:jc w:val="both"/>
        <w:rPr>
          <w:rFonts w:eastAsia="Aptos" w:cs="Arial"/>
          <w:kern w:val="2"/>
          <w:sz w:val="20"/>
          <w:szCs w:val="20"/>
          <w14:ligatures w14:val="standardContextual"/>
        </w:rPr>
      </w:pPr>
      <w:r w:rsidRPr="00CC02DF">
        <w:rPr>
          <w:rFonts w:eastAsia="Aptos" w:cs="Arial"/>
          <w:kern w:val="2"/>
          <w:sz w:val="20"/>
          <w:szCs w:val="20"/>
          <w14:ligatures w14:val="standardContextual"/>
        </w:rPr>
        <w:t xml:space="preserve">ii. </w:t>
      </w:r>
      <w:r w:rsidRPr="00CC02DF">
        <w:rPr>
          <w:rFonts w:eastAsia="Aptos" w:cs="Arial"/>
          <w:kern w:val="2"/>
          <w:sz w:val="20"/>
          <w:szCs w:val="20"/>
          <w14:ligatures w14:val="standardContextual"/>
        </w:rPr>
        <w:tab/>
        <w:t xml:space="preserve">Existence de preuves scientifiques (par exemple, rapport basé sur les données du programme d'observateurs à bord) démontrant clairement l'absence d'interactions entre les espèces de requins figurant sur la liste de l'ICCAT et les engins de pêche utilisés par les CPC demandant l'exemption : </w:t>
      </w:r>
    </w:p>
    <w:p w14:paraId="3C0A9A22" w14:textId="77777777" w:rsidR="00B427B1" w:rsidRPr="00CC02DF" w:rsidRDefault="00B427B1" w:rsidP="00B427B1">
      <w:pPr>
        <w:widowControl/>
        <w:autoSpaceDE/>
        <w:autoSpaceDN/>
        <w:ind w:left="1418" w:hanging="284"/>
        <w:jc w:val="both"/>
        <w:rPr>
          <w:rFonts w:eastAsia="Aptos" w:cs="Arial"/>
          <w:kern w:val="2"/>
          <w:sz w:val="20"/>
          <w:szCs w:val="20"/>
          <w14:ligatures w14:val="standardContextual"/>
        </w:rPr>
      </w:pPr>
    </w:p>
    <w:p w14:paraId="7DC7CD42" w14:textId="77777777" w:rsidR="00B427B1" w:rsidRPr="00CC02DF" w:rsidRDefault="00B427B1" w:rsidP="00B427B1">
      <w:pPr>
        <w:widowControl/>
        <w:numPr>
          <w:ilvl w:val="0"/>
          <w:numId w:val="80"/>
        </w:numPr>
        <w:autoSpaceDE/>
        <w:autoSpaceDN/>
        <w:jc w:val="both"/>
        <w:rPr>
          <w:rFonts w:eastAsia="Aptos" w:cs="Arial"/>
          <w:kern w:val="2"/>
          <w:sz w:val="20"/>
          <w:szCs w:val="20"/>
          <w14:ligatures w14:val="standardContextual"/>
        </w:rPr>
      </w:pPr>
      <w:r w:rsidRPr="00CC02DF">
        <w:rPr>
          <w:rFonts w:eastAsia="Aptos" w:cs="Arial"/>
          <w:kern w:val="2"/>
          <w:sz w:val="20"/>
          <w:szCs w:val="20"/>
          <w14:ligatures w14:val="standardContextual"/>
        </w:rPr>
        <w:t>Le rapport devrait couvrir toutes les saisons et inclure plusieurs sorties, afin de garantir la détection des prises accessoires rares.</w:t>
      </w:r>
    </w:p>
    <w:p w14:paraId="751A650B" w14:textId="77777777" w:rsidR="00B427B1" w:rsidRPr="00CC02DF" w:rsidRDefault="00B427B1" w:rsidP="00B427B1">
      <w:pPr>
        <w:widowControl/>
        <w:autoSpaceDE/>
        <w:autoSpaceDN/>
        <w:ind w:left="1560" w:hanging="142"/>
        <w:jc w:val="both"/>
        <w:rPr>
          <w:rFonts w:eastAsia="Aptos" w:cs="Arial"/>
          <w:kern w:val="2"/>
          <w:sz w:val="20"/>
          <w:szCs w:val="20"/>
          <w14:ligatures w14:val="standardContextual"/>
        </w:rPr>
      </w:pPr>
    </w:p>
    <w:p w14:paraId="10A351CF" w14:textId="77777777" w:rsidR="00B427B1" w:rsidRPr="00CC02DF" w:rsidRDefault="00B427B1" w:rsidP="00B427B1">
      <w:pPr>
        <w:widowControl/>
        <w:numPr>
          <w:ilvl w:val="0"/>
          <w:numId w:val="80"/>
        </w:numPr>
        <w:autoSpaceDE/>
        <w:autoSpaceDN/>
        <w:jc w:val="both"/>
        <w:rPr>
          <w:rFonts w:eastAsia="Aptos" w:cs="Arial"/>
          <w:kern w:val="2"/>
          <w:sz w:val="20"/>
          <w:szCs w:val="20"/>
          <w14:ligatures w14:val="standardContextual"/>
        </w:rPr>
      </w:pPr>
      <w:r w:rsidRPr="00CC02DF">
        <w:rPr>
          <w:rFonts w:eastAsia="Aptos" w:cs="Arial"/>
          <w:kern w:val="2"/>
          <w:sz w:val="20"/>
          <w:szCs w:val="20"/>
          <w14:ligatures w14:val="standardContextual"/>
        </w:rPr>
        <w:t>Le rapport devrait fournir des données présentant un degré élevé de couverture spatiale de l'effort de pêche par type d'engin.</w:t>
      </w:r>
    </w:p>
    <w:p w14:paraId="64861A95" w14:textId="77777777" w:rsidR="00B427B1" w:rsidRPr="00CC02DF" w:rsidRDefault="00B427B1" w:rsidP="00B427B1">
      <w:pPr>
        <w:widowControl/>
        <w:autoSpaceDE/>
        <w:autoSpaceDN/>
        <w:jc w:val="both"/>
        <w:rPr>
          <w:rFonts w:eastAsia="Aptos" w:cs="Arial"/>
          <w:kern w:val="2"/>
          <w:sz w:val="20"/>
          <w:szCs w:val="20"/>
          <w14:ligatures w14:val="standardContextual"/>
        </w:rPr>
      </w:pPr>
    </w:p>
    <w:p w14:paraId="07B6C2AA" w14:textId="77777777" w:rsidR="00B427B1" w:rsidRPr="00CC02DF" w:rsidRDefault="00B427B1" w:rsidP="00B427B1">
      <w:pPr>
        <w:widowControl/>
        <w:numPr>
          <w:ilvl w:val="0"/>
          <w:numId w:val="78"/>
        </w:numPr>
        <w:autoSpaceDE/>
        <w:autoSpaceDN/>
        <w:jc w:val="both"/>
        <w:rPr>
          <w:rFonts w:eastAsia="Aptos" w:cs="Arial"/>
          <w:kern w:val="2"/>
          <w:sz w:val="20"/>
          <w:szCs w:val="20"/>
          <w14:ligatures w14:val="standardContextual"/>
        </w:rPr>
      </w:pPr>
      <w:r w:rsidRPr="00CC02DF">
        <w:rPr>
          <w:rFonts w:eastAsia="Aptos" w:cs="Arial"/>
          <w:kern w:val="2"/>
          <w:sz w:val="20"/>
          <w:szCs w:val="20"/>
          <w14:ligatures w14:val="standardContextual"/>
        </w:rPr>
        <w:t xml:space="preserve">Si le SCRS ne confirme pas la demande, la CPC devra continuer à soumettre la feuille de contrôle s’appliquant aux requins l'année suivante. Les CPC ont toujours le droit de présenter à nouveau une demande d'exemption les années suivantes. </w:t>
      </w:r>
    </w:p>
    <w:p w14:paraId="0956A2E4" w14:textId="77777777" w:rsidR="00B427B1" w:rsidRPr="00CC02DF" w:rsidRDefault="00B427B1" w:rsidP="00B427B1">
      <w:pPr>
        <w:widowControl/>
        <w:autoSpaceDE/>
        <w:autoSpaceDN/>
        <w:ind w:left="720"/>
        <w:jc w:val="both"/>
        <w:rPr>
          <w:rFonts w:eastAsia="Aptos" w:cs="Arial"/>
          <w:kern w:val="2"/>
          <w:sz w:val="20"/>
          <w:szCs w:val="20"/>
          <w14:ligatures w14:val="standardContextual"/>
        </w:rPr>
      </w:pPr>
    </w:p>
    <w:p w14:paraId="5BB3C1F8" w14:textId="77777777" w:rsidR="00B427B1" w:rsidRPr="00CC02DF" w:rsidRDefault="00B427B1" w:rsidP="00B427B1">
      <w:pPr>
        <w:widowControl/>
        <w:numPr>
          <w:ilvl w:val="0"/>
          <w:numId w:val="78"/>
        </w:numPr>
        <w:autoSpaceDE/>
        <w:autoSpaceDN/>
        <w:jc w:val="both"/>
        <w:rPr>
          <w:rFonts w:eastAsia="Aptos" w:cs="Arial"/>
          <w:kern w:val="2"/>
          <w:sz w:val="20"/>
          <w:szCs w:val="20"/>
          <w14:ligatures w14:val="standardContextual"/>
        </w:rPr>
      </w:pPr>
      <w:r w:rsidRPr="00CC02DF">
        <w:rPr>
          <w:rFonts w:eastAsia="Aptos" w:cs="Arial"/>
          <w:kern w:val="2"/>
          <w:sz w:val="20"/>
          <w:szCs w:val="20"/>
          <w14:ligatures w14:val="standardContextual"/>
        </w:rPr>
        <w:t>Chaque année, pendant une période de cinq ans, la CPC exemptée de remplir la feuille de contrôle s’appliquant aux requins devra confirmer annuellement dans son rapport annuel qu'aucun changement ne s'est produit dans ses pêcheries qui pourrait modifier la conclusion selon laquelle elle est en droit de bénéficier d'une exemption. Pour renouveler l'exemption pour la prochaine période de 5 ans, une nouvelle demande d'exemption devrait être soumise pendant l’année Y+5 conformément aux exigences du point 2.b.</w:t>
      </w:r>
    </w:p>
    <w:p w14:paraId="1A252954" w14:textId="77777777" w:rsidR="00B427B1" w:rsidRPr="00CC02DF" w:rsidRDefault="00B427B1" w:rsidP="00B427B1">
      <w:pPr>
        <w:widowControl/>
        <w:autoSpaceDE/>
        <w:autoSpaceDN/>
        <w:ind w:left="720"/>
        <w:jc w:val="both"/>
        <w:rPr>
          <w:rFonts w:eastAsia="Aptos" w:cs="Arial"/>
          <w:kern w:val="2"/>
          <w:sz w:val="20"/>
          <w:szCs w:val="20"/>
          <w14:ligatures w14:val="standardContextual"/>
        </w:rPr>
      </w:pPr>
    </w:p>
    <w:p w14:paraId="1EAF3404" w14:textId="77777777" w:rsidR="00B427B1" w:rsidRPr="00CC02DF" w:rsidRDefault="00B427B1" w:rsidP="00B427B1">
      <w:pPr>
        <w:widowControl/>
        <w:numPr>
          <w:ilvl w:val="0"/>
          <w:numId w:val="78"/>
        </w:numPr>
        <w:autoSpaceDE/>
        <w:autoSpaceDN/>
        <w:jc w:val="both"/>
        <w:rPr>
          <w:rFonts w:eastAsia="Aptos" w:cs="Arial"/>
          <w:kern w:val="2"/>
          <w:sz w:val="20"/>
          <w:szCs w:val="20"/>
          <w14:ligatures w14:val="standardContextual"/>
        </w:rPr>
      </w:pPr>
      <w:r w:rsidRPr="00CC02DF">
        <w:rPr>
          <w:rFonts w:eastAsia="Aptos" w:cs="Arial"/>
          <w:kern w:val="2"/>
          <w:sz w:val="20"/>
          <w:szCs w:val="20"/>
          <w14:ligatures w14:val="standardContextual"/>
        </w:rPr>
        <w:t>En l'absence de preuves scientifiques telles que définies au point 2.b. ou si le SCRS détermine que ces preuves « apparentes » ne justifient plus une exemption, le SCRS annulera le statut d'exemption.</w:t>
      </w:r>
    </w:p>
    <w:p w14:paraId="46996642" w14:textId="3899C4B8" w:rsidR="00082853" w:rsidRPr="00CC02DF" w:rsidRDefault="00082853" w:rsidP="00833055">
      <w:pPr>
        <w:tabs>
          <w:tab w:val="left" w:pos="284"/>
        </w:tabs>
        <w:jc w:val="both"/>
        <w:rPr>
          <w:sz w:val="20"/>
          <w:szCs w:val="20"/>
        </w:rPr>
      </w:pPr>
    </w:p>
    <w:p w14:paraId="01CF6F15" w14:textId="58DC81D7" w:rsidR="00471D4F" w:rsidRPr="00CC02DF" w:rsidRDefault="00B04D16" w:rsidP="00471D4F">
      <w:pPr>
        <w:widowControl/>
        <w:numPr>
          <w:ilvl w:val="0"/>
          <w:numId w:val="78"/>
        </w:numPr>
        <w:autoSpaceDE/>
        <w:autoSpaceDN/>
        <w:jc w:val="both"/>
        <w:rPr>
          <w:sz w:val="20"/>
          <w:szCs w:val="20"/>
          <w:u w:val="single"/>
        </w:rPr>
      </w:pPr>
      <w:r w:rsidRPr="00CC02DF">
        <w:rPr>
          <w:sz w:val="20"/>
          <w:u w:val="single"/>
        </w:rPr>
        <w:t>La feuille de contrôle s'appliquant aux requins devrait être modifiée afin de tenir compte de la confirmation de l'exemption par le SCRS.</w:t>
      </w:r>
    </w:p>
    <w:sectPr w:rsidR="00471D4F" w:rsidRPr="00CC02DF" w:rsidSect="00592E25">
      <w:headerReference w:type="default" r:id="rId12"/>
      <w:footerReference w:type="default" r:id="rId13"/>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8990" w14:textId="77777777" w:rsidR="00A15166" w:rsidRPr="009D7C60" w:rsidRDefault="00A15166">
      <w:r w:rsidRPr="009D7C60">
        <w:separator/>
      </w:r>
    </w:p>
  </w:endnote>
  <w:endnote w:type="continuationSeparator" w:id="0">
    <w:p w14:paraId="2ADA7FC5" w14:textId="77777777" w:rsidR="00A15166" w:rsidRPr="009D7C60" w:rsidRDefault="00A15166">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sidRPr="001F2E99">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sidRPr="001F2E99">
      <w:rPr>
        <w:rFonts w:eastAsia="Calibri" w:cs="Calibri"/>
        <w:sz w:val="20"/>
      </w:rPr>
      <w:t>4</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68B5" w14:textId="77777777" w:rsidR="00A15166" w:rsidRPr="009D7C60" w:rsidRDefault="00A15166">
      <w:r>
        <w:separator/>
      </w:r>
    </w:p>
  </w:footnote>
  <w:footnote w:type="continuationSeparator" w:id="0">
    <w:p w14:paraId="2EAB691B" w14:textId="77777777" w:rsidR="00A15166" w:rsidRPr="009D7C60" w:rsidRDefault="00A15166">
      <w:r w:rsidRPr="009D7C60">
        <w:continuationSeparator/>
      </w:r>
    </w:p>
  </w:footnote>
  <w:footnote w:type="continuationNotice" w:id="1">
    <w:p w14:paraId="7B1C2B91" w14:textId="77777777" w:rsidR="00A15166" w:rsidRPr="009D7C60" w:rsidRDefault="00A15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4E860480"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b/>
        <w:sz w:val="20"/>
      </w:rPr>
      <w:t>PA4_804</w:t>
    </w:r>
    <w:r w:rsidR="002B389F">
      <w:rPr>
        <w:b/>
        <w:sz w:val="20"/>
      </w:rPr>
      <w:t>_REV_1</w:t>
    </w:r>
    <w:r>
      <w:rPr>
        <w:b/>
        <w:sz w:val="20"/>
      </w:rPr>
      <w:t>/2025</w:t>
    </w:r>
  </w:p>
  <w:p w14:paraId="5A9DE81A" w14:textId="427A3C67" w:rsidR="005A6763" w:rsidRDefault="005A6763" w:rsidP="00645452">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2B389F">
      <w:rPr>
        <w:b/>
        <w:noProof/>
        <w:sz w:val="16"/>
      </w:rPr>
      <w:t>19/11/2025 13:01</w:t>
    </w:r>
    <w:r w:rsidRPr="00793F38">
      <w:rPr>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AE22B6D"/>
    <w:multiLevelType w:val="hybridMultilevel"/>
    <w:tmpl w:val="439ADC72"/>
    <w:lvl w:ilvl="0" w:tplc="D764A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C56BF0"/>
    <w:multiLevelType w:val="hybridMultilevel"/>
    <w:tmpl w:val="0F9AE75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FC83A88"/>
    <w:multiLevelType w:val="hybridMultilevel"/>
    <w:tmpl w:val="A4AAA006"/>
    <w:lvl w:ilvl="0" w:tplc="04090011">
      <w:start w:val="1"/>
      <w:numFmt w:val="decimal"/>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8859BE"/>
    <w:multiLevelType w:val="hybridMultilevel"/>
    <w:tmpl w:val="D7B6F1C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8"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6"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CB1E618"/>
    <w:multiLevelType w:val="hybridMultilevel"/>
    <w:tmpl w:val="6B669EBE"/>
    <w:lvl w:ilvl="0" w:tplc="874CEDF6">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53E1D5B"/>
    <w:multiLevelType w:val="hybridMultilevel"/>
    <w:tmpl w:val="619AAF88"/>
    <w:lvl w:ilvl="0" w:tplc="7CC4F3A4">
      <w:start w:val="1"/>
      <w:numFmt w:val="bullet"/>
      <w:lvlText w:val="-"/>
      <w:lvlJc w:val="left"/>
      <w:pPr>
        <w:ind w:left="360" w:hanging="360"/>
      </w:pPr>
      <w:rPr>
        <w:rFonts w:ascii="Cambria" w:eastAsia="MS Gothic" w:hAnsi="Cambria" w:cs="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B926778"/>
    <w:multiLevelType w:val="hybridMultilevel"/>
    <w:tmpl w:val="BB203E68"/>
    <w:lvl w:ilvl="0" w:tplc="F4ECC43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9"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50"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1EB58E2"/>
    <w:multiLevelType w:val="hybridMultilevel"/>
    <w:tmpl w:val="CFAEE4B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4" w15:restartNumberingAfterBreak="0">
    <w:nsid w:val="58974F5A"/>
    <w:multiLevelType w:val="hybridMultilevel"/>
    <w:tmpl w:val="6194F6EE"/>
    <w:lvl w:ilvl="0" w:tplc="7AA824B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5" w15:restartNumberingAfterBreak="0">
    <w:nsid w:val="5A331B46"/>
    <w:multiLevelType w:val="hybridMultilevel"/>
    <w:tmpl w:val="0A363ADE"/>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6"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9"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5"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F403DE0"/>
    <w:multiLevelType w:val="hybridMultilevel"/>
    <w:tmpl w:val="598CA62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0"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6074658"/>
    <w:multiLevelType w:val="hybridMultilevel"/>
    <w:tmpl w:val="B0AE96D4"/>
    <w:lvl w:ilvl="0" w:tplc="6E588194">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73"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6"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C784CA3"/>
    <w:multiLevelType w:val="hybridMultilevel"/>
    <w:tmpl w:val="A0902246"/>
    <w:lvl w:ilvl="0" w:tplc="6FE07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B35CEF"/>
    <w:multiLevelType w:val="hybridMultilevel"/>
    <w:tmpl w:val="549AFA36"/>
    <w:lvl w:ilvl="0" w:tplc="3DECE2F4">
      <w:start w:val="1"/>
      <w:numFmt w:val="bullet"/>
      <w:lvlText w:val="-"/>
      <w:lvlJc w:val="left"/>
      <w:pPr>
        <w:ind w:left="720" w:hanging="360"/>
      </w:pPr>
      <w:rPr>
        <w:rFonts w:ascii="Cambria"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30"/>
  </w:num>
  <w:num w:numId="3" w16cid:durableId="1756170864">
    <w:abstractNumId w:val="19"/>
  </w:num>
  <w:num w:numId="4" w16cid:durableId="121852735">
    <w:abstractNumId w:val="64"/>
  </w:num>
  <w:num w:numId="5" w16cid:durableId="1280408722">
    <w:abstractNumId w:val="35"/>
  </w:num>
  <w:num w:numId="6" w16cid:durableId="1705138088">
    <w:abstractNumId w:val="0"/>
  </w:num>
  <w:num w:numId="7" w16cid:durableId="1956717995">
    <w:abstractNumId w:val="2"/>
  </w:num>
  <w:num w:numId="8" w16cid:durableId="607926232">
    <w:abstractNumId w:val="3"/>
  </w:num>
  <w:num w:numId="9" w16cid:durableId="884609657">
    <w:abstractNumId w:val="4"/>
  </w:num>
  <w:num w:numId="10" w16cid:durableId="212035735">
    <w:abstractNumId w:val="58"/>
  </w:num>
  <w:num w:numId="11" w16cid:durableId="1200165681">
    <w:abstractNumId w:val="31"/>
  </w:num>
  <w:num w:numId="12" w16cid:durableId="2004813808">
    <w:abstractNumId w:val="16"/>
  </w:num>
  <w:num w:numId="13" w16cid:durableId="1609003381">
    <w:abstractNumId w:val="47"/>
  </w:num>
  <w:num w:numId="14" w16cid:durableId="311565708">
    <w:abstractNumId w:val="20"/>
  </w:num>
  <w:num w:numId="15" w16cid:durableId="598685712">
    <w:abstractNumId w:val="71"/>
  </w:num>
  <w:num w:numId="16" w16cid:durableId="169108757">
    <w:abstractNumId w:val="15"/>
  </w:num>
  <w:num w:numId="17" w16cid:durableId="1599216064">
    <w:abstractNumId w:val="73"/>
  </w:num>
  <w:num w:numId="18" w16cid:durableId="1285848019">
    <w:abstractNumId w:val="46"/>
  </w:num>
  <w:num w:numId="19" w16cid:durableId="2144500574">
    <w:abstractNumId w:val="44"/>
  </w:num>
  <w:num w:numId="20" w16cid:durableId="99302873">
    <w:abstractNumId w:val="74"/>
  </w:num>
  <w:num w:numId="21" w16cid:durableId="1451240854">
    <w:abstractNumId w:val="36"/>
  </w:num>
  <w:num w:numId="22" w16cid:durableId="587888515">
    <w:abstractNumId w:val="8"/>
  </w:num>
  <w:num w:numId="23" w16cid:durableId="153451121">
    <w:abstractNumId w:val="24"/>
  </w:num>
  <w:num w:numId="24" w16cid:durableId="1292904809">
    <w:abstractNumId w:val="11"/>
  </w:num>
  <w:num w:numId="25" w16cid:durableId="1158154002">
    <w:abstractNumId w:val="60"/>
  </w:num>
  <w:num w:numId="26" w16cid:durableId="1553079017">
    <w:abstractNumId w:val="40"/>
  </w:num>
  <w:num w:numId="27" w16cid:durableId="2032220368">
    <w:abstractNumId w:val="14"/>
  </w:num>
  <w:num w:numId="28" w16cid:durableId="430274537">
    <w:abstractNumId w:val="77"/>
  </w:num>
  <w:num w:numId="29" w16cid:durableId="1694845481">
    <w:abstractNumId w:val="62"/>
  </w:num>
  <w:num w:numId="30" w16cid:durableId="1910460296">
    <w:abstractNumId w:val="61"/>
  </w:num>
  <w:num w:numId="31" w16cid:durableId="1527789104">
    <w:abstractNumId w:val="38"/>
  </w:num>
  <w:num w:numId="32" w16cid:durableId="337542362">
    <w:abstractNumId w:val="68"/>
  </w:num>
  <w:num w:numId="33" w16cid:durableId="1317496219">
    <w:abstractNumId w:val="57"/>
  </w:num>
  <w:num w:numId="34" w16cid:durableId="1998655792">
    <w:abstractNumId w:val="23"/>
  </w:num>
  <w:num w:numId="35" w16cid:durableId="710688847">
    <w:abstractNumId w:val="33"/>
  </w:num>
  <w:num w:numId="36" w16cid:durableId="407270913">
    <w:abstractNumId w:val="52"/>
  </w:num>
  <w:num w:numId="37" w16cid:durableId="1821379702">
    <w:abstractNumId w:val="26"/>
  </w:num>
  <w:num w:numId="38" w16cid:durableId="48959298">
    <w:abstractNumId w:val="17"/>
  </w:num>
  <w:num w:numId="39" w16cid:durableId="1626542123">
    <w:abstractNumId w:val="56"/>
  </w:num>
  <w:num w:numId="40" w16cid:durableId="1828740577">
    <w:abstractNumId w:val="67"/>
  </w:num>
  <w:num w:numId="41" w16cid:durableId="819886137">
    <w:abstractNumId w:val="51"/>
  </w:num>
  <w:num w:numId="42" w16cid:durableId="644512682">
    <w:abstractNumId w:val="6"/>
  </w:num>
  <w:num w:numId="43" w16cid:durableId="515194995">
    <w:abstractNumId w:val="34"/>
  </w:num>
  <w:num w:numId="44" w16cid:durableId="99840888">
    <w:abstractNumId w:val="41"/>
  </w:num>
  <w:num w:numId="45" w16cid:durableId="1400788244">
    <w:abstractNumId w:val="39"/>
  </w:num>
  <w:num w:numId="46" w16cid:durableId="243149332">
    <w:abstractNumId w:val="45"/>
  </w:num>
  <w:num w:numId="47" w16cid:durableId="2044480170">
    <w:abstractNumId w:val="9"/>
  </w:num>
  <w:num w:numId="48" w16cid:durableId="569268702">
    <w:abstractNumId w:val="76"/>
  </w:num>
  <w:num w:numId="49" w16cid:durableId="1906527987">
    <w:abstractNumId w:val="65"/>
  </w:num>
  <w:num w:numId="50" w16cid:durableId="1161048355">
    <w:abstractNumId w:val="28"/>
  </w:num>
  <w:num w:numId="51" w16cid:durableId="1584488646">
    <w:abstractNumId w:val="63"/>
  </w:num>
  <w:num w:numId="52" w16cid:durableId="26686603">
    <w:abstractNumId w:val="32"/>
  </w:num>
  <w:num w:numId="53" w16cid:durableId="911427534">
    <w:abstractNumId w:val="66"/>
  </w:num>
  <w:num w:numId="54" w16cid:durableId="1717043713">
    <w:abstractNumId w:val="10"/>
  </w:num>
  <w:num w:numId="55" w16cid:durableId="877857179">
    <w:abstractNumId w:val="50"/>
  </w:num>
  <w:num w:numId="56" w16cid:durableId="563611236">
    <w:abstractNumId w:val="59"/>
  </w:num>
  <w:num w:numId="57" w16cid:durableId="1530413349">
    <w:abstractNumId w:val="43"/>
  </w:num>
  <w:num w:numId="58" w16cid:durableId="1428499735">
    <w:abstractNumId w:val="22"/>
  </w:num>
  <w:num w:numId="59" w16cid:durableId="14750974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0312260">
    <w:abstractNumId w:val="7"/>
  </w:num>
  <w:num w:numId="61" w16cid:durableId="2011785279">
    <w:abstractNumId w:val="55"/>
  </w:num>
  <w:num w:numId="62" w16cid:durableId="80416287">
    <w:abstractNumId w:val="69"/>
  </w:num>
  <w:num w:numId="63" w16cid:durableId="2005932894">
    <w:abstractNumId w:val="27"/>
  </w:num>
  <w:num w:numId="64" w16cid:durableId="1543595148">
    <w:abstractNumId w:val="53"/>
  </w:num>
  <w:num w:numId="65" w16cid:durableId="1975478136">
    <w:abstractNumId w:val="25"/>
  </w:num>
  <w:num w:numId="66" w16cid:durableId="321856087">
    <w:abstractNumId w:val="12"/>
  </w:num>
  <w:num w:numId="67" w16cid:durableId="1079332969">
    <w:abstractNumId w:val="37"/>
  </w:num>
  <w:num w:numId="68" w16cid:durableId="199980715">
    <w:abstractNumId w:val="42"/>
  </w:num>
  <w:num w:numId="69" w16cid:durableId="1155561895">
    <w:abstractNumId w:val="79"/>
  </w:num>
  <w:num w:numId="70" w16cid:durableId="1960331198">
    <w:abstractNumId w:val="70"/>
  </w:num>
  <w:num w:numId="71" w16cid:durableId="2093425196">
    <w:abstractNumId w:val="72"/>
  </w:num>
  <w:num w:numId="72" w16cid:durableId="683363916">
    <w:abstractNumId w:val="48"/>
  </w:num>
  <w:num w:numId="73" w16cid:durableId="2062633279">
    <w:abstractNumId w:val="54"/>
  </w:num>
  <w:num w:numId="74" w16cid:durableId="1368945675">
    <w:abstractNumId w:val="18"/>
  </w:num>
  <w:num w:numId="75" w16cid:durableId="1258978553">
    <w:abstractNumId w:val="49"/>
  </w:num>
  <w:num w:numId="76" w16cid:durableId="812066666">
    <w:abstractNumId w:val="78"/>
  </w:num>
  <w:num w:numId="77" w16cid:durableId="755590413">
    <w:abstractNumId w:val="80"/>
  </w:num>
  <w:num w:numId="78" w16cid:durableId="63727305">
    <w:abstractNumId w:val="29"/>
  </w:num>
  <w:num w:numId="79" w16cid:durableId="431126697">
    <w:abstractNumId w:val="21"/>
  </w:num>
  <w:num w:numId="80" w16cid:durableId="1407993435">
    <w:abstractNumId w:val="5"/>
  </w:num>
  <w:num w:numId="81" w16cid:durableId="283509098">
    <w:abstractNumId w:val="1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1E50"/>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300"/>
    <w:rsid w:val="00036A8A"/>
    <w:rsid w:val="00037941"/>
    <w:rsid w:val="00037EB9"/>
    <w:rsid w:val="00040A09"/>
    <w:rsid w:val="00040EB4"/>
    <w:rsid w:val="00041F7C"/>
    <w:rsid w:val="00041FBB"/>
    <w:rsid w:val="00042134"/>
    <w:rsid w:val="000429DE"/>
    <w:rsid w:val="00043503"/>
    <w:rsid w:val="00043A3C"/>
    <w:rsid w:val="000443BF"/>
    <w:rsid w:val="00045B4C"/>
    <w:rsid w:val="00045E07"/>
    <w:rsid w:val="00046DA4"/>
    <w:rsid w:val="00046E52"/>
    <w:rsid w:val="00047658"/>
    <w:rsid w:val="000508D5"/>
    <w:rsid w:val="00051985"/>
    <w:rsid w:val="00051A58"/>
    <w:rsid w:val="0005269F"/>
    <w:rsid w:val="000529F7"/>
    <w:rsid w:val="00053274"/>
    <w:rsid w:val="000533B9"/>
    <w:rsid w:val="00056751"/>
    <w:rsid w:val="0005795C"/>
    <w:rsid w:val="00061A49"/>
    <w:rsid w:val="00062401"/>
    <w:rsid w:val="00063735"/>
    <w:rsid w:val="000641C8"/>
    <w:rsid w:val="00064503"/>
    <w:rsid w:val="0006460E"/>
    <w:rsid w:val="00064DBD"/>
    <w:rsid w:val="00065004"/>
    <w:rsid w:val="000656A3"/>
    <w:rsid w:val="00065C3C"/>
    <w:rsid w:val="00065CE4"/>
    <w:rsid w:val="00065D0E"/>
    <w:rsid w:val="00067514"/>
    <w:rsid w:val="00067629"/>
    <w:rsid w:val="000678B2"/>
    <w:rsid w:val="000679E9"/>
    <w:rsid w:val="00070845"/>
    <w:rsid w:val="00070862"/>
    <w:rsid w:val="000714A5"/>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976"/>
    <w:rsid w:val="00084B6A"/>
    <w:rsid w:val="00085EBF"/>
    <w:rsid w:val="000877D2"/>
    <w:rsid w:val="00087C11"/>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A07"/>
    <w:rsid w:val="000B6C06"/>
    <w:rsid w:val="000B7E67"/>
    <w:rsid w:val="000C139A"/>
    <w:rsid w:val="000C15F2"/>
    <w:rsid w:val="000C1909"/>
    <w:rsid w:val="000C2F94"/>
    <w:rsid w:val="000C3636"/>
    <w:rsid w:val="000C3664"/>
    <w:rsid w:val="000C3947"/>
    <w:rsid w:val="000C3D55"/>
    <w:rsid w:val="000C425A"/>
    <w:rsid w:val="000C5BBC"/>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2F1"/>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529C"/>
    <w:rsid w:val="00116036"/>
    <w:rsid w:val="001165DC"/>
    <w:rsid w:val="00116F20"/>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70B"/>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9BE"/>
    <w:rsid w:val="00170F92"/>
    <w:rsid w:val="00170FD2"/>
    <w:rsid w:val="00171760"/>
    <w:rsid w:val="00171A97"/>
    <w:rsid w:val="00172865"/>
    <w:rsid w:val="00173352"/>
    <w:rsid w:val="001744AE"/>
    <w:rsid w:val="001744B0"/>
    <w:rsid w:val="001749C1"/>
    <w:rsid w:val="00174F43"/>
    <w:rsid w:val="0017596C"/>
    <w:rsid w:val="00175A7A"/>
    <w:rsid w:val="00175AE0"/>
    <w:rsid w:val="0017718D"/>
    <w:rsid w:val="001775E0"/>
    <w:rsid w:val="00181403"/>
    <w:rsid w:val="00181409"/>
    <w:rsid w:val="0018238A"/>
    <w:rsid w:val="001857EC"/>
    <w:rsid w:val="00186F2D"/>
    <w:rsid w:val="001872CF"/>
    <w:rsid w:val="001877EA"/>
    <w:rsid w:val="00187B20"/>
    <w:rsid w:val="001910B8"/>
    <w:rsid w:val="00191AD2"/>
    <w:rsid w:val="00192583"/>
    <w:rsid w:val="00192A03"/>
    <w:rsid w:val="00193113"/>
    <w:rsid w:val="001942D9"/>
    <w:rsid w:val="00194728"/>
    <w:rsid w:val="00195BE0"/>
    <w:rsid w:val="00195DF3"/>
    <w:rsid w:val="001964E6"/>
    <w:rsid w:val="001A01D5"/>
    <w:rsid w:val="001A01EA"/>
    <w:rsid w:val="001A033A"/>
    <w:rsid w:val="001A0442"/>
    <w:rsid w:val="001A0EA9"/>
    <w:rsid w:val="001A180E"/>
    <w:rsid w:val="001A24A9"/>
    <w:rsid w:val="001A2AD2"/>
    <w:rsid w:val="001A3E9B"/>
    <w:rsid w:val="001A3F0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86"/>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E7965"/>
    <w:rsid w:val="001F0CB4"/>
    <w:rsid w:val="001F18F5"/>
    <w:rsid w:val="001F1CAB"/>
    <w:rsid w:val="001F1D04"/>
    <w:rsid w:val="001F2E99"/>
    <w:rsid w:val="001F52B7"/>
    <w:rsid w:val="001F5853"/>
    <w:rsid w:val="001F5950"/>
    <w:rsid w:val="001F5E3A"/>
    <w:rsid w:val="001F6CCA"/>
    <w:rsid w:val="001F7E35"/>
    <w:rsid w:val="00200CAA"/>
    <w:rsid w:val="002016B9"/>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9FD"/>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86EE4"/>
    <w:rsid w:val="00291839"/>
    <w:rsid w:val="0029251B"/>
    <w:rsid w:val="0029261D"/>
    <w:rsid w:val="002926EE"/>
    <w:rsid w:val="00292D67"/>
    <w:rsid w:val="00294181"/>
    <w:rsid w:val="00294279"/>
    <w:rsid w:val="002946F2"/>
    <w:rsid w:val="00295B80"/>
    <w:rsid w:val="002A184B"/>
    <w:rsid w:val="002A1E7C"/>
    <w:rsid w:val="002A234C"/>
    <w:rsid w:val="002A261C"/>
    <w:rsid w:val="002A34D0"/>
    <w:rsid w:val="002A3B80"/>
    <w:rsid w:val="002A408B"/>
    <w:rsid w:val="002A4734"/>
    <w:rsid w:val="002A4BB9"/>
    <w:rsid w:val="002A51D5"/>
    <w:rsid w:val="002A5D16"/>
    <w:rsid w:val="002A6835"/>
    <w:rsid w:val="002A74CF"/>
    <w:rsid w:val="002A796B"/>
    <w:rsid w:val="002B08E6"/>
    <w:rsid w:val="002B0D1C"/>
    <w:rsid w:val="002B11EA"/>
    <w:rsid w:val="002B188C"/>
    <w:rsid w:val="002B2342"/>
    <w:rsid w:val="002B2DFB"/>
    <w:rsid w:val="002B33EE"/>
    <w:rsid w:val="002B389F"/>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772"/>
    <w:rsid w:val="002C4BB3"/>
    <w:rsid w:val="002C509F"/>
    <w:rsid w:val="002C52EA"/>
    <w:rsid w:val="002C54DD"/>
    <w:rsid w:val="002C582A"/>
    <w:rsid w:val="002C60FC"/>
    <w:rsid w:val="002C643A"/>
    <w:rsid w:val="002C6AD9"/>
    <w:rsid w:val="002C7066"/>
    <w:rsid w:val="002C75A5"/>
    <w:rsid w:val="002D0644"/>
    <w:rsid w:val="002D08C2"/>
    <w:rsid w:val="002D0D51"/>
    <w:rsid w:val="002D14A8"/>
    <w:rsid w:val="002D1510"/>
    <w:rsid w:val="002D2D3D"/>
    <w:rsid w:val="002D3E26"/>
    <w:rsid w:val="002D4E1C"/>
    <w:rsid w:val="002D52A0"/>
    <w:rsid w:val="002D550F"/>
    <w:rsid w:val="002D7531"/>
    <w:rsid w:val="002D7895"/>
    <w:rsid w:val="002E0AB7"/>
    <w:rsid w:val="002E1100"/>
    <w:rsid w:val="002E2C0B"/>
    <w:rsid w:val="002E2CC0"/>
    <w:rsid w:val="002E35AA"/>
    <w:rsid w:val="002E38FB"/>
    <w:rsid w:val="002E390C"/>
    <w:rsid w:val="002E3C3A"/>
    <w:rsid w:val="002E4D8B"/>
    <w:rsid w:val="002E4E12"/>
    <w:rsid w:val="002E6D85"/>
    <w:rsid w:val="002E6E51"/>
    <w:rsid w:val="002E7CE4"/>
    <w:rsid w:val="002E7E84"/>
    <w:rsid w:val="002F0462"/>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3D1B"/>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07E"/>
    <w:rsid w:val="00321187"/>
    <w:rsid w:val="00321328"/>
    <w:rsid w:val="00322DF5"/>
    <w:rsid w:val="003242B7"/>
    <w:rsid w:val="00324335"/>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515"/>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EC3"/>
    <w:rsid w:val="00356F14"/>
    <w:rsid w:val="00357BFB"/>
    <w:rsid w:val="00360EF7"/>
    <w:rsid w:val="003617A2"/>
    <w:rsid w:val="0036191D"/>
    <w:rsid w:val="003619E4"/>
    <w:rsid w:val="00361F0E"/>
    <w:rsid w:val="00362C5B"/>
    <w:rsid w:val="00363175"/>
    <w:rsid w:val="003638E5"/>
    <w:rsid w:val="00363962"/>
    <w:rsid w:val="00363D9F"/>
    <w:rsid w:val="003655F9"/>
    <w:rsid w:val="00365BD4"/>
    <w:rsid w:val="00365F0B"/>
    <w:rsid w:val="00365FC1"/>
    <w:rsid w:val="003711AE"/>
    <w:rsid w:val="00371267"/>
    <w:rsid w:val="0037207E"/>
    <w:rsid w:val="00372AA6"/>
    <w:rsid w:val="003737D0"/>
    <w:rsid w:val="00374114"/>
    <w:rsid w:val="0037488E"/>
    <w:rsid w:val="00374CC1"/>
    <w:rsid w:val="00375793"/>
    <w:rsid w:val="0037594D"/>
    <w:rsid w:val="0037712E"/>
    <w:rsid w:val="00377D78"/>
    <w:rsid w:val="00377E36"/>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5EA"/>
    <w:rsid w:val="003B087C"/>
    <w:rsid w:val="003B1189"/>
    <w:rsid w:val="003B13C3"/>
    <w:rsid w:val="003B185D"/>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38A4"/>
    <w:rsid w:val="003D4064"/>
    <w:rsid w:val="003D469B"/>
    <w:rsid w:val="003D57A4"/>
    <w:rsid w:val="003D5AB9"/>
    <w:rsid w:val="003D5B17"/>
    <w:rsid w:val="003D6A4B"/>
    <w:rsid w:val="003D7C25"/>
    <w:rsid w:val="003E05F4"/>
    <w:rsid w:val="003E066D"/>
    <w:rsid w:val="003E07FC"/>
    <w:rsid w:val="003E0F21"/>
    <w:rsid w:val="003E2542"/>
    <w:rsid w:val="003E3592"/>
    <w:rsid w:val="003E3DE6"/>
    <w:rsid w:val="003E48FC"/>
    <w:rsid w:val="003E4A23"/>
    <w:rsid w:val="003E5716"/>
    <w:rsid w:val="003E5E8B"/>
    <w:rsid w:val="003E5F5C"/>
    <w:rsid w:val="003E67F0"/>
    <w:rsid w:val="003E726E"/>
    <w:rsid w:val="003E7482"/>
    <w:rsid w:val="003E7C47"/>
    <w:rsid w:val="003F097B"/>
    <w:rsid w:val="003F0AFB"/>
    <w:rsid w:val="003F0CD2"/>
    <w:rsid w:val="003F2FDE"/>
    <w:rsid w:val="003F4157"/>
    <w:rsid w:val="003F64BC"/>
    <w:rsid w:val="003F731F"/>
    <w:rsid w:val="003F74D1"/>
    <w:rsid w:val="003F7874"/>
    <w:rsid w:val="003F7976"/>
    <w:rsid w:val="003F7C4E"/>
    <w:rsid w:val="0040081B"/>
    <w:rsid w:val="004008C7"/>
    <w:rsid w:val="00401315"/>
    <w:rsid w:val="0040133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19D9"/>
    <w:rsid w:val="00411CEA"/>
    <w:rsid w:val="00413A5A"/>
    <w:rsid w:val="00415D82"/>
    <w:rsid w:val="004173E5"/>
    <w:rsid w:val="004177B3"/>
    <w:rsid w:val="00417F48"/>
    <w:rsid w:val="00420723"/>
    <w:rsid w:val="0042145D"/>
    <w:rsid w:val="0042172A"/>
    <w:rsid w:val="00421806"/>
    <w:rsid w:val="00422F47"/>
    <w:rsid w:val="00423C9A"/>
    <w:rsid w:val="0042520D"/>
    <w:rsid w:val="00425A0C"/>
    <w:rsid w:val="00426B8C"/>
    <w:rsid w:val="00426FB1"/>
    <w:rsid w:val="004270AD"/>
    <w:rsid w:val="0042735E"/>
    <w:rsid w:val="0042784F"/>
    <w:rsid w:val="00430B7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512"/>
    <w:rsid w:val="00447DD0"/>
    <w:rsid w:val="004500F5"/>
    <w:rsid w:val="00450374"/>
    <w:rsid w:val="00451061"/>
    <w:rsid w:val="00451AE5"/>
    <w:rsid w:val="0045263B"/>
    <w:rsid w:val="00452BFC"/>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017"/>
    <w:rsid w:val="00471423"/>
    <w:rsid w:val="00471D4F"/>
    <w:rsid w:val="004724AA"/>
    <w:rsid w:val="00472F98"/>
    <w:rsid w:val="00473753"/>
    <w:rsid w:val="004747CC"/>
    <w:rsid w:val="00475F99"/>
    <w:rsid w:val="00476A51"/>
    <w:rsid w:val="0048030A"/>
    <w:rsid w:val="00480784"/>
    <w:rsid w:val="00480BAA"/>
    <w:rsid w:val="004812FB"/>
    <w:rsid w:val="0048201B"/>
    <w:rsid w:val="00482431"/>
    <w:rsid w:val="00482559"/>
    <w:rsid w:val="004825DD"/>
    <w:rsid w:val="00482B6F"/>
    <w:rsid w:val="00484603"/>
    <w:rsid w:val="00484648"/>
    <w:rsid w:val="00484B9F"/>
    <w:rsid w:val="0048621A"/>
    <w:rsid w:val="004865C9"/>
    <w:rsid w:val="00486A5B"/>
    <w:rsid w:val="00486DD5"/>
    <w:rsid w:val="00486E98"/>
    <w:rsid w:val="00487275"/>
    <w:rsid w:val="004872DB"/>
    <w:rsid w:val="0048740B"/>
    <w:rsid w:val="00487787"/>
    <w:rsid w:val="004900A4"/>
    <w:rsid w:val="00490C46"/>
    <w:rsid w:val="0049152E"/>
    <w:rsid w:val="004915A1"/>
    <w:rsid w:val="004915FC"/>
    <w:rsid w:val="004918A4"/>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B4C"/>
    <w:rsid w:val="004A5D3C"/>
    <w:rsid w:val="004A5E2C"/>
    <w:rsid w:val="004A5FD1"/>
    <w:rsid w:val="004A65F4"/>
    <w:rsid w:val="004A6B2E"/>
    <w:rsid w:val="004A7016"/>
    <w:rsid w:val="004A7B5F"/>
    <w:rsid w:val="004B3E47"/>
    <w:rsid w:val="004B491D"/>
    <w:rsid w:val="004B4D13"/>
    <w:rsid w:val="004B583C"/>
    <w:rsid w:val="004B65AF"/>
    <w:rsid w:val="004B7857"/>
    <w:rsid w:val="004B7C22"/>
    <w:rsid w:val="004B7DE5"/>
    <w:rsid w:val="004C06F6"/>
    <w:rsid w:val="004C081A"/>
    <w:rsid w:val="004C123E"/>
    <w:rsid w:val="004C13D8"/>
    <w:rsid w:val="004C178A"/>
    <w:rsid w:val="004C360D"/>
    <w:rsid w:val="004C3699"/>
    <w:rsid w:val="004C3737"/>
    <w:rsid w:val="004C3FC2"/>
    <w:rsid w:val="004C437B"/>
    <w:rsid w:val="004C47E5"/>
    <w:rsid w:val="004C4B20"/>
    <w:rsid w:val="004C6B3A"/>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27A3"/>
    <w:rsid w:val="004E360E"/>
    <w:rsid w:val="004E386F"/>
    <w:rsid w:val="004E3A93"/>
    <w:rsid w:val="004E42B8"/>
    <w:rsid w:val="004E4778"/>
    <w:rsid w:val="004E484C"/>
    <w:rsid w:val="004E5BD4"/>
    <w:rsid w:val="004E5C8F"/>
    <w:rsid w:val="004F154D"/>
    <w:rsid w:val="004F1CF9"/>
    <w:rsid w:val="004F1D57"/>
    <w:rsid w:val="004F2136"/>
    <w:rsid w:val="004F28FD"/>
    <w:rsid w:val="004F3EB6"/>
    <w:rsid w:val="004F4802"/>
    <w:rsid w:val="004F48DC"/>
    <w:rsid w:val="004F4F28"/>
    <w:rsid w:val="004F5485"/>
    <w:rsid w:val="004F618A"/>
    <w:rsid w:val="004F69A2"/>
    <w:rsid w:val="00500A66"/>
    <w:rsid w:val="005013BF"/>
    <w:rsid w:val="005013FE"/>
    <w:rsid w:val="00501703"/>
    <w:rsid w:val="005049AD"/>
    <w:rsid w:val="00505B73"/>
    <w:rsid w:val="0050604F"/>
    <w:rsid w:val="0050707C"/>
    <w:rsid w:val="00510069"/>
    <w:rsid w:val="005100DC"/>
    <w:rsid w:val="005141D8"/>
    <w:rsid w:val="00514AC3"/>
    <w:rsid w:val="005165FA"/>
    <w:rsid w:val="00516B33"/>
    <w:rsid w:val="005218E9"/>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226D"/>
    <w:rsid w:val="00553605"/>
    <w:rsid w:val="00553D85"/>
    <w:rsid w:val="00553DE9"/>
    <w:rsid w:val="00555593"/>
    <w:rsid w:val="005555E4"/>
    <w:rsid w:val="00555AA8"/>
    <w:rsid w:val="00555B14"/>
    <w:rsid w:val="00556949"/>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39DD"/>
    <w:rsid w:val="00574211"/>
    <w:rsid w:val="0057426F"/>
    <w:rsid w:val="00574EF8"/>
    <w:rsid w:val="00575566"/>
    <w:rsid w:val="00575ABB"/>
    <w:rsid w:val="00576EDB"/>
    <w:rsid w:val="0058070F"/>
    <w:rsid w:val="00580D5C"/>
    <w:rsid w:val="00581864"/>
    <w:rsid w:val="00581E90"/>
    <w:rsid w:val="00582177"/>
    <w:rsid w:val="00582FD3"/>
    <w:rsid w:val="005832F1"/>
    <w:rsid w:val="0058372D"/>
    <w:rsid w:val="00584E77"/>
    <w:rsid w:val="00585726"/>
    <w:rsid w:val="0058634E"/>
    <w:rsid w:val="005867A9"/>
    <w:rsid w:val="00586E50"/>
    <w:rsid w:val="00587695"/>
    <w:rsid w:val="005900F0"/>
    <w:rsid w:val="00590577"/>
    <w:rsid w:val="00590C0E"/>
    <w:rsid w:val="00591EF7"/>
    <w:rsid w:val="00592184"/>
    <w:rsid w:val="00592E25"/>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A7E4C"/>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3A1D"/>
    <w:rsid w:val="005C4D20"/>
    <w:rsid w:val="005C4F08"/>
    <w:rsid w:val="005C5370"/>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234"/>
    <w:rsid w:val="005E4905"/>
    <w:rsid w:val="005E5CE0"/>
    <w:rsid w:val="005E6612"/>
    <w:rsid w:val="005E6D84"/>
    <w:rsid w:val="005E738B"/>
    <w:rsid w:val="005E7EDE"/>
    <w:rsid w:val="005F0E80"/>
    <w:rsid w:val="005F109A"/>
    <w:rsid w:val="005F10D6"/>
    <w:rsid w:val="005F180D"/>
    <w:rsid w:val="005F22EB"/>
    <w:rsid w:val="005F3561"/>
    <w:rsid w:val="005F5550"/>
    <w:rsid w:val="005F5D64"/>
    <w:rsid w:val="005F6516"/>
    <w:rsid w:val="005F6A52"/>
    <w:rsid w:val="005F6F03"/>
    <w:rsid w:val="005F757C"/>
    <w:rsid w:val="00601D09"/>
    <w:rsid w:val="00602823"/>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6B44"/>
    <w:rsid w:val="00617686"/>
    <w:rsid w:val="00620521"/>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C18"/>
    <w:rsid w:val="00657FCA"/>
    <w:rsid w:val="006608D8"/>
    <w:rsid w:val="00661CE9"/>
    <w:rsid w:val="00661EB6"/>
    <w:rsid w:val="006621BF"/>
    <w:rsid w:val="00662448"/>
    <w:rsid w:val="00662E66"/>
    <w:rsid w:val="006647FD"/>
    <w:rsid w:val="00665844"/>
    <w:rsid w:val="00665994"/>
    <w:rsid w:val="00665B13"/>
    <w:rsid w:val="00667ABB"/>
    <w:rsid w:val="00667C87"/>
    <w:rsid w:val="00670847"/>
    <w:rsid w:val="00671029"/>
    <w:rsid w:val="00671F27"/>
    <w:rsid w:val="00672167"/>
    <w:rsid w:val="006735D0"/>
    <w:rsid w:val="00673D90"/>
    <w:rsid w:val="006752F3"/>
    <w:rsid w:val="006762BD"/>
    <w:rsid w:val="00676D8B"/>
    <w:rsid w:val="006772C3"/>
    <w:rsid w:val="006777D0"/>
    <w:rsid w:val="006779A0"/>
    <w:rsid w:val="00677CB7"/>
    <w:rsid w:val="0068158A"/>
    <w:rsid w:val="00681E48"/>
    <w:rsid w:val="00682592"/>
    <w:rsid w:val="006833E4"/>
    <w:rsid w:val="00683A35"/>
    <w:rsid w:val="00683C27"/>
    <w:rsid w:val="00683C64"/>
    <w:rsid w:val="00683E35"/>
    <w:rsid w:val="00684538"/>
    <w:rsid w:val="00684AEA"/>
    <w:rsid w:val="00685EF2"/>
    <w:rsid w:val="00687AB7"/>
    <w:rsid w:val="00690BA2"/>
    <w:rsid w:val="0069124B"/>
    <w:rsid w:val="006918CA"/>
    <w:rsid w:val="006934C1"/>
    <w:rsid w:val="00693BEA"/>
    <w:rsid w:val="00693D4E"/>
    <w:rsid w:val="00695C0D"/>
    <w:rsid w:val="00696C76"/>
    <w:rsid w:val="006972EB"/>
    <w:rsid w:val="00697702"/>
    <w:rsid w:val="006A016D"/>
    <w:rsid w:val="006A152F"/>
    <w:rsid w:val="006A203D"/>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03F8"/>
    <w:rsid w:val="006D1B86"/>
    <w:rsid w:val="006D2000"/>
    <w:rsid w:val="006D24A0"/>
    <w:rsid w:val="006D2888"/>
    <w:rsid w:val="006D4FF3"/>
    <w:rsid w:val="006D5085"/>
    <w:rsid w:val="006D6CC1"/>
    <w:rsid w:val="006D7D4D"/>
    <w:rsid w:val="006E014B"/>
    <w:rsid w:val="006E0460"/>
    <w:rsid w:val="006E19D9"/>
    <w:rsid w:val="006E40CF"/>
    <w:rsid w:val="006E6382"/>
    <w:rsid w:val="006E6D4A"/>
    <w:rsid w:val="006F0396"/>
    <w:rsid w:val="006F064A"/>
    <w:rsid w:val="006F180B"/>
    <w:rsid w:val="006F203F"/>
    <w:rsid w:val="006F24BF"/>
    <w:rsid w:val="006F2924"/>
    <w:rsid w:val="006F3B29"/>
    <w:rsid w:val="006F437F"/>
    <w:rsid w:val="006F5115"/>
    <w:rsid w:val="006F59D6"/>
    <w:rsid w:val="006F685C"/>
    <w:rsid w:val="00700266"/>
    <w:rsid w:val="007005CC"/>
    <w:rsid w:val="00700B1F"/>
    <w:rsid w:val="00700B7D"/>
    <w:rsid w:val="00701430"/>
    <w:rsid w:val="00702797"/>
    <w:rsid w:val="007034D9"/>
    <w:rsid w:val="007034F6"/>
    <w:rsid w:val="0070417D"/>
    <w:rsid w:val="0070479F"/>
    <w:rsid w:val="00704AE7"/>
    <w:rsid w:val="00704ED9"/>
    <w:rsid w:val="007052FA"/>
    <w:rsid w:val="00705A66"/>
    <w:rsid w:val="00705E8C"/>
    <w:rsid w:val="007060D6"/>
    <w:rsid w:val="0070674B"/>
    <w:rsid w:val="0071135F"/>
    <w:rsid w:val="00711613"/>
    <w:rsid w:val="00711DE7"/>
    <w:rsid w:val="00712885"/>
    <w:rsid w:val="00713174"/>
    <w:rsid w:val="00713FEA"/>
    <w:rsid w:val="007153FB"/>
    <w:rsid w:val="00716926"/>
    <w:rsid w:val="00717FEB"/>
    <w:rsid w:val="007206E2"/>
    <w:rsid w:val="00721514"/>
    <w:rsid w:val="00721574"/>
    <w:rsid w:val="00722605"/>
    <w:rsid w:val="00724714"/>
    <w:rsid w:val="0072535F"/>
    <w:rsid w:val="00725481"/>
    <w:rsid w:val="00726C8D"/>
    <w:rsid w:val="00726E9E"/>
    <w:rsid w:val="007303EF"/>
    <w:rsid w:val="007307DD"/>
    <w:rsid w:val="00731036"/>
    <w:rsid w:val="0073289E"/>
    <w:rsid w:val="00735127"/>
    <w:rsid w:val="00735DA4"/>
    <w:rsid w:val="00737456"/>
    <w:rsid w:val="00737CB2"/>
    <w:rsid w:val="0074067A"/>
    <w:rsid w:val="00740A9F"/>
    <w:rsid w:val="007419F1"/>
    <w:rsid w:val="007421D4"/>
    <w:rsid w:val="00742B7C"/>
    <w:rsid w:val="0074342E"/>
    <w:rsid w:val="007436C2"/>
    <w:rsid w:val="00744211"/>
    <w:rsid w:val="00745E6F"/>
    <w:rsid w:val="00747607"/>
    <w:rsid w:val="007478CB"/>
    <w:rsid w:val="00747973"/>
    <w:rsid w:val="00751B84"/>
    <w:rsid w:val="00752B65"/>
    <w:rsid w:val="00752D9A"/>
    <w:rsid w:val="00753D5F"/>
    <w:rsid w:val="0075452C"/>
    <w:rsid w:val="007549B7"/>
    <w:rsid w:val="00755C3A"/>
    <w:rsid w:val="007561D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E6A"/>
    <w:rsid w:val="00767FB8"/>
    <w:rsid w:val="00770BE9"/>
    <w:rsid w:val="007712A2"/>
    <w:rsid w:val="00771568"/>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A78"/>
    <w:rsid w:val="00783C4C"/>
    <w:rsid w:val="00784091"/>
    <w:rsid w:val="0078460C"/>
    <w:rsid w:val="00784DDF"/>
    <w:rsid w:val="00785243"/>
    <w:rsid w:val="0078544E"/>
    <w:rsid w:val="007857C5"/>
    <w:rsid w:val="00785A02"/>
    <w:rsid w:val="0078603D"/>
    <w:rsid w:val="00786695"/>
    <w:rsid w:val="00786ADB"/>
    <w:rsid w:val="00787590"/>
    <w:rsid w:val="00790C6C"/>
    <w:rsid w:val="007917FE"/>
    <w:rsid w:val="00792BFE"/>
    <w:rsid w:val="00794C51"/>
    <w:rsid w:val="00794EAD"/>
    <w:rsid w:val="007957F2"/>
    <w:rsid w:val="00796A67"/>
    <w:rsid w:val="007973A4"/>
    <w:rsid w:val="00797BAC"/>
    <w:rsid w:val="007A0421"/>
    <w:rsid w:val="007A1884"/>
    <w:rsid w:val="007A1DA8"/>
    <w:rsid w:val="007A2486"/>
    <w:rsid w:val="007A35D1"/>
    <w:rsid w:val="007A4990"/>
    <w:rsid w:val="007A5687"/>
    <w:rsid w:val="007A6CC9"/>
    <w:rsid w:val="007A717A"/>
    <w:rsid w:val="007A7B2F"/>
    <w:rsid w:val="007B052B"/>
    <w:rsid w:val="007B0884"/>
    <w:rsid w:val="007B0D59"/>
    <w:rsid w:val="007B0F54"/>
    <w:rsid w:val="007B1F7C"/>
    <w:rsid w:val="007B2557"/>
    <w:rsid w:val="007B2920"/>
    <w:rsid w:val="007B2AA5"/>
    <w:rsid w:val="007B3AF2"/>
    <w:rsid w:val="007B4297"/>
    <w:rsid w:val="007B6DF5"/>
    <w:rsid w:val="007C04B9"/>
    <w:rsid w:val="007C04DB"/>
    <w:rsid w:val="007C13BF"/>
    <w:rsid w:val="007C1EC4"/>
    <w:rsid w:val="007C200E"/>
    <w:rsid w:val="007C231B"/>
    <w:rsid w:val="007C3878"/>
    <w:rsid w:val="007C51A6"/>
    <w:rsid w:val="007C585A"/>
    <w:rsid w:val="007C5A17"/>
    <w:rsid w:val="007C5FA1"/>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116"/>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53BE"/>
    <w:rsid w:val="00826297"/>
    <w:rsid w:val="00827352"/>
    <w:rsid w:val="00827878"/>
    <w:rsid w:val="008300EE"/>
    <w:rsid w:val="00830DCC"/>
    <w:rsid w:val="00831A37"/>
    <w:rsid w:val="00833055"/>
    <w:rsid w:val="00833524"/>
    <w:rsid w:val="00833530"/>
    <w:rsid w:val="00833E3E"/>
    <w:rsid w:val="00833EF3"/>
    <w:rsid w:val="00836AA9"/>
    <w:rsid w:val="0083762F"/>
    <w:rsid w:val="008407CE"/>
    <w:rsid w:val="00841235"/>
    <w:rsid w:val="008426DB"/>
    <w:rsid w:val="008427E1"/>
    <w:rsid w:val="008427F7"/>
    <w:rsid w:val="008430B8"/>
    <w:rsid w:val="008439FC"/>
    <w:rsid w:val="00844C4B"/>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55D2"/>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1616"/>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4A87"/>
    <w:rsid w:val="008A5630"/>
    <w:rsid w:val="008A6713"/>
    <w:rsid w:val="008A6C1C"/>
    <w:rsid w:val="008A73A2"/>
    <w:rsid w:val="008A7C8E"/>
    <w:rsid w:val="008B0994"/>
    <w:rsid w:val="008B0D3F"/>
    <w:rsid w:val="008B0D61"/>
    <w:rsid w:val="008B100A"/>
    <w:rsid w:val="008B15C4"/>
    <w:rsid w:val="008B2645"/>
    <w:rsid w:val="008B2F44"/>
    <w:rsid w:val="008B3359"/>
    <w:rsid w:val="008B3934"/>
    <w:rsid w:val="008B4B8C"/>
    <w:rsid w:val="008B50E3"/>
    <w:rsid w:val="008B529A"/>
    <w:rsid w:val="008B669B"/>
    <w:rsid w:val="008B6EC6"/>
    <w:rsid w:val="008B7B2F"/>
    <w:rsid w:val="008B7E15"/>
    <w:rsid w:val="008C18C5"/>
    <w:rsid w:val="008C27AD"/>
    <w:rsid w:val="008C2E28"/>
    <w:rsid w:val="008C37CD"/>
    <w:rsid w:val="008C38F4"/>
    <w:rsid w:val="008C4958"/>
    <w:rsid w:val="008C679D"/>
    <w:rsid w:val="008C7D08"/>
    <w:rsid w:val="008D02C6"/>
    <w:rsid w:val="008D192B"/>
    <w:rsid w:val="008D2E4A"/>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01"/>
    <w:rsid w:val="008E4276"/>
    <w:rsid w:val="008E48F9"/>
    <w:rsid w:val="008E6431"/>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3AC8"/>
    <w:rsid w:val="00903F93"/>
    <w:rsid w:val="00904687"/>
    <w:rsid w:val="00904886"/>
    <w:rsid w:val="009050E9"/>
    <w:rsid w:val="009071C1"/>
    <w:rsid w:val="00910BDC"/>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33A4"/>
    <w:rsid w:val="009246C6"/>
    <w:rsid w:val="00925221"/>
    <w:rsid w:val="00925EEE"/>
    <w:rsid w:val="009276DF"/>
    <w:rsid w:val="00927E5B"/>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55F7F"/>
    <w:rsid w:val="0096030F"/>
    <w:rsid w:val="0096098E"/>
    <w:rsid w:val="009616E9"/>
    <w:rsid w:val="0096184D"/>
    <w:rsid w:val="00961B5E"/>
    <w:rsid w:val="00962370"/>
    <w:rsid w:val="00962444"/>
    <w:rsid w:val="00963326"/>
    <w:rsid w:val="009662D0"/>
    <w:rsid w:val="00970A7C"/>
    <w:rsid w:val="00970D90"/>
    <w:rsid w:val="009719DE"/>
    <w:rsid w:val="00971C51"/>
    <w:rsid w:val="00972430"/>
    <w:rsid w:val="009724FF"/>
    <w:rsid w:val="00972AA0"/>
    <w:rsid w:val="00973CB4"/>
    <w:rsid w:val="00974241"/>
    <w:rsid w:val="009743BD"/>
    <w:rsid w:val="00975677"/>
    <w:rsid w:val="00976A0C"/>
    <w:rsid w:val="009772C5"/>
    <w:rsid w:val="00977B5A"/>
    <w:rsid w:val="00977DDA"/>
    <w:rsid w:val="00977E26"/>
    <w:rsid w:val="00977F41"/>
    <w:rsid w:val="0098001E"/>
    <w:rsid w:val="0098083B"/>
    <w:rsid w:val="0098093C"/>
    <w:rsid w:val="009809AE"/>
    <w:rsid w:val="00981AF5"/>
    <w:rsid w:val="00981BFF"/>
    <w:rsid w:val="00982066"/>
    <w:rsid w:val="009821F9"/>
    <w:rsid w:val="009828FF"/>
    <w:rsid w:val="00984602"/>
    <w:rsid w:val="0098551F"/>
    <w:rsid w:val="0098585D"/>
    <w:rsid w:val="00987841"/>
    <w:rsid w:val="009909A0"/>
    <w:rsid w:val="00990DBB"/>
    <w:rsid w:val="00990EAD"/>
    <w:rsid w:val="009912DA"/>
    <w:rsid w:val="00991674"/>
    <w:rsid w:val="009918E7"/>
    <w:rsid w:val="00991A05"/>
    <w:rsid w:val="00991C7C"/>
    <w:rsid w:val="00992053"/>
    <w:rsid w:val="00992446"/>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AA0"/>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0EC0"/>
    <w:rsid w:val="009C17DE"/>
    <w:rsid w:val="009C226E"/>
    <w:rsid w:val="009C38E3"/>
    <w:rsid w:val="009C43CD"/>
    <w:rsid w:val="009C49DA"/>
    <w:rsid w:val="009C4DB2"/>
    <w:rsid w:val="009C503C"/>
    <w:rsid w:val="009C5345"/>
    <w:rsid w:val="009C6397"/>
    <w:rsid w:val="009C6CF0"/>
    <w:rsid w:val="009D0825"/>
    <w:rsid w:val="009D1C8C"/>
    <w:rsid w:val="009D1D4B"/>
    <w:rsid w:val="009D2542"/>
    <w:rsid w:val="009D256D"/>
    <w:rsid w:val="009D27F0"/>
    <w:rsid w:val="009D492F"/>
    <w:rsid w:val="009D593F"/>
    <w:rsid w:val="009D6042"/>
    <w:rsid w:val="009D633B"/>
    <w:rsid w:val="009D678B"/>
    <w:rsid w:val="009D6C07"/>
    <w:rsid w:val="009D6D02"/>
    <w:rsid w:val="009D7C60"/>
    <w:rsid w:val="009D7FCB"/>
    <w:rsid w:val="009E089F"/>
    <w:rsid w:val="009E08F5"/>
    <w:rsid w:val="009E09B3"/>
    <w:rsid w:val="009E12C9"/>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699"/>
    <w:rsid w:val="00A02FF5"/>
    <w:rsid w:val="00A036DA"/>
    <w:rsid w:val="00A06138"/>
    <w:rsid w:val="00A0640D"/>
    <w:rsid w:val="00A1098C"/>
    <w:rsid w:val="00A11708"/>
    <w:rsid w:val="00A11F47"/>
    <w:rsid w:val="00A12714"/>
    <w:rsid w:val="00A12797"/>
    <w:rsid w:val="00A12A5C"/>
    <w:rsid w:val="00A13D5B"/>
    <w:rsid w:val="00A14089"/>
    <w:rsid w:val="00A15166"/>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B1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3D2"/>
    <w:rsid w:val="00A52325"/>
    <w:rsid w:val="00A52333"/>
    <w:rsid w:val="00A52988"/>
    <w:rsid w:val="00A53F57"/>
    <w:rsid w:val="00A5533D"/>
    <w:rsid w:val="00A571AD"/>
    <w:rsid w:val="00A579AC"/>
    <w:rsid w:val="00A60CCA"/>
    <w:rsid w:val="00A60FE9"/>
    <w:rsid w:val="00A617D8"/>
    <w:rsid w:val="00A63BF3"/>
    <w:rsid w:val="00A63F85"/>
    <w:rsid w:val="00A64BC5"/>
    <w:rsid w:val="00A64CFD"/>
    <w:rsid w:val="00A64F37"/>
    <w:rsid w:val="00A6521C"/>
    <w:rsid w:val="00A65C0D"/>
    <w:rsid w:val="00A65CF8"/>
    <w:rsid w:val="00A666B7"/>
    <w:rsid w:val="00A66C36"/>
    <w:rsid w:val="00A67237"/>
    <w:rsid w:val="00A7011F"/>
    <w:rsid w:val="00A713FA"/>
    <w:rsid w:val="00A73C64"/>
    <w:rsid w:val="00A73DC9"/>
    <w:rsid w:val="00A73F74"/>
    <w:rsid w:val="00A764FF"/>
    <w:rsid w:val="00A76BCD"/>
    <w:rsid w:val="00A7712C"/>
    <w:rsid w:val="00A80416"/>
    <w:rsid w:val="00A80A58"/>
    <w:rsid w:val="00A8184E"/>
    <w:rsid w:val="00A821DC"/>
    <w:rsid w:val="00A831E5"/>
    <w:rsid w:val="00A845E8"/>
    <w:rsid w:val="00A8463D"/>
    <w:rsid w:val="00A846F5"/>
    <w:rsid w:val="00A85AF6"/>
    <w:rsid w:val="00A85D1A"/>
    <w:rsid w:val="00A8645E"/>
    <w:rsid w:val="00A866A8"/>
    <w:rsid w:val="00A86CF8"/>
    <w:rsid w:val="00A902CE"/>
    <w:rsid w:val="00A913E6"/>
    <w:rsid w:val="00A91786"/>
    <w:rsid w:val="00A92CEB"/>
    <w:rsid w:val="00A93057"/>
    <w:rsid w:val="00A93324"/>
    <w:rsid w:val="00A935DF"/>
    <w:rsid w:val="00A939F8"/>
    <w:rsid w:val="00A94E3D"/>
    <w:rsid w:val="00A95AC0"/>
    <w:rsid w:val="00A96067"/>
    <w:rsid w:val="00A96124"/>
    <w:rsid w:val="00A9691F"/>
    <w:rsid w:val="00A96ACB"/>
    <w:rsid w:val="00A96CAD"/>
    <w:rsid w:val="00AA07A4"/>
    <w:rsid w:val="00AA07BB"/>
    <w:rsid w:val="00AA0BB4"/>
    <w:rsid w:val="00AA0ED8"/>
    <w:rsid w:val="00AA101A"/>
    <w:rsid w:val="00AA2A55"/>
    <w:rsid w:val="00AA2D90"/>
    <w:rsid w:val="00AA3255"/>
    <w:rsid w:val="00AA4458"/>
    <w:rsid w:val="00AA47E4"/>
    <w:rsid w:val="00AA69FF"/>
    <w:rsid w:val="00AA6BCA"/>
    <w:rsid w:val="00AB407E"/>
    <w:rsid w:val="00AB5790"/>
    <w:rsid w:val="00AB5B9C"/>
    <w:rsid w:val="00AB5CE7"/>
    <w:rsid w:val="00AB5E19"/>
    <w:rsid w:val="00AB714A"/>
    <w:rsid w:val="00AB7293"/>
    <w:rsid w:val="00AB7EDE"/>
    <w:rsid w:val="00AC003C"/>
    <w:rsid w:val="00AC01BF"/>
    <w:rsid w:val="00AC1243"/>
    <w:rsid w:val="00AC1AE3"/>
    <w:rsid w:val="00AC5CCE"/>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E79C1"/>
    <w:rsid w:val="00AF0CE8"/>
    <w:rsid w:val="00AF0D12"/>
    <w:rsid w:val="00AF11C6"/>
    <w:rsid w:val="00AF2749"/>
    <w:rsid w:val="00AF47DD"/>
    <w:rsid w:val="00AF63CD"/>
    <w:rsid w:val="00AF755A"/>
    <w:rsid w:val="00B00EB9"/>
    <w:rsid w:val="00B00EF4"/>
    <w:rsid w:val="00B01060"/>
    <w:rsid w:val="00B012A9"/>
    <w:rsid w:val="00B017CE"/>
    <w:rsid w:val="00B01ACE"/>
    <w:rsid w:val="00B0326B"/>
    <w:rsid w:val="00B04838"/>
    <w:rsid w:val="00B04D16"/>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3E86"/>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27B1"/>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092"/>
    <w:rsid w:val="00B626E1"/>
    <w:rsid w:val="00B6406A"/>
    <w:rsid w:val="00B641B1"/>
    <w:rsid w:val="00B644BC"/>
    <w:rsid w:val="00B64EC0"/>
    <w:rsid w:val="00B65D8C"/>
    <w:rsid w:val="00B67781"/>
    <w:rsid w:val="00B701F1"/>
    <w:rsid w:val="00B70314"/>
    <w:rsid w:val="00B70FA6"/>
    <w:rsid w:val="00B710DD"/>
    <w:rsid w:val="00B7285D"/>
    <w:rsid w:val="00B74828"/>
    <w:rsid w:val="00B74D75"/>
    <w:rsid w:val="00B75D3A"/>
    <w:rsid w:val="00B75F0E"/>
    <w:rsid w:val="00B7606D"/>
    <w:rsid w:val="00B761E2"/>
    <w:rsid w:val="00B7744B"/>
    <w:rsid w:val="00B77A48"/>
    <w:rsid w:val="00B800DE"/>
    <w:rsid w:val="00B8094E"/>
    <w:rsid w:val="00B81CC4"/>
    <w:rsid w:val="00B81F2D"/>
    <w:rsid w:val="00B8372D"/>
    <w:rsid w:val="00B850FD"/>
    <w:rsid w:val="00B85ED0"/>
    <w:rsid w:val="00B85EFB"/>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9F2"/>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1EA9"/>
    <w:rsid w:val="00BC2A98"/>
    <w:rsid w:val="00BC2F2F"/>
    <w:rsid w:val="00BC3540"/>
    <w:rsid w:val="00BC43A2"/>
    <w:rsid w:val="00BC59F8"/>
    <w:rsid w:val="00BC667A"/>
    <w:rsid w:val="00BD0534"/>
    <w:rsid w:val="00BD0BC5"/>
    <w:rsid w:val="00BD1179"/>
    <w:rsid w:val="00BD1C3A"/>
    <w:rsid w:val="00BD224C"/>
    <w:rsid w:val="00BD281E"/>
    <w:rsid w:val="00BD2BA5"/>
    <w:rsid w:val="00BD2CF1"/>
    <w:rsid w:val="00BD425B"/>
    <w:rsid w:val="00BD42CD"/>
    <w:rsid w:val="00BD4358"/>
    <w:rsid w:val="00BD5516"/>
    <w:rsid w:val="00BE0477"/>
    <w:rsid w:val="00BE06A1"/>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2575"/>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C12"/>
    <w:rsid w:val="00C07DF2"/>
    <w:rsid w:val="00C07ECA"/>
    <w:rsid w:val="00C1046A"/>
    <w:rsid w:val="00C11C6F"/>
    <w:rsid w:val="00C12396"/>
    <w:rsid w:val="00C12CF4"/>
    <w:rsid w:val="00C14339"/>
    <w:rsid w:val="00C145E8"/>
    <w:rsid w:val="00C14B46"/>
    <w:rsid w:val="00C1555D"/>
    <w:rsid w:val="00C15673"/>
    <w:rsid w:val="00C17E97"/>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64FB"/>
    <w:rsid w:val="00C3728A"/>
    <w:rsid w:val="00C372B4"/>
    <w:rsid w:val="00C4151C"/>
    <w:rsid w:val="00C42C08"/>
    <w:rsid w:val="00C44AFC"/>
    <w:rsid w:val="00C44BBD"/>
    <w:rsid w:val="00C45269"/>
    <w:rsid w:val="00C45DE5"/>
    <w:rsid w:val="00C50A11"/>
    <w:rsid w:val="00C50F02"/>
    <w:rsid w:val="00C5192E"/>
    <w:rsid w:val="00C51B66"/>
    <w:rsid w:val="00C51BBA"/>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61C5"/>
    <w:rsid w:val="00C768E5"/>
    <w:rsid w:val="00C76E12"/>
    <w:rsid w:val="00C76E73"/>
    <w:rsid w:val="00C80C88"/>
    <w:rsid w:val="00C812B2"/>
    <w:rsid w:val="00C81F25"/>
    <w:rsid w:val="00C82888"/>
    <w:rsid w:val="00C82E39"/>
    <w:rsid w:val="00C833A5"/>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8B7"/>
    <w:rsid w:val="00CB5FD1"/>
    <w:rsid w:val="00CB62CE"/>
    <w:rsid w:val="00CB68DC"/>
    <w:rsid w:val="00CB7173"/>
    <w:rsid w:val="00CB7F39"/>
    <w:rsid w:val="00CB7F8F"/>
    <w:rsid w:val="00CC02DF"/>
    <w:rsid w:val="00CC05AF"/>
    <w:rsid w:val="00CC0B56"/>
    <w:rsid w:val="00CC10D5"/>
    <w:rsid w:val="00CC148E"/>
    <w:rsid w:val="00CC1493"/>
    <w:rsid w:val="00CC2D2B"/>
    <w:rsid w:val="00CC339F"/>
    <w:rsid w:val="00CC37DA"/>
    <w:rsid w:val="00CC3DA3"/>
    <w:rsid w:val="00CC4192"/>
    <w:rsid w:val="00CC4947"/>
    <w:rsid w:val="00CC4B3D"/>
    <w:rsid w:val="00CC5367"/>
    <w:rsid w:val="00CC5EA5"/>
    <w:rsid w:val="00CC6043"/>
    <w:rsid w:val="00CC6C57"/>
    <w:rsid w:val="00CC7FA3"/>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0C69"/>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17EB0"/>
    <w:rsid w:val="00D209EE"/>
    <w:rsid w:val="00D20AD1"/>
    <w:rsid w:val="00D219FB"/>
    <w:rsid w:val="00D23E95"/>
    <w:rsid w:val="00D2418C"/>
    <w:rsid w:val="00D251F1"/>
    <w:rsid w:val="00D25256"/>
    <w:rsid w:val="00D266A3"/>
    <w:rsid w:val="00D26821"/>
    <w:rsid w:val="00D26B2D"/>
    <w:rsid w:val="00D26BA1"/>
    <w:rsid w:val="00D26E97"/>
    <w:rsid w:val="00D2724A"/>
    <w:rsid w:val="00D27B05"/>
    <w:rsid w:val="00D27BD0"/>
    <w:rsid w:val="00D27ED1"/>
    <w:rsid w:val="00D31E17"/>
    <w:rsid w:val="00D32446"/>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46ED"/>
    <w:rsid w:val="00D64BCF"/>
    <w:rsid w:val="00D64C84"/>
    <w:rsid w:val="00D6608F"/>
    <w:rsid w:val="00D70006"/>
    <w:rsid w:val="00D700EB"/>
    <w:rsid w:val="00D70E5A"/>
    <w:rsid w:val="00D711FA"/>
    <w:rsid w:val="00D71C10"/>
    <w:rsid w:val="00D724F5"/>
    <w:rsid w:val="00D7314E"/>
    <w:rsid w:val="00D75330"/>
    <w:rsid w:val="00D75B1B"/>
    <w:rsid w:val="00D75C3D"/>
    <w:rsid w:val="00D76ECB"/>
    <w:rsid w:val="00D7744C"/>
    <w:rsid w:val="00D77F77"/>
    <w:rsid w:val="00D8083D"/>
    <w:rsid w:val="00D808BA"/>
    <w:rsid w:val="00D815C1"/>
    <w:rsid w:val="00D81C59"/>
    <w:rsid w:val="00D82015"/>
    <w:rsid w:val="00D82263"/>
    <w:rsid w:val="00D82488"/>
    <w:rsid w:val="00D8269C"/>
    <w:rsid w:val="00D82AB0"/>
    <w:rsid w:val="00D839C8"/>
    <w:rsid w:val="00D83D2E"/>
    <w:rsid w:val="00D848A5"/>
    <w:rsid w:val="00D84DB8"/>
    <w:rsid w:val="00D85818"/>
    <w:rsid w:val="00D86204"/>
    <w:rsid w:val="00D8688C"/>
    <w:rsid w:val="00D875DF"/>
    <w:rsid w:val="00D87962"/>
    <w:rsid w:val="00D9044F"/>
    <w:rsid w:val="00D920A6"/>
    <w:rsid w:val="00D9422B"/>
    <w:rsid w:val="00D95A28"/>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2B45"/>
    <w:rsid w:val="00DB3B3C"/>
    <w:rsid w:val="00DB5317"/>
    <w:rsid w:val="00DB6297"/>
    <w:rsid w:val="00DB6AB8"/>
    <w:rsid w:val="00DC02B4"/>
    <w:rsid w:val="00DC0B24"/>
    <w:rsid w:val="00DC17F0"/>
    <w:rsid w:val="00DC240D"/>
    <w:rsid w:val="00DC25A9"/>
    <w:rsid w:val="00DC2A37"/>
    <w:rsid w:val="00DC2A5E"/>
    <w:rsid w:val="00DC415A"/>
    <w:rsid w:val="00DC507D"/>
    <w:rsid w:val="00DC56DF"/>
    <w:rsid w:val="00DC5B2F"/>
    <w:rsid w:val="00DC6F42"/>
    <w:rsid w:val="00DD1A48"/>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A79"/>
    <w:rsid w:val="00DE3BBE"/>
    <w:rsid w:val="00DE3F0C"/>
    <w:rsid w:val="00DE4F87"/>
    <w:rsid w:val="00DE51C3"/>
    <w:rsid w:val="00DE540E"/>
    <w:rsid w:val="00DE5992"/>
    <w:rsid w:val="00DE62C3"/>
    <w:rsid w:val="00DE65D1"/>
    <w:rsid w:val="00DE6FE8"/>
    <w:rsid w:val="00DE7B8A"/>
    <w:rsid w:val="00DF058E"/>
    <w:rsid w:val="00DF07A4"/>
    <w:rsid w:val="00DF2033"/>
    <w:rsid w:val="00DF383D"/>
    <w:rsid w:val="00DF3B6F"/>
    <w:rsid w:val="00DF4466"/>
    <w:rsid w:val="00DF468E"/>
    <w:rsid w:val="00DF4CE2"/>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4E4"/>
    <w:rsid w:val="00E14EEB"/>
    <w:rsid w:val="00E159BA"/>
    <w:rsid w:val="00E15AB8"/>
    <w:rsid w:val="00E203BA"/>
    <w:rsid w:val="00E20425"/>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CB9"/>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022"/>
    <w:rsid w:val="00E47C89"/>
    <w:rsid w:val="00E50276"/>
    <w:rsid w:val="00E507FE"/>
    <w:rsid w:val="00E51CF4"/>
    <w:rsid w:val="00E52A39"/>
    <w:rsid w:val="00E536EF"/>
    <w:rsid w:val="00E53C8D"/>
    <w:rsid w:val="00E540AA"/>
    <w:rsid w:val="00E54519"/>
    <w:rsid w:val="00E54649"/>
    <w:rsid w:val="00E5477A"/>
    <w:rsid w:val="00E54CB4"/>
    <w:rsid w:val="00E55319"/>
    <w:rsid w:val="00E560E9"/>
    <w:rsid w:val="00E56C73"/>
    <w:rsid w:val="00E570B2"/>
    <w:rsid w:val="00E60511"/>
    <w:rsid w:val="00E612D9"/>
    <w:rsid w:val="00E614DD"/>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96A"/>
    <w:rsid w:val="00E75C90"/>
    <w:rsid w:val="00E7615D"/>
    <w:rsid w:val="00E77032"/>
    <w:rsid w:val="00E77BE8"/>
    <w:rsid w:val="00E8034F"/>
    <w:rsid w:val="00E80E1A"/>
    <w:rsid w:val="00E82931"/>
    <w:rsid w:val="00E82AC1"/>
    <w:rsid w:val="00E82BC9"/>
    <w:rsid w:val="00E830E8"/>
    <w:rsid w:val="00E83563"/>
    <w:rsid w:val="00E83A06"/>
    <w:rsid w:val="00E83FD5"/>
    <w:rsid w:val="00E8497D"/>
    <w:rsid w:val="00E84C49"/>
    <w:rsid w:val="00E8515A"/>
    <w:rsid w:val="00E85EC5"/>
    <w:rsid w:val="00E8665B"/>
    <w:rsid w:val="00E86D0A"/>
    <w:rsid w:val="00E90CDA"/>
    <w:rsid w:val="00E91036"/>
    <w:rsid w:val="00E917BA"/>
    <w:rsid w:val="00E919C9"/>
    <w:rsid w:val="00E91B8B"/>
    <w:rsid w:val="00E91F9A"/>
    <w:rsid w:val="00E92807"/>
    <w:rsid w:val="00E92C7E"/>
    <w:rsid w:val="00E93605"/>
    <w:rsid w:val="00E93936"/>
    <w:rsid w:val="00E93997"/>
    <w:rsid w:val="00E9494E"/>
    <w:rsid w:val="00E95B2C"/>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3BA5"/>
    <w:rsid w:val="00EA6122"/>
    <w:rsid w:val="00EA7A73"/>
    <w:rsid w:val="00EB129C"/>
    <w:rsid w:val="00EB1B29"/>
    <w:rsid w:val="00EB1F73"/>
    <w:rsid w:val="00EB40B6"/>
    <w:rsid w:val="00EB42BC"/>
    <w:rsid w:val="00EB537D"/>
    <w:rsid w:val="00EB5F95"/>
    <w:rsid w:val="00EB62C7"/>
    <w:rsid w:val="00EB69C7"/>
    <w:rsid w:val="00EB7009"/>
    <w:rsid w:val="00EB78C6"/>
    <w:rsid w:val="00EC0A72"/>
    <w:rsid w:val="00EC0ECA"/>
    <w:rsid w:val="00EC1693"/>
    <w:rsid w:val="00EC1AFF"/>
    <w:rsid w:val="00EC1E61"/>
    <w:rsid w:val="00EC35D7"/>
    <w:rsid w:val="00EC434D"/>
    <w:rsid w:val="00EC48EE"/>
    <w:rsid w:val="00EC643C"/>
    <w:rsid w:val="00EC6D34"/>
    <w:rsid w:val="00EC6D4B"/>
    <w:rsid w:val="00EC7947"/>
    <w:rsid w:val="00ED0107"/>
    <w:rsid w:val="00ED01ED"/>
    <w:rsid w:val="00ED0AFC"/>
    <w:rsid w:val="00ED2321"/>
    <w:rsid w:val="00ED3CC8"/>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1B84"/>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09E"/>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5B80"/>
    <w:rsid w:val="00F3625E"/>
    <w:rsid w:val="00F36C07"/>
    <w:rsid w:val="00F372C1"/>
    <w:rsid w:val="00F37CA3"/>
    <w:rsid w:val="00F37EE9"/>
    <w:rsid w:val="00F404BC"/>
    <w:rsid w:val="00F41C70"/>
    <w:rsid w:val="00F41C95"/>
    <w:rsid w:val="00F41F7D"/>
    <w:rsid w:val="00F42047"/>
    <w:rsid w:val="00F423C4"/>
    <w:rsid w:val="00F426D0"/>
    <w:rsid w:val="00F43050"/>
    <w:rsid w:val="00F43A61"/>
    <w:rsid w:val="00F43C76"/>
    <w:rsid w:val="00F43DFE"/>
    <w:rsid w:val="00F44AB0"/>
    <w:rsid w:val="00F45547"/>
    <w:rsid w:val="00F4583B"/>
    <w:rsid w:val="00F460BA"/>
    <w:rsid w:val="00F46284"/>
    <w:rsid w:val="00F46C05"/>
    <w:rsid w:val="00F46EE4"/>
    <w:rsid w:val="00F47C7A"/>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4BC3"/>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5DA"/>
    <w:rsid w:val="00F977CC"/>
    <w:rsid w:val="00FA1A14"/>
    <w:rsid w:val="00FA2321"/>
    <w:rsid w:val="00FA2CC1"/>
    <w:rsid w:val="00FA327D"/>
    <w:rsid w:val="00FA4694"/>
    <w:rsid w:val="00FA4D5B"/>
    <w:rsid w:val="00FA5696"/>
    <w:rsid w:val="00FA5DC4"/>
    <w:rsid w:val="00FA6E63"/>
    <w:rsid w:val="00FA7167"/>
    <w:rsid w:val="00FA7390"/>
    <w:rsid w:val="00FA7A84"/>
    <w:rsid w:val="00FB125A"/>
    <w:rsid w:val="00FB13AA"/>
    <w:rsid w:val="00FB222B"/>
    <w:rsid w:val="00FB36B3"/>
    <w:rsid w:val="00FB3CF3"/>
    <w:rsid w:val="00FB466E"/>
    <w:rsid w:val="00FB54B3"/>
    <w:rsid w:val="00FB5909"/>
    <w:rsid w:val="00FB5A56"/>
    <w:rsid w:val="00FB7041"/>
    <w:rsid w:val="00FB70C7"/>
    <w:rsid w:val="00FB75BE"/>
    <w:rsid w:val="00FB7ADB"/>
    <w:rsid w:val="00FC00BA"/>
    <w:rsid w:val="00FC2400"/>
    <w:rsid w:val="00FC2FC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118"/>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34"/>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1"/>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3"/>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5"/>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2"/>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3"/>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rPr>
  </w:style>
  <w:style w:type="paragraph" w:customStyle="1" w:styleId="ListDash2">
    <w:name w:val="List Dash 2"/>
    <w:basedOn w:val="Normal"/>
    <w:rsid w:val="00E75C90"/>
    <w:pPr>
      <w:widowControl/>
      <w:numPr>
        <w:numId w:val="4"/>
      </w:numPr>
      <w:autoSpaceDE/>
      <w:autoSpaceDN/>
      <w:spacing w:after="240"/>
      <w:jc w:val="both"/>
    </w:pPr>
    <w:rPr>
      <w:rFonts w:ascii="Times New Roman" w:eastAsia="Times New Roman" w:hAnsi="Times New Roman" w:cs="Times New Roman"/>
      <w:sz w:val="24"/>
      <w:szCs w:val="20"/>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fr-FR"/>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fr-FR"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fr-FR"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fr-FR"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fr-FR"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fr-FR"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fr-FR"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6"/>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ListContinue">
    <w:name w:val="List Continue"/>
    <w:basedOn w:val="Normal"/>
    <w:uiPriority w:val="99"/>
    <w:rsid w:val="00E75C90"/>
    <w:pPr>
      <w:widowControl/>
      <w:numPr>
        <w:numId w:val="8"/>
      </w:numPr>
      <w:tabs>
        <w:tab w:val="clear" w:pos="709"/>
      </w:tabs>
      <w:suppressAutoHyphens/>
      <w:autoSpaceDE/>
      <w:autoSpaceDN/>
      <w:spacing w:after="120"/>
      <w:jc w:val="both"/>
    </w:pPr>
    <w:rPr>
      <w:rFonts w:ascii="Times New Roman" w:eastAsia="Calibri" w:hAnsi="Times New Roman" w:cs="Times New Roman"/>
      <w:sz w:val="24"/>
      <w:szCs w:val="20"/>
      <w:lang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fr-FR"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fr-FR"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fr-FR"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fr-FR"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fr-FR"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eastAsia="ar-SA"/>
    </w:rPr>
  </w:style>
  <w:style w:type="paragraph" w:styleId="TOC6">
    <w:name w:val="toc 6"/>
    <w:basedOn w:val="Normal"/>
    <w:next w:val="Normal"/>
    <w:autoRedefine/>
    <w:uiPriority w:val="39"/>
    <w:rsid w:val="00E75C90"/>
    <w:pPr>
      <w:widowControl/>
      <w:numPr>
        <w:numId w:val="7"/>
      </w:numPr>
      <w:tabs>
        <w:tab w:val="clear" w:pos="765"/>
      </w:tabs>
      <w:suppressAutoHyphens/>
      <w:autoSpaceDE/>
      <w:autoSpaceDN/>
      <w:spacing w:after="240"/>
      <w:jc w:val="both"/>
    </w:pPr>
    <w:rPr>
      <w:rFonts w:ascii="Times New Roman" w:eastAsia="Calibri" w:hAnsi="Times New Roman" w:cs="Times New Roman"/>
      <w:sz w:val="24"/>
      <w:szCs w:val="20"/>
      <w:lang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eastAsia="ar-SA"/>
    </w:rPr>
  </w:style>
  <w:style w:type="paragraph" w:customStyle="1" w:styleId="ListDash3">
    <w:name w:val="List Dash 3"/>
    <w:basedOn w:val="Text3"/>
    <w:rsid w:val="00E75C90"/>
    <w:pPr>
      <w:numPr>
        <w:numId w:val="9"/>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fr-FR"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fr-FR"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0"/>
      </w:numPr>
    </w:pPr>
  </w:style>
  <w:style w:type="numbering" w:customStyle="1" w:styleId="List1">
    <w:name w:val="List 1"/>
    <w:basedOn w:val="NoList"/>
    <w:rsid w:val="00E75C90"/>
    <w:pPr>
      <w:numPr>
        <w:numId w:val="11"/>
      </w:numPr>
    </w:pPr>
  </w:style>
  <w:style w:type="numbering" w:customStyle="1" w:styleId="List21">
    <w:name w:val="List 21"/>
    <w:basedOn w:val="NoList"/>
    <w:rsid w:val="00E75C90"/>
    <w:pPr>
      <w:numPr>
        <w:numId w:val="12"/>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3"/>
      </w:numPr>
    </w:pPr>
  </w:style>
  <w:style w:type="numbering" w:customStyle="1" w:styleId="ImportedStyle2">
    <w:name w:val="Imported Style 2"/>
    <w:rsid w:val="00E75C90"/>
    <w:pPr>
      <w:numPr>
        <w:numId w:val="14"/>
      </w:numPr>
    </w:pPr>
  </w:style>
  <w:style w:type="character" w:customStyle="1" w:styleId="None">
    <w:name w:val="None"/>
    <w:rsid w:val="00E75C90"/>
  </w:style>
  <w:style w:type="character" w:customStyle="1" w:styleId="Hyperlink0">
    <w:name w:val="Hyperlink.0"/>
    <w:basedOn w:val="None"/>
    <w:rsid w:val="00E75C90"/>
    <w:rPr>
      <w:color w:val="000000"/>
      <w:u w:color="000000"/>
      <w:lang w:val="fr-FR"/>
    </w:rPr>
  </w:style>
  <w:style w:type="numbering" w:customStyle="1" w:styleId="ImportedStyle3">
    <w:name w:val="Imported Style 3"/>
    <w:rsid w:val="00E75C90"/>
    <w:pPr>
      <w:numPr>
        <w:numId w:val="15"/>
      </w:numPr>
    </w:pPr>
  </w:style>
  <w:style w:type="character" w:customStyle="1" w:styleId="Hyperlink1">
    <w:name w:val="Hyperlink.1"/>
    <w:basedOn w:val="None"/>
    <w:rsid w:val="00E75C90"/>
    <w:rPr>
      <w:strike/>
      <w:dstrike w:val="0"/>
      <w:color w:val="000000"/>
      <w:u w:color="000000"/>
      <w:lang w:val="fr-FR"/>
    </w:rPr>
  </w:style>
  <w:style w:type="numbering" w:customStyle="1" w:styleId="ImportedStyle4">
    <w:name w:val="Imported Style 4"/>
    <w:rsid w:val="00E75C90"/>
    <w:pPr>
      <w:numPr>
        <w:numId w:val="16"/>
      </w:numPr>
    </w:pPr>
  </w:style>
  <w:style w:type="numbering" w:customStyle="1" w:styleId="ImportedStyle5">
    <w:name w:val="Imported Style 5"/>
    <w:rsid w:val="00E75C90"/>
    <w:pPr>
      <w:numPr>
        <w:numId w:val="17"/>
      </w:numPr>
    </w:pPr>
  </w:style>
  <w:style w:type="character" w:customStyle="1" w:styleId="Hyperlink2">
    <w:name w:val="Hyperlink.2"/>
    <w:basedOn w:val="None"/>
    <w:rsid w:val="00E75C90"/>
    <w:rPr>
      <w:color w:val="000000"/>
      <w:u w:val="single" w:color="000000"/>
      <w:lang w:val="fr-FR"/>
    </w:rPr>
  </w:style>
  <w:style w:type="character" w:customStyle="1" w:styleId="Hyperlink3">
    <w:name w:val="Hyperlink.3"/>
    <w:basedOn w:val="None"/>
    <w:rsid w:val="00E75C90"/>
    <w:rPr>
      <w:rFonts w:ascii="Cambria" w:eastAsia="Cambria" w:hAnsi="Cambria" w:cs="Cambria"/>
      <w:color w:val="000000"/>
      <w:u w:color="000000"/>
      <w:lang w:val="fr-FR"/>
    </w:rPr>
  </w:style>
  <w:style w:type="numbering" w:customStyle="1" w:styleId="ImportedStyle6">
    <w:name w:val="Imported Style 6"/>
    <w:rsid w:val="00E75C90"/>
    <w:pPr>
      <w:numPr>
        <w:numId w:val="18"/>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19"/>
      </w:numPr>
    </w:pPr>
  </w:style>
  <w:style w:type="numbering" w:customStyle="1" w:styleId="ImportedStyle8">
    <w:name w:val="Imported Style 8"/>
    <w:rsid w:val="00E75C90"/>
    <w:pPr>
      <w:numPr>
        <w:numId w:val="20"/>
      </w:numPr>
    </w:pPr>
  </w:style>
  <w:style w:type="character" w:customStyle="1" w:styleId="Hyperlink4">
    <w:name w:val="Hyperlink.4"/>
    <w:basedOn w:val="None"/>
    <w:rsid w:val="00E75C90"/>
    <w:rPr>
      <w:rFonts w:ascii="Cambria" w:eastAsia="Cambria" w:hAnsi="Cambria" w:cs="Cambria"/>
      <w:color w:val="000000"/>
      <w:sz w:val="20"/>
      <w:szCs w:val="20"/>
      <w:u w:color="000000"/>
      <w:lang w:val="fr-FR"/>
    </w:rPr>
  </w:style>
  <w:style w:type="numbering" w:customStyle="1" w:styleId="ImportedStyle9">
    <w:name w:val="Imported Style 9"/>
    <w:rsid w:val="00E75C90"/>
    <w:pPr>
      <w:numPr>
        <w:numId w:val="21"/>
      </w:numPr>
    </w:pPr>
  </w:style>
  <w:style w:type="numbering" w:customStyle="1" w:styleId="ImportedStyle10">
    <w:name w:val="Imported Style 10"/>
    <w:rsid w:val="00E75C90"/>
    <w:pPr>
      <w:numPr>
        <w:numId w:val="22"/>
      </w:numPr>
    </w:pPr>
  </w:style>
  <w:style w:type="numbering" w:customStyle="1" w:styleId="ImportedStyle11">
    <w:name w:val="Imported Style 11"/>
    <w:rsid w:val="00E75C90"/>
    <w:pPr>
      <w:numPr>
        <w:numId w:val="23"/>
      </w:numPr>
    </w:pPr>
  </w:style>
  <w:style w:type="numbering" w:customStyle="1" w:styleId="ImportedStyle12">
    <w:name w:val="Imported Style 12"/>
    <w:rsid w:val="00E75C90"/>
    <w:pPr>
      <w:numPr>
        <w:numId w:val="24"/>
      </w:numPr>
    </w:pPr>
  </w:style>
  <w:style w:type="numbering" w:customStyle="1" w:styleId="ImportedStyle13">
    <w:name w:val="Imported Style 13"/>
    <w:rsid w:val="00E75C90"/>
    <w:pPr>
      <w:numPr>
        <w:numId w:val="25"/>
      </w:numPr>
    </w:pPr>
  </w:style>
  <w:style w:type="numbering" w:customStyle="1" w:styleId="ImportedStyle14">
    <w:name w:val="Imported Style 14"/>
    <w:rsid w:val="00E75C90"/>
    <w:pPr>
      <w:numPr>
        <w:numId w:val="26"/>
      </w:numPr>
    </w:pPr>
  </w:style>
  <w:style w:type="numbering" w:customStyle="1" w:styleId="ImportedStyle15">
    <w:name w:val="Imported Style 15"/>
    <w:rsid w:val="00E75C90"/>
    <w:pPr>
      <w:numPr>
        <w:numId w:val="27"/>
      </w:numPr>
    </w:pPr>
  </w:style>
  <w:style w:type="numbering" w:customStyle="1" w:styleId="ImportedStyle16">
    <w:name w:val="Imported Style 16"/>
    <w:rsid w:val="00E75C90"/>
    <w:pPr>
      <w:numPr>
        <w:numId w:val="28"/>
      </w:numPr>
    </w:pPr>
  </w:style>
  <w:style w:type="numbering" w:customStyle="1" w:styleId="ImportedStyle17">
    <w:name w:val="Imported Style 17"/>
    <w:rsid w:val="00E75C90"/>
    <w:pPr>
      <w:numPr>
        <w:numId w:val="29"/>
      </w:numPr>
    </w:pPr>
  </w:style>
  <w:style w:type="numbering" w:customStyle="1" w:styleId="ImportedStyle18">
    <w:name w:val="Imported Style 18"/>
    <w:rsid w:val="00E75C90"/>
    <w:pPr>
      <w:numPr>
        <w:numId w:val="30"/>
      </w:numPr>
    </w:pPr>
  </w:style>
  <w:style w:type="numbering" w:customStyle="1" w:styleId="ImportedStyle19">
    <w:name w:val="Imported Style 19"/>
    <w:rsid w:val="00E75C90"/>
    <w:pPr>
      <w:numPr>
        <w:numId w:val="31"/>
      </w:numPr>
    </w:pPr>
  </w:style>
  <w:style w:type="numbering" w:customStyle="1" w:styleId="ImportedStyle20">
    <w:name w:val="Imported Style 20"/>
    <w:rsid w:val="00E75C90"/>
    <w:pPr>
      <w:numPr>
        <w:numId w:val="32"/>
      </w:numPr>
    </w:pPr>
  </w:style>
  <w:style w:type="numbering" w:customStyle="1" w:styleId="ImportedStyle21">
    <w:name w:val="Imported Style 21"/>
    <w:rsid w:val="00E75C90"/>
    <w:pPr>
      <w:numPr>
        <w:numId w:val="33"/>
      </w:numPr>
    </w:pPr>
  </w:style>
  <w:style w:type="numbering" w:customStyle="1" w:styleId="ImportedStyle22">
    <w:name w:val="Imported Style 22"/>
    <w:rsid w:val="00E75C90"/>
    <w:pPr>
      <w:numPr>
        <w:numId w:val="34"/>
      </w:numPr>
    </w:pPr>
  </w:style>
  <w:style w:type="numbering" w:customStyle="1" w:styleId="ImportedStyle23">
    <w:name w:val="Imported Style 23"/>
    <w:rsid w:val="00E75C90"/>
    <w:pPr>
      <w:numPr>
        <w:numId w:val="35"/>
      </w:numPr>
    </w:pPr>
  </w:style>
  <w:style w:type="numbering" w:customStyle="1" w:styleId="ImportedStyle24">
    <w:name w:val="Imported Style 24"/>
    <w:rsid w:val="00E75C90"/>
    <w:pPr>
      <w:numPr>
        <w:numId w:val="36"/>
      </w:numPr>
    </w:pPr>
  </w:style>
  <w:style w:type="numbering" w:customStyle="1" w:styleId="ImportedStyle25">
    <w:name w:val="Imported Style 25"/>
    <w:rsid w:val="00E75C90"/>
    <w:pPr>
      <w:numPr>
        <w:numId w:val="37"/>
      </w:numPr>
    </w:pPr>
  </w:style>
  <w:style w:type="numbering" w:customStyle="1" w:styleId="ImportedStyle26">
    <w:name w:val="Imported Style 26"/>
    <w:rsid w:val="00E75C90"/>
    <w:pPr>
      <w:numPr>
        <w:numId w:val="38"/>
      </w:numPr>
    </w:pPr>
  </w:style>
  <w:style w:type="numbering" w:customStyle="1" w:styleId="ImportedStyle27">
    <w:name w:val="Imported Style 27"/>
    <w:rsid w:val="00E75C90"/>
    <w:pPr>
      <w:numPr>
        <w:numId w:val="39"/>
      </w:numPr>
    </w:pPr>
  </w:style>
  <w:style w:type="numbering" w:customStyle="1" w:styleId="ImportedStyle28">
    <w:name w:val="Imported Style 28"/>
    <w:rsid w:val="00E75C90"/>
    <w:pPr>
      <w:numPr>
        <w:numId w:val="40"/>
      </w:numPr>
    </w:pPr>
  </w:style>
  <w:style w:type="numbering" w:customStyle="1" w:styleId="ImportedStyle29">
    <w:name w:val="Imported Style 29"/>
    <w:rsid w:val="00E75C90"/>
    <w:pPr>
      <w:numPr>
        <w:numId w:val="41"/>
      </w:numPr>
    </w:pPr>
  </w:style>
  <w:style w:type="numbering" w:customStyle="1" w:styleId="ImportedStyle30">
    <w:name w:val="Imported Style 30"/>
    <w:rsid w:val="00E75C90"/>
    <w:pPr>
      <w:numPr>
        <w:numId w:val="42"/>
      </w:numPr>
    </w:pPr>
  </w:style>
  <w:style w:type="numbering" w:customStyle="1" w:styleId="ImportedStyle31">
    <w:name w:val="Imported Style 31"/>
    <w:rsid w:val="00E75C90"/>
    <w:pPr>
      <w:numPr>
        <w:numId w:val="43"/>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44"/>
      </w:numPr>
    </w:pPr>
  </w:style>
  <w:style w:type="numbering" w:customStyle="1" w:styleId="ImportedStyle34">
    <w:name w:val="Imported Style 34"/>
    <w:rsid w:val="00E75C90"/>
    <w:pPr>
      <w:numPr>
        <w:numId w:val="45"/>
      </w:numPr>
    </w:pPr>
  </w:style>
  <w:style w:type="numbering" w:customStyle="1" w:styleId="ImportedStyle35">
    <w:name w:val="Imported Style 35"/>
    <w:rsid w:val="00E75C90"/>
    <w:pPr>
      <w:numPr>
        <w:numId w:val="46"/>
      </w:numPr>
    </w:pPr>
  </w:style>
  <w:style w:type="numbering" w:customStyle="1" w:styleId="ImportedStyle36">
    <w:name w:val="Imported Style 36"/>
    <w:rsid w:val="00E75C90"/>
    <w:pPr>
      <w:numPr>
        <w:numId w:val="47"/>
      </w:numPr>
    </w:pPr>
  </w:style>
  <w:style w:type="numbering" w:customStyle="1" w:styleId="ImportedStyle37">
    <w:name w:val="Imported Style 37"/>
    <w:rsid w:val="00E75C90"/>
    <w:pPr>
      <w:numPr>
        <w:numId w:val="48"/>
      </w:numPr>
    </w:pPr>
  </w:style>
  <w:style w:type="numbering" w:customStyle="1" w:styleId="ImportedStyle38">
    <w:name w:val="Imported Style 38"/>
    <w:rsid w:val="00E75C90"/>
    <w:pPr>
      <w:numPr>
        <w:numId w:val="49"/>
      </w:numPr>
    </w:pPr>
  </w:style>
  <w:style w:type="numbering" w:customStyle="1" w:styleId="ImportedStyle39">
    <w:name w:val="Imported Style 39"/>
    <w:rsid w:val="00E75C90"/>
    <w:pPr>
      <w:numPr>
        <w:numId w:val="50"/>
      </w:numPr>
    </w:pPr>
  </w:style>
  <w:style w:type="numbering" w:customStyle="1" w:styleId="ImportedStyle40">
    <w:name w:val="Imported Style 40"/>
    <w:rsid w:val="00E75C90"/>
    <w:pPr>
      <w:numPr>
        <w:numId w:val="51"/>
      </w:numPr>
    </w:pPr>
  </w:style>
  <w:style w:type="numbering" w:customStyle="1" w:styleId="ImportedStyle41">
    <w:name w:val="Imported Style 41"/>
    <w:rsid w:val="00E75C90"/>
    <w:pPr>
      <w:numPr>
        <w:numId w:val="52"/>
      </w:numPr>
    </w:pPr>
  </w:style>
  <w:style w:type="numbering" w:customStyle="1" w:styleId="ImportedStyle42">
    <w:name w:val="Imported Style 42"/>
    <w:rsid w:val="00E75C90"/>
    <w:pPr>
      <w:numPr>
        <w:numId w:val="53"/>
      </w:numPr>
    </w:pPr>
  </w:style>
  <w:style w:type="numbering" w:customStyle="1" w:styleId="ImportedStyle43">
    <w:name w:val="Imported Style 43"/>
    <w:rsid w:val="00E75C90"/>
    <w:pPr>
      <w:numPr>
        <w:numId w:val="54"/>
      </w:numPr>
    </w:pPr>
  </w:style>
  <w:style w:type="numbering" w:customStyle="1" w:styleId="ImportedStyle44">
    <w:name w:val="Imported Style 44"/>
    <w:rsid w:val="00E75C90"/>
    <w:pPr>
      <w:numPr>
        <w:numId w:val="55"/>
      </w:numPr>
    </w:pPr>
  </w:style>
  <w:style w:type="numbering" w:customStyle="1" w:styleId="ImportedStyle45">
    <w:name w:val="Imported Style 45"/>
    <w:rsid w:val="00E75C90"/>
    <w:pPr>
      <w:numPr>
        <w:numId w:val="56"/>
      </w:numPr>
    </w:pPr>
  </w:style>
  <w:style w:type="numbering" w:customStyle="1" w:styleId="ImportedStyle46">
    <w:name w:val="Imported Style 46"/>
    <w:rsid w:val="00E75C90"/>
    <w:pPr>
      <w:numPr>
        <w:numId w:val="57"/>
      </w:numPr>
    </w:pPr>
  </w:style>
  <w:style w:type="numbering" w:customStyle="1" w:styleId="ImportedStyle47">
    <w:name w:val="Imported Style 47"/>
    <w:rsid w:val="00E75C90"/>
    <w:pPr>
      <w:numPr>
        <w:numId w:val="58"/>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fr-FR"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fr-FR"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fr-FR"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fr-FR"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fr-FR" w:eastAsia="en-US"/>
    </w:rPr>
  </w:style>
  <w:style w:type="character" w:customStyle="1" w:styleId="QuoteChar1">
    <w:name w:val="Quote Char1"/>
    <w:basedOn w:val="DefaultParagraphFont"/>
    <w:uiPriority w:val="29"/>
    <w:rsid w:val="00E75C90"/>
    <w:rPr>
      <w:i/>
      <w:iCs/>
      <w:color w:val="404040" w:themeColor="text1" w:themeTint="BF"/>
      <w:sz w:val="24"/>
      <w:szCs w:val="24"/>
      <w:lang w:val="fr-FR"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04-10-f.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19-01-f.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cat.int/Documents/Recs/compendiopdf-f/2019-01-f.pdf" TargetMode="External"/><Relationship Id="rId4" Type="http://schemas.openxmlformats.org/officeDocument/2006/relationships/settings" Target="settings.xml"/><Relationship Id="rId9" Type="http://schemas.openxmlformats.org/officeDocument/2006/relationships/hyperlink" Target="https://www.iccat.int/Documents/Recs/compendiopdf-f/2019-01-f.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658B7-5FE0-4CBD-8325-FE3F0FC8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5434</Words>
  <Characters>30979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2025-10-16T09:13:00Z</dcterms:created>
  <dcterms:modified xsi:type="dcterms:W3CDTF">2025-11-19T14:42:00Z</dcterms:modified>
</cp:coreProperties>
</file>