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33837" w14:textId="307BE968" w:rsidR="00746080" w:rsidRPr="00EC3605" w:rsidRDefault="00746080" w:rsidP="00102FBE">
      <w:pPr>
        <w:spacing w:after="0" w:line="240" w:lineRule="auto"/>
        <w:jc w:val="right"/>
        <w:rPr>
          <w:rFonts w:ascii="Cambria" w:hAnsi="Cambria" w:cs="Times New Roman"/>
          <w:bCs/>
          <w:sz w:val="18"/>
          <w:szCs w:val="18"/>
        </w:rPr>
      </w:pPr>
      <w:r w:rsidRPr="00EC3605">
        <w:rPr>
          <w:rFonts w:ascii="Cambria" w:hAnsi="Cambria"/>
          <w:b/>
          <w:sz w:val="18"/>
          <w:szCs w:val="18"/>
        </w:rPr>
        <w:t>Original: inglés, francés y español</w:t>
      </w:r>
    </w:p>
    <w:p w14:paraId="2B4057B2" w14:textId="5255F42F" w:rsidR="00746080" w:rsidRPr="00EC3605" w:rsidRDefault="00746080" w:rsidP="00102FBE">
      <w:pPr>
        <w:spacing w:after="0" w:line="240" w:lineRule="auto"/>
        <w:jc w:val="right"/>
        <w:rPr>
          <w:rFonts w:ascii="Cambria" w:hAnsi="Cambria" w:cs="Times New Roman"/>
          <w:b/>
          <w:bCs/>
          <w:sz w:val="18"/>
          <w:szCs w:val="18"/>
        </w:rPr>
      </w:pPr>
    </w:p>
    <w:p w14:paraId="16FE3C4C" w14:textId="77777777" w:rsidR="00102FBE" w:rsidRPr="00EC3605" w:rsidRDefault="00102FBE" w:rsidP="00102FBE">
      <w:pPr>
        <w:autoSpaceDE w:val="0"/>
        <w:autoSpaceDN w:val="0"/>
        <w:adjustRightInd w:val="0"/>
        <w:spacing w:after="0" w:line="240" w:lineRule="auto"/>
        <w:jc w:val="center"/>
        <w:rPr>
          <w:rFonts w:ascii="Cambria" w:hAnsi="Cambria" w:cs="Times New Roman"/>
          <w:b/>
          <w:bCs/>
          <w:sz w:val="18"/>
          <w:szCs w:val="18"/>
        </w:rPr>
      </w:pPr>
      <w:bookmarkStart w:id="0" w:name="_Hlk119173661"/>
      <w:r w:rsidRPr="00EC3605">
        <w:rPr>
          <w:rFonts w:ascii="Cambria" w:hAnsi="Cambria"/>
          <w:b/>
          <w:sz w:val="18"/>
          <w:szCs w:val="18"/>
        </w:rPr>
        <w:t>Planes de desarrollo o pesca/ordenación para el pez espada del norte</w:t>
      </w:r>
      <w:bookmarkEnd w:id="0"/>
    </w:p>
    <w:p w14:paraId="311731F7" w14:textId="77777777" w:rsidR="00746080" w:rsidRPr="00EC3605" w:rsidRDefault="00746080" w:rsidP="00102FBE">
      <w:pPr>
        <w:autoSpaceDE w:val="0"/>
        <w:autoSpaceDN w:val="0"/>
        <w:adjustRightInd w:val="0"/>
        <w:spacing w:after="0" w:line="240" w:lineRule="auto"/>
        <w:jc w:val="center"/>
        <w:rPr>
          <w:rFonts w:ascii="Cambria" w:hAnsi="Cambria" w:cs="Times New Roman"/>
          <w:i/>
          <w:iCs/>
          <w:sz w:val="18"/>
          <w:szCs w:val="18"/>
        </w:rPr>
      </w:pPr>
    </w:p>
    <w:p w14:paraId="61E49969" w14:textId="266C8613" w:rsidR="00746080" w:rsidRPr="00EC3605" w:rsidRDefault="004E5FD3" w:rsidP="00102FBE">
      <w:pPr>
        <w:autoSpaceDE w:val="0"/>
        <w:autoSpaceDN w:val="0"/>
        <w:adjustRightInd w:val="0"/>
        <w:spacing w:after="0" w:line="240" w:lineRule="auto"/>
        <w:jc w:val="center"/>
        <w:rPr>
          <w:rFonts w:ascii="Cambria" w:hAnsi="Cambria" w:cs="Times New Roman"/>
          <w:i/>
          <w:iCs/>
          <w:sz w:val="18"/>
          <w:szCs w:val="18"/>
        </w:rPr>
      </w:pPr>
      <w:r w:rsidRPr="00EC3605">
        <w:rPr>
          <w:rFonts w:ascii="Cambria" w:hAnsi="Cambria"/>
          <w:i/>
          <w:sz w:val="18"/>
          <w:szCs w:val="18"/>
        </w:rPr>
        <w:t>(Secretaría de ICCAT)</w:t>
      </w:r>
    </w:p>
    <w:p w14:paraId="19DE3254" w14:textId="77777777" w:rsidR="00746080" w:rsidRPr="00EC3605" w:rsidRDefault="00746080" w:rsidP="00102FBE">
      <w:pPr>
        <w:autoSpaceDE w:val="0"/>
        <w:autoSpaceDN w:val="0"/>
        <w:adjustRightInd w:val="0"/>
        <w:spacing w:after="0" w:line="240" w:lineRule="auto"/>
        <w:jc w:val="center"/>
        <w:rPr>
          <w:rFonts w:ascii="Cambria" w:hAnsi="Cambria" w:cs="Times New Roman"/>
          <w:i/>
          <w:iCs/>
          <w:sz w:val="18"/>
          <w:szCs w:val="18"/>
        </w:rPr>
      </w:pPr>
    </w:p>
    <w:p w14:paraId="6A03A677" w14:textId="77777777" w:rsidR="00746080" w:rsidRPr="00EC3605" w:rsidRDefault="00746080" w:rsidP="00102FBE">
      <w:pPr>
        <w:autoSpaceDE w:val="0"/>
        <w:autoSpaceDN w:val="0"/>
        <w:adjustRightInd w:val="0"/>
        <w:spacing w:after="0" w:line="240" w:lineRule="auto"/>
        <w:jc w:val="both"/>
        <w:rPr>
          <w:rFonts w:ascii="Cambria" w:hAnsi="Cambria" w:cs="Times New Roman"/>
          <w:sz w:val="18"/>
          <w:szCs w:val="18"/>
        </w:rPr>
      </w:pPr>
    </w:p>
    <w:p w14:paraId="29161C77" w14:textId="3E01AE8B" w:rsidR="00746080" w:rsidRPr="00EC3605" w:rsidRDefault="00746080" w:rsidP="00102FBE">
      <w:pPr>
        <w:spacing w:after="0" w:line="240" w:lineRule="auto"/>
        <w:jc w:val="both"/>
        <w:rPr>
          <w:rFonts w:ascii="Cambria" w:hAnsi="Cambria" w:cs="Times New Roman"/>
          <w:sz w:val="18"/>
          <w:szCs w:val="18"/>
        </w:rPr>
      </w:pPr>
      <w:bookmarkStart w:id="1" w:name="_Hlk51245685"/>
      <w:r w:rsidRPr="00EC3605">
        <w:rPr>
          <w:rFonts w:ascii="Cambria" w:hAnsi="Cambria"/>
          <w:sz w:val="18"/>
          <w:szCs w:val="18"/>
        </w:rPr>
        <w:t>La Rec. 17-02, modificada por la Rec. 23-04 y la Rec. 24-10, indica que: “En caso de una modificación de su plan de ordenación/pesca, cada CPC presentará la versión actualizada de su plan de ordenación/pesca a la Comisión</w:t>
      </w:r>
      <w:bookmarkEnd w:id="1"/>
      <w:r w:rsidRPr="00EC3605">
        <w:rPr>
          <w:rFonts w:ascii="Cambria" w:hAnsi="Cambria"/>
          <w:sz w:val="18"/>
          <w:szCs w:val="18"/>
        </w:rPr>
        <w:t>”. La Comisión convino en que la nueva presentación de esos informes sólo sería necesaria en caso de que se produjeran cambios. Los planes recibidos en años anteriores pueden consultarse en los sitios web de documentos de las reuniones. En 2025, la Secretaría ha recibido planes actualizados de: Canadá, Costa Rica, Japón, Corea (Rep.), Liberia, México, Marruecos, Senegal, Estados Unidos y Venezuela.</w:t>
      </w:r>
    </w:p>
    <w:p w14:paraId="504ED706" w14:textId="77777777" w:rsidR="00746080" w:rsidRPr="00EC3605" w:rsidRDefault="00746080" w:rsidP="00102FBE">
      <w:pPr>
        <w:spacing w:after="0" w:line="240" w:lineRule="auto"/>
        <w:jc w:val="both"/>
        <w:rPr>
          <w:rFonts w:ascii="Cambria" w:hAnsi="Cambria" w:cs="Times New Roman"/>
          <w:sz w:val="18"/>
          <w:szCs w:val="18"/>
        </w:rPr>
      </w:pPr>
    </w:p>
    <w:p w14:paraId="7B9BDA31" w14:textId="6075E667" w:rsidR="00746080" w:rsidRPr="00EC3605" w:rsidRDefault="006677AB" w:rsidP="00102FBE">
      <w:pPr>
        <w:spacing w:after="0" w:line="240" w:lineRule="auto"/>
        <w:jc w:val="both"/>
        <w:rPr>
          <w:rFonts w:ascii="Cambria" w:hAnsi="Cambria" w:cs="Times New Roman"/>
          <w:sz w:val="18"/>
          <w:szCs w:val="18"/>
        </w:rPr>
      </w:pPr>
      <w:r w:rsidRPr="00EC3605">
        <w:rPr>
          <w:rFonts w:ascii="Cambria" w:hAnsi="Cambria"/>
          <w:sz w:val="18"/>
          <w:szCs w:val="18"/>
        </w:rPr>
        <w:t xml:space="preserve">Los planes de ordenación revisados se adjuntan a continuación, junto con el resumen ejecutivo del plan completo presentado por Canadá, que está disponible en el idioma original en el </w:t>
      </w:r>
      <w:r w:rsidRPr="00EC3605">
        <w:rPr>
          <w:rFonts w:ascii="Cambria" w:hAnsi="Cambria"/>
          <w:b/>
          <w:bCs/>
          <w:sz w:val="18"/>
          <w:szCs w:val="18"/>
        </w:rPr>
        <w:t xml:space="preserve">Anexo 1 </w:t>
      </w:r>
      <w:r w:rsidRPr="00EC3605">
        <w:rPr>
          <w:rFonts w:ascii="Cambria" w:hAnsi="Cambria"/>
          <w:sz w:val="18"/>
          <w:szCs w:val="18"/>
        </w:rPr>
        <w:t xml:space="preserve">del presente documento. </w:t>
      </w:r>
    </w:p>
    <w:p w14:paraId="250E81EA" w14:textId="0CA981F4" w:rsidR="00746080" w:rsidRPr="00EC3605" w:rsidRDefault="00746080" w:rsidP="00102FBE">
      <w:pPr>
        <w:spacing w:after="0" w:line="240" w:lineRule="auto"/>
        <w:jc w:val="both"/>
        <w:rPr>
          <w:rFonts w:ascii="Cambria" w:hAnsi="Cambria" w:cs="Times New Roman"/>
          <w:sz w:val="18"/>
          <w:szCs w:val="18"/>
        </w:rPr>
      </w:pPr>
    </w:p>
    <w:p w14:paraId="5DEB2370" w14:textId="20BB6990" w:rsidR="00746080" w:rsidRPr="00EC3605" w:rsidRDefault="00746080" w:rsidP="00102FBE">
      <w:pPr>
        <w:spacing w:after="0" w:line="240" w:lineRule="auto"/>
        <w:jc w:val="both"/>
        <w:rPr>
          <w:rFonts w:ascii="Cambria" w:hAnsi="Cambria" w:cs="Times New Roman"/>
          <w:sz w:val="18"/>
          <w:szCs w:val="18"/>
        </w:rPr>
      </w:pPr>
    </w:p>
    <w:p w14:paraId="50CD860A" w14:textId="779C0778" w:rsidR="00746080" w:rsidRPr="00EC3605" w:rsidRDefault="00746080" w:rsidP="00102FBE">
      <w:pPr>
        <w:spacing w:after="0" w:line="240" w:lineRule="auto"/>
        <w:jc w:val="both"/>
        <w:rPr>
          <w:rFonts w:ascii="Cambria" w:hAnsi="Cambria" w:cs="Times New Roman"/>
          <w:sz w:val="18"/>
          <w:szCs w:val="18"/>
        </w:rPr>
      </w:pPr>
    </w:p>
    <w:p w14:paraId="37D77EA1" w14:textId="6121C007" w:rsidR="00746080" w:rsidRPr="00EC3605" w:rsidRDefault="00746080" w:rsidP="00102FBE">
      <w:pPr>
        <w:spacing w:after="0" w:line="240" w:lineRule="auto"/>
        <w:jc w:val="both"/>
        <w:rPr>
          <w:rFonts w:ascii="Cambria" w:hAnsi="Cambria" w:cs="Times New Roman"/>
          <w:sz w:val="18"/>
          <w:szCs w:val="18"/>
        </w:rPr>
      </w:pPr>
    </w:p>
    <w:p w14:paraId="66D0A8B4" w14:textId="6DE4EB43" w:rsidR="00746080" w:rsidRPr="00EC3605" w:rsidRDefault="00746080" w:rsidP="00102FBE">
      <w:pPr>
        <w:spacing w:after="0" w:line="240" w:lineRule="auto"/>
        <w:jc w:val="both"/>
        <w:rPr>
          <w:rFonts w:ascii="Cambria" w:hAnsi="Cambria" w:cs="Times New Roman"/>
          <w:sz w:val="18"/>
          <w:szCs w:val="18"/>
        </w:rPr>
      </w:pPr>
    </w:p>
    <w:p w14:paraId="02225C6F" w14:textId="7B40C1CC" w:rsidR="00746080" w:rsidRPr="00EC3605" w:rsidRDefault="00746080" w:rsidP="00102FBE">
      <w:pPr>
        <w:spacing w:after="0" w:line="240" w:lineRule="auto"/>
        <w:jc w:val="both"/>
        <w:rPr>
          <w:rFonts w:ascii="Cambria" w:hAnsi="Cambria" w:cs="Times New Roman"/>
          <w:sz w:val="18"/>
          <w:szCs w:val="18"/>
        </w:rPr>
      </w:pPr>
    </w:p>
    <w:p w14:paraId="7E57A725" w14:textId="03B426EA" w:rsidR="00746080" w:rsidRPr="00EC3605" w:rsidRDefault="00746080" w:rsidP="00102FBE">
      <w:pPr>
        <w:spacing w:after="0" w:line="240" w:lineRule="auto"/>
        <w:jc w:val="both"/>
        <w:rPr>
          <w:rFonts w:ascii="Cambria" w:hAnsi="Cambria" w:cs="Times New Roman"/>
          <w:sz w:val="18"/>
          <w:szCs w:val="18"/>
        </w:rPr>
      </w:pPr>
    </w:p>
    <w:p w14:paraId="314584D9" w14:textId="53064841" w:rsidR="00746080" w:rsidRPr="00EC3605" w:rsidRDefault="00746080" w:rsidP="00102FBE">
      <w:pPr>
        <w:spacing w:after="0" w:line="240" w:lineRule="auto"/>
        <w:jc w:val="both"/>
        <w:rPr>
          <w:rFonts w:ascii="Cambria" w:hAnsi="Cambria" w:cs="Times New Roman"/>
          <w:sz w:val="18"/>
          <w:szCs w:val="18"/>
        </w:rPr>
      </w:pPr>
    </w:p>
    <w:p w14:paraId="330ED422" w14:textId="5AECF31E" w:rsidR="00746080" w:rsidRPr="00EC3605" w:rsidRDefault="00746080" w:rsidP="00102FBE">
      <w:pPr>
        <w:spacing w:after="0" w:line="240" w:lineRule="auto"/>
        <w:jc w:val="both"/>
        <w:rPr>
          <w:rFonts w:ascii="Cambria" w:hAnsi="Cambria" w:cs="Times New Roman"/>
          <w:sz w:val="18"/>
          <w:szCs w:val="18"/>
        </w:rPr>
      </w:pPr>
    </w:p>
    <w:p w14:paraId="4F37ACC6" w14:textId="25EC10D5" w:rsidR="00746080" w:rsidRPr="00EC3605" w:rsidRDefault="00746080" w:rsidP="00102FBE">
      <w:pPr>
        <w:spacing w:after="0" w:line="240" w:lineRule="auto"/>
        <w:jc w:val="both"/>
        <w:rPr>
          <w:rFonts w:ascii="Cambria" w:hAnsi="Cambria" w:cs="Times New Roman"/>
          <w:sz w:val="18"/>
          <w:szCs w:val="18"/>
        </w:rPr>
      </w:pPr>
    </w:p>
    <w:p w14:paraId="6C4E7A3E" w14:textId="19B48593" w:rsidR="00746080" w:rsidRPr="00EC3605" w:rsidRDefault="00746080" w:rsidP="00102FBE">
      <w:pPr>
        <w:spacing w:after="0" w:line="240" w:lineRule="auto"/>
        <w:jc w:val="both"/>
        <w:rPr>
          <w:rFonts w:ascii="Cambria" w:hAnsi="Cambria" w:cs="Times New Roman"/>
          <w:sz w:val="18"/>
          <w:szCs w:val="18"/>
        </w:rPr>
      </w:pPr>
    </w:p>
    <w:p w14:paraId="3D75255B" w14:textId="5226DC70" w:rsidR="00746080" w:rsidRPr="00EC3605" w:rsidRDefault="00746080" w:rsidP="00102FBE">
      <w:pPr>
        <w:spacing w:after="0" w:line="240" w:lineRule="auto"/>
        <w:jc w:val="both"/>
        <w:rPr>
          <w:rFonts w:ascii="Cambria" w:hAnsi="Cambria" w:cs="Times New Roman"/>
          <w:sz w:val="18"/>
          <w:szCs w:val="18"/>
        </w:rPr>
      </w:pPr>
    </w:p>
    <w:p w14:paraId="37E3A05C" w14:textId="328BC3F0" w:rsidR="00746080" w:rsidRPr="00EC3605" w:rsidRDefault="00746080" w:rsidP="00102FBE">
      <w:pPr>
        <w:spacing w:after="0" w:line="240" w:lineRule="auto"/>
        <w:jc w:val="both"/>
        <w:rPr>
          <w:rFonts w:ascii="Cambria" w:hAnsi="Cambria" w:cs="Times New Roman"/>
          <w:sz w:val="18"/>
          <w:szCs w:val="18"/>
        </w:rPr>
      </w:pPr>
    </w:p>
    <w:p w14:paraId="36E891D9" w14:textId="13300C80" w:rsidR="00746080" w:rsidRPr="00EC3605" w:rsidRDefault="00746080" w:rsidP="00102FBE">
      <w:pPr>
        <w:spacing w:after="0" w:line="240" w:lineRule="auto"/>
        <w:jc w:val="both"/>
        <w:rPr>
          <w:rFonts w:ascii="Cambria" w:hAnsi="Cambria" w:cs="Times New Roman"/>
          <w:sz w:val="18"/>
          <w:szCs w:val="18"/>
        </w:rPr>
      </w:pPr>
    </w:p>
    <w:p w14:paraId="355C35BC" w14:textId="2D863FB8" w:rsidR="00746080" w:rsidRPr="00EC3605" w:rsidRDefault="00746080" w:rsidP="00102FBE">
      <w:pPr>
        <w:spacing w:after="0" w:line="240" w:lineRule="auto"/>
        <w:jc w:val="both"/>
        <w:rPr>
          <w:rFonts w:ascii="Cambria" w:hAnsi="Cambria" w:cs="Times New Roman"/>
          <w:sz w:val="18"/>
          <w:szCs w:val="18"/>
        </w:rPr>
      </w:pPr>
    </w:p>
    <w:p w14:paraId="12474831" w14:textId="53A94B2E" w:rsidR="00746080" w:rsidRPr="00EC3605" w:rsidRDefault="00746080" w:rsidP="00102FBE">
      <w:pPr>
        <w:spacing w:after="0" w:line="240" w:lineRule="auto"/>
        <w:jc w:val="both"/>
        <w:rPr>
          <w:rFonts w:ascii="Cambria" w:hAnsi="Cambria" w:cs="Times New Roman"/>
          <w:sz w:val="18"/>
          <w:szCs w:val="18"/>
        </w:rPr>
      </w:pPr>
    </w:p>
    <w:p w14:paraId="20B5F336" w14:textId="7F402DBD" w:rsidR="00746080" w:rsidRPr="00EC3605" w:rsidRDefault="00746080" w:rsidP="00102FBE">
      <w:pPr>
        <w:spacing w:after="0" w:line="240" w:lineRule="auto"/>
        <w:jc w:val="both"/>
        <w:rPr>
          <w:rFonts w:ascii="Cambria" w:hAnsi="Cambria" w:cs="Times New Roman"/>
          <w:sz w:val="18"/>
          <w:szCs w:val="18"/>
        </w:rPr>
      </w:pPr>
    </w:p>
    <w:p w14:paraId="5C27A4AB" w14:textId="77E51B72" w:rsidR="00746080" w:rsidRPr="00EC3605" w:rsidRDefault="00746080" w:rsidP="00102FBE">
      <w:pPr>
        <w:spacing w:after="0" w:line="240" w:lineRule="auto"/>
        <w:jc w:val="both"/>
        <w:rPr>
          <w:rFonts w:ascii="Cambria" w:hAnsi="Cambria" w:cs="Times New Roman"/>
          <w:sz w:val="18"/>
          <w:szCs w:val="18"/>
        </w:rPr>
      </w:pPr>
    </w:p>
    <w:p w14:paraId="2B5AD0C3" w14:textId="5607957E" w:rsidR="00746080" w:rsidRPr="00EC3605" w:rsidRDefault="00746080" w:rsidP="00102FBE">
      <w:pPr>
        <w:spacing w:after="0" w:line="240" w:lineRule="auto"/>
        <w:jc w:val="both"/>
        <w:rPr>
          <w:rFonts w:ascii="Cambria" w:hAnsi="Cambria" w:cs="Times New Roman"/>
          <w:sz w:val="18"/>
          <w:szCs w:val="18"/>
        </w:rPr>
      </w:pPr>
    </w:p>
    <w:p w14:paraId="7BFED5A4" w14:textId="7A56F0BB" w:rsidR="00746080" w:rsidRPr="00EC3605" w:rsidRDefault="00746080" w:rsidP="00102FBE">
      <w:pPr>
        <w:spacing w:after="0" w:line="240" w:lineRule="auto"/>
        <w:jc w:val="both"/>
        <w:rPr>
          <w:rFonts w:ascii="Cambria" w:hAnsi="Cambria" w:cs="Times New Roman"/>
          <w:sz w:val="18"/>
          <w:szCs w:val="18"/>
        </w:rPr>
      </w:pPr>
    </w:p>
    <w:p w14:paraId="745E3562" w14:textId="5D32EFC1" w:rsidR="00746080" w:rsidRPr="00EC3605" w:rsidRDefault="00746080" w:rsidP="00102FBE">
      <w:pPr>
        <w:spacing w:after="0" w:line="240" w:lineRule="auto"/>
        <w:jc w:val="both"/>
        <w:rPr>
          <w:rFonts w:ascii="Cambria" w:hAnsi="Cambria" w:cs="Times New Roman"/>
          <w:sz w:val="18"/>
          <w:szCs w:val="18"/>
        </w:rPr>
      </w:pPr>
    </w:p>
    <w:p w14:paraId="0624A266" w14:textId="4676CA04" w:rsidR="00746080" w:rsidRPr="00EC3605" w:rsidRDefault="00746080" w:rsidP="00102FBE">
      <w:pPr>
        <w:spacing w:after="0" w:line="240" w:lineRule="auto"/>
        <w:jc w:val="both"/>
        <w:rPr>
          <w:rFonts w:ascii="Cambria" w:hAnsi="Cambria" w:cs="Times New Roman"/>
          <w:sz w:val="18"/>
          <w:szCs w:val="18"/>
        </w:rPr>
      </w:pPr>
    </w:p>
    <w:p w14:paraId="56B6CE2B" w14:textId="77777777" w:rsidR="004D5A8D" w:rsidRPr="00EC3605" w:rsidRDefault="004D5A8D" w:rsidP="00102FBE">
      <w:pPr>
        <w:spacing w:after="0" w:line="240" w:lineRule="auto"/>
        <w:jc w:val="both"/>
        <w:rPr>
          <w:rFonts w:ascii="Cambria" w:hAnsi="Cambria" w:cs="Times New Roman"/>
          <w:sz w:val="18"/>
          <w:szCs w:val="18"/>
        </w:rPr>
        <w:sectPr w:rsidR="004D5A8D" w:rsidRPr="00EC3605" w:rsidSect="00BC2E67">
          <w:headerReference w:type="default" r:id="rId8"/>
          <w:footerReference w:type="default" r:id="rId9"/>
          <w:pgSz w:w="11907" w:h="16840" w:code="9"/>
          <w:pgMar w:top="1418" w:right="1418" w:bottom="1418" w:left="1418" w:header="851" w:footer="1134" w:gutter="0"/>
          <w:cols w:space="720"/>
          <w:docGrid w:linePitch="360"/>
        </w:sectPr>
      </w:pPr>
    </w:p>
    <w:p w14:paraId="5630E6AD" w14:textId="2D0E51EA" w:rsidR="00746080" w:rsidRPr="00EC3605" w:rsidRDefault="00746080" w:rsidP="00102FBE">
      <w:pPr>
        <w:spacing w:after="0" w:line="240" w:lineRule="auto"/>
        <w:jc w:val="both"/>
        <w:rPr>
          <w:rFonts w:ascii="Cambria" w:hAnsi="Cambria" w:cs="Times New Roman"/>
          <w:sz w:val="18"/>
          <w:szCs w:val="18"/>
        </w:rPr>
      </w:pPr>
    </w:p>
    <w:tbl>
      <w:tblPr>
        <w:tblW w:w="14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914"/>
        <w:gridCol w:w="1026"/>
        <w:gridCol w:w="841"/>
        <w:gridCol w:w="728"/>
        <w:gridCol w:w="851"/>
        <w:gridCol w:w="992"/>
        <w:gridCol w:w="739"/>
        <w:gridCol w:w="973"/>
        <w:gridCol w:w="2966"/>
        <w:gridCol w:w="2835"/>
        <w:gridCol w:w="236"/>
      </w:tblGrid>
      <w:tr w:rsidR="00746080" w:rsidRPr="00EC3605" w14:paraId="7FC7AC8F" w14:textId="77777777" w:rsidTr="00140AA1">
        <w:trPr>
          <w:gridAfter w:val="1"/>
          <w:wAfter w:w="236" w:type="dxa"/>
          <w:tblHeader/>
        </w:trPr>
        <w:tc>
          <w:tcPr>
            <w:tcW w:w="1164" w:type="dxa"/>
            <w:vAlign w:val="center"/>
            <w:hideMark/>
          </w:tcPr>
          <w:p w14:paraId="2B0700AE" w14:textId="77777777" w:rsidR="00746080" w:rsidRPr="00EC3605" w:rsidRDefault="00746080" w:rsidP="00102FBE">
            <w:pPr>
              <w:spacing w:after="0" w:line="240" w:lineRule="auto"/>
              <w:jc w:val="center"/>
              <w:rPr>
                <w:rFonts w:ascii="Cambria" w:eastAsia="Times New Roman" w:hAnsi="Cambria" w:cs="Calibri"/>
                <w:b/>
                <w:bCs/>
                <w:i/>
                <w:iCs/>
                <w:color w:val="000000"/>
                <w:sz w:val="18"/>
                <w:szCs w:val="18"/>
              </w:rPr>
            </w:pPr>
            <w:r w:rsidRPr="00EC3605">
              <w:rPr>
                <w:rFonts w:ascii="Cambria" w:hAnsi="Cambria"/>
                <w:b/>
                <w:i/>
                <w:color w:val="000000"/>
                <w:sz w:val="18"/>
                <w:szCs w:val="18"/>
              </w:rPr>
              <w:t>CPC</w:t>
            </w:r>
          </w:p>
        </w:tc>
        <w:tc>
          <w:tcPr>
            <w:tcW w:w="914" w:type="dxa"/>
            <w:vAlign w:val="center"/>
            <w:hideMark/>
          </w:tcPr>
          <w:p w14:paraId="46B1E555" w14:textId="77777777" w:rsidR="00746080" w:rsidRPr="00622897" w:rsidRDefault="00746080" w:rsidP="00102FBE">
            <w:pPr>
              <w:spacing w:after="0" w:line="240" w:lineRule="auto"/>
              <w:jc w:val="center"/>
              <w:rPr>
                <w:rFonts w:ascii="Cambria" w:eastAsia="Times New Roman" w:hAnsi="Cambria" w:cs="Calibri"/>
                <w:b/>
                <w:bCs/>
                <w:i/>
                <w:iCs/>
                <w:color w:val="000000"/>
                <w:sz w:val="14"/>
                <w:szCs w:val="14"/>
              </w:rPr>
            </w:pPr>
            <w:r w:rsidRPr="00622897">
              <w:rPr>
                <w:rFonts w:ascii="Cambria" w:hAnsi="Cambria"/>
                <w:b/>
                <w:i/>
                <w:color w:val="000000"/>
                <w:sz w:val="14"/>
                <w:szCs w:val="14"/>
              </w:rPr>
              <w:t>Pesquería actual</w:t>
            </w:r>
          </w:p>
        </w:tc>
        <w:tc>
          <w:tcPr>
            <w:tcW w:w="1026" w:type="dxa"/>
            <w:vAlign w:val="center"/>
            <w:hideMark/>
          </w:tcPr>
          <w:p w14:paraId="31B7CAB7" w14:textId="77777777" w:rsidR="00746080" w:rsidRPr="00EC3605" w:rsidRDefault="00746080" w:rsidP="00102FBE">
            <w:pPr>
              <w:spacing w:after="0" w:line="240" w:lineRule="auto"/>
              <w:jc w:val="center"/>
              <w:rPr>
                <w:rFonts w:ascii="Cambria" w:eastAsia="Times New Roman" w:hAnsi="Cambria" w:cs="Calibri"/>
                <w:b/>
                <w:bCs/>
                <w:i/>
                <w:iCs/>
                <w:color w:val="000000"/>
                <w:sz w:val="18"/>
                <w:szCs w:val="18"/>
              </w:rPr>
            </w:pPr>
            <w:r w:rsidRPr="00EC3605">
              <w:rPr>
                <w:rFonts w:ascii="Cambria" w:hAnsi="Cambria"/>
                <w:b/>
                <w:i/>
                <w:color w:val="000000"/>
                <w:sz w:val="18"/>
                <w:szCs w:val="18"/>
              </w:rPr>
              <w:t>Cuota actual (t)</w:t>
            </w:r>
          </w:p>
        </w:tc>
        <w:tc>
          <w:tcPr>
            <w:tcW w:w="841" w:type="dxa"/>
            <w:vAlign w:val="center"/>
            <w:hideMark/>
          </w:tcPr>
          <w:p w14:paraId="72E8AA57" w14:textId="77777777" w:rsidR="00746080" w:rsidRPr="00622897" w:rsidRDefault="00746080" w:rsidP="00102FBE">
            <w:pPr>
              <w:spacing w:after="0" w:line="240" w:lineRule="auto"/>
              <w:jc w:val="center"/>
              <w:rPr>
                <w:rFonts w:ascii="Cambria" w:eastAsia="Times New Roman" w:hAnsi="Cambria" w:cs="Calibri"/>
                <w:b/>
                <w:bCs/>
                <w:i/>
                <w:iCs/>
                <w:color w:val="000000"/>
                <w:sz w:val="16"/>
                <w:szCs w:val="16"/>
              </w:rPr>
            </w:pPr>
            <w:r w:rsidRPr="00622897">
              <w:rPr>
                <w:rFonts w:ascii="Cambria" w:hAnsi="Cambria"/>
                <w:b/>
                <w:i/>
                <w:color w:val="000000"/>
                <w:sz w:val="16"/>
                <w:szCs w:val="16"/>
              </w:rPr>
              <w:t>Número de buques</w:t>
            </w:r>
          </w:p>
        </w:tc>
        <w:tc>
          <w:tcPr>
            <w:tcW w:w="728" w:type="dxa"/>
            <w:vAlign w:val="center"/>
            <w:hideMark/>
          </w:tcPr>
          <w:p w14:paraId="62DBBFF8" w14:textId="77777777" w:rsidR="00746080" w:rsidRPr="00EC3605" w:rsidRDefault="00746080" w:rsidP="00102FBE">
            <w:pPr>
              <w:spacing w:after="0" w:line="240" w:lineRule="auto"/>
              <w:jc w:val="center"/>
              <w:rPr>
                <w:rFonts w:ascii="Cambria" w:eastAsia="Times New Roman" w:hAnsi="Cambria" w:cs="Calibri"/>
                <w:b/>
                <w:bCs/>
                <w:i/>
                <w:iCs/>
                <w:color w:val="000000"/>
                <w:sz w:val="18"/>
                <w:szCs w:val="18"/>
              </w:rPr>
            </w:pPr>
            <w:r w:rsidRPr="00EC3605">
              <w:rPr>
                <w:rFonts w:ascii="Cambria" w:hAnsi="Cambria"/>
                <w:b/>
                <w:i/>
                <w:color w:val="000000"/>
                <w:sz w:val="18"/>
                <w:szCs w:val="18"/>
              </w:rPr>
              <w:t>Arte</w:t>
            </w:r>
          </w:p>
        </w:tc>
        <w:tc>
          <w:tcPr>
            <w:tcW w:w="851" w:type="dxa"/>
            <w:vAlign w:val="center"/>
            <w:hideMark/>
          </w:tcPr>
          <w:p w14:paraId="23606A62" w14:textId="2ECD1A77" w:rsidR="00746080" w:rsidRPr="00EC3605" w:rsidRDefault="00746080" w:rsidP="00102FBE">
            <w:pPr>
              <w:spacing w:after="0" w:line="240" w:lineRule="auto"/>
              <w:jc w:val="center"/>
              <w:rPr>
                <w:rFonts w:ascii="Cambria" w:eastAsia="Times New Roman" w:hAnsi="Cambria" w:cs="Calibri"/>
                <w:b/>
                <w:bCs/>
                <w:i/>
                <w:iCs/>
                <w:color w:val="000000"/>
                <w:sz w:val="18"/>
                <w:szCs w:val="18"/>
              </w:rPr>
            </w:pPr>
            <w:r w:rsidRPr="00EC3605">
              <w:rPr>
                <w:rFonts w:ascii="Cambria" w:hAnsi="Cambria"/>
                <w:b/>
                <w:i/>
                <w:color w:val="000000"/>
                <w:sz w:val="18"/>
                <w:szCs w:val="18"/>
              </w:rPr>
              <w:t>Capacidad actual (t)</w:t>
            </w:r>
          </w:p>
        </w:tc>
        <w:tc>
          <w:tcPr>
            <w:tcW w:w="992" w:type="dxa"/>
            <w:vAlign w:val="center"/>
            <w:hideMark/>
          </w:tcPr>
          <w:p w14:paraId="44DDEA8C" w14:textId="77777777" w:rsidR="00746080" w:rsidRPr="00EC3605" w:rsidRDefault="00746080" w:rsidP="00102FBE">
            <w:pPr>
              <w:spacing w:after="0" w:line="240" w:lineRule="auto"/>
              <w:jc w:val="center"/>
              <w:rPr>
                <w:rFonts w:ascii="Cambria" w:eastAsia="Times New Roman" w:hAnsi="Cambria" w:cs="Calibri"/>
                <w:b/>
                <w:bCs/>
                <w:i/>
                <w:iCs/>
                <w:color w:val="000000"/>
                <w:sz w:val="18"/>
                <w:szCs w:val="18"/>
              </w:rPr>
            </w:pPr>
            <w:r w:rsidRPr="00EC3605">
              <w:rPr>
                <w:rFonts w:ascii="Cambria" w:hAnsi="Cambria"/>
                <w:b/>
                <w:i/>
                <w:color w:val="000000"/>
                <w:sz w:val="18"/>
                <w:szCs w:val="18"/>
              </w:rPr>
              <w:t>Número de buques previsto</w:t>
            </w:r>
          </w:p>
        </w:tc>
        <w:tc>
          <w:tcPr>
            <w:tcW w:w="739" w:type="dxa"/>
            <w:vAlign w:val="center"/>
            <w:hideMark/>
          </w:tcPr>
          <w:p w14:paraId="107BD880" w14:textId="77777777" w:rsidR="00746080" w:rsidRPr="00EC3605" w:rsidRDefault="00746080" w:rsidP="00102FBE">
            <w:pPr>
              <w:spacing w:after="0" w:line="240" w:lineRule="auto"/>
              <w:jc w:val="center"/>
              <w:rPr>
                <w:rFonts w:ascii="Cambria" w:eastAsia="Times New Roman" w:hAnsi="Cambria" w:cs="Calibri"/>
                <w:b/>
                <w:bCs/>
                <w:i/>
                <w:iCs/>
                <w:color w:val="000000"/>
                <w:sz w:val="18"/>
                <w:szCs w:val="18"/>
              </w:rPr>
            </w:pPr>
            <w:r w:rsidRPr="00EC3605">
              <w:rPr>
                <w:rFonts w:ascii="Cambria" w:hAnsi="Cambria"/>
                <w:b/>
                <w:i/>
                <w:color w:val="000000"/>
                <w:sz w:val="18"/>
                <w:szCs w:val="18"/>
              </w:rPr>
              <w:t>Arte</w:t>
            </w:r>
          </w:p>
        </w:tc>
        <w:tc>
          <w:tcPr>
            <w:tcW w:w="973" w:type="dxa"/>
            <w:vAlign w:val="center"/>
            <w:hideMark/>
          </w:tcPr>
          <w:p w14:paraId="7A2D5F98" w14:textId="46A98EDE" w:rsidR="00746080" w:rsidRPr="00622897" w:rsidRDefault="00746080" w:rsidP="00102FBE">
            <w:pPr>
              <w:spacing w:after="0" w:line="240" w:lineRule="auto"/>
              <w:jc w:val="center"/>
              <w:rPr>
                <w:rFonts w:ascii="Cambria" w:eastAsia="Times New Roman" w:hAnsi="Cambria" w:cs="Calibri"/>
                <w:b/>
                <w:bCs/>
                <w:i/>
                <w:iCs/>
                <w:color w:val="000000"/>
                <w:sz w:val="16"/>
                <w:szCs w:val="16"/>
              </w:rPr>
            </w:pPr>
            <w:r w:rsidRPr="00622897">
              <w:rPr>
                <w:rFonts w:ascii="Cambria" w:hAnsi="Cambria"/>
                <w:b/>
                <w:i/>
                <w:color w:val="000000"/>
                <w:sz w:val="16"/>
                <w:szCs w:val="16"/>
              </w:rPr>
              <w:t>Capacidad prevista (t)</w:t>
            </w:r>
          </w:p>
        </w:tc>
        <w:tc>
          <w:tcPr>
            <w:tcW w:w="2966" w:type="dxa"/>
            <w:vAlign w:val="center"/>
            <w:hideMark/>
          </w:tcPr>
          <w:p w14:paraId="39B933CB" w14:textId="77777777" w:rsidR="00746080" w:rsidRPr="00EC3605" w:rsidRDefault="00746080" w:rsidP="00102FBE">
            <w:pPr>
              <w:spacing w:after="0" w:line="240" w:lineRule="auto"/>
              <w:jc w:val="center"/>
              <w:rPr>
                <w:rFonts w:ascii="Cambria" w:eastAsia="Times New Roman" w:hAnsi="Cambria" w:cs="Calibri"/>
                <w:b/>
                <w:bCs/>
                <w:i/>
                <w:iCs/>
                <w:color w:val="000000"/>
                <w:sz w:val="18"/>
                <w:szCs w:val="18"/>
              </w:rPr>
            </w:pPr>
            <w:r w:rsidRPr="00EC3605">
              <w:rPr>
                <w:rFonts w:ascii="Cambria" w:hAnsi="Cambria"/>
                <w:b/>
                <w:i/>
                <w:color w:val="000000"/>
                <w:sz w:val="18"/>
                <w:szCs w:val="18"/>
              </w:rPr>
              <w:t>Medidas de ordenación actuales</w:t>
            </w:r>
          </w:p>
        </w:tc>
        <w:tc>
          <w:tcPr>
            <w:tcW w:w="2835" w:type="dxa"/>
            <w:vAlign w:val="center"/>
            <w:hideMark/>
          </w:tcPr>
          <w:p w14:paraId="1104CA0A" w14:textId="77777777" w:rsidR="00746080" w:rsidRPr="00EC3605" w:rsidRDefault="00746080" w:rsidP="00102FBE">
            <w:pPr>
              <w:spacing w:after="0" w:line="240" w:lineRule="auto"/>
              <w:jc w:val="center"/>
              <w:rPr>
                <w:rFonts w:ascii="Cambria" w:eastAsia="Times New Roman" w:hAnsi="Cambria" w:cs="Calibri"/>
                <w:b/>
                <w:bCs/>
                <w:i/>
                <w:iCs/>
                <w:color w:val="000000"/>
                <w:sz w:val="18"/>
                <w:szCs w:val="18"/>
              </w:rPr>
            </w:pPr>
            <w:r w:rsidRPr="00EC3605">
              <w:rPr>
                <w:rFonts w:ascii="Cambria" w:hAnsi="Cambria"/>
                <w:b/>
                <w:i/>
                <w:color w:val="000000"/>
                <w:sz w:val="18"/>
                <w:szCs w:val="18"/>
              </w:rPr>
              <w:t>Medidas futuras previstas</w:t>
            </w:r>
          </w:p>
        </w:tc>
      </w:tr>
      <w:tr w:rsidR="00746080" w:rsidRPr="00EC3605" w14:paraId="477353F2" w14:textId="77777777" w:rsidTr="00140AA1">
        <w:trPr>
          <w:gridAfter w:val="1"/>
          <w:wAfter w:w="236" w:type="dxa"/>
        </w:trPr>
        <w:tc>
          <w:tcPr>
            <w:tcW w:w="1164" w:type="dxa"/>
            <w:vAlign w:val="center"/>
            <w:hideMark/>
          </w:tcPr>
          <w:p w14:paraId="2A33DC5E" w14:textId="77777777" w:rsidR="00746080" w:rsidRPr="00EC3605" w:rsidRDefault="00746080" w:rsidP="00102FBE">
            <w:pPr>
              <w:spacing w:after="0" w:line="240" w:lineRule="auto"/>
              <w:jc w:val="center"/>
              <w:rPr>
                <w:rFonts w:ascii="Cambria" w:eastAsia="Times New Roman" w:hAnsi="Cambria" w:cs="Calibri"/>
                <w:b/>
                <w:bCs/>
                <w:color w:val="000000"/>
                <w:sz w:val="18"/>
                <w:szCs w:val="18"/>
              </w:rPr>
            </w:pPr>
            <w:r w:rsidRPr="00EC3605">
              <w:rPr>
                <w:rFonts w:ascii="Cambria" w:hAnsi="Cambria"/>
                <w:b/>
                <w:color w:val="000000"/>
                <w:sz w:val="18"/>
                <w:szCs w:val="18"/>
              </w:rPr>
              <w:t>Canadá</w:t>
            </w:r>
          </w:p>
        </w:tc>
        <w:tc>
          <w:tcPr>
            <w:tcW w:w="914" w:type="dxa"/>
            <w:vAlign w:val="center"/>
            <w:hideMark/>
          </w:tcPr>
          <w:p w14:paraId="2299C3B6" w14:textId="77777777" w:rsidR="00746080" w:rsidRPr="00EC3605" w:rsidRDefault="00746080"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Sí</w:t>
            </w:r>
          </w:p>
        </w:tc>
        <w:tc>
          <w:tcPr>
            <w:tcW w:w="1026" w:type="dxa"/>
            <w:vAlign w:val="center"/>
            <w:hideMark/>
          </w:tcPr>
          <w:p w14:paraId="7FF5F47B" w14:textId="62AF5A74" w:rsidR="00746080" w:rsidRPr="00EC3605" w:rsidRDefault="00746080"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1.348</w:t>
            </w:r>
          </w:p>
        </w:tc>
        <w:tc>
          <w:tcPr>
            <w:tcW w:w="841" w:type="dxa"/>
            <w:vAlign w:val="center"/>
            <w:hideMark/>
          </w:tcPr>
          <w:p w14:paraId="45DD76CA" w14:textId="77777777" w:rsidR="00746080" w:rsidRPr="00EC3605" w:rsidRDefault="00746080"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77</w:t>
            </w:r>
          </w:p>
          <w:p w14:paraId="19B10AF2" w14:textId="7DCB5B63" w:rsidR="00D4105A" w:rsidRPr="00EC3605" w:rsidRDefault="00D4105A"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1200</w:t>
            </w:r>
          </w:p>
        </w:tc>
        <w:tc>
          <w:tcPr>
            <w:tcW w:w="728" w:type="dxa"/>
            <w:vAlign w:val="center"/>
            <w:hideMark/>
          </w:tcPr>
          <w:p w14:paraId="5ECB1707" w14:textId="77777777" w:rsidR="00746080" w:rsidRPr="00EC3605" w:rsidRDefault="00746080"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LL</w:t>
            </w:r>
          </w:p>
          <w:p w14:paraId="37FDADEC" w14:textId="6C4DCE75" w:rsidR="00D4105A" w:rsidRPr="00EC3605" w:rsidRDefault="00D4105A"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HARP</w:t>
            </w:r>
          </w:p>
        </w:tc>
        <w:tc>
          <w:tcPr>
            <w:tcW w:w="851" w:type="dxa"/>
            <w:vAlign w:val="center"/>
            <w:hideMark/>
          </w:tcPr>
          <w:p w14:paraId="1A05FF91" w14:textId="2FBB5364" w:rsidR="00746080" w:rsidRPr="00EC3605" w:rsidRDefault="00746080" w:rsidP="00102FBE">
            <w:pPr>
              <w:spacing w:after="0" w:line="240" w:lineRule="auto"/>
              <w:jc w:val="center"/>
              <w:rPr>
                <w:rFonts w:ascii="Cambria" w:eastAsia="Times New Roman" w:hAnsi="Cambria" w:cs="Calibri"/>
                <w:color w:val="000000"/>
                <w:sz w:val="18"/>
                <w:szCs w:val="18"/>
              </w:rPr>
            </w:pPr>
          </w:p>
        </w:tc>
        <w:tc>
          <w:tcPr>
            <w:tcW w:w="992" w:type="dxa"/>
            <w:vAlign w:val="center"/>
            <w:hideMark/>
          </w:tcPr>
          <w:p w14:paraId="1F20CA58" w14:textId="77777777" w:rsidR="00746080" w:rsidRPr="00EC3605" w:rsidRDefault="00746080"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77</w:t>
            </w:r>
          </w:p>
          <w:p w14:paraId="732A266E" w14:textId="47FF4E36" w:rsidR="00D4105A" w:rsidRPr="00EC3605" w:rsidRDefault="00D4105A"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1200</w:t>
            </w:r>
          </w:p>
        </w:tc>
        <w:tc>
          <w:tcPr>
            <w:tcW w:w="739" w:type="dxa"/>
            <w:vAlign w:val="center"/>
            <w:hideMark/>
          </w:tcPr>
          <w:p w14:paraId="7EA71A01" w14:textId="77777777" w:rsidR="00746080" w:rsidRPr="00EC3605" w:rsidRDefault="00746080"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LL</w:t>
            </w:r>
          </w:p>
          <w:p w14:paraId="3311321D" w14:textId="6B9D9258" w:rsidR="00D4105A" w:rsidRPr="00EC3605" w:rsidRDefault="00D4105A"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HARP</w:t>
            </w:r>
          </w:p>
        </w:tc>
        <w:tc>
          <w:tcPr>
            <w:tcW w:w="973" w:type="dxa"/>
            <w:vAlign w:val="center"/>
            <w:hideMark/>
          </w:tcPr>
          <w:p w14:paraId="35BC4898" w14:textId="32382A4B" w:rsidR="00746080" w:rsidRPr="00EC3605" w:rsidRDefault="00746080" w:rsidP="00102FBE">
            <w:pPr>
              <w:spacing w:after="0" w:line="240" w:lineRule="auto"/>
              <w:jc w:val="center"/>
              <w:rPr>
                <w:rFonts w:ascii="Cambria" w:eastAsia="Times New Roman" w:hAnsi="Cambria" w:cs="Calibri"/>
                <w:b/>
                <w:bCs/>
                <w:color w:val="000000"/>
                <w:sz w:val="18"/>
                <w:szCs w:val="18"/>
              </w:rPr>
            </w:pPr>
          </w:p>
        </w:tc>
        <w:tc>
          <w:tcPr>
            <w:tcW w:w="2966" w:type="dxa"/>
            <w:noWrap/>
            <w:hideMark/>
          </w:tcPr>
          <w:p w14:paraId="0E55D6AF" w14:textId="77777777" w:rsidR="00757FB4" w:rsidRPr="00EC3605" w:rsidRDefault="00757FB4" w:rsidP="00102FBE">
            <w:pPr>
              <w:spacing w:after="0" w:line="240" w:lineRule="auto"/>
              <w:jc w:val="both"/>
              <w:rPr>
                <w:rFonts w:ascii="Cambria" w:eastAsia="Times New Roman" w:hAnsi="Cambria" w:cs="Calibri"/>
                <w:color w:val="000000"/>
                <w:sz w:val="18"/>
                <w:szCs w:val="18"/>
              </w:rPr>
            </w:pPr>
            <w:r w:rsidRPr="00EC3605">
              <w:rPr>
                <w:rFonts w:ascii="Cambria" w:hAnsi="Cambria"/>
                <w:color w:val="000000"/>
                <w:sz w:val="18"/>
                <w:szCs w:val="18"/>
              </w:rPr>
              <w:t>Limitaciones en el número de licencias</w:t>
            </w:r>
          </w:p>
          <w:p w14:paraId="0E19BFCF" w14:textId="53279991" w:rsidR="00757FB4" w:rsidRPr="00EC3605" w:rsidRDefault="00757FB4" w:rsidP="00102FBE">
            <w:pPr>
              <w:spacing w:after="0" w:line="240" w:lineRule="auto"/>
              <w:jc w:val="both"/>
              <w:rPr>
                <w:rFonts w:ascii="Cambria" w:eastAsia="Times New Roman" w:hAnsi="Cambria" w:cs="Calibri"/>
                <w:color w:val="000000"/>
                <w:sz w:val="18"/>
                <w:szCs w:val="18"/>
              </w:rPr>
            </w:pPr>
            <w:r w:rsidRPr="00EC3605">
              <w:rPr>
                <w:rFonts w:ascii="Cambria" w:hAnsi="Cambria"/>
                <w:color w:val="000000"/>
                <w:sz w:val="18"/>
                <w:szCs w:val="18"/>
              </w:rPr>
              <w:t xml:space="preserve">Desde 1992, la entrada en la pesquería de pez espada, independientemente del sector de la flota, está limitada a las licencias en vigor. Las licencias se han fijado en este número, pero pueden ser reexpedidas, </w:t>
            </w:r>
            <w:r w:rsidR="006A3F8E">
              <w:rPr>
                <w:rFonts w:ascii="Cambria" w:hAnsi="Cambria"/>
                <w:color w:val="000000"/>
                <w:sz w:val="18"/>
                <w:szCs w:val="18"/>
              </w:rPr>
              <w:t>con</w:t>
            </w:r>
            <w:r w:rsidRPr="00EC3605">
              <w:rPr>
                <w:rFonts w:ascii="Cambria" w:hAnsi="Cambria"/>
                <w:color w:val="000000"/>
                <w:sz w:val="18"/>
                <w:szCs w:val="18"/>
              </w:rPr>
              <w:t xml:space="preserve"> de ciertas restricciones de política, de un pescador a otro.</w:t>
            </w:r>
          </w:p>
          <w:p w14:paraId="0CE01F93" w14:textId="77777777" w:rsidR="00757FB4" w:rsidRPr="00EC3605" w:rsidRDefault="00757FB4" w:rsidP="00102FBE">
            <w:pPr>
              <w:spacing w:after="0" w:line="240" w:lineRule="auto"/>
              <w:jc w:val="both"/>
              <w:rPr>
                <w:rFonts w:ascii="Cambria" w:eastAsia="Times New Roman" w:hAnsi="Cambria" w:cs="Calibri"/>
                <w:color w:val="000000"/>
                <w:sz w:val="18"/>
                <w:szCs w:val="18"/>
              </w:rPr>
            </w:pPr>
          </w:p>
          <w:p w14:paraId="0D2806CC" w14:textId="0DF6B101" w:rsidR="00757FB4" w:rsidRPr="00EC3605" w:rsidRDefault="00510C48" w:rsidP="00102FBE">
            <w:pPr>
              <w:spacing w:after="0" w:line="240" w:lineRule="auto"/>
              <w:jc w:val="both"/>
              <w:rPr>
                <w:rFonts w:ascii="Cambria" w:eastAsia="Times New Roman" w:hAnsi="Cambria" w:cs="Calibri"/>
                <w:color w:val="000000"/>
                <w:sz w:val="18"/>
                <w:szCs w:val="18"/>
              </w:rPr>
            </w:pPr>
            <w:r w:rsidRPr="00EC3605">
              <w:rPr>
                <w:rFonts w:ascii="Cambria" w:hAnsi="Cambria"/>
                <w:color w:val="000000"/>
                <w:sz w:val="18"/>
                <w:szCs w:val="18"/>
              </w:rPr>
              <w:t>Seguimiento, control y vigilancia rigurosos de la pesca</w:t>
            </w:r>
          </w:p>
          <w:p w14:paraId="53998305" w14:textId="77777777" w:rsidR="00757FB4" w:rsidRPr="00EC3605" w:rsidRDefault="00757FB4" w:rsidP="00102FBE">
            <w:pPr>
              <w:spacing w:after="0" w:line="240" w:lineRule="auto"/>
              <w:jc w:val="both"/>
              <w:rPr>
                <w:rFonts w:ascii="Cambria" w:eastAsia="Times New Roman" w:hAnsi="Cambria" w:cs="Calibri"/>
                <w:color w:val="000000"/>
                <w:sz w:val="18"/>
                <w:szCs w:val="18"/>
              </w:rPr>
            </w:pPr>
            <w:r w:rsidRPr="00EC3605">
              <w:rPr>
                <w:rFonts w:ascii="Cambria" w:hAnsi="Cambria"/>
                <w:color w:val="000000"/>
                <w:sz w:val="18"/>
                <w:szCs w:val="18"/>
              </w:rPr>
              <w:t>Canadá adopta un exhaustivo enfoque de la ejecución de la normativa que incluye sofisticados sistemas de seguimiento de buques en todos los palangreros, vigilancia aérea, seguimiento a pie de muelle y observadores en el mar.</w:t>
            </w:r>
          </w:p>
          <w:p w14:paraId="43443886" w14:textId="77777777" w:rsidR="00757FB4" w:rsidRPr="00EC3605" w:rsidRDefault="00757FB4" w:rsidP="00102FBE">
            <w:pPr>
              <w:spacing w:after="0" w:line="240" w:lineRule="auto"/>
              <w:jc w:val="both"/>
              <w:rPr>
                <w:rFonts w:ascii="Cambria" w:eastAsia="Times New Roman" w:hAnsi="Cambria" w:cs="Calibri"/>
                <w:color w:val="000000"/>
                <w:sz w:val="18"/>
                <w:szCs w:val="18"/>
              </w:rPr>
            </w:pPr>
          </w:p>
          <w:p w14:paraId="2B394120" w14:textId="77777777" w:rsidR="00757FB4" w:rsidRPr="00EC3605" w:rsidRDefault="00757FB4" w:rsidP="00102FBE">
            <w:pPr>
              <w:spacing w:after="0" w:line="240" w:lineRule="auto"/>
              <w:jc w:val="both"/>
              <w:rPr>
                <w:rFonts w:ascii="Cambria" w:eastAsia="Times New Roman" w:hAnsi="Cambria" w:cs="Calibri"/>
                <w:color w:val="000000"/>
                <w:sz w:val="18"/>
                <w:szCs w:val="18"/>
              </w:rPr>
            </w:pPr>
            <w:r w:rsidRPr="00EC3605">
              <w:rPr>
                <w:rFonts w:ascii="Cambria" w:hAnsi="Cambria"/>
                <w:color w:val="000000"/>
                <w:sz w:val="18"/>
                <w:szCs w:val="18"/>
              </w:rPr>
              <w:t>Sólido marco legislativo y normativo</w:t>
            </w:r>
          </w:p>
          <w:p w14:paraId="4E84374D" w14:textId="66D502BF" w:rsidR="00757FB4" w:rsidRPr="00EC3605" w:rsidRDefault="00757FB4" w:rsidP="00102FBE">
            <w:pPr>
              <w:spacing w:after="0" w:line="240" w:lineRule="auto"/>
              <w:jc w:val="both"/>
              <w:rPr>
                <w:rFonts w:ascii="Cambria" w:eastAsia="Times New Roman" w:hAnsi="Cambria" w:cs="Calibri"/>
                <w:color w:val="000000"/>
                <w:sz w:val="18"/>
                <w:szCs w:val="18"/>
              </w:rPr>
            </w:pPr>
            <w:r w:rsidRPr="00EC3605">
              <w:rPr>
                <w:rFonts w:ascii="Cambria" w:hAnsi="Cambria"/>
                <w:color w:val="000000"/>
                <w:sz w:val="18"/>
                <w:szCs w:val="18"/>
              </w:rPr>
              <w:t xml:space="preserve">Además de los requisitos para que las flotas presenten anualmente un Plan de conservación de capturas específico para el pez espada y otras flotas atuneras y el Plan de ordenación pesquera totalmente integrado, la pesquería canadiense de pez espada se rige por un conjunto de leyes, </w:t>
            </w:r>
            <w:r w:rsidR="00883272">
              <w:rPr>
                <w:rFonts w:ascii="Cambria" w:hAnsi="Cambria"/>
                <w:color w:val="000000"/>
                <w:sz w:val="18"/>
                <w:szCs w:val="18"/>
              </w:rPr>
              <w:t>normas</w:t>
            </w:r>
            <w:r w:rsidRPr="00EC3605">
              <w:rPr>
                <w:rFonts w:ascii="Cambria" w:hAnsi="Cambria"/>
                <w:color w:val="000000"/>
                <w:sz w:val="18"/>
                <w:szCs w:val="18"/>
              </w:rPr>
              <w:t xml:space="preserve"> y reglamentos.</w:t>
            </w:r>
          </w:p>
          <w:p w14:paraId="414A542C" w14:textId="77777777" w:rsidR="00757FB4" w:rsidRPr="00EC3605" w:rsidRDefault="00757FB4" w:rsidP="00102FBE">
            <w:pPr>
              <w:spacing w:after="0" w:line="240" w:lineRule="auto"/>
              <w:jc w:val="both"/>
              <w:rPr>
                <w:rFonts w:ascii="Cambria" w:eastAsia="Times New Roman" w:hAnsi="Cambria" w:cs="Calibri"/>
                <w:color w:val="000000"/>
                <w:sz w:val="18"/>
                <w:szCs w:val="18"/>
              </w:rPr>
            </w:pPr>
          </w:p>
          <w:p w14:paraId="5B8BF599" w14:textId="48304476" w:rsidR="00757FB4" w:rsidRPr="00EC3605"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18"/>
                <w:szCs w:val="18"/>
              </w:rPr>
            </w:pPr>
            <w:r w:rsidRPr="00EC3605">
              <w:rPr>
                <w:rFonts w:ascii="Cambria" w:hAnsi="Cambria"/>
                <w:color w:val="000000"/>
                <w:sz w:val="18"/>
                <w:szCs w:val="18"/>
              </w:rPr>
              <w:t>Comisión Internacional para la Conservación del Atún Atlántico (ICCAT).</w:t>
            </w:r>
          </w:p>
          <w:p w14:paraId="2359D1B7" w14:textId="7EBF3D14" w:rsidR="00757FB4" w:rsidRPr="00EC3605"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18"/>
                <w:szCs w:val="18"/>
              </w:rPr>
            </w:pPr>
            <w:r w:rsidRPr="00EC3605">
              <w:rPr>
                <w:rFonts w:ascii="Cambria" w:hAnsi="Cambria"/>
                <w:color w:val="000000"/>
                <w:sz w:val="18"/>
                <w:szCs w:val="18"/>
              </w:rPr>
              <w:t>Ley de pesca , 1985.</w:t>
            </w:r>
          </w:p>
          <w:p w14:paraId="47CF18DF" w14:textId="09971CC8" w:rsidR="00757FB4" w:rsidRPr="00EC3605"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18"/>
                <w:szCs w:val="18"/>
              </w:rPr>
            </w:pPr>
            <w:r w:rsidRPr="00EC3605">
              <w:rPr>
                <w:rFonts w:ascii="Cambria" w:hAnsi="Cambria"/>
                <w:color w:val="000000"/>
                <w:sz w:val="18"/>
                <w:szCs w:val="18"/>
              </w:rPr>
              <w:lastRenderedPageBreak/>
              <w:t>Reglamento de Pesca del Atlántico (AFR), 1985.</w:t>
            </w:r>
          </w:p>
          <w:p w14:paraId="6EF9F01C" w14:textId="41A075DE" w:rsidR="00757FB4" w:rsidRPr="00EC3605"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18"/>
                <w:szCs w:val="18"/>
              </w:rPr>
            </w:pPr>
            <w:r w:rsidRPr="00EC3605">
              <w:rPr>
                <w:rFonts w:ascii="Cambria" w:hAnsi="Cambria"/>
                <w:color w:val="000000"/>
                <w:sz w:val="18"/>
                <w:szCs w:val="18"/>
              </w:rPr>
              <w:t xml:space="preserve">Reglamento de pesca </w:t>
            </w:r>
            <w:r w:rsidR="000E36E1">
              <w:rPr>
                <w:rFonts w:ascii="Cambria" w:hAnsi="Cambria"/>
                <w:color w:val="000000"/>
                <w:sz w:val="18"/>
                <w:szCs w:val="18"/>
              </w:rPr>
              <w:t>general</w:t>
            </w:r>
            <w:r w:rsidRPr="00EC3605">
              <w:rPr>
                <w:rFonts w:ascii="Cambria" w:hAnsi="Cambria"/>
                <w:color w:val="000000"/>
                <w:sz w:val="18"/>
                <w:szCs w:val="18"/>
              </w:rPr>
              <w:t xml:space="preserve"> de 1993.</w:t>
            </w:r>
          </w:p>
          <w:p w14:paraId="057D5EDB" w14:textId="4D064405" w:rsidR="00757FB4" w:rsidRPr="00EC3605"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18"/>
                <w:szCs w:val="18"/>
              </w:rPr>
            </w:pPr>
            <w:r w:rsidRPr="00EC3605">
              <w:rPr>
                <w:rFonts w:ascii="Cambria" w:hAnsi="Cambria"/>
                <w:color w:val="000000"/>
                <w:sz w:val="18"/>
                <w:szCs w:val="18"/>
              </w:rPr>
              <w:t>Ley de los océanos, 1996.</w:t>
            </w:r>
          </w:p>
          <w:p w14:paraId="35ACB4A0" w14:textId="046C5035" w:rsidR="00757FB4" w:rsidRPr="00EC3605"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18"/>
                <w:szCs w:val="18"/>
              </w:rPr>
            </w:pPr>
            <w:r w:rsidRPr="00EC3605">
              <w:rPr>
                <w:rFonts w:ascii="Cambria" w:hAnsi="Cambria"/>
                <w:color w:val="000000"/>
                <w:sz w:val="18"/>
                <w:szCs w:val="18"/>
              </w:rPr>
              <w:t>Ley de especies en peligro, 2002.</w:t>
            </w:r>
          </w:p>
          <w:p w14:paraId="3D9A3963" w14:textId="4A4DB34E" w:rsidR="00757FB4" w:rsidRPr="00EC3605"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18"/>
                <w:szCs w:val="18"/>
              </w:rPr>
            </w:pPr>
            <w:r w:rsidRPr="00EC3605">
              <w:rPr>
                <w:rFonts w:ascii="Cambria" w:hAnsi="Cambria"/>
                <w:color w:val="000000"/>
                <w:sz w:val="18"/>
                <w:szCs w:val="18"/>
              </w:rPr>
              <w:t>Plan de Acción Internacional (IPOA) y Plan de Acción Nacional (NPOA) de Canadá para reducir la captura incidental de aves marinas en la pesca con palangre.</w:t>
            </w:r>
          </w:p>
          <w:p w14:paraId="60986DF2" w14:textId="21E49E11" w:rsidR="00757FB4" w:rsidRPr="00EC3605"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18"/>
                <w:szCs w:val="18"/>
              </w:rPr>
            </w:pPr>
            <w:r w:rsidRPr="00EC3605">
              <w:rPr>
                <w:rFonts w:ascii="Cambria" w:hAnsi="Cambria"/>
                <w:color w:val="000000"/>
                <w:sz w:val="18"/>
                <w:szCs w:val="18"/>
              </w:rPr>
              <w:t>IPOA para la conservación de los tiburones.</w:t>
            </w:r>
          </w:p>
          <w:p w14:paraId="52BEB4BB" w14:textId="5A90A6C6" w:rsidR="00757FB4" w:rsidRPr="00EC3605"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18"/>
                <w:szCs w:val="18"/>
              </w:rPr>
            </w:pPr>
            <w:r w:rsidRPr="00EC3605">
              <w:rPr>
                <w:rFonts w:ascii="Cambria" w:hAnsi="Cambria"/>
                <w:color w:val="000000"/>
                <w:sz w:val="18"/>
                <w:szCs w:val="18"/>
              </w:rPr>
              <w:t>Ley de protección de la pesca costera, 1985.</w:t>
            </w:r>
          </w:p>
          <w:p w14:paraId="79283F46" w14:textId="7A5AE766" w:rsidR="00757FB4" w:rsidRPr="00EC3605"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18"/>
                <w:szCs w:val="18"/>
              </w:rPr>
            </w:pPr>
            <w:r w:rsidRPr="00EC3605">
              <w:rPr>
                <w:rFonts w:ascii="Cambria" w:hAnsi="Cambria"/>
                <w:color w:val="000000"/>
                <w:sz w:val="18"/>
                <w:szCs w:val="18"/>
              </w:rPr>
              <w:t>Ley del departamento de pesca y océanos, 1985.</w:t>
            </w:r>
          </w:p>
          <w:p w14:paraId="18105C5D" w14:textId="0C6C1C5C" w:rsidR="00757FB4" w:rsidRPr="00EC3605"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18"/>
                <w:szCs w:val="18"/>
              </w:rPr>
            </w:pPr>
            <w:r w:rsidRPr="00EC3605">
              <w:rPr>
                <w:rFonts w:ascii="Cambria" w:hAnsi="Cambria"/>
                <w:color w:val="000000"/>
                <w:sz w:val="18"/>
                <w:szCs w:val="18"/>
              </w:rPr>
              <w:t>Ley de reestructuración de la pesca atlántica, 1985.</w:t>
            </w:r>
          </w:p>
          <w:p w14:paraId="46B4200B" w14:textId="2A88A2E8" w:rsidR="00757FB4" w:rsidRPr="00EC3605"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18"/>
                <w:szCs w:val="18"/>
              </w:rPr>
            </w:pPr>
            <w:r w:rsidRPr="00EC3605">
              <w:rPr>
                <w:rFonts w:ascii="Cambria" w:hAnsi="Cambria"/>
                <w:color w:val="000000"/>
                <w:sz w:val="18"/>
                <w:szCs w:val="18"/>
              </w:rPr>
              <w:t>Reglamento sobre licencias comunitarias de pesca para aborígenes, 1993.</w:t>
            </w:r>
          </w:p>
          <w:p w14:paraId="712A64F9" w14:textId="77777777" w:rsidR="00124CC2" w:rsidRPr="00EC3605" w:rsidRDefault="00757FB4" w:rsidP="00A87105">
            <w:pPr>
              <w:pStyle w:val="ListParagraph"/>
              <w:numPr>
                <w:ilvl w:val="0"/>
                <w:numId w:val="7"/>
              </w:numPr>
              <w:spacing w:after="0" w:line="240" w:lineRule="auto"/>
              <w:ind w:left="165" w:hanging="141"/>
              <w:contextualSpacing w:val="0"/>
              <w:jc w:val="both"/>
              <w:rPr>
                <w:rFonts w:ascii="Cambria" w:eastAsia="Times New Roman" w:hAnsi="Cambria" w:cs="Calibri"/>
                <w:color w:val="000000"/>
                <w:sz w:val="18"/>
                <w:szCs w:val="18"/>
              </w:rPr>
            </w:pPr>
            <w:r w:rsidRPr="00EC3605">
              <w:rPr>
                <w:rFonts w:ascii="Cambria" w:hAnsi="Cambria"/>
                <w:color w:val="000000"/>
                <w:sz w:val="18"/>
                <w:szCs w:val="18"/>
              </w:rPr>
              <w:t>Política de concesión de licencias de pesca comercial para el este de Canadá, 1996.</w:t>
            </w:r>
          </w:p>
          <w:p w14:paraId="1339C2B1" w14:textId="36C9F873" w:rsidR="00746080" w:rsidRPr="00EC3605" w:rsidRDefault="00124CC2" w:rsidP="00AD6B7E">
            <w:pPr>
              <w:pStyle w:val="ListParagraph"/>
              <w:numPr>
                <w:ilvl w:val="0"/>
                <w:numId w:val="7"/>
              </w:numPr>
              <w:spacing w:after="0" w:line="240" w:lineRule="auto"/>
              <w:ind w:left="165" w:hanging="141"/>
              <w:contextualSpacing w:val="0"/>
              <w:jc w:val="both"/>
              <w:rPr>
                <w:rFonts w:ascii="Cambria" w:eastAsia="Times New Roman" w:hAnsi="Cambria" w:cs="Calibri"/>
                <w:color w:val="000000"/>
                <w:sz w:val="18"/>
                <w:szCs w:val="18"/>
              </w:rPr>
            </w:pPr>
            <w:r w:rsidRPr="00EC3605">
              <w:rPr>
                <w:rFonts w:ascii="Cambria" w:hAnsi="Cambria"/>
                <w:color w:val="000000"/>
                <w:sz w:val="18"/>
                <w:szCs w:val="18"/>
              </w:rPr>
              <w:t>Marco para las pesquerías sostenibles: Elementos de conservación y uso sostenible - (1) Política del enfoque precautorio, (2) Política de especies forrajeras, (3) Política de zonas bentónicas sensibles y (4) Política de captura fortuita</w:t>
            </w:r>
            <w:r w:rsidR="00AD6B7E" w:rsidRPr="00EC3605">
              <w:rPr>
                <w:rFonts w:ascii="Cambria" w:hAnsi="Cambria"/>
                <w:color w:val="000000"/>
                <w:sz w:val="18"/>
                <w:szCs w:val="18"/>
              </w:rPr>
              <w:t>.</w:t>
            </w:r>
          </w:p>
        </w:tc>
        <w:tc>
          <w:tcPr>
            <w:tcW w:w="2835" w:type="dxa"/>
            <w:hideMark/>
          </w:tcPr>
          <w:p w14:paraId="29EEC11E" w14:textId="35F100B5" w:rsidR="004D5A8D" w:rsidRPr="00EC3605" w:rsidRDefault="00757FB4"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lastRenderedPageBreak/>
              <w:t>No aplicable</w:t>
            </w:r>
          </w:p>
        </w:tc>
      </w:tr>
      <w:tr w:rsidR="000D1E4A" w:rsidRPr="00EC3605" w14:paraId="543BA4D3" w14:textId="77777777" w:rsidTr="004B0C25">
        <w:trPr>
          <w:gridAfter w:val="1"/>
          <w:wAfter w:w="236" w:type="dxa"/>
          <w:trHeight w:val="2893"/>
        </w:trPr>
        <w:tc>
          <w:tcPr>
            <w:tcW w:w="1164" w:type="dxa"/>
            <w:tcBorders>
              <w:bottom w:val="single" w:sz="4" w:space="0" w:color="auto"/>
            </w:tcBorders>
            <w:noWrap/>
            <w:vAlign w:val="center"/>
          </w:tcPr>
          <w:p w14:paraId="7518F3C4" w14:textId="137EDF7C" w:rsidR="000D1E4A" w:rsidRPr="00EC3605" w:rsidRDefault="000D1E4A" w:rsidP="00102FBE">
            <w:pPr>
              <w:spacing w:after="0" w:line="240" w:lineRule="auto"/>
              <w:jc w:val="center"/>
              <w:rPr>
                <w:rFonts w:ascii="Cambria" w:eastAsia="Times New Roman" w:hAnsi="Cambria" w:cs="Calibri"/>
                <w:b/>
                <w:bCs/>
                <w:color w:val="000000"/>
                <w:sz w:val="18"/>
                <w:szCs w:val="18"/>
              </w:rPr>
            </w:pPr>
            <w:r w:rsidRPr="00EC3605">
              <w:rPr>
                <w:rFonts w:ascii="Cambria" w:hAnsi="Cambria"/>
                <w:b/>
                <w:color w:val="000000"/>
                <w:sz w:val="18"/>
                <w:szCs w:val="18"/>
              </w:rPr>
              <w:lastRenderedPageBreak/>
              <w:t>Costa Rica</w:t>
            </w:r>
          </w:p>
        </w:tc>
        <w:tc>
          <w:tcPr>
            <w:tcW w:w="914" w:type="dxa"/>
            <w:tcBorders>
              <w:bottom w:val="single" w:sz="4" w:space="0" w:color="auto"/>
            </w:tcBorders>
            <w:noWrap/>
            <w:vAlign w:val="center"/>
          </w:tcPr>
          <w:p w14:paraId="594C9BC4" w14:textId="055043E2" w:rsidR="000D1E4A" w:rsidRPr="00EC3605" w:rsidRDefault="000D1E4A" w:rsidP="00102FBE">
            <w:pPr>
              <w:spacing w:after="0" w:line="240" w:lineRule="auto"/>
              <w:jc w:val="center"/>
              <w:rPr>
                <w:rFonts w:ascii="Cambria" w:eastAsia="Times New Roman" w:hAnsi="Cambria" w:cs="Calibri"/>
                <w:sz w:val="18"/>
                <w:szCs w:val="18"/>
              </w:rPr>
            </w:pPr>
            <w:r w:rsidRPr="00EC3605">
              <w:rPr>
                <w:rFonts w:ascii="Cambria" w:hAnsi="Cambria"/>
                <w:color w:val="000000"/>
                <w:sz w:val="18"/>
                <w:szCs w:val="18"/>
              </w:rPr>
              <w:t>Sí</w:t>
            </w:r>
          </w:p>
        </w:tc>
        <w:tc>
          <w:tcPr>
            <w:tcW w:w="1026" w:type="dxa"/>
            <w:tcBorders>
              <w:bottom w:val="single" w:sz="4" w:space="0" w:color="auto"/>
            </w:tcBorders>
            <w:noWrap/>
            <w:vAlign w:val="center"/>
          </w:tcPr>
          <w:p w14:paraId="6B0087E4" w14:textId="032E2AD3" w:rsidR="000D1E4A" w:rsidRPr="00EC3605" w:rsidRDefault="000D1E4A" w:rsidP="00102FBE">
            <w:pPr>
              <w:spacing w:after="0" w:line="240" w:lineRule="auto"/>
              <w:jc w:val="center"/>
              <w:rPr>
                <w:rFonts w:ascii="Cambria" w:eastAsia="Times New Roman" w:hAnsi="Cambria" w:cs="Calibri"/>
                <w:sz w:val="18"/>
                <w:szCs w:val="18"/>
              </w:rPr>
            </w:pPr>
            <w:r w:rsidRPr="00EC3605">
              <w:rPr>
                <w:rFonts w:ascii="Cambria" w:hAnsi="Cambria"/>
                <w:color w:val="000000"/>
                <w:sz w:val="18"/>
                <w:szCs w:val="18"/>
              </w:rPr>
              <w:t>375*</w:t>
            </w:r>
          </w:p>
        </w:tc>
        <w:tc>
          <w:tcPr>
            <w:tcW w:w="841" w:type="dxa"/>
            <w:tcBorders>
              <w:bottom w:val="single" w:sz="4" w:space="0" w:color="auto"/>
            </w:tcBorders>
            <w:noWrap/>
            <w:vAlign w:val="center"/>
          </w:tcPr>
          <w:p w14:paraId="0E6A1FEE" w14:textId="508D963D" w:rsidR="000D1E4A" w:rsidRPr="00EC3605" w:rsidRDefault="000D1E4A" w:rsidP="00102FBE">
            <w:pPr>
              <w:spacing w:after="0" w:line="240" w:lineRule="auto"/>
              <w:jc w:val="center"/>
              <w:rPr>
                <w:rFonts w:ascii="Cambria" w:hAnsi="Cambria"/>
                <w:sz w:val="18"/>
                <w:szCs w:val="18"/>
              </w:rPr>
            </w:pPr>
            <w:r w:rsidRPr="00EC3605">
              <w:rPr>
                <w:rFonts w:ascii="Cambria" w:hAnsi="Cambria"/>
                <w:color w:val="000000"/>
                <w:sz w:val="18"/>
                <w:szCs w:val="18"/>
              </w:rPr>
              <w:t>12</w:t>
            </w:r>
          </w:p>
        </w:tc>
        <w:tc>
          <w:tcPr>
            <w:tcW w:w="728" w:type="dxa"/>
            <w:tcBorders>
              <w:bottom w:val="single" w:sz="4" w:space="0" w:color="auto"/>
            </w:tcBorders>
            <w:noWrap/>
            <w:vAlign w:val="center"/>
          </w:tcPr>
          <w:p w14:paraId="1857A8BB" w14:textId="62C9709C" w:rsidR="000D1E4A" w:rsidRPr="00EC3605" w:rsidRDefault="000D1E4A" w:rsidP="00102FBE">
            <w:pPr>
              <w:spacing w:after="0" w:line="240" w:lineRule="auto"/>
              <w:jc w:val="center"/>
              <w:rPr>
                <w:rFonts w:ascii="Cambria" w:hAnsi="Cambria"/>
                <w:sz w:val="18"/>
                <w:szCs w:val="18"/>
              </w:rPr>
            </w:pPr>
            <w:r w:rsidRPr="00EC3605">
              <w:rPr>
                <w:rFonts w:ascii="Cambria" w:hAnsi="Cambria"/>
                <w:color w:val="000000"/>
                <w:sz w:val="18"/>
                <w:szCs w:val="18"/>
              </w:rPr>
              <w:t>LL</w:t>
            </w:r>
          </w:p>
        </w:tc>
        <w:tc>
          <w:tcPr>
            <w:tcW w:w="851" w:type="dxa"/>
            <w:tcBorders>
              <w:bottom w:val="single" w:sz="4" w:space="0" w:color="auto"/>
            </w:tcBorders>
            <w:noWrap/>
            <w:vAlign w:val="center"/>
          </w:tcPr>
          <w:p w14:paraId="75F0DB68" w14:textId="698D22F3" w:rsidR="000D1E4A" w:rsidRPr="00EC3605" w:rsidRDefault="000D1E4A" w:rsidP="00102FBE">
            <w:pPr>
              <w:spacing w:after="0" w:line="240" w:lineRule="auto"/>
              <w:jc w:val="center"/>
              <w:rPr>
                <w:rFonts w:ascii="Cambria" w:hAnsi="Cambria"/>
                <w:sz w:val="18"/>
                <w:szCs w:val="18"/>
              </w:rPr>
            </w:pPr>
            <w:r w:rsidRPr="00EC3605">
              <w:rPr>
                <w:rFonts w:ascii="Cambria" w:hAnsi="Cambria"/>
                <w:color w:val="000000"/>
                <w:sz w:val="18"/>
                <w:szCs w:val="18"/>
              </w:rPr>
              <w:t>302,15</w:t>
            </w:r>
          </w:p>
        </w:tc>
        <w:tc>
          <w:tcPr>
            <w:tcW w:w="992" w:type="dxa"/>
            <w:tcBorders>
              <w:bottom w:val="single" w:sz="4" w:space="0" w:color="auto"/>
            </w:tcBorders>
            <w:noWrap/>
            <w:vAlign w:val="center"/>
          </w:tcPr>
          <w:p w14:paraId="341E1DF1" w14:textId="30C4097F" w:rsidR="000D1E4A" w:rsidRPr="00EC3605" w:rsidRDefault="000D1E4A" w:rsidP="00102FBE">
            <w:pPr>
              <w:spacing w:after="0" w:line="240" w:lineRule="auto"/>
              <w:jc w:val="center"/>
              <w:rPr>
                <w:rFonts w:ascii="Cambria" w:hAnsi="Cambria"/>
                <w:sz w:val="18"/>
                <w:szCs w:val="18"/>
              </w:rPr>
            </w:pPr>
            <w:r w:rsidRPr="00EC3605">
              <w:rPr>
                <w:rFonts w:ascii="Cambria" w:hAnsi="Cambria"/>
                <w:color w:val="000000"/>
                <w:sz w:val="18"/>
                <w:szCs w:val="18"/>
              </w:rPr>
              <w:t>12</w:t>
            </w:r>
          </w:p>
        </w:tc>
        <w:tc>
          <w:tcPr>
            <w:tcW w:w="739" w:type="dxa"/>
            <w:tcBorders>
              <w:bottom w:val="single" w:sz="4" w:space="0" w:color="auto"/>
            </w:tcBorders>
            <w:noWrap/>
            <w:vAlign w:val="center"/>
          </w:tcPr>
          <w:p w14:paraId="026F7574" w14:textId="6BAD08C7" w:rsidR="000D1E4A" w:rsidRPr="00EC3605" w:rsidRDefault="000D1E4A" w:rsidP="00102FBE">
            <w:pPr>
              <w:spacing w:after="0" w:line="240" w:lineRule="auto"/>
              <w:jc w:val="center"/>
              <w:rPr>
                <w:rFonts w:ascii="Cambria" w:hAnsi="Cambria"/>
                <w:sz w:val="18"/>
                <w:szCs w:val="18"/>
              </w:rPr>
            </w:pPr>
            <w:r w:rsidRPr="00EC3605">
              <w:rPr>
                <w:rFonts w:ascii="Cambria" w:hAnsi="Cambria"/>
                <w:color w:val="000000"/>
                <w:sz w:val="18"/>
                <w:szCs w:val="18"/>
              </w:rPr>
              <w:t>LL</w:t>
            </w:r>
          </w:p>
        </w:tc>
        <w:tc>
          <w:tcPr>
            <w:tcW w:w="973" w:type="dxa"/>
            <w:tcBorders>
              <w:bottom w:val="single" w:sz="4" w:space="0" w:color="auto"/>
            </w:tcBorders>
            <w:noWrap/>
            <w:vAlign w:val="center"/>
          </w:tcPr>
          <w:p w14:paraId="08F9A0E3" w14:textId="253A4236" w:rsidR="000D1E4A" w:rsidRPr="00EC3605" w:rsidRDefault="00CC5095" w:rsidP="00102FBE">
            <w:pPr>
              <w:spacing w:after="0" w:line="240" w:lineRule="auto"/>
              <w:jc w:val="center"/>
              <w:rPr>
                <w:rFonts w:ascii="Cambria" w:eastAsia="Times New Roman" w:hAnsi="Cambria" w:cs="Calibri"/>
                <w:sz w:val="18"/>
                <w:szCs w:val="18"/>
              </w:rPr>
            </w:pPr>
            <w:r w:rsidRPr="00EC3605">
              <w:rPr>
                <w:rFonts w:ascii="Cambria" w:hAnsi="Cambria"/>
                <w:color w:val="000000"/>
                <w:sz w:val="18"/>
                <w:szCs w:val="18"/>
              </w:rPr>
              <w:t>375</w:t>
            </w:r>
          </w:p>
        </w:tc>
        <w:tc>
          <w:tcPr>
            <w:tcW w:w="2966" w:type="dxa"/>
            <w:tcBorders>
              <w:bottom w:val="single" w:sz="4" w:space="0" w:color="auto"/>
            </w:tcBorders>
          </w:tcPr>
          <w:p w14:paraId="567C134D" w14:textId="53FEEE63" w:rsidR="004A4D64" w:rsidRPr="00EC3605" w:rsidRDefault="00BE0796" w:rsidP="00A87105">
            <w:pPr>
              <w:pStyle w:val="ListParagraph"/>
              <w:numPr>
                <w:ilvl w:val="0"/>
                <w:numId w:val="7"/>
              </w:numPr>
              <w:spacing w:after="0" w:line="240" w:lineRule="auto"/>
              <w:ind w:left="165" w:hanging="141"/>
              <w:contextualSpacing w:val="0"/>
              <w:jc w:val="both"/>
              <w:rPr>
                <w:rFonts w:ascii="Cambria" w:hAnsi="Cambria"/>
                <w:sz w:val="18"/>
                <w:szCs w:val="18"/>
              </w:rPr>
            </w:pPr>
            <w:r w:rsidRPr="00EC3605">
              <w:rPr>
                <w:rFonts w:ascii="Cambria" w:hAnsi="Cambria"/>
                <w:sz w:val="18"/>
                <w:szCs w:val="18"/>
              </w:rPr>
              <w:t xml:space="preserve">Se permite la captura de grandes pelágicos y demersales.     </w:t>
            </w:r>
          </w:p>
          <w:p w14:paraId="3FE12299" w14:textId="50F958AB" w:rsidR="004A4D64" w:rsidRPr="00EC3605" w:rsidRDefault="00102FBE" w:rsidP="00A87105">
            <w:pPr>
              <w:pStyle w:val="ListParagraph"/>
              <w:numPr>
                <w:ilvl w:val="0"/>
                <w:numId w:val="7"/>
              </w:numPr>
              <w:spacing w:after="0" w:line="240" w:lineRule="auto"/>
              <w:ind w:left="165" w:hanging="141"/>
              <w:contextualSpacing w:val="0"/>
              <w:jc w:val="both"/>
              <w:rPr>
                <w:rFonts w:ascii="Cambria" w:hAnsi="Cambria"/>
                <w:sz w:val="18"/>
                <w:szCs w:val="18"/>
              </w:rPr>
            </w:pPr>
            <w:r w:rsidRPr="00EC3605">
              <w:rPr>
                <w:rFonts w:ascii="Cambria" w:hAnsi="Cambria"/>
                <w:sz w:val="18"/>
                <w:szCs w:val="18"/>
              </w:rPr>
              <w:t xml:space="preserve">Se permite realizar actividades de pesca dentro de las tres millas náuticas de la costa para embarcaciones comerciales de pequeña escala, hasta las 40 para mediana escala y más de 40 para avanzada. No se autoriza la pesca en áreas de parques y áreas vedadas, se debe respetar los planes de ordenamiento de las áreas marinas de pesca responsable.                Recopilación de datos de captura en </w:t>
            </w:r>
            <w:r w:rsidR="00696CAB">
              <w:rPr>
                <w:rFonts w:ascii="Cambria" w:hAnsi="Cambria"/>
                <w:sz w:val="18"/>
                <w:szCs w:val="18"/>
              </w:rPr>
              <w:t xml:space="preserve">mareas </w:t>
            </w:r>
            <w:r w:rsidRPr="00EC3605">
              <w:rPr>
                <w:rFonts w:ascii="Cambria" w:hAnsi="Cambria"/>
                <w:sz w:val="18"/>
                <w:szCs w:val="18"/>
              </w:rPr>
              <w:t>de pesca.</w:t>
            </w:r>
          </w:p>
          <w:p w14:paraId="4ADDD019" w14:textId="2138BBF8" w:rsidR="004A4D64" w:rsidRPr="00EC3605" w:rsidRDefault="004A4D64" w:rsidP="00E90BEB">
            <w:pPr>
              <w:pStyle w:val="ListParagraph"/>
              <w:numPr>
                <w:ilvl w:val="0"/>
                <w:numId w:val="7"/>
              </w:numPr>
              <w:spacing w:after="0" w:line="240" w:lineRule="auto"/>
              <w:ind w:left="165" w:hanging="141"/>
              <w:contextualSpacing w:val="0"/>
              <w:jc w:val="both"/>
              <w:rPr>
                <w:rFonts w:ascii="Cambria" w:hAnsi="Cambria"/>
                <w:sz w:val="18"/>
                <w:szCs w:val="18"/>
              </w:rPr>
            </w:pPr>
            <w:r w:rsidRPr="00EC3605">
              <w:rPr>
                <w:rFonts w:ascii="Cambria" w:hAnsi="Cambria"/>
                <w:sz w:val="18"/>
                <w:szCs w:val="18"/>
              </w:rPr>
              <w:t>Programa de monitoreo en el puerto para verificación de libros de operación de pesca.</w:t>
            </w:r>
          </w:p>
          <w:p w14:paraId="7AF6B259" w14:textId="4EE19A79" w:rsidR="004A4D64" w:rsidRPr="00EC3605" w:rsidRDefault="00102FBE" w:rsidP="00E90BEB">
            <w:pPr>
              <w:pStyle w:val="ListParagraph"/>
              <w:numPr>
                <w:ilvl w:val="0"/>
                <w:numId w:val="7"/>
              </w:numPr>
              <w:spacing w:after="0" w:line="240" w:lineRule="auto"/>
              <w:ind w:left="165" w:hanging="141"/>
              <w:contextualSpacing w:val="0"/>
              <w:jc w:val="both"/>
              <w:rPr>
                <w:rFonts w:ascii="Cambria" w:hAnsi="Cambria"/>
                <w:sz w:val="18"/>
                <w:szCs w:val="18"/>
              </w:rPr>
            </w:pPr>
            <w:r w:rsidRPr="00EC3605">
              <w:rPr>
                <w:rFonts w:ascii="Cambria" w:hAnsi="Cambria"/>
                <w:sz w:val="18"/>
                <w:szCs w:val="18"/>
              </w:rPr>
              <w:t xml:space="preserve">Funcionarios de INCOPESCA inspeccionan el 100% de descargas de la flota comercial de mediana escala y avanzada y registro de la información en el Formulario de Inspección de Desembarque Recursos Hidrobiológicos (FID). </w:t>
            </w:r>
          </w:p>
          <w:p w14:paraId="68A90DC9" w14:textId="77777777" w:rsidR="004A4D64" w:rsidRPr="00EC3605" w:rsidRDefault="00102FBE" w:rsidP="00E90BEB">
            <w:pPr>
              <w:pStyle w:val="ListParagraph"/>
              <w:numPr>
                <w:ilvl w:val="0"/>
                <w:numId w:val="7"/>
              </w:numPr>
              <w:spacing w:after="0" w:line="240" w:lineRule="auto"/>
              <w:ind w:left="165" w:hanging="141"/>
              <w:contextualSpacing w:val="0"/>
              <w:jc w:val="both"/>
              <w:rPr>
                <w:rFonts w:ascii="Cambria" w:hAnsi="Cambria"/>
                <w:sz w:val="18"/>
                <w:szCs w:val="18"/>
              </w:rPr>
            </w:pPr>
            <w:r w:rsidRPr="00EC3605">
              <w:rPr>
                <w:rFonts w:ascii="Cambria" w:hAnsi="Cambria"/>
                <w:sz w:val="18"/>
                <w:szCs w:val="18"/>
              </w:rPr>
              <w:t xml:space="preserve"> Sistema de seguimiento satelital de las embarcaciones (VMS).</w:t>
            </w:r>
          </w:p>
          <w:p w14:paraId="35F97956" w14:textId="3B089924" w:rsidR="004A4D64" w:rsidRPr="00EC3605" w:rsidRDefault="00102FBE" w:rsidP="00E90BEB">
            <w:pPr>
              <w:pStyle w:val="ListParagraph"/>
              <w:numPr>
                <w:ilvl w:val="0"/>
                <w:numId w:val="7"/>
              </w:numPr>
              <w:spacing w:after="0" w:line="240" w:lineRule="auto"/>
              <w:ind w:left="165" w:hanging="141"/>
              <w:contextualSpacing w:val="0"/>
              <w:jc w:val="both"/>
              <w:rPr>
                <w:rFonts w:ascii="Cambria" w:hAnsi="Cambria"/>
                <w:sz w:val="18"/>
                <w:szCs w:val="18"/>
              </w:rPr>
            </w:pPr>
            <w:r w:rsidRPr="00EC3605">
              <w:rPr>
                <w:rFonts w:ascii="Cambria" w:hAnsi="Cambria"/>
                <w:sz w:val="18"/>
                <w:szCs w:val="18"/>
              </w:rPr>
              <w:t xml:space="preserve">Monitoreo de la actividad pesquera: vigilancia aérea, inspecciones en el mar y en el puerto (se hace inspecciones en sitios de procesamiento y compra del producto pesquero).                                                                                                                             </w:t>
            </w:r>
          </w:p>
          <w:p w14:paraId="6B9DCB5A" w14:textId="3647DA5C" w:rsidR="00140AA1" w:rsidRPr="00EC3605" w:rsidRDefault="00102FBE" w:rsidP="004B0C25">
            <w:pPr>
              <w:pStyle w:val="ListParagraph"/>
              <w:numPr>
                <w:ilvl w:val="0"/>
                <w:numId w:val="7"/>
              </w:numPr>
              <w:spacing w:after="0" w:line="240" w:lineRule="auto"/>
              <w:ind w:left="165" w:hanging="141"/>
              <w:contextualSpacing w:val="0"/>
              <w:jc w:val="both"/>
              <w:rPr>
                <w:rFonts w:ascii="Cambria" w:hAnsi="Cambria"/>
                <w:sz w:val="18"/>
                <w:szCs w:val="18"/>
              </w:rPr>
            </w:pPr>
            <w:r w:rsidRPr="00EC3605">
              <w:rPr>
                <w:rFonts w:ascii="Cambria" w:hAnsi="Cambria"/>
                <w:sz w:val="18"/>
                <w:szCs w:val="18"/>
              </w:rPr>
              <w:t>Registro de información biológica pesquera en desembarques.</w:t>
            </w:r>
          </w:p>
        </w:tc>
        <w:tc>
          <w:tcPr>
            <w:tcW w:w="2835" w:type="dxa"/>
            <w:tcBorders>
              <w:bottom w:val="single" w:sz="4" w:space="0" w:color="auto"/>
            </w:tcBorders>
          </w:tcPr>
          <w:p w14:paraId="0F87EFD3" w14:textId="2D6B9801" w:rsidR="00102FBE" w:rsidRPr="00EC3605" w:rsidRDefault="00102FBE" w:rsidP="00102FBE">
            <w:pPr>
              <w:spacing w:after="0" w:line="240" w:lineRule="auto"/>
              <w:jc w:val="both"/>
              <w:rPr>
                <w:rFonts w:ascii="Cambria" w:hAnsi="Cambria"/>
                <w:sz w:val="18"/>
                <w:szCs w:val="18"/>
              </w:rPr>
            </w:pPr>
            <w:r w:rsidRPr="00EC3605">
              <w:rPr>
                <w:rFonts w:ascii="Cambria" w:hAnsi="Cambria"/>
                <w:sz w:val="18"/>
                <w:szCs w:val="18"/>
              </w:rPr>
              <w:t xml:space="preserve">Talla mínima de captura para pez espada del Atlántico norte: peso en vivo de 25 kg o como alternativa 125 cm de longitud de la mandíbula inferior a la horquilla.  Margen de tolerancia a los buques que hayan capturado ejemplares pequeños de forma incidental, con la condición de que estas capturas incidentales no superen el 15% del número de peces espada por desembarque de la captura total de pez espada de dichos buques.        </w:t>
            </w:r>
          </w:p>
          <w:p w14:paraId="0A86340A" w14:textId="77777777" w:rsidR="004A4D64" w:rsidRPr="00EC3605" w:rsidRDefault="004A4D64" w:rsidP="00102FBE">
            <w:pPr>
              <w:spacing w:after="0" w:line="240" w:lineRule="auto"/>
              <w:jc w:val="both"/>
              <w:rPr>
                <w:rFonts w:ascii="Cambria" w:hAnsi="Cambria"/>
                <w:sz w:val="18"/>
                <w:szCs w:val="18"/>
              </w:rPr>
            </w:pPr>
          </w:p>
          <w:p w14:paraId="5D71A9D8" w14:textId="2E0F4D9B" w:rsidR="00102FBE" w:rsidRPr="00EC3605" w:rsidRDefault="00102FBE" w:rsidP="00102FBE">
            <w:pPr>
              <w:spacing w:after="0" w:line="240" w:lineRule="auto"/>
              <w:jc w:val="both"/>
              <w:rPr>
                <w:rFonts w:ascii="Cambria" w:hAnsi="Cambria"/>
                <w:sz w:val="18"/>
                <w:szCs w:val="18"/>
              </w:rPr>
            </w:pPr>
            <w:r w:rsidRPr="00EC3605">
              <w:rPr>
                <w:rFonts w:ascii="Cambria" w:hAnsi="Cambria"/>
                <w:sz w:val="18"/>
                <w:szCs w:val="18"/>
              </w:rPr>
              <w:t>En 2025 Costa Rica cuenta con un límite de captura asignado de 75 t y una transferencia de 300 t de Estados Unidos, para un total de 375 t (Rec. 24-10).  En 2025 se planea realizar devolución del exceso de captura acumulado.</w:t>
            </w:r>
          </w:p>
          <w:p w14:paraId="6C8DA4F3" w14:textId="77777777" w:rsidR="00102FBE" w:rsidRPr="00EC3605" w:rsidRDefault="00102FBE" w:rsidP="00102FBE">
            <w:pPr>
              <w:spacing w:after="0" w:line="240" w:lineRule="auto"/>
              <w:jc w:val="both"/>
              <w:rPr>
                <w:rFonts w:ascii="Cambria" w:hAnsi="Cambria"/>
                <w:sz w:val="18"/>
                <w:szCs w:val="18"/>
              </w:rPr>
            </w:pPr>
          </w:p>
          <w:p w14:paraId="1F8F36F2" w14:textId="772793BF" w:rsidR="000D1E4A" w:rsidRPr="00EC3605" w:rsidRDefault="000D1E4A" w:rsidP="00102FBE">
            <w:pPr>
              <w:spacing w:after="0" w:line="240" w:lineRule="auto"/>
              <w:jc w:val="both"/>
              <w:rPr>
                <w:rFonts w:ascii="Cambria" w:hAnsi="Cambria"/>
                <w:sz w:val="18"/>
                <w:szCs w:val="18"/>
              </w:rPr>
            </w:pPr>
          </w:p>
        </w:tc>
      </w:tr>
      <w:tr w:rsidR="00CC5095" w:rsidRPr="00EC3605" w14:paraId="32BFD5FB" w14:textId="77777777" w:rsidTr="00140AA1">
        <w:trPr>
          <w:gridAfter w:val="1"/>
          <w:wAfter w:w="236" w:type="dxa"/>
        </w:trPr>
        <w:tc>
          <w:tcPr>
            <w:tcW w:w="14029" w:type="dxa"/>
            <w:gridSpan w:val="11"/>
            <w:tcBorders>
              <w:bottom w:val="single" w:sz="4" w:space="0" w:color="auto"/>
            </w:tcBorders>
            <w:noWrap/>
          </w:tcPr>
          <w:p w14:paraId="26CD72F5" w14:textId="29775450" w:rsidR="00CC5095" w:rsidRPr="00D441D7" w:rsidRDefault="003471A4" w:rsidP="00102FBE">
            <w:pPr>
              <w:spacing w:after="0" w:line="240" w:lineRule="auto"/>
              <w:rPr>
                <w:rFonts w:ascii="Cambria" w:hAnsi="Cambria"/>
                <w:sz w:val="14"/>
                <w:szCs w:val="14"/>
              </w:rPr>
            </w:pPr>
            <w:r w:rsidRPr="00D441D7">
              <w:rPr>
                <w:rFonts w:ascii="Cambria" w:hAnsi="Cambria"/>
                <w:sz w:val="14"/>
                <w:szCs w:val="14"/>
              </w:rPr>
              <w:t xml:space="preserve">*En 2025 Costa Rica cuenta con un límite de captura asignado de 75 t y una transferencia de 300 t de Estados Unidos, para un total de 375 t (Rec. 24-10). En 2025 se planea realizar devolución del exceso de captura acumulado. </w:t>
            </w:r>
          </w:p>
        </w:tc>
      </w:tr>
      <w:tr w:rsidR="00D4105A" w:rsidRPr="00EC3605" w14:paraId="0972F477" w14:textId="77777777" w:rsidTr="00140AA1">
        <w:trPr>
          <w:gridAfter w:val="1"/>
          <w:wAfter w:w="236" w:type="dxa"/>
        </w:trPr>
        <w:tc>
          <w:tcPr>
            <w:tcW w:w="1164" w:type="dxa"/>
            <w:tcBorders>
              <w:bottom w:val="single" w:sz="4" w:space="0" w:color="auto"/>
            </w:tcBorders>
            <w:noWrap/>
            <w:vAlign w:val="center"/>
            <w:hideMark/>
          </w:tcPr>
          <w:p w14:paraId="2CEDCF61" w14:textId="77777777" w:rsidR="00D4105A" w:rsidRPr="00EC3605" w:rsidRDefault="00D4105A" w:rsidP="00102FBE">
            <w:pPr>
              <w:spacing w:after="0" w:line="240" w:lineRule="auto"/>
              <w:jc w:val="center"/>
              <w:rPr>
                <w:rFonts w:ascii="Cambria" w:eastAsia="Times New Roman" w:hAnsi="Cambria" w:cs="Calibri"/>
                <w:b/>
                <w:bCs/>
                <w:color w:val="000000"/>
                <w:sz w:val="18"/>
                <w:szCs w:val="18"/>
              </w:rPr>
            </w:pPr>
            <w:r w:rsidRPr="00EC3605">
              <w:rPr>
                <w:rFonts w:ascii="Cambria" w:hAnsi="Cambria"/>
                <w:b/>
                <w:color w:val="000000"/>
                <w:sz w:val="18"/>
                <w:szCs w:val="18"/>
              </w:rPr>
              <w:lastRenderedPageBreak/>
              <w:t>Japón</w:t>
            </w:r>
          </w:p>
        </w:tc>
        <w:tc>
          <w:tcPr>
            <w:tcW w:w="914" w:type="dxa"/>
            <w:tcBorders>
              <w:bottom w:val="single" w:sz="4" w:space="0" w:color="auto"/>
            </w:tcBorders>
            <w:noWrap/>
            <w:vAlign w:val="center"/>
            <w:hideMark/>
          </w:tcPr>
          <w:p w14:paraId="3A3983F2" w14:textId="77777777" w:rsidR="00D4105A" w:rsidRPr="00EC3605" w:rsidRDefault="00D4105A" w:rsidP="00102FBE">
            <w:pPr>
              <w:spacing w:after="0" w:line="240" w:lineRule="auto"/>
              <w:jc w:val="center"/>
              <w:rPr>
                <w:rFonts w:ascii="Cambria" w:eastAsia="Times New Roman" w:hAnsi="Cambria" w:cs="Calibri"/>
                <w:sz w:val="18"/>
                <w:szCs w:val="18"/>
              </w:rPr>
            </w:pPr>
            <w:r w:rsidRPr="00EC3605">
              <w:rPr>
                <w:rFonts w:ascii="Cambria" w:hAnsi="Cambria"/>
                <w:sz w:val="18"/>
                <w:szCs w:val="18"/>
              </w:rPr>
              <w:t>Sí</w:t>
            </w:r>
          </w:p>
        </w:tc>
        <w:tc>
          <w:tcPr>
            <w:tcW w:w="1026" w:type="dxa"/>
            <w:tcBorders>
              <w:bottom w:val="single" w:sz="4" w:space="0" w:color="auto"/>
            </w:tcBorders>
            <w:noWrap/>
            <w:vAlign w:val="center"/>
            <w:hideMark/>
          </w:tcPr>
          <w:p w14:paraId="4B87AE3C" w14:textId="5755A282" w:rsidR="00D4105A" w:rsidRPr="00EC3605" w:rsidRDefault="00D4105A" w:rsidP="00102FBE">
            <w:pPr>
              <w:spacing w:after="0" w:line="240" w:lineRule="auto"/>
              <w:jc w:val="center"/>
              <w:rPr>
                <w:rFonts w:ascii="Cambria" w:eastAsia="Times New Roman" w:hAnsi="Cambria" w:cs="Calibri"/>
                <w:sz w:val="18"/>
                <w:szCs w:val="18"/>
              </w:rPr>
            </w:pPr>
            <w:r w:rsidRPr="00EC3605">
              <w:rPr>
                <w:rFonts w:ascii="Cambria" w:hAnsi="Cambria"/>
                <w:sz w:val="18"/>
                <w:szCs w:val="18"/>
              </w:rPr>
              <w:t>842</w:t>
            </w:r>
          </w:p>
        </w:tc>
        <w:tc>
          <w:tcPr>
            <w:tcW w:w="841" w:type="dxa"/>
            <w:tcBorders>
              <w:bottom w:val="single" w:sz="4" w:space="0" w:color="auto"/>
            </w:tcBorders>
            <w:noWrap/>
            <w:vAlign w:val="center"/>
            <w:hideMark/>
          </w:tcPr>
          <w:p w14:paraId="2F340D0A" w14:textId="79B50368" w:rsidR="00D4105A" w:rsidRPr="00EC3605" w:rsidRDefault="00EE5AAA" w:rsidP="00102FBE">
            <w:pPr>
              <w:spacing w:after="0" w:line="240" w:lineRule="auto"/>
              <w:jc w:val="center"/>
              <w:rPr>
                <w:rFonts w:ascii="Cambria" w:eastAsia="Times New Roman" w:hAnsi="Cambria" w:cs="Calibri"/>
                <w:sz w:val="18"/>
                <w:szCs w:val="18"/>
              </w:rPr>
            </w:pPr>
            <w:r w:rsidRPr="00EC3605">
              <w:rPr>
                <w:rFonts w:ascii="Cambria" w:hAnsi="Cambria"/>
                <w:sz w:val="18"/>
                <w:szCs w:val="18"/>
              </w:rPr>
              <w:t>46</w:t>
            </w:r>
          </w:p>
        </w:tc>
        <w:tc>
          <w:tcPr>
            <w:tcW w:w="728" w:type="dxa"/>
            <w:tcBorders>
              <w:bottom w:val="single" w:sz="4" w:space="0" w:color="auto"/>
            </w:tcBorders>
            <w:noWrap/>
            <w:vAlign w:val="center"/>
            <w:hideMark/>
          </w:tcPr>
          <w:p w14:paraId="7AE4F8EB" w14:textId="76FA041A" w:rsidR="00D4105A" w:rsidRPr="00EC3605" w:rsidRDefault="00D4105A" w:rsidP="00102FBE">
            <w:pPr>
              <w:spacing w:after="0" w:line="240" w:lineRule="auto"/>
              <w:jc w:val="center"/>
              <w:rPr>
                <w:rFonts w:ascii="Cambria" w:eastAsia="Times New Roman" w:hAnsi="Cambria" w:cs="Calibri"/>
                <w:sz w:val="18"/>
                <w:szCs w:val="18"/>
              </w:rPr>
            </w:pPr>
            <w:r w:rsidRPr="00EC3605">
              <w:rPr>
                <w:rFonts w:ascii="Cambria" w:hAnsi="Cambria"/>
                <w:sz w:val="18"/>
                <w:szCs w:val="18"/>
              </w:rPr>
              <w:t>LL</w:t>
            </w:r>
          </w:p>
        </w:tc>
        <w:tc>
          <w:tcPr>
            <w:tcW w:w="851" w:type="dxa"/>
            <w:tcBorders>
              <w:bottom w:val="single" w:sz="4" w:space="0" w:color="auto"/>
            </w:tcBorders>
            <w:noWrap/>
            <w:vAlign w:val="center"/>
            <w:hideMark/>
          </w:tcPr>
          <w:p w14:paraId="54093F40" w14:textId="30509CF3" w:rsidR="00D4105A" w:rsidRPr="00EC3605" w:rsidRDefault="00EE5AAA" w:rsidP="00102FBE">
            <w:pPr>
              <w:spacing w:after="0" w:line="240" w:lineRule="auto"/>
              <w:jc w:val="center"/>
              <w:rPr>
                <w:rFonts w:ascii="Cambria" w:hAnsi="Cambria" w:cs="Calibri"/>
                <w:sz w:val="18"/>
                <w:szCs w:val="18"/>
              </w:rPr>
            </w:pPr>
            <w:r w:rsidRPr="00EC3605">
              <w:rPr>
                <w:rFonts w:ascii="Cambria" w:hAnsi="Cambria"/>
                <w:sz w:val="18"/>
                <w:szCs w:val="18"/>
              </w:rPr>
              <w:t>21.150</w:t>
            </w:r>
          </w:p>
          <w:p w14:paraId="3D2E49BB" w14:textId="707C46FD" w:rsidR="00D4105A" w:rsidRPr="00EC3605" w:rsidRDefault="00D4105A" w:rsidP="00102FBE">
            <w:pPr>
              <w:spacing w:after="0" w:line="240" w:lineRule="auto"/>
              <w:jc w:val="center"/>
              <w:rPr>
                <w:rFonts w:ascii="Cambria" w:eastAsia="Times New Roman" w:hAnsi="Cambria" w:cs="Calibri"/>
                <w:sz w:val="18"/>
                <w:szCs w:val="18"/>
              </w:rPr>
            </w:pPr>
          </w:p>
        </w:tc>
        <w:tc>
          <w:tcPr>
            <w:tcW w:w="992" w:type="dxa"/>
            <w:tcBorders>
              <w:bottom w:val="single" w:sz="4" w:space="0" w:color="auto"/>
            </w:tcBorders>
            <w:noWrap/>
            <w:vAlign w:val="center"/>
            <w:hideMark/>
          </w:tcPr>
          <w:p w14:paraId="33CF563D" w14:textId="220CC601" w:rsidR="00D4105A" w:rsidRPr="00EC3605" w:rsidRDefault="00D4105A" w:rsidP="00102FBE">
            <w:pPr>
              <w:spacing w:after="0" w:line="240" w:lineRule="auto"/>
              <w:jc w:val="center"/>
              <w:rPr>
                <w:rFonts w:ascii="Cambria" w:eastAsia="Times New Roman" w:hAnsi="Cambria" w:cs="Calibri"/>
                <w:sz w:val="18"/>
                <w:szCs w:val="18"/>
              </w:rPr>
            </w:pPr>
            <w:r w:rsidRPr="00EC3605">
              <w:rPr>
                <w:rFonts w:ascii="Cambria" w:hAnsi="Cambria"/>
                <w:sz w:val="18"/>
                <w:szCs w:val="18"/>
              </w:rPr>
              <w:t>147*</w:t>
            </w:r>
          </w:p>
        </w:tc>
        <w:tc>
          <w:tcPr>
            <w:tcW w:w="739" w:type="dxa"/>
            <w:tcBorders>
              <w:bottom w:val="single" w:sz="4" w:space="0" w:color="auto"/>
            </w:tcBorders>
            <w:noWrap/>
            <w:vAlign w:val="center"/>
            <w:hideMark/>
          </w:tcPr>
          <w:p w14:paraId="342C2AB1" w14:textId="6C4B372E" w:rsidR="00D4105A" w:rsidRPr="00EC3605" w:rsidRDefault="00D4105A" w:rsidP="00102FBE">
            <w:pPr>
              <w:spacing w:after="0" w:line="240" w:lineRule="auto"/>
              <w:jc w:val="center"/>
              <w:rPr>
                <w:rFonts w:ascii="Cambria" w:eastAsia="Times New Roman" w:hAnsi="Cambria" w:cs="Calibri"/>
                <w:sz w:val="18"/>
                <w:szCs w:val="18"/>
              </w:rPr>
            </w:pPr>
            <w:r w:rsidRPr="00EC3605">
              <w:rPr>
                <w:rFonts w:ascii="Cambria" w:hAnsi="Cambria"/>
                <w:sz w:val="18"/>
                <w:szCs w:val="18"/>
              </w:rPr>
              <w:t>LL</w:t>
            </w:r>
          </w:p>
        </w:tc>
        <w:tc>
          <w:tcPr>
            <w:tcW w:w="973" w:type="dxa"/>
            <w:tcBorders>
              <w:bottom w:val="single" w:sz="4" w:space="0" w:color="auto"/>
            </w:tcBorders>
            <w:noWrap/>
            <w:vAlign w:val="center"/>
            <w:hideMark/>
          </w:tcPr>
          <w:p w14:paraId="1D6E9B8C" w14:textId="535E7D59" w:rsidR="00D4105A" w:rsidRPr="00EC3605" w:rsidRDefault="00EE5AAA" w:rsidP="00102FBE">
            <w:pPr>
              <w:spacing w:after="0" w:line="240" w:lineRule="auto"/>
              <w:jc w:val="center"/>
              <w:rPr>
                <w:rFonts w:ascii="Cambria" w:eastAsia="Times New Roman" w:hAnsi="Cambria" w:cs="Calibri"/>
                <w:sz w:val="18"/>
                <w:szCs w:val="18"/>
              </w:rPr>
            </w:pPr>
            <w:r w:rsidRPr="00EC3605">
              <w:rPr>
                <w:rFonts w:ascii="Cambria" w:hAnsi="Cambria"/>
                <w:sz w:val="18"/>
                <w:szCs w:val="18"/>
              </w:rPr>
              <w:t>62</w:t>
            </w:r>
            <w:r w:rsidR="005619BB">
              <w:rPr>
                <w:rFonts w:ascii="Cambria" w:hAnsi="Cambria"/>
                <w:sz w:val="18"/>
                <w:szCs w:val="18"/>
              </w:rPr>
              <w:t>.</w:t>
            </w:r>
            <w:r w:rsidRPr="00EC3605">
              <w:rPr>
                <w:rFonts w:ascii="Cambria" w:hAnsi="Cambria"/>
                <w:sz w:val="18"/>
                <w:szCs w:val="18"/>
              </w:rPr>
              <w:t>271</w:t>
            </w:r>
          </w:p>
        </w:tc>
        <w:tc>
          <w:tcPr>
            <w:tcW w:w="2966" w:type="dxa"/>
            <w:tcBorders>
              <w:bottom w:val="single" w:sz="4" w:space="0" w:color="auto"/>
            </w:tcBorders>
            <w:hideMark/>
          </w:tcPr>
          <w:p w14:paraId="071FE87C" w14:textId="7DE05B61" w:rsidR="00EE5AAA" w:rsidRPr="00EC3605" w:rsidRDefault="00EE5AAA" w:rsidP="00102FBE">
            <w:pPr>
              <w:spacing w:after="0" w:line="240" w:lineRule="auto"/>
              <w:jc w:val="both"/>
              <w:rPr>
                <w:rFonts w:ascii="Cambria" w:hAnsi="Cambria"/>
                <w:sz w:val="18"/>
                <w:szCs w:val="18"/>
              </w:rPr>
            </w:pPr>
            <w:r w:rsidRPr="00EC3605">
              <w:rPr>
                <w:rFonts w:ascii="Cambria" w:hAnsi="Cambria"/>
                <w:sz w:val="18"/>
                <w:szCs w:val="18"/>
              </w:rPr>
              <w:t xml:space="preserve">ID1. La Ley de Pesca prohíbe a los buques pesqueros japoneses pescar atún en alta mar sin una licencia de pesca expedida por la FAJ.  La ley también exige al Gobierno que decida el número máximo de licencias que se expedirán y otras condiciones de pesca.   La FAJ garantiza que las capacidades pesqueras sean proporcionales a las oportunidades de pesca determinadas por las OROP de túnidos, como ICCAT.  </w:t>
            </w:r>
            <w:r w:rsidRPr="00EC3605">
              <w:rPr>
                <w:rFonts w:ascii="Cambria" w:hAnsi="Cambria"/>
                <w:sz w:val="18"/>
                <w:szCs w:val="18"/>
              </w:rPr>
              <w:tab/>
            </w:r>
            <w:r w:rsidRPr="00EC3605">
              <w:rPr>
                <w:rFonts w:ascii="Cambria" w:hAnsi="Cambria"/>
                <w:sz w:val="18"/>
                <w:szCs w:val="18"/>
              </w:rPr>
              <w:tab/>
            </w:r>
            <w:r w:rsidRPr="00EC3605">
              <w:rPr>
                <w:rFonts w:ascii="Cambria" w:hAnsi="Cambria"/>
                <w:sz w:val="18"/>
                <w:szCs w:val="18"/>
              </w:rPr>
              <w:tab/>
            </w:r>
          </w:p>
          <w:p w14:paraId="6E2691B8" w14:textId="3CFEC0F6" w:rsidR="00EE5AAA" w:rsidRPr="00EC3605" w:rsidRDefault="00EE5AAA" w:rsidP="00102FBE">
            <w:pPr>
              <w:spacing w:after="0" w:line="240" w:lineRule="auto"/>
              <w:jc w:val="both"/>
              <w:rPr>
                <w:rFonts w:ascii="Cambria" w:hAnsi="Cambria"/>
                <w:sz w:val="18"/>
                <w:szCs w:val="18"/>
              </w:rPr>
            </w:pPr>
            <w:r w:rsidRPr="00EC3605">
              <w:rPr>
                <w:rFonts w:ascii="Cambria" w:hAnsi="Cambria"/>
                <w:sz w:val="18"/>
                <w:szCs w:val="18"/>
              </w:rPr>
              <w:t xml:space="preserve">ID2. Japón captura pez espada de forma fortuita, y ha ido fluctuando de año en año debido principalmente al desplazamiento del caladero del patudo.  Japón, aún sin intención de aumentar la captura de pez espada del Atlántico norte como especie objetivo, necesita flexibilidad debido a la naturaleza de su captura. A tal fin, en 2025 se han mantenido las disposiciones especiales para Japón, incluida una cuota </w:t>
            </w:r>
            <w:r w:rsidR="007F3A66">
              <w:rPr>
                <w:rFonts w:ascii="Cambria" w:hAnsi="Cambria"/>
                <w:sz w:val="18"/>
                <w:szCs w:val="18"/>
              </w:rPr>
              <w:t>en</w:t>
            </w:r>
            <w:r w:rsidR="00072EF6">
              <w:rPr>
                <w:rFonts w:ascii="Cambria" w:hAnsi="Cambria"/>
                <w:sz w:val="18"/>
                <w:szCs w:val="18"/>
              </w:rPr>
              <w:t xml:space="preserve"> bloque</w:t>
            </w:r>
            <w:r w:rsidRPr="00EC3605">
              <w:rPr>
                <w:rFonts w:ascii="Cambria" w:hAnsi="Cambria"/>
                <w:sz w:val="18"/>
                <w:szCs w:val="18"/>
              </w:rPr>
              <w:t xml:space="preserve"> plurianual, tal como se estipula en el párrafo 12 de la Recomendación 24-10.</w:t>
            </w:r>
            <w:r w:rsidRPr="00EC3605">
              <w:rPr>
                <w:rFonts w:ascii="Cambria" w:hAnsi="Cambria"/>
                <w:sz w:val="18"/>
                <w:szCs w:val="18"/>
              </w:rPr>
              <w:tab/>
            </w:r>
            <w:r w:rsidRPr="00EC3605">
              <w:rPr>
                <w:rFonts w:ascii="Cambria" w:hAnsi="Cambria"/>
                <w:sz w:val="18"/>
                <w:szCs w:val="18"/>
              </w:rPr>
              <w:tab/>
            </w:r>
            <w:r w:rsidRPr="00EC3605">
              <w:rPr>
                <w:rFonts w:ascii="Cambria" w:hAnsi="Cambria"/>
                <w:sz w:val="18"/>
                <w:szCs w:val="18"/>
              </w:rPr>
              <w:tab/>
            </w:r>
          </w:p>
          <w:p w14:paraId="58B13448" w14:textId="41139043" w:rsidR="00EE5AAA" w:rsidRPr="00EC3605" w:rsidRDefault="00EE5AAA" w:rsidP="00102FBE">
            <w:pPr>
              <w:spacing w:after="0" w:line="240" w:lineRule="auto"/>
              <w:jc w:val="both"/>
              <w:rPr>
                <w:rFonts w:ascii="Cambria" w:hAnsi="Cambria"/>
                <w:sz w:val="18"/>
                <w:szCs w:val="18"/>
              </w:rPr>
            </w:pPr>
            <w:r w:rsidRPr="00EC3605">
              <w:rPr>
                <w:rFonts w:ascii="Cambria" w:hAnsi="Cambria"/>
                <w:sz w:val="18"/>
                <w:szCs w:val="18"/>
              </w:rPr>
              <w:t xml:space="preserve">ID3. </w:t>
            </w:r>
            <w:r w:rsidR="006B107F">
              <w:rPr>
                <w:rFonts w:ascii="Cambria" w:hAnsi="Cambria"/>
                <w:sz w:val="18"/>
                <w:szCs w:val="18"/>
              </w:rPr>
              <w:t xml:space="preserve">La FAJ </w:t>
            </w:r>
            <w:r w:rsidRPr="00EC3605">
              <w:rPr>
                <w:rFonts w:ascii="Cambria" w:hAnsi="Cambria"/>
                <w:sz w:val="18"/>
                <w:szCs w:val="18"/>
              </w:rPr>
              <w:t xml:space="preserve">ha comunicado de forma adecuada los datos sobre pez espada, que han sido utilizados en la evaluación de stock del pez espada del Atlántico norte.  </w:t>
            </w:r>
            <w:r w:rsidRPr="00EC3605">
              <w:rPr>
                <w:rFonts w:ascii="Cambria" w:hAnsi="Cambria"/>
                <w:sz w:val="18"/>
                <w:szCs w:val="18"/>
              </w:rPr>
              <w:tab/>
            </w:r>
            <w:r w:rsidRPr="00EC3605">
              <w:rPr>
                <w:rFonts w:ascii="Cambria" w:hAnsi="Cambria"/>
                <w:sz w:val="18"/>
                <w:szCs w:val="18"/>
              </w:rPr>
              <w:tab/>
            </w:r>
            <w:r w:rsidRPr="00EC3605">
              <w:rPr>
                <w:rFonts w:ascii="Cambria" w:hAnsi="Cambria"/>
                <w:sz w:val="18"/>
                <w:szCs w:val="18"/>
              </w:rPr>
              <w:tab/>
            </w:r>
            <w:r w:rsidRPr="00EC3605">
              <w:rPr>
                <w:rFonts w:ascii="Cambria" w:hAnsi="Cambria"/>
                <w:sz w:val="18"/>
                <w:szCs w:val="18"/>
              </w:rPr>
              <w:tab/>
            </w:r>
          </w:p>
          <w:p w14:paraId="7EEECCA6" w14:textId="18475806" w:rsidR="00140AA1" w:rsidRPr="00EC3605" w:rsidRDefault="00EE5AAA" w:rsidP="00102FBE">
            <w:pPr>
              <w:tabs>
                <w:tab w:val="left" w:pos="310"/>
              </w:tabs>
              <w:spacing w:after="0" w:line="240" w:lineRule="auto"/>
              <w:jc w:val="both"/>
              <w:rPr>
                <w:rFonts w:ascii="Cambria" w:hAnsi="Cambria"/>
                <w:sz w:val="18"/>
                <w:szCs w:val="18"/>
              </w:rPr>
            </w:pPr>
            <w:r w:rsidRPr="00EC3605">
              <w:rPr>
                <w:rFonts w:ascii="Cambria" w:hAnsi="Cambria"/>
                <w:sz w:val="18"/>
                <w:szCs w:val="18"/>
              </w:rPr>
              <w:t xml:space="preserve">ID4. La FAJ ha estado supervisando y controlando todos los atuneros palangreros japoneses que operan en la zona del Convenio de ICCAT </w:t>
            </w:r>
            <w:r w:rsidRPr="00EC3605">
              <w:rPr>
                <w:rFonts w:ascii="Cambria" w:hAnsi="Cambria"/>
                <w:sz w:val="18"/>
                <w:szCs w:val="18"/>
              </w:rPr>
              <w:lastRenderedPageBreak/>
              <w:t>mediante el VMS, inspecciones portuarias, etc.</w:t>
            </w:r>
          </w:p>
          <w:p w14:paraId="37521C22" w14:textId="21B05B05" w:rsidR="00140AA1" w:rsidRPr="00EC3605" w:rsidRDefault="00140AA1" w:rsidP="00102FBE">
            <w:pPr>
              <w:tabs>
                <w:tab w:val="left" w:pos="310"/>
              </w:tabs>
              <w:spacing w:after="0" w:line="240" w:lineRule="auto"/>
              <w:jc w:val="both"/>
              <w:rPr>
                <w:rFonts w:ascii="Cambria" w:hAnsi="Cambria"/>
                <w:sz w:val="18"/>
                <w:szCs w:val="18"/>
              </w:rPr>
            </w:pPr>
          </w:p>
        </w:tc>
        <w:tc>
          <w:tcPr>
            <w:tcW w:w="2835" w:type="dxa"/>
            <w:tcBorders>
              <w:bottom w:val="single" w:sz="4" w:space="0" w:color="auto"/>
            </w:tcBorders>
            <w:hideMark/>
          </w:tcPr>
          <w:p w14:paraId="28F16543" w14:textId="77777777" w:rsidR="00124CC2" w:rsidRPr="00EC3605" w:rsidRDefault="00EE5AAA" w:rsidP="00102FBE">
            <w:pPr>
              <w:spacing w:after="0" w:line="240" w:lineRule="auto"/>
              <w:jc w:val="both"/>
              <w:rPr>
                <w:rFonts w:ascii="Cambria" w:hAnsi="Cambria"/>
                <w:sz w:val="18"/>
                <w:szCs w:val="18"/>
              </w:rPr>
            </w:pPr>
            <w:r w:rsidRPr="00EC3605">
              <w:rPr>
                <w:rFonts w:ascii="Cambria" w:hAnsi="Cambria"/>
                <w:sz w:val="18"/>
                <w:szCs w:val="18"/>
              </w:rPr>
              <w:lastRenderedPageBreak/>
              <w:t>ID1. La FAJ mantendrá las restricciones sobre la expedición de licencias para buques palangreros.</w:t>
            </w:r>
          </w:p>
          <w:p w14:paraId="6E8F5EB4" w14:textId="77777777" w:rsidR="00124CC2" w:rsidRPr="00EC3605" w:rsidRDefault="00124CC2" w:rsidP="00102FBE">
            <w:pPr>
              <w:spacing w:after="0" w:line="240" w:lineRule="auto"/>
              <w:jc w:val="both"/>
              <w:rPr>
                <w:rFonts w:ascii="Cambria" w:hAnsi="Cambria"/>
                <w:sz w:val="18"/>
                <w:szCs w:val="18"/>
              </w:rPr>
            </w:pPr>
          </w:p>
          <w:p w14:paraId="6B6C6719" w14:textId="274D3DBA" w:rsidR="00124CC2" w:rsidRPr="00EC3605" w:rsidRDefault="00124CC2" w:rsidP="00102FBE">
            <w:pPr>
              <w:spacing w:after="0" w:line="240" w:lineRule="auto"/>
              <w:jc w:val="both"/>
              <w:rPr>
                <w:rFonts w:ascii="Cambria" w:hAnsi="Cambria"/>
                <w:sz w:val="18"/>
                <w:szCs w:val="18"/>
              </w:rPr>
            </w:pPr>
            <w:r w:rsidRPr="00EC3605">
              <w:rPr>
                <w:rFonts w:ascii="Cambria" w:hAnsi="Cambria"/>
                <w:sz w:val="18"/>
                <w:szCs w:val="18"/>
              </w:rPr>
              <w:t xml:space="preserve">ID2. La FAJ mantendrá la fijación de cuotas </w:t>
            </w:r>
            <w:r w:rsidR="00D3065C">
              <w:rPr>
                <w:rFonts w:ascii="Cambria" w:hAnsi="Cambria"/>
                <w:sz w:val="18"/>
                <w:szCs w:val="18"/>
              </w:rPr>
              <w:t>en</w:t>
            </w:r>
            <w:r w:rsidRPr="00EC3605">
              <w:rPr>
                <w:rFonts w:ascii="Cambria" w:hAnsi="Cambria"/>
                <w:sz w:val="18"/>
                <w:szCs w:val="18"/>
              </w:rPr>
              <w:t xml:space="preserve"> bloque sujeto al párrafo 12 de la Recomendación 24-10.</w:t>
            </w:r>
          </w:p>
          <w:p w14:paraId="276CD9B6" w14:textId="77777777" w:rsidR="00124CC2" w:rsidRPr="00EC3605" w:rsidRDefault="00124CC2" w:rsidP="00102FBE">
            <w:pPr>
              <w:spacing w:after="0" w:line="240" w:lineRule="auto"/>
              <w:jc w:val="both"/>
              <w:rPr>
                <w:rFonts w:ascii="Cambria" w:hAnsi="Cambria"/>
                <w:sz w:val="18"/>
                <w:szCs w:val="18"/>
              </w:rPr>
            </w:pPr>
          </w:p>
          <w:p w14:paraId="357E2648" w14:textId="4F6FE7E1" w:rsidR="00124CC2" w:rsidRPr="00EC3605" w:rsidRDefault="00124CC2" w:rsidP="00102FBE">
            <w:pPr>
              <w:spacing w:after="0" w:line="240" w:lineRule="auto"/>
              <w:jc w:val="both"/>
              <w:rPr>
                <w:rFonts w:ascii="Cambria" w:hAnsi="Cambria"/>
                <w:sz w:val="18"/>
                <w:szCs w:val="18"/>
              </w:rPr>
            </w:pPr>
            <w:r w:rsidRPr="00EC3605">
              <w:rPr>
                <w:rFonts w:ascii="Cambria" w:hAnsi="Cambria"/>
                <w:sz w:val="18"/>
                <w:szCs w:val="18"/>
              </w:rPr>
              <w:t xml:space="preserve">ID3. </w:t>
            </w:r>
            <w:r w:rsidR="007F3A66">
              <w:rPr>
                <w:rFonts w:ascii="Cambria" w:hAnsi="Cambria"/>
                <w:sz w:val="18"/>
                <w:szCs w:val="18"/>
              </w:rPr>
              <w:t>La FAJ</w:t>
            </w:r>
            <w:r w:rsidRPr="00EC3605">
              <w:rPr>
                <w:rFonts w:ascii="Cambria" w:hAnsi="Cambria"/>
                <w:sz w:val="18"/>
                <w:szCs w:val="18"/>
              </w:rPr>
              <w:t xml:space="preserve"> continuará haciendo que sus pescadores presenten dichos datos de forma oportuna.</w:t>
            </w:r>
          </w:p>
          <w:p w14:paraId="435F527C" w14:textId="77777777" w:rsidR="00124CC2" w:rsidRPr="00EC3605" w:rsidRDefault="00124CC2" w:rsidP="00102FBE">
            <w:pPr>
              <w:spacing w:after="0" w:line="240" w:lineRule="auto"/>
              <w:jc w:val="both"/>
              <w:rPr>
                <w:rFonts w:ascii="Cambria" w:hAnsi="Cambria"/>
                <w:sz w:val="18"/>
                <w:szCs w:val="18"/>
              </w:rPr>
            </w:pPr>
          </w:p>
          <w:p w14:paraId="640E08C2" w14:textId="20C9F096" w:rsidR="00D4105A" w:rsidRPr="00EC3605" w:rsidRDefault="00124CC2" w:rsidP="00102FBE">
            <w:pPr>
              <w:spacing w:after="0" w:line="240" w:lineRule="auto"/>
              <w:jc w:val="both"/>
              <w:rPr>
                <w:rFonts w:ascii="Cambria" w:eastAsia="Times New Roman" w:hAnsi="Cambria" w:cs="Calibri"/>
                <w:color w:val="000000"/>
                <w:sz w:val="18"/>
                <w:szCs w:val="18"/>
              </w:rPr>
            </w:pPr>
            <w:r w:rsidRPr="00EC3605">
              <w:rPr>
                <w:rFonts w:ascii="Cambria" w:hAnsi="Cambria"/>
                <w:sz w:val="18"/>
                <w:szCs w:val="18"/>
              </w:rPr>
              <w:t>ID4. La FAJ seguirá supervisando y controlando todos los atuneros palangreros japoneses que faenan en la zona del Convenio de ICCAT, utilizando las medidas mencionadas anteriormente para garantizar el cumplimiento de la normativa de ICCAT.</w:t>
            </w:r>
          </w:p>
        </w:tc>
      </w:tr>
      <w:tr w:rsidR="00140AA1" w:rsidRPr="00EC3605" w14:paraId="1A711A6B" w14:textId="77777777" w:rsidTr="00140AA1">
        <w:trPr>
          <w:gridAfter w:val="1"/>
          <w:wAfter w:w="236" w:type="dxa"/>
          <w:trHeight w:val="450"/>
        </w:trPr>
        <w:tc>
          <w:tcPr>
            <w:tcW w:w="14029" w:type="dxa"/>
            <w:gridSpan w:val="11"/>
            <w:noWrap/>
            <w:vAlign w:val="center"/>
          </w:tcPr>
          <w:p w14:paraId="59793848" w14:textId="04088AC4" w:rsidR="00140AA1" w:rsidRPr="00FC0D6C" w:rsidRDefault="00140AA1" w:rsidP="00102FBE">
            <w:pPr>
              <w:spacing w:after="0" w:line="240" w:lineRule="auto"/>
              <w:jc w:val="both"/>
              <w:rPr>
                <w:rFonts w:ascii="Cambria" w:eastAsia="Times New Roman" w:hAnsi="Cambria" w:cs="Calibri"/>
                <w:color w:val="000000"/>
                <w:sz w:val="16"/>
                <w:szCs w:val="16"/>
              </w:rPr>
            </w:pPr>
            <w:r w:rsidRPr="00FC0D6C">
              <w:rPr>
                <w:rFonts w:ascii="Cambria" w:hAnsi="Cambria"/>
                <w:color w:val="000000"/>
                <w:sz w:val="16"/>
                <w:szCs w:val="16"/>
              </w:rPr>
              <w:t>* A fecha de 22 de agosto de 2025, hay un total de 147 buques japoneses registrados en ICCAT. Dado que podría ser posible que todos estos buques operaran en la zona ICCAT y capturaran pez espada como captura fortuita dentro del límite del TAC, el número de 147 y su capacidad total fueron introducidas como las cifras máximas posibles.</w:t>
            </w:r>
          </w:p>
        </w:tc>
      </w:tr>
      <w:tr w:rsidR="00D4105A" w:rsidRPr="00EC3605" w14:paraId="636ECBE1" w14:textId="77777777" w:rsidTr="003471A4">
        <w:trPr>
          <w:gridAfter w:val="1"/>
          <w:wAfter w:w="236" w:type="dxa"/>
          <w:trHeight w:val="5060"/>
        </w:trPr>
        <w:tc>
          <w:tcPr>
            <w:tcW w:w="1164" w:type="dxa"/>
            <w:vMerge w:val="restart"/>
            <w:noWrap/>
            <w:vAlign w:val="center"/>
            <w:hideMark/>
          </w:tcPr>
          <w:p w14:paraId="285EA51F" w14:textId="2D7ED314" w:rsidR="00D4105A" w:rsidRPr="00EC3605" w:rsidRDefault="00D4105A" w:rsidP="00102FBE">
            <w:pPr>
              <w:spacing w:after="0" w:line="240" w:lineRule="auto"/>
              <w:jc w:val="center"/>
              <w:rPr>
                <w:rFonts w:ascii="Cambria" w:eastAsia="Times New Roman" w:hAnsi="Cambria" w:cs="Calibri"/>
                <w:b/>
                <w:bCs/>
                <w:color w:val="000000"/>
                <w:sz w:val="18"/>
                <w:szCs w:val="18"/>
              </w:rPr>
            </w:pPr>
            <w:r w:rsidRPr="00EC3605">
              <w:rPr>
                <w:rFonts w:ascii="Cambria" w:hAnsi="Cambria"/>
                <w:b/>
                <w:color w:val="000000"/>
                <w:sz w:val="18"/>
                <w:szCs w:val="18"/>
              </w:rPr>
              <w:t>Corea (Rep.)</w:t>
            </w:r>
          </w:p>
        </w:tc>
        <w:tc>
          <w:tcPr>
            <w:tcW w:w="914" w:type="dxa"/>
            <w:vMerge w:val="restart"/>
            <w:noWrap/>
            <w:vAlign w:val="center"/>
            <w:hideMark/>
          </w:tcPr>
          <w:p w14:paraId="51F160B4" w14:textId="77777777" w:rsidR="00D4105A" w:rsidRPr="00EC3605" w:rsidRDefault="00D4105A"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No</w:t>
            </w:r>
          </w:p>
        </w:tc>
        <w:tc>
          <w:tcPr>
            <w:tcW w:w="1026" w:type="dxa"/>
            <w:vMerge w:val="restart"/>
            <w:noWrap/>
            <w:vAlign w:val="center"/>
            <w:hideMark/>
          </w:tcPr>
          <w:p w14:paraId="3417B1B2" w14:textId="77777777" w:rsidR="00D4105A" w:rsidRPr="00EC3605" w:rsidRDefault="00D4105A"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70</w:t>
            </w:r>
          </w:p>
        </w:tc>
        <w:tc>
          <w:tcPr>
            <w:tcW w:w="841" w:type="dxa"/>
            <w:vMerge w:val="restart"/>
            <w:noWrap/>
            <w:vAlign w:val="center"/>
            <w:hideMark/>
          </w:tcPr>
          <w:p w14:paraId="0C08C2CC" w14:textId="6EA54DAA" w:rsidR="00D4105A" w:rsidRPr="00EC3605" w:rsidRDefault="00124CC2"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9</w:t>
            </w:r>
          </w:p>
        </w:tc>
        <w:tc>
          <w:tcPr>
            <w:tcW w:w="728" w:type="dxa"/>
            <w:vMerge w:val="restart"/>
            <w:noWrap/>
            <w:vAlign w:val="center"/>
            <w:hideMark/>
          </w:tcPr>
          <w:p w14:paraId="4725CA60" w14:textId="77777777" w:rsidR="00D4105A" w:rsidRPr="00EC3605" w:rsidRDefault="00D4105A"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LL</w:t>
            </w:r>
          </w:p>
        </w:tc>
        <w:tc>
          <w:tcPr>
            <w:tcW w:w="851" w:type="dxa"/>
            <w:vMerge w:val="restart"/>
            <w:noWrap/>
            <w:vAlign w:val="center"/>
            <w:hideMark/>
          </w:tcPr>
          <w:p w14:paraId="0FD19C8B" w14:textId="30F1DF0E" w:rsidR="00D4105A" w:rsidRPr="00EC3605" w:rsidRDefault="00D4105A"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70</w:t>
            </w:r>
          </w:p>
        </w:tc>
        <w:tc>
          <w:tcPr>
            <w:tcW w:w="992" w:type="dxa"/>
            <w:vMerge w:val="restart"/>
            <w:noWrap/>
            <w:vAlign w:val="center"/>
            <w:hideMark/>
          </w:tcPr>
          <w:p w14:paraId="776F47E6" w14:textId="56A17355" w:rsidR="00D4105A" w:rsidRPr="00EC3605" w:rsidRDefault="00124CC2"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9</w:t>
            </w:r>
          </w:p>
        </w:tc>
        <w:tc>
          <w:tcPr>
            <w:tcW w:w="739" w:type="dxa"/>
            <w:vMerge w:val="restart"/>
            <w:noWrap/>
            <w:vAlign w:val="center"/>
            <w:hideMark/>
          </w:tcPr>
          <w:p w14:paraId="032646BB" w14:textId="77777777" w:rsidR="00D4105A" w:rsidRPr="00EC3605" w:rsidRDefault="00D4105A"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LL</w:t>
            </w:r>
          </w:p>
        </w:tc>
        <w:tc>
          <w:tcPr>
            <w:tcW w:w="973" w:type="dxa"/>
            <w:vMerge w:val="restart"/>
            <w:noWrap/>
            <w:vAlign w:val="center"/>
            <w:hideMark/>
          </w:tcPr>
          <w:p w14:paraId="6E74374B" w14:textId="4A06EF2E" w:rsidR="00D4105A" w:rsidRPr="00EC3605" w:rsidRDefault="00D4105A"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70</w:t>
            </w:r>
          </w:p>
        </w:tc>
        <w:tc>
          <w:tcPr>
            <w:tcW w:w="2966" w:type="dxa"/>
            <w:vMerge w:val="restart"/>
            <w:hideMark/>
          </w:tcPr>
          <w:p w14:paraId="3B435D4A" w14:textId="45B12A71" w:rsidR="00124CC2" w:rsidRPr="00EC3605" w:rsidRDefault="00124CC2" w:rsidP="00102FBE">
            <w:pPr>
              <w:spacing w:after="0" w:line="240" w:lineRule="auto"/>
              <w:jc w:val="both"/>
              <w:rPr>
                <w:rFonts w:ascii="Cambria" w:eastAsia="Times New Roman" w:hAnsi="Cambria" w:cs="Calibri"/>
                <w:color w:val="000000"/>
                <w:sz w:val="18"/>
                <w:szCs w:val="18"/>
              </w:rPr>
            </w:pPr>
            <w:r w:rsidRPr="00EC3605">
              <w:rPr>
                <w:rFonts w:ascii="Cambria" w:hAnsi="Cambria"/>
                <w:color w:val="000000"/>
                <w:sz w:val="18"/>
                <w:szCs w:val="18"/>
              </w:rPr>
              <w:t>Nueve palangreros coreanos tienen autorización para dirigirse al patudo y estos palangreros capturan pez espada de forma fortuita. De conformidad con el párrafo 1 del Artículo 13 del Acta de desarrollo de la pesca en aguas distantes, los operadores y buques coreanos que pescan en aguas distantes tienen que cumplir la</w:t>
            </w:r>
            <w:r w:rsidR="00880A4C">
              <w:rPr>
                <w:rFonts w:ascii="Cambria" w:hAnsi="Cambria"/>
                <w:color w:val="000000"/>
                <w:sz w:val="18"/>
                <w:szCs w:val="18"/>
              </w:rPr>
              <w:t>s</w:t>
            </w:r>
            <w:r w:rsidRPr="00EC3605">
              <w:rPr>
                <w:rFonts w:ascii="Cambria" w:hAnsi="Cambria"/>
                <w:color w:val="000000"/>
                <w:sz w:val="18"/>
                <w:szCs w:val="18"/>
              </w:rPr>
              <w:t xml:space="preserve"> obligaciones pertinentes que se deriven de las medidas de conservación y ordenación y de las organizaciones regionales de ordenación pesquera. Si se infringe cualquier disposición de las medida de conservación y ordenación, esto se considera una «infracción grave» y puede ser castigada con penas de cárcel que no superen los cinco años o con una multa de al menos 500 millones de KRW.</w:t>
            </w:r>
          </w:p>
          <w:p w14:paraId="7FED4136" w14:textId="77777777" w:rsidR="00124CC2" w:rsidRPr="00EC3605" w:rsidRDefault="00124CC2" w:rsidP="00102FBE">
            <w:pPr>
              <w:spacing w:after="0" w:line="240" w:lineRule="auto"/>
              <w:jc w:val="both"/>
              <w:rPr>
                <w:rFonts w:ascii="Cambria" w:eastAsia="Times New Roman" w:hAnsi="Cambria" w:cs="Calibri"/>
                <w:color w:val="000000"/>
                <w:sz w:val="18"/>
                <w:szCs w:val="18"/>
              </w:rPr>
            </w:pPr>
          </w:p>
          <w:p w14:paraId="741B6FE5" w14:textId="238AE0FD" w:rsidR="00690694" w:rsidRPr="00EC3605" w:rsidRDefault="00124CC2" w:rsidP="00102FBE">
            <w:pPr>
              <w:spacing w:after="0" w:line="240" w:lineRule="auto"/>
              <w:jc w:val="both"/>
              <w:rPr>
                <w:rFonts w:ascii="Cambria" w:eastAsia="Times New Roman" w:hAnsi="Cambria" w:cs="Calibri"/>
                <w:color w:val="000000"/>
                <w:sz w:val="18"/>
                <w:szCs w:val="18"/>
              </w:rPr>
            </w:pPr>
            <w:r w:rsidRPr="00EC3605">
              <w:rPr>
                <w:rFonts w:ascii="Cambria" w:hAnsi="Cambria"/>
                <w:color w:val="000000"/>
                <w:sz w:val="18"/>
                <w:szCs w:val="18"/>
              </w:rPr>
              <w:t xml:space="preserve">De conformidad con la Recomendación 23-04, Corea ha tomado medidas para que se respete totalmente su límite de captura asignado de 50 t o su límite de captura anual ajustado, según </w:t>
            </w:r>
            <w:r w:rsidR="00303C90" w:rsidRPr="00EC3605">
              <w:rPr>
                <w:rFonts w:ascii="Cambria" w:hAnsi="Cambria"/>
                <w:color w:val="000000"/>
                <w:sz w:val="18"/>
                <w:szCs w:val="18"/>
              </w:rPr>
              <w:t>proceda.</w:t>
            </w:r>
            <w:r w:rsidRPr="00EC3605">
              <w:rPr>
                <w:rFonts w:ascii="Cambria" w:hAnsi="Cambria"/>
                <w:color w:val="000000"/>
                <w:sz w:val="18"/>
                <w:szCs w:val="18"/>
              </w:rPr>
              <w:t xml:space="preserve"> Si se produce un exceso de captura del límite de captura anual, la cantidad en exceso será deducida del límite de captura del siguiente año. De conformidad con el párrafo 5 de la Recomendación 01-22, los </w:t>
            </w:r>
            <w:r w:rsidRPr="00EC3605">
              <w:rPr>
                <w:rFonts w:ascii="Cambria" w:hAnsi="Cambria"/>
                <w:color w:val="000000"/>
                <w:sz w:val="18"/>
                <w:szCs w:val="18"/>
              </w:rPr>
              <w:lastRenderedPageBreak/>
              <w:t xml:space="preserve">datos de captura de los buques con pabellón coreano se comunican a la Secretaría dos veces al año (1 de abril y 15 de septiembre). Para proteger al pez espada pequeño, los buques coreanos deben liberar pez espada con un peso en vivo inferior a 25 kg o 125 cm LJF, y facilitar datos científicos relacionados con el pez espada del Atlántico norte al SCRS, de conformidad, respectivamente, con los párrafos 15 y 16 de la Recomendación </w:t>
            </w:r>
            <w:r w:rsidR="009B2651">
              <w:rPr>
                <w:rFonts w:ascii="Cambria" w:hAnsi="Cambria"/>
                <w:color w:val="000000"/>
                <w:sz w:val="18"/>
                <w:szCs w:val="18"/>
              </w:rPr>
              <w:t>24-10.</w:t>
            </w:r>
          </w:p>
          <w:p w14:paraId="7B7A1D66" w14:textId="48C3D761" w:rsidR="00D4105A" w:rsidRPr="00EC3605" w:rsidRDefault="00D4105A" w:rsidP="00102FBE">
            <w:pPr>
              <w:spacing w:after="0" w:line="240" w:lineRule="auto"/>
              <w:jc w:val="both"/>
              <w:rPr>
                <w:rFonts w:ascii="Cambria" w:eastAsia="Times New Roman" w:hAnsi="Cambria" w:cs="Calibri"/>
                <w:color w:val="000000"/>
                <w:sz w:val="18"/>
                <w:szCs w:val="18"/>
              </w:rPr>
            </w:pPr>
          </w:p>
        </w:tc>
        <w:tc>
          <w:tcPr>
            <w:tcW w:w="2835" w:type="dxa"/>
            <w:vMerge w:val="restart"/>
            <w:hideMark/>
          </w:tcPr>
          <w:p w14:paraId="3143E101" w14:textId="3CBD11D2" w:rsidR="00D4105A" w:rsidRPr="00EC3605" w:rsidRDefault="00CB147B" w:rsidP="00102FBE">
            <w:pPr>
              <w:spacing w:after="0" w:line="240" w:lineRule="auto"/>
              <w:jc w:val="both"/>
              <w:rPr>
                <w:rFonts w:ascii="Cambria" w:eastAsia="Times New Roman" w:hAnsi="Cambria" w:cs="Calibri"/>
                <w:color w:val="000000"/>
                <w:sz w:val="18"/>
                <w:szCs w:val="18"/>
              </w:rPr>
            </w:pPr>
            <w:r w:rsidRPr="00EC3605">
              <w:rPr>
                <w:rFonts w:ascii="Cambria" w:hAnsi="Cambria"/>
                <w:color w:val="000000"/>
                <w:sz w:val="18"/>
                <w:szCs w:val="18"/>
              </w:rPr>
              <w:lastRenderedPageBreak/>
              <w:t>Corea no tiene ningún plan para el desarrollo de la pesquería de pez espada del norte en este momento.</w:t>
            </w:r>
          </w:p>
          <w:p w14:paraId="16C6CB37" w14:textId="1BEA1E15" w:rsidR="00D4105A" w:rsidRPr="00EC3605" w:rsidRDefault="00D4105A" w:rsidP="00102FBE">
            <w:pPr>
              <w:spacing w:after="0" w:line="240" w:lineRule="auto"/>
              <w:jc w:val="both"/>
              <w:rPr>
                <w:rFonts w:ascii="Cambria" w:eastAsia="Times New Roman" w:hAnsi="Cambria" w:cs="Calibri"/>
                <w:color w:val="000000"/>
                <w:sz w:val="18"/>
                <w:szCs w:val="18"/>
              </w:rPr>
            </w:pPr>
          </w:p>
        </w:tc>
      </w:tr>
      <w:tr w:rsidR="00D4105A" w:rsidRPr="00EC3605" w14:paraId="238017D7" w14:textId="77777777" w:rsidTr="00140AA1">
        <w:tc>
          <w:tcPr>
            <w:tcW w:w="1164" w:type="dxa"/>
            <w:vMerge/>
            <w:vAlign w:val="center"/>
            <w:hideMark/>
          </w:tcPr>
          <w:p w14:paraId="2C905AD8" w14:textId="77777777" w:rsidR="00D4105A" w:rsidRPr="00EC3605" w:rsidRDefault="00D4105A" w:rsidP="00102FBE">
            <w:pPr>
              <w:spacing w:after="0" w:line="240" w:lineRule="auto"/>
              <w:jc w:val="center"/>
              <w:rPr>
                <w:rFonts w:ascii="Cambria" w:eastAsia="Times New Roman" w:hAnsi="Cambria" w:cs="Calibri"/>
                <w:b/>
                <w:bCs/>
                <w:color w:val="000000"/>
                <w:sz w:val="18"/>
                <w:szCs w:val="18"/>
              </w:rPr>
            </w:pPr>
          </w:p>
        </w:tc>
        <w:tc>
          <w:tcPr>
            <w:tcW w:w="914" w:type="dxa"/>
            <w:vMerge/>
            <w:vAlign w:val="center"/>
            <w:hideMark/>
          </w:tcPr>
          <w:p w14:paraId="38F9DDB8" w14:textId="77777777" w:rsidR="00D4105A" w:rsidRPr="00EC3605" w:rsidRDefault="00D4105A" w:rsidP="00102FBE">
            <w:pPr>
              <w:spacing w:after="0" w:line="240" w:lineRule="auto"/>
              <w:jc w:val="center"/>
              <w:rPr>
                <w:rFonts w:ascii="Cambria" w:eastAsia="Times New Roman" w:hAnsi="Cambria" w:cs="Calibri"/>
                <w:color w:val="000000"/>
                <w:sz w:val="18"/>
                <w:szCs w:val="18"/>
              </w:rPr>
            </w:pPr>
          </w:p>
        </w:tc>
        <w:tc>
          <w:tcPr>
            <w:tcW w:w="1026" w:type="dxa"/>
            <w:vMerge/>
            <w:vAlign w:val="center"/>
            <w:hideMark/>
          </w:tcPr>
          <w:p w14:paraId="64BBC019" w14:textId="77777777" w:rsidR="00D4105A" w:rsidRPr="00EC3605" w:rsidRDefault="00D4105A" w:rsidP="00102FBE">
            <w:pPr>
              <w:spacing w:after="0" w:line="240" w:lineRule="auto"/>
              <w:jc w:val="center"/>
              <w:rPr>
                <w:rFonts w:ascii="Cambria" w:eastAsia="Times New Roman" w:hAnsi="Cambria" w:cs="Calibri"/>
                <w:color w:val="000000"/>
                <w:sz w:val="18"/>
                <w:szCs w:val="18"/>
              </w:rPr>
            </w:pPr>
          </w:p>
        </w:tc>
        <w:tc>
          <w:tcPr>
            <w:tcW w:w="841" w:type="dxa"/>
            <w:vMerge/>
            <w:vAlign w:val="center"/>
            <w:hideMark/>
          </w:tcPr>
          <w:p w14:paraId="11C55A46" w14:textId="77777777" w:rsidR="00D4105A" w:rsidRPr="00EC3605" w:rsidRDefault="00D4105A" w:rsidP="00102FBE">
            <w:pPr>
              <w:spacing w:after="0" w:line="240" w:lineRule="auto"/>
              <w:jc w:val="center"/>
              <w:rPr>
                <w:rFonts w:ascii="Cambria" w:eastAsia="Times New Roman" w:hAnsi="Cambria" w:cs="Calibri"/>
                <w:color w:val="000000"/>
                <w:sz w:val="18"/>
                <w:szCs w:val="18"/>
              </w:rPr>
            </w:pPr>
          </w:p>
        </w:tc>
        <w:tc>
          <w:tcPr>
            <w:tcW w:w="728" w:type="dxa"/>
            <w:vMerge/>
            <w:vAlign w:val="center"/>
            <w:hideMark/>
          </w:tcPr>
          <w:p w14:paraId="5B24E514" w14:textId="77777777" w:rsidR="00D4105A" w:rsidRPr="00EC3605" w:rsidRDefault="00D4105A" w:rsidP="00102FBE">
            <w:pPr>
              <w:spacing w:after="0" w:line="240" w:lineRule="auto"/>
              <w:jc w:val="center"/>
              <w:rPr>
                <w:rFonts w:ascii="Cambria" w:eastAsia="Times New Roman" w:hAnsi="Cambria" w:cs="Calibri"/>
                <w:color w:val="000000"/>
                <w:sz w:val="18"/>
                <w:szCs w:val="18"/>
              </w:rPr>
            </w:pPr>
          </w:p>
        </w:tc>
        <w:tc>
          <w:tcPr>
            <w:tcW w:w="851" w:type="dxa"/>
            <w:vMerge/>
            <w:vAlign w:val="center"/>
            <w:hideMark/>
          </w:tcPr>
          <w:p w14:paraId="31750C34" w14:textId="77777777" w:rsidR="00D4105A" w:rsidRPr="00EC3605" w:rsidRDefault="00D4105A" w:rsidP="00102FBE">
            <w:pPr>
              <w:spacing w:after="0" w:line="240" w:lineRule="auto"/>
              <w:jc w:val="center"/>
              <w:rPr>
                <w:rFonts w:ascii="Cambria" w:eastAsia="Times New Roman" w:hAnsi="Cambria" w:cs="Calibri"/>
                <w:color w:val="000000"/>
                <w:sz w:val="18"/>
                <w:szCs w:val="18"/>
              </w:rPr>
            </w:pPr>
          </w:p>
        </w:tc>
        <w:tc>
          <w:tcPr>
            <w:tcW w:w="992" w:type="dxa"/>
            <w:vMerge/>
            <w:vAlign w:val="center"/>
            <w:hideMark/>
          </w:tcPr>
          <w:p w14:paraId="7261FBDB" w14:textId="77777777" w:rsidR="00D4105A" w:rsidRPr="00EC3605" w:rsidRDefault="00D4105A" w:rsidP="00102FBE">
            <w:pPr>
              <w:spacing w:after="0" w:line="240" w:lineRule="auto"/>
              <w:jc w:val="center"/>
              <w:rPr>
                <w:rFonts w:ascii="Cambria" w:eastAsia="Times New Roman" w:hAnsi="Cambria" w:cs="Calibri"/>
                <w:color w:val="000000"/>
                <w:sz w:val="18"/>
                <w:szCs w:val="18"/>
              </w:rPr>
            </w:pPr>
          </w:p>
        </w:tc>
        <w:tc>
          <w:tcPr>
            <w:tcW w:w="739" w:type="dxa"/>
            <w:vMerge/>
            <w:vAlign w:val="center"/>
            <w:hideMark/>
          </w:tcPr>
          <w:p w14:paraId="34080003" w14:textId="77777777" w:rsidR="00D4105A" w:rsidRPr="00EC3605" w:rsidRDefault="00D4105A" w:rsidP="00102FBE">
            <w:pPr>
              <w:spacing w:after="0" w:line="240" w:lineRule="auto"/>
              <w:jc w:val="center"/>
              <w:rPr>
                <w:rFonts w:ascii="Cambria" w:eastAsia="Times New Roman" w:hAnsi="Cambria" w:cs="Calibri"/>
                <w:color w:val="000000"/>
                <w:sz w:val="18"/>
                <w:szCs w:val="18"/>
              </w:rPr>
            </w:pPr>
          </w:p>
        </w:tc>
        <w:tc>
          <w:tcPr>
            <w:tcW w:w="973" w:type="dxa"/>
            <w:vMerge/>
            <w:vAlign w:val="center"/>
            <w:hideMark/>
          </w:tcPr>
          <w:p w14:paraId="31F54BE2" w14:textId="77777777" w:rsidR="00D4105A" w:rsidRPr="00EC3605" w:rsidRDefault="00D4105A" w:rsidP="00102FBE">
            <w:pPr>
              <w:spacing w:after="0" w:line="240" w:lineRule="auto"/>
              <w:jc w:val="center"/>
              <w:rPr>
                <w:rFonts w:ascii="Cambria" w:eastAsia="Times New Roman" w:hAnsi="Cambria" w:cs="Calibri"/>
                <w:color w:val="000000"/>
                <w:sz w:val="18"/>
                <w:szCs w:val="18"/>
              </w:rPr>
            </w:pPr>
          </w:p>
        </w:tc>
        <w:tc>
          <w:tcPr>
            <w:tcW w:w="2966" w:type="dxa"/>
            <w:vMerge/>
            <w:hideMark/>
          </w:tcPr>
          <w:p w14:paraId="2A6CD9F2" w14:textId="77777777" w:rsidR="00D4105A" w:rsidRPr="00EC3605" w:rsidRDefault="00D4105A" w:rsidP="00102FBE">
            <w:pPr>
              <w:spacing w:after="0" w:line="240" w:lineRule="auto"/>
              <w:jc w:val="both"/>
              <w:rPr>
                <w:rFonts w:ascii="Cambria" w:eastAsia="Times New Roman" w:hAnsi="Cambria" w:cs="Calibri"/>
                <w:color w:val="000000"/>
                <w:sz w:val="18"/>
                <w:szCs w:val="18"/>
              </w:rPr>
            </w:pPr>
          </w:p>
        </w:tc>
        <w:tc>
          <w:tcPr>
            <w:tcW w:w="2835" w:type="dxa"/>
            <w:vMerge/>
            <w:tcBorders>
              <w:bottom w:val="single" w:sz="4" w:space="0" w:color="auto"/>
              <w:right w:val="single" w:sz="4" w:space="0" w:color="auto"/>
            </w:tcBorders>
            <w:hideMark/>
          </w:tcPr>
          <w:p w14:paraId="2CF1DF46" w14:textId="77777777" w:rsidR="00D4105A" w:rsidRPr="00EC3605" w:rsidRDefault="00D4105A" w:rsidP="00102FBE">
            <w:pPr>
              <w:spacing w:after="0" w:line="240" w:lineRule="auto"/>
              <w:jc w:val="both"/>
              <w:rPr>
                <w:rFonts w:ascii="Cambria" w:eastAsia="Times New Roman" w:hAnsi="Cambria" w:cs="Calibri"/>
                <w:color w:val="000000"/>
                <w:sz w:val="18"/>
                <w:szCs w:val="18"/>
              </w:rPr>
            </w:pPr>
          </w:p>
        </w:tc>
        <w:tc>
          <w:tcPr>
            <w:tcW w:w="236" w:type="dxa"/>
            <w:tcBorders>
              <w:top w:val="nil"/>
              <w:left w:val="single" w:sz="4" w:space="0" w:color="auto"/>
              <w:bottom w:val="nil"/>
              <w:right w:val="nil"/>
            </w:tcBorders>
            <w:noWrap/>
            <w:vAlign w:val="bottom"/>
            <w:hideMark/>
          </w:tcPr>
          <w:p w14:paraId="560F4969" w14:textId="77777777" w:rsidR="00D4105A" w:rsidRPr="00EC3605" w:rsidRDefault="00D4105A" w:rsidP="00102FBE">
            <w:pPr>
              <w:spacing w:after="0" w:line="240" w:lineRule="auto"/>
              <w:jc w:val="both"/>
              <w:rPr>
                <w:rFonts w:ascii="Cambria" w:eastAsia="Times New Roman" w:hAnsi="Cambria" w:cs="Calibri"/>
                <w:color w:val="000000"/>
                <w:sz w:val="18"/>
                <w:szCs w:val="18"/>
              </w:rPr>
            </w:pPr>
          </w:p>
        </w:tc>
      </w:tr>
      <w:tr w:rsidR="00F8000D" w:rsidRPr="00EC3605" w14:paraId="54865F42" w14:textId="77777777" w:rsidTr="00140AA1">
        <w:tc>
          <w:tcPr>
            <w:tcW w:w="1164" w:type="dxa"/>
            <w:noWrap/>
            <w:vAlign w:val="center"/>
          </w:tcPr>
          <w:p w14:paraId="3E194EA4" w14:textId="649056D6" w:rsidR="00F8000D" w:rsidRPr="00EC3605" w:rsidRDefault="00F8000D" w:rsidP="00102FBE">
            <w:pPr>
              <w:spacing w:after="0" w:line="240" w:lineRule="auto"/>
              <w:jc w:val="center"/>
              <w:rPr>
                <w:rFonts w:ascii="Cambria" w:eastAsia="Times New Roman" w:hAnsi="Cambria" w:cs="Calibri"/>
                <w:b/>
                <w:bCs/>
                <w:color w:val="000000"/>
                <w:sz w:val="18"/>
                <w:szCs w:val="18"/>
              </w:rPr>
            </w:pPr>
            <w:r w:rsidRPr="00EC3605">
              <w:rPr>
                <w:rFonts w:ascii="Cambria" w:hAnsi="Cambria"/>
                <w:b/>
                <w:color w:val="000000"/>
                <w:sz w:val="18"/>
                <w:szCs w:val="18"/>
              </w:rPr>
              <w:t>Liberia</w:t>
            </w:r>
          </w:p>
        </w:tc>
        <w:tc>
          <w:tcPr>
            <w:tcW w:w="914" w:type="dxa"/>
            <w:noWrap/>
            <w:vAlign w:val="center"/>
          </w:tcPr>
          <w:p w14:paraId="6BEAC9C9" w14:textId="0221CD44" w:rsidR="00F8000D" w:rsidRPr="00EC3605" w:rsidRDefault="00F8000D"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Sí</w:t>
            </w:r>
          </w:p>
        </w:tc>
        <w:tc>
          <w:tcPr>
            <w:tcW w:w="1026" w:type="dxa"/>
            <w:noWrap/>
            <w:vAlign w:val="center"/>
          </w:tcPr>
          <w:p w14:paraId="294C068D" w14:textId="62D16A6A" w:rsidR="00F8000D" w:rsidRPr="00EC3605" w:rsidRDefault="00F8000D"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No aplicable</w:t>
            </w:r>
          </w:p>
        </w:tc>
        <w:tc>
          <w:tcPr>
            <w:tcW w:w="841" w:type="dxa"/>
            <w:noWrap/>
            <w:vAlign w:val="center"/>
          </w:tcPr>
          <w:p w14:paraId="39AD5831" w14:textId="77777777" w:rsidR="00F8000D" w:rsidRPr="00EC3605" w:rsidRDefault="00F8000D"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620</w:t>
            </w:r>
          </w:p>
          <w:p w14:paraId="64A423AA" w14:textId="705B3977" w:rsidR="00F8000D" w:rsidRPr="00EC3605" w:rsidRDefault="00F8000D"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10</w:t>
            </w:r>
          </w:p>
        </w:tc>
        <w:tc>
          <w:tcPr>
            <w:tcW w:w="728" w:type="dxa"/>
            <w:noWrap/>
            <w:vAlign w:val="center"/>
          </w:tcPr>
          <w:p w14:paraId="5E0012F3" w14:textId="77777777" w:rsidR="00F8000D" w:rsidRPr="00EC3605" w:rsidRDefault="00F8000D"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GN</w:t>
            </w:r>
          </w:p>
          <w:p w14:paraId="07F925CD" w14:textId="0F0FAB7B" w:rsidR="00F8000D" w:rsidRPr="00EC3605" w:rsidRDefault="00F8000D"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OTH</w:t>
            </w:r>
          </w:p>
        </w:tc>
        <w:tc>
          <w:tcPr>
            <w:tcW w:w="851" w:type="dxa"/>
            <w:noWrap/>
            <w:vAlign w:val="center"/>
          </w:tcPr>
          <w:p w14:paraId="7C2BD24E" w14:textId="77777777" w:rsidR="00F8000D" w:rsidRPr="00EC3605" w:rsidRDefault="00F8000D" w:rsidP="00102FBE">
            <w:pPr>
              <w:spacing w:after="0" w:line="240" w:lineRule="auto"/>
              <w:jc w:val="center"/>
              <w:rPr>
                <w:rFonts w:ascii="Cambria" w:eastAsia="Times New Roman" w:hAnsi="Cambria" w:cs="Calibri"/>
                <w:color w:val="000000"/>
                <w:sz w:val="18"/>
                <w:szCs w:val="18"/>
              </w:rPr>
            </w:pPr>
          </w:p>
        </w:tc>
        <w:tc>
          <w:tcPr>
            <w:tcW w:w="992" w:type="dxa"/>
            <w:noWrap/>
            <w:vAlign w:val="center"/>
          </w:tcPr>
          <w:p w14:paraId="0E6EF8A7" w14:textId="77777777" w:rsidR="00F8000D" w:rsidRPr="00EC3605" w:rsidRDefault="00F8000D"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620</w:t>
            </w:r>
          </w:p>
          <w:p w14:paraId="382FFA50" w14:textId="5245D5D0" w:rsidR="00F8000D" w:rsidRPr="00EC3605" w:rsidRDefault="00F8000D"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10</w:t>
            </w:r>
          </w:p>
        </w:tc>
        <w:tc>
          <w:tcPr>
            <w:tcW w:w="739" w:type="dxa"/>
            <w:noWrap/>
            <w:vAlign w:val="center"/>
          </w:tcPr>
          <w:p w14:paraId="5C2880C6" w14:textId="77777777" w:rsidR="00F8000D" w:rsidRPr="00EC3605" w:rsidRDefault="00F8000D"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GN</w:t>
            </w:r>
          </w:p>
          <w:p w14:paraId="23A2B232" w14:textId="18E12192" w:rsidR="00F8000D" w:rsidRPr="00EC3605" w:rsidRDefault="00F8000D"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OTH</w:t>
            </w:r>
          </w:p>
        </w:tc>
        <w:tc>
          <w:tcPr>
            <w:tcW w:w="973" w:type="dxa"/>
            <w:noWrap/>
            <w:vAlign w:val="center"/>
          </w:tcPr>
          <w:p w14:paraId="339AE78E" w14:textId="77777777" w:rsidR="00F8000D" w:rsidRPr="00EC3605" w:rsidRDefault="00F8000D" w:rsidP="00102FBE">
            <w:pPr>
              <w:spacing w:after="0" w:line="240" w:lineRule="auto"/>
              <w:jc w:val="center"/>
              <w:rPr>
                <w:rFonts w:ascii="Cambria" w:eastAsia="Times New Roman" w:hAnsi="Cambria" w:cs="Calibri"/>
                <w:color w:val="000000"/>
                <w:sz w:val="18"/>
                <w:szCs w:val="18"/>
              </w:rPr>
            </w:pPr>
          </w:p>
        </w:tc>
        <w:tc>
          <w:tcPr>
            <w:tcW w:w="2966" w:type="dxa"/>
          </w:tcPr>
          <w:p w14:paraId="2C5FBACB" w14:textId="142D12B3" w:rsidR="00F8000D" w:rsidRPr="00EC3605" w:rsidRDefault="00F8000D" w:rsidP="00102FBE">
            <w:pPr>
              <w:spacing w:after="0" w:line="240" w:lineRule="auto"/>
              <w:jc w:val="both"/>
              <w:rPr>
                <w:rFonts w:ascii="Cambria" w:hAnsi="Cambria"/>
                <w:sz w:val="18"/>
                <w:szCs w:val="18"/>
              </w:rPr>
            </w:pPr>
            <w:r w:rsidRPr="00EC3605">
              <w:rPr>
                <w:rFonts w:ascii="Cambria" w:hAnsi="Cambria"/>
                <w:sz w:val="18"/>
                <w:szCs w:val="18"/>
              </w:rPr>
              <w:t>El pez espada del Atlántico norte (SWO-N) se captura actualmente en Liberia exclusivamente como captura fortuita por aproximadamente 620 canoas artesanales. En la actualidad, no hay planes para aumentar el número de canoas que participan en la pesca. El Gobierno de Liberia, a través de la Autoridad Nacional de Pesca y Acuicultura (</w:t>
            </w:r>
            <w:proofErr w:type="spellStart"/>
            <w:r w:rsidRPr="00EC3605">
              <w:rPr>
                <w:rFonts w:ascii="Cambria" w:hAnsi="Cambria"/>
                <w:sz w:val="18"/>
                <w:szCs w:val="18"/>
              </w:rPr>
              <w:t>NaFAA</w:t>
            </w:r>
            <w:proofErr w:type="spellEnd"/>
            <w:r w:rsidRPr="00EC3605">
              <w:rPr>
                <w:rFonts w:ascii="Cambria" w:hAnsi="Cambria"/>
                <w:sz w:val="18"/>
                <w:szCs w:val="18"/>
              </w:rPr>
              <w:t xml:space="preserve">), se compromete a mantener niveles sostenibles de esfuerzo pesquero en el sector artesanal. Liberia cuenta con un programa de recopilación de datos sobre la pesca artesanal, que emplea a 32 encuestadores pesqueros distribuidos en 24 puntos de desembarque repartidos por los nueve condados costeros. Estos encuestadores recopilan sistemáticamente datos sobre las capturas, el esfuerzo pesquero y la composición por tallas de las especies objetivo y las capturas fortuitas, incluidos los túnidos y especies afines, como el SWO-N. </w:t>
            </w:r>
            <w:r w:rsidRPr="00EC3605">
              <w:rPr>
                <w:rFonts w:ascii="Cambria" w:hAnsi="Cambria"/>
                <w:sz w:val="18"/>
                <w:szCs w:val="18"/>
              </w:rPr>
              <w:lastRenderedPageBreak/>
              <w:t xml:space="preserve">Además de la recopilación de datos, los inspectores de pesca realizan periódicamente inspecciones de los artes de pesca para garantizar el cumplimiento de la normativa nacional e internacional, en particular la relativa al tipo de artes y los límites mínimos de talla. La </w:t>
            </w:r>
            <w:proofErr w:type="spellStart"/>
            <w:r w:rsidRPr="00EC3605">
              <w:rPr>
                <w:rFonts w:ascii="Cambria" w:hAnsi="Cambria"/>
                <w:sz w:val="18"/>
                <w:szCs w:val="18"/>
              </w:rPr>
              <w:t>NaFAA</w:t>
            </w:r>
            <w:proofErr w:type="spellEnd"/>
            <w:r w:rsidRPr="00EC3605">
              <w:rPr>
                <w:rFonts w:ascii="Cambria" w:hAnsi="Cambria"/>
                <w:sz w:val="18"/>
                <w:szCs w:val="18"/>
              </w:rPr>
              <w:t xml:space="preserve"> también ha participado en consultas continuas con las partes interesadas, en particular con los pescadores artesanales, centrándose en la sensibilización sobre las prácticas pesqueras responsables, el cumplimiento de la normativa y la identificación de especies. En 2024, Liberia solicitó una cuota de 15 t de SWO-N. Aunque esta especie sigue siendo capturada como captura fortuita, representa una valiosa fuente de proteínas y un producto de importancia económica para las comunidades costeras. En 2024, se declaró una captura total de 2,02 t. </w:t>
            </w:r>
          </w:p>
          <w:p w14:paraId="5C3E3048" w14:textId="77777777" w:rsidR="006A642E" w:rsidRPr="00EC3605" w:rsidRDefault="006A642E" w:rsidP="00102FBE">
            <w:pPr>
              <w:spacing w:after="0" w:line="240" w:lineRule="auto"/>
              <w:jc w:val="both"/>
              <w:rPr>
                <w:rFonts w:ascii="Cambria" w:hAnsi="Cambria"/>
                <w:sz w:val="18"/>
                <w:szCs w:val="18"/>
              </w:rPr>
            </w:pPr>
          </w:p>
          <w:p w14:paraId="58B1FFB0" w14:textId="465626B9" w:rsidR="00140AA1" w:rsidRPr="00EC3605" w:rsidRDefault="00F8000D" w:rsidP="00EE02C8">
            <w:pPr>
              <w:spacing w:after="0" w:line="240" w:lineRule="auto"/>
              <w:jc w:val="both"/>
              <w:rPr>
                <w:rFonts w:ascii="Cambria" w:hAnsi="Cambria"/>
                <w:sz w:val="18"/>
                <w:szCs w:val="18"/>
              </w:rPr>
            </w:pPr>
            <w:r w:rsidRPr="00EC3605">
              <w:rPr>
                <w:rFonts w:ascii="Cambria" w:hAnsi="Cambria"/>
                <w:sz w:val="18"/>
                <w:szCs w:val="18"/>
              </w:rPr>
              <w:t xml:space="preserve">Las 620 canoas operan principalmente con redes de enmalle (GN), que son el tipo de arte asociado con la captura fortuita de pez espada. La gestión de esta pesquería se rige por una combinación de marcos jurídicos internacionales y nacionales, incluidas las recomendaciones y medidas de conservación pertinentes de la Comisión Internacional para la Conservación del Atún Atlántico (ICCAT) y la Ley </w:t>
            </w:r>
            <w:r w:rsidRPr="00EC3605">
              <w:rPr>
                <w:rFonts w:ascii="Cambria" w:hAnsi="Cambria"/>
                <w:sz w:val="18"/>
                <w:szCs w:val="18"/>
              </w:rPr>
              <w:lastRenderedPageBreak/>
              <w:t>de Gestión y Desarrollo de la Pesca y la Acuicultura de Liberia de 2019.</w:t>
            </w:r>
          </w:p>
        </w:tc>
        <w:tc>
          <w:tcPr>
            <w:tcW w:w="2835" w:type="dxa"/>
            <w:tcBorders>
              <w:bottom w:val="single" w:sz="4" w:space="0" w:color="auto"/>
              <w:right w:val="single" w:sz="4" w:space="0" w:color="auto"/>
            </w:tcBorders>
            <w:noWrap/>
          </w:tcPr>
          <w:p w14:paraId="3FAAD941" w14:textId="72FF4424" w:rsidR="00F8000D" w:rsidRPr="00EC3605" w:rsidRDefault="00F8000D" w:rsidP="00102FBE">
            <w:pPr>
              <w:spacing w:after="0" w:line="240" w:lineRule="auto"/>
              <w:jc w:val="both"/>
              <w:rPr>
                <w:rFonts w:ascii="Cambria" w:hAnsi="Cambria" w:cs="Calibri"/>
                <w:color w:val="000000"/>
                <w:sz w:val="18"/>
                <w:szCs w:val="18"/>
              </w:rPr>
            </w:pPr>
            <w:r w:rsidRPr="00EC3605">
              <w:rPr>
                <w:rFonts w:ascii="Cambria" w:hAnsi="Cambria"/>
                <w:color w:val="000000"/>
                <w:sz w:val="18"/>
                <w:szCs w:val="18"/>
              </w:rPr>
              <w:lastRenderedPageBreak/>
              <w:t xml:space="preserve">Liberia está desarrollando actualmente medidas para hacer frente a su </w:t>
            </w:r>
            <w:r w:rsidR="00EE2433">
              <w:rPr>
                <w:rFonts w:ascii="Cambria" w:hAnsi="Cambria"/>
                <w:color w:val="000000"/>
                <w:sz w:val="18"/>
                <w:szCs w:val="18"/>
              </w:rPr>
              <w:t>exceso de captura</w:t>
            </w:r>
            <w:r w:rsidRPr="00EC3605">
              <w:rPr>
                <w:rFonts w:ascii="Cambria" w:hAnsi="Cambria"/>
                <w:color w:val="000000"/>
                <w:sz w:val="18"/>
                <w:szCs w:val="18"/>
              </w:rPr>
              <w:t xml:space="preserve"> de 115,28 </w:t>
            </w:r>
            <w:r w:rsidR="00EE2433">
              <w:rPr>
                <w:rFonts w:ascii="Cambria" w:hAnsi="Cambria"/>
                <w:color w:val="000000"/>
                <w:sz w:val="18"/>
                <w:szCs w:val="18"/>
              </w:rPr>
              <w:t>t</w:t>
            </w:r>
            <w:r w:rsidRPr="00EC3605">
              <w:rPr>
                <w:rFonts w:ascii="Cambria" w:hAnsi="Cambria"/>
                <w:color w:val="000000"/>
                <w:sz w:val="18"/>
                <w:szCs w:val="18"/>
              </w:rPr>
              <w:t xml:space="preserve"> de SWO-N, de conformidad con los requisitos de cumplimiento de ICCAT. Un paso clave para abordar este exceso de captura es la mejora de la capacidad de identificación de especies. Con este fin, los encuestadores pesqueros han recibido formación especializada para identificar correctamente el SWO-N y distinguirlo de otras especies de túnidos y similares, minimizando así el riesgo de identificación errónea en los registros de capturas. Un caso notable ocurrió en 2017, cuando Liberia comunicó una captura de 94,69 t, que más tarde se descubrió que era en gran parte el resultado de una identificación errónea de especies. Este problema puso de manifiesto la necesidad de reforzar la formación y el control de calidad </w:t>
            </w:r>
            <w:r w:rsidRPr="00EC3605">
              <w:rPr>
                <w:rFonts w:ascii="Cambria" w:hAnsi="Cambria"/>
                <w:color w:val="000000"/>
                <w:sz w:val="18"/>
                <w:szCs w:val="18"/>
              </w:rPr>
              <w:lastRenderedPageBreak/>
              <w:t xml:space="preserve">en los sistemas de comunicación de datos, algo en lo que la </w:t>
            </w:r>
            <w:proofErr w:type="spellStart"/>
            <w:r w:rsidRPr="00EC3605">
              <w:rPr>
                <w:rFonts w:ascii="Cambria" w:hAnsi="Cambria"/>
                <w:color w:val="000000"/>
                <w:sz w:val="18"/>
                <w:szCs w:val="18"/>
              </w:rPr>
              <w:t>NaFAA</w:t>
            </w:r>
            <w:proofErr w:type="spellEnd"/>
            <w:r w:rsidRPr="00EC3605">
              <w:rPr>
                <w:rFonts w:ascii="Cambria" w:hAnsi="Cambria"/>
                <w:color w:val="000000"/>
                <w:sz w:val="18"/>
                <w:szCs w:val="18"/>
              </w:rPr>
              <w:t xml:space="preserve"> ha trabajado desde entonces. De cara al futuro, Liberia mantiene su compromiso de mejorar su marco de gobernanza pesquera mediante las siguientes medidas: Formación continua y desarrollo de capacidades para los recopiladores de datos e inspectores pesqueros; refuerzo de los sistemas de seguimiento, control y vigilancia (</w:t>
            </w:r>
            <w:r w:rsidR="006408EA">
              <w:rPr>
                <w:rFonts w:ascii="Cambria" w:hAnsi="Cambria"/>
                <w:color w:val="000000"/>
                <w:sz w:val="18"/>
                <w:szCs w:val="18"/>
              </w:rPr>
              <w:t>S</w:t>
            </w:r>
            <w:r w:rsidR="00EC5D53">
              <w:rPr>
                <w:rFonts w:ascii="Cambria" w:hAnsi="Cambria"/>
                <w:color w:val="000000"/>
                <w:sz w:val="18"/>
                <w:szCs w:val="18"/>
              </w:rPr>
              <w:t>CV</w:t>
            </w:r>
            <w:r w:rsidRPr="00EC3605">
              <w:rPr>
                <w:rFonts w:ascii="Cambria" w:hAnsi="Cambria"/>
                <w:color w:val="000000"/>
                <w:sz w:val="18"/>
                <w:szCs w:val="18"/>
              </w:rPr>
              <w:t>) para garantizar el cumplimiento de las obligaciones nacionales e internacionales; mejora de la colaboración con las partes interesadas, en particular en el sector artesanal, para promover prácticas de captura sostenibles; y elaboración de planes de ordenación específicos para cada especie a medida que mejora la calidad de los datos y se hace posible realizar evaluaciones más precisas de los stocks. Estos esfuerzos reflejan el compromiso más amplio de Liberia con la ordenación sostenible de las especies altamente migratorias, de conformidad con los mejores conocimientos científicos disponibles y las mejores prácticas internacionales.</w:t>
            </w:r>
          </w:p>
        </w:tc>
        <w:tc>
          <w:tcPr>
            <w:tcW w:w="236" w:type="dxa"/>
            <w:tcBorders>
              <w:top w:val="nil"/>
              <w:left w:val="single" w:sz="4" w:space="0" w:color="auto"/>
              <w:bottom w:val="nil"/>
              <w:right w:val="nil"/>
            </w:tcBorders>
            <w:vAlign w:val="center"/>
          </w:tcPr>
          <w:p w14:paraId="185D760C" w14:textId="77777777" w:rsidR="00F8000D" w:rsidRPr="00EC3605" w:rsidRDefault="00F8000D" w:rsidP="00102FBE">
            <w:pPr>
              <w:spacing w:after="0" w:line="240" w:lineRule="auto"/>
              <w:rPr>
                <w:rFonts w:ascii="Cambria" w:eastAsia="Times New Roman" w:hAnsi="Cambria" w:cs="Times New Roman"/>
                <w:sz w:val="18"/>
                <w:szCs w:val="18"/>
              </w:rPr>
            </w:pPr>
          </w:p>
        </w:tc>
      </w:tr>
      <w:tr w:rsidR="00F8000D" w:rsidRPr="00EC3605" w14:paraId="1E5106EC" w14:textId="77777777" w:rsidTr="00140AA1">
        <w:tc>
          <w:tcPr>
            <w:tcW w:w="1164" w:type="dxa"/>
            <w:noWrap/>
            <w:vAlign w:val="center"/>
            <w:hideMark/>
          </w:tcPr>
          <w:p w14:paraId="041F4CA8" w14:textId="77777777" w:rsidR="00F8000D" w:rsidRPr="00EC3605" w:rsidRDefault="00F8000D" w:rsidP="00102FBE">
            <w:pPr>
              <w:spacing w:after="0" w:line="240" w:lineRule="auto"/>
              <w:jc w:val="center"/>
              <w:rPr>
                <w:rFonts w:ascii="Cambria" w:eastAsia="Times New Roman" w:hAnsi="Cambria" w:cs="Calibri"/>
                <w:b/>
                <w:bCs/>
                <w:color w:val="000000"/>
                <w:sz w:val="18"/>
                <w:szCs w:val="18"/>
              </w:rPr>
            </w:pPr>
            <w:r w:rsidRPr="00EC3605">
              <w:rPr>
                <w:rFonts w:ascii="Cambria" w:hAnsi="Cambria"/>
                <w:b/>
                <w:color w:val="000000"/>
                <w:sz w:val="18"/>
                <w:szCs w:val="18"/>
              </w:rPr>
              <w:lastRenderedPageBreak/>
              <w:t>México</w:t>
            </w:r>
          </w:p>
        </w:tc>
        <w:tc>
          <w:tcPr>
            <w:tcW w:w="914" w:type="dxa"/>
            <w:noWrap/>
            <w:vAlign w:val="center"/>
            <w:hideMark/>
          </w:tcPr>
          <w:p w14:paraId="3FCC6953" w14:textId="74ED6CD7" w:rsidR="00F8000D" w:rsidRPr="00EC3605" w:rsidRDefault="00F8000D"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Sí</w:t>
            </w:r>
          </w:p>
        </w:tc>
        <w:tc>
          <w:tcPr>
            <w:tcW w:w="1026" w:type="dxa"/>
            <w:noWrap/>
            <w:vAlign w:val="center"/>
            <w:hideMark/>
          </w:tcPr>
          <w:p w14:paraId="1FF17A02" w14:textId="77777777" w:rsidR="00F8000D" w:rsidRPr="00EC3605" w:rsidRDefault="00F8000D"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200</w:t>
            </w:r>
          </w:p>
        </w:tc>
        <w:tc>
          <w:tcPr>
            <w:tcW w:w="841" w:type="dxa"/>
            <w:noWrap/>
            <w:vAlign w:val="center"/>
            <w:hideMark/>
          </w:tcPr>
          <w:p w14:paraId="0DE264F0" w14:textId="77777777" w:rsidR="00F8000D" w:rsidRPr="00EC3605" w:rsidRDefault="00F8000D"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4</w:t>
            </w:r>
          </w:p>
        </w:tc>
        <w:tc>
          <w:tcPr>
            <w:tcW w:w="728" w:type="dxa"/>
            <w:noWrap/>
            <w:vAlign w:val="center"/>
            <w:hideMark/>
          </w:tcPr>
          <w:p w14:paraId="4147063B" w14:textId="0B849686" w:rsidR="00F8000D" w:rsidRPr="00EC3605" w:rsidRDefault="00F8000D"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LL</w:t>
            </w:r>
          </w:p>
        </w:tc>
        <w:tc>
          <w:tcPr>
            <w:tcW w:w="851" w:type="dxa"/>
            <w:noWrap/>
            <w:vAlign w:val="center"/>
            <w:hideMark/>
          </w:tcPr>
          <w:p w14:paraId="5CC6E45E" w14:textId="0712A26A" w:rsidR="00F8000D" w:rsidRPr="00EC3605" w:rsidRDefault="00F8000D"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26</w:t>
            </w:r>
          </w:p>
        </w:tc>
        <w:tc>
          <w:tcPr>
            <w:tcW w:w="992" w:type="dxa"/>
            <w:noWrap/>
            <w:vAlign w:val="center"/>
            <w:hideMark/>
          </w:tcPr>
          <w:p w14:paraId="5533C94E" w14:textId="438E1FFA" w:rsidR="00F8000D" w:rsidRPr="00EC3605" w:rsidRDefault="00F8000D"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0</w:t>
            </w:r>
          </w:p>
        </w:tc>
        <w:tc>
          <w:tcPr>
            <w:tcW w:w="739" w:type="dxa"/>
            <w:noWrap/>
            <w:vAlign w:val="center"/>
            <w:hideMark/>
          </w:tcPr>
          <w:p w14:paraId="3EBEA966" w14:textId="70ED62CB" w:rsidR="00F8000D" w:rsidRPr="00EC3605" w:rsidRDefault="00F8000D" w:rsidP="00102FBE">
            <w:pPr>
              <w:spacing w:after="0" w:line="240" w:lineRule="auto"/>
              <w:jc w:val="center"/>
              <w:rPr>
                <w:rFonts w:ascii="Cambria" w:eastAsia="Times New Roman" w:hAnsi="Cambria" w:cs="Calibri"/>
                <w:color w:val="000000"/>
                <w:sz w:val="18"/>
                <w:szCs w:val="18"/>
              </w:rPr>
            </w:pPr>
          </w:p>
        </w:tc>
        <w:tc>
          <w:tcPr>
            <w:tcW w:w="973" w:type="dxa"/>
            <w:noWrap/>
            <w:vAlign w:val="center"/>
            <w:hideMark/>
          </w:tcPr>
          <w:p w14:paraId="337595C2" w14:textId="3281CF97" w:rsidR="00F8000D" w:rsidRPr="00EC3605" w:rsidRDefault="00F8000D" w:rsidP="00102FBE">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0</w:t>
            </w:r>
          </w:p>
        </w:tc>
        <w:tc>
          <w:tcPr>
            <w:tcW w:w="2966" w:type="dxa"/>
            <w:hideMark/>
          </w:tcPr>
          <w:p w14:paraId="27A0D44C" w14:textId="7B0EEC6C" w:rsidR="00096231" w:rsidRPr="00EC3605" w:rsidRDefault="00096231" w:rsidP="00096231">
            <w:pPr>
              <w:spacing w:after="0" w:line="240" w:lineRule="auto"/>
              <w:jc w:val="both"/>
              <w:rPr>
                <w:rFonts w:ascii="Cambria" w:hAnsi="Cambria"/>
                <w:sz w:val="18"/>
                <w:szCs w:val="18"/>
              </w:rPr>
            </w:pPr>
            <w:r w:rsidRPr="00EC3605">
              <w:rPr>
                <w:rFonts w:ascii="Cambria" w:hAnsi="Cambria"/>
                <w:sz w:val="18"/>
                <w:szCs w:val="18"/>
              </w:rPr>
              <w:t>Acuerdo por el que se establece la talla mínima de captura comercial para el pez espada (</w:t>
            </w:r>
            <w:r w:rsidRPr="00EC3605">
              <w:rPr>
                <w:rFonts w:ascii="Cambria" w:hAnsi="Cambria"/>
                <w:i/>
                <w:iCs/>
                <w:sz w:val="18"/>
                <w:szCs w:val="18"/>
              </w:rPr>
              <w:t>Xiphias gladius</w:t>
            </w:r>
            <w:r w:rsidRPr="00EC3605">
              <w:rPr>
                <w:rFonts w:ascii="Cambria" w:hAnsi="Cambria"/>
                <w:sz w:val="18"/>
                <w:szCs w:val="18"/>
              </w:rPr>
              <w:t>) en aguas marinas de jurisdicción federal del golfo de México y mar Caribe.  Publicado en el Diario Oficial de la Federación (DOF) el 23 de mayo de 2019.</w:t>
            </w:r>
          </w:p>
          <w:p w14:paraId="5FFD3383" w14:textId="77777777" w:rsidR="00096231" w:rsidRPr="00EC3605" w:rsidRDefault="00096231" w:rsidP="00096231">
            <w:pPr>
              <w:spacing w:after="0" w:line="240" w:lineRule="auto"/>
              <w:jc w:val="both"/>
              <w:rPr>
                <w:rFonts w:ascii="Cambria" w:hAnsi="Cambria"/>
                <w:sz w:val="18"/>
                <w:szCs w:val="18"/>
              </w:rPr>
            </w:pPr>
          </w:p>
          <w:p w14:paraId="0FAE0282" w14:textId="754689FA" w:rsidR="00096231" w:rsidRPr="00EC3605" w:rsidRDefault="00096231" w:rsidP="00096231">
            <w:pPr>
              <w:spacing w:after="0" w:line="240" w:lineRule="auto"/>
              <w:jc w:val="both"/>
              <w:rPr>
                <w:rFonts w:ascii="Cambria" w:hAnsi="Cambria"/>
                <w:sz w:val="18"/>
                <w:szCs w:val="18"/>
              </w:rPr>
            </w:pPr>
            <w:r w:rsidRPr="00EC3605">
              <w:rPr>
                <w:rFonts w:ascii="Cambria" w:hAnsi="Cambria"/>
                <w:sz w:val="18"/>
                <w:szCs w:val="18"/>
              </w:rPr>
              <w:t>Norma Oficial Mexicana NOM-023-SAG/PESC-2014, que regula el aprovechamiento de las especies de túnidos con embarcaciones palangreras en aguas de jurisdicción federal del golfo de México y mar Caribe.  Publicado en el Diario Oficial de la Federación (DOF) el 16 de abril de 2014.</w:t>
            </w:r>
          </w:p>
          <w:p w14:paraId="7CB46588" w14:textId="77777777" w:rsidR="00901E32" w:rsidRDefault="00901E32" w:rsidP="00096231">
            <w:pPr>
              <w:spacing w:after="0" w:line="240" w:lineRule="auto"/>
              <w:jc w:val="both"/>
              <w:rPr>
                <w:rFonts w:ascii="Cambria" w:hAnsi="Cambria"/>
                <w:sz w:val="18"/>
                <w:szCs w:val="18"/>
              </w:rPr>
            </w:pPr>
          </w:p>
          <w:p w14:paraId="4BBF63DF" w14:textId="09758678" w:rsidR="003471A4" w:rsidRPr="00EC3605" w:rsidRDefault="00096231" w:rsidP="00096231">
            <w:pPr>
              <w:spacing w:after="0" w:line="240" w:lineRule="auto"/>
              <w:jc w:val="both"/>
              <w:rPr>
                <w:rFonts w:ascii="Cambria" w:hAnsi="Cambria"/>
                <w:sz w:val="18"/>
                <w:szCs w:val="18"/>
              </w:rPr>
            </w:pPr>
            <w:r w:rsidRPr="00EC3605">
              <w:rPr>
                <w:rFonts w:ascii="Cambria" w:hAnsi="Cambria"/>
                <w:sz w:val="18"/>
                <w:szCs w:val="18"/>
              </w:rPr>
              <w:t>Norma Oficial Mexicana NOM-017-PESC-1994, Para regular las actividades de pesca deportivo recreativa en las aguas de jurisdicción federal de los Estados Unidos Mexicanos.</w:t>
            </w:r>
            <w:r w:rsidRPr="00EC3605">
              <w:rPr>
                <w:rFonts w:ascii="Cambria" w:hAnsi="Cambria"/>
                <w:sz w:val="18"/>
                <w:szCs w:val="18"/>
              </w:rPr>
              <w:tab/>
            </w:r>
          </w:p>
          <w:p w14:paraId="40FEF5F0" w14:textId="01981523" w:rsidR="00096231" w:rsidRPr="00EC3605" w:rsidRDefault="00096231" w:rsidP="00096231">
            <w:pPr>
              <w:spacing w:after="0" w:line="240" w:lineRule="auto"/>
              <w:jc w:val="both"/>
              <w:rPr>
                <w:rFonts w:ascii="Cambria" w:eastAsia="Times New Roman" w:hAnsi="Cambria" w:cs="Calibri"/>
                <w:color w:val="000000"/>
                <w:sz w:val="18"/>
                <w:szCs w:val="18"/>
              </w:rPr>
            </w:pPr>
          </w:p>
        </w:tc>
        <w:tc>
          <w:tcPr>
            <w:tcW w:w="2835" w:type="dxa"/>
            <w:tcBorders>
              <w:bottom w:val="single" w:sz="4" w:space="0" w:color="auto"/>
              <w:right w:val="single" w:sz="4" w:space="0" w:color="auto"/>
            </w:tcBorders>
            <w:noWrap/>
            <w:hideMark/>
          </w:tcPr>
          <w:p w14:paraId="102DD673" w14:textId="17987A07" w:rsidR="00F8000D" w:rsidRPr="00EC3605" w:rsidRDefault="00F8000D" w:rsidP="00102FBE">
            <w:pPr>
              <w:spacing w:after="0" w:line="240" w:lineRule="auto"/>
              <w:jc w:val="both"/>
              <w:rPr>
                <w:rFonts w:ascii="Cambria" w:eastAsia="Times New Roman" w:hAnsi="Cambria" w:cs="Calibri"/>
                <w:color w:val="000000"/>
                <w:sz w:val="18"/>
                <w:szCs w:val="18"/>
              </w:rPr>
            </w:pPr>
          </w:p>
        </w:tc>
        <w:tc>
          <w:tcPr>
            <w:tcW w:w="236" w:type="dxa"/>
            <w:tcBorders>
              <w:top w:val="nil"/>
              <w:left w:val="single" w:sz="4" w:space="0" w:color="auto"/>
              <w:bottom w:val="nil"/>
              <w:right w:val="nil"/>
            </w:tcBorders>
            <w:vAlign w:val="center"/>
            <w:hideMark/>
          </w:tcPr>
          <w:p w14:paraId="4988C096" w14:textId="77777777" w:rsidR="00F8000D" w:rsidRPr="00EC3605" w:rsidRDefault="00F8000D" w:rsidP="00102FBE">
            <w:pPr>
              <w:spacing w:after="0" w:line="240" w:lineRule="auto"/>
              <w:rPr>
                <w:rFonts w:ascii="Cambria" w:eastAsia="Times New Roman" w:hAnsi="Cambria" w:cs="Times New Roman"/>
                <w:sz w:val="18"/>
                <w:szCs w:val="18"/>
              </w:rPr>
            </w:pPr>
          </w:p>
        </w:tc>
      </w:tr>
      <w:tr w:rsidR="00936714" w:rsidRPr="00EC3605" w14:paraId="0E29AE82" w14:textId="77777777" w:rsidTr="00140AA1">
        <w:tc>
          <w:tcPr>
            <w:tcW w:w="1164" w:type="dxa"/>
            <w:tcBorders>
              <w:bottom w:val="single" w:sz="4" w:space="0" w:color="auto"/>
            </w:tcBorders>
            <w:noWrap/>
            <w:vAlign w:val="center"/>
          </w:tcPr>
          <w:p w14:paraId="43BA9204" w14:textId="578F9DEE" w:rsidR="00936714" w:rsidRPr="00EC3605" w:rsidRDefault="00936714" w:rsidP="00936714">
            <w:pPr>
              <w:spacing w:after="0" w:line="240" w:lineRule="auto"/>
              <w:jc w:val="center"/>
              <w:rPr>
                <w:rFonts w:ascii="Cambria" w:eastAsia="Times New Roman" w:hAnsi="Cambria" w:cs="Calibri"/>
                <w:b/>
                <w:bCs/>
                <w:color w:val="000000"/>
                <w:sz w:val="18"/>
                <w:szCs w:val="18"/>
              </w:rPr>
            </w:pPr>
            <w:r w:rsidRPr="00EC3605">
              <w:rPr>
                <w:rFonts w:ascii="Cambria" w:hAnsi="Cambria"/>
                <w:b/>
                <w:color w:val="000000"/>
                <w:sz w:val="18"/>
                <w:szCs w:val="18"/>
              </w:rPr>
              <w:t>Marruecos</w:t>
            </w:r>
          </w:p>
        </w:tc>
        <w:tc>
          <w:tcPr>
            <w:tcW w:w="914" w:type="dxa"/>
            <w:tcBorders>
              <w:bottom w:val="single" w:sz="4" w:space="0" w:color="auto"/>
            </w:tcBorders>
            <w:noWrap/>
            <w:vAlign w:val="center"/>
          </w:tcPr>
          <w:p w14:paraId="67807FFD" w14:textId="3BAAA20E" w:rsidR="00936714" w:rsidRPr="00EC3605" w:rsidRDefault="00936714" w:rsidP="00936714">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Sí</w:t>
            </w:r>
          </w:p>
        </w:tc>
        <w:tc>
          <w:tcPr>
            <w:tcW w:w="1026" w:type="dxa"/>
            <w:tcBorders>
              <w:bottom w:val="single" w:sz="4" w:space="0" w:color="auto"/>
            </w:tcBorders>
            <w:vAlign w:val="center"/>
          </w:tcPr>
          <w:p w14:paraId="47BAF343" w14:textId="1847BC23" w:rsidR="00936714" w:rsidRPr="00EC3605" w:rsidRDefault="00936714" w:rsidP="00936714">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1.186 (1.388,43 ajustado*)</w:t>
            </w:r>
          </w:p>
        </w:tc>
        <w:tc>
          <w:tcPr>
            <w:tcW w:w="841" w:type="dxa"/>
            <w:tcBorders>
              <w:bottom w:val="single" w:sz="4" w:space="0" w:color="auto"/>
            </w:tcBorders>
            <w:noWrap/>
            <w:vAlign w:val="center"/>
          </w:tcPr>
          <w:p w14:paraId="6E4DE9C7" w14:textId="13095259" w:rsidR="00936714" w:rsidRPr="00EC3605" w:rsidRDefault="00936714" w:rsidP="00936714">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860</w:t>
            </w:r>
          </w:p>
          <w:p w14:paraId="6A132FD2" w14:textId="73D05C80" w:rsidR="00936714" w:rsidRPr="00EC3605" w:rsidRDefault="00936714" w:rsidP="00936714">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530</w:t>
            </w:r>
          </w:p>
        </w:tc>
        <w:tc>
          <w:tcPr>
            <w:tcW w:w="728" w:type="dxa"/>
            <w:tcBorders>
              <w:bottom w:val="single" w:sz="4" w:space="0" w:color="auto"/>
            </w:tcBorders>
            <w:noWrap/>
            <w:vAlign w:val="center"/>
          </w:tcPr>
          <w:p w14:paraId="222E08C7" w14:textId="77777777" w:rsidR="00936714" w:rsidRPr="00EC3605" w:rsidRDefault="00936714" w:rsidP="00936714">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LL</w:t>
            </w:r>
          </w:p>
          <w:p w14:paraId="7D1E8D5C" w14:textId="183818C3" w:rsidR="00936714" w:rsidRPr="00EC3605" w:rsidRDefault="00936714" w:rsidP="00936714">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HL</w:t>
            </w:r>
          </w:p>
        </w:tc>
        <w:tc>
          <w:tcPr>
            <w:tcW w:w="851" w:type="dxa"/>
            <w:tcBorders>
              <w:bottom w:val="single" w:sz="4" w:space="0" w:color="auto"/>
            </w:tcBorders>
            <w:noWrap/>
            <w:vAlign w:val="center"/>
          </w:tcPr>
          <w:p w14:paraId="0791AF70" w14:textId="67A8ECAF" w:rsidR="00936714" w:rsidRPr="00EC3605" w:rsidRDefault="00936714" w:rsidP="00936714">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738</w:t>
            </w:r>
          </w:p>
          <w:p w14:paraId="18220F37" w14:textId="568CD2EF" w:rsidR="00936714" w:rsidRPr="00EC3605" w:rsidRDefault="00936714" w:rsidP="00936714">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650</w:t>
            </w:r>
          </w:p>
        </w:tc>
        <w:tc>
          <w:tcPr>
            <w:tcW w:w="992" w:type="dxa"/>
            <w:tcBorders>
              <w:bottom w:val="single" w:sz="4" w:space="0" w:color="auto"/>
            </w:tcBorders>
            <w:noWrap/>
            <w:vAlign w:val="center"/>
          </w:tcPr>
          <w:p w14:paraId="653356CE" w14:textId="77777777" w:rsidR="00936714" w:rsidRPr="00EC3605" w:rsidRDefault="00936714" w:rsidP="00936714">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880</w:t>
            </w:r>
          </w:p>
          <w:p w14:paraId="6DAE7024" w14:textId="73850119" w:rsidR="00936714" w:rsidRPr="00EC3605" w:rsidRDefault="00936714" w:rsidP="00936714">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1000</w:t>
            </w:r>
          </w:p>
        </w:tc>
        <w:tc>
          <w:tcPr>
            <w:tcW w:w="739" w:type="dxa"/>
            <w:tcBorders>
              <w:bottom w:val="single" w:sz="4" w:space="0" w:color="auto"/>
            </w:tcBorders>
            <w:noWrap/>
            <w:vAlign w:val="center"/>
          </w:tcPr>
          <w:p w14:paraId="0107565D" w14:textId="77777777" w:rsidR="00936714" w:rsidRPr="00EC3605" w:rsidRDefault="00936714" w:rsidP="00936714">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LL</w:t>
            </w:r>
          </w:p>
          <w:p w14:paraId="58111A00" w14:textId="4BC372AD" w:rsidR="00936714" w:rsidRPr="00EC3605" w:rsidRDefault="00936714" w:rsidP="00936714">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HL</w:t>
            </w:r>
          </w:p>
        </w:tc>
        <w:tc>
          <w:tcPr>
            <w:tcW w:w="973" w:type="dxa"/>
            <w:tcBorders>
              <w:bottom w:val="single" w:sz="4" w:space="0" w:color="auto"/>
            </w:tcBorders>
            <w:noWrap/>
            <w:vAlign w:val="center"/>
          </w:tcPr>
          <w:p w14:paraId="0F638FF5" w14:textId="508819F6" w:rsidR="00936714" w:rsidRPr="00EC3605" w:rsidRDefault="00936714" w:rsidP="00936714">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600</w:t>
            </w:r>
          </w:p>
          <w:p w14:paraId="231F54D5" w14:textId="4BCA3A8C" w:rsidR="00936714" w:rsidRPr="00EC3605" w:rsidRDefault="00936714" w:rsidP="00936714">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700</w:t>
            </w:r>
          </w:p>
        </w:tc>
        <w:tc>
          <w:tcPr>
            <w:tcW w:w="2966" w:type="dxa"/>
            <w:tcBorders>
              <w:bottom w:val="single" w:sz="4" w:space="0" w:color="auto"/>
            </w:tcBorders>
          </w:tcPr>
          <w:p w14:paraId="3062D4D8" w14:textId="77777777" w:rsidR="003D31D2" w:rsidRDefault="00A70108" w:rsidP="003D31D2">
            <w:pPr>
              <w:widowControl w:val="0"/>
              <w:spacing w:after="0" w:line="240" w:lineRule="auto"/>
              <w:jc w:val="both"/>
              <w:rPr>
                <w:rFonts w:ascii="Cambria" w:hAnsi="Cambria"/>
                <w:sz w:val="18"/>
                <w:szCs w:val="18"/>
              </w:rPr>
            </w:pPr>
            <w:r w:rsidRPr="00440EE1">
              <w:rPr>
                <w:rFonts w:ascii="Cambria" w:hAnsi="Cambria"/>
                <w:sz w:val="18"/>
                <w:szCs w:val="18"/>
              </w:rPr>
              <w:t xml:space="preserve">1. Decreto Ministerial nº 1112-22 de 14 de abril de 2022 sobre el plan de ordenación y desarrollo de la pesquería del pez espada </w:t>
            </w:r>
            <w:r w:rsidRPr="00440EE1">
              <w:rPr>
                <w:rFonts w:ascii="Cambria" w:hAnsi="Cambria"/>
                <w:i/>
                <w:sz w:val="18"/>
                <w:szCs w:val="18"/>
              </w:rPr>
              <w:t>(Xiphias gladius</w:t>
            </w:r>
            <w:r w:rsidRPr="00440EE1">
              <w:rPr>
                <w:rFonts w:ascii="Cambria" w:hAnsi="Cambria"/>
                <w:sz w:val="18"/>
                <w:szCs w:val="18"/>
              </w:rPr>
              <w:t>).</w:t>
            </w:r>
          </w:p>
          <w:p w14:paraId="4970347B" w14:textId="77777777" w:rsidR="00810860" w:rsidRPr="00440EE1" w:rsidRDefault="00810860" w:rsidP="003D31D2">
            <w:pPr>
              <w:widowControl w:val="0"/>
              <w:spacing w:after="0" w:line="240" w:lineRule="auto"/>
              <w:jc w:val="both"/>
              <w:rPr>
                <w:rFonts w:ascii="Cambria" w:hAnsi="Cambria"/>
                <w:sz w:val="18"/>
                <w:szCs w:val="18"/>
              </w:rPr>
            </w:pPr>
          </w:p>
          <w:p w14:paraId="69343B4E" w14:textId="50B8A02B" w:rsidR="00936714" w:rsidRPr="00342585" w:rsidRDefault="009E282F" w:rsidP="003D31D2">
            <w:pPr>
              <w:widowControl w:val="0"/>
              <w:spacing w:after="0" w:line="240" w:lineRule="auto"/>
              <w:jc w:val="both"/>
              <w:rPr>
                <w:rFonts w:ascii="Cambria" w:eastAsia="Calibri" w:hAnsi="Cambria" w:cs="Times New Roman"/>
                <w:sz w:val="18"/>
                <w:szCs w:val="18"/>
              </w:rPr>
            </w:pPr>
            <w:r>
              <w:rPr>
                <w:rFonts w:ascii="Cambria" w:eastAsia="Aptos" w:hAnsi="Cambria" w:cs="Times New Roman"/>
                <w:kern w:val="2"/>
                <w:sz w:val="18"/>
                <w:szCs w:val="18"/>
                <w14:ligatures w14:val="standardContextual"/>
              </w:rPr>
              <w:t>2</w:t>
            </w:r>
            <w:r w:rsidR="003D31D2">
              <w:rPr>
                <w:rFonts w:ascii="Cambria" w:eastAsia="Aptos" w:hAnsi="Cambria" w:cs="Times New Roman"/>
                <w:kern w:val="2"/>
                <w:sz w:val="18"/>
                <w:szCs w:val="18"/>
                <w14:ligatures w14:val="standardContextual"/>
              </w:rPr>
              <w:t>.</w:t>
            </w:r>
            <w:r w:rsidR="00936714" w:rsidRPr="00342585">
              <w:rPr>
                <w:rFonts w:ascii="Cambria" w:eastAsia="Aptos" w:hAnsi="Cambria" w:cs="Times New Roman"/>
                <w:kern w:val="2"/>
                <w:sz w:val="18"/>
                <w:szCs w:val="18"/>
                <w14:ligatures w14:val="standardContextual"/>
              </w:rPr>
              <w:t xml:space="preserve"> Seguimiento y </w:t>
            </w:r>
            <w:r w:rsidR="002A0805">
              <w:rPr>
                <w:rFonts w:ascii="Cambria" w:eastAsia="Aptos" w:hAnsi="Cambria" w:cs="Times New Roman"/>
                <w:kern w:val="2"/>
                <w:sz w:val="18"/>
                <w:szCs w:val="18"/>
                <w14:ligatures w14:val="standardContextual"/>
              </w:rPr>
              <w:t>ordenación</w:t>
            </w:r>
            <w:r w:rsidR="00936714" w:rsidRPr="00342585">
              <w:rPr>
                <w:rFonts w:ascii="Cambria" w:eastAsia="Aptos" w:hAnsi="Cambria" w:cs="Times New Roman"/>
                <w:kern w:val="2"/>
                <w:sz w:val="18"/>
                <w:szCs w:val="18"/>
                <w14:ligatures w14:val="standardContextual"/>
              </w:rPr>
              <w:t xml:space="preserve"> del consumo de la cuota asignada a Marruecos por ICCAT a nivel central mediante las Delegaciones de pesca marítima encargadas del control y de la certificación de las capturas y mediante la Oficina nacional de </w:t>
            </w:r>
            <w:r w:rsidR="00936714" w:rsidRPr="00342585">
              <w:rPr>
                <w:rFonts w:ascii="Cambria" w:eastAsia="Aptos" w:hAnsi="Cambria" w:cs="Times New Roman"/>
                <w:kern w:val="2"/>
                <w:sz w:val="18"/>
                <w:szCs w:val="18"/>
                <w14:ligatures w14:val="standardContextual"/>
              </w:rPr>
              <w:lastRenderedPageBreak/>
              <w:t>pesca encargada de la comercialización.</w:t>
            </w:r>
          </w:p>
          <w:p w14:paraId="13D4041E" w14:textId="77777777" w:rsidR="00936714" w:rsidRPr="00342585" w:rsidRDefault="00936714" w:rsidP="00936714">
            <w:pPr>
              <w:spacing w:after="0" w:line="240" w:lineRule="exact"/>
              <w:jc w:val="both"/>
              <w:rPr>
                <w:rFonts w:ascii="Cambria" w:eastAsia="Calibri" w:hAnsi="Cambria" w:cs="Times New Roman"/>
                <w:sz w:val="18"/>
                <w:szCs w:val="18"/>
              </w:rPr>
            </w:pPr>
            <w:r w:rsidRPr="00342585">
              <w:rPr>
                <w:rFonts w:ascii="Cambria" w:eastAsia="Aptos" w:hAnsi="Cambria" w:cs="Times New Roman"/>
                <w:kern w:val="2"/>
                <w:sz w:val="18"/>
                <w:szCs w:val="18"/>
                <w14:ligatures w14:val="standardContextual"/>
              </w:rPr>
              <w:tab/>
            </w:r>
          </w:p>
          <w:p w14:paraId="06EF477E" w14:textId="0AED3B70" w:rsidR="00C17FAC" w:rsidRPr="00342585" w:rsidRDefault="00C17FAC" w:rsidP="00C17FAC">
            <w:pPr>
              <w:spacing w:after="0" w:line="240" w:lineRule="exact"/>
              <w:jc w:val="both"/>
              <w:rPr>
                <w:rFonts w:ascii="Cambria" w:eastAsia="Calibri" w:hAnsi="Cambria" w:cs="Times New Roman"/>
                <w:sz w:val="18"/>
                <w:szCs w:val="18"/>
              </w:rPr>
            </w:pPr>
            <w:r>
              <w:rPr>
                <w:rFonts w:ascii="Cambria" w:eastAsia="Aptos" w:hAnsi="Cambria" w:cs="Times New Roman"/>
                <w:kern w:val="2"/>
                <w:sz w:val="18"/>
                <w:szCs w:val="18"/>
                <w14:ligatures w14:val="standardContextual"/>
              </w:rPr>
              <w:t>3</w:t>
            </w:r>
            <w:r w:rsidR="00906C5E">
              <w:rPr>
                <w:rFonts w:ascii="Cambria" w:eastAsia="Aptos" w:hAnsi="Cambria" w:cs="Times New Roman"/>
                <w:kern w:val="2"/>
                <w:sz w:val="18"/>
                <w:szCs w:val="18"/>
                <w14:ligatures w14:val="standardContextual"/>
              </w:rPr>
              <w:t>.</w:t>
            </w:r>
            <w:r w:rsidRPr="00342585">
              <w:rPr>
                <w:rFonts w:ascii="Cambria" w:eastAsia="Aptos" w:hAnsi="Cambria" w:cs="Times New Roman"/>
                <w:kern w:val="2"/>
                <w:sz w:val="18"/>
                <w:szCs w:val="18"/>
                <w14:ligatures w14:val="standardContextual"/>
              </w:rPr>
              <w:t xml:space="preserve"> Seguimiento y </w:t>
            </w:r>
            <w:r w:rsidR="00220E93">
              <w:rPr>
                <w:rFonts w:ascii="Cambria" w:eastAsia="Aptos" w:hAnsi="Cambria" w:cs="Times New Roman"/>
                <w:kern w:val="2"/>
                <w:sz w:val="18"/>
                <w:szCs w:val="18"/>
                <w14:ligatures w14:val="standardContextual"/>
              </w:rPr>
              <w:t>cumplimiento</w:t>
            </w:r>
            <w:r w:rsidRPr="00342585">
              <w:rPr>
                <w:rFonts w:ascii="Cambria" w:eastAsia="Aptos" w:hAnsi="Cambria" w:cs="Times New Roman"/>
                <w:kern w:val="2"/>
                <w:sz w:val="18"/>
                <w:szCs w:val="18"/>
                <w14:ligatures w14:val="standardContextual"/>
              </w:rPr>
              <w:t xml:space="preserve"> de las disposiciones de ICCAT transpuestas en el Decreto ministerial n.º 1112-22 del 14 de abril de 2022 que rige la pesca de pez espada del Atlántico norte y del Mediterráneo marroquí.</w:t>
            </w:r>
          </w:p>
          <w:p w14:paraId="13F4CE3F" w14:textId="77777777" w:rsidR="00936714" w:rsidRPr="00342585" w:rsidRDefault="00936714" w:rsidP="00936714">
            <w:pPr>
              <w:spacing w:after="0" w:line="240" w:lineRule="exact"/>
              <w:jc w:val="both"/>
              <w:rPr>
                <w:rFonts w:ascii="Cambria" w:eastAsia="Calibri" w:hAnsi="Cambria" w:cs="Times New Roman"/>
                <w:sz w:val="18"/>
                <w:szCs w:val="18"/>
              </w:rPr>
            </w:pPr>
          </w:p>
          <w:p w14:paraId="37E31B31" w14:textId="77777777" w:rsidR="009B7599" w:rsidRPr="00220E93" w:rsidRDefault="009B7599" w:rsidP="009B7599">
            <w:pPr>
              <w:widowControl w:val="0"/>
              <w:spacing w:after="0" w:line="240" w:lineRule="auto"/>
              <w:jc w:val="both"/>
              <w:rPr>
                <w:rFonts w:ascii="Cambria" w:hAnsi="Cambria"/>
                <w:sz w:val="18"/>
                <w:szCs w:val="18"/>
              </w:rPr>
            </w:pPr>
            <w:r w:rsidRPr="00220E93">
              <w:rPr>
                <w:rFonts w:ascii="Cambria" w:hAnsi="Cambria"/>
                <w:sz w:val="18"/>
                <w:szCs w:val="18"/>
              </w:rPr>
              <w:t>4. Inclusión en el Registro de ICCAT de los buques de más de 20 m susceptibles de capturar pez espada del Atlántico norte.</w:t>
            </w:r>
            <w:r w:rsidRPr="00220E93">
              <w:rPr>
                <w:rFonts w:ascii="Cambria" w:hAnsi="Cambria"/>
                <w:sz w:val="18"/>
                <w:szCs w:val="18"/>
              </w:rPr>
              <w:tab/>
            </w:r>
          </w:p>
          <w:p w14:paraId="557EAB4F" w14:textId="77777777" w:rsidR="00936714" w:rsidRPr="00342585" w:rsidRDefault="00936714" w:rsidP="00936714">
            <w:pPr>
              <w:spacing w:after="0" w:line="240" w:lineRule="exact"/>
              <w:jc w:val="both"/>
              <w:rPr>
                <w:rFonts w:ascii="Cambria" w:eastAsia="Calibri" w:hAnsi="Cambria" w:cs="Times New Roman"/>
                <w:sz w:val="18"/>
                <w:szCs w:val="18"/>
              </w:rPr>
            </w:pPr>
          </w:p>
          <w:p w14:paraId="6DFE16BC" w14:textId="77777777" w:rsidR="00D23E56" w:rsidRPr="00220E93" w:rsidRDefault="00D23E56" w:rsidP="00D23E56">
            <w:pPr>
              <w:widowControl w:val="0"/>
              <w:spacing w:after="0" w:line="240" w:lineRule="auto"/>
              <w:jc w:val="both"/>
              <w:rPr>
                <w:rFonts w:ascii="Cambria" w:hAnsi="Cambria"/>
                <w:sz w:val="18"/>
                <w:szCs w:val="18"/>
              </w:rPr>
            </w:pPr>
            <w:r w:rsidRPr="00220E93">
              <w:rPr>
                <w:rFonts w:ascii="Cambria" w:hAnsi="Cambria"/>
                <w:sz w:val="18"/>
                <w:szCs w:val="18"/>
              </w:rPr>
              <w:t xml:space="preserve">5. Real Decreto por el que se promulga la Ley nº 1-73-255 de 27 </w:t>
            </w:r>
            <w:proofErr w:type="spellStart"/>
            <w:r w:rsidRPr="00220E93">
              <w:rPr>
                <w:rFonts w:ascii="Cambria" w:hAnsi="Cambria"/>
                <w:sz w:val="18"/>
                <w:szCs w:val="18"/>
              </w:rPr>
              <w:t>chaoual</w:t>
            </w:r>
            <w:proofErr w:type="spellEnd"/>
            <w:r w:rsidRPr="00220E93">
              <w:rPr>
                <w:rFonts w:ascii="Cambria" w:hAnsi="Cambria"/>
                <w:sz w:val="18"/>
                <w:szCs w:val="18"/>
              </w:rPr>
              <w:t xml:space="preserve"> 1393 (23 de noviembre de 1973) que establece el reglamento de pesca marítima, en su versión modificada y completada.</w:t>
            </w:r>
            <w:r w:rsidRPr="00220E93">
              <w:rPr>
                <w:rFonts w:ascii="Cambria" w:hAnsi="Cambria"/>
                <w:sz w:val="18"/>
                <w:szCs w:val="18"/>
              </w:rPr>
              <w:tab/>
            </w:r>
          </w:p>
          <w:p w14:paraId="58318431" w14:textId="77777777" w:rsidR="00936714" w:rsidRPr="00342585" w:rsidRDefault="00936714" w:rsidP="00936714">
            <w:pPr>
              <w:spacing w:after="0" w:line="240" w:lineRule="exact"/>
              <w:jc w:val="both"/>
              <w:rPr>
                <w:rFonts w:ascii="Cambria" w:eastAsia="Calibri" w:hAnsi="Cambria" w:cs="Times New Roman"/>
                <w:sz w:val="18"/>
                <w:szCs w:val="18"/>
              </w:rPr>
            </w:pPr>
          </w:p>
          <w:p w14:paraId="431B0F08" w14:textId="77777777" w:rsidR="00B138CB" w:rsidRPr="00F6178C" w:rsidRDefault="00B138CB" w:rsidP="00B138CB">
            <w:pPr>
              <w:widowControl w:val="0"/>
              <w:spacing w:after="0" w:line="240" w:lineRule="auto"/>
              <w:jc w:val="both"/>
              <w:rPr>
                <w:rFonts w:ascii="Cambria" w:hAnsi="Cambria"/>
                <w:sz w:val="18"/>
                <w:szCs w:val="18"/>
              </w:rPr>
            </w:pPr>
            <w:r w:rsidRPr="00F6178C">
              <w:rPr>
                <w:rFonts w:ascii="Cambria" w:hAnsi="Cambria"/>
                <w:sz w:val="18"/>
                <w:szCs w:val="18"/>
              </w:rPr>
              <w:t>6. Real Decreto n.º 1-14-95, de 12 de mayo de 2014, por el que se promulga la Ley n.º 15-12 de prevención y lucha contra la pesca ilícita, no declarada y no reglamentada, y se modifica y completa el Real Decreto n.º 1-73-255, de 23 de noviembre de 1973, por el que se establece el reglamento de pesca marítima.</w:t>
            </w:r>
            <w:r w:rsidRPr="00F6178C">
              <w:rPr>
                <w:rFonts w:ascii="Cambria" w:hAnsi="Cambria"/>
                <w:sz w:val="18"/>
                <w:szCs w:val="18"/>
              </w:rPr>
              <w:tab/>
            </w:r>
            <w:r w:rsidRPr="00F6178C">
              <w:rPr>
                <w:rFonts w:ascii="Cambria" w:hAnsi="Cambria"/>
                <w:sz w:val="18"/>
                <w:szCs w:val="18"/>
              </w:rPr>
              <w:tab/>
            </w:r>
            <w:r w:rsidRPr="00F6178C">
              <w:rPr>
                <w:rFonts w:ascii="Cambria" w:hAnsi="Cambria"/>
                <w:sz w:val="18"/>
                <w:szCs w:val="18"/>
              </w:rPr>
              <w:tab/>
            </w:r>
          </w:p>
          <w:p w14:paraId="393B6014" w14:textId="77777777" w:rsidR="00936714" w:rsidRPr="00342585" w:rsidRDefault="00936714" w:rsidP="00936714">
            <w:pPr>
              <w:spacing w:after="0" w:line="240" w:lineRule="exact"/>
              <w:jc w:val="both"/>
              <w:rPr>
                <w:rFonts w:ascii="Cambria" w:eastAsia="Calibri" w:hAnsi="Cambria" w:cs="Times New Roman"/>
                <w:sz w:val="18"/>
                <w:szCs w:val="18"/>
              </w:rPr>
            </w:pPr>
          </w:p>
          <w:p w14:paraId="35E1BF1A" w14:textId="43911A04" w:rsidR="00936714" w:rsidRPr="00342585" w:rsidRDefault="00175509" w:rsidP="00936714">
            <w:pPr>
              <w:spacing w:after="0" w:line="240" w:lineRule="exact"/>
              <w:jc w:val="both"/>
              <w:rPr>
                <w:rFonts w:ascii="Cambria" w:eastAsia="Calibri" w:hAnsi="Cambria" w:cs="Times New Roman"/>
                <w:sz w:val="18"/>
                <w:szCs w:val="18"/>
              </w:rPr>
            </w:pPr>
            <w:r>
              <w:rPr>
                <w:rFonts w:ascii="Cambria" w:eastAsia="Aptos" w:hAnsi="Cambria" w:cs="Times New Roman"/>
                <w:kern w:val="2"/>
                <w:sz w:val="18"/>
                <w:szCs w:val="18"/>
                <w14:ligatures w14:val="standardContextual"/>
              </w:rPr>
              <w:t>7</w:t>
            </w:r>
            <w:r w:rsidR="00936714" w:rsidRPr="00342585">
              <w:rPr>
                <w:rFonts w:ascii="Cambria" w:eastAsia="Aptos" w:hAnsi="Cambria" w:cs="Times New Roman"/>
                <w:kern w:val="2"/>
                <w:sz w:val="18"/>
                <w:szCs w:val="18"/>
                <w14:ligatures w14:val="standardContextual"/>
              </w:rPr>
              <w:t xml:space="preserve">- Decreto n.º 2-18-104 del 10 de diciembre de 2018 que modifica y completa el Decreto n.º 2-09-674 </w:t>
            </w:r>
            <w:r w:rsidR="00936714" w:rsidRPr="00342585">
              <w:rPr>
                <w:rFonts w:ascii="Cambria" w:eastAsia="Aptos" w:hAnsi="Cambria" w:cs="Times New Roman"/>
                <w:kern w:val="2"/>
                <w:sz w:val="18"/>
                <w:szCs w:val="18"/>
                <w14:ligatures w14:val="standardContextual"/>
              </w:rPr>
              <w:lastRenderedPageBreak/>
              <w:t>del 17 de marzo de 2010 que fija las condiciones y modalidades de instalación y utilización a bordo de los buques pesqueros de un sistema de posicionamiento y localización continua utilizando las comunica</w:t>
            </w:r>
            <w:r w:rsidR="007255F1">
              <w:rPr>
                <w:rFonts w:ascii="Cambria" w:eastAsia="Aptos" w:hAnsi="Cambria" w:cs="Times New Roman"/>
                <w:kern w:val="2"/>
                <w:sz w:val="18"/>
                <w:szCs w:val="18"/>
                <w14:ligatures w14:val="standardContextual"/>
              </w:rPr>
              <w:t>-</w:t>
            </w:r>
            <w:r w:rsidR="00936714" w:rsidRPr="00342585">
              <w:rPr>
                <w:rFonts w:ascii="Cambria" w:eastAsia="Aptos" w:hAnsi="Cambria" w:cs="Times New Roman"/>
                <w:kern w:val="2"/>
                <w:sz w:val="18"/>
                <w:szCs w:val="18"/>
                <w14:ligatures w14:val="standardContextual"/>
              </w:rPr>
              <w:t>ciones por satélite para la transmisión de los datos.</w:t>
            </w:r>
          </w:p>
          <w:p w14:paraId="306D0823" w14:textId="77777777" w:rsidR="00936714" w:rsidRPr="00342585" w:rsidRDefault="00936714" w:rsidP="00936714">
            <w:pPr>
              <w:spacing w:after="0" w:line="240" w:lineRule="exact"/>
              <w:jc w:val="both"/>
              <w:rPr>
                <w:rFonts w:ascii="Cambria" w:eastAsia="Calibri" w:hAnsi="Cambria" w:cs="Times New Roman"/>
                <w:sz w:val="18"/>
                <w:szCs w:val="18"/>
              </w:rPr>
            </w:pPr>
          </w:p>
          <w:p w14:paraId="61DDE953" w14:textId="16779931" w:rsidR="00936714" w:rsidRPr="00342585" w:rsidRDefault="00C569CA" w:rsidP="00936714">
            <w:pPr>
              <w:spacing w:after="0" w:line="240" w:lineRule="exact"/>
              <w:jc w:val="both"/>
              <w:rPr>
                <w:rFonts w:ascii="Cambria" w:eastAsia="Calibri" w:hAnsi="Cambria" w:cs="Times New Roman"/>
                <w:sz w:val="18"/>
                <w:szCs w:val="18"/>
              </w:rPr>
            </w:pPr>
            <w:r>
              <w:rPr>
                <w:rFonts w:ascii="Cambria" w:eastAsia="Aptos" w:hAnsi="Cambria" w:cs="Times New Roman"/>
                <w:kern w:val="2"/>
                <w:sz w:val="18"/>
                <w:szCs w:val="18"/>
                <w14:ligatures w14:val="standardContextual"/>
              </w:rPr>
              <w:t>8</w:t>
            </w:r>
            <w:r w:rsidR="00936714" w:rsidRPr="00342585">
              <w:rPr>
                <w:rFonts w:ascii="Cambria" w:eastAsia="Aptos" w:hAnsi="Cambria" w:cs="Times New Roman"/>
                <w:kern w:val="2"/>
                <w:sz w:val="18"/>
                <w:szCs w:val="18"/>
                <w14:ligatures w14:val="standardContextual"/>
              </w:rPr>
              <w:t xml:space="preserve">- Decreto n.º 2-17-455 del 26 de abril de 2018 aprobado para la aplicación de determinadas disposiciones del título I de la ley nº 15-12 relativa a la prevención y lucha contra la pesca ilegal, no declarada y no reglamentada y que modifica y completa el </w:t>
            </w:r>
            <w:r w:rsidR="007255F1">
              <w:rPr>
                <w:rFonts w:ascii="Cambria" w:eastAsia="Aptos" w:hAnsi="Cambria" w:cs="Times New Roman"/>
                <w:kern w:val="2"/>
                <w:sz w:val="18"/>
                <w:szCs w:val="18"/>
                <w14:ligatures w14:val="standardContextual"/>
              </w:rPr>
              <w:t xml:space="preserve">Real </w:t>
            </w:r>
            <w:proofErr w:type="spellStart"/>
            <w:r w:rsidR="007255F1">
              <w:rPr>
                <w:rFonts w:ascii="Cambria" w:eastAsia="Aptos" w:hAnsi="Cambria" w:cs="Times New Roman"/>
                <w:kern w:val="2"/>
                <w:sz w:val="18"/>
                <w:szCs w:val="18"/>
                <w14:ligatures w14:val="standardContextual"/>
              </w:rPr>
              <w:t>decretro</w:t>
            </w:r>
            <w:proofErr w:type="spellEnd"/>
            <w:r w:rsidR="00936714" w:rsidRPr="00342585">
              <w:rPr>
                <w:rFonts w:ascii="Cambria" w:eastAsia="Aptos" w:hAnsi="Cambria" w:cs="Times New Roman"/>
                <w:kern w:val="2"/>
                <w:sz w:val="18"/>
                <w:szCs w:val="18"/>
                <w14:ligatures w14:val="standardContextual"/>
              </w:rPr>
              <w:t xml:space="preserve"> sobre la ley nº 1-73-255 del 23 de noviembre de 1973 que establece el reglamento sobre pesca marítima.</w:t>
            </w:r>
          </w:p>
          <w:p w14:paraId="194D015A" w14:textId="77777777" w:rsidR="00936714" w:rsidRPr="00342585" w:rsidRDefault="00936714" w:rsidP="00936714">
            <w:pPr>
              <w:spacing w:after="0" w:line="240" w:lineRule="exact"/>
              <w:jc w:val="both"/>
              <w:rPr>
                <w:rFonts w:ascii="Cambria" w:eastAsia="Calibri" w:hAnsi="Cambria" w:cs="Times New Roman"/>
                <w:sz w:val="18"/>
                <w:szCs w:val="18"/>
              </w:rPr>
            </w:pPr>
          </w:p>
          <w:p w14:paraId="3A399843" w14:textId="3C9F540E" w:rsidR="00936714" w:rsidRDefault="00C569CA" w:rsidP="00936714">
            <w:pPr>
              <w:spacing w:after="0" w:line="240" w:lineRule="exact"/>
              <w:jc w:val="both"/>
              <w:rPr>
                <w:rFonts w:ascii="Cambria" w:eastAsia="Aptos" w:hAnsi="Cambria" w:cs="Times New Roman"/>
                <w:kern w:val="2"/>
                <w:sz w:val="18"/>
                <w:szCs w:val="18"/>
                <w14:ligatures w14:val="standardContextual"/>
              </w:rPr>
            </w:pPr>
            <w:r>
              <w:rPr>
                <w:rFonts w:ascii="Cambria" w:eastAsia="Aptos" w:hAnsi="Cambria" w:cs="Times New Roman"/>
                <w:kern w:val="2"/>
                <w:sz w:val="18"/>
                <w:szCs w:val="18"/>
                <w14:ligatures w14:val="standardContextual"/>
              </w:rPr>
              <w:t>9</w:t>
            </w:r>
            <w:r w:rsidR="00936714" w:rsidRPr="00342585">
              <w:rPr>
                <w:rFonts w:ascii="Cambria" w:eastAsia="Aptos" w:hAnsi="Cambria" w:cs="Times New Roman"/>
                <w:kern w:val="2"/>
                <w:sz w:val="18"/>
                <w:szCs w:val="18"/>
                <w14:ligatures w14:val="standardContextual"/>
              </w:rPr>
              <w:t xml:space="preserve">- Decreto n.º 2-17-456, de 15 de marzo de 2018, aprobado para la aplicación de determinadas disposiciones del </w:t>
            </w:r>
            <w:r w:rsidR="007255F1">
              <w:rPr>
                <w:rFonts w:ascii="Cambria" w:eastAsia="Aptos" w:hAnsi="Cambria" w:cs="Times New Roman"/>
                <w:kern w:val="2"/>
                <w:sz w:val="18"/>
                <w:szCs w:val="18"/>
                <w14:ligatures w14:val="standardContextual"/>
              </w:rPr>
              <w:t>Real Decreto</w:t>
            </w:r>
            <w:r w:rsidR="00936714" w:rsidRPr="00342585">
              <w:rPr>
                <w:rFonts w:ascii="Cambria" w:eastAsia="Aptos" w:hAnsi="Cambria" w:cs="Times New Roman"/>
                <w:kern w:val="2"/>
                <w:sz w:val="18"/>
                <w:szCs w:val="18"/>
                <w14:ligatures w14:val="standardContextual"/>
              </w:rPr>
              <w:t xml:space="preserve"> n.º 1-73-255, de 23 de noviembre de 1973, por el que se crea el Reglamento de Pesca Marítima.</w:t>
            </w:r>
          </w:p>
          <w:p w14:paraId="0F8DDF10" w14:textId="77777777" w:rsidR="00D45966" w:rsidRDefault="00D45966" w:rsidP="00936714">
            <w:pPr>
              <w:spacing w:after="0" w:line="240" w:lineRule="exact"/>
              <w:jc w:val="both"/>
              <w:rPr>
                <w:rFonts w:ascii="Cambria" w:eastAsia="Aptos" w:hAnsi="Cambria" w:cs="Times New Roman"/>
                <w:kern w:val="2"/>
                <w:sz w:val="18"/>
                <w:szCs w:val="18"/>
                <w14:ligatures w14:val="standardContextual"/>
              </w:rPr>
            </w:pPr>
          </w:p>
          <w:p w14:paraId="035988A9" w14:textId="77777777" w:rsidR="00D45966" w:rsidRDefault="00D45966" w:rsidP="00936714">
            <w:pPr>
              <w:spacing w:after="0" w:line="240" w:lineRule="exact"/>
              <w:jc w:val="both"/>
              <w:rPr>
                <w:rFonts w:ascii="Cambria" w:eastAsia="Aptos" w:hAnsi="Cambria" w:cs="Times New Roman"/>
                <w:kern w:val="2"/>
                <w:sz w:val="18"/>
                <w:szCs w:val="18"/>
                <w14:ligatures w14:val="standardContextual"/>
              </w:rPr>
            </w:pPr>
          </w:p>
          <w:p w14:paraId="50316BB3" w14:textId="77777777" w:rsidR="00D45966" w:rsidRDefault="00D45966" w:rsidP="00936714">
            <w:pPr>
              <w:spacing w:after="0" w:line="240" w:lineRule="exact"/>
              <w:jc w:val="both"/>
              <w:rPr>
                <w:rFonts w:ascii="Cambria" w:eastAsia="Aptos" w:hAnsi="Cambria" w:cs="Times New Roman"/>
                <w:kern w:val="2"/>
                <w:sz w:val="18"/>
                <w:szCs w:val="18"/>
                <w14:ligatures w14:val="standardContextual"/>
              </w:rPr>
            </w:pPr>
          </w:p>
          <w:p w14:paraId="24FF88E8" w14:textId="77777777" w:rsidR="00D45966" w:rsidRDefault="00D45966" w:rsidP="00936714">
            <w:pPr>
              <w:spacing w:after="0" w:line="240" w:lineRule="exact"/>
              <w:jc w:val="both"/>
              <w:rPr>
                <w:rFonts w:ascii="Cambria" w:eastAsia="Aptos" w:hAnsi="Cambria" w:cs="Times New Roman"/>
                <w:kern w:val="2"/>
                <w:sz w:val="18"/>
                <w:szCs w:val="18"/>
                <w14:ligatures w14:val="standardContextual"/>
              </w:rPr>
            </w:pPr>
          </w:p>
          <w:p w14:paraId="36FE7A67" w14:textId="77777777" w:rsidR="00D45966" w:rsidRDefault="00D45966" w:rsidP="00936714">
            <w:pPr>
              <w:spacing w:after="0" w:line="240" w:lineRule="exact"/>
              <w:jc w:val="both"/>
              <w:rPr>
                <w:rFonts w:ascii="Cambria" w:eastAsia="Aptos" w:hAnsi="Cambria" w:cs="Times New Roman"/>
                <w:kern w:val="2"/>
                <w:sz w:val="18"/>
                <w:szCs w:val="18"/>
                <w14:ligatures w14:val="standardContextual"/>
              </w:rPr>
            </w:pPr>
          </w:p>
          <w:p w14:paraId="3A0A908C" w14:textId="77777777" w:rsidR="00D45966" w:rsidRPr="00342585" w:rsidRDefault="00D45966" w:rsidP="00936714">
            <w:pPr>
              <w:spacing w:after="0" w:line="240" w:lineRule="exact"/>
              <w:jc w:val="both"/>
              <w:rPr>
                <w:rFonts w:ascii="Cambria" w:eastAsia="Calibri" w:hAnsi="Cambria" w:cs="Times New Roman"/>
                <w:sz w:val="18"/>
                <w:szCs w:val="18"/>
              </w:rPr>
            </w:pPr>
          </w:p>
          <w:p w14:paraId="4E930F84" w14:textId="77777777" w:rsidR="00936714" w:rsidRPr="00342585" w:rsidRDefault="00936714" w:rsidP="00936714">
            <w:pPr>
              <w:spacing w:after="0" w:line="240" w:lineRule="exact"/>
              <w:jc w:val="both"/>
              <w:rPr>
                <w:rFonts w:ascii="Cambria" w:eastAsia="Calibri" w:hAnsi="Cambria" w:cs="Times New Roman"/>
                <w:sz w:val="18"/>
                <w:szCs w:val="18"/>
              </w:rPr>
            </w:pPr>
          </w:p>
          <w:p w14:paraId="7AC7183C" w14:textId="6AC65F07" w:rsidR="00936714" w:rsidRPr="00342585" w:rsidRDefault="00936714" w:rsidP="00936714">
            <w:pPr>
              <w:spacing w:after="0" w:line="240" w:lineRule="exact"/>
              <w:jc w:val="both"/>
              <w:rPr>
                <w:rFonts w:ascii="Cambria" w:eastAsia="Calibri" w:hAnsi="Cambria" w:cs="Times New Roman"/>
                <w:sz w:val="18"/>
                <w:szCs w:val="18"/>
              </w:rPr>
            </w:pPr>
            <w:r w:rsidRPr="00342585">
              <w:rPr>
                <w:rFonts w:ascii="Cambria" w:eastAsia="Aptos" w:hAnsi="Cambria" w:cs="Times New Roman"/>
                <w:kern w:val="2"/>
                <w:sz w:val="18"/>
                <w:szCs w:val="18"/>
                <w14:ligatures w14:val="standardContextual"/>
              </w:rPr>
              <w:lastRenderedPageBreak/>
              <w:t>1</w:t>
            </w:r>
            <w:r w:rsidR="008B2EDE">
              <w:rPr>
                <w:rFonts w:ascii="Cambria" w:eastAsia="Aptos" w:hAnsi="Cambria" w:cs="Times New Roman"/>
                <w:kern w:val="2"/>
                <w:sz w:val="18"/>
                <w:szCs w:val="18"/>
                <w14:ligatures w14:val="standardContextual"/>
              </w:rPr>
              <w:t>0</w:t>
            </w:r>
            <w:r w:rsidRPr="00342585">
              <w:rPr>
                <w:rFonts w:ascii="Cambria" w:eastAsia="Aptos" w:hAnsi="Cambria" w:cs="Times New Roman"/>
                <w:kern w:val="2"/>
                <w:sz w:val="18"/>
                <w:szCs w:val="18"/>
                <w14:ligatures w14:val="standardContextual"/>
              </w:rPr>
              <w:t>- Decreto n.º 574-19 del 7 de marzo de 2019 relativo al dispositivo de posicionamiento y localización de los buques de pesca.</w:t>
            </w:r>
          </w:p>
          <w:p w14:paraId="04063943" w14:textId="5FD003C4" w:rsidR="00936714" w:rsidRPr="00EC3605" w:rsidRDefault="00936714" w:rsidP="00936714">
            <w:pPr>
              <w:spacing w:after="0" w:line="240" w:lineRule="auto"/>
              <w:jc w:val="both"/>
              <w:rPr>
                <w:rFonts w:ascii="Cambria" w:hAnsi="Cambria"/>
                <w:sz w:val="18"/>
                <w:szCs w:val="18"/>
              </w:rPr>
            </w:pPr>
          </w:p>
        </w:tc>
        <w:tc>
          <w:tcPr>
            <w:tcW w:w="2835" w:type="dxa"/>
            <w:tcBorders>
              <w:bottom w:val="single" w:sz="4" w:space="0" w:color="auto"/>
              <w:right w:val="single" w:sz="4" w:space="0" w:color="auto"/>
            </w:tcBorders>
          </w:tcPr>
          <w:p w14:paraId="7DCF768F" w14:textId="3400DD88" w:rsidR="00936714" w:rsidRPr="00EC3605" w:rsidRDefault="00936714" w:rsidP="00936714">
            <w:pPr>
              <w:spacing w:after="0" w:line="240" w:lineRule="auto"/>
              <w:jc w:val="both"/>
              <w:rPr>
                <w:rFonts w:ascii="Cambria" w:hAnsi="Cambria"/>
                <w:sz w:val="18"/>
                <w:szCs w:val="18"/>
              </w:rPr>
            </w:pPr>
            <w:r w:rsidRPr="00EC3605">
              <w:rPr>
                <w:rFonts w:ascii="Cambria" w:hAnsi="Cambria"/>
                <w:sz w:val="18"/>
                <w:szCs w:val="18"/>
              </w:rPr>
              <w:lastRenderedPageBreak/>
              <w:t xml:space="preserve">Las medidas previstas por el Reino de Marruecos para la ordenación del pez espada del Atlántico norte serán las mismas que las adoptadas actualmente, de conformidad con las disposiciones de la </w:t>
            </w:r>
            <w:r w:rsidRPr="003C1FC9">
              <w:rPr>
                <w:rFonts w:ascii="Cambria" w:hAnsi="Cambria"/>
                <w:i/>
                <w:iCs/>
                <w:sz w:val="18"/>
                <w:szCs w:val="18"/>
              </w:rPr>
              <w:t xml:space="preserve">Recomendación de ICCAT sobre medidas de conservación y ordenación, incluido un procedimiento de ordenación,  para el pez espada del Atlántico norte </w:t>
            </w:r>
            <w:r w:rsidRPr="00EC3605">
              <w:rPr>
                <w:rFonts w:ascii="Cambria" w:hAnsi="Cambria"/>
                <w:sz w:val="18"/>
                <w:szCs w:val="18"/>
              </w:rPr>
              <w:t>(Rec. 24-10), y la reglamentación nacional en vigor.</w:t>
            </w:r>
          </w:p>
        </w:tc>
        <w:tc>
          <w:tcPr>
            <w:tcW w:w="236" w:type="dxa"/>
            <w:tcBorders>
              <w:top w:val="nil"/>
              <w:left w:val="single" w:sz="4" w:space="0" w:color="auto"/>
              <w:bottom w:val="nil"/>
              <w:right w:val="nil"/>
            </w:tcBorders>
            <w:vAlign w:val="center"/>
          </w:tcPr>
          <w:p w14:paraId="1B044722" w14:textId="77777777" w:rsidR="00936714" w:rsidRPr="00EC3605" w:rsidRDefault="00936714" w:rsidP="00936714">
            <w:pPr>
              <w:spacing w:after="0" w:line="240" w:lineRule="auto"/>
              <w:rPr>
                <w:rFonts w:ascii="Cambria" w:eastAsia="Times New Roman" w:hAnsi="Cambria" w:cs="Times New Roman"/>
                <w:sz w:val="18"/>
                <w:szCs w:val="18"/>
              </w:rPr>
            </w:pPr>
          </w:p>
        </w:tc>
      </w:tr>
      <w:tr w:rsidR="00A47180" w:rsidRPr="00EC3605" w14:paraId="390B2895" w14:textId="77777777" w:rsidTr="00140AA1">
        <w:tc>
          <w:tcPr>
            <w:tcW w:w="14029" w:type="dxa"/>
            <w:gridSpan w:val="11"/>
            <w:tcBorders>
              <w:right w:val="single" w:sz="4" w:space="0" w:color="auto"/>
            </w:tcBorders>
            <w:noWrap/>
          </w:tcPr>
          <w:p w14:paraId="5FADAEFE" w14:textId="11A5308A" w:rsidR="00A47180" w:rsidRPr="00181130" w:rsidRDefault="00A47180" w:rsidP="00A47180">
            <w:pPr>
              <w:spacing w:after="0" w:line="240" w:lineRule="auto"/>
              <w:rPr>
                <w:rFonts w:ascii="Cambria" w:hAnsi="Cambria"/>
                <w:iCs/>
                <w:sz w:val="16"/>
                <w:szCs w:val="16"/>
              </w:rPr>
            </w:pPr>
            <w:r w:rsidRPr="00181130">
              <w:rPr>
                <w:rFonts w:ascii="Cambria" w:hAnsi="Cambria"/>
                <w:iCs/>
                <w:sz w:val="16"/>
                <w:szCs w:val="16"/>
              </w:rPr>
              <w:lastRenderedPageBreak/>
              <w:t>* Cuota ajustada = Cuota inicial (1.186 t) + Cuota transferida de Japón (150 t) + Cuota transferida de Trinidad y Tobago (25 t) + remanente transferido (27,43 t)</w:t>
            </w:r>
          </w:p>
        </w:tc>
        <w:tc>
          <w:tcPr>
            <w:tcW w:w="236" w:type="dxa"/>
            <w:tcBorders>
              <w:top w:val="nil"/>
              <w:left w:val="single" w:sz="4" w:space="0" w:color="auto"/>
              <w:bottom w:val="nil"/>
              <w:right w:val="nil"/>
            </w:tcBorders>
            <w:vAlign w:val="center"/>
          </w:tcPr>
          <w:p w14:paraId="251F3399" w14:textId="77777777" w:rsidR="00A47180" w:rsidRPr="00EC3605" w:rsidRDefault="00A47180" w:rsidP="00A47180">
            <w:pPr>
              <w:spacing w:after="0" w:line="240" w:lineRule="auto"/>
              <w:rPr>
                <w:rFonts w:ascii="Cambria" w:eastAsia="Times New Roman" w:hAnsi="Cambria" w:cs="Times New Roman"/>
                <w:sz w:val="18"/>
                <w:szCs w:val="18"/>
              </w:rPr>
            </w:pPr>
          </w:p>
        </w:tc>
      </w:tr>
      <w:tr w:rsidR="00802205" w:rsidRPr="00EC3605" w14:paraId="1DBF842F" w14:textId="77777777" w:rsidTr="00140AA1">
        <w:tc>
          <w:tcPr>
            <w:tcW w:w="1164" w:type="dxa"/>
            <w:noWrap/>
            <w:vAlign w:val="center"/>
          </w:tcPr>
          <w:p w14:paraId="028EB495" w14:textId="3F1D4708" w:rsidR="00802205" w:rsidRPr="006572E8" w:rsidRDefault="00802205" w:rsidP="00802205">
            <w:pPr>
              <w:spacing w:after="0" w:line="240" w:lineRule="auto"/>
              <w:jc w:val="center"/>
              <w:rPr>
                <w:rFonts w:ascii="Cambria" w:eastAsia="Times New Roman" w:hAnsi="Cambria" w:cs="Calibri"/>
                <w:b/>
                <w:bCs/>
                <w:color w:val="000000"/>
                <w:sz w:val="18"/>
                <w:szCs w:val="18"/>
              </w:rPr>
            </w:pPr>
            <w:r w:rsidRPr="006572E8">
              <w:rPr>
                <w:rFonts w:ascii="Cambria" w:hAnsi="Cambria"/>
                <w:b/>
                <w:color w:val="000000"/>
                <w:sz w:val="18"/>
                <w:szCs w:val="18"/>
              </w:rPr>
              <w:t>Senegal</w:t>
            </w:r>
          </w:p>
        </w:tc>
        <w:tc>
          <w:tcPr>
            <w:tcW w:w="914" w:type="dxa"/>
            <w:noWrap/>
            <w:vAlign w:val="center"/>
          </w:tcPr>
          <w:p w14:paraId="37B27B6A" w14:textId="25F21B12" w:rsidR="00802205" w:rsidRPr="006572E8" w:rsidRDefault="00802205" w:rsidP="00802205">
            <w:pPr>
              <w:spacing w:after="0" w:line="240" w:lineRule="auto"/>
              <w:jc w:val="center"/>
              <w:rPr>
                <w:rFonts w:ascii="Cambria" w:eastAsia="Times New Roman" w:hAnsi="Cambria" w:cs="Calibri"/>
                <w:color w:val="000000"/>
                <w:sz w:val="18"/>
                <w:szCs w:val="18"/>
              </w:rPr>
            </w:pPr>
            <w:r w:rsidRPr="006572E8">
              <w:rPr>
                <w:rFonts w:ascii="Cambria" w:hAnsi="Cambria"/>
                <w:color w:val="000000"/>
                <w:sz w:val="18"/>
                <w:szCs w:val="18"/>
              </w:rPr>
              <w:t>Sí</w:t>
            </w:r>
          </w:p>
        </w:tc>
        <w:tc>
          <w:tcPr>
            <w:tcW w:w="1026" w:type="dxa"/>
            <w:vAlign w:val="center"/>
          </w:tcPr>
          <w:p w14:paraId="55356FB2" w14:textId="41424441" w:rsidR="00802205" w:rsidRPr="006572E8" w:rsidRDefault="00802205" w:rsidP="00802205">
            <w:pPr>
              <w:spacing w:after="0" w:line="240" w:lineRule="auto"/>
              <w:jc w:val="center"/>
              <w:rPr>
                <w:rFonts w:ascii="Cambria" w:eastAsia="Times New Roman" w:hAnsi="Cambria" w:cs="Calibri"/>
                <w:color w:val="000000"/>
                <w:sz w:val="18"/>
                <w:szCs w:val="18"/>
              </w:rPr>
            </w:pPr>
            <w:r w:rsidRPr="006572E8">
              <w:rPr>
                <w:rFonts w:ascii="Cambria" w:hAnsi="Cambria"/>
                <w:color w:val="000000"/>
                <w:sz w:val="18"/>
                <w:szCs w:val="18"/>
              </w:rPr>
              <w:t>250</w:t>
            </w:r>
          </w:p>
        </w:tc>
        <w:tc>
          <w:tcPr>
            <w:tcW w:w="841" w:type="dxa"/>
            <w:noWrap/>
            <w:vAlign w:val="center"/>
          </w:tcPr>
          <w:p w14:paraId="6C518FE7" w14:textId="77777777" w:rsidR="00802205" w:rsidRPr="006572E8" w:rsidRDefault="00802205" w:rsidP="00802205">
            <w:pPr>
              <w:spacing w:after="0" w:line="240" w:lineRule="auto"/>
              <w:jc w:val="center"/>
              <w:rPr>
                <w:rFonts w:ascii="Cambria" w:eastAsia="Times New Roman" w:hAnsi="Cambria" w:cs="Calibri"/>
                <w:color w:val="000000"/>
                <w:sz w:val="18"/>
                <w:szCs w:val="18"/>
              </w:rPr>
            </w:pPr>
            <w:r w:rsidRPr="006572E8">
              <w:rPr>
                <w:rFonts w:ascii="Cambria" w:hAnsi="Cambria"/>
                <w:color w:val="000000"/>
                <w:sz w:val="18"/>
                <w:szCs w:val="18"/>
              </w:rPr>
              <w:t>1</w:t>
            </w:r>
          </w:p>
          <w:p w14:paraId="12D16068" w14:textId="77777777" w:rsidR="00802205" w:rsidRPr="006572E8" w:rsidRDefault="00802205" w:rsidP="00802205">
            <w:pPr>
              <w:spacing w:after="0" w:line="240" w:lineRule="auto"/>
              <w:jc w:val="center"/>
              <w:rPr>
                <w:rFonts w:ascii="Cambria" w:eastAsia="Times New Roman" w:hAnsi="Cambria" w:cs="Calibri"/>
                <w:color w:val="000000"/>
                <w:sz w:val="18"/>
                <w:szCs w:val="18"/>
              </w:rPr>
            </w:pPr>
            <w:r w:rsidRPr="006572E8">
              <w:rPr>
                <w:rFonts w:ascii="Cambria" w:hAnsi="Cambria"/>
                <w:color w:val="000000"/>
                <w:sz w:val="18"/>
                <w:szCs w:val="18"/>
              </w:rPr>
              <w:t>7</w:t>
            </w:r>
          </w:p>
          <w:p w14:paraId="7E0AD681" w14:textId="0FF1B404" w:rsidR="00802205" w:rsidRPr="006572E8" w:rsidRDefault="00802205" w:rsidP="00802205">
            <w:pPr>
              <w:spacing w:after="0" w:line="240" w:lineRule="auto"/>
              <w:jc w:val="center"/>
              <w:rPr>
                <w:rFonts w:ascii="Cambria" w:eastAsia="Times New Roman" w:hAnsi="Cambria" w:cs="Calibri"/>
                <w:color w:val="000000"/>
                <w:sz w:val="18"/>
                <w:szCs w:val="18"/>
              </w:rPr>
            </w:pPr>
            <w:r w:rsidRPr="006572E8">
              <w:rPr>
                <w:rFonts w:ascii="Cambria" w:hAnsi="Cambria"/>
                <w:color w:val="000000"/>
                <w:sz w:val="18"/>
                <w:szCs w:val="18"/>
              </w:rPr>
              <w:t>5</w:t>
            </w:r>
          </w:p>
        </w:tc>
        <w:tc>
          <w:tcPr>
            <w:tcW w:w="728" w:type="dxa"/>
            <w:noWrap/>
            <w:vAlign w:val="center"/>
          </w:tcPr>
          <w:p w14:paraId="79DA049D" w14:textId="77777777" w:rsidR="00802205" w:rsidRPr="006572E8" w:rsidRDefault="00802205" w:rsidP="00802205">
            <w:pPr>
              <w:spacing w:after="0" w:line="240" w:lineRule="auto"/>
              <w:jc w:val="center"/>
              <w:rPr>
                <w:rFonts w:ascii="Cambria" w:eastAsia="Times New Roman" w:hAnsi="Cambria" w:cs="Calibri"/>
                <w:color w:val="000000"/>
                <w:sz w:val="18"/>
                <w:szCs w:val="18"/>
              </w:rPr>
            </w:pPr>
            <w:r w:rsidRPr="006572E8">
              <w:rPr>
                <w:rFonts w:ascii="Cambria" w:hAnsi="Cambria"/>
                <w:color w:val="000000"/>
                <w:sz w:val="18"/>
                <w:szCs w:val="18"/>
              </w:rPr>
              <w:t>LL</w:t>
            </w:r>
          </w:p>
          <w:p w14:paraId="78121A99" w14:textId="77777777" w:rsidR="00802205" w:rsidRPr="006572E8" w:rsidRDefault="00802205" w:rsidP="00802205">
            <w:pPr>
              <w:spacing w:after="0" w:line="240" w:lineRule="auto"/>
              <w:jc w:val="center"/>
              <w:rPr>
                <w:rFonts w:ascii="Cambria" w:eastAsia="Times New Roman" w:hAnsi="Cambria" w:cs="Calibri"/>
                <w:color w:val="000000"/>
                <w:sz w:val="18"/>
                <w:szCs w:val="18"/>
              </w:rPr>
            </w:pPr>
            <w:r w:rsidRPr="006572E8">
              <w:rPr>
                <w:rFonts w:ascii="Cambria" w:hAnsi="Cambria"/>
                <w:color w:val="000000"/>
                <w:sz w:val="18"/>
                <w:szCs w:val="18"/>
              </w:rPr>
              <w:t>PS</w:t>
            </w:r>
          </w:p>
          <w:p w14:paraId="00D400B6" w14:textId="5C247AC2" w:rsidR="00802205" w:rsidRPr="006572E8" w:rsidRDefault="00802205" w:rsidP="00802205">
            <w:pPr>
              <w:spacing w:after="0" w:line="240" w:lineRule="auto"/>
              <w:jc w:val="center"/>
              <w:rPr>
                <w:rFonts w:ascii="Cambria" w:eastAsia="Times New Roman" w:hAnsi="Cambria" w:cs="Calibri"/>
                <w:color w:val="000000"/>
                <w:sz w:val="18"/>
                <w:szCs w:val="18"/>
              </w:rPr>
            </w:pPr>
            <w:r w:rsidRPr="006572E8">
              <w:rPr>
                <w:rFonts w:ascii="Cambria" w:hAnsi="Cambria"/>
                <w:color w:val="000000"/>
                <w:sz w:val="18"/>
                <w:szCs w:val="18"/>
              </w:rPr>
              <w:t>BB</w:t>
            </w:r>
          </w:p>
        </w:tc>
        <w:tc>
          <w:tcPr>
            <w:tcW w:w="851" w:type="dxa"/>
            <w:noWrap/>
            <w:vAlign w:val="center"/>
          </w:tcPr>
          <w:p w14:paraId="602C04AE" w14:textId="77777777" w:rsidR="00802205" w:rsidRPr="006572E8" w:rsidRDefault="00802205" w:rsidP="00802205">
            <w:pPr>
              <w:spacing w:after="0" w:line="240" w:lineRule="auto"/>
              <w:jc w:val="center"/>
              <w:rPr>
                <w:rFonts w:ascii="Cambria" w:eastAsia="Times New Roman" w:hAnsi="Cambria" w:cs="Calibri"/>
                <w:color w:val="000000"/>
                <w:sz w:val="18"/>
                <w:szCs w:val="18"/>
                <w:lang w:val="fr-FR"/>
              </w:rPr>
            </w:pPr>
          </w:p>
        </w:tc>
        <w:tc>
          <w:tcPr>
            <w:tcW w:w="992" w:type="dxa"/>
            <w:noWrap/>
            <w:vAlign w:val="center"/>
          </w:tcPr>
          <w:p w14:paraId="3776E5C2" w14:textId="3BCF2D8A" w:rsidR="00802205" w:rsidRPr="006572E8" w:rsidRDefault="00802205" w:rsidP="00802205">
            <w:pPr>
              <w:spacing w:after="0" w:line="240" w:lineRule="auto"/>
              <w:jc w:val="center"/>
              <w:rPr>
                <w:rFonts w:ascii="Cambria" w:eastAsia="Times New Roman" w:hAnsi="Cambria" w:cs="Calibri"/>
                <w:color w:val="000000"/>
                <w:sz w:val="18"/>
                <w:szCs w:val="18"/>
              </w:rPr>
            </w:pPr>
            <w:r w:rsidRPr="006572E8">
              <w:rPr>
                <w:rFonts w:ascii="Cambria" w:hAnsi="Cambria"/>
                <w:color w:val="000000"/>
                <w:sz w:val="18"/>
                <w:szCs w:val="18"/>
              </w:rPr>
              <w:t>3</w:t>
            </w:r>
          </w:p>
          <w:p w14:paraId="675904E3" w14:textId="1814D4BA" w:rsidR="00802205" w:rsidRPr="006572E8" w:rsidRDefault="00802205" w:rsidP="00802205">
            <w:pPr>
              <w:spacing w:after="0" w:line="240" w:lineRule="auto"/>
              <w:jc w:val="center"/>
              <w:rPr>
                <w:rFonts w:ascii="Cambria" w:eastAsia="Times New Roman" w:hAnsi="Cambria" w:cs="Calibri"/>
                <w:color w:val="000000"/>
                <w:sz w:val="18"/>
                <w:szCs w:val="18"/>
              </w:rPr>
            </w:pPr>
            <w:r w:rsidRPr="006572E8">
              <w:rPr>
                <w:rFonts w:ascii="Cambria" w:hAnsi="Cambria"/>
                <w:color w:val="000000"/>
                <w:sz w:val="18"/>
                <w:szCs w:val="18"/>
              </w:rPr>
              <w:t>10</w:t>
            </w:r>
          </w:p>
          <w:p w14:paraId="13BC7AC1" w14:textId="5D1D6842" w:rsidR="00802205" w:rsidRPr="006572E8" w:rsidRDefault="00802205" w:rsidP="00802205">
            <w:pPr>
              <w:spacing w:after="0" w:line="240" w:lineRule="auto"/>
              <w:jc w:val="center"/>
              <w:rPr>
                <w:rFonts w:ascii="Cambria" w:eastAsia="Times New Roman" w:hAnsi="Cambria" w:cs="Calibri"/>
                <w:color w:val="000000"/>
                <w:sz w:val="18"/>
                <w:szCs w:val="18"/>
              </w:rPr>
            </w:pPr>
            <w:r w:rsidRPr="006572E8">
              <w:rPr>
                <w:rFonts w:ascii="Cambria" w:hAnsi="Cambria"/>
                <w:color w:val="000000"/>
                <w:sz w:val="18"/>
                <w:szCs w:val="18"/>
              </w:rPr>
              <w:t>5</w:t>
            </w:r>
          </w:p>
        </w:tc>
        <w:tc>
          <w:tcPr>
            <w:tcW w:w="739" w:type="dxa"/>
            <w:noWrap/>
            <w:vAlign w:val="center"/>
          </w:tcPr>
          <w:p w14:paraId="4C35861D" w14:textId="77777777" w:rsidR="00802205" w:rsidRPr="006572E8" w:rsidRDefault="00802205" w:rsidP="00802205">
            <w:pPr>
              <w:spacing w:after="0" w:line="240" w:lineRule="auto"/>
              <w:jc w:val="center"/>
              <w:rPr>
                <w:rFonts w:ascii="Cambria" w:eastAsia="Times New Roman" w:hAnsi="Cambria" w:cs="Calibri"/>
                <w:color w:val="000000"/>
                <w:sz w:val="18"/>
                <w:szCs w:val="18"/>
              </w:rPr>
            </w:pPr>
            <w:r w:rsidRPr="006572E8">
              <w:rPr>
                <w:rFonts w:ascii="Cambria" w:hAnsi="Cambria"/>
                <w:color w:val="000000"/>
                <w:sz w:val="18"/>
                <w:szCs w:val="18"/>
              </w:rPr>
              <w:t>LL</w:t>
            </w:r>
          </w:p>
          <w:p w14:paraId="3C66F415" w14:textId="77777777" w:rsidR="00802205" w:rsidRPr="006572E8" w:rsidRDefault="00802205" w:rsidP="00802205">
            <w:pPr>
              <w:spacing w:after="0" w:line="240" w:lineRule="auto"/>
              <w:jc w:val="center"/>
              <w:rPr>
                <w:rFonts w:ascii="Cambria" w:eastAsia="Times New Roman" w:hAnsi="Cambria" w:cs="Calibri"/>
                <w:color w:val="000000"/>
                <w:sz w:val="18"/>
                <w:szCs w:val="18"/>
              </w:rPr>
            </w:pPr>
            <w:r w:rsidRPr="006572E8">
              <w:rPr>
                <w:rFonts w:ascii="Cambria" w:hAnsi="Cambria"/>
                <w:color w:val="000000"/>
                <w:sz w:val="18"/>
                <w:szCs w:val="18"/>
              </w:rPr>
              <w:t>PS</w:t>
            </w:r>
          </w:p>
          <w:p w14:paraId="40BE0080" w14:textId="54AE9288" w:rsidR="00802205" w:rsidRPr="006572E8" w:rsidRDefault="00802205" w:rsidP="00802205">
            <w:pPr>
              <w:spacing w:after="0" w:line="240" w:lineRule="auto"/>
              <w:jc w:val="center"/>
              <w:rPr>
                <w:rFonts w:ascii="Cambria" w:eastAsia="Times New Roman" w:hAnsi="Cambria" w:cs="Calibri"/>
                <w:color w:val="000000"/>
                <w:sz w:val="18"/>
                <w:szCs w:val="18"/>
              </w:rPr>
            </w:pPr>
            <w:r w:rsidRPr="006572E8">
              <w:rPr>
                <w:rFonts w:ascii="Cambria" w:hAnsi="Cambria"/>
                <w:color w:val="000000"/>
                <w:sz w:val="18"/>
                <w:szCs w:val="18"/>
              </w:rPr>
              <w:t>BB</w:t>
            </w:r>
          </w:p>
        </w:tc>
        <w:tc>
          <w:tcPr>
            <w:tcW w:w="973" w:type="dxa"/>
            <w:noWrap/>
            <w:vAlign w:val="center"/>
          </w:tcPr>
          <w:p w14:paraId="542605CA" w14:textId="77777777" w:rsidR="00802205" w:rsidRPr="006572E8" w:rsidRDefault="00802205" w:rsidP="00802205">
            <w:pPr>
              <w:spacing w:after="0" w:line="240" w:lineRule="auto"/>
              <w:jc w:val="center"/>
              <w:rPr>
                <w:rFonts w:ascii="Cambria" w:eastAsia="Times New Roman" w:hAnsi="Cambria" w:cs="Calibri"/>
                <w:color w:val="000000"/>
                <w:sz w:val="18"/>
                <w:szCs w:val="18"/>
                <w:lang w:val="fr-FR"/>
              </w:rPr>
            </w:pPr>
          </w:p>
        </w:tc>
        <w:tc>
          <w:tcPr>
            <w:tcW w:w="2966" w:type="dxa"/>
          </w:tcPr>
          <w:p w14:paraId="5161EAB3" w14:textId="77777777" w:rsidR="00802205" w:rsidRPr="006572E8" w:rsidRDefault="00802205" w:rsidP="00802205">
            <w:pPr>
              <w:numPr>
                <w:ilvl w:val="0"/>
                <w:numId w:val="5"/>
              </w:numPr>
              <w:spacing w:after="0" w:line="240" w:lineRule="exact"/>
              <w:contextualSpacing/>
              <w:jc w:val="both"/>
              <w:rPr>
                <w:rFonts w:ascii="Cambria" w:eastAsia="Calibri" w:hAnsi="Cambria" w:cs="Times New Roman"/>
                <w:sz w:val="18"/>
                <w:szCs w:val="18"/>
              </w:rPr>
            </w:pPr>
            <w:r w:rsidRPr="006572E8">
              <w:rPr>
                <w:rFonts w:ascii="Cambria" w:hAnsi="Cambria"/>
                <w:sz w:val="18"/>
                <w:szCs w:val="18"/>
              </w:rPr>
              <w:t>Prohibición de grandes redes pelágicas.</w:t>
            </w:r>
          </w:p>
          <w:p w14:paraId="3475B683" w14:textId="77777777" w:rsidR="00802205" w:rsidRPr="006572E8" w:rsidRDefault="00802205" w:rsidP="00802205">
            <w:pPr>
              <w:numPr>
                <w:ilvl w:val="0"/>
                <w:numId w:val="5"/>
              </w:numPr>
              <w:spacing w:after="0" w:line="240" w:lineRule="exact"/>
              <w:contextualSpacing/>
              <w:jc w:val="both"/>
              <w:rPr>
                <w:rFonts w:ascii="Cambria" w:eastAsia="Calibri" w:hAnsi="Cambria" w:cs="Times New Roman"/>
                <w:sz w:val="18"/>
                <w:szCs w:val="18"/>
              </w:rPr>
            </w:pPr>
            <w:r w:rsidRPr="006572E8">
              <w:rPr>
                <w:rFonts w:ascii="Cambria" w:hAnsi="Cambria"/>
                <w:sz w:val="18"/>
                <w:szCs w:val="18"/>
              </w:rPr>
              <w:t xml:space="preserve">Pesca selectiva </w:t>
            </w:r>
          </w:p>
          <w:p w14:paraId="22E77F22" w14:textId="77777777" w:rsidR="00802205" w:rsidRPr="006572E8" w:rsidRDefault="00802205" w:rsidP="00802205">
            <w:pPr>
              <w:numPr>
                <w:ilvl w:val="0"/>
                <w:numId w:val="5"/>
              </w:numPr>
              <w:spacing w:after="0" w:line="240" w:lineRule="exact"/>
              <w:contextualSpacing/>
              <w:jc w:val="both"/>
              <w:rPr>
                <w:rFonts w:ascii="Cambria" w:eastAsia="Calibri" w:hAnsi="Cambria" w:cs="Times New Roman"/>
                <w:sz w:val="18"/>
                <w:szCs w:val="18"/>
              </w:rPr>
            </w:pPr>
            <w:r w:rsidRPr="006572E8">
              <w:rPr>
                <w:rFonts w:ascii="Cambria" w:hAnsi="Cambria"/>
                <w:sz w:val="18"/>
                <w:szCs w:val="18"/>
              </w:rPr>
              <w:t>Organización de la pesca artesanal.</w:t>
            </w:r>
          </w:p>
          <w:p w14:paraId="2604F007" w14:textId="77777777" w:rsidR="00802205" w:rsidRPr="006572E8" w:rsidRDefault="00802205" w:rsidP="00802205">
            <w:pPr>
              <w:numPr>
                <w:ilvl w:val="0"/>
                <w:numId w:val="5"/>
              </w:numPr>
              <w:spacing w:after="0" w:line="240" w:lineRule="exact"/>
              <w:contextualSpacing/>
              <w:jc w:val="both"/>
              <w:rPr>
                <w:rFonts w:ascii="Cambria" w:eastAsia="Calibri" w:hAnsi="Cambria" w:cs="Times New Roman"/>
                <w:sz w:val="18"/>
                <w:szCs w:val="18"/>
              </w:rPr>
            </w:pPr>
            <w:r w:rsidRPr="006572E8">
              <w:rPr>
                <w:rFonts w:ascii="Cambria" w:hAnsi="Cambria"/>
                <w:sz w:val="18"/>
                <w:szCs w:val="18"/>
              </w:rPr>
              <w:t>Autorización especial</w:t>
            </w:r>
          </w:p>
          <w:p w14:paraId="51B907AC" w14:textId="4BCDB479" w:rsidR="00802205" w:rsidRPr="006572E8" w:rsidRDefault="00802205" w:rsidP="00802205">
            <w:pPr>
              <w:pStyle w:val="ListParagraph"/>
              <w:spacing w:after="0" w:line="240" w:lineRule="auto"/>
              <w:ind w:left="168"/>
              <w:contextualSpacing w:val="0"/>
              <w:jc w:val="both"/>
              <w:rPr>
                <w:rFonts w:ascii="Cambria" w:hAnsi="Cambria"/>
                <w:sz w:val="18"/>
                <w:szCs w:val="18"/>
                <w:lang w:val="fr-FR"/>
              </w:rPr>
            </w:pPr>
          </w:p>
        </w:tc>
        <w:tc>
          <w:tcPr>
            <w:tcW w:w="2835" w:type="dxa"/>
            <w:tcBorders>
              <w:bottom w:val="single" w:sz="4" w:space="0" w:color="auto"/>
              <w:right w:val="single" w:sz="4" w:space="0" w:color="auto"/>
            </w:tcBorders>
          </w:tcPr>
          <w:p w14:paraId="0C993395" w14:textId="77777777" w:rsidR="00802205" w:rsidRPr="006572E8" w:rsidRDefault="00802205" w:rsidP="00802205">
            <w:pPr>
              <w:numPr>
                <w:ilvl w:val="0"/>
                <w:numId w:val="6"/>
              </w:numPr>
              <w:spacing w:after="0" w:line="240" w:lineRule="auto"/>
              <w:contextualSpacing/>
              <w:jc w:val="both"/>
              <w:rPr>
                <w:rFonts w:ascii="Cambria" w:eastAsia="Calibri" w:hAnsi="Cambria" w:cs="Times New Roman"/>
                <w:sz w:val="18"/>
                <w:szCs w:val="18"/>
              </w:rPr>
            </w:pPr>
            <w:r w:rsidRPr="006572E8">
              <w:rPr>
                <w:rFonts w:ascii="Cambria" w:hAnsi="Cambria"/>
                <w:sz w:val="18"/>
                <w:szCs w:val="18"/>
              </w:rPr>
              <w:t>Talla mínima de 115 cm o peso mínimo de 25 kg.</w:t>
            </w:r>
          </w:p>
          <w:p w14:paraId="426843E6" w14:textId="6C5C88FC" w:rsidR="00802205" w:rsidRPr="006572E8" w:rsidRDefault="00802205" w:rsidP="00802205">
            <w:pPr>
              <w:numPr>
                <w:ilvl w:val="0"/>
                <w:numId w:val="6"/>
              </w:numPr>
              <w:spacing w:after="0" w:line="240" w:lineRule="auto"/>
              <w:contextualSpacing/>
              <w:jc w:val="both"/>
              <w:rPr>
                <w:rFonts w:ascii="Cambria" w:hAnsi="Cambria"/>
                <w:sz w:val="18"/>
                <w:szCs w:val="18"/>
              </w:rPr>
            </w:pPr>
            <w:r w:rsidRPr="006572E8">
              <w:rPr>
                <w:rFonts w:ascii="Cambria" w:hAnsi="Cambria"/>
                <w:sz w:val="18"/>
                <w:szCs w:val="18"/>
              </w:rPr>
              <w:t>Tasa de capturas fortuitas</w:t>
            </w:r>
          </w:p>
        </w:tc>
        <w:tc>
          <w:tcPr>
            <w:tcW w:w="236" w:type="dxa"/>
            <w:tcBorders>
              <w:top w:val="nil"/>
              <w:left w:val="single" w:sz="4" w:space="0" w:color="auto"/>
              <w:bottom w:val="nil"/>
              <w:right w:val="nil"/>
            </w:tcBorders>
            <w:vAlign w:val="center"/>
          </w:tcPr>
          <w:p w14:paraId="3501B668" w14:textId="77777777" w:rsidR="00802205" w:rsidRPr="00EC3605" w:rsidRDefault="00802205" w:rsidP="00802205">
            <w:pPr>
              <w:spacing w:after="0" w:line="240" w:lineRule="auto"/>
              <w:rPr>
                <w:rFonts w:ascii="Cambria" w:eastAsia="Times New Roman" w:hAnsi="Cambria" w:cs="Times New Roman"/>
                <w:sz w:val="18"/>
                <w:szCs w:val="18"/>
                <w:lang w:val="fr-FR"/>
              </w:rPr>
            </w:pPr>
          </w:p>
        </w:tc>
      </w:tr>
      <w:tr w:rsidR="00A47180" w:rsidRPr="00EC3605" w14:paraId="6807ACF9" w14:textId="77777777" w:rsidTr="00140AA1">
        <w:tc>
          <w:tcPr>
            <w:tcW w:w="1164" w:type="dxa"/>
            <w:noWrap/>
            <w:vAlign w:val="center"/>
          </w:tcPr>
          <w:p w14:paraId="114C4143" w14:textId="678F22FD" w:rsidR="00A47180" w:rsidRPr="00EC3605" w:rsidRDefault="00A47180" w:rsidP="00A47180">
            <w:pPr>
              <w:spacing w:after="0" w:line="240" w:lineRule="auto"/>
              <w:jc w:val="center"/>
              <w:rPr>
                <w:rFonts w:ascii="Cambria" w:eastAsia="Times New Roman" w:hAnsi="Cambria" w:cs="Calibri"/>
                <w:b/>
                <w:bCs/>
                <w:color w:val="000000"/>
                <w:sz w:val="18"/>
                <w:szCs w:val="18"/>
              </w:rPr>
            </w:pPr>
            <w:r w:rsidRPr="00EC3605">
              <w:rPr>
                <w:rFonts w:ascii="Cambria" w:hAnsi="Cambria"/>
                <w:b/>
                <w:color w:val="000000"/>
                <w:sz w:val="18"/>
                <w:szCs w:val="18"/>
              </w:rPr>
              <w:t>Estados Unidos</w:t>
            </w:r>
          </w:p>
        </w:tc>
        <w:tc>
          <w:tcPr>
            <w:tcW w:w="914" w:type="dxa"/>
            <w:noWrap/>
            <w:vAlign w:val="center"/>
          </w:tcPr>
          <w:p w14:paraId="35705725" w14:textId="011313A1" w:rsidR="00A47180" w:rsidRPr="00EC3605" w:rsidRDefault="00A47180" w:rsidP="00A47180">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Sí</w:t>
            </w:r>
          </w:p>
        </w:tc>
        <w:tc>
          <w:tcPr>
            <w:tcW w:w="1026" w:type="dxa"/>
            <w:vAlign w:val="center"/>
          </w:tcPr>
          <w:p w14:paraId="31CBFBF0" w14:textId="7535ACC2" w:rsidR="00A47180" w:rsidRPr="00EC3605" w:rsidRDefault="00A47180" w:rsidP="00A47180">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3907</w:t>
            </w:r>
          </w:p>
        </w:tc>
        <w:tc>
          <w:tcPr>
            <w:tcW w:w="841" w:type="dxa"/>
            <w:noWrap/>
            <w:vAlign w:val="center"/>
          </w:tcPr>
          <w:p w14:paraId="0F6A984B" w14:textId="77777777" w:rsidR="00A47180" w:rsidRPr="00EC3605" w:rsidRDefault="00A47180" w:rsidP="00A47180">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223</w:t>
            </w:r>
          </w:p>
          <w:p w14:paraId="2D142921" w14:textId="77777777" w:rsidR="00A47180" w:rsidRPr="00EC3605" w:rsidRDefault="00A47180" w:rsidP="00A47180">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68</w:t>
            </w:r>
          </w:p>
          <w:p w14:paraId="798CE353" w14:textId="5BD95B0F" w:rsidR="00A47180" w:rsidRPr="00EC3605" w:rsidRDefault="00A47180" w:rsidP="00A47180">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1142</w:t>
            </w:r>
          </w:p>
        </w:tc>
        <w:tc>
          <w:tcPr>
            <w:tcW w:w="728" w:type="dxa"/>
            <w:noWrap/>
            <w:vAlign w:val="center"/>
          </w:tcPr>
          <w:p w14:paraId="61299A9B" w14:textId="77777777" w:rsidR="00A47180" w:rsidRPr="00EC3605" w:rsidRDefault="00A47180" w:rsidP="00A47180">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LL</w:t>
            </w:r>
          </w:p>
          <w:p w14:paraId="29328445" w14:textId="77777777" w:rsidR="00A47180" w:rsidRPr="00EC3605" w:rsidRDefault="00A47180" w:rsidP="00A47180">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TO</w:t>
            </w:r>
          </w:p>
          <w:p w14:paraId="2CF9EFC0" w14:textId="32516DA1" w:rsidR="00A47180" w:rsidRPr="00EC3605" w:rsidRDefault="00A47180" w:rsidP="00A47180">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OT</w:t>
            </w:r>
          </w:p>
        </w:tc>
        <w:tc>
          <w:tcPr>
            <w:tcW w:w="851" w:type="dxa"/>
            <w:noWrap/>
            <w:vAlign w:val="center"/>
          </w:tcPr>
          <w:p w14:paraId="0B6F5153" w14:textId="77777777" w:rsidR="00A47180" w:rsidRPr="00EC3605" w:rsidRDefault="00A47180" w:rsidP="00A47180">
            <w:pPr>
              <w:spacing w:after="0" w:line="240" w:lineRule="auto"/>
              <w:jc w:val="center"/>
              <w:rPr>
                <w:rFonts w:ascii="Cambria" w:eastAsia="Times New Roman" w:hAnsi="Cambria" w:cs="Calibri"/>
                <w:color w:val="000000"/>
                <w:sz w:val="18"/>
                <w:szCs w:val="18"/>
                <w:lang w:val="fr-FR"/>
              </w:rPr>
            </w:pPr>
          </w:p>
        </w:tc>
        <w:tc>
          <w:tcPr>
            <w:tcW w:w="992" w:type="dxa"/>
            <w:noWrap/>
            <w:vAlign w:val="center"/>
          </w:tcPr>
          <w:p w14:paraId="368A394D" w14:textId="77777777" w:rsidR="00A47180" w:rsidRPr="00EC3605" w:rsidRDefault="00A47180" w:rsidP="00A47180">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223</w:t>
            </w:r>
          </w:p>
          <w:p w14:paraId="6FC513B7" w14:textId="77777777" w:rsidR="00A47180" w:rsidRPr="00EC3605" w:rsidRDefault="00A47180" w:rsidP="00A47180">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68</w:t>
            </w:r>
          </w:p>
          <w:p w14:paraId="488F95F3" w14:textId="76923E07" w:rsidR="00A47180" w:rsidRPr="00EC3605" w:rsidRDefault="00A47180" w:rsidP="00A47180">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1142</w:t>
            </w:r>
          </w:p>
        </w:tc>
        <w:tc>
          <w:tcPr>
            <w:tcW w:w="739" w:type="dxa"/>
            <w:noWrap/>
            <w:vAlign w:val="center"/>
          </w:tcPr>
          <w:p w14:paraId="636277C5" w14:textId="77777777" w:rsidR="00A47180" w:rsidRPr="00EC3605" w:rsidRDefault="00A47180" w:rsidP="00A47180">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LL</w:t>
            </w:r>
          </w:p>
          <w:p w14:paraId="5399A9B1" w14:textId="77777777" w:rsidR="00A47180" w:rsidRPr="00EC3605" w:rsidRDefault="00A47180" w:rsidP="00A47180">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TO</w:t>
            </w:r>
          </w:p>
          <w:p w14:paraId="477858FA" w14:textId="490FBF12" w:rsidR="00A47180" w:rsidRPr="00EC3605" w:rsidRDefault="00A47180" w:rsidP="00A47180">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OT</w:t>
            </w:r>
          </w:p>
        </w:tc>
        <w:tc>
          <w:tcPr>
            <w:tcW w:w="973" w:type="dxa"/>
            <w:noWrap/>
            <w:vAlign w:val="center"/>
          </w:tcPr>
          <w:p w14:paraId="6EFA5685" w14:textId="77777777" w:rsidR="00A47180" w:rsidRPr="00EC3605" w:rsidRDefault="00A47180" w:rsidP="00601672">
            <w:pPr>
              <w:spacing w:after="0" w:line="240" w:lineRule="auto"/>
              <w:rPr>
                <w:rFonts w:ascii="Cambria" w:eastAsia="Times New Roman" w:hAnsi="Cambria" w:cs="Calibri"/>
                <w:color w:val="000000"/>
                <w:sz w:val="18"/>
                <w:szCs w:val="18"/>
                <w:lang w:val="fr-FR"/>
              </w:rPr>
            </w:pPr>
          </w:p>
        </w:tc>
        <w:tc>
          <w:tcPr>
            <w:tcW w:w="2966" w:type="dxa"/>
          </w:tcPr>
          <w:p w14:paraId="14D61525" w14:textId="1664AF4F" w:rsidR="00A47180" w:rsidRPr="00EC3605" w:rsidRDefault="00A47180" w:rsidP="00A47180">
            <w:pPr>
              <w:spacing w:after="0" w:line="240" w:lineRule="auto"/>
              <w:jc w:val="both"/>
              <w:rPr>
                <w:rFonts w:ascii="Cambria" w:hAnsi="Cambria"/>
                <w:sz w:val="18"/>
                <w:szCs w:val="18"/>
              </w:rPr>
            </w:pPr>
            <w:r w:rsidRPr="00EC3605">
              <w:rPr>
                <w:rFonts w:ascii="Cambria" w:hAnsi="Cambria"/>
                <w:sz w:val="18"/>
                <w:szCs w:val="18"/>
              </w:rPr>
              <w:t>Para obtener información más detallada, consulte nuestro plan completo de pesca/ordenación en PA4_801_Anexo 1/2024 (</w:t>
            </w:r>
            <w:hyperlink r:id="rId10" w:history="1">
              <w:r w:rsidR="001C2CE5" w:rsidRPr="001C2CE5">
                <w:rPr>
                  <w:rStyle w:val="Hyperlink"/>
                  <w:rFonts w:ascii="Cambria" w:hAnsi="Cambria"/>
                  <w:sz w:val="18"/>
                  <w:szCs w:val="18"/>
                </w:rPr>
                <w:t>https://www.iccat.int/com2024/Annex/PA4_801_Annex1.pdf</w:t>
              </w:r>
            </w:hyperlink>
            <w:r w:rsidRPr="00EC3605">
              <w:rPr>
                <w:rFonts w:ascii="Cambria" w:hAnsi="Cambria"/>
                <w:sz w:val="18"/>
                <w:szCs w:val="18"/>
              </w:rPr>
              <w:t xml:space="preserve">_Las medidas de ordenación del pez espada del Atlántico en Estados Unidos se desarrollan, coordinan y aplican mediante un único plan de ordenación pesquera (FMP), el Plan de ordenación pesquera consolidado de especies altamente migratorias del </w:t>
            </w:r>
            <w:r w:rsidR="001B1D37">
              <w:rPr>
                <w:rFonts w:ascii="Cambria" w:hAnsi="Cambria"/>
                <w:sz w:val="18"/>
                <w:szCs w:val="18"/>
              </w:rPr>
              <w:t>A</w:t>
            </w:r>
            <w:r w:rsidRPr="00EC3605">
              <w:rPr>
                <w:rFonts w:ascii="Cambria" w:hAnsi="Cambria"/>
                <w:sz w:val="18"/>
                <w:szCs w:val="18"/>
              </w:rPr>
              <w:t>tlántico de 2006, que se publica bajo la jurisdicción del Servicio Nacional de Pesquerías Marinas de la NOAA. Las recomendaciones adoptadas por ICCAT, incluidas las asignaciones anuales de cuotas a Estados Unidos, se aplican en Estados Unidos mediante</w:t>
            </w:r>
            <w:r w:rsidR="00E943E9">
              <w:rPr>
                <w:rFonts w:ascii="Cambria" w:hAnsi="Cambria"/>
                <w:sz w:val="18"/>
                <w:szCs w:val="18"/>
              </w:rPr>
              <w:t xml:space="preserve"> la autoridad </w:t>
            </w:r>
            <w:proofErr w:type="gramStart"/>
            <w:r w:rsidR="00E943E9">
              <w:rPr>
                <w:rFonts w:ascii="Cambria" w:hAnsi="Cambria"/>
                <w:sz w:val="18"/>
                <w:szCs w:val="18"/>
              </w:rPr>
              <w:t xml:space="preserve">del </w:t>
            </w:r>
            <w:r w:rsidRPr="00EC3605">
              <w:rPr>
                <w:rFonts w:ascii="Cambria" w:hAnsi="Cambria"/>
                <w:sz w:val="18"/>
                <w:szCs w:val="18"/>
              </w:rPr>
              <w:t xml:space="preserve"> reglamento</w:t>
            </w:r>
            <w:proofErr w:type="gramEnd"/>
            <w:r w:rsidRPr="00EC3605">
              <w:rPr>
                <w:rFonts w:ascii="Cambria" w:hAnsi="Cambria"/>
                <w:sz w:val="18"/>
                <w:szCs w:val="18"/>
              </w:rPr>
              <w:t xml:space="preserve"> en virtud de la Ley del Convenio sobre el Atún Atlántico. La asignación anual de la cuota de pez </w:t>
            </w:r>
            <w:r w:rsidRPr="00EC3605">
              <w:rPr>
                <w:rFonts w:ascii="Cambria" w:hAnsi="Cambria"/>
                <w:sz w:val="18"/>
                <w:szCs w:val="18"/>
              </w:rPr>
              <w:lastRenderedPageBreak/>
              <w:t xml:space="preserve">espada de Estados Unidos se divide en cuotas semestrales iguales para la pesca dirigida (todos los desembarques comerciales), una cuota anual de capturas incidentales para los pescadores que se dedican a la pesca de otras especies o que pescan pez espada con fines recreativos, y una categoría de reserva. La legislación nacional, incluida la Ley Magnuson-Stevens de conservación y </w:t>
            </w:r>
            <w:r w:rsidR="007E6808">
              <w:rPr>
                <w:rFonts w:ascii="Cambria" w:hAnsi="Cambria"/>
                <w:sz w:val="18"/>
                <w:szCs w:val="18"/>
              </w:rPr>
              <w:t>ordenación</w:t>
            </w:r>
            <w:r w:rsidRPr="00EC3605">
              <w:rPr>
                <w:rFonts w:ascii="Cambria" w:hAnsi="Cambria"/>
                <w:sz w:val="18"/>
                <w:szCs w:val="18"/>
              </w:rPr>
              <w:t xml:space="preserve"> pesquera, la Ley de Especies en peligro de extinción y la Ley de protección de mamíferos marinos, también establece requisitos para la adopción de medidas de conservación y ordenación tanto en el sector recreativo como en el comercial. Las medidas de </w:t>
            </w:r>
            <w:r w:rsidR="00544202">
              <w:rPr>
                <w:rFonts w:ascii="Cambria" w:hAnsi="Cambria"/>
                <w:sz w:val="18"/>
                <w:szCs w:val="18"/>
              </w:rPr>
              <w:t>ordenación</w:t>
            </w:r>
            <w:r w:rsidRPr="00EC3605">
              <w:rPr>
                <w:rFonts w:ascii="Cambria" w:hAnsi="Cambria"/>
                <w:sz w:val="18"/>
                <w:szCs w:val="18"/>
              </w:rPr>
              <w:t xml:space="preserve"> detalladas en nuestro plan completo incluyen: permisos y </w:t>
            </w:r>
            <w:r w:rsidR="0085041D" w:rsidRPr="00EC3605">
              <w:rPr>
                <w:rFonts w:ascii="Cambria" w:hAnsi="Cambria"/>
                <w:sz w:val="18"/>
                <w:szCs w:val="18"/>
              </w:rPr>
              <w:t xml:space="preserve">controles </w:t>
            </w:r>
            <w:r w:rsidR="0085041D">
              <w:rPr>
                <w:rFonts w:ascii="Cambria" w:hAnsi="Cambria"/>
                <w:sz w:val="18"/>
                <w:szCs w:val="18"/>
              </w:rPr>
              <w:t xml:space="preserve">del </w:t>
            </w:r>
            <w:r w:rsidRPr="00EC3605">
              <w:rPr>
                <w:rFonts w:ascii="Cambria" w:hAnsi="Cambria"/>
                <w:sz w:val="18"/>
                <w:szCs w:val="18"/>
              </w:rPr>
              <w:t xml:space="preserve">esfuerzo, requisitos mínimos de </w:t>
            </w:r>
            <w:r w:rsidR="009F0D51">
              <w:rPr>
                <w:rFonts w:ascii="Cambria" w:hAnsi="Cambria"/>
                <w:sz w:val="18"/>
                <w:szCs w:val="18"/>
              </w:rPr>
              <w:t>talla</w:t>
            </w:r>
            <w:r w:rsidRPr="00EC3605">
              <w:rPr>
                <w:rFonts w:ascii="Cambria" w:hAnsi="Cambria"/>
                <w:sz w:val="18"/>
                <w:szCs w:val="18"/>
              </w:rPr>
              <w:t xml:space="preserve"> y desembarque, autorización de artes de pesca, límites de retención, cierres temporales y zonales y zonas con restricciones de artes de pesca, requisitos de notificación, seguimiento y </w:t>
            </w:r>
            <w:r w:rsidR="0085041D">
              <w:rPr>
                <w:rFonts w:ascii="Cambria" w:hAnsi="Cambria"/>
                <w:sz w:val="18"/>
                <w:szCs w:val="18"/>
              </w:rPr>
              <w:t>comunicación de información</w:t>
            </w:r>
            <w:r w:rsidRPr="00EC3605">
              <w:rPr>
                <w:rFonts w:ascii="Cambria" w:hAnsi="Cambria"/>
                <w:sz w:val="18"/>
                <w:szCs w:val="18"/>
              </w:rPr>
              <w:t xml:space="preserve"> de informes, reducción de capturas accidentales y aplicación de la normativa sobre el pez espada.</w:t>
            </w:r>
          </w:p>
        </w:tc>
        <w:tc>
          <w:tcPr>
            <w:tcW w:w="2835" w:type="dxa"/>
            <w:tcBorders>
              <w:bottom w:val="single" w:sz="4" w:space="0" w:color="auto"/>
              <w:right w:val="single" w:sz="4" w:space="0" w:color="auto"/>
            </w:tcBorders>
          </w:tcPr>
          <w:p w14:paraId="34EBDB30" w14:textId="77777777" w:rsidR="00FF2397" w:rsidRPr="00EC3605" w:rsidRDefault="00FF2397" w:rsidP="00FF2397">
            <w:pPr>
              <w:spacing w:after="0" w:line="240" w:lineRule="auto"/>
              <w:jc w:val="both"/>
              <w:rPr>
                <w:rFonts w:ascii="Cambria" w:hAnsi="Cambria"/>
                <w:sz w:val="18"/>
                <w:szCs w:val="18"/>
              </w:rPr>
            </w:pPr>
            <w:r w:rsidRPr="00EC3605">
              <w:rPr>
                <w:rFonts w:ascii="Cambria" w:hAnsi="Cambria"/>
                <w:sz w:val="18"/>
                <w:szCs w:val="18"/>
              </w:rPr>
              <w:lastRenderedPageBreak/>
              <w:t>Estados Unidos también ha demostrado su cooperación con otras CPC para el uso sostenible del stock.</w:t>
            </w:r>
          </w:p>
          <w:p w14:paraId="5744A271" w14:textId="77777777" w:rsidR="00FF2397" w:rsidRPr="00EC3605" w:rsidRDefault="00FF2397" w:rsidP="00FF2397">
            <w:pPr>
              <w:spacing w:after="0" w:line="240" w:lineRule="auto"/>
              <w:jc w:val="both"/>
              <w:rPr>
                <w:rFonts w:ascii="Cambria" w:hAnsi="Cambria"/>
                <w:sz w:val="18"/>
                <w:szCs w:val="18"/>
              </w:rPr>
            </w:pPr>
            <w:r w:rsidRPr="00EC3605">
              <w:rPr>
                <w:rFonts w:ascii="Cambria" w:hAnsi="Cambria"/>
                <w:sz w:val="18"/>
                <w:szCs w:val="18"/>
              </w:rPr>
              <w:t>En 2024, de conformidad con la Recomendación 23-04, Estados Unidos realizó una transferencia única de 200 t de su cuota de pez espada del Atlántico norte a Marruecos.</w:t>
            </w:r>
          </w:p>
          <w:p w14:paraId="7F18B95D" w14:textId="77777777" w:rsidR="00FF2397" w:rsidRPr="00EC3605" w:rsidRDefault="00FF2397" w:rsidP="00FF2397">
            <w:pPr>
              <w:spacing w:after="0" w:line="240" w:lineRule="auto"/>
              <w:jc w:val="both"/>
              <w:rPr>
                <w:rFonts w:ascii="Cambria" w:hAnsi="Cambria"/>
                <w:sz w:val="18"/>
                <w:szCs w:val="18"/>
              </w:rPr>
            </w:pPr>
            <w:r w:rsidRPr="00EC3605">
              <w:rPr>
                <w:rFonts w:ascii="Cambria" w:hAnsi="Cambria"/>
                <w:sz w:val="18"/>
                <w:szCs w:val="18"/>
              </w:rPr>
              <w:t>En 2025, de conformidad con la Recomendación 24-10, Estados Unidos realizó una transferencia única de cuota de 300 t a Costa Rica.</w:t>
            </w:r>
          </w:p>
          <w:p w14:paraId="728C2FB3" w14:textId="77777777" w:rsidR="00FF2397" w:rsidRPr="00EC3605" w:rsidRDefault="00FF2397" w:rsidP="00FF2397">
            <w:pPr>
              <w:spacing w:after="0" w:line="240" w:lineRule="auto"/>
              <w:jc w:val="both"/>
              <w:rPr>
                <w:rFonts w:ascii="Cambria" w:hAnsi="Cambria"/>
                <w:sz w:val="18"/>
                <w:szCs w:val="18"/>
              </w:rPr>
            </w:pPr>
            <w:r w:rsidRPr="00EC3605">
              <w:rPr>
                <w:rFonts w:ascii="Cambria" w:hAnsi="Cambria"/>
                <w:sz w:val="18"/>
                <w:szCs w:val="18"/>
              </w:rPr>
              <w:t>Estas transferencias sirven para facilitar los esfuerzos de ordenación cooperativa entre las Partes contratantes de ICCAT.</w:t>
            </w:r>
          </w:p>
          <w:p w14:paraId="070EDD3E" w14:textId="5197ED15" w:rsidR="00FF2397" w:rsidRPr="00EC3605" w:rsidRDefault="00FF2397" w:rsidP="00FF2397">
            <w:pPr>
              <w:spacing w:after="0" w:line="240" w:lineRule="auto"/>
              <w:jc w:val="both"/>
              <w:rPr>
                <w:rFonts w:ascii="Cambria" w:hAnsi="Cambria"/>
                <w:sz w:val="18"/>
                <w:szCs w:val="18"/>
              </w:rPr>
            </w:pPr>
            <w:r w:rsidRPr="00EC3605">
              <w:rPr>
                <w:rFonts w:ascii="Cambria" w:hAnsi="Cambria"/>
                <w:sz w:val="18"/>
                <w:szCs w:val="18"/>
              </w:rPr>
              <w:t xml:space="preserve">Para obtener información más detallada sobre el desarrollo de la pesca y los cambios en las medidas de </w:t>
            </w:r>
            <w:r w:rsidR="003601C2">
              <w:rPr>
                <w:rFonts w:ascii="Cambria" w:hAnsi="Cambria"/>
                <w:sz w:val="18"/>
                <w:szCs w:val="18"/>
              </w:rPr>
              <w:t>ordenación</w:t>
            </w:r>
            <w:r w:rsidRPr="00EC3605">
              <w:rPr>
                <w:rFonts w:ascii="Cambria" w:hAnsi="Cambria"/>
                <w:sz w:val="18"/>
                <w:szCs w:val="18"/>
              </w:rPr>
              <w:t xml:space="preserve"> nacionales, consulte nuestro plan completo de pesca y </w:t>
            </w:r>
            <w:r w:rsidR="00DE4F26">
              <w:rPr>
                <w:rFonts w:ascii="Cambria" w:hAnsi="Cambria"/>
                <w:sz w:val="18"/>
                <w:szCs w:val="18"/>
              </w:rPr>
              <w:t>ordenación</w:t>
            </w:r>
            <w:r w:rsidRPr="00EC3605">
              <w:rPr>
                <w:rFonts w:ascii="Cambria" w:hAnsi="Cambria"/>
                <w:sz w:val="18"/>
                <w:szCs w:val="18"/>
              </w:rPr>
              <w:t xml:space="preserve"> en </w:t>
            </w:r>
            <w:r w:rsidRPr="00EC3605">
              <w:rPr>
                <w:rFonts w:ascii="Cambria" w:hAnsi="Cambria"/>
                <w:sz w:val="18"/>
                <w:szCs w:val="18"/>
              </w:rPr>
              <w:lastRenderedPageBreak/>
              <w:t>PA4_801_Anexo 1/2024 (</w:t>
            </w:r>
            <w:hyperlink r:id="rId11" w:history="1">
              <w:r w:rsidRPr="00DE4F26">
                <w:rPr>
                  <w:rStyle w:val="Hyperlink"/>
                  <w:rFonts w:ascii="Cambria" w:hAnsi="Cambria"/>
                  <w:sz w:val="18"/>
                  <w:szCs w:val="18"/>
                </w:rPr>
                <w:t>https://www.iccat.int/com2024/Annex/PA4_801_Annex1.pdf</w:t>
              </w:r>
            </w:hyperlink>
            <w:r w:rsidRPr="00EC3605">
              <w:rPr>
                <w:rFonts w:ascii="Cambria" w:hAnsi="Cambria"/>
                <w:sz w:val="18"/>
                <w:szCs w:val="18"/>
              </w:rPr>
              <w:t>).</w:t>
            </w:r>
          </w:p>
          <w:p w14:paraId="604A46B3" w14:textId="77777777" w:rsidR="00FF2397" w:rsidRPr="00EC3605" w:rsidRDefault="00FF2397" w:rsidP="00FF2397">
            <w:pPr>
              <w:spacing w:after="0" w:line="240" w:lineRule="auto"/>
              <w:jc w:val="both"/>
              <w:rPr>
                <w:rFonts w:ascii="Cambria" w:hAnsi="Cambria"/>
                <w:sz w:val="18"/>
                <w:szCs w:val="18"/>
              </w:rPr>
            </w:pPr>
            <w:r w:rsidRPr="00EC3605">
              <w:rPr>
                <w:rFonts w:ascii="Cambria" w:hAnsi="Cambria"/>
                <w:sz w:val="18"/>
                <w:szCs w:val="18"/>
              </w:rPr>
              <w:t>En los últimos años, Estados Unidos ha propuesto o aplicado medidas de ordenación destinadas a beneficiar a los buques palangreros pelágicos y a los buques comerciales con artes manuales que pescan pez espada.</w:t>
            </w:r>
          </w:p>
          <w:p w14:paraId="1C871D31" w14:textId="77777777" w:rsidR="00FF2397" w:rsidRPr="00EC3605" w:rsidRDefault="00FF2397" w:rsidP="00FF2397">
            <w:pPr>
              <w:spacing w:after="0" w:line="240" w:lineRule="auto"/>
              <w:jc w:val="both"/>
              <w:rPr>
                <w:rFonts w:ascii="Cambria" w:hAnsi="Cambria"/>
                <w:sz w:val="18"/>
                <w:szCs w:val="18"/>
              </w:rPr>
            </w:pPr>
            <w:r w:rsidRPr="00EC3605">
              <w:rPr>
                <w:rFonts w:ascii="Cambria" w:hAnsi="Cambria"/>
                <w:sz w:val="18"/>
                <w:szCs w:val="18"/>
              </w:rPr>
              <w:t>Algunos de los cambios más importantes se implementaron en 2023 o aún no se han finalizado, por lo que es posible que sus beneficios para la pesca aún no se reflejen en las tendencias de captura.</w:t>
            </w:r>
          </w:p>
          <w:p w14:paraId="0677A451" w14:textId="77777777" w:rsidR="00FF2397" w:rsidRPr="00EC3605" w:rsidRDefault="00FF2397" w:rsidP="00FF2397">
            <w:pPr>
              <w:spacing w:after="0" w:line="240" w:lineRule="auto"/>
              <w:jc w:val="both"/>
              <w:rPr>
                <w:rFonts w:ascii="Cambria" w:hAnsi="Cambria"/>
                <w:sz w:val="18"/>
                <w:szCs w:val="18"/>
              </w:rPr>
            </w:pPr>
            <w:r w:rsidRPr="00EC3605">
              <w:rPr>
                <w:rFonts w:ascii="Cambria" w:hAnsi="Cambria"/>
                <w:sz w:val="18"/>
                <w:szCs w:val="18"/>
              </w:rPr>
              <w:t>Además, Estados Unidos está elaborando actualmente una normativa para aplicar el procedimiento de ordenación previsto en la Recomendación 24-10, lo que permitirá una aplicación más ágil de las cuotas nacionales.</w:t>
            </w:r>
          </w:p>
          <w:p w14:paraId="73F5E469" w14:textId="36E75DCA" w:rsidR="00A47180" w:rsidRPr="00EC3605" w:rsidRDefault="00FF2397" w:rsidP="00FF2397">
            <w:pPr>
              <w:spacing w:after="0" w:line="240" w:lineRule="auto"/>
              <w:jc w:val="both"/>
              <w:rPr>
                <w:rFonts w:ascii="Cambria" w:hAnsi="Cambria"/>
                <w:sz w:val="18"/>
                <w:szCs w:val="18"/>
              </w:rPr>
            </w:pPr>
            <w:r w:rsidRPr="00EC3605">
              <w:rPr>
                <w:rFonts w:ascii="Cambria" w:hAnsi="Cambria"/>
                <w:sz w:val="18"/>
                <w:szCs w:val="18"/>
              </w:rPr>
              <w:t>Estados Unidos sigue buscando formas de mejorar la ordenación y la ciencia pesqueras dentro de los requisitos de las leyes aplicables, tal y como exige el Decreto Ejecutivo sobre la restauración de la competitividad de los productos pesqueros estadounidenses.</w:t>
            </w:r>
          </w:p>
        </w:tc>
        <w:tc>
          <w:tcPr>
            <w:tcW w:w="236" w:type="dxa"/>
            <w:tcBorders>
              <w:top w:val="nil"/>
              <w:left w:val="single" w:sz="4" w:space="0" w:color="auto"/>
              <w:bottom w:val="nil"/>
              <w:right w:val="nil"/>
            </w:tcBorders>
            <w:vAlign w:val="center"/>
          </w:tcPr>
          <w:p w14:paraId="3B488449" w14:textId="77777777" w:rsidR="00A47180" w:rsidRPr="00EC3605" w:rsidRDefault="00A47180" w:rsidP="00A47180">
            <w:pPr>
              <w:spacing w:after="0" w:line="240" w:lineRule="auto"/>
              <w:rPr>
                <w:rFonts w:ascii="Cambria" w:eastAsia="Times New Roman" w:hAnsi="Cambria" w:cs="Times New Roman"/>
                <w:sz w:val="18"/>
                <w:szCs w:val="18"/>
              </w:rPr>
            </w:pPr>
          </w:p>
        </w:tc>
      </w:tr>
      <w:tr w:rsidR="00A47180" w:rsidRPr="00EC3605" w14:paraId="3EA537A2" w14:textId="77777777" w:rsidTr="00140AA1">
        <w:tc>
          <w:tcPr>
            <w:tcW w:w="1164" w:type="dxa"/>
            <w:noWrap/>
            <w:vAlign w:val="center"/>
          </w:tcPr>
          <w:p w14:paraId="7A2B8D27" w14:textId="57D2DA04" w:rsidR="00A47180" w:rsidRPr="00EC3605" w:rsidRDefault="00A47180" w:rsidP="00A47180">
            <w:pPr>
              <w:spacing w:after="0" w:line="240" w:lineRule="auto"/>
              <w:jc w:val="center"/>
              <w:rPr>
                <w:rFonts w:ascii="Cambria" w:eastAsia="Times New Roman" w:hAnsi="Cambria" w:cs="Calibri"/>
                <w:b/>
                <w:bCs/>
                <w:color w:val="000000"/>
                <w:sz w:val="18"/>
                <w:szCs w:val="18"/>
              </w:rPr>
            </w:pPr>
            <w:r w:rsidRPr="00EC3605">
              <w:rPr>
                <w:rFonts w:ascii="Cambria" w:hAnsi="Cambria"/>
                <w:b/>
                <w:color w:val="000000"/>
                <w:sz w:val="18"/>
                <w:szCs w:val="18"/>
              </w:rPr>
              <w:t>Venezuela</w:t>
            </w:r>
          </w:p>
        </w:tc>
        <w:tc>
          <w:tcPr>
            <w:tcW w:w="914" w:type="dxa"/>
            <w:noWrap/>
            <w:vAlign w:val="center"/>
          </w:tcPr>
          <w:p w14:paraId="73D317F6" w14:textId="00801657" w:rsidR="00A47180" w:rsidRPr="00EC3605" w:rsidRDefault="00A47180" w:rsidP="00A47180">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No</w:t>
            </w:r>
          </w:p>
        </w:tc>
        <w:tc>
          <w:tcPr>
            <w:tcW w:w="1026" w:type="dxa"/>
            <w:vAlign w:val="center"/>
          </w:tcPr>
          <w:p w14:paraId="044B2FE2" w14:textId="081DDAC6" w:rsidR="00A47180" w:rsidRPr="00EC3605" w:rsidRDefault="00A47180" w:rsidP="00A47180">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85</w:t>
            </w:r>
          </w:p>
        </w:tc>
        <w:tc>
          <w:tcPr>
            <w:tcW w:w="841" w:type="dxa"/>
            <w:noWrap/>
            <w:vAlign w:val="center"/>
          </w:tcPr>
          <w:p w14:paraId="537899C9" w14:textId="6AB6E9E1" w:rsidR="00A47180" w:rsidRPr="00EC3605" w:rsidRDefault="00A47180" w:rsidP="00A47180">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30</w:t>
            </w:r>
          </w:p>
        </w:tc>
        <w:tc>
          <w:tcPr>
            <w:tcW w:w="728" w:type="dxa"/>
            <w:noWrap/>
            <w:vAlign w:val="center"/>
          </w:tcPr>
          <w:p w14:paraId="54B0A60F" w14:textId="5BA8954E" w:rsidR="00A47180" w:rsidRPr="00EC3605" w:rsidRDefault="00A47180" w:rsidP="00A47180">
            <w:pPr>
              <w:spacing w:after="0" w:line="240" w:lineRule="auto"/>
              <w:jc w:val="center"/>
              <w:rPr>
                <w:rFonts w:ascii="Cambria" w:eastAsia="Times New Roman" w:hAnsi="Cambria" w:cs="Calibri"/>
                <w:color w:val="000000"/>
                <w:sz w:val="18"/>
                <w:szCs w:val="18"/>
              </w:rPr>
            </w:pPr>
            <w:r w:rsidRPr="00EC3605">
              <w:rPr>
                <w:rFonts w:ascii="Cambria" w:hAnsi="Cambria"/>
                <w:color w:val="000000"/>
                <w:sz w:val="18"/>
                <w:szCs w:val="18"/>
              </w:rPr>
              <w:t>LL</w:t>
            </w:r>
          </w:p>
        </w:tc>
        <w:tc>
          <w:tcPr>
            <w:tcW w:w="851" w:type="dxa"/>
            <w:noWrap/>
            <w:vAlign w:val="center"/>
          </w:tcPr>
          <w:p w14:paraId="17DF78D3" w14:textId="77777777" w:rsidR="00A47180" w:rsidRPr="00EC3605" w:rsidRDefault="00A47180" w:rsidP="00A47180">
            <w:pPr>
              <w:spacing w:after="0" w:line="240" w:lineRule="auto"/>
              <w:jc w:val="center"/>
              <w:rPr>
                <w:rFonts w:ascii="Cambria" w:eastAsia="Times New Roman" w:hAnsi="Cambria" w:cs="Calibri"/>
                <w:color w:val="000000"/>
                <w:sz w:val="18"/>
                <w:szCs w:val="18"/>
                <w:lang w:val="fr-FR"/>
              </w:rPr>
            </w:pPr>
          </w:p>
        </w:tc>
        <w:tc>
          <w:tcPr>
            <w:tcW w:w="992" w:type="dxa"/>
            <w:noWrap/>
            <w:vAlign w:val="center"/>
          </w:tcPr>
          <w:p w14:paraId="732AF54A" w14:textId="77777777" w:rsidR="00A47180" w:rsidRPr="00EC3605" w:rsidRDefault="00A47180" w:rsidP="00A47180">
            <w:pPr>
              <w:spacing w:after="0" w:line="240" w:lineRule="auto"/>
              <w:jc w:val="center"/>
              <w:rPr>
                <w:rFonts w:ascii="Cambria" w:eastAsia="Times New Roman" w:hAnsi="Cambria" w:cs="Calibri"/>
                <w:color w:val="000000"/>
                <w:sz w:val="18"/>
                <w:szCs w:val="18"/>
                <w:lang w:val="fr-FR"/>
              </w:rPr>
            </w:pPr>
          </w:p>
        </w:tc>
        <w:tc>
          <w:tcPr>
            <w:tcW w:w="739" w:type="dxa"/>
            <w:noWrap/>
            <w:vAlign w:val="center"/>
          </w:tcPr>
          <w:p w14:paraId="52111264" w14:textId="77777777" w:rsidR="00A47180" w:rsidRPr="00EC3605" w:rsidRDefault="00A47180" w:rsidP="00A47180">
            <w:pPr>
              <w:spacing w:after="0" w:line="240" w:lineRule="auto"/>
              <w:jc w:val="center"/>
              <w:rPr>
                <w:rFonts w:ascii="Cambria" w:eastAsia="Times New Roman" w:hAnsi="Cambria" w:cs="Calibri"/>
                <w:color w:val="000000"/>
                <w:sz w:val="18"/>
                <w:szCs w:val="18"/>
                <w:lang w:val="fr-FR"/>
              </w:rPr>
            </w:pPr>
          </w:p>
        </w:tc>
        <w:tc>
          <w:tcPr>
            <w:tcW w:w="973" w:type="dxa"/>
            <w:noWrap/>
            <w:vAlign w:val="center"/>
          </w:tcPr>
          <w:p w14:paraId="73FB5F91" w14:textId="77777777" w:rsidR="00A47180" w:rsidRPr="00EC3605" w:rsidRDefault="00A47180" w:rsidP="00A47180">
            <w:pPr>
              <w:spacing w:after="0" w:line="240" w:lineRule="auto"/>
              <w:jc w:val="center"/>
              <w:rPr>
                <w:rFonts w:ascii="Cambria" w:eastAsia="Times New Roman" w:hAnsi="Cambria" w:cs="Calibri"/>
                <w:color w:val="000000"/>
                <w:sz w:val="18"/>
                <w:szCs w:val="18"/>
                <w:lang w:val="fr-FR"/>
              </w:rPr>
            </w:pPr>
          </w:p>
        </w:tc>
        <w:tc>
          <w:tcPr>
            <w:tcW w:w="2966" w:type="dxa"/>
          </w:tcPr>
          <w:p w14:paraId="0D8E2455" w14:textId="5E1F1303" w:rsidR="00A47180" w:rsidRPr="00EC3605" w:rsidRDefault="00A47180" w:rsidP="004F1CE3">
            <w:pPr>
              <w:spacing w:after="0" w:line="240" w:lineRule="auto"/>
              <w:ind w:left="720" w:hanging="720"/>
              <w:jc w:val="both"/>
              <w:rPr>
                <w:rFonts w:ascii="Cambria" w:hAnsi="Cambria"/>
                <w:sz w:val="18"/>
                <w:szCs w:val="18"/>
              </w:rPr>
            </w:pPr>
            <w:r w:rsidRPr="00EC3605">
              <w:rPr>
                <w:rFonts w:ascii="Cambria" w:hAnsi="Cambria"/>
                <w:sz w:val="18"/>
                <w:szCs w:val="18"/>
              </w:rPr>
              <w:t xml:space="preserve">Medidas de ordenación internas actualmente en vigor:  De conformidad con la Providencia administrativa Nº 69/2003  08 -09- 2003 </w:t>
            </w:r>
            <w:r w:rsidRPr="00EC3605">
              <w:rPr>
                <w:rFonts w:ascii="Cambria" w:hAnsi="Cambria"/>
                <w:sz w:val="18"/>
                <w:szCs w:val="18"/>
              </w:rPr>
              <w:lastRenderedPageBreak/>
              <w:t xml:space="preserve">Publicada en Gaceta Oficial </w:t>
            </w:r>
            <w:proofErr w:type="spellStart"/>
            <w:r w:rsidRPr="00EC3605">
              <w:rPr>
                <w:rFonts w:ascii="Cambria" w:hAnsi="Cambria"/>
                <w:sz w:val="18"/>
                <w:szCs w:val="18"/>
              </w:rPr>
              <w:t>N°</w:t>
            </w:r>
            <w:proofErr w:type="spellEnd"/>
            <w:r w:rsidRPr="00EC3605">
              <w:rPr>
                <w:rFonts w:ascii="Cambria" w:hAnsi="Cambria"/>
                <w:sz w:val="18"/>
                <w:szCs w:val="18"/>
              </w:rPr>
              <w:t xml:space="preserve"> 37.787 de fecha  1° de octubre de 2003,  en su artículo </w:t>
            </w:r>
            <w:proofErr w:type="spellStart"/>
            <w:r w:rsidRPr="00EC3605">
              <w:rPr>
                <w:rFonts w:ascii="Cambria" w:hAnsi="Cambria"/>
                <w:sz w:val="18"/>
                <w:szCs w:val="18"/>
              </w:rPr>
              <w:t>N°</w:t>
            </w:r>
            <w:proofErr w:type="spellEnd"/>
            <w:r w:rsidRPr="00EC3605">
              <w:rPr>
                <w:rFonts w:ascii="Cambria" w:hAnsi="Cambria"/>
                <w:sz w:val="18"/>
                <w:szCs w:val="18"/>
              </w:rPr>
              <w:t xml:space="preserve"> 4 se  establece  una zona de protección pesquera donde se prohíbe la captura  de especies de la familia Xiphidae y de la familia Istiophoridae por parte de embarcaciones comerciales mayores a 10 </w:t>
            </w:r>
            <w:r w:rsidR="004F1CE3">
              <w:rPr>
                <w:rFonts w:ascii="Cambria" w:hAnsi="Cambria"/>
                <w:sz w:val="18"/>
                <w:szCs w:val="18"/>
              </w:rPr>
              <w:t>GT</w:t>
            </w:r>
            <w:r w:rsidRPr="00EC3605">
              <w:rPr>
                <w:rFonts w:ascii="Cambria" w:hAnsi="Cambria"/>
                <w:sz w:val="18"/>
                <w:szCs w:val="18"/>
              </w:rPr>
              <w:t xml:space="preserve"> y artesanales, salvo para una pequeña flota de 35 embarcaciones artesanales  perteneciente al sector de Playa Verde, Estado La Guaira.</w:t>
            </w:r>
          </w:p>
        </w:tc>
        <w:tc>
          <w:tcPr>
            <w:tcW w:w="2835" w:type="dxa"/>
            <w:tcBorders>
              <w:bottom w:val="single" w:sz="4" w:space="0" w:color="auto"/>
              <w:right w:val="single" w:sz="4" w:space="0" w:color="auto"/>
            </w:tcBorders>
          </w:tcPr>
          <w:p w14:paraId="42461A26" w14:textId="6F61432D" w:rsidR="00A47180" w:rsidRPr="00EC3605" w:rsidRDefault="00A47180" w:rsidP="00A96BD5">
            <w:pPr>
              <w:spacing w:after="0" w:line="240" w:lineRule="auto"/>
              <w:rPr>
                <w:rFonts w:ascii="Cambria" w:hAnsi="Cambria"/>
                <w:sz w:val="18"/>
                <w:szCs w:val="18"/>
              </w:rPr>
            </w:pPr>
            <w:r w:rsidRPr="00EC3605">
              <w:rPr>
                <w:rFonts w:ascii="Cambria" w:hAnsi="Cambria"/>
                <w:sz w:val="18"/>
                <w:szCs w:val="18"/>
              </w:rPr>
              <w:lastRenderedPageBreak/>
              <w:t xml:space="preserve">Planes para desarrollar la pesquería y medidas de ordenación internas contempladas.  Se elaboró un proyecto de Norma Técnica de Ordenamiento Pesquero   para </w:t>
            </w:r>
            <w:r w:rsidRPr="00EC3605">
              <w:rPr>
                <w:rFonts w:ascii="Cambria" w:hAnsi="Cambria"/>
                <w:sz w:val="18"/>
                <w:szCs w:val="18"/>
              </w:rPr>
              <w:lastRenderedPageBreak/>
              <w:t xml:space="preserve">actualizar la norma que regula la captura de los peces pertenecientes a la </w:t>
            </w:r>
            <w:r w:rsidR="001B4123" w:rsidRPr="00EC3605">
              <w:rPr>
                <w:rFonts w:ascii="Cambria" w:hAnsi="Cambria"/>
                <w:sz w:val="18"/>
                <w:szCs w:val="18"/>
              </w:rPr>
              <w:t>familia Istiophoridae</w:t>
            </w:r>
            <w:r w:rsidRPr="00EC3605">
              <w:rPr>
                <w:rFonts w:ascii="Cambria" w:hAnsi="Cambria"/>
                <w:sz w:val="18"/>
                <w:szCs w:val="18"/>
              </w:rPr>
              <w:t xml:space="preserve"> y familia </w:t>
            </w:r>
            <w:proofErr w:type="spellStart"/>
            <w:r w:rsidRPr="00EC3605">
              <w:rPr>
                <w:rFonts w:ascii="Cambria" w:hAnsi="Cambria"/>
                <w:sz w:val="18"/>
                <w:szCs w:val="18"/>
              </w:rPr>
              <w:t>Xiphiidae</w:t>
            </w:r>
            <w:proofErr w:type="spellEnd"/>
            <w:r w:rsidRPr="00EC3605">
              <w:rPr>
                <w:rFonts w:ascii="Cambria" w:hAnsi="Cambria"/>
                <w:sz w:val="18"/>
                <w:szCs w:val="18"/>
              </w:rPr>
              <w:t xml:space="preserve">, donde se tiene previsto generar dos nuevas normas separando las regulaciones de la familia </w:t>
            </w:r>
            <w:proofErr w:type="spellStart"/>
            <w:r w:rsidRPr="00EC3605">
              <w:rPr>
                <w:rFonts w:ascii="Cambria" w:hAnsi="Cambria"/>
                <w:sz w:val="18"/>
                <w:szCs w:val="18"/>
              </w:rPr>
              <w:t>Xiphiidae</w:t>
            </w:r>
            <w:proofErr w:type="spellEnd"/>
            <w:r w:rsidRPr="00EC3605">
              <w:rPr>
                <w:rFonts w:ascii="Cambria" w:hAnsi="Cambria"/>
                <w:sz w:val="18"/>
                <w:szCs w:val="18"/>
              </w:rPr>
              <w:t xml:space="preserve"> </w:t>
            </w:r>
            <w:r w:rsidR="00833629" w:rsidRPr="00EC3605">
              <w:rPr>
                <w:rFonts w:ascii="Cambria" w:hAnsi="Cambria"/>
                <w:sz w:val="18"/>
                <w:szCs w:val="18"/>
              </w:rPr>
              <w:t>e Istiophoridae</w:t>
            </w:r>
            <w:r w:rsidRPr="00EC3605">
              <w:rPr>
                <w:rFonts w:ascii="Cambria" w:hAnsi="Cambria"/>
                <w:sz w:val="18"/>
                <w:szCs w:val="18"/>
              </w:rPr>
              <w:t xml:space="preserve"> en Venezuela en dos instrumentos diferentes.  Este proyecto de norma técnica se encuentra en proceso de aprobación para la publicación oficial En el centro de Venezuela existen algunas comunidades que desarrollan actividades pesqueras artesanales alrededor del bajo conocido como "Placer de La Guaira" el cual es  uno de los “</w:t>
            </w:r>
            <w:proofErr w:type="spellStart"/>
            <w:r w:rsidRPr="00EC3605">
              <w:rPr>
                <w:rFonts w:ascii="Cambria" w:hAnsi="Cambria"/>
                <w:sz w:val="18"/>
                <w:szCs w:val="18"/>
              </w:rPr>
              <w:t>hot</w:t>
            </w:r>
            <w:proofErr w:type="spellEnd"/>
            <w:r w:rsidRPr="00EC3605">
              <w:rPr>
                <w:rFonts w:ascii="Cambria" w:hAnsi="Cambria"/>
                <w:sz w:val="18"/>
                <w:szCs w:val="18"/>
              </w:rPr>
              <w:t xml:space="preserve"> spots” para istiofóridos más reconocidos del </w:t>
            </w:r>
            <w:r w:rsidR="004D795A">
              <w:rPr>
                <w:rFonts w:ascii="Cambria" w:hAnsi="Cambria"/>
                <w:sz w:val="18"/>
                <w:szCs w:val="18"/>
              </w:rPr>
              <w:t>o</w:t>
            </w:r>
            <w:r w:rsidRPr="00EC3605">
              <w:rPr>
                <w:rFonts w:ascii="Cambria" w:hAnsi="Cambria"/>
                <w:sz w:val="18"/>
                <w:szCs w:val="18"/>
              </w:rPr>
              <w:t xml:space="preserve">céano Atlántico, donde se concentran los marlines y uno de los  recursos que capturan  es el pez espada, e incluso en épocas especificas del año dirigen las capturas a este recurso pesquero.                                                                                                                                                                                            Entre estas comunidades se destacan La Zorra, Arrecife, Puerto Maya, Puerto Cruz, Caraballeda, </w:t>
            </w:r>
            <w:proofErr w:type="spellStart"/>
            <w:r w:rsidRPr="00EC3605">
              <w:rPr>
                <w:rFonts w:ascii="Cambria" w:hAnsi="Cambria"/>
                <w:sz w:val="18"/>
                <w:szCs w:val="18"/>
              </w:rPr>
              <w:t>Chichiriviche</w:t>
            </w:r>
            <w:proofErr w:type="spellEnd"/>
            <w:r w:rsidRPr="00EC3605">
              <w:rPr>
                <w:rFonts w:ascii="Cambria" w:hAnsi="Cambria"/>
                <w:sz w:val="18"/>
                <w:szCs w:val="18"/>
              </w:rPr>
              <w:t xml:space="preserve">, </w:t>
            </w:r>
            <w:proofErr w:type="spellStart"/>
            <w:r w:rsidRPr="00EC3605">
              <w:rPr>
                <w:rFonts w:ascii="Cambria" w:hAnsi="Cambria"/>
                <w:sz w:val="18"/>
                <w:szCs w:val="18"/>
              </w:rPr>
              <w:t>Cuyagua</w:t>
            </w:r>
            <w:proofErr w:type="spellEnd"/>
            <w:r w:rsidRPr="00EC3605">
              <w:rPr>
                <w:rFonts w:ascii="Cambria" w:hAnsi="Cambria"/>
                <w:sz w:val="18"/>
                <w:szCs w:val="18"/>
              </w:rPr>
              <w:t xml:space="preserve">, </w:t>
            </w:r>
            <w:proofErr w:type="spellStart"/>
            <w:r w:rsidRPr="00EC3605">
              <w:rPr>
                <w:rFonts w:ascii="Cambria" w:hAnsi="Cambria"/>
                <w:sz w:val="18"/>
                <w:szCs w:val="18"/>
              </w:rPr>
              <w:t>Choroni</w:t>
            </w:r>
            <w:proofErr w:type="spellEnd"/>
            <w:r w:rsidRPr="00EC3605">
              <w:rPr>
                <w:rFonts w:ascii="Cambria" w:hAnsi="Cambria"/>
                <w:sz w:val="18"/>
                <w:szCs w:val="18"/>
              </w:rPr>
              <w:t xml:space="preserve">, </w:t>
            </w:r>
            <w:proofErr w:type="spellStart"/>
            <w:r w:rsidRPr="00EC3605">
              <w:rPr>
                <w:rFonts w:ascii="Cambria" w:hAnsi="Cambria"/>
                <w:sz w:val="18"/>
                <w:szCs w:val="18"/>
              </w:rPr>
              <w:t>Cepe</w:t>
            </w:r>
            <w:proofErr w:type="spellEnd"/>
            <w:r w:rsidRPr="00EC3605">
              <w:rPr>
                <w:rFonts w:ascii="Cambria" w:hAnsi="Cambria"/>
                <w:sz w:val="18"/>
                <w:szCs w:val="18"/>
              </w:rPr>
              <w:t xml:space="preserve">, Chuao, entre </w:t>
            </w:r>
            <w:r w:rsidR="00666FD3">
              <w:rPr>
                <w:rFonts w:ascii="Cambria" w:hAnsi="Cambria"/>
                <w:sz w:val="18"/>
                <w:szCs w:val="18"/>
              </w:rPr>
              <w:t>o</w:t>
            </w:r>
            <w:r w:rsidRPr="00EC3605">
              <w:rPr>
                <w:rFonts w:ascii="Cambria" w:hAnsi="Cambria"/>
                <w:sz w:val="18"/>
                <w:szCs w:val="18"/>
              </w:rPr>
              <w:t xml:space="preserve">tras.                                                                                                                                                                                         </w:t>
            </w:r>
            <w:r w:rsidRPr="00EC3605">
              <w:rPr>
                <w:rFonts w:ascii="Cambria" w:hAnsi="Cambria"/>
                <w:sz w:val="18"/>
                <w:szCs w:val="18"/>
              </w:rPr>
              <w:cr/>
            </w:r>
            <w:r w:rsidRPr="00EC3605">
              <w:rPr>
                <w:rFonts w:ascii="Cambria" w:hAnsi="Cambria"/>
                <w:sz w:val="18"/>
                <w:szCs w:val="18"/>
              </w:rPr>
              <w:br/>
              <w:t xml:space="preserve">Venezuela está trabajando en un plan de monitoreo que contempla una serie de acciones como: caracterización de la flota artesanal que captura especies ICCAT, talleres de formación y </w:t>
            </w:r>
            <w:r w:rsidRPr="00EC3605">
              <w:rPr>
                <w:rFonts w:ascii="Cambria" w:hAnsi="Cambria"/>
                <w:sz w:val="18"/>
                <w:szCs w:val="18"/>
              </w:rPr>
              <w:lastRenderedPageBreak/>
              <w:t xml:space="preserve">concientización para los pescadores,  actualización de legislaciones pertinentes, formación de inspectores especializados en las pesquerías artesanales, entre otras que nos permitan establecer un plan de monitoreo efectivo en las comunidades pertinentes.    </w:t>
            </w:r>
          </w:p>
          <w:p w14:paraId="21147EAA" w14:textId="22982813" w:rsidR="00A47180" w:rsidRPr="00EC3605" w:rsidRDefault="00A47180" w:rsidP="00A47180">
            <w:pPr>
              <w:spacing w:after="0" w:line="240" w:lineRule="auto"/>
              <w:jc w:val="both"/>
              <w:rPr>
                <w:rFonts w:ascii="Cambria" w:hAnsi="Cambria"/>
                <w:sz w:val="18"/>
                <w:szCs w:val="18"/>
              </w:rPr>
            </w:pPr>
            <w:r w:rsidRPr="00EC3605">
              <w:rPr>
                <w:rFonts w:ascii="Cambria" w:hAnsi="Cambria"/>
                <w:sz w:val="18"/>
                <w:szCs w:val="18"/>
              </w:rPr>
              <w:t xml:space="preserve">                                                                                                                                                                              </w:t>
            </w:r>
          </w:p>
        </w:tc>
        <w:tc>
          <w:tcPr>
            <w:tcW w:w="236" w:type="dxa"/>
            <w:tcBorders>
              <w:top w:val="nil"/>
              <w:left w:val="single" w:sz="4" w:space="0" w:color="auto"/>
              <w:bottom w:val="nil"/>
              <w:right w:val="nil"/>
            </w:tcBorders>
            <w:vAlign w:val="center"/>
          </w:tcPr>
          <w:p w14:paraId="2A4BF290" w14:textId="77777777" w:rsidR="00A47180" w:rsidRPr="00EC3605" w:rsidRDefault="00A47180" w:rsidP="00A47180">
            <w:pPr>
              <w:spacing w:after="0" w:line="240" w:lineRule="auto"/>
              <w:rPr>
                <w:rFonts w:ascii="Cambria" w:eastAsia="Times New Roman" w:hAnsi="Cambria" w:cs="Times New Roman"/>
                <w:sz w:val="18"/>
                <w:szCs w:val="18"/>
              </w:rPr>
            </w:pPr>
          </w:p>
        </w:tc>
      </w:tr>
    </w:tbl>
    <w:p w14:paraId="028BFB74" w14:textId="77777777" w:rsidR="00647AF6" w:rsidRPr="00EC3605" w:rsidRDefault="00647AF6" w:rsidP="00102FBE">
      <w:pPr>
        <w:spacing w:after="0" w:line="240" w:lineRule="auto"/>
        <w:rPr>
          <w:rFonts w:ascii="Cambria" w:hAnsi="Cambria"/>
          <w:sz w:val="18"/>
          <w:szCs w:val="18"/>
        </w:rPr>
        <w:sectPr w:rsidR="00647AF6" w:rsidRPr="00EC3605" w:rsidSect="004D5A8D">
          <w:pgSz w:w="15840" w:h="12240" w:orient="landscape"/>
          <w:pgMar w:top="1440" w:right="1021" w:bottom="1440" w:left="1134" w:header="720" w:footer="720" w:gutter="0"/>
          <w:cols w:space="720"/>
          <w:docGrid w:linePitch="360"/>
        </w:sectPr>
      </w:pPr>
    </w:p>
    <w:p w14:paraId="7EAB42AB" w14:textId="0E4DCF40" w:rsidR="00647AF6" w:rsidRPr="00EC3605" w:rsidRDefault="00647AF6" w:rsidP="00102FBE">
      <w:pPr>
        <w:spacing w:after="0" w:line="240" w:lineRule="auto"/>
        <w:rPr>
          <w:rFonts w:ascii="Cambria" w:hAnsi="Cambria"/>
          <w:sz w:val="18"/>
          <w:szCs w:val="18"/>
        </w:rPr>
      </w:pPr>
      <w:r w:rsidRPr="00EC3605">
        <w:rPr>
          <w:rFonts w:ascii="Cambria" w:hAnsi="Cambria"/>
          <w:b/>
          <w:sz w:val="18"/>
          <w:szCs w:val="18"/>
        </w:rPr>
        <w:lastRenderedPageBreak/>
        <w:t>Canadá</w:t>
      </w:r>
    </w:p>
    <w:p w14:paraId="0B29A26B" w14:textId="77777777" w:rsidR="00647AF6" w:rsidRPr="00EC3605" w:rsidRDefault="00647AF6" w:rsidP="00102FBE">
      <w:pPr>
        <w:spacing w:after="0" w:line="240" w:lineRule="auto"/>
        <w:rPr>
          <w:rFonts w:ascii="Cambria" w:hAnsi="Cambria" w:cs="Times New Roman"/>
          <w:b/>
          <w:color w:val="000000"/>
          <w:sz w:val="18"/>
          <w:szCs w:val="18"/>
          <w:lang w:eastAsia="en-CA"/>
        </w:rPr>
      </w:pPr>
    </w:p>
    <w:p w14:paraId="5748A5EE" w14:textId="77777777" w:rsidR="00647AF6" w:rsidRPr="00EC3605" w:rsidRDefault="00647AF6" w:rsidP="00102FBE">
      <w:pPr>
        <w:spacing w:after="0" w:line="240" w:lineRule="auto"/>
        <w:rPr>
          <w:rFonts w:ascii="Cambria" w:hAnsi="Cambria" w:cs="Times New Roman"/>
          <w:color w:val="000000"/>
          <w:sz w:val="18"/>
          <w:szCs w:val="18"/>
        </w:rPr>
      </w:pPr>
      <w:r w:rsidRPr="00EC3605">
        <w:rPr>
          <w:rFonts w:ascii="Cambria" w:hAnsi="Cambria"/>
          <w:b/>
          <w:color w:val="000000"/>
          <w:sz w:val="18"/>
          <w:szCs w:val="18"/>
        </w:rPr>
        <w:t xml:space="preserve">Resumen ejecutivo </w:t>
      </w:r>
    </w:p>
    <w:p w14:paraId="19128B1B" w14:textId="77777777" w:rsidR="00647AF6" w:rsidRPr="00EC3605" w:rsidRDefault="00647AF6" w:rsidP="00102FBE">
      <w:pPr>
        <w:spacing w:after="0" w:line="240" w:lineRule="auto"/>
        <w:rPr>
          <w:rFonts w:ascii="Cambria" w:hAnsi="Cambria" w:cs="Times New Roman"/>
          <w:sz w:val="18"/>
          <w:szCs w:val="18"/>
        </w:rPr>
      </w:pPr>
    </w:p>
    <w:p w14:paraId="67F39835" w14:textId="77777777" w:rsidR="006677AB" w:rsidRPr="00EC3605" w:rsidRDefault="006677AB" w:rsidP="00102FBE">
      <w:pPr>
        <w:spacing w:after="0" w:line="240" w:lineRule="auto"/>
        <w:jc w:val="both"/>
        <w:rPr>
          <w:rFonts w:ascii="Cambria" w:hAnsi="Cambria"/>
          <w:sz w:val="18"/>
          <w:szCs w:val="18"/>
        </w:rPr>
      </w:pPr>
      <w:r w:rsidRPr="00EC3605">
        <w:rPr>
          <w:rFonts w:ascii="Cambria" w:hAnsi="Cambria"/>
          <w:sz w:val="18"/>
          <w:szCs w:val="18"/>
        </w:rPr>
        <w:t xml:space="preserve">La Recomendación 17-02 de ICCAT requiere que cada Parte contratante y Parte, Entidad o Entidad pesquera no contratante colaboradora presente a la Secretaría, antes del 15 de septiembre, modificaciones a su plan de desarrollo o plan de ordenación/pesca de pez espada. Este documento describe la historia, ordenación y aspectos socioeconómicos y aspiraciones futuras de la pesquería canadiense de pez espada del Atlántico norte.  </w:t>
      </w:r>
    </w:p>
    <w:p w14:paraId="76CFA169" w14:textId="77777777" w:rsidR="006677AB" w:rsidRPr="00EC3605" w:rsidRDefault="006677AB" w:rsidP="00102FBE">
      <w:pPr>
        <w:spacing w:after="0" w:line="240" w:lineRule="auto"/>
        <w:jc w:val="both"/>
        <w:rPr>
          <w:rFonts w:ascii="Cambria" w:hAnsi="Cambria"/>
          <w:sz w:val="18"/>
          <w:szCs w:val="18"/>
        </w:rPr>
      </w:pPr>
    </w:p>
    <w:p w14:paraId="07231647" w14:textId="1A50AB50" w:rsidR="006677AB" w:rsidRPr="00EC3605" w:rsidRDefault="006677AB" w:rsidP="00102FBE">
      <w:pPr>
        <w:spacing w:after="0" w:line="240" w:lineRule="auto"/>
        <w:jc w:val="both"/>
        <w:rPr>
          <w:rFonts w:ascii="Cambria" w:hAnsi="Cambria"/>
          <w:sz w:val="18"/>
          <w:szCs w:val="18"/>
        </w:rPr>
      </w:pPr>
      <w:r w:rsidRPr="00EC3605">
        <w:rPr>
          <w:rFonts w:ascii="Cambria" w:hAnsi="Cambria"/>
          <w:sz w:val="18"/>
          <w:szCs w:val="18"/>
        </w:rPr>
        <w:t xml:space="preserve">La pesquería de pez espada del Atlántico norte de Canadá se remonta a la década de 1880. Actualmente, esta pesquería exclusivamente comercial </w:t>
      </w:r>
      <w:r w:rsidR="00EC3605" w:rsidRPr="00EC3605">
        <w:rPr>
          <w:rFonts w:ascii="Cambria" w:hAnsi="Cambria"/>
          <w:sz w:val="18"/>
          <w:szCs w:val="18"/>
        </w:rPr>
        <w:t>continúa</w:t>
      </w:r>
      <w:r w:rsidRPr="00EC3605">
        <w:rPr>
          <w:rFonts w:ascii="Cambria" w:hAnsi="Cambria"/>
          <w:sz w:val="18"/>
          <w:szCs w:val="18"/>
        </w:rPr>
        <w:t xml:space="preserve"> siendo social y económicamente importante para muchas comunidades costeras e indígenas en todo el Canadá atlántico. Los desembarques anuales generaron más de 17,5 millones de dólares de ingresos en 2023 en varios puertos del Atlántico.</w:t>
      </w:r>
    </w:p>
    <w:p w14:paraId="250643A1" w14:textId="77777777" w:rsidR="006677AB" w:rsidRPr="00EC3605" w:rsidRDefault="006677AB" w:rsidP="00102FBE">
      <w:pPr>
        <w:spacing w:after="0" w:line="240" w:lineRule="auto"/>
        <w:jc w:val="both"/>
        <w:rPr>
          <w:rFonts w:ascii="Cambria" w:hAnsi="Cambria"/>
          <w:sz w:val="18"/>
          <w:szCs w:val="18"/>
        </w:rPr>
      </w:pPr>
    </w:p>
    <w:p w14:paraId="681A6048" w14:textId="2BE4A80F" w:rsidR="006677AB" w:rsidRPr="00EC3605" w:rsidRDefault="006677AB" w:rsidP="00102FBE">
      <w:pPr>
        <w:spacing w:after="0" w:line="240" w:lineRule="auto"/>
        <w:jc w:val="both"/>
        <w:rPr>
          <w:rFonts w:ascii="Cambria" w:hAnsi="Cambria"/>
          <w:sz w:val="18"/>
          <w:szCs w:val="18"/>
        </w:rPr>
      </w:pPr>
      <w:r w:rsidRPr="00EC3605">
        <w:rPr>
          <w:rFonts w:ascii="Cambria" w:hAnsi="Cambria"/>
          <w:sz w:val="18"/>
          <w:szCs w:val="18"/>
        </w:rPr>
        <w:t xml:space="preserve">La asignación inicial de Canadá de 2024 de pez espada del Atlántico norte era de 1.348 t, de las cuales 5 t se asignaron a la flota atunera de altura de Canadá para la captura fortuita de pez espada. La asignación restante se dividió entre dos flotas que se dirigen al pez espada del Atlántico norte. El 90 % se asigna a la flota de palangre y el 10 % a la flota de arpón. Desde 2020, Canadá ha estado probando la viabilidad de los artes de caña y carrete y de boya tendida en la pesquería comercial de pez espada. Los científicos canadienses evaluarán las tasas de captura fortuita de los nuevos artes. </w:t>
      </w:r>
    </w:p>
    <w:p w14:paraId="6CECF88F" w14:textId="77777777" w:rsidR="006677AB" w:rsidRPr="00EC3605" w:rsidRDefault="006677AB" w:rsidP="00102FBE">
      <w:pPr>
        <w:spacing w:after="0" w:line="240" w:lineRule="auto"/>
        <w:jc w:val="both"/>
        <w:rPr>
          <w:rFonts w:ascii="Cambria" w:hAnsi="Cambria"/>
          <w:sz w:val="18"/>
          <w:szCs w:val="18"/>
        </w:rPr>
      </w:pPr>
    </w:p>
    <w:p w14:paraId="56EC96BA" w14:textId="36C7387C" w:rsidR="006677AB" w:rsidRPr="00EC3605" w:rsidRDefault="006677AB" w:rsidP="00102FBE">
      <w:pPr>
        <w:spacing w:after="0" w:line="240" w:lineRule="auto"/>
        <w:jc w:val="both"/>
        <w:rPr>
          <w:rFonts w:ascii="Cambria" w:hAnsi="Cambria"/>
          <w:sz w:val="18"/>
          <w:szCs w:val="18"/>
        </w:rPr>
      </w:pPr>
      <w:r w:rsidRPr="00EC3605">
        <w:rPr>
          <w:rFonts w:ascii="Cambria" w:hAnsi="Cambria"/>
          <w:sz w:val="18"/>
          <w:szCs w:val="18"/>
        </w:rPr>
        <w:t xml:space="preserve">Entre 2020 y 2024, Canadá demostró sistemáticamente su capacidad para aprovechar plenamente su cuota de ICCAT, con un promedio anual de desembarques del 114 % de sus asignaciones anuales iniciales (antes de las transferencias de cuotas) durante ese período de cuatro años. En 2024, Canadá alcanzó el 124 % de sus asignaciones anuales (antes de las transferencias de cuotas). Desde 2004, Canadá ha recibido 1.348 t de las asignaciones de cuota de ICCAT (o el 10,5% de los límites de captura). No obstante, Canadá ha desembarcado aproximadamente el 13,2 % del total de capturas de pez espada del Atlántico norte anualmente durante los últimos diez años (2014-2023) debido a las transferencias de cuotas recibidas. </w:t>
      </w:r>
    </w:p>
    <w:p w14:paraId="6B5F7933" w14:textId="77777777" w:rsidR="006677AB" w:rsidRPr="00EC3605" w:rsidRDefault="006677AB" w:rsidP="00102FBE">
      <w:pPr>
        <w:spacing w:after="0" w:line="240" w:lineRule="auto"/>
        <w:jc w:val="both"/>
        <w:rPr>
          <w:rFonts w:ascii="Cambria" w:hAnsi="Cambria"/>
          <w:sz w:val="18"/>
          <w:szCs w:val="18"/>
        </w:rPr>
      </w:pPr>
    </w:p>
    <w:p w14:paraId="4D5F3EFA" w14:textId="7E9CA50A" w:rsidR="006677AB" w:rsidRPr="00EC3605" w:rsidRDefault="006677AB" w:rsidP="00102FBE">
      <w:pPr>
        <w:spacing w:after="0" w:line="240" w:lineRule="auto"/>
        <w:jc w:val="both"/>
        <w:rPr>
          <w:rFonts w:ascii="Cambria" w:hAnsi="Cambria"/>
          <w:sz w:val="18"/>
          <w:szCs w:val="18"/>
        </w:rPr>
      </w:pPr>
      <w:r w:rsidRPr="00EC3605">
        <w:rPr>
          <w:rFonts w:ascii="Cambria" w:hAnsi="Cambria"/>
          <w:sz w:val="18"/>
          <w:szCs w:val="18"/>
        </w:rPr>
        <w:t xml:space="preserve">Como base para realizar evaluaciones de stock e investigaciones fiables, Canadá recopila, entre otras cosas, datos de captura y esfuerzo de todas las mareas. Desde 1996, en el Canadá atlántico se ha instituido un programa de seguimiento a pie de muelle (DMP) financiado por la industria para proporcionar una verificación independiente de una tercera parte de los envíos del cuaderno de pesca. El DMP de Canadá lo llevan a cabo agentes certificados que supervisan todos los desembarque de pez espada (100%) en el Canadá atlántico, así como la introducción de los datos de los cuadernos de pesca en una base de datos central. El DMP garantiza que se recopila información precisa y fiable sobre el número de peces capturados, su peso, el esfuerzo, las condiciones medioambientales y otras estadísticas vitales. Estos datos se ponen a disposición de los gestores pesqueros, los científicos y los responsables de la ejecución en tiempo real.  </w:t>
      </w:r>
    </w:p>
    <w:p w14:paraId="5CD75F50" w14:textId="77777777" w:rsidR="006677AB" w:rsidRPr="00EC3605" w:rsidRDefault="006677AB" w:rsidP="00102FBE">
      <w:pPr>
        <w:spacing w:after="0" w:line="240" w:lineRule="auto"/>
        <w:jc w:val="both"/>
        <w:rPr>
          <w:rFonts w:ascii="Cambria" w:hAnsi="Cambria"/>
          <w:sz w:val="18"/>
          <w:szCs w:val="18"/>
        </w:rPr>
      </w:pPr>
    </w:p>
    <w:p w14:paraId="59FFDBC1" w14:textId="213B5668" w:rsidR="006677AB" w:rsidRPr="00EC3605" w:rsidRDefault="006677AB" w:rsidP="00102FBE">
      <w:pPr>
        <w:spacing w:after="0" w:line="240" w:lineRule="auto"/>
        <w:jc w:val="both"/>
        <w:rPr>
          <w:rFonts w:ascii="Cambria" w:hAnsi="Cambria"/>
          <w:sz w:val="18"/>
          <w:szCs w:val="18"/>
        </w:rPr>
      </w:pPr>
      <w:r w:rsidRPr="00EC3605">
        <w:rPr>
          <w:rFonts w:ascii="Cambria" w:hAnsi="Cambria"/>
          <w:sz w:val="18"/>
          <w:szCs w:val="18"/>
        </w:rPr>
        <w:t xml:space="preserve">El exhaustivo enfoque de la ejecución de Canadá incluye también el requisito de que todos los palangreros lleven sistemas de seguimiento de buques (VMS) a bordo, a pesar de que solo dos de los 77 palangreros pelágicos de Canadá tienen una eslora superior a los 20 </w:t>
      </w:r>
      <w:r w:rsidR="00915092">
        <w:rPr>
          <w:rFonts w:ascii="Cambria" w:hAnsi="Cambria"/>
          <w:sz w:val="18"/>
          <w:szCs w:val="18"/>
        </w:rPr>
        <w:t>m</w:t>
      </w:r>
      <w:r w:rsidRPr="00EC3605">
        <w:rPr>
          <w:rFonts w:ascii="Cambria" w:hAnsi="Cambria"/>
          <w:sz w:val="18"/>
          <w:szCs w:val="18"/>
        </w:rPr>
        <w:t xml:space="preserve"> y están sujetos a la medida sobre VMS de ICCAT. </w:t>
      </w:r>
    </w:p>
    <w:p w14:paraId="7619C45A" w14:textId="77777777" w:rsidR="006677AB" w:rsidRPr="00EC3605" w:rsidRDefault="006677AB" w:rsidP="00102FBE">
      <w:pPr>
        <w:spacing w:after="0" w:line="240" w:lineRule="auto"/>
        <w:jc w:val="both"/>
        <w:rPr>
          <w:rFonts w:ascii="Cambria" w:hAnsi="Cambria"/>
          <w:sz w:val="18"/>
          <w:szCs w:val="18"/>
        </w:rPr>
      </w:pPr>
    </w:p>
    <w:p w14:paraId="479E5A46" w14:textId="77777777" w:rsidR="006677AB" w:rsidRPr="00EC3605" w:rsidRDefault="006677AB" w:rsidP="00102FBE">
      <w:pPr>
        <w:spacing w:after="0" w:line="240" w:lineRule="auto"/>
        <w:jc w:val="both"/>
        <w:rPr>
          <w:rFonts w:ascii="Cambria" w:hAnsi="Cambria"/>
          <w:sz w:val="18"/>
          <w:szCs w:val="18"/>
        </w:rPr>
      </w:pPr>
      <w:r w:rsidRPr="00EC3605">
        <w:rPr>
          <w:rFonts w:ascii="Cambria" w:hAnsi="Cambria"/>
          <w:sz w:val="18"/>
          <w:szCs w:val="18"/>
        </w:rPr>
        <w:t xml:space="preserve">El seguimiento y la ejecución de las medidas de ordenación del pez espada en Canadá son elementos clave para garantizar la sostenibilidad de la especie de pez espada. Los funcionarios de pesca del Ministerio de Pesca y Océanos de Canadá utilizan diversos métodos para supervisar la actividad pesquera del pez espada con el fin de promover el cumplimiento de las medidas de ordenación de la pesca del pez espada, incluida la vigilancia aérea, las inspecciones en el mar y en los puertos, los observadores en el mar y los sistemas de seguimiento de buques. Además de las inspecciones en el mar y en puerto, los funcionarios de pesca inspeccionan las instalaciones de compra/transformación de pez espada y realizan auditorías del programa de control en muelle de esta pesquería. En 2024, hubo un total de 238,5 horas de ejecución de los funcionarios pesqueros en la pesquería de pez espada. </w:t>
      </w:r>
    </w:p>
    <w:p w14:paraId="477DA855" w14:textId="77777777" w:rsidR="006677AB" w:rsidRPr="00EC3605" w:rsidRDefault="006677AB" w:rsidP="00102FBE">
      <w:pPr>
        <w:spacing w:after="0" w:line="240" w:lineRule="auto"/>
        <w:jc w:val="both"/>
        <w:rPr>
          <w:rFonts w:ascii="Cambria" w:hAnsi="Cambria"/>
          <w:sz w:val="18"/>
          <w:szCs w:val="18"/>
        </w:rPr>
      </w:pPr>
    </w:p>
    <w:p w14:paraId="20F9FD22" w14:textId="77777777" w:rsidR="006677AB" w:rsidRPr="00EC3605" w:rsidRDefault="006677AB" w:rsidP="00102FBE">
      <w:pPr>
        <w:spacing w:after="0" w:line="240" w:lineRule="auto"/>
        <w:jc w:val="both"/>
        <w:rPr>
          <w:rFonts w:ascii="Cambria" w:hAnsi="Cambria"/>
          <w:sz w:val="18"/>
          <w:szCs w:val="18"/>
        </w:rPr>
      </w:pPr>
      <w:r w:rsidRPr="00EC3605">
        <w:rPr>
          <w:rFonts w:ascii="Cambria" w:hAnsi="Cambria"/>
          <w:sz w:val="18"/>
          <w:szCs w:val="18"/>
        </w:rPr>
        <w:t xml:space="preserve">Desde 2012, en reconocimiento del estricto régimen de ordenación que existe en estas pesquerías en Canadá, tanto la flota de palangre como la de arpón que se dirigen al pez espada del Atlántico norte han recibido la certificación del Marine </w:t>
      </w:r>
      <w:proofErr w:type="spellStart"/>
      <w:r w:rsidRPr="00EC3605">
        <w:rPr>
          <w:rFonts w:ascii="Cambria" w:hAnsi="Cambria"/>
          <w:sz w:val="18"/>
          <w:szCs w:val="18"/>
        </w:rPr>
        <w:t>Stewardship</w:t>
      </w:r>
      <w:proofErr w:type="spellEnd"/>
      <w:r w:rsidRPr="00EC3605">
        <w:rPr>
          <w:rFonts w:ascii="Cambria" w:hAnsi="Cambria"/>
          <w:sz w:val="18"/>
          <w:szCs w:val="18"/>
        </w:rPr>
        <w:t xml:space="preserve"> Council. Canadá es el primer miembro de ICCAT en obtener esta certificación para toda su flota de pez espada. </w:t>
      </w:r>
    </w:p>
    <w:p w14:paraId="5F373FE6" w14:textId="77777777" w:rsidR="006677AB" w:rsidRPr="00EC3605" w:rsidRDefault="006677AB" w:rsidP="00102FBE">
      <w:pPr>
        <w:spacing w:after="0" w:line="240" w:lineRule="auto"/>
        <w:jc w:val="both"/>
        <w:rPr>
          <w:rFonts w:ascii="Cambria" w:hAnsi="Cambria"/>
          <w:sz w:val="18"/>
          <w:szCs w:val="18"/>
        </w:rPr>
      </w:pPr>
    </w:p>
    <w:p w14:paraId="3170C2B1" w14:textId="77777777" w:rsidR="006677AB" w:rsidRPr="00EC3605" w:rsidRDefault="006677AB" w:rsidP="00102FBE">
      <w:pPr>
        <w:spacing w:after="0" w:line="240" w:lineRule="auto"/>
        <w:jc w:val="both"/>
        <w:rPr>
          <w:rFonts w:ascii="Cambria" w:hAnsi="Cambria"/>
          <w:sz w:val="18"/>
          <w:szCs w:val="18"/>
        </w:rPr>
      </w:pPr>
      <w:r w:rsidRPr="00EC3605">
        <w:rPr>
          <w:rFonts w:ascii="Cambria" w:hAnsi="Cambria"/>
          <w:sz w:val="18"/>
          <w:szCs w:val="18"/>
        </w:rPr>
        <w:t xml:space="preserve">Canadá ha sido líder en el apoyo de las investigaciones científicas de ICCAT de los recursos de pez espada en el Atlántico durante las últimas décadas.  Como consecuencia de la capacidad reconocida de Canadá para recopilar y mantener estadísticas pesqueras de importancia para la evaluación del stock, Canadá aporta la serie más larga de información sobre tasas de captura a la evaluación del stock del Atlántico norte, que comienza en 1963. </w:t>
      </w:r>
    </w:p>
    <w:p w14:paraId="12C98C3F" w14:textId="77777777" w:rsidR="001A07F9" w:rsidRPr="00EC3605" w:rsidRDefault="001A07F9" w:rsidP="00102FBE">
      <w:pPr>
        <w:spacing w:after="0" w:line="240" w:lineRule="auto"/>
        <w:jc w:val="both"/>
        <w:rPr>
          <w:rFonts w:ascii="Cambria" w:hAnsi="Cambria"/>
          <w:sz w:val="18"/>
          <w:szCs w:val="18"/>
        </w:rPr>
      </w:pPr>
    </w:p>
    <w:p w14:paraId="4DE9C2C3" w14:textId="77777777" w:rsidR="006677AB" w:rsidRPr="00EC3605" w:rsidRDefault="006677AB" w:rsidP="00102FBE">
      <w:pPr>
        <w:spacing w:after="0" w:line="240" w:lineRule="auto"/>
        <w:jc w:val="both"/>
        <w:rPr>
          <w:rFonts w:ascii="Cambria" w:hAnsi="Cambria"/>
          <w:sz w:val="18"/>
          <w:szCs w:val="18"/>
        </w:rPr>
      </w:pPr>
      <w:r w:rsidRPr="00EC3605">
        <w:rPr>
          <w:rFonts w:ascii="Cambria" w:hAnsi="Cambria"/>
          <w:sz w:val="18"/>
          <w:szCs w:val="18"/>
        </w:rPr>
        <w:t xml:space="preserve">A partir de 2018, Canadá lideró la creación de un programa internacional de investigación financiado por ICCAT/Comisión Europea para el pez espada en el océano Atlántico y el mar Mediterráneo. Este programa tiene como objetivo mejorar el conocimiento de la distribución del stock, edad y sexo de la captura, tasa de crecimiento, edad de maduración, tasa de </w:t>
      </w:r>
      <w:r w:rsidRPr="00EC3605">
        <w:rPr>
          <w:rFonts w:ascii="Cambria" w:hAnsi="Cambria"/>
          <w:sz w:val="18"/>
          <w:szCs w:val="18"/>
        </w:rPr>
        <w:lastRenderedPageBreak/>
        <w:t>maduración, temporada de desove y lugar y dieta de cada uno de los tres stocks de pez espada de ICCAT. Estos datos y los análisis resultantes contribuyen a la evaluación de ICCAT y al trabajo de la MSE.</w:t>
      </w:r>
    </w:p>
    <w:p w14:paraId="5EAF9051" w14:textId="77777777" w:rsidR="006677AB" w:rsidRPr="00EC3605" w:rsidRDefault="006677AB" w:rsidP="00102FBE">
      <w:pPr>
        <w:spacing w:after="0" w:line="240" w:lineRule="auto"/>
        <w:jc w:val="both"/>
        <w:rPr>
          <w:rFonts w:ascii="Cambria" w:hAnsi="Cambria"/>
          <w:sz w:val="18"/>
          <w:szCs w:val="18"/>
        </w:rPr>
      </w:pPr>
    </w:p>
    <w:p w14:paraId="1BE1911A" w14:textId="0E90554F" w:rsidR="006677AB" w:rsidRPr="00EC3605" w:rsidRDefault="006677AB" w:rsidP="00102FBE">
      <w:pPr>
        <w:spacing w:after="0" w:line="240" w:lineRule="auto"/>
        <w:jc w:val="both"/>
        <w:rPr>
          <w:rFonts w:ascii="Cambria" w:hAnsi="Cambria"/>
          <w:sz w:val="18"/>
          <w:szCs w:val="18"/>
        </w:rPr>
      </w:pPr>
      <w:r w:rsidRPr="00EC3605">
        <w:rPr>
          <w:rFonts w:ascii="Cambria" w:hAnsi="Cambria"/>
          <w:sz w:val="18"/>
          <w:szCs w:val="18"/>
        </w:rPr>
        <w:t xml:space="preserve">La industria pesquera canadiense </w:t>
      </w:r>
      <w:r w:rsidR="00EC3605">
        <w:rPr>
          <w:rFonts w:ascii="Cambria" w:hAnsi="Cambria"/>
          <w:sz w:val="18"/>
          <w:szCs w:val="18"/>
        </w:rPr>
        <w:t>e</w:t>
      </w:r>
      <w:r w:rsidRPr="00EC3605">
        <w:rPr>
          <w:rFonts w:ascii="Cambria" w:hAnsi="Cambria"/>
          <w:sz w:val="18"/>
          <w:szCs w:val="18"/>
        </w:rPr>
        <w:t>stá plenamente implicada en los esfuerzos de conservación y ordenación relacionados con esta especie para garantizar su sostenibilidad, lo que incluye la participación en la investigación científica, la financiación de observadores en el mar independientes para hacer un seguimiento de la pesquería y la financiación de encargados de seguimiento independientes de terceras partes, que observan y consignan todos los desembarques a pie de muelle. La flota de arpón proporciona fondos o apoyo</w:t>
      </w:r>
      <w:r w:rsidR="008B01A7">
        <w:rPr>
          <w:rFonts w:ascii="Cambria" w:hAnsi="Cambria"/>
          <w:sz w:val="18"/>
          <w:szCs w:val="18"/>
        </w:rPr>
        <w:t xml:space="preserve"> en espec</w:t>
      </w:r>
      <w:r w:rsidR="005B4AD7">
        <w:rPr>
          <w:rFonts w:ascii="Cambria" w:hAnsi="Cambria"/>
          <w:sz w:val="18"/>
          <w:szCs w:val="18"/>
        </w:rPr>
        <w:t>ie</w:t>
      </w:r>
      <w:r w:rsidRPr="00EC3605">
        <w:rPr>
          <w:rFonts w:ascii="Cambria" w:hAnsi="Cambria"/>
          <w:sz w:val="18"/>
          <w:szCs w:val="18"/>
        </w:rPr>
        <w:t xml:space="preserve"> mediante los buques para la investigación científica en lugar de cobertura de observador en el mar.</w:t>
      </w:r>
    </w:p>
    <w:p w14:paraId="7B74C787" w14:textId="77777777" w:rsidR="006677AB" w:rsidRPr="00EC3605" w:rsidRDefault="006677AB" w:rsidP="00102FBE">
      <w:pPr>
        <w:spacing w:after="0" w:line="240" w:lineRule="auto"/>
        <w:jc w:val="both"/>
        <w:rPr>
          <w:rFonts w:ascii="Cambria" w:hAnsi="Cambria"/>
          <w:sz w:val="18"/>
          <w:szCs w:val="18"/>
        </w:rPr>
      </w:pPr>
    </w:p>
    <w:p w14:paraId="1AE9723F" w14:textId="11D50099" w:rsidR="00CE1067" w:rsidRPr="00EC3605" w:rsidRDefault="006677AB" w:rsidP="00102FBE">
      <w:pPr>
        <w:autoSpaceDE w:val="0"/>
        <w:autoSpaceDN w:val="0"/>
        <w:adjustRightInd w:val="0"/>
        <w:spacing w:after="0" w:line="240" w:lineRule="auto"/>
        <w:jc w:val="both"/>
        <w:rPr>
          <w:rFonts w:ascii="Cambria" w:hAnsi="Cambria"/>
          <w:sz w:val="18"/>
          <w:szCs w:val="18"/>
        </w:rPr>
      </w:pPr>
      <w:r w:rsidRPr="00EC3605">
        <w:rPr>
          <w:rFonts w:ascii="Cambria" w:hAnsi="Cambria"/>
          <w:sz w:val="18"/>
          <w:szCs w:val="18"/>
        </w:rPr>
        <w:t>Si bien Canadá, al igual que otros miembros de ICCAT, aceptó cuotas significativamente más bajas durante el período de recuperación de la pesquería, ha demostrado su capacidad para utilizar la totalidad de su cuota inicial, además de casi todas las transferencias de cuota recibidas en años anteriores. Canadá sigue intentando obtener un incremento del acceso a esta pesquería para garantizar la viabilidad de sus comunidades costeras.</w:t>
      </w:r>
    </w:p>
    <w:sectPr w:rsidR="00CE1067" w:rsidRPr="00EC3605" w:rsidSect="001A07F9">
      <w:pgSz w:w="12240" w:h="15840"/>
      <w:pgMar w:top="1021" w:right="1440" w:bottom="1134" w:left="1440"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BE4CE" w14:textId="77777777" w:rsidR="008D1448" w:rsidRDefault="008D1448" w:rsidP="00033B23">
      <w:pPr>
        <w:spacing w:after="0" w:line="240" w:lineRule="auto"/>
      </w:pPr>
      <w:r>
        <w:separator/>
      </w:r>
    </w:p>
  </w:endnote>
  <w:endnote w:type="continuationSeparator" w:id="0">
    <w:p w14:paraId="72DE2027" w14:textId="77777777" w:rsidR="008D1448" w:rsidRDefault="008D1448" w:rsidP="0003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E929" w14:textId="39CD5BA7" w:rsidR="005D4BD1" w:rsidRPr="005D4BD1" w:rsidRDefault="005D4BD1" w:rsidP="005D4BD1">
    <w:pPr>
      <w:tabs>
        <w:tab w:val="center" w:pos="4535"/>
        <w:tab w:val="center" w:pos="4680"/>
        <w:tab w:val="left" w:pos="6150"/>
        <w:tab w:val="right" w:pos="9360"/>
      </w:tabs>
      <w:spacing w:after="0" w:line="240" w:lineRule="auto"/>
      <w:jc w:val="center"/>
      <w:rPr>
        <w:rFonts w:ascii="Cambria" w:eastAsia="Calibri" w:hAnsi="Cambria" w:cs="Calibri"/>
        <w:sz w:val="20"/>
      </w:rPr>
    </w:pPr>
    <w:r w:rsidRPr="003D4EC2">
      <w:rPr>
        <w:rFonts w:ascii="Cambria" w:eastAsia="Calibri" w:hAnsi="Cambria" w:cs="Calibri"/>
        <w:sz w:val="20"/>
      </w:rPr>
      <w:fldChar w:fldCharType="begin"/>
    </w:r>
    <w:r w:rsidRPr="003D4EC2">
      <w:rPr>
        <w:rFonts w:ascii="Cambria" w:eastAsia="Calibri" w:hAnsi="Cambria" w:cs="Calibri"/>
        <w:sz w:val="20"/>
      </w:rPr>
      <w:instrText xml:space="preserve"> PAGE </w:instrText>
    </w:r>
    <w:r w:rsidRPr="003D4EC2">
      <w:rPr>
        <w:rFonts w:ascii="Cambria" w:eastAsia="Calibri" w:hAnsi="Cambria" w:cs="Calibri"/>
        <w:sz w:val="20"/>
      </w:rPr>
      <w:fldChar w:fldCharType="separate"/>
    </w:r>
    <w:r>
      <w:rPr>
        <w:rFonts w:ascii="Cambria" w:eastAsia="Calibri" w:hAnsi="Cambria" w:cs="Calibri"/>
        <w:sz w:val="20"/>
      </w:rPr>
      <w:t>1</w:t>
    </w:r>
    <w:r w:rsidRPr="003D4EC2">
      <w:rPr>
        <w:rFonts w:ascii="Cambria" w:eastAsia="Calibri" w:hAnsi="Cambria" w:cs="Calibri"/>
        <w:sz w:val="20"/>
      </w:rPr>
      <w:fldChar w:fldCharType="end"/>
    </w:r>
    <w:r>
      <w:rPr>
        <w:rFonts w:ascii="Cambria" w:hAnsi="Cambria"/>
        <w:sz w:val="20"/>
      </w:rPr>
      <w:t xml:space="preserve"> / </w:t>
    </w:r>
    <w:r w:rsidRPr="003D4EC2">
      <w:rPr>
        <w:rFonts w:ascii="Cambria" w:eastAsia="Calibri" w:hAnsi="Cambria" w:cs="Calibri"/>
        <w:sz w:val="20"/>
      </w:rPr>
      <w:fldChar w:fldCharType="begin"/>
    </w:r>
    <w:r w:rsidRPr="003D4EC2">
      <w:rPr>
        <w:rFonts w:ascii="Cambria" w:eastAsia="Calibri" w:hAnsi="Cambria" w:cs="Calibri"/>
        <w:sz w:val="20"/>
      </w:rPr>
      <w:instrText xml:space="preserve"> NUMPAGES  </w:instrText>
    </w:r>
    <w:r w:rsidRPr="003D4EC2">
      <w:rPr>
        <w:rFonts w:ascii="Cambria" w:eastAsia="Calibri" w:hAnsi="Cambria" w:cs="Calibri"/>
        <w:sz w:val="20"/>
      </w:rPr>
      <w:fldChar w:fldCharType="separate"/>
    </w:r>
    <w:r>
      <w:rPr>
        <w:rFonts w:ascii="Cambria" w:eastAsia="Calibri" w:hAnsi="Cambria" w:cs="Calibri"/>
        <w:sz w:val="20"/>
      </w:rPr>
      <w:t>2</w:t>
    </w:r>
    <w:r w:rsidRPr="003D4EC2">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D965C" w14:textId="77777777" w:rsidR="008D1448" w:rsidRDefault="008D1448" w:rsidP="00033B23">
      <w:pPr>
        <w:spacing w:after="0" w:line="240" w:lineRule="auto"/>
      </w:pPr>
      <w:r>
        <w:separator/>
      </w:r>
    </w:p>
  </w:footnote>
  <w:footnote w:type="continuationSeparator" w:id="0">
    <w:p w14:paraId="0CA0D0AF" w14:textId="77777777" w:rsidR="008D1448" w:rsidRDefault="008D1448" w:rsidP="00033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87EB" w14:textId="3384955F" w:rsidR="00033B23" w:rsidRPr="00033B23" w:rsidRDefault="00033B23" w:rsidP="00033B23">
    <w:pPr>
      <w:widowControl w:val="0"/>
      <w:tabs>
        <w:tab w:val="center" w:pos="4680"/>
        <w:tab w:val="left" w:pos="6520"/>
        <w:tab w:val="right" w:pos="9360"/>
        <w:tab w:val="right" w:pos="14240"/>
      </w:tabs>
      <w:spacing w:after="0" w:line="240" w:lineRule="auto"/>
      <w:jc w:val="right"/>
      <w:rPr>
        <w:rFonts w:ascii="Cambria" w:eastAsia="Calibri" w:hAnsi="Cambria" w:cs="Times New Roman"/>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Pr>
        <w:rFonts w:ascii="Cambria" w:hAnsi="Cambria"/>
        <w:b/>
        <w:sz w:val="20"/>
      </w:rPr>
      <w:t>PA4_801/2025</w:t>
    </w:r>
  </w:p>
  <w:p w14:paraId="78370D4C" w14:textId="4273D16A" w:rsidR="00033B23" w:rsidRPr="00033B23" w:rsidRDefault="00033B23" w:rsidP="00033B23">
    <w:pPr>
      <w:widowControl w:val="0"/>
      <w:tabs>
        <w:tab w:val="left" w:pos="7320"/>
      </w:tabs>
      <w:spacing w:after="0" w:line="240" w:lineRule="exact"/>
      <w:jc w:val="right"/>
      <w:rPr>
        <w:rFonts w:ascii="Cambria" w:eastAsia="Calibri" w:hAnsi="Cambria" w:cs="Times New Roman"/>
        <w:b/>
        <w:bCs/>
        <w:sz w:val="16"/>
        <w:szCs w:val="16"/>
      </w:rPr>
    </w:pPr>
    <w:r w:rsidRPr="00033B23">
      <w:rPr>
        <w:rFonts w:ascii="Cambria" w:eastAsia="Calibri" w:hAnsi="Cambria" w:cs="Times New Roman"/>
        <w:b/>
        <w:sz w:val="16"/>
      </w:rPr>
      <w:fldChar w:fldCharType="begin"/>
    </w:r>
    <w:r w:rsidRPr="00033B23">
      <w:rPr>
        <w:rFonts w:ascii="Cambria" w:eastAsia="Calibri" w:hAnsi="Cambria" w:cs="Times New Roman"/>
        <w:b/>
        <w:sz w:val="16"/>
      </w:rPr>
      <w:instrText xml:space="preserve"> TIME \@ "dd/MM/yyyy H:mm" </w:instrText>
    </w:r>
    <w:r w:rsidRPr="00033B23">
      <w:rPr>
        <w:rFonts w:ascii="Cambria" w:eastAsia="Calibri" w:hAnsi="Cambria" w:cs="Times New Roman"/>
        <w:b/>
        <w:sz w:val="16"/>
      </w:rPr>
      <w:fldChar w:fldCharType="separate"/>
    </w:r>
    <w:r w:rsidR="00622897">
      <w:rPr>
        <w:rFonts w:ascii="Cambria" w:eastAsia="Calibri" w:hAnsi="Cambria" w:cs="Times New Roman"/>
        <w:b/>
        <w:noProof/>
        <w:sz w:val="16"/>
      </w:rPr>
      <w:t>16/11/2025 15:29</w:t>
    </w:r>
    <w:r w:rsidRPr="00033B23">
      <w:rPr>
        <w:rFonts w:ascii="Cambria" w:eastAsia="Calibri" w:hAnsi="Cambria" w:cs="Times New Roman"/>
        <w:b/>
        <w:bCs/>
        <w:sz w:val="16"/>
        <w:szCs w:val="16"/>
        <w:lang w:val="es-ES_tradnl"/>
      </w:rPr>
      <w:fldChar w:fldCharType="end"/>
    </w:r>
    <w:bookmarkEnd w:id="2"/>
    <w:bookmarkEnd w:id="3"/>
    <w:bookmarkEnd w:id="4"/>
    <w:bookmarkEnd w:id="5"/>
    <w:bookmarkEnd w:id="6"/>
    <w:bookmarkEnd w:id="7"/>
  </w:p>
  <w:p w14:paraId="2EC79B9D" w14:textId="11BE2921" w:rsidR="00033B23" w:rsidRDefault="00033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21D1"/>
    <w:multiLevelType w:val="hybridMultilevel"/>
    <w:tmpl w:val="3E6E758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F91F58"/>
    <w:multiLevelType w:val="hybridMultilevel"/>
    <w:tmpl w:val="5AE20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F7472A"/>
    <w:multiLevelType w:val="hybridMultilevel"/>
    <w:tmpl w:val="D402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52629"/>
    <w:multiLevelType w:val="hybridMultilevel"/>
    <w:tmpl w:val="A6849E62"/>
    <w:lvl w:ilvl="0" w:tplc="8D0217D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F192EB3"/>
    <w:multiLevelType w:val="hybridMultilevel"/>
    <w:tmpl w:val="FF588E00"/>
    <w:lvl w:ilvl="0" w:tplc="8D021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371DE"/>
    <w:multiLevelType w:val="hybridMultilevel"/>
    <w:tmpl w:val="EAF42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90C5D"/>
    <w:multiLevelType w:val="hybridMultilevel"/>
    <w:tmpl w:val="B31E165E"/>
    <w:lvl w:ilvl="0" w:tplc="8D0217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7783951"/>
    <w:multiLevelType w:val="hybridMultilevel"/>
    <w:tmpl w:val="2542A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1F1575"/>
    <w:multiLevelType w:val="hybridMultilevel"/>
    <w:tmpl w:val="DEFE56AE"/>
    <w:lvl w:ilvl="0" w:tplc="8D0217D6">
      <w:start w:val="1"/>
      <w:numFmt w:val="bullet"/>
      <w:lvlText w:val=""/>
      <w:lvlJc w:val="left"/>
      <w:pPr>
        <w:ind w:left="605" w:hanging="360"/>
      </w:pPr>
      <w:rPr>
        <w:rFonts w:ascii="Symbol" w:hAnsi="Symbol"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9" w15:restartNumberingAfterBreak="0">
    <w:nsid w:val="69041879"/>
    <w:multiLevelType w:val="hybridMultilevel"/>
    <w:tmpl w:val="12A83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1652190">
    <w:abstractNumId w:val="5"/>
  </w:num>
  <w:num w:numId="2" w16cid:durableId="1967344592">
    <w:abstractNumId w:val="0"/>
  </w:num>
  <w:num w:numId="3" w16cid:durableId="1105613849">
    <w:abstractNumId w:val="1"/>
  </w:num>
  <w:num w:numId="4" w16cid:durableId="558134239">
    <w:abstractNumId w:val="2"/>
  </w:num>
  <w:num w:numId="5" w16cid:durableId="335545576">
    <w:abstractNumId w:val="9"/>
  </w:num>
  <w:num w:numId="6" w16cid:durableId="825975749">
    <w:abstractNumId w:val="7"/>
  </w:num>
  <w:num w:numId="7" w16cid:durableId="39398584">
    <w:abstractNumId w:val="6"/>
  </w:num>
  <w:num w:numId="8" w16cid:durableId="717583561">
    <w:abstractNumId w:val="4"/>
  </w:num>
  <w:num w:numId="9" w16cid:durableId="1281452558">
    <w:abstractNumId w:val="8"/>
  </w:num>
  <w:num w:numId="10" w16cid:durableId="656112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80"/>
    <w:rsid w:val="0000501B"/>
    <w:rsid w:val="000275CE"/>
    <w:rsid w:val="00033B23"/>
    <w:rsid w:val="00062080"/>
    <w:rsid w:val="00072EF6"/>
    <w:rsid w:val="0009253F"/>
    <w:rsid w:val="00096231"/>
    <w:rsid w:val="000C53D2"/>
    <w:rsid w:val="000D1E4A"/>
    <w:rsid w:val="000D23EC"/>
    <w:rsid w:val="000E1E07"/>
    <w:rsid w:val="000E36E1"/>
    <w:rsid w:val="00102FBE"/>
    <w:rsid w:val="00124CC2"/>
    <w:rsid w:val="00134FA1"/>
    <w:rsid w:val="00140AA1"/>
    <w:rsid w:val="00156A34"/>
    <w:rsid w:val="00166BF5"/>
    <w:rsid w:val="00167E4B"/>
    <w:rsid w:val="00175509"/>
    <w:rsid w:val="00181130"/>
    <w:rsid w:val="001A06EC"/>
    <w:rsid w:val="001A07F9"/>
    <w:rsid w:val="001B1D37"/>
    <w:rsid w:val="001B4123"/>
    <w:rsid w:val="001C2CE5"/>
    <w:rsid w:val="001E2A88"/>
    <w:rsid w:val="00220E93"/>
    <w:rsid w:val="00246795"/>
    <w:rsid w:val="0026010A"/>
    <w:rsid w:val="00275DF7"/>
    <w:rsid w:val="002A0737"/>
    <w:rsid w:val="002A0805"/>
    <w:rsid w:val="002A1E8A"/>
    <w:rsid w:val="002B4D2F"/>
    <w:rsid w:val="002E7B5F"/>
    <w:rsid w:val="00303C90"/>
    <w:rsid w:val="00305950"/>
    <w:rsid w:val="00335D2D"/>
    <w:rsid w:val="003402C1"/>
    <w:rsid w:val="003424DA"/>
    <w:rsid w:val="00342585"/>
    <w:rsid w:val="003471A4"/>
    <w:rsid w:val="00353AFF"/>
    <w:rsid w:val="003601C2"/>
    <w:rsid w:val="003703DD"/>
    <w:rsid w:val="003B2F3A"/>
    <w:rsid w:val="003C1FC9"/>
    <w:rsid w:val="003C20C6"/>
    <w:rsid w:val="003D31D2"/>
    <w:rsid w:val="003D6305"/>
    <w:rsid w:val="003D7854"/>
    <w:rsid w:val="003E2CCB"/>
    <w:rsid w:val="003F51A3"/>
    <w:rsid w:val="003F7BA3"/>
    <w:rsid w:val="00432195"/>
    <w:rsid w:val="00436F5B"/>
    <w:rsid w:val="00440EE1"/>
    <w:rsid w:val="0047224C"/>
    <w:rsid w:val="00486FD8"/>
    <w:rsid w:val="004A4D64"/>
    <w:rsid w:val="004A6D10"/>
    <w:rsid w:val="004B0C25"/>
    <w:rsid w:val="004D01BF"/>
    <w:rsid w:val="004D5A8D"/>
    <w:rsid w:val="004D795A"/>
    <w:rsid w:val="004E5FD3"/>
    <w:rsid w:val="004F1CE3"/>
    <w:rsid w:val="004F4748"/>
    <w:rsid w:val="004F7836"/>
    <w:rsid w:val="005005A6"/>
    <w:rsid w:val="005078CA"/>
    <w:rsid w:val="00510C48"/>
    <w:rsid w:val="0051366A"/>
    <w:rsid w:val="005439A5"/>
    <w:rsid w:val="00544202"/>
    <w:rsid w:val="00553548"/>
    <w:rsid w:val="00554468"/>
    <w:rsid w:val="005619BB"/>
    <w:rsid w:val="005A2137"/>
    <w:rsid w:val="005A2F40"/>
    <w:rsid w:val="005A4D10"/>
    <w:rsid w:val="005B4AD7"/>
    <w:rsid w:val="005B7571"/>
    <w:rsid w:val="005C2605"/>
    <w:rsid w:val="005C69AA"/>
    <w:rsid w:val="005D4BD1"/>
    <w:rsid w:val="005F0E69"/>
    <w:rsid w:val="00601672"/>
    <w:rsid w:val="00622897"/>
    <w:rsid w:val="0062579B"/>
    <w:rsid w:val="00636DC9"/>
    <w:rsid w:val="006408EA"/>
    <w:rsid w:val="00647AF6"/>
    <w:rsid w:val="006572E8"/>
    <w:rsid w:val="006610FC"/>
    <w:rsid w:val="00666FD3"/>
    <w:rsid w:val="006677AB"/>
    <w:rsid w:val="00670D28"/>
    <w:rsid w:val="00690694"/>
    <w:rsid w:val="00696CAB"/>
    <w:rsid w:val="006A3F8E"/>
    <w:rsid w:val="006A642E"/>
    <w:rsid w:val="006B107F"/>
    <w:rsid w:val="006B74FF"/>
    <w:rsid w:val="006E3179"/>
    <w:rsid w:val="006F5521"/>
    <w:rsid w:val="00711865"/>
    <w:rsid w:val="007255F1"/>
    <w:rsid w:val="0073453F"/>
    <w:rsid w:val="00734C43"/>
    <w:rsid w:val="00734CFC"/>
    <w:rsid w:val="00746080"/>
    <w:rsid w:val="00757FB4"/>
    <w:rsid w:val="00795751"/>
    <w:rsid w:val="007C4687"/>
    <w:rsid w:val="007C7C4B"/>
    <w:rsid w:val="007E6808"/>
    <w:rsid w:val="007F3A66"/>
    <w:rsid w:val="00802205"/>
    <w:rsid w:val="0080341C"/>
    <w:rsid w:val="008048A7"/>
    <w:rsid w:val="00810860"/>
    <w:rsid w:val="00825239"/>
    <w:rsid w:val="008269BF"/>
    <w:rsid w:val="00833629"/>
    <w:rsid w:val="00834001"/>
    <w:rsid w:val="0085041D"/>
    <w:rsid w:val="008515F6"/>
    <w:rsid w:val="00851B72"/>
    <w:rsid w:val="00864BA2"/>
    <w:rsid w:val="00880A4C"/>
    <w:rsid w:val="00883272"/>
    <w:rsid w:val="008A608A"/>
    <w:rsid w:val="008B01A7"/>
    <w:rsid w:val="008B2EDE"/>
    <w:rsid w:val="008D1448"/>
    <w:rsid w:val="008D3B7F"/>
    <w:rsid w:val="008E2186"/>
    <w:rsid w:val="008F349F"/>
    <w:rsid w:val="008F454A"/>
    <w:rsid w:val="009006C5"/>
    <w:rsid w:val="00900886"/>
    <w:rsid w:val="00901E32"/>
    <w:rsid w:val="00906C5E"/>
    <w:rsid w:val="00915092"/>
    <w:rsid w:val="00917C7B"/>
    <w:rsid w:val="00922089"/>
    <w:rsid w:val="00933E99"/>
    <w:rsid w:val="00936714"/>
    <w:rsid w:val="00945DE5"/>
    <w:rsid w:val="00950042"/>
    <w:rsid w:val="00974457"/>
    <w:rsid w:val="00986A16"/>
    <w:rsid w:val="00996DA1"/>
    <w:rsid w:val="00997B98"/>
    <w:rsid w:val="009B1BBD"/>
    <w:rsid w:val="009B238F"/>
    <w:rsid w:val="009B2651"/>
    <w:rsid w:val="009B36CD"/>
    <w:rsid w:val="009B7599"/>
    <w:rsid w:val="009D7C42"/>
    <w:rsid w:val="009E282F"/>
    <w:rsid w:val="009F0D51"/>
    <w:rsid w:val="00A17A3A"/>
    <w:rsid w:val="00A24CDD"/>
    <w:rsid w:val="00A27E1F"/>
    <w:rsid w:val="00A46EEC"/>
    <w:rsid w:val="00A47180"/>
    <w:rsid w:val="00A70108"/>
    <w:rsid w:val="00A751FE"/>
    <w:rsid w:val="00A81819"/>
    <w:rsid w:val="00A87105"/>
    <w:rsid w:val="00A948B8"/>
    <w:rsid w:val="00A96BD5"/>
    <w:rsid w:val="00AC3FC3"/>
    <w:rsid w:val="00AD6B7E"/>
    <w:rsid w:val="00AE2AFD"/>
    <w:rsid w:val="00AF6F2C"/>
    <w:rsid w:val="00B07839"/>
    <w:rsid w:val="00B11103"/>
    <w:rsid w:val="00B11CA2"/>
    <w:rsid w:val="00B138CB"/>
    <w:rsid w:val="00B26D82"/>
    <w:rsid w:val="00B335AD"/>
    <w:rsid w:val="00B37FDE"/>
    <w:rsid w:val="00B54478"/>
    <w:rsid w:val="00B62687"/>
    <w:rsid w:val="00B871A2"/>
    <w:rsid w:val="00BA5E77"/>
    <w:rsid w:val="00BC2E67"/>
    <w:rsid w:val="00BC2F66"/>
    <w:rsid w:val="00BC4169"/>
    <w:rsid w:val="00BD4008"/>
    <w:rsid w:val="00BE0200"/>
    <w:rsid w:val="00BE0796"/>
    <w:rsid w:val="00BF5C96"/>
    <w:rsid w:val="00C04DFF"/>
    <w:rsid w:val="00C17FAC"/>
    <w:rsid w:val="00C569CA"/>
    <w:rsid w:val="00C64350"/>
    <w:rsid w:val="00C678AF"/>
    <w:rsid w:val="00C71D5E"/>
    <w:rsid w:val="00C86C25"/>
    <w:rsid w:val="00C87618"/>
    <w:rsid w:val="00C97C90"/>
    <w:rsid w:val="00CB147B"/>
    <w:rsid w:val="00CC3923"/>
    <w:rsid w:val="00CC5095"/>
    <w:rsid w:val="00CC6225"/>
    <w:rsid w:val="00CC7385"/>
    <w:rsid w:val="00CD62D8"/>
    <w:rsid w:val="00CE1067"/>
    <w:rsid w:val="00CE43E6"/>
    <w:rsid w:val="00D23E56"/>
    <w:rsid w:val="00D3065C"/>
    <w:rsid w:val="00D4105A"/>
    <w:rsid w:val="00D441D7"/>
    <w:rsid w:val="00D45966"/>
    <w:rsid w:val="00D5390F"/>
    <w:rsid w:val="00D605D3"/>
    <w:rsid w:val="00D96BDA"/>
    <w:rsid w:val="00D97F14"/>
    <w:rsid w:val="00DC21B7"/>
    <w:rsid w:val="00DE4F26"/>
    <w:rsid w:val="00DF1990"/>
    <w:rsid w:val="00E1315C"/>
    <w:rsid w:val="00E55E62"/>
    <w:rsid w:val="00E60D3A"/>
    <w:rsid w:val="00E742B2"/>
    <w:rsid w:val="00E74F63"/>
    <w:rsid w:val="00E75F18"/>
    <w:rsid w:val="00E90BEB"/>
    <w:rsid w:val="00E943E9"/>
    <w:rsid w:val="00EC3605"/>
    <w:rsid w:val="00EC5D53"/>
    <w:rsid w:val="00EE02C8"/>
    <w:rsid w:val="00EE2433"/>
    <w:rsid w:val="00EE5AAA"/>
    <w:rsid w:val="00F44947"/>
    <w:rsid w:val="00F46FAD"/>
    <w:rsid w:val="00F50E8F"/>
    <w:rsid w:val="00F6178C"/>
    <w:rsid w:val="00F65870"/>
    <w:rsid w:val="00F67F10"/>
    <w:rsid w:val="00F8000D"/>
    <w:rsid w:val="00F80A77"/>
    <w:rsid w:val="00F83E9B"/>
    <w:rsid w:val="00F87314"/>
    <w:rsid w:val="00FB1E4B"/>
    <w:rsid w:val="00FC0D6C"/>
    <w:rsid w:val="00FC6D3C"/>
    <w:rsid w:val="00FE0F9F"/>
    <w:rsid w:val="00FE38A8"/>
    <w:rsid w:val="00FE5935"/>
    <w:rsid w:val="00FF2397"/>
    <w:rsid w:val="00FF4979"/>
    <w:rsid w:val="00FF6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7D2A1"/>
  <w15:chartTrackingRefBased/>
  <w15:docId w15:val="{A4BBCD6A-7AE4-43C4-969F-9B4376F7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802205"/>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B23"/>
  </w:style>
  <w:style w:type="paragraph" w:styleId="Footer">
    <w:name w:val="footer"/>
    <w:basedOn w:val="Normal"/>
    <w:link w:val="FooterChar"/>
    <w:uiPriority w:val="99"/>
    <w:unhideWhenUsed/>
    <w:rsid w:val="00033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B23"/>
  </w:style>
  <w:style w:type="paragraph" w:styleId="ListParagraph">
    <w:name w:val="List Paragraph"/>
    <w:basedOn w:val="Normal"/>
    <w:uiPriority w:val="34"/>
    <w:qFormat/>
    <w:rsid w:val="003703DD"/>
    <w:pPr>
      <w:ind w:left="720"/>
      <w:contextualSpacing/>
    </w:pPr>
  </w:style>
  <w:style w:type="paragraph" w:styleId="HTMLPreformatted">
    <w:name w:val="HTML Preformatted"/>
    <w:basedOn w:val="Normal"/>
    <w:link w:val="HTMLPreformattedChar"/>
    <w:uiPriority w:val="99"/>
    <w:semiHidden/>
    <w:unhideWhenUsed/>
    <w:rsid w:val="00A81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1819"/>
    <w:rPr>
      <w:rFonts w:ascii="Courier New" w:eastAsia="Times New Roman" w:hAnsi="Courier New" w:cs="Courier New"/>
      <w:sz w:val="20"/>
      <w:szCs w:val="20"/>
    </w:rPr>
  </w:style>
  <w:style w:type="character" w:customStyle="1" w:styleId="y2iqfc">
    <w:name w:val="y2iqfc"/>
    <w:basedOn w:val="DefaultParagraphFont"/>
    <w:rsid w:val="00A81819"/>
  </w:style>
  <w:style w:type="paragraph" w:styleId="Revision">
    <w:name w:val="Revision"/>
    <w:hidden/>
    <w:uiPriority w:val="99"/>
    <w:semiHidden/>
    <w:rsid w:val="00166BF5"/>
    <w:pPr>
      <w:spacing w:after="0" w:line="240" w:lineRule="auto"/>
    </w:pPr>
  </w:style>
  <w:style w:type="character" w:customStyle="1" w:styleId="Heading5Char">
    <w:name w:val="Heading 5 Char"/>
    <w:basedOn w:val="DefaultParagraphFont"/>
    <w:link w:val="Heading5"/>
    <w:uiPriority w:val="9"/>
    <w:semiHidden/>
    <w:rsid w:val="00802205"/>
    <w:rPr>
      <w:rFonts w:eastAsiaTheme="majorEastAsia" w:cstheme="majorBidi"/>
      <w:color w:val="2F5496" w:themeColor="accent1" w:themeShade="BF"/>
      <w:kern w:val="2"/>
      <w:sz w:val="24"/>
      <w:szCs w:val="24"/>
      <w14:ligatures w14:val="standardContextual"/>
    </w:rPr>
  </w:style>
  <w:style w:type="character" w:styleId="Hyperlink">
    <w:name w:val="Hyperlink"/>
    <w:basedOn w:val="DefaultParagraphFont"/>
    <w:uiPriority w:val="99"/>
    <w:unhideWhenUsed/>
    <w:rsid w:val="001C2CE5"/>
    <w:rPr>
      <w:color w:val="0563C1" w:themeColor="hyperlink"/>
      <w:u w:val="single"/>
    </w:rPr>
  </w:style>
  <w:style w:type="character" w:styleId="UnresolvedMention">
    <w:name w:val="Unresolved Mention"/>
    <w:basedOn w:val="DefaultParagraphFont"/>
    <w:uiPriority w:val="99"/>
    <w:semiHidden/>
    <w:unhideWhenUsed/>
    <w:rsid w:val="001C2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66922">
      <w:bodyDiv w:val="1"/>
      <w:marLeft w:val="0"/>
      <w:marRight w:val="0"/>
      <w:marTop w:val="0"/>
      <w:marBottom w:val="0"/>
      <w:divBdr>
        <w:top w:val="none" w:sz="0" w:space="0" w:color="auto"/>
        <w:left w:val="none" w:sz="0" w:space="0" w:color="auto"/>
        <w:bottom w:val="none" w:sz="0" w:space="0" w:color="auto"/>
        <w:right w:val="none" w:sz="0" w:space="0" w:color="auto"/>
      </w:divBdr>
    </w:div>
    <w:div w:id="417946003">
      <w:bodyDiv w:val="1"/>
      <w:marLeft w:val="0"/>
      <w:marRight w:val="0"/>
      <w:marTop w:val="0"/>
      <w:marBottom w:val="0"/>
      <w:divBdr>
        <w:top w:val="none" w:sz="0" w:space="0" w:color="auto"/>
        <w:left w:val="none" w:sz="0" w:space="0" w:color="auto"/>
        <w:bottom w:val="none" w:sz="0" w:space="0" w:color="auto"/>
        <w:right w:val="none" w:sz="0" w:space="0" w:color="auto"/>
      </w:divBdr>
    </w:div>
    <w:div w:id="781462757">
      <w:bodyDiv w:val="1"/>
      <w:marLeft w:val="0"/>
      <w:marRight w:val="0"/>
      <w:marTop w:val="0"/>
      <w:marBottom w:val="0"/>
      <w:divBdr>
        <w:top w:val="none" w:sz="0" w:space="0" w:color="auto"/>
        <w:left w:val="none" w:sz="0" w:space="0" w:color="auto"/>
        <w:bottom w:val="none" w:sz="0" w:space="0" w:color="auto"/>
        <w:right w:val="none" w:sz="0" w:space="0" w:color="auto"/>
      </w:divBdr>
    </w:div>
    <w:div w:id="817646060">
      <w:bodyDiv w:val="1"/>
      <w:marLeft w:val="0"/>
      <w:marRight w:val="0"/>
      <w:marTop w:val="0"/>
      <w:marBottom w:val="0"/>
      <w:divBdr>
        <w:top w:val="none" w:sz="0" w:space="0" w:color="auto"/>
        <w:left w:val="none" w:sz="0" w:space="0" w:color="auto"/>
        <w:bottom w:val="none" w:sz="0" w:space="0" w:color="auto"/>
        <w:right w:val="none" w:sz="0" w:space="0" w:color="auto"/>
      </w:divBdr>
    </w:div>
    <w:div w:id="934751350">
      <w:bodyDiv w:val="1"/>
      <w:marLeft w:val="0"/>
      <w:marRight w:val="0"/>
      <w:marTop w:val="0"/>
      <w:marBottom w:val="0"/>
      <w:divBdr>
        <w:top w:val="none" w:sz="0" w:space="0" w:color="auto"/>
        <w:left w:val="none" w:sz="0" w:space="0" w:color="auto"/>
        <w:bottom w:val="none" w:sz="0" w:space="0" w:color="auto"/>
        <w:right w:val="none" w:sz="0" w:space="0" w:color="auto"/>
      </w:divBdr>
    </w:div>
    <w:div w:id="171824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com2024/Annex/PA4_801_Annex1.pdf" TargetMode="External"/><Relationship Id="rId5" Type="http://schemas.openxmlformats.org/officeDocument/2006/relationships/webSettings" Target="webSettings.xml"/><Relationship Id="rId10" Type="http://schemas.openxmlformats.org/officeDocument/2006/relationships/hyperlink" Target="https://www.iccat.int/com2024/Annex/PA4_801_Annex1.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47F5D-C473-4A86-B353-978DFC52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4537</Words>
  <Characters>25864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María José García</cp:lastModifiedBy>
  <cp:revision>2</cp:revision>
  <cp:lastPrinted>2022-11-20T19:01:00Z</cp:lastPrinted>
  <dcterms:created xsi:type="dcterms:W3CDTF">2025-11-16T16:19:00Z</dcterms:created>
  <dcterms:modified xsi:type="dcterms:W3CDTF">2025-11-16T16:19:00Z</dcterms:modified>
</cp:coreProperties>
</file>