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3837" w14:textId="7EA707D8" w:rsidR="00746080" w:rsidRPr="00CD62D8" w:rsidRDefault="00746080" w:rsidP="00924DE2">
      <w:pPr>
        <w:spacing w:after="0" w:line="240" w:lineRule="auto"/>
        <w:contextualSpacing/>
        <w:jc w:val="right"/>
        <w:rPr>
          <w:rFonts w:ascii="Cambria" w:hAnsi="Cambria" w:cs="Times New Roman"/>
          <w:bCs/>
          <w:sz w:val="20"/>
          <w:szCs w:val="20"/>
        </w:rPr>
      </w:pPr>
      <w:r>
        <w:rPr>
          <w:rFonts w:ascii="Cambria" w:hAnsi="Cambria"/>
          <w:b/>
          <w:sz w:val="20"/>
        </w:rPr>
        <w:t>Original : anglais/espagnol/français</w:t>
      </w:r>
    </w:p>
    <w:p w14:paraId="2B4057B2" w14:textId="5255F42F" w:rsidR="00746080" w:rsidRPr="004F0304" w:rsidRDefault="00746080" w:rsidP="00924DE2">
      <w:pPr>
        <w:spacing w:after="0" w:line="240" w:lineRule="auto"/>
        <w:contextualSpacing/>
        <w:jc w:val="right"/>
        <w:rPr>
          <w:rFonts w:ascii="Cambria" w:hAnsi="Cambria" w:cs="Times New Roman"/>
          <w:b/>
          <w:bCs/>
          <w:sz w:val="20"/>
          <w:szCs w:val="20"/>
        </w:rPr>
      </w:pPr>
    </w:p>
    <w:p w14:paraId="16FE3C4C" w14:textId="77777777" w:rsidR="00102FBE" w:rsidRPr="004F0304" w:rsidRDefault="00102FBE" w:rsidP="00924DE2">
      <w:pPr>
        <w:autoSpaceDE w:val="0"/>
        <w:autoSpaceDN w:val="0"/>
        <w:adjustRightInd w:val="0"/>
        <w:spacing w:after="0" w:line="240" w:lineRule="auto"/>
        <w:contextualSpacing/>
        <w:jc w:val="center"/>
        <w:rPr>
          <w:rFonts w:ascii="Cambria" w:hAnsi="Cambria" w:cs="Times New Roman"/>
          <w:b/>
          <w:bCs/>
          <w:sz w:val="20"/>
          <w:szCs w:val="20"/>
        </w:rPr>
      </w:pPr>
      <w:bookmarkStart w:id="0" w:name="_Hlk119173661"/>
      <w:r w:rsidRPr="004F0304">
        <w:rPr>
          <w:rFonts w:ascii="Cambria" w:hAnsi="Cambria"/>
          <w:b/>
          <w:sz w:val="20"/>
          <w:szCs w:val="20"/>
        </w:rPr>
        <w:t>Plans de développement, de pêche ou de gestion de l'espadon de l'Atlantique Nord</w:t>
      </w:r>
      <w:bookmarkEnd w:id="0"/>
    </w:p>
    <w:p w14:paraId="311731F7" w14:textId="77777777" w:rsidR="00746080" w:rsidRPr="004F0304" w:rsidRDefault="00746080" w:rsidP="00924DE2">
      <w:pPr>
        <w:autoSpaceDE w:val="0"/>
        <w:autoSpaceDN w:val="0"/>
        <w:adjustRightInd w:val="0"/>
        <w:spacing w:after="0" w:line="240" w:lineRule="auto"/>
        <w:contextualSpacing/>
        <w:jc w:val="center"/>
        <w:rPr>
          <w:rFonts w:ascii="Cambria" w:hAnsi="Cambria" w:cs="Times New Roman"/>
          <w:i/>
          <w:iCs/>
          <w:sz w:val="20"/>
          <w:szCs w:val="20"/>
        </w:rPr>
      </w:pPr>
    </w:p>
    <w:p w14:paraId="61E49969" w14:textId="266C8613" w:rsidR="00746080" w:rsidRPr="004F0304" w:rsidRDefault="004E5FD3" w:rsidP="00924DE2">
      <w:pPr>
        <w:autoSpaceDE w:val="0"/>
        <w:autoSpaceDN w:val="0"/>
        <w:adjustRightInd w:val="0"/>
        <w:spacing w:after="0" w:line="240" w:lineRule="auto"/>
        <w:contextualSpacing/>
        <w:jc w:val="center"/>
        <w:rPr>
          <w:rFonts w:ascii="Cambria" w:hAnsi="Cambria" w:cs="Times New Roman"/>
          <w:i/>
          <w:iCs/>
          <w:sz w:val="20"/>
          <w:szCs w:val="20"/>
        </w:rPr>
      </w:pPr>
      <w:r w:rsidRPr="004F0304">
        <w:rPr>
          <w:rFonts w:ascii="Cambria" w:hAnsi="Cambria"/>
          <w:i/>
          <w:sz w:val="20"/>
          <w:szCs w:val="20"/>
        </w:rPr>
        <w:t>(Secrétariat de l’ICCAT)</w:t>
      </w:r>
    </w:p>
    <w:p w14:paraId="19DE3254" w14:textId="77777777" w:rsidR="00746080" w:rsidRPr="004F0304" w:rsidRDefault="00746080" w:rsidP="00924DE2">
      <w:pPr>
        <w:autoSpaceDE w:val="0"/>
        <w:autoSpaceDN w:val="0"/>
        <w:adjustRightInd w:val="0"/>
        <w:spacing w:after="0" w:line="240" w:lineRule="auto"/>
        <w:contextualSpacing/>
        <w:jc w:val="center"/>
        <w:rPr>
          <w:rFonts w:ascii="Cambria" w:hAnsi="Cambria" w:cs="Times New Roman"/>
          <w:i/>
          <w:iCs/>
          <w:sz w:val="20"/>
          <w:szCs w:val="20"/>
        </w:rPr>
      </w:pPr>
    </w:p>
    <w:p w14:paraId="6A03A677" w14:textId="77777777" w:rsidR="00746080" w:rsidRPr="004F0304" w:rsidRDefault="00746080" w:rsidP="00924DE2">
      <w:pPr>
        <w:autoSpaceDE w:val="0"/>
        <w:autoSpaceDN w:val="0"/>
        <w:adjustRightInd w:val="0"/>
        <w:spacing w:after="0" w:line="240" w:lineRule="auto"/>
        <w:contextualSpacing/>
        <w:jc w:val="both"/>
        <w:rPr>
          <w:rFonts w:ascii="Cambria" w:hAnsi="Cambria" w:cs="Times New Roman"/>
          <w:sz w:val="20"/>
          <w:szCs w:val="20"/>
        </w:rPr>
      </w:pPr>
    </w:p>
    <w:p w14:paraId="29161C77" w14:textId="49A62C64" w:rsidR="00746080" w:rsidRPr="004F0304" w:rsidRDefault="00746080" w:rsidP="00924DE2">
      <w:pPr>
        <w:spacing w:after="0" w:line="240" w:lineRule="auto"/>
        <w:contextualSpacing/>
        <w:jc w:val="both"/>
        <w:rPr>
          <w:rFonts w:ascii="Cambria" w:hAnsi="Cambria" w:cs="Times New Roman"/>
          <w:sz w:val="20"/>
          <w:szCs w:val="20"/>
        </w:rPr>
      </w:pPr>
      <w:bookmarkStart w:id="1" w:name="_Hlk51245685"/>
      <w:r w:rsidRPr="004F0304">
        <w:rPr>
          <w:rFonts w:ascii="Cambria" w:hAnsi="Cambria"/>
          <w:sz w:val="20"/>
          <w:szCs w:val="20"/>
        </w:rPr>
        <w:t xml:space="preserve">La Rec. 17-02, telle que modifiée par la Rec. 23-04 et la </w:t>
      </w:r>
      <w:r w:rsidR="001B627A">
        <w:rPr>
          <w:rFonts w:ascii="Cambria" w:hAnsi="Cambria"/>
          <w:sz w:val="20"/>
          <w:szCs w:val="20"/>
        </w:rPr>
        <w:t xml:space="preserve">Rec. </w:t>
      </w:r>
      <w:r w:rsidRPr="004F0304">
        <w:rPr>
          <w:rFonts w:ascii="Cambria" w:hAnsi="Cambria"/>
          <w:sz w:val="20"/>
          <w:szCs w:val="20"/>
        </w:rPr>
        <w:t>24-10, indique que :</w:t>
      </w:r>
      <w:r w:rsidRPr="000C4331">
        <w:rPr>
          <w:rFonts w:ascii="Cambria" w:hAnsi="Cambria"/>
          <w:sz w:val="20"/>
          <w:szCs w:val="20"/>
        </w:rPr>
        <w:t xml:space="preserve"> </w:t>
      </w:r>
      <w:bookmarkEnd w:id="1"/>
      <w:r w:rsidRPr="000C4331">
        <w:rPr>
          <w:rFonts w:ascii="Cambria" w:hAnsi="Cambria"/>
          <w:sz w:val="20"/>
          <w:szCs w:val="20"/>
        </w:rPr>
        <w:t>« En cas de modification de son plan de pêche/de gestion, chaque CPC devra soumettre une version révisée de son plan de pêche/de gestion à la Commission</w:t>
      </w:r>
      <w:r w:rsidR="00E2701C">
        <w:rPr>
          <w:rFonts w:ascii="Cambria" w:hAnsi="Cambria"/>
          <w:sz w:val="20"/>
          <w:szCs w:val="20"/>
        </w:rPr>
        <w:t> »</w:t>
      </w:r>
      <w:r w:rsidRPr="000C4331">
        <w:rPr>
          <w:rFonts w:ascii="Cambria" w:hAnsi="Cambria"/>
          <w:sz w:val="20"/>
          <w:szCs w:val="20"/>
        </w:rPr>
        <w:t xml:space="preserve">. </w:t>
      </w:r>
      <w:r w:rsidRPr="004F0304">
        <w:rPr>
          <w:rFonts w:ascii="Cambria" w:hAnsi="Cambria"/>
          <w:sz w:val="20"/>
          <w:szCs w:val="20"/>
        </w:rPr>
        <w:t>La Commission a convenu que la nouvelle présentation de ces rapports ne serait nécessaire qu'en cas de changements. Les plans reçus au cours des années précédentes peuvent être consultés sur les sites web des documents de la réunion. En 2025, le Secrétariat a reçu dans les délais des plans mis à jour d</w:t>
      </w:r>
      <w:r w:rsidR="000C4331">
        <w:rPr>
          <w:rFonts w:ascii="Cambria" w:hAnsi="Cambria"/>
          <w:sz w:val="20"/>
          <w:szCs w:val="20"/>
        </w:rPr>
        <w:t xml:space="preserve">u </w:t>
      </w:r>
      <w:r w:rsidRPr="004F0304">
        <w:rPr>
          <w:rFonts w:ascii="Cambria" w:hAnsi="Cambria"/>
          <w:sz w:val="20"/>
          <w:szCs w:val="20"/>
        </w:rPr>
        <w:t xml:space="preserve">Canada, </w:t>
      </w:r>
      <w:r w:rsidR="000C4331">
        <w:rPr>
          <w:rFonts w:ascii="Cambria" w:hAnsi="Cambria"/>
          <w:sz w:val="20"/>
          <w:szCs w:val="20"/>
        </w:rPr>
        <w:t xml:space="preserve">du </w:t>
      </w:r>
      <w:r w:rsidRPr="004F0304">
        <w:rPr>
          <w:rFonts w:ascii="Cambria" w:hAnsi="Cambria"/>
          <w:sz w:val="20"/>
          <w:szCs w:val="20"/>
        </w:rPr>
        <w:t xml:space="preserve">Costa Rica, </w:t>
      </w:r>
      <w:r w:rsidR="000C4331">
        <w:rPr>
          <w:rFonts w:ascii="Cambria" w:hAnsi="Cambria"/>
          <w:sz w:val="20"/>
          <w:szCs w:val="20"/>
        </w:rPr>
        <w:t xml:space="preserve">du </w:t>
      </w:r>
      <w:r w:rsidRPr="004F0304">
        <w:rPr>
          <w:rFonts w:ascii="Cambria" w:hAnsi="Cambria"/>
          <w:sz w:val="20"/>
          <w:szCs w:val="20"/>
        </w:rPr>
        <w:t xml:space="preserve">Japon, </w:t>
      </w:r>
      <w:r w:rsidR="000C4331">
        <w:rPr>
          <w:rFonts w:ascii="Cambria" w:hAnsi="Cambria"/>
          <w:sz w:val="20"/>
          <w:szCs w:val="20"/>
        </w:rPr>
        <w:t xml:space="preserve">de la </w:t>
      </w:r>
      <w:r w:rsidRPr="004F0304">
        <w:rPr>
          <w:rFonts w:ascii="Cambria" w:hAnsi="Cambria"/>
          <w:sz w:val="20"/>
          <w:szCs w:val="20"/>
        </w:rPr>
        <w:t xml:space="preserve">Corée (Rép.), </w:t>
      </w:r>
      <w:r w:rsidR="000C4331">
        <w:rPr>
          <w:rFonts w:ascii="Cambria" w:hAnsi="Cambria"/>
          <w:sz w:val="20"/>
          <w:szCs w:val="20"/>
        </w:rPr>
        <w:t xml:space="preserve">du </w:t>
      </w:r>
      <w:r w:rsidRPr="004F0304">
        <w:rPr>
          <w:rFonts w:ascii="Cambria" w:hAnsi="Cambria"/>
          <w:sz w:val="20"/>
          <w:szCs w:val="20"/>
        </w:rPr>
        <w:t xml:space="preserve">Liberia, </w:t>
      </w:r>
      <w:r w:rsidR="000C4331">
        <w:rPr>
          <w:rFonts w:ascii="Cambria" w:hAnsi="Cambria"/>
          <w:sz w:val="20"/>
          <w:szCs w:val="20"/>
        </w:rPr>
        <w:t xml:space="preserve">du </w:t>
      </w:r>
      <w:r w:rsidRPr="004F0304">
        <w:rPr>
          <w:rFonts w:ascii="Cambria" w:hAnsi="Cambria"/>
          <w:sz w:val="20"/>
          <w:szCs w:val="20"/>
        </w:rPr>
        <w:t xml:space="preserve">Mexique, </w:t>
      </w:r>
      <w:r w:rsidR="000C4331">
        <w:rPr>
          <w:rFonts w:ascii="Cambria" w:hAnsi="Cambria"/>
          <w:sz w:val="20"/>
          <w:szCs w:val="20"/>
        </w:rPr>
        <w:t xml:space="preserve">du </w:t>
      </w:r>
      <w:r w:rsidRPr="004F0304">
        <w:rPr>
          <w:rFonts w:ascii="Cambria" w:hAnsi="Cambria"/>
          <w:sz w:val="20"/>
          <w:szCs w:val="20"/>
        </w:rPr>
        <w:t xml:space="preserve">Maroc, </w:t>
      </w:r>
      <w:r w:rsidR="000C4331">
        <w:rPr>
          <w:rFonts w:ascii="Cambria" w:hAnsi="Cambria"/>
          <w:sz w:val="20"/>
          <w:szCs w:val="20"/>
        </w:rPr>
        <w:t xml:space="preserve">du </w:t>
      </w:r>
      <w:r w:rsidRPr="004F0304">
        <w:rPr>
          <w:rFonts w:ascii="Cambria" w:hAnsi="Cambria"/>
          <w:sz w:val="20"/>
          <w:szCs w:val="20"/>
        </w:rPr>
        <w:t xml:space="preserve">Sénégal, </w:t>
      </w:r>
      <w:r w:rsidR="000C4331">
        <w:rPr>
          <w:rFonts w:ascii="Cambria" w:hAnsi="Cambria"/>
          <w:sz w:val="20"/>
          <w:szCs w:val="20"/>
        </w:rPr>
        <w:t xml:space="preserve">des </w:t>
      </w:r>
      <w:r w:rsidRPr="004F0304">
        <w:rPr>
          <w:rFonts w:ascii="Cambria" w:hAnsi="Cambria"/>
          <w:sz w:val="20"/>
          <w:szCs w:val="20"/>
        </w:rPr>
        <w:t xml:space="preserve">États-Unis et </w:t>
      </w:r>
      <w:r w:rsidR="000C4331">
        <w:rPr>
          <w:rFonts w:ascii="Cambria" w:hAnsi="Cambria"/>
          <w:sz w:val="20"/>
          <w:szCs w:val="20"/>
        </w:rPr>
        <w:t xml:space="preserve">du </w:t>
      </w:r>
      <w:r w:rsidRPr="004F0304">
        <w:rPr>
          <w:rFonts w:ascii="Cambria" w:hAnsi="Cambria"/>
          <w:sz w:val="20"/>
          <w:szCs w:val="20"/>
        </w:rPr>
        <w:t>Venezuela.</w:t>
      </w:r>
    </w:p>
    <w:p w14:paraId="504ED706" w14:textId="77777777" w:rsidR="00746080" w:rsidRPr="004F0304" w:rsidRDefault="00746080" w:rsidP="00924DE2">
      <w:pPr>
        <w:spacing w:after="0" w:line="240" w:lineRule="auto"/>
        <w:contextualSpacing/>
        <w:jc w:val="both"/>
        <w:rPr>
          <w:rFonts w:ascii="Cambria" w:hAnsi="Cambria" w:cs="Times New Roman"/>
          <w:sz w:val="20"/>
          <w:szCs w:val="20"/>
        </w:rPr>
      </w:pPr>
    </w:p>
    <w:p w14:paraId="7B9BDA31" w14:textId="74D0B6F3" w:rsidR="00746080" w:rsidRPr="004F0304" w:rsidRDefault="006677AB" w:rsidP="00924DE2">
      <w:pPr>
        <w:spacing w:after="0" w:line="240" w:lineRule="auto"/>
        <w:contextualSpacing/>
        <w:jc w:val="both"/>
        <w:rPr>
          <w:rFonts w:ascii="Cambria" w:hAnsi="Cambria" w:cs="Times New Roman"/>
          <w:sz w:val="20"/>
          <w:szCs w:val="20"/>
        </w:rPr>
      </w:pPr>
      <w:r w:rsidRPr="004F0304">
        <w:rPr>
          <w:rFonts w:ascii="Cambria" w:hAnsi="Cambria"/>
          <w:sz w:val="20"/>
          <w:szCs w:val="20"/>
        </w:rPr>
        <w:t>Les plans de gestion révisés sont joints ci-dessous, ainsi que le résumé exécutif du plan complet soumis par le Canada, qui est disponible dans la langue originale à l'</w:t>
      </w:r>
      <w:r w:rsidRPr="004F0304">
        <w:rPr>
          <w:rFonts w:ascii="Cambria" w:hAnsi="Cambria"/>
          <w:b/>
          <w:sz w:val="20"/>
          <w:szCs w:val="20"/>
        </w:rPr>
        <w:t>annexe 1</w:t>
      </w:r>
      <w:r w:rsidRPr="004F0304">
        <w:rPr>
          <w:rFonts w:ascii="Cambria" w:hAnsi="Cambria"/>
          <w:sz w:val="20"/>
          <w:szCs w:val="20"/>
        </w:rPr>
        <w:t xml:space="preserve"> du présent document.</w:t>
      </w:r>
    </w:p>
    <w:p w14:paraId="250E81EA" w14:textId="0CA981F4" w:rsidR="00746080" w:rsidRPr="004F0304" w:rsidRDefault="00746080" w:rsidP="00924DE2">
      <w:pPr>
        <w:spacing w:after="0" w:line="240" w:lineRule="auto"/>
        <w:contextualSpacing/>
        <w:jc w:val="both"/>
        <w:rPr>
          <w:rFonts w:ascii="Cambria" w:hAnsi="Cambria" w:cs="Times New Roman"/>
          <w:sz w:val="20"/>
          <w:szCs w:val="20"/>
        </w:rPr>
      </w:pPr>
    </w:p>
    <w:p w14:paraId="5DEB2370" w14:textId="20BB6990" w:rsidR="00746080" w:rsidRPr="004F0304" w:rsidRDefault="00746080" w:rsidP="00924DE2">
      <w:pPr>
        <w:spacing w:after="0" w:line="240" w:lineRule="auto"/>
        <w:contextualSpacing/>
        <w:jc w:val="both"/>
        <w:rPr>
          <w:rFonts w:ascii="Cambria" w:hAnsi="Cambria" w:cs="Times New Roman"/>
          <w:sz w:val="20"/>
          <w:szCs w:val="20"/>
        </w:rPr>
      </w:pPr>
    </w:p>
    <w:p w14:paraId="50CD860A" w14:textId="779C0778" w:rsidR="00746080" w:rsidRPr="004F0304" w:rsidRDefault="00746080" w:rsidP="00924DE2">
      <w:pPr>
        <w:spacing w:after="0" w:line="240" w:lineRule="auto"/>
        <w:contextualSpacing/>
        <w:jc w:val="both"/>
        <w:rPr>
          <w:rFonts w:ascii="Cambria" w:hAnsi="Cambria" w:cs="Times New Roman"/>
          <w:sz w:val="20"/>
          <w:szCs w:val="20"/>
        </w:rPr>
      </w:pPr>
    </w:p>
    <w:p w14:paraId="37D77EA1" w14:textId="6121C007" w:rsidR="00746080" w:rsidRPr="004F0304" w:rsidRDefault="00746080" w:rsidP="00924DE2">
      <w:pPr>
        <w:spacing w:after="0" w:line="240" w:lineRule="auto"/>
        <w:contextualSpacing/>
        <w:jc w:val="both"/>
        <w:rPr>
          <w:rFonts w:ascii="Cambria" w:hAnsi="Cambria" w:cs="Times New Roman"/>
          <w:sz w:val="20"/>
          <w:szCs w:val="20"/>
        </w:rPr>
      </w:pPr>
    </w:p>
    <w:p w14:paraId="66D0A8B4" w14:textId="6DE4EB43" w:rsidR="00746080" w:rsidRPr="004F0304" w:rsidRDefault="00746080" w:rsidP="00924DE2">
      <w:pPr>
        <w:spacing w:after="0" w:line="240" w:lineRule="auto"/>
        <w:contextualSpacing/>
        <w:jc w:val="both"/>
        <w:rPr>
          <w:rFonts w:ascii="Cambria" w:hAnsi="Cambria" w:cs="Times New Roman"/>
          <w:sz w:val="20"/>
          <w:szCs w:val="20"/>
        </w:rPr>
      </w:pPr>
    </w:p>
    <w:p w14:paraId="02225C6F" w14:textId="7B40C1CC" w:rsidR="00746080" w:rsidRPr="004F0304" w:rsidRDefault="00746080" w:rsidP="00924DE2">
      <w:pPr>
        <w:spacing w:after="0" w:line="240" w:lineRule="auto"/>
        <w:contextualSpacing/>
        <w:jc w:val="both"/>
        <w:rPr>
          <w:rFonts w:ascii="Cambria" w:hAnsi="Cambria" w:cs="Times New Roman"/>
          <w:sz w:val="20"/>
          <w:szCs w:val="20"/>
        </w:rPr>
      </w:pPr>
    </w:p>
    <w:p w14:paraId="7E57A725" w14:textId="03B426EA" w:rsidR="00746080" w:rsidRPr="004F0304" w:rsidRDefault="00746080" w:rsidP="00924DE2">
      <w:pPr>
        <w:spacing w:after="0" w:line="240" w:lineRule="auto"/>
        <w:contextualSpacing/>
        <w:jc w:val="both"/>
        <w:rPr>
          <w:rFonts w:ascii="Cambria" w:hAnsi="Cambria" w:cs="Times New Roman"/>
          <w:sz w:val="20"/>
          <w:szCs w:val="20"/>
        </w:rPr>
      </w:pPr>
    </w:p>
    <w:p w14:paraId="314584D9" w14:textId="53064841" w:rsidR="00746080" w:rsidRPr="004F0304" w:rsidRDefault="00746080" w:rsidP="00924DE2">
      <w:pPr>
        <w:spacing w:after="0" w:line="240" w:lineRule="auto"/>
        <w:contextualSpacing/>
        <w:jc w:val="both"/>
        <w:rPr>
          <w:rFonts w:ascii="Cambria" w:hAnsi="Cambria" w:cs="Times New Roman"/>
          <w:sz w:val="20"/>
          <w:szCs w:val="20"/>
        </w:rPr>
      </w:pPr>
    </w:p>
    <w:p w14:paraId="330ED422" w14:textId="5AECF31E" w:rsidR="00746080" w:rsidRPr="004F0304" w:rsidRDefault="00746080" w:rsidP="00924DE2">
      <w:pPr>
        <w:spacing w:after="0" w:line="240" w:lineRule="auto"/>
        <w:contextualSpacing/>
        <w:jc w:val="both"/>
        <w:rPr>
          <w:rFonts w:ascii="Cambria" w:hAnsi="Cambria" w:cs="Times New Roman"/>
          <w:sz w:val="20"/>
          <w:szCs w:val="20"/>
        </w:rPr>
      </w:pPr>
    </w:p>
    <w:p w14:paraId="4F37ACC6" w14:textId="25EC10D5" w:rsidR="00746080" w:rsidRPr="004F0304" w:rsidRDefault="00746080" w:rsidP="00924DE2">
      <w:pPr>
        <w:spacing w:after="0" w:line="240" w:lineRule="auto"/>
        <w:contextualSpacing/>
        <w:jc w:val="both"/>
        <w:rPr>
          <w:rFonts w:ascii="Cambria" w:hAnsi="Cambria" w:cs="Times New Roman"/>
          <w:sz w:val="20"/>
          <w:szCs w:val="20"/>
        </w:rPr>
      </w:pPr>
    </w:p>
    <w:p w14:paraId="6C4E7A3E" w14:textId="19B48593" w:rsidR="00746080" w:rsidRPr="004F0304" w:rsidRDefault="00746080" w:rsidP="00924DE2">
      <w:pPr>
        <w:spacing w:after="0" w:line="240" w:lineRule="auto"/>
        <w:contextualSpacing/>
        <w:jc w:val="both"/>
        <w:rPr>
          <w:rFonts w:ascii="Cambria" w:hAnsi="Cambria" w:cs="Times New Roman"/>
          <w:sz w:val="20"/>
          <w:szCs w:val="20"/>
        </w:rPr>
      </w:pPr>
    </w:p>
    <w:p w14:paraId="3D75255B" w14:textId="5226DC70" w:rsidR="00746080" w:rsidRPr="004F0304" w:rsidRDefault="00746080" w:rsidP="00924DE2">
      <w:pPr>
        <w:spacing w:after="0" w:line="240" w:lineRule="auto"/>
        <w:contextualSpacing/>
        <w:jc w:val="both"/>
        <w:rPr>
          <w:rFonts w:ascii="Cambria" w:hAnsi="Cambria" w:cs="Times New Roman"/>
          <w:sz w:val="20"/>
          <w:szCs w:val="20"/>
        </w:rPr>
      </w:pPr>
    </w:p>
    <w:p w14:paraId="37E3A05C" w14:textId="328BC3F0" w:rsidR="00746080" w:rsidRPr="004F0304" w:rsidRDefault="00746080" w:rsidP="00924DE2">
      <w:pPr>
        <w:spacing w:after="0" w:line="240" w:lineRule="auto"/>
        <w:contextualSpacing/>
        <w:jc w:val="both"/>
        <w:rPr>
          <w:rFonts w:ascii="Cambria" w:hAnsi="Cambria" w:cs="Times New Roman"/>
          <w:sz w:val="20"/>
          <w:szCs w:val="20"/>
        </w:rPr>
      </w:pPr>
    </w:p>
    <w:p w14:paraId="36E891D9" w14:textId="13300C80" w:rsidR="00746080" w:rsidRPr="004F0304" w:rsidRDefault="00746080" w:rsidP="00924DE2">
      <w:pPr>
        <w:spacing w:after="0" w:line="240" w:lineRule="auto"/>
        <w:contextualSpacing/>
        <w:jc w:val="both"/>
        <w:rPr>
          <w:rFonts w:ascii="Cambria" w:hAnsi="Cambria" w:cs="Times New Roman"/>
          <w:sz w:val="20"/>
          <w:szCs w:val="20"/>
        </w:rPr>
      </w:pPr>
    </w:p>
    <w:p w14:paraId="355C35BC" w14:textId="2D863FB8" w:rsidR="00746080" w:rsidRPr="004F0304" w:rsidRDefault="00746080" w:rsidP="00924DE2">
      <w:pPr>
        <w:spacing w:after="0" w:line="240" w:lineRule="auto"/>
        <w:contextualSpacing/>
        <w:jc w:val="both"/>
        <w:rPr>
          <w:rFonts w:ascii="Cambria" w:hAnsi="Cambria" w:cs="Times New Roman"/>
          <w:sz w:val="20"/>
          <w:szCs w:val="20"/>
        </w:rPr>
      </w:pPr>
    </w:p>
    <w:p w14:paraId="12474831" w14:textId="53A94B2E" w:rsidR="00746080" w:rsidRPr="004F0304" w:rsidRDefault="00746080" w:rsidP="00924DE2">
      <w:pPr>
        <w:spacing w:after="0" w:line="240" w:lineRule="auto"/>
        <w:contextualSpacing/>
        <w:jc w:val="both"/>
        <w:rPr>
          <w:rFonts w:ascii="Cambria" w:hAnsi="Cambria" w:cs="Times New Roman"/>
          <w:sz w:val="20"/>
          <w:szCs w:val="20"/>
        </w:rPr>
      </w:pPr>
    </w:p>
    <w:p w14:paraId="20B5F336" w14:textId="7F402DBD" w:rsidR="00746080" w:rsidRPr="004F0304" w:rsidRDefault="00746080" w:rsidP="00924DE2">
      <w:pPr>
        <w:spacing w:after="0" w:line="240" w:lineRule="auto"/>
        <w:contextualSpacing/>
        <w:jc w:val="both"/>
        <w:rPr>
          <w:rFonts w:ascii="Cambria" w:hAnsi="Cambria" w:cs="Times New Roman"/>
          <w:sz w:val="20"/>
          <w:szCs w:val="20"/>
        </w:rPr>
      </w:pPr>
    </w:p>
    <w:p w14:paraId="5C27A4AB" w14:textId="77E51B72" w:rsidR="00746080" w:rsidRPr="004F0304" w:rsidRDefault="00746080" w:rsidP="00924DE2">
      <w:pPr>
        <w:spacing w:after="0" w:line="240" w:lineRule="auto"/>
        <w:contextualSpacing/>
        <w:jc w:val="both"/>
        <w:rPr>
          <w:rFonts w:ascii="Cambria" w:hAnsi="Cambria" w:cs="Times New Roman"/>
          <w:sz w:val="20"/>
          <w:szCs w:val="20"/>
        </w:rPr>
      </w:pPr>
    </w:p>
    <w:p w14:paraId="2B5AD0C3" w14:textId="5607957E" w:rsidR="00746080" w:rsidRPr="004F0304" w:rsidRDefault="00746080" w:rsidP="00924DE2">
      <w:pPr>
        <w:spacing w:after="0" w:line="240" w:lineRule="auto"/>
        <w:contextualSpacing/>
        <w:jc w:val="both"/>
        <w:rPr>
          <w:rFonts w:ascii="Cambria" w:hAnsi="Cambria" w:cs="Times New Roman"/>
          <w:sz w:val="20"/>
          <w:szCs w:val="20"/>
        </w:rPr>
      </w:pPr>
    </w:p>
    <w:p w14:paraId="7BFED5A4" w14:textId="7A56F0BB" w:rsidR="00746080" w:rsidRPr="004F0304" w:rsidRDefault="00746080" w:rsidP="00924DE2">
      <w:pPr>
        <w:spacing w:after="0" w:line="240" w:lineRule="auto"/>
        <w:contextualSpacing/>
        <w:jc w:val="both"/>
        <w:rPr>
          <w:rFonts w:ascii="Cambria" w:hAnsi="Cambria" w:cs="Times New Roman"/>
          <w:sz w:val="20"/>
          <w:szCs w:val="20"/>
        </w:rPr>
      </w:pPr>
    </w:p>
    <w:p w14:paraId="745E3562" w14:textId="5D32EFC1" w:rsidR="00746080" w:rsidRPr="004F0304" w:rsidRDefault="00746080" w:rsidP="00924DE2">
      <w:pPr>
        <w:spacing w:after="0" w:line="240" w:lineRule="auto"/>
        <w:contextualSpacing/>
        <w:jc w:val="both"/>
        <w:rPr>
          <w:rFonts w:ascii="Cambria" w:hAnsi="Cambria" w:cs="Times New Roman"/>
          <w:sz w:val="20"/>
          <w:szCs w:val="20"/>
        </w:rPr>
      </w:pPr>
    </w:p>
    <w:p w14:paraId="0624A266" w14:textId="4676CA04" w:rsidR="00746080" w:rsidRPr="004F0304" w:rsidRDefault="00746080" w:rsidP="00924DE2">
      <w:pPr>
        <w:spacing w:after="0" w:line="240" w:lineRule="auto"/>
        <w:contextualSpacing/>
        <w:jc w:val="both"/>
        <w:rPr>
          <w:rFonts w:ascii="Cambria" w:hAnsi="Cambria" w:cs="Times New Roman"/>
          <w:sz w:val="20"/>
          <w:szCs w:val="20"/>
        </w:rPr>
      </w:pPr>
    </w:p>
    <w:p w14:paraId="56B6CE2B" w14:textId="77777777" w:rsidR="004D5A8D" w:rsidRPr="004F0304" w:rsidRDefault="004D5A8D" w:rsidP="00924DE2">
      <w:pPr>
        <w:spacing w:after="0" w:line="240" w:lineRule="auto"/>
        <w:contextualSpacing/>
        <w:jc w:val="both"/>
        <w:rPr>
          <w:rFonts w:ascii="Cambria" w:hAnsi="Cambria" w:cs="Times New Roman"/>
          <w:sz w:val="20"/>
          <w:szCs w:val="20"/>
        </w:rPr>
        <w:sectPr w:rsidR="004D5A8D" w:rsidRPr="004F0304" w:rsidSect="00BC2E67">
          <w:headerReference w:type="default" r:id="rId8"/>
          <w:footerReference w:type="default" r:id="rId9"/>
          <w:pgSz w:w="11907" w:h="16840" w:code="9"/>
          <w:pgMar w:top="1418" w:right="1418" w:bottom="1418" w:left="1418" w:header="851" w:footer="1134" w:gutter="0"/>
          <w:cols w:space="720"/>
          <w:docGrid w:linePitch="360"/>
        </w:sectPr>
      </w:pPr>
    </w:p>
    <w:tbl>
      <w:tblPr>
        <w:tblW w:w="14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914"/>
        <w:gridCol w:w="1026"/>
        <w:gridCol w:w="841"/>
        <w:gridCol w:w="728"/>
        <w:gridCol w:w="851"/>
        <w:gridCol w:w="992"/>
        <w:gridCol w:w="739"/>
        <w:gridCol w:w="973"/>
        <w:gridCol w:w="2966"/>
        <w:gridCol w:w="2835"/>
        <w:gridCol w:w="236"/>
      </w:tblGrid>
      <w:tr w:rsidR="00746080" w:rsidRPr="005503BC" w14:paraId="7FC7AC8F" w14:textId="77777777" w:rsidTr="00140AA1">
        <w:trPr>
          <w:gridAfter w:val="1"/>
          <w:wAfter w:w="236" w:type="dxa"/>
          <w:tblHeader/>
        </w:trPr>
        <w:tc>
          <w:tcPr>
            <w:tcW w:w="1164" w:type="dxa"/>
            <w:vAlign w:val="center"/>
            <w:hideMark/>
          </w:tcPr>
          <w:p w14:paraId="2B0700AE" w14:textId="77777777"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lastRenderedPageBreak/>
              <w:t>CPC</w:t>
            </w:r>
          </w:p>
        </w:tc>
        <w:tc>
          <w:tcPr>
            <w:tcW w:w="914" w:type="dxa"/>
            <w:vAlign w:val="center"/>
            <w:hideMark/>
          </w:tcPr>
          <w:p w14:paraId="46B1E555" w14:textId="77777777"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t>Pêcherie actuelle</w:t>
            </w:r>
          </w:p>
        </w:tc>
        <w:tc>
          <w:tcPr>
            <w:tcW w:w="1026" w:type="dxa"/>
            <w:vAlign w:val="center"/>
            <w:hideMark/>
          </w:tcPr>
          <w:p w14:paraId="31B7CAB7" w14:textId="77777777"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t>Quota actuel (t)</w:t>
            </w:r>
          </w:p>
        </w:tc>
        <w:tc>
          <w:tcPr>
            <w:tcW w:w="841" w:type="dxa"/>
            <w:vAlign w:val="center"/>
            <w:hideMark/>
          </w:tcPr>
          <w:p w14:paraId="72E8AA57" w14:textId="77777777"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t>Nbre de navires</w:t>
            </w:r>
          </w:p>
        </w:tc>
        <w:tc>
          <w:tcPr>
            <w:tcW w:w="728" w:type="dxa"/>
            <w:vAlign w:val="center"/>
            <w:hideMark/>
          </w:tcPr>
          <w:p w14:paraId="62DBBFF8" w14:textId="77777777"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t>Engin</w:t>
            </w:r>
          </w:p>
        </w:tc>
        <w:tc>
          <w:tcPr>
            <w:tcW w:w="851" w:type="dxa"/>
            <w:vAlign w:val="center"/>
            <w:hideMark/>
          </w:tcPr>
          <w:p w14:paraId="23606A62" w14:textId="2ECD1A77"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t>Capacité actuelle (t)</w:t>
            </w:r>
          </w:p>
        </w:tc>
        <w:tc>
          <w:tcPr>
            <w:tcW w:w="992" w:type="dxa"/>
            <w:vAlign w:val="center"/>
            <w:hideMark/>
          </w:tcPr>
          <w:p w14:paraId="44DDEA8C" w14:textId="77777777"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t>Nbre prévu de navires</w:t>
            </w:r>
          </w:p>
        </w:tc>
        <w:tc>
          <w:tcPr>
            <w:tcW w:w="739" w:type="dxa"/>
            <w:vAlign w:val="center"/>
            <w:hideMark/>
          </w:tcPr>
          <w:p w14:paraId="107BD880" w14:textId="77777777"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t>Engin</w:t>
            </w:r>
          </w:p>
        </w:tc>
        <w:tc>
          <w:tcPr>
            <w:tcW w:w="973" w:type="dxa"/>
            <w:vAlign w:val="center"/>
            <w:hideMark/>
          </w:tcPr>
          <w:p w14:paraId="7A2D5F98" w14:textId="46A98EDE"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t>Capacité prévue (t)</w:t>
            </w:r>
          </w:p>
        </w:tc>
        <w:tc>
          <w:tcPr>
            <w:tcW w:w="2966" w:type="dxa"/>
            <w:vAlign w:val="center"/>
            <w:hideMark/>
          </w:tcPr>
          <w:p w14:paraId="39B933CB" w14:textId="77777777"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t>Mesures de gestion actuelles</w:t>
            </w:r>
          </w:p>
        </w:tc>
        <w:tc>
          <w:tcPr>
            <w:tcW w:w="2835" w:type="dxa"/>
            <w:vAlign w:val="center"/>
            <w:hideMark/>
          </w:tcPr>
          <w:p w14:paraId="1104CA0A" w14:textId="77777777" w:rsidR="00746080" w:rsidRPr="005503BC" w:rsidRDefault="00746080" w:rsidP="00924DE2">
            <w:pPr>
              <w:spacing w:after="0" w:line="240" w:lineRule="auto"/>
              <w:contextualSpacing/>
              <w:jc w:val="center"/>
              <w:rPr>
                <w:rFonts w:ascii="Cambria" w:eastAsia="Times New Roman" w:hAnsi="Cambria" w:cs="Calibri"/>
                <w:b/>
                <w:bCs/>
                <w:i/>
                <w:iCs/>
                <w:color w:val="000000"/>
                <w:sz w:val="16"/>
                <w:szCs w:val="16"/>
              </w:rPr>
            </w:pPr>
            <w:r w:rsidRPr="005503BC">
              <w:rPr>
                <w:rFonts w:ascii="Cambria" w:hAnsi="Cambria"/>
                <w:b/>
                <w:i/>
                <w:color w:val="000000"/>
                <w:sz w:val="16"/>
                <w:szCs w:val="16"/>
              </w:rPr>
              <w:t>Futures mesures prévues</w:t>
            </w:r>
          </w:p>
        </w:tc>
      </w:tr>
      <w:tr w:rsidR="00746080" w:rsidRPr="005503BC" w14:paraId="477353F2" w14:textId="77777777" w:rsidTr="00140AA1">
        <w:trPr>
          <w:gridAfter w:val="1"/>
          <w:wAfter w:w="236" w:type="dxa"/>
        </w:trPr>
        <w:tc>
          <w:tcPr>
            <w:tcW w:w="1164" w:type="dxa"/>
            <w:vAlign w:val="center"/>
            <w:hideMark/>
          </w:tcPr>
          <w:p w14:paraId="2A33DC5E" w14:textId="77777777" w:rsidR="00746080" w:rsidRPr="005503BC" w:rsidRDefault="00746080" w:rsidP="00924DE2">
            <w:pPr>
              <w:spacing w:after="0" w:line="240" w:lineRule="auto"/>
              <w:contextualSpacing/>
              <w:jc w:val="center"/>
              <w:rPr>
                <w:rFonts w:ascii="Cambria" w:eastAsia="Times New Roman" w:hAnsi="Cambria" w:cs="Calibri"/>
                <w:b/>
                <w:bCs/>
                <w:color w:val="000000"/>
                <w:sz w:val="18"/>
                <w:szCs w:val="18"/>
              </w:rPr>
            </w:pPr>
            <w:r w:rsidRPr="005503BC">
              <w:rPr>
                <w:rFonts w:ascii="Cambria" w:hAnsi="Cambria"/>
                <w:b/>
                <w:color w:val="000000"/>
                <w:sz w:val="18"/>
                <w:szCs w:val="18"/>
              </w:rPr>
              <w:t>Canada</w:t>
            </w:r>
          </w:p>
        </w:tc>
        <w:tc>
          <w:tcPr>
            <w:tcW w:w="914" w:type="dxa"/>
            <w:vAlign w:val="center"/>
            <w:hideMark/>
          </w:tcPr>
          <w:p w14:paraId="2299C3B6" w14:textId="77777777" w:rsidR="00746080" w:rsidRPr="005503BC" w:rsidRDefault="0074608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Oui</w:t>
            </w:r>
          </w:p>
        </w:tc>
        <w:tc>
          <w:tcPr>
            <w:tcW w:w="1026" w:type="dxa"/>
            <w:vAlign w:val="center"/>
            <w:hideMark/>
          </w:tcPr>
          <w:p w14:paraId="7FF5F47B" w14:textId="62AF5A74" w:rsidR="00746080" w:rsidRPr="005503BC" w:rsidRDefault="0074608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1.348</w:t>
            </w:r>
          </w:p>
        </w:tc>
        <w:tc>
          <w:tcPr>
            <w:tcW w:w="841" w:type="dxa"/>
            <w:vAlign w:val="center"/>
            <w:hideMark/>
          </w:tcPr>
          <w:p w14:paraId="45DD76CA" w14:textId="77777777" w:rsidR="00746080" w:rsidRPr="005503BC" w:rsidRDefault="0074608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77</w:t>
            </w:r>
          </w:p>
          <w:p w14:paraId="19B10AF2" w14:textId="7DCB5B63" w:rsidR="00D4105A" w:rsidRPr="005503BC" w:rsidRDefault="00D4105A"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1200</w:t>
            </w:r>
          </w:p>
        </w:tc>
        <w:tc>
          <w:tcPr>
            <w:tcW w:w="728" w:type="dxa"/>
            <w:vAlign w:val="center"/>
            <w:hideMark/>
          </w:tcPr>
          <w:p w14:paraId="5ECB1707" w14:textId="77777777" w:rsidR="00746080" w:rsidRPr="005503BC" w:rsidRDefault="0074608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p w14:paraId="37FDADEC" w14:textId="6C4DCE75" w:rsidR="00D4105A" w:rsidRPr="005503BC" w:rsidRDefault="00D4105A"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HARP</w:t>
            </w:r>
          </w:p>
        </w:tc>
        <w:tc>
          <w:tcPr>
            <w:tcW w:w="851" w:type="dxa"/>
            <w:vAlign w:val="center"/>
            <w:hideMark/>
          </w:tcPr>
          <w:p w14:paraId="1A05FF91" w14:textId="2FBB5364" w:rsidR="00746080" w:rsidRPr="005503BC" w:rsidRDefault="00746080" w:rsidP="00924DE2">
            <w:pPr>
              <w:spacing w:after="0" w:line="240" w:lineRule="auto"/>
              <w:contextualSpacing/>
              <w:jc w:val="center"/>
              <w:rPr>
                <w:rFonts w:ascii="Cambria" w:eastAsia="Times New Roman" w:hAnsi="Cambria" w:cs="Calibri"/>
                <w:color w:val="000000"/>
                <w:sz w:val="18"/>
                <w:szCs w:val="18"/>
              </w:rPr>
            </w:pPr>
          </w:p>
        </w:tc>
        <w:tc>
          <w:tcPr>
            <w:tcW w:w="992" w:type="dxa"/>
            <w:vAlign w:val="center"/>
            <w:hideMark/>
          </w:tcPr>
          <w:p w14:paraId="1F20CA58" w14:textId="77777777" w:rsidR="00746080" w:rsidRPr="005503BC" w:rsidRDefault="0074608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77</w:t>
            </w:r>
          </w:p>
          <w:p w14:paraId="732A266E" w14:textId="47FF4E36" w:rsidR="00D4105A" w:rsidRPr="005503BC" w:rsidRDefault="00D4105A"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1200</w:t>
            </w:r>
          </w:p>
        </w:tc>
        <w:tc>
          <w:tcPr>
            <w:tcW w:w="739" w:type="dxa"/>
            <w:vAlign w:val="center"/>
            <w:hideMark/>
          </w:tcPr>
          <w:p w14:paraId="7EA71A01" w14:textId="77777777" w:rsidR="00746080" w:rsidRPr="005503BC" w:rsidRDefault="0074608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p w14:paraId="3311321D" w14:textId="6B9D9258" w:rsidR="00D4105A" w:rsidRPr="005503BC" w:rsidRDefault="00D4105A"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HARP</w:t>
            </w:r>
          </w:p>
        </w:tc>
        <w:tc>
          <w:tcPr>
            <w:tcW w:w="973" w:type="dxa"/>
            <w:vAlign w:val="center"/>
            <w:hideMark/>
          </w:tcPr>
          <w:p w14:paraId="35BC4898" w14:textId="32382A4B" w:rsidR="00746080" w:rsidRPr="005503BC" w:rsidRDefault="00746080" w:rsidP="00924DE2">
            <w:pPr>
              <w:spacing w:after="0" w:line="240" w:lineRule="auto"/>
              <w:contextualSpacing/>
              <w:jc w:val="center"/>
              <w:rPr>
                <w:rFonts w:ascii="Cambria" w:eastAsia="Times New Roman" w:hAnsi="Cambria" w:cs="Calibri"/>
                <w:b/>
                <w:bCs/>
                <w:color w:val="000000"/>
                <w:sz w:val="18"/>
                <w:szCs w:val="18"/>
              </w:rPr>
            </w:pPr>
          </w:p>
        </w:tc>
        <w:tc>
          <w:tcPr>
            <w:tcW w:w="2966" w:type="dxa"/>
            <w:noWrap/>
            <w:hideMark/>
          </w:tcPr>
          <w:p w14:paraId="0E55D6AF" w14:textId="77777777" w:rsidR="00757FB4" w:rsidRPr="005503BC" w:rsidRDefault="00757FB4"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color w:val="000000"/>
                <w:sz w:val="18"/>
                <w:szCs w:val="18"/>
              </w:rPr>
              <w:t>Limites du nombre de licences</w:t>
            </w:r>
          </w:p>
          <w:p w14:paraId="0E19BFCF" w14:textId="3AC0C25E" w:rsidR="00757FB4" w:rsidRPr="005503BC" w:rsidRDefault="00757FB4"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color w:val="000000"/>
                <w:sz w:val="18"/>
                <w:szCs w:val="18"/>
              </w:rPr>
              <w:t>Depuis 1992, l’accès à la pêcherie d’espadon, indépendamment du secteur de flottilles, est limité aux licences actuelles. Les licences ont été fixées à ce nombre mais pourront être délivrées</w:t>
            </w:r>
            <w:r w:rsidR="00DB62DA">
              <w:rPr>
                <w:rFonts w:ascii="Cambria" w:hAnsi="Cambria"/>
                <w:color w:val="000000"/>
                <w:sz w:val="18"/>
                <w:szCs w:val="18"/>
              </w:rPr>
              <w:t xml:space="preserve"> à nouveau</w:t>
            </w:r>
            <w:r w:rsidRPr="005503BC">
              <w:rPr>
                <w:rFonts w:ascii="Cambria" w:hAnsi="Cambria"/>
                <w:color w:val="000000"/>
                <w:sz w:val="18"/>
                <w:szCs w:val="18"/>
              </w:rPr>
              <w:t>, dans le cadre de certaines restrictions de politique, d’un pêcheur à un autre.</w:t>
            </w:r>
          </w:p>
          <w:p w14:paraId="0CE01F93" w14:textId="77777777" w:rsidR="00757FB4" w:rsidRPr="005503BC" w:rsidRDefault="00757FB4" w:rsidP="00924DE2">
            <w:pPr>
              <w:spacing w:after="0" w:line="240" w:lineRule="auto"/>
              <w:contextualSpacing/>
              <w:jc w:val="both"/>
              <w:rPr>
                <w:rFonts w:ascii="Cambria" w:eastAsia="Times New Roman" w:hAnsi="Cambria" w:cs="Calibri"/>
                <w:color w:val="000000"/>
                <w:sz w:val="18"/>
                <w:szCs w:val="18"/>
              </w:rPr>
            </w:pPr>
          </w:p>
          <w:p w14:paraId="0D2806CC" w14:textId="0DF6B101" w:rsidR="00757FB4" w:rsidRPr="005503BC" w:rsidRDefault="00510C48"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color w:val="000000"/>
                <w:sz w:val="18"/>
                <w:szCs w:val="18"/>
              </w:rPr>
              <w:t>Suivi, contrôle et surveillance rigoureux de la pêcherie</w:t>
            </w:r>
          </w:p>
          <w:p w14:paraId="53998305" w14:textId="77777777" w:rsidR="00757FB4" w:rsidRPr="005503BC" w:rsidRDefault="00757FB4"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color w:val="000000"/>
                <w:sz w:val="18"/>
                <w:szCs w:val="18"/>
              </w:rPr>
              <w:t>Le Canada adopte une approche exhaustive en matière d’application incluant des systèmes de surveillance des navires sophistiqués à bord de tous les palangriers, une surveillance aérienne, le suivi à quai et les observateurs en mer.</w:t>
            </w:r>
          </w:p>
          <w:p w14:paraId="43443886" w14:textId="77777777" w:rsidR="00757FB4" w:rsidRPr="005503BC" w:rsidRDefault="00757FB4" w:rsidP="00924DE2">
            <w:pPr>
              <w:spacing w:after="0" w:line="240" w:lineRule="auto"/>
              <w:contextualSpacing/>
              <w:jc w:val="both"/>
              <w:rPr>
                <w:rFonts w:ascii="Cambria" w:eastAsia="Times New Roman" w:hAnsi="Cambria" w:cs="Calibri"/>
                <w:color w:val="000000"/>
                <w:sz w:val="18"/>
                <w:szCs w:val="18"/>
              </w:rPr>
            </w:pPr>
          </w:p>
          <w:p w14:paraId="2B394120" w14:textId="77777777" w:rsidR="00757FB4" w:rsidRPr="005503BC" w:rsidRDefault="00757FB4"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color w:val="000000"/>
                <w:sz w:val="18"/>
                <w:szCs w:val="18"/>
              </w:rPr>
              <w:t>Cadre législatif et réglementaire robuste</w:t>
            </w:r>
          </w:p>
          <w:p w14:paraId="4E84374D" w14:textId="77777777" w:rsidR="00757FB4" w:rsidRPr="005503BC" w:rsidRDefault="00757FB4"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color w:val="000000"/>
                <w:sz w:val="18"/>
                <w:szCs w:val="18"/>
              </w:rPr>
              <w:t>En plus des exigences relatives à la soumission annuelle par les flottilles du Plan de pêche axé sur la conservation spécifique aux flottilles ciblant l’espadon et d’autres thonidés et du Plan de gestion intégrée des pêches intégral, la pêcherie canadienne d’espadon est régie par un ensemble de législations, de politiques et de règlements.</w:t>
            </w:r>
          </w:p>
          <w:p w14:paraId="414A542C" w14:textId="77777777" w:rsidR="00757FB4" w:rsidRPr="005503BC" w:rsidRDefault="00757FB4" w:rsidP="00924DE2">
            <w:pPr>
              <w:spacing w:after="0" w:line="240" w:lineRule="auto"/>
              <w:contextualSpacing/>
              <w:jc w:val="both"/>
              <w:rPr>
                <w:rFonts w:ascii="Cambria" w:eastAsia="Times New Roman" w:hAnsi="Cambria" w:cs="Calibri"/>
                <w:color w:val="000000"/>
                <w:sz w:val="18"/>
                <w:szCs w:val="18"/>
              </w:rPr>
            </w:pPr>
          </w:p>
          <w:p w14:paraId="5B8BF599" w14:textId="48304476"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Commission internationale pour la conservation des thonidés de l’Atlantique (ICCAT).</w:t>
            </w:r>
          </w:p>
          <w:p w14:paraId="2359D1B7" w14:textId="7EBF3D14"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Loi sur les pêches de 1985.</w:t>
            </w:r>
          </w:p>
          <w:p w14:paraId="47CF18DF" w14:textId="09971CC8"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lastRenderedPageBreak/>
              <w:t>Règlement de pêche de l’Atlantique (AFR) de 1985.</w:t>
            </w:r>
          </w:p>
          <w:p w14:paraId="6EF9F01C" w14:textId="0537E985"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Règlement de pêche (dispositions générales) de 1993.</w:t>
            </w:r>
          </w:p>
          <w:p w14:paraId="057D5EDB" w14:textId="4D064405"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Loi sur les océans de 1996.</w:t>
            </w:r>
          </w:p>
          <w:p w14:paraId="35ACB4A0" w14:textId="046C5035"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Loi sur les espèces en péril de 2002.</w:t>
            </w:r>
          </w:p>
          <w:p w14:paraId="3D9A3963" w14:textId="4A4DB34E"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Plan d’action international (IPOA) et Plan d'action national (NPOA) du Canada visant à réduire les captures accidentelles d'oiseaux de mer par les palangriers</w:t>
            </w:r>
          </w:p>
          <w:p w14:paraId="60986DF2" w14:textId="21E49E11"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IPOA relatif à la conservation des requins.</w:t>
            </w:r>
          </w:p>
          <w:p w14:paraId="52BEB4BB" w14:textId="5A90A6C6"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Loi sur la protection des pêches côtières de 1985.</w:t>
            </w:r>
          </w:p>
          <w:p w14:paraId="79283F46" w14:textId="7A5AE766"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Loi sur le ministère des Pêches et des Océans de 1985.</w:t>
            </w:r>
          </w:p>
          <w:p w14:paraId="18105C5D" w14:textId="5C0B576E"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 xml:space="preserve">Loi sur la restructuration du secteur des pêches de </w:t>
            </w:r>
            <w:r w:rsidR="004F0304" w:rsidRPr="005503BC">
              <w:rPr>
                <w:rFonts w:ascii="Cambria" w:hAnsi="Cambria"/>
                <w:color w:val="000000"/>
                <w:sz w:val="18"/>
                <w:szCs w:val="18"/>
              </w:rPr>
              <w:t>l’</w:t>
            </w:r>
            <w:r w:rsidRPr="005503BC">
              <w:rPr>
                <w:rFonts w:ascii="Cambria" w:hAnsi="Cambria"/>
                <w:color w:val="000000"/>
                <w:sz w:val="18"/>
                <w:szCs w:val="18"/>
              </w:rPr>
              <w:t>Atlantique de 1985.</w:t>
            </w:r>
          </w:p>
          <w:p w14:paraId="46B4200B" w14:textId="2A88A2E8" w:rsidR="00757FB4"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Règlement sur les permis de pêche communautaires des autochtones de 1993.</w:t>
            </w:r>
          </w:p>
          <w:p w14:paraId="712A64F9" w14:textId="77777777" w:rsidR="00124CC2" w:rsidRPr="005503BC" w:rsidRDefault="00757FB4"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Politique d'émission des permis pour la pêche commerciale dans l'Est du Canada de 1996.</w:t>
            </w:r>
          </w:p>
          <w:p w14:paraId="073E320C" w14:textId="487F127B" w:rsidR="00757FB4" w:rsidRPr="005503BC" w:rsidRDefault="00124CC2" w:rsidP="00924DE2">
            <w:pPr>
              <w:pStyle w:val="ListParagraph"/>
              <w:numPr>
                <w:ilvl w:val="0"/>
                <w:numId w:val="7"/>
              </w:numPr>
              <w:spacing w:after="0" w:line="240" w:lineRule="auto"/>
              <w:ind w:left="165" w:hanging="141"/>
              <w:jc w:val="both"/>
              <w:rPr>
                <w:rFonts w:ascii="Cambria" w:eastAsia="Times New Roman" w:hAnsi="Cambria" w:cs="Calibri"/>
                <w:color w:val="000000"/>
                <w:sz w:val="18"/>
                <w:szCs w:val="18"/>
              </w:rPr>
            </w:pPr>
            <w:r w:rsidRPr="005503BC">
              <w:rPr>
                <w:rFonts w:ascii="Cambria" w:hAnsi="Cambria"/>
                <w:color w:val="000000"/>
                <w:sz w:val="18"/>
                <w:szCs w:val="18"/>
              </w:rPr>
              <w:t>Un cadre pour la pêche durable : Éléments pour la conservation et l’exploitation durable - (1) Politique d’approche de précaution , (2) Politique sur les espèces fourragères, (3) Politique sur les zones benthiques vulnérables et (4) Politique sur les prises accessoires</w:t>
            </w:r>
          </w:p>
          <w:p w14:paraId="1339C2B1" w14:textId="20AABAF9" w:rsidR="00746080" w:rsidRPr="005503BC" w:rsidRDefault="00746080" w:rsidP="00924DE2">
            <w:pPr>
              <w:spacing w:after="0" w:line="240" w:lineRule="auto"/>
              <w:contextualSpacing/>
              <w:jc w:val="both"/>
              <w:rPr>
                <w:rFonts w:ascii="Cambria" w:eastAsia="Times New Roman" w:hAnsi="Cambria" w:cs="Calibri"/>
                <w:color w:val="000000"/>
                <w:sz w:val="18"/>
                <w:szCs w:val="18"/>
              </w:rPr>
            </w:pPr>
          </w:p>
        </w:tc>
        <w:tc>
          <w:tcPr>
            <w:tcW w:w="2835" w:type="dxa"/>
            <w:hideMark/>
          </w:tcPr>
          <w:p w14:paraId="29EEC11E" w14:textId="35F100B5" w:rsidR="004D5A8D" w:rsidRPr="005503BC" w:rsidRDefault="00757FB4"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lastRenderedPageBreak/>
              <w:t>N/A</w:t>
            </w:r>
          </w:p>
        </w:tc>
      </w:tr>
      <w:tr w:rsidR="00F3220A" w:rsidRPr="005503BC" w14:paraId="543BA4D3" w14:textId="77777777" w:rsidTr="00924DE2">
        <w:trPr>
          <w:gridAfter w:val="1"/>
          <w:wAfter w:w="236" w:type="dxa"/>
          <w:trHeight w:val="1003"/>
        </w:trPr>
        <w:tc>
          <w:tcPr>
            <w:tcW w:w="1164" w:type="dxa"/>
            <w:tcBorders>
              <w:bottom w:val="single" w:sz="4" w:space="0" w:color="auto"/>
            </w:tcBorders>
            <w:noWrap/>
            <w:vAlign w:val="center"/>
          </w:tcPr>
          <w:p w14:paraId="7518F3C4" w14:textId="137EDF7C" w:rsidR="00F3220A" w:rsidRPr="005503BC" w:rsidRDefault="00F3220A" w:rsidP="00924DE2">
            <w:pPr>
              <w:spacing w:after="0" w:line="240" w:lineRule="auto"/>
              <w:contextualSpacing/>
              <w:jc w:val="center"/>
              <w:rPr>
                <w:rFonts w:ascii="Cambria" w:eastAsia="Times New Roman" w:hAnsi="Cambria" w:cs="Calibri"/>
                <w:b/>
                <w:bCs/>
                <w:color w:val="000000"/>
                <w:sz w:val="18"/>
                <w:szCs w:val="18"/>
              </w:rPr>
            </w:pPr>
            <w:r w:rsidRPr="005503BC">
              <w:rPr>
                <w:rFonts w:ascii="Cambria" w:hAnsi="Cambria"/>
                <w:b/>
                <w:color w:val="000000"/>
                <w:sz w:val="18"/>
                <w:szCs w:val="18"/>
              </w:rPr>
              <w:lastRenderedPageBreak/>
              <w:t>Costa Rica</w:t>
            </w:r>
          </w:p>
        </w:tc>
        <w:tc>
          <w:tcPr>
            <w:tcW w:w="914" w:type="dxa"/>
            <w:tcBorders>
              <w:bottom w:val="single" w:sz="4" w:space="0" w:color="auto"/>
            </w:tcBorders>
            <w:noWrap/>
            <w:vAlign w:val="center"/>
          </w:tcPr>
          <w:p w14:paraId="594C9BC4" w14:textId="055043E2" w:rsidR="00F3220A" w:rsidRPr="005503BC" w:rsidRDefault="00F3220A" w:rsidP="00924DE2">
            <w:pPr>
              <w:spacing w:after="0" w:line="240" w:lineRule="auto"/>
              <w:contextualSpacing/>
              <w:jc w:val="center"/>
              <w:rPr>
                <w:rFonts w:ascii="Cambria" w:eastAsia="Times New Roman" w:hAnsi="Cambria" w:cs="Calibri"/>
                <w:sz w:val="18"/>
                <w:szCs w:val="18"/>
              </w:rPr>
            </w:pPr>
            <w:r w:rsidRPr="005503BC">
              <w:rPr>
                <w:rFonts w:ascii="Cambria" w:hAnsi="Cambria"/>
                <w:color w:val="000000"/>
                <w:sz w:val="18"/>
                <w:szCs w:val="18"/>
              </w:rPr>
              <w:t>Oui</w:t>
            </w:r>
          </w:p>
        </w:tc>
        <w:tc>
          <w:tcPr>
            <w:tcW w:w="1026" w:type="dxa"/>
            <w:tcBorders>
              <w:bottom w:val="single" w:sz="4" w:space="0" w:color="auto"/>
            </w:tcBorders>
            <w:noWrap/>
            <w:vAlign w:val="center"/>
          </w:tcPr>
          <w:p w14:paraId="6B0087E4" w14:textId="032E2AD3" w:rsidR="00F3220A" w:rsidRPr="005503BC" w:rsidRDefault="00F3220A" w:rsidP="00924DE2">
            <w:pPr>
              <w:spacing w:after="0" w:line="240" w:lineRule="auto"/>
              <w:contextualSpacing/>
              <w:jc w:val="center"/>
              <w:rPr>
                <w:rFonts w:ascii="Cambria" w:eastAsia="Times New Roman" w:hAnsi="Cambria" w:cs="Calibri"/>
                <w:sz w:val="18"/>
                <w:szCs w:val="18"/>
              </w:rPr>
            </w:pPr>
            <w:r w:rsidRPr="005503BC">
              <w:rPr>
                <w:rFonts w:ascii="Cambria" w:hAnsi="Cambria"/>
                <w:color w:val="000000"/>
                <w:sz w:val="18"/>
                <w:szCs w:val="18"/>
              </w:rPr>
              <w:t>375*</w:t>
            </w:r>
          </w:p>
        </w:tc>
        <w:tc>
          <w:tcPr>
            <w:tcW w:w="841" w:type="dxa"/>
            <w:tcBorders>
              <w:bottom w:val="single" w:sz="4" w:space="0" w:color="auto"/>
            </w:tcBorders>
            <w:noWrap/>
            <w:vAlign w:val="center"/>
          </w:tcPr>
          <w:p w14:paraId="0E6A1FEE" w14:textId="508D963D" w:rsidR="00F3220A" w:rsidRPr="005503BC" w:rsidRDefault="00F3220A" w:rsidP="00924DE2">
            <w:pPr>
              <w:spacing w:after="0" w:line="240" w:lineRule="auto"/>
              <w:contextualSpacing/>
              <w:jc w:val="center"/>
              <w:rPr>
                <w:rFonts w:ascii="Cambria" w:hAnsi="Cambria"/>
                <w:sz w:val="18"/>
                <w:szCs w:val="18"/>
              </w:rPr>
            </w:pPr>
            <w:r w:rsidRPr="005503BC">
              <w:rPr>
                <w:rFonts w:ascii="Cambria" w:hAnsi="Cambria"/>
                <w:color w:val="000000"/>
                <w:sz w:val="18"/>
                <w:szCs w:val="18"/>
              </w:rPr>
              <w:t>12</w:t>
            </w:r>
          </w:p>
        </w:tc>
        <w:tc>
          <w:tcPr>
            <w:tcW w:w="728" w:type="dxa"/>
            <w:tcBorders>
              <w:bottom w:val="single" w:sz="4" w:space="0" w:color="auto"/>
            </w:tcBorders>
            <w:noWrap/>
            <w:vAlign w:val="center"/>
          </w:tcPr>
          <w:p w14:paraId="1857A8BB" w14:textId="62C9709C" w:rsidR="00F3220A" w:rsidRPr="005503BC" w:rsidRDefault="00F3220A" w:rsidP="00924DE2">
            <w:pPr>
              <w:spacing w:after="0" w:line="240" w:lineRule="auto"/>
              <w:contextualSpacing/>
              <w:jc w:val="center"/>
              <w:rPr>
                <w:rFonts w:ascii="Cambria" w:hAnsi="Cambria"/>
                <w:sz w:val="18"/>
                <w:szCs w:val="18"/>
              </w:rPr>
            </w:pPr>
            <w:r w:rsidRPr="005503BC">
              <w:rPr>
                <w:rFonts w:ascii="Cambria" w:hAnsi="Cambria"/>
                <w:color w:val="000000"/>
                <w:sz w:val="18"/>
                <w:szCs w:val="18"/>
              </w:rPr>
              <w:t>LL</w:t>
            </w:r>
          </w:p>
        </w:tc>
        <w:tc>
          <w:tcPr>
            <w:tcW w:w="851" w:type="dxa"/>
            <w:tcBorders>
              <w:bottom w:val="single" w:sz="4" w:space="0" w:color="auto"/>
            </w:tcBorders>
            <w:noWrap/>
            <w:vAlign w:val="center"/>
          </w:tcPr>
          <w:p w14:paraId="75F0DB68" w14:textId="698D22F3" w:rsidR="00F3220A" w:rsidRPr="005503BC" w:rsidRDefault="00F3220A" w:rsidP="00924DE2">
            <w:pPr>
              <w:spacing w:after="0" w:line="240" w:lineRule="auto"/>
              <w:contextualSpacing/>
              <w:jc w:val="center"/>
              <w:rPr>
                <w:rFonts w:ascii="Cambria" w:hAnsi="Cambria"/>
                <w:sz w:val="18"/>
                <w:szCs w:val="18"/>
              </w:rPr>
            </w:pPr>
            <w:r w:rsidRPr="005503BC">
              <w:rPr>
                <w:rFonts w:ascii="Cambria" w:hAnsi="Cambria"/>
                <w:color w:val="000000"/>
                <w:sz w:val="18"/>
                <w:szCs w:val="18"/>
              </w:rPr>
              <w:t>302,15</w:t>
            </w:r>
          </w:p>
        </w:tc>
        <w:tc>
          <w:tcPr>
            <w:tcW w:w="992" w:type="dxa"/>
            <w:tcBorders>
              <w:bottom w:val="single" w:sz="4" w:space="0" w:color="auto"/>
            </w:tcBorders>
            <w:noWrap/>
            <w:vAlign w:val="center"/>
          </w:tcPr>
          <w:p w14:paraId="341E1DF1" w14:textId="30C4097F" w:rsidR="00F3220A" w:rsidRPr="005503BC" w:rsidRDefault="00F3220A" w:rsidP="00924DE2">
            <w:pPr>
              <w:spacing w:after="0" w:line="240" w:lineRule="auto"/>
              <w:contextualSpacing/>
              <w:jc w:val="center"/>
              <w:rPr>
                <w:rFonts w:ascii="Cambria" w:hAnsi="Cambria"/>
                <w:sz w:val="18"/>
                <w:szCs w:val="18"/>
              </w:rPr>
            </w:pPr>
            <w:r w:rsidRPr="005503BC">
              <w:rPr>
                <w:rFonts w:ascii="Cambria" w:hAnsi="Cambria"/>
                <w:color w:val="000000"/>
                <w:sz w:val="18"/>
                <w:szCs w:val="18"/>
              </w:rPr>
              <w:t>12</w:t>
            </w:r>
          </w:p>
        </w:tc>
        <w:tc>
          <w:tcPr>
            <w:tcW w:w="739" w:type="dxa"/>
            <w:tcBorders>
              <w:bottom w:val="single" w:sz="4" w:space="0" w:color="auto"/>
            </w:tcBorders>
            <w:noWrap/>
            <w:vAlign w:val="center"/>
          </w:tcPr>
          <w:p w14:paraId="026F7574" w14:textId="6BAD08C7" w:rsidR="00F3220A" w:rsidRPr="005503BC" w:rsidRDefault="00F3220A" w:rsidP="00924DE2">
            <w:pPr>
              <w:spacing w:after="0" w:line="240" w:lineRule="auto"/>
              <w:contextualSpacing/>
              <w:jc w:val="center"/>
              <w:rPr>
                <w:rFonts w:ascii="Cambria" w:hAnsi="Cambria"/>
                <w:sz w:val="18"/>
                <w:szCs w:val="18"/>
              </w:rPr>
            </w:pPr>
            <w:r w:rsidRPr="005503BC">
              <w:rPr>
                <w:rFonts w:ascii="Cambria" w:hAnsi="Cambria"/>
                <w:color w:val="000000"/>
                <w:sz w:val="18"/>
                <w:szCs w:val="18"/>
              </w:rPr>
              <w:t>LL</w:t>
            </w:r>
          </w:p>
        </w:tc>
        <w:tc>
          <w:tcPr>
            <w:tcW w:w="973" w:type="dxa"/>
            <w:tcBorders>
              <w:bottom w:val="single" w:sz="4" w:space="0" w:color="auto"/>
            </w:tcBorders>
            <w:noWrap/>
            <w:vAlign w:val="center"/>
          </w:tcPr>
          <w:p w14:paraId="08F9A0E3" w14:textId="253A4236" w:rsidR="00F3220A" w:rsidRPr="005503BC" w:rsidRDefault="00F3220A" w:rsidP="00924DE2">
            <w:pPr>
              <w:spacing w:after="0" w:line="240" w:lineRule="auto"/>
              <w:contextualSpacing/>
              <w:jc w:val="center"/>
              <w:rPr>
                <w:rFonts w:ascii="Cambria" w:eastAsia="Times New Roman" w:hAnsi="Cambria" w:cs="Calibri"/>
                <w:sz w:val="18"/>
                <w:szCs w:val="18"/>
              </w:rPr>
            </w:pPr>
            <w:r w:rsidRPr="005503BC">
              <w:rPr>
                <w:rFonts w:ascii="Cambria" w:hAnsi="Cambria"/>
                <w:color w:val="000000"/>
                <w:sz w:val="18"/>
                <w:szCs w:val="18"/>
              </w:rPr>
              <w:t>375</w:t>
            </w:r>
          </w:p>
        </w:tc>
        <w:tc>
          <w:tcPr>
            <w:tcW w:w="2966" w:type="dxa"/>
            <w:tcBorders>
              <w:bottom w:val="single" w:sz="4" w:space="0" w:color="auto"/>
            </w:tcBorders>
          </w:tcPr>
          <w:p w14:paraId="32C3DB32" w14:textId="77777777" w:rsidR="00F3220A" w:rsidRPr="005503BC" w:rsidRDefault="00F3220A" w:rsidP="00924DE2">
            <w:pPr>
              <w:pStyle w:val="ListParagraph"/>
              <w:numPr>
                <w:ilvl w:val="0"/>
                <w:numId w:val="11"/>
              </w:numPr>
              <w:spacing w:after="0" w:line="240" w:lineRule="auto"/>
              <w:jc w:val="both"/>
              <w:rPr>
                <w:rFonts w:ascii="Cambria" w:hAnsi="Cambria"/>
                <w:sz w:val="18"/>
                <w:szCs w:val="18"/>
              </w:rPr>
            </w:pPr>
            <w:r w:rsidRPr="005503BC">
              <w:rPr>
                <w:rFonts w:ascii="Cambria" w:hAnsi="Cambria"/>
                <w:sz w:val="18"/>
                <w:szCs w:val="18"/>
              </w:rPr>
              <w:t>La capture des grandes espèces pélagiques et démersales est autorisée.</w:t>
            </w:r>
          </w:p>
          <w:p w14:paraId="1EBCE61B" w14:textId="53B703AF" w:rsidR="00F3220A" w:rsidRPr="005503BC" w:rsidRDefault="00F3220A" w:rsidP="00924DE2">
            <w:pPr>
              <w:pStyle w:val="ListParagraph"/>
              <w:numPr>
                <w:ilvl w:val="0"/>
                <w:numId w:val="11"/>
              </w:numPr>
              <w:spacing w:after="0" w:line="240" w:lineRule="auto"/>
              <w:jc w:val="both"/>
              <w:rPr>
                <w:rFonts w:ascii="Cambria" w:hAnsi="Cambria"/>
                <w:sz w:val="18"/>
                <w:szCs w:val="18"/>
              </w:rPr>
            </w:pPr>
            <w:r w:rsidRPr="005503BC">
              <w:rPr>
                <w:rFonts w:ascii="Cambria" w:hAnsi="Cambria"/>
                <w:sz w:val="18"/>
                <w:szCs w:val="18"/>
              </w:rPr>
              <w:t>Les activités de pêche sont autorisées à moins de trois milles nautiques de la côte pour les navires commerciaux de petite taille; jusqu’à 40 pour les navires commerciaux de taille moyenne et à plus de 40 pour ceux de taille supérieure.</w:t>
            </w:r>
          </w:p>
          <w:p w14:paraId="4FD46496" w14:textId="3E0F22B6" w:rsidR="00F3220A" w:rsidRPr="005503BC" w:rsidRDefault="00F3220A" w:rsidP="00924DE2">
            <w:pPr>
              <w:pStyle w:val="ListParagraph"/>
              <w:numPr>
                <w:ilvl w:val="0"/>
                <w:numId w:val="11"/>
              </w:numPr>
              <w:spacing w:after="0" w:line="240" w:lineRule="auto"/>
              <w:jc w:val="both"/>
              <w:rPr>
                <w:rFonts w:ascii="Cambria" w:hAnsi="Cambria"/>
                <w:sz w:val="18"/>
                <w:szCs w:val="18"/>
              </w:rPr>
            </w:pPr>
            <w:r w:rsidRPr="005503BC">
              <w:rPr>
                <w:rFonts w:ascii="Cambria" w:hAnsi="Cambria"/>
                <w:sz w:val="18"/>
                <w:szCs w:val="18"/>
              </w:rPr>
              <w:t>La pêche est interdite dans les parcs et les zones fermées. Les plans de gestion des zones marines pour une pêche responsable doivent être respectés</w:t>
            </w:r>
            <w:r w:rsidR="003E574F">
              <w:rPr>
                <w:rFonts w:ascii="Cambria" w:hAnsi="Cambria"/>
                <w:sz w:val="18"/>
                <w:szCs w:val="18"/>
              </w:rPr>
              <w:t xml:space="preserve">. </w:t>
            </w:r>
            <w:r w:rsidRPr="005503BC">
              <w:rPr>
                <w:rFonts w:ascii="Cambria" w:hAnsi="Cambria"/>
                <w:sz w:val="18"/>
                <w:szCs w:val="18"/>
              </w:rPr>
              <w:t>Collecte de données sur les captures pour les sorties de pêche.</w:t>
            </w:r>
          </w:p>
          <w:p w14:paraId="2223B2F9" w14:textId="20AB2E19" w:rsidR="00F3220A" w:rsidRPr="005503BC" w:rsidRDefault="00F3220A" w:rsidP="00924DE2">
            <w:pPr>
              <w:pStyle w:val="ListParagraph"/>
              <w:numPr>
                <w:ilvl w:val="0"/>
                <w:numId w:val="11"/>
              </w:numPr>
              <w:spacing w:after="0" w:line="240" w:lineRule="auto"/>
              <w:jc w:val="both"/>
              <w:rPr>
                <w:rFonts w:ascii="Cambria" w:hAnsi="Cambria"/>
                <w:sz w:val="18"/>
                <w:szCs w:val="18"/>
              </w:rPr>
            </w:pPr>
            <w:r w:rsidRPr="005503BC">
              <w:rPr>
                <w:rFonts w:ascii="Cambria" w:hAnsi="Cambria"/>
                <w:sz w:val="18"/>
                <w:szCs w:val="18"/>
              </w:rPr>
              <w:t xml:space="preserve">Programme de contrôle portuaire pour la vérification des </w:t>
            </w:r>
            <w:r w:rsidR="005206E1">
              <w:rPr>
                <w:rFonts w:ascii="Cambria" w:hAnsi="Cambria"/>
                <w:sz w:val="18"/>
                <w:szCs w:val="18"/>
              </w:rPr>
              <w:t>carnets de</w:t>
            </w:r>
            <w:r w:rsidRPr="005503BC">
              <w:rPr>
                <w:rFonts w:ascii="Cambria" w:hAnsi="Cambria"/>
                <w:sz w:val="18"/>
                <w:szCs w:val="18"/>
              </w:rPr>
              <w:t xml:space="preserve"> pêche</w:t>
            </w:r>
          </w:p>
          <w:p w14:paraId="4E95C430" w14:textId="00CAE085" w:rsidR="00F3220A" w:rsidRPr="005503BC" w:rsidRDefault="00F3220A" w:rsidP="00924DE2">
            <w:pPr>
              <w:pStyle w:val="ListParagraph"/>
              <w:numPr>
                <w:ilvl w:val="0"/>
                <w:numId w:val="11"/>
              </w:numPr>
              <w:spacing w:after="0" w:line="240" w:lineRule="auto"/>
              <w:jc w:val="both"/>
              <w:rPr>
                <w:rFonts w:ascii="Cambria" w:hAnsi="Cambria"/>
                <w:sz w:val="18"/>
                <w:szCs w:val="18"/>
              </w:rPr>
            </w:pPr>
            <w:r w:rsidRPr="005503BC">
              <w:rPr>
                <w:rFonts w:ascii="Cambria" w:hAnsi="Cambria"/>
                <w:sz w:val="18"/>
                <w:szCs w:val="18"/>
              </w:rPr>
              <w:t>Les fonctionnaires de l'INCOPESCA inspectent 100% des débarquements de la flottille commerciale de taille moyenne et supérieure et consignent les informations dans le formulaire d'inspection des débarquements de ressources hydrobiologiques (FID)</w:t>
            </w:r>
            <w:r w:rsidR="005206E1">
              <w:rPr>
                <w:rFonts w:ascii="Cambria" w:hAnsi="Cambria"/>
                <w:sz w:val="18"/>
                <w:szCs w:val="18"/>
              </w:rPr>
              <w:t>.</w:t>
            </w:r>
          </w:p>
          <w:p w14:paraId="62943516" w14:textId="77777777" w:rsidR="00F3220A" w:rsidRPr="005503BC" w:rsidRDefault="00F3220A" w:rsidP="00924DE2">
            <w:pPr>
              <w:pStyle w:val="ListParagraph"/>
              <w:numPr>
                <w:ilvl w:val="0"/>
                <w:numId w:val="11"/>
              </w:numPr>
              <w:spacing w:after="0" w:line="240" w:lineRule="auto"/>
              <w:jc w:val="both"/>
              <w:rPr>
                <w:rFonts w:ascii="Cambria" w:hAnsi="Cambria"/>
                <w:sz w:val="18"/>
                <w:szCs w:val="18"/>
              </w:rPr>
            </w:pPr>
            <w:r w:rsidRPr="005503BC">
              <w:rPr>
                <w:rFonts w:ascii="Cambria" w:hAnsi="Cambria"/>
                <w:sz w:val="18"/>
                <w:szCs w:val="18"/>
              </w:rPr>
              <w:t>Système de surveillance des navires par satellite (VMS).</w:t>
            </w:r>
          </w:p>
          <w:p w14:paraId="1839A4BB" w14:textId="77777777" w:rsidR="000D1CBE" w:rsidRDefault="00F3220A" w:rsidP="00924DE2">
            <w:pPr>
              <w:pStyle w:val="ListParagraph"/>
              <w:numPr>
                <w:ilvl w:val="0"/>
                <w:numId w:val="11"/>
              </w:numPr>
              <w:spacing w:after="0" w:line="240" w:lineRule="auto"/>
              <w:jc w:val="both"/>
              <w:rPr>
                <w:rFonts w:ascii="Cambria" w:hAnsi="Cambria"/>
                <w:sz w:val="18"/>
                <w:szCs w:val="18"/>
              </w:rPr>
            </w:pPr>
            <w:r w:rsidRPr="005503BC">
              <w:rPr>
                <w:rFonts w:ascii="Cambria" w:hAnsi="Cambria"/>
                <w:sz w:val="18"/>
                <w:szCs w:val="18"/>
              </w:rPr>
              <w:t>Contrôle de l'activité de pêche : surveillance aérienne, inspections en mer et au port (des inspections sont effectuées sur les sites de transformation et d'achat des produits de la pêche)</w:t>
            </w:r>
            <w:r w:rsidR="000D1CBE">
              <w:rPr>
                <w:rFonts w:ascii="Cambria" w:hAnsi="Cambria"/>
                <w:sz w:val="18"/>
                <w:szCs w:val="18"/>
              </w:rPr>
              <w:t>.</w:t>
            </w:r>
          </w:p>
          <w:p w14:paraId="6AC56A0D" w14:textId="0BA2412F" w:rsidR="00F3220A" w:rsidRPr="005503BC" w:rsidRDefault="00F3220A" w:rsidP="00924DE2">
            <w:pPr>
              <w:pStyle w:val="ListParagraph"/>
              <w:numPr>
                <w:ilvl w:val="0"/>
                <w:numId w:val="11"/>
              </w:numPr>
              <w:spacing w:after="0" w:line="240" w:lineRule="auto"/>
              <w:jc w:val="both"/>
              <w:rPr>
                <w:rFonts w:ascii="Cambria" w:hAnsi="Cambria"/>
                <w:sz w:val="18"/>
                <w:szCs w:val="18"/>
              </w:rPr>
            </w:pPr>
            <w:r w:rsidRPr="005503BC">
              <w:rPr>
                <w:rFonts w:ascii="Cambria" w:hAnsi="Cambria"/>
                <w:sz w:val="18"/>
                <w:szCs w:val="18"/>
              </w:rPr>
              <w:lastRenderedPageBreak/>
              <w:t>Enregistrement des informations biologiques des pêcheries lors des débarquements.</w:t>
            </w:r>
          </w:p>
          <w:p w14:paraId="6B9DCB5A" w14:textId="4BEED13B" w:rsidR="00F3220A" w:rsidRPr="005503BC" w:rsidRDefault="00F3220A" w:rsidP="00924DE2">
            <w:pPr>
              <w:pStyle w:val="ListParagraph"/>
              <w:spacing w:after="0" w:line="240" w:lineRule="auto"/>
              <w:ind w:left="27" w:hanging="142"/>
              <w:jc w:val="both"/>
              <w:rPr>
                <w:rFonts w:ascii="Cambria" w:hAnsi="Cambria"/>
                <w:sz w:val="18"/>
                <w:szCs w:val="18"/>
              </w:rPr>
            </w:pPr>
          </w:p>
        </w:tc>
        <w:tc>
          <w:tcPr>
            <w:tcW w:w="2835" w:type="dxa"/>
            <w:tcBorders>
              <w:bottom w:val="single" w:sz="4" w:space="0" w:color="auto"/>
            </w:tcBorders>
          </w:tcPr>
          <w:p w14:paraId="3282657E" w14:textId="7D520FE6" w:rsidR="000D1CBE" w:rsidRPr="005503BC" w:rsidRDefault="00F3220A" w:rsidP="000D1CBE">
            <w:pPr>
              <w:spacing w:after="0" w:line="240" w:lineRule="auto"/>
              <w:contextualSpacing/>
              <w:jc w:val="both"/>
              <w:rPr>
                <w:rFonts w:ascii="Cambria" w:hAnsi="Cambria"/>
                <w:sz w:val="18"/>
                <w:szCs w:val="18"/>
              </w:rPr>
            </w:pPr>
            <w:r w:rsidRPr="005503BC">
              <w:rPr>
                <w:rFonts w:ascii="Cambria" w:hAnsi="Cambria"/>
                <w:sz w:val="18"/>
                <w:szCs w:val="18"/>
              </w:rPr>
              <w:lastRenderedPageBreak/>
              <w:t>Taille minimale de capture pour l'espadon de l'Atlantique Nord : poids vif de 25 kg ou 125 cm de longueur maxillaire inférieur-fourche. Marge de tolérance pour les navires qui ont capturé des petits spécimens de manière accidentelle, pour autant que ces prises accidentelles ne dépassent pas 15% du nombre de spécimens d'espadon par débarquement de la capture totale d'espadon de ces navires.</w:t>
            </w:r>
          </w:p>
          <w:p w14:paraId="5E21372C" w14:textId="77777777" w:rsidR="000D1CBE" w:rsidRDefault="000D1CBE" w:rsidP="00924DE2">
            <w:pPr>
              <w:spacing w:after="0" w:line="240" w:lineRule="auto"/>
              <w:contextualSpacing/>
              <w:jc w:val="both"/>
              <w:rPr>
                <w:rFonts w:ascii="Cambria" w:hAnsi="Cambria"/>
                <w:sz w:val="18"/>
                <w:szCs w:val="18"/>
              </w:rPr>
            </w:pPr>
          </w:p>
          <w:p w14:paraId="1F8F36F2" w14:textId="335EFD1E" w:rsidR="00F3220A" w:rsidRPr="005503BC" w:rsidRDefault="00F3220A" w:rsidP="00924DE2">
            <w:pPr>
              <w:spacing w:after="0" w:line="240" w:lineRule="auto"/>
              <w:contextualSpacing/>
              <w:jc w:val="both"/>
              <w:rPr>
                <w:rFonts w:ascii="Cambria" w:hAnsi="Cambria"/>
                <w:sz w:val="18"/>
                <w:szCs w:val="18"/>
              </w:rPr>
            </w:pPr>
            <w:r w:rsidRPr="005503BC">
              <w:rPr>
                <w:rFonts w:ascii="Cambria" w:hAnsi="Cambria"/>
                <w:sz w:val="18"/>
                <w:szCs w:val="18"/>
              </w:rPr>
              <w:t>En 2025, le Costa Rica dispose d'une limite de capture de 75 tonnes et d'un transfert de 300 tonnes des États-Unis, pour un total de 375 tonnes (Rec. 24-10). En 2025, il est prévu de procéder au remboursement des captures excédentaires accumulées.</w:t>
            </w:r>
          </w:p>
        </w:tc>
      </w:tr>
      <w:tr w:rsidR="00CC5095" w:rsidRPr="005503BC" w14:paraId="32BFD5FB" w14:textId="77777777" w:rsidTr="00140AA1">
        <w:trPr>
          <w:gridAfter w:val="1"/>
          <w:wAfter w:w="236" w:type="dxa"/>
        </w:trPr>
        <w:tc>
          <w:tcPr>
            <w:tcW w:w="14029" w:type="dxa"/>
            <w:gridSpan w:val="11"/>
            <w:tcBorders>
              <w:bottom w:val="single" w:sz="4" w:space="0" w:color="auto"/>
            </w:tcBorders>
            <w:noWrap/>
          </w:tcPr>
          <w:p w14:paraId="26CD72F5" w14:textId="64E70767" w:rsidR="00CC5095" w:rsidRPr="005503BC" w:rsidRDefault="003471A4" w:rsidP="00924DE2">
            <w:pPr>
              <w:spacing w:after="0" w:line="240" w:lineRule="auto"/>
              <w:contextualSpacing/>
              <w:rPr>
                <w:rFonts w:ascii="Cambria" w:hAnsi="Cambria"/>
                <w:sz w:val="18"/>
                <w:szCs w:val="18"/>
              </w:rPr>
            </w:pPr>
            <w:r w:rsidRPr="005503BC">
              <w:rPr>
                <w:rFonts w:ascii="Cambria" w:hAnsi="Cambria"/>
                <w:sz w:val="18"/>
                <w:szCs w:val="18"/>
              </w:rPr>
              <w:t>*En 2025, le Costa Rica dispose d'un</w:t>
            </w:r>
            <w:r w:rsidR="00955D63">
              <w:rPr>
                <w:rFonts w:ascii="Cambria" w:hAnsi="Cambria"/>
                <w:sz w:val="18"/>
                <w:szCs w:val="18"/>
              </w:rPr>
              <w:t xml:space="preserve">e limite </w:t>
            </w:r>
            <w:r w:rsidRPr="005503BC">
              <w:rPr>
                <w:rFonts w:ascii="Cambria" w:hAnsi="Cambria"/>
                <w:sz w:val="18"/>
                <w:szCs w:val="18"/>
              </w:rPr>
              <w:t xml:space="preserve">de </w:t>
            </w:r>
            <w:r w:rsidR="00955D63">
              <w:rPr>
                <w:rFonts w:ascii="Cambria" w:hAnsi="Cambria"/>
                <w:sz w:val="18"/>
                <w:szCs w:val="18"/>
              </w:rPr>
              <w:t>capture</w:t>
            </w:r>
            <w:r w:rsidRPr="005503BC">
              <w:rPr>
                <w:rFonts w:ascii="Cambria" w:hAnsi="Cambria"/>
                <w:sz w:val="18"/>
                <w:szCs w:val="18"/>
              </w:rPr>
              <w:t xml:space="preserve"> de 75 tonnes et d'un transfert de 300 tonnes provenant des États-Unis, soit un total de 375 tonnes (Rec. 24-10). Il est prévu que les captures excédentaires accumulées soient restituées en 2025.</w:t>
            </w:r>
          </w:p>
        </w:tc>
      </w:tr>
      <w:tr w:rsidR="00D4105A" w:rsidRPr="005503BC" w14:paraId="0972F477" w14:textId="77777777" w:rsidTr="00140AA1">
        <w:trPr>
          <w:gridAfter w:val="1"/>
          <w:wAfter w:w="236" w:type="dxa"/>
        </w:trPr>
        <w:tc>
          <w:tcPr>
            <w:tcW w:w="1164" w:type="dxa"/>
            <w:tcBorders>
              <w:bottom w:val="single" w:sz="4" w:space="0" w:color="auto"/>
            </w:tcBorders>
            <w:noWrap/>
            <w:vAlign w:val="center"/>
            <w:hideMark/>
          </w:tcPr>
          <w:p w14:paraId="2CEDCF61" w14:textId="77777777" w:rsidR="00D4105A" w:rsidRPr="005503BC" w:rsidRDefault="00D4105A" w:rsidP="00924DE2">
            <w:pPr>
              <w:spacing w:after="0" w:line="240" w:lineRule="auto"/>
              <w:contextualSpacing/>
              <w:jc w:val="center"/>
              <w:rPr>
                <w:rFonts w:ascii="Cambria" w:eastAsia="Times New Roman" w:hAnsi="Cambria" w:cs="Calibri"/>
                <w:b/>
                <w:bCs/>
                <w:color w:val="000000"/>
                <w:sz w:val="18"/>
                <w:szCs w:val="18"/>
              </w:rPr>
            </w:pPr>
            <w:r w:rsidRPr="005503BC">
              <w:rPr>
                <w:rFonts w:ascii="Cambria" w:hAnsi="Cambria"/>
                <w:b/>
                <w:color w:val="000000"/>
                <w:sz w:val="18"/>
                <w:szCs w:val="18"/>
              </w:rPr>
              <w:t>Japon</w:t>
            </w:r>
          </w:p>
        </w:tc>
        <w:tc>
          <w:tcPr>
            <w:tcW w:w="914" w:type="dxa"/>
            <w:tcBorders>
              <w:bottom w:val="single" w:sz="4" w:space="0" w:color="auto"/>
            </w:tcBorders>
            <w:noWrap/>
            <w:vAlign w:val="center"/>
            <w:hideMark/>
          </w:tcPr>
          <w:p w14:paraId="3A3983F2" w14:textId="77777777" w:rsidR="00D4105A" w:rsidRPr="005503BC" w:rsidRDefault="00D4105A" w:rsidP="00924DE2">
            <w:pPr>
              <w:spacing w:after="0" w:line="240" w:lineRule="auto"/>
              <w:contextualSpacing/>
              <w:jc w:val="center"/>
              <w:rPr>
                <w:rFonts w:ascii="Cambria" w:eastAsia="Times New Roman" w:hAnsi="Cambria" w:cs="Calibri"/>
                <w:sz w:val="18"/>
                <w:szCs w:val="18"/>
              </w:rPr>
            </w:pPr>
            <w:r w:rsidRPr="005503BC">
              <w:rPr>
                <w:rFonts w:ascii="Cambria" w:hAnsi="Cambria"/>
                <w:sz w:val="18"/>
                <w:szCs w:val="18"/>
              </w:rPr>
              <w:t>Oui</w:t>
            </w:r>
          </w:p>
        </w:tc>
        <w:tc>
          <w:tcPr>
            <w:tcW w:w="1026" w:type="dxa"/>
            <w:tcBorders>
              <w:bottom w:val="single" w:sz="4" w:space="0" w:color="auto"/>
            </w:tcBorders>
            <w:noWrap/>
            <w:vAlign w:val="center"/>
            <w:hideMark/>
          </w:tcPr>
          <w:p w14:paraId="4B87AE3C" w14:textId="5755A282" w:rsidR="00D4105A" w:rsidRPr="005503BC" w:rsidRDefault="00D4105A" w:rsidP="00924DE2">
            <w:pPr>
              <w:spacing w:after="0" w:line="240" w:lineRule="auto"/>
              <w:contextualSpacing/>
              <w:jc w:val="center"/>
              <w:rPr>
                <w:rFonts w:ascii="Cambria" w:eastAsia="Times New Roman" w:hAnsi="Cambria" w:cs="Calibri"/>
                <w:sz w:val="18"/>
                <w:szCs w:val="18"/>
              </w:rPr>
            </w:pPr>
            <w:r w:rsidRPr="005503BC">
              <w:rPr>
                <w:rFonts w:ascii="Cambria" w:hAnsi="Cambria"/>
                <w:sz w:val="18"/>
                <w:szCs w:val="18"/>
              </w:rPr>
              <w:t>842</w:t>
            </w:r>
          </w:p>
        </w:tc>
        <w:tc>
          <w:tcPr>
            <w:tcW w:w="841" w:type="dxa"/>
            <w:tcBorders>
              <w:bottom w:val="single" w:sz="4" w:space="0" w:color="auto"/>
            </w:tcBorders>
            <w:noWrap/>
            <w:vAlign w:val="center"/>
            <w:hideMark/>
          </w:tcPr>
          <w:p w14:paraId="2F340D0A" w14:textId="79B50368" w:rsidR="00D4105A" w:rsidRPr="005503BC" w:rsidRDefault="00EE5AAA" w:rsidP="00924DE2">
            <w:pPr>
              <w:spacing w:after="0" w:line="240" w:lineRule="auto"/>
              <w:contextualSpacing/>
              <w:jc w:val="center"/>
              <w:rPr>
                <w:rFonts w:ascii="Cambria" w:eastAsia="Times New Roman" w:hAnsi="Cambria" w:cs="Calibri"/>
                <w:sz w:val="18"/>
                <w:szCs w:val="18"/>
              </w:rPr>
            </w:pPr>
            <w:r w:rsidRPr="005503BC">
              <w:rPr>
                <w:rFonts w:ascii="Cambria" w:hAnsi="Cambria"/>
                <w:sz w:val="18"/>
                <w:szCs w:val="18"/>
              </w:rPr>
              <w:t>46</w:t>
            </w:r>
          </w:p>
        </w:tc>
        <w:tc>
          <w:tcPr>
            <w:tcW w:w="728" w:type="dxa"/>
            <w:tcBorders>
              <w:bottom w:val="single" w:sz="4" w:space="0" w:color="auto"/>
            </w:tcBorders>
            <w:noWrap/>
            <w:vAlign w:val="center"/>
            <w:hideMark/>
          </w:tcPr>
          <w:p w14:paraId="7AE4F8EB" w14:textId="76FA041A" w:rsidR="00D4105A" w:rsidRPr="005503BC" w:rsidRDefault="00D4105A" w:rsidP="00924DE2">
            <w:pPr>
              <w:spacing w:after="0" w:line="240" w:lineRule="auto"/>
              <w:contextualSpacing/>
              <w:jc w:val="center"/>
              <w:rPr>
                <w:rFonts w:ascii="Cambria" w:eastAsia="Times New Roman" w:hAnsi="Cambria" w:cs="Calibri"/>
                <w:sz w:val="18"/>
                <w:szCs w:val="18"/>
              </w:rPr>
            </w:pPr>
            <w:r w:rsidRPr="005503BC">
              <w:rPr>
                <w:rFonts w:ascii="Cambria" w:hAnsi="Cambria"/>
                <w:sz w:val="18"/>
                <w:szCs w:val="18"/>
              </w:rPr>
              <w:t>LL</w:t>
            </w:r>
          </w:p>
        </w:tc>
        <w:tc>
          <w:tcPr>
            <w:tcW w:w="851" w:type="dxa"/>
            <w:tcBorders>
              <w:bottom w:val="single" w:sz="4" w:space="0" w:color="auto"/>
            </w:tcBorders>
            <w:noWrap/>
            <w:vAlign w:val="center"/>
            <w:hideMark/>
          </w:tcPr>
          <w:p w14:paraId="3D2E49BB" w14:textId="136C8E9A" w:rsidR="00D4105A" w:rsidRPr="005503BC" w:rsidRDefault="00EE5AAA" w:rsidP="00D1711B">
            <w:pPr>
              <w:spacing w:after="0" w:line="240" w:lineRule="auto"/>
              <w:contextualSpacing/>
              <w:jc w:val="center"/>
              <w:rPr>
                <w:rFonts w:ascii="Cambria" w:eastAsia="Times New Roman" w:hAnsi="Cambria" w:cs="Calibri"/>
                <w:sz w:val="18"/>
                <w:szCs w:val="18"/>
              </w:rPr>
            </w:pPr>
            <w:r w:rsidRPr="005503BC">
              <w:rPr>
                <w:rFonts w:ascii="Cambria" w:hAnsi="Cambria"/>
                <w:sz w:val="18"/>
                <w:szCs w:val="18"/>
              </w:rPr>
              <w:t>21.150</w:t>
            </w:r>
          </w:p>
        </w:tc>
        <w:tc>
          <w:tcPr>
            <w:tcW w:w="992" w:type="dxa"/>
            <w:tcBorders>
              <w:bottom w:val="single" w:sz="4" w:space="0" w:color="auto"/>
            </w:tcBorders>
            <w:noWrap/>
            <w:vAlign w:val="center"/>
            <w:hideMark/>
          </w:tcPr>
          <w:p w14:paraId="33CF563D" w14:textId="220CC601" w:rsidR="00D4105A" w:rsidRPr="005503BC" w:rsidRDefault="00D4105A" w:rsidP="00924DE2">
            <w:pPr>
              <w:spacing w:after="0" w:line="240" w:lineRule="auto"/>
              <w:contextualSpacing/>
              <w:jc w:val="center"/>
              <w:rPr>
                <w:rFonts w:ascii="Cambria" w:eastAsia="Times New Roman" w:hAnsi="Cambria" w:cs="Calibri"/>
                <w:sz w:val="18"/>
                <w:szCs w:val="18"/>
              </w:rPr>
            </w:pPr>
            <w:r w:rsidRPr="005503BC">
              <w:rPr>
                <w:rFonts w:ascii="Cambria" w:hAnsi="Cambria"/>
                <w:sz w:val="18"/>
                <w:szCs w:val="18"/>
              </w:rPr>
              <w:t>147*</w:t>
            </w:r>
          </w:p>
        </w:tc>
        <w:tc>
          <w:tcPr>
            <w:tcW w:w="739" w:type="dxa"/>
            <w:tcBorders>
              <w:bottom w:val="single" w:sz="4" w:space="0" w:color="auto"/>
            </w:tcBorders>
            <w:noWrap/>
            <w:vAlign w:val="center"/>
            <w:hideMark/>
          </w:tcPr>
          <w:p w14:paraId="342C2AB1" w14:textId="6C4B372E" w:rsidR="00D4105A" w:rsidRPr="005503BC" w:rsidRDefault="00D4105A" w:rsidP="00924DE2">
            <w:pPr>
              <w:spacing w:after="0" w:line="240" w:lineRule="auto"/>
              <w:contextualSpacing/>
              <w:jc w:val="center"/>
              <w:rPr>
                <w:rFonts w:ascii="Cambria" w:eastAsia="Times New Roman" w:hAnsi="Cambria" w:cs="Calibri"/>
                <w:sz w:val="18"/>
                <w:szCs w:val="18"/>
              </w:rPr>
            </w:pPr>
            <w:r w:rsidRPr="005503BC">
              <w:rPr>
                <w:rFonts w:ascii="Cambria" w:hAnsi="Cambria"/>
                <w:sz w:val="18"/>
                <w:szCs w:val="18"/>
              </w:rPr>
              <w:t>Palangrier</w:t>
            </w:r>
          </w:p>
        </w:tc>
        <w:tc>
          <w:tcPr>
            <w:tcW w:w="973" w:type="dxa"/>
            <w:tcBorders>
              <w:bottom w:val="single" w:sz="4" w:space="0" w:color="auto"/>
            </w:tcBorders>
            <w:noWrap/>
            <w:vAlign w:val="center"/>
            <w:hideMark/>
          </w:tcPr>
          <w:p w14:paraId="1D6E9B8C" w14:textId="5F14DB05" w:rsidR="00D4105A" w:rsidRPr="005503BC" w:rsidRDefault="00EE5AAA" w:rsidP="00924DE2">
            <w:pPr>
              <w:spacing w:after="0" w:line="240" w:lineRule="auto"/>
              <w:contextualSpacing/>
              <w:jc w:val="center"/>
              <w:rPr>
                <w:rFonts w:ascii="Cambria" w:eastAsia="Times New Roman" w:hAnsi="Cambria" w:cs="Calibri"/>
                <w:sz w:val="18"/>
                <w:szCs w:val="18"/>
              </w:rPr>
            </w:pPr>
            <w:r w:rsidRPr="005503BC">
              <w:rPr>
                <w:rFonts w:ascii="Cambria" w:hAnsi="Cambria"/>
                <w:sz w:val="18"/>
                <w:szCs w:val="18"/>
              </w:rPr>
              <w:t>62271</w:t>
            </w:r>
          </w:p>
        </w:tc>
        <w:tc>
          <w:tcPr>
            <w:tcW w:w="2966" w:type="dxa"/>
            <w:tcBorders>
              <w:bottom w:val="single" w:sz="4" w:space="0" w:color="auto"/>
            </w:tcBorders>
            <w:hideMark/>
          </w:tcPr>
          <w:p w14:paraId="071FE87C" w14:textId="67321807" w:rsidR="00EE5AAA" w:rsidRDefault="00EE5AAA" w:rsidP="00924DE2">
            <w:pPr>
              <w:spacing w:after="0" w:line="240" w:lineRule="auto"/>
              <w:contextualSpacing/>
              <w:jc w:val="both"/>
              <w:rPr>
                <w:rFonts w:ascii="Cambria" w:hAnsi="Cambria"/>
                <w:sz w:val="18"/>
                <w:szCs w:val="18"/>
              </w:rPr>
            </w:pPr>
            <w:r w:rsidRPr="005503BC">
              <w:rPr>
                <w:rFonts w:ascii="Cambria" w:hAnsi="Cambria"/>
                <w:sz w:val="18"/>
                <w:szCs w:val="18"/>
              </w:rPr>
              <w:t>ID1. La loi sur les pêches interdit aux navires de pêche japonais de pêcher des thonidés en haute mer sans être titulaires de licences de pêche délivrées par l</w:t>
            </w:r>
            <w:r w:rsidR="00A864BA">
              <w:rPr>
                <w:rFonts w:ascii="Cambria" w:hAnsi="Cambria"/>
                <w:sz w:val="18"/>
                <w:szCs w:val="18"/>
              </w:rPr>
              <w:t>a</w:t>
            </w:r>
            <w:r w:rsidRPr="005503BC">
              <w:rPr>
                <w:rFonts w:ascii="Cambria" w:hAnsi="Cambria"/>
                <w:sz w:val="18"/>
                <w:szCs w:val="18"/>
              </w:rPr>
              <w:t xml:space="preserve"> </w:t>
            </w:r>
            <w:r w:rsidR="00D86644" w:rsidRPr="00D1711B">
              <w:rPr>
                <w:rFonts w:ascii="Cambria" w:hAnsi="Cambria"/>
                <w:sz w:val="18"/>
                <w:szCs w:val="18"/>
                <w:highlight w:val="yellow"/>
              </w:rPr>
              <w:t>FAJ</w:t>
            </w:r>
            <w:r w:rsidRPr="005503BC">
              <w:rPr>
                <w:rFonts w:ascii="Cambria" w:hAnsi="Cambria"/>
                <w:sz w:val="18"/>
                <w:szCs w:val="18"/>
              </w:rPr>
              <w:t>. La loi exige aussi que le gouvernement décide du nombre maximum de licences à délivrer et d’autres conditions de pêche. L</w:t>
            </w:r>
            <w:r w:rsidR="00D86644">
              <w:rPr>
                <w:rFonts w:ascii="Cambria" w:hAnsi="Cambria"/>
                <w:sz w:val="18"/>
                <w:szCs w:val="18"/>
              </w:rPr>
              <w:t>a</w:t>
            </w:r>
            <w:r w:rsidRPr="005503BC">
              <w:rPr>
                <w:rFonts w:ascii="Cambria" w:hAnsi="Cambria"/>
                <w:sz w:val="18"/>
                <w:szCs w:val="18"/>
              </w:rPr>
              <w:t xml:space="preserve"> </w:t>
            </w:r>
            <w:r w:rsidRPr="00D1711B">
              <w:rPr>
                <w:rFonts w:ascii="Cambria" w:hAnsi="Cambria"/>
                <w:sz w:val="18"/>
                <w:szCs w:val="18"/>
                <w:highlight w:val="yellow"/>
              </w:rPr>
              <w:t>FAJ</w:t>
            </w:r>
            <w:r w:rsidRPr="005503BC">
              <w:rPr>
                <w:rFonts w:ascii="Cambria" w:hAnsi="Cambria"/>
                <w:sz w:val="18"/>
                <w:szCs w:val="18"/>
              </w:rPr>
              <w:t xml:space="preserve"> veille à ce que les capacités de pêche soient proportionnelles aux opportunités de pêche, tel que cela est déterminé par les ORGP thonières comme l’ICCAT.</w:t>
            </w:r>
          </w:p>
          <w:p w14:paraId="47C454B6" w14:textId="77777777" w:rsidR="00A864BA" w:rsidRPr="005503BC" w:rsidRDefault="00A864BA" w:rsidP="00924DE2">
            <w:pPr>
              <w:spacing w:after="0" w:line="240" w:lineRule="auto"/>
              <w:contextualSpacing/>
              <w:jc w:val="both"/>
              <w:rPr>
                <w:rFonts w:ascii="Cambria" w:hAnsi="Cambria"/>
                <w:sz w:val="18"/>
                <w:szCs w:val="18"/>
              </w:rPr>
            </w:pPr>
          </w:p>
          <w:p w14:paraId="6E2691B8" w14:textId="39661B86" w:rsidR="00EE5AAA" w:rsidRDefault="00EE5AAA" w:rsidP="00924DE2">
            <w:pPr>
              <w:spacing w:after="0" w:line="240" w:lineRule="auto"/>
              <w:contextualSpacing/>
              <w:jc w:val="both"/>
              <w:rPr>
                <w:rFonts w:ascii="Cambria" w:hAnsi="Cambria"/>
                <w:sz w:val="18"/>
                <w:szCs w:val="18"/>
              </w:rPr>
            </w:pPr>
            <w:r w:rsidRPr="005503BC">
              <w:rPr>
                <w:rFonts w:ascii="Cambria" w:hAnsi="Cambria"/>
                <w:sz w:val="18"/>
                <w:szCs w:val="18"/>
              </w:rPr>
              <w:t xml:space="preserve">ID2. L’espadon est capturé par le Japon en tant que prise accessoire, laquelle fluctue d’année en année essentiellement à cause du déplacement de la zone de pêche du thon obèse. N’ayant aucune intention d’accroître la prise d’espadon de l’Atlantique Nord en tant que prise cible, le Japon a besoin de flexibilité compte tenu du caractère accidentel de cette capture. À cette fin, les arrangements spéciaux qui ont été conclus pour le Japon, notamment un quota </w:t>
            </w:r>
            <w:r w:rsidR="00465883">
              <w:rPr>
                <w:rFonts w:ascii="Cambria" w:hAnsi="Cambria"/>
                <w:sz w:val="18"/>
                <w:szCs w:val="18"/>
              </w:rPr>
              <w:t>par bloc</w:t>
            </w:r>
            <w:r w:rsidRPr="005503BC">
              <w:rPr>
                <w:rFonts w:ascii="Cambria" w:hAnsi="Cambria"/>
                <w:sz w:val="18"/>
                <w:szCs w:val="18"/>
              </w:rPr>
              <w:t xml:space="preserve"> pluriannuel, tel que prévu au paragraphe 12 de la Rec. 24-10, se sont poursuivis en 2025.</w:t>
            </w:r>
          </w:p>
          <w:p w14:paraId="0F144E14" w14:textId="77777777" w:rsidR="00252FCC" w:rsidRPr="005503BC" w:rsidRDefault="00252FCC" w:rsidP="00924DE2">
            <w:pPr>
              <w:spacing w:after="0" w:line="240" w:lineRule="auto"/>
              <w:contextualSpacing/>
              <w:jc w:val="both"/>
              <w:rPr>
                <w:rFonts w:ascii="Cambria" w:hAnsi="Cambria"/>
                <w:sz w:val="18"/>
                <w:szCs w:val="18"/>
              </w:rPr>
            </w:pPr>
          </w:p>
          <w:p w14:paraId="58B13448" w14:textId="583FD4BB" w:rsidR="00EE5AAA" w:rsidRDefault="00EE5AAA" w:rsidP="00924DE2">
            <w:pPr>
              <w:spacing w:after="0" w:line="240" w:lineRule="auto"/>
              <w:contextualSpacing/>
              <w:jc w:val="both"/>
              <w:rPr>
                <w:rFonts w:ascii="Cambria" w:hAnsi="Cambria"/>
                <w:sz w:val="18"/>
                <w:szCs w:val="18"/>
              </w:rPr>
            </w:pPr>
            <w:r w:rsidRPr="005503BC">
              <w:rPr>
                <w:rFonts w:ascii="Cambria" w:hAnsi="Cambria"/>
                <w:sz w:val="18"/>
                <w:szCs w:val="18"/>
              </w:rPr>
              <w:lastRenderedPageBreak/>
              <w:t>ID3. L</w:t>
            </w:r>
            <w:r w:rsidR="00252FCC">
              <w:rPr>
                <w:rFonts w:ascii="Cambria" w:hAnsi="Cambria"/>
                <w:sz w:val="18"/>
                <w:szCs w:val="18"/>
              </w:rPr>
              <w:t>a</w:t>
            </w:r>
            <w:r w:rsidRPr="005503BC">
              <w:rPr>
                <w:rFonts w:ascii="Cambria" w:hAnsi="Cambria"/>
                <w:sz w:val="18"/>
                <w:szCs w:val="18"/>
              </w:rPr>
              <w:t xml:space="preserve"> FAJ a adéquatement déclaré ses données sur l’espadon, qui ont été utilisées dans l’évaluation du stock d’espadon de l’Atlantique Nord.</w:t>
            </w:r>
          </w:p>
          <w:p w14:paraId="1FC79437" w14:textId="77777777" w:rsidR="000C186F" w:rsidRPr="005503BC" w:rsidRDefault="000C186F" w:rsidP="00924DE2">
            <w:pPr>
              <w:spacing w:after="0" w:line="240" w:lineRule="auto"/>
              <w:contextualSpacing/>
              <w:jc w:val="both"/>
              <w:rPr>
                <w:rFonts w:ascii="Cambria" w:hAnsi="Cambria"/>
                <w:sz w:val="18"/>
                <w:szCs w:val="18"/>
              </w:rPr>
            </w:pPr>
          </w:p>
          <w:p w14:paraId="7EEECCA6" w14:textId="18475806" w:rsidR="00140AA1" w:rsidRPr="005503BC" w:rsidRDefault="00EE5AAA" w:rsidP="00924DE2">
            <w:pPr>
              <w:tabs>
                <w:tab w:val="left" w:pos="310"/>
              </w:tabs>
              <w:spacing w:after="0" w:line="240" w:lineRule="auto"/>
              <w:contextualSpacing/>
              <w:jc w:val="both"/>
              <w:rPr>
                <w:rFonts w:ascii="Cambria" w:hAnsi="Cambria"/>
                <w:sz w:val="18"/>
                <w:szCs w:val="18"/>
              </w:rPr>
            </w:pPr>
            <w:r w:rsidRPr="005503BC">
              <w:rPr>
                <w:rFonts w:ascii="Cambria" w:hAnsi="Cambria"/>
                <w:sz w:val="18"/>
                <w:szCs w:val="18"/>
              </w:rPr>
              <w:t>ID4. La FAJ surveille et contrôle tous les thoniers palangriers japonais opérant dans la zone de la Convention de l’ICCAT à l'aide du système VMS, d'inspections portuaires, etc.</w:t>
            </w:r>
          </w:p>
          <w:p w14:paraId="37521C22" w14:textId="21B05B05" w:rsidR="00140AA1" w:rsidRPr="005503BC" w:rsidRDefault="00140AA1" w:rsidP="00924DE2">
            <w:pPr>
              <w:tabs>
                <w:tab w:val="left" w:pos="310"/>
              </w:tabs>
              <w:spacing w:after="0" w:line="240" w:lineRule="auto"/>
              <w:contextualSpacing/>
              <w:jc w:val="both"/>
              <w:rPr>
                <w:rFonts w:ascii="Cambria" w:hAnsi="Cambria"/>
                <w:sz w:val="18"/>
                <w:szCs w:val="18"/>
              </w:rPr>
            </w:pPr>
          </w:p>
        </w:tc>
        <w:tc>
          <w:tcPr>
            <w:tcW w:w="2835" w:type="dxa"/>
            <w:tcBorders>
              <w:bottom w:val="single" w:sz="4" w:space="0" w:color="auto"/>
            </w:tcBorders>
            <w:hideMark/>
          </w:tcPr>
          <w:p w14:paraId="28F16543" w14:textId="77777777" w:rsidR="00124CC2" w:rsidRPr="005503BC" w:rsidRDefault="00EE5AAA" w:rsidP="00924DE2">
            <w:pPr>
              <w:spacing w:after="0" w:line="240" w:lineRule="auto"/>
              <w:contextualSpacing/>
              <w:jc w:val="both"/>
              <w:rPr>
                <w:rFonts w:ascii="Cambria" w:hAnsi="Cambria"/>
                <w:sz w:val="18"/>
                <w:szCs w:val="18"/>
              </w:rPr>
            </w:pPr>
            <w:r w:rsidRPr="005503BC">
              <w:rPr>
                <w:rFonts w:ascii="Cambria" w:hAnsi="Cambria"/>
                <w:sz w:val="18"/>
                <w:szCs w:val="18"/>
              </w:rPr>
              <w:lastRenderedPageBreak/>
              <w:t>ID1. La FAJ maintiendra les restrictions relatives à la délivrance de licences pour les navires palangriers.</w:t>
            </w:r>
          </w:p>
          <w:p w14:paraId="6E8F5EB4" w14:textId="77777777" w:rsidR="00124CC2" w:rsidRPr="005503BC" w:rsidRDefault="00124CC2" w:rsidP="00924DE2">
            <w:pPr>
              <w:spacing w:after="0" w:line="240" w:lineRule="auto"/>
              <w:contextualSpacing/>
              <w:jc w:val="both"/>
              <w:rPr>
                <w:rFonts w:ascii="Cambria" w:hAnsi="Cambria"/>
                <w:sz w:val="18"/>
                <w:szCs w:val="18"/>
              </w:rPr>
            </w:pPr>
          </w:p>
          <w:p w14:paraId="6B6C6719" w14:textId="4022C2A2" w:rsidR="00124CC2" w:rsidRPr="005503BC" w:rsidRDefault="00124CC2" w:rsidP="00924DE2">
            <w:pPr>
              <w:spacing w:after="0" w:line="240" w:lineRule="auto"/>
              <w:contextualSpacing/>
              <w:jc w:val="both"/>
              <w:rPr>
                <w:rFonts w:ascii="Cambria" w:hAnsi="Cambria"/>
                <w:sz w:val="18"/>
                <w:szCs w:val="18"/>
              </w:rPr>
            </w:pPr>
            <w:r w:rsidRPr="005503BC">
              <w:rPr>
                <w:rFonts w:ascii="Cambria" w:hAnsi="Cambria"/>
                <w:sz w:val="18"/>
                <w:szCs w:val="18"/>
              </w:rPr>
              <w:t xml:space="preserve">ID2. La FAJ maintiendra la fixation des quotas </w:t>
            </w:r>
            <w:r w:rsidR="00465883">
              <w:rPr>
                <w:rFonts w:ascii="Cambria" w:hAnsi="Cambria"/>
                <w:sz w:val="18"/>
                <w:szCs w:val="18"/>
              </w:rPr>
              <w:t>par</w:t>
            </w:r>
            <w:r w:rsidRPr="005503BC">
              <w:rPr>
                <w:rFonts w:ascii="Cambria" w:hAnsi="Cambria"/>
                <w:sz w:val="18"/>
                <w:szCs w:val="18"/>
              </w:rPr>
              <w:t xml:space="preserve"> bloc, sous réserve du paragraphe 12 de la Rec. 24-10.</w:t>
            </w:r>
          </w:p>
          <w:p w14:paraId="276CD9B6" w14:textId="77777777" w:rsidR="00124CC2" w:rsidRPr="005503BC" w:rsidRDefault="00124CC2" w:rsidP="00924DE2">
            <w:pPr>
              <w:spacing w:after="0" w:line="240" w:lineRule="auto"/>
              <w:contextualSpacing/>
              <w:jc w:val="both"/>
              <w:rPr>
                <w:rFonts w:ascii="Cambria" w:hAnsi="Cambria"/>
                <w:sz w:val="18"/>
                <w:szCs w:val="18"/>
              </w:rPr>
            </w:pPr>
          </w:p>
          <w:p w14:paraId="357E2648" w14:textId="77777777" w:rsidR="00124CC2" w:rsidRPr="005503BC" w:rsidRDefault="00124CC2" w:rsidP="00924DE2">
            <w:pPr>
              <w:spacing w:after="0" w:line="240" w:lineRule="auto"/>
              <w:contextualSpacing/>
              <w:jc w:val="both"/>
              <w:rPr>
                <w:rFonts w:ascii="Cambria" w:hAnsi="Cambria"/>
                <w:sz w:val="18"/>
                <w:szCs w:val="18"/>
              </w:rPr>
            </w:pPr>
            <w:r w:rsidRPr="005503BC">
              <w:rPr>
                <w:rFonts w:ascii="Cambria" w:hAnsi="Cambria"/>
                <w:sz w:val="18"/>
                <w:szCs w:val="18"/>
              </w:rPr>
              <w:t>ID3. La FAJ continuera à demander aux pêcheurs japonais de soumettre les données en temps opportun.</w:t>
            </w:r>
          </w:p>
          <w:p w14:paraId="435F527C" w14:textId="77777777" w:rsidR="00124CC2" w:rsidRPr="005503BC" w:rsidRDefault="00124CC2" w:rsidP="00924DE2">
            <w:pPr>
              <w:spacing w:after="0" w:line="240" w:lineRule="auto"/>
              <w:contextualSpacing/>
              <w:jc w:val="both"/>
              <w:rPr>
                <w:rFonts w:ascii="Cambria" w:hAnsi="Cambria"/>
                <w:sz w:val="18"/>
                <w:szCs w:val="18"/>
              </w:rPr>
            </w:pPr>
          </w:p>
          <w:p w14:paraId="640E08C2" w14:textId="20C9F096" w:rsidR="00D4105A" w:rsidRPr="005503BC" w:rsidRDefault="00124CC2"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sz w:val="18"/>
                <w:szCs w:val="18"/>
              </w:rPr>
              <w:t>ID4. La FAJ continuera à surveiller et à contrôler tous les thoniers palangriers japonais opérant dans la zone de la Convention de l'ICCAT, en utilisant les mesures susmentionnées afin de garantir le respect des réglementations de l’ICCAT.</w:t>
            </w:r>
          </w:p>
        </w:tc>
      </w:tr>
      <w:tr w:rsidR="00140AA1" w:rsidRPr="005503BC" w14:paraId="1A711A6B" w14:textId="77777777" w:rsidTr="00140AA1">
        <w:trPr>
          <w:gridAfter w:val="1"/>
          <w:wAfter w:w="236" w:type="dxa"/>
          <w:trHeight w:val="450"/>
        </w:trPr>
        <w:tc>
          <w:tcPr>
            <w:tcW w:w="14029" w:type="dxa"/>
            <w:gridSpan w:val="11"/>
            <w:noWrap/>
            <w:vAlign w:val="center"/>
          </w:tcPr>
          <w:p w14:paraId="59793848" w14:textId="6ABE620D" w:rsidR="00140AA1" w:rsidRPr="005503BC" w:rsidRDefault="00140AA1"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color w:val="000000"/>
                <w:sz w:val="18"/>
                <w:szCs w:val="18"/>
              </w:rPr>
              <w:t>* Au 22 août 2025, 147 navires japonais, au total, son enregistrés auprès de l’ICCAT. Étant donné qu'il est possible que tous ces navires opèrent dans la zone relevant de l’ICCAT et qu'ils capturent de l'espadon en tant que prise accessoire dans les limites du TAC, le nombre de 147 et leur capacité totale sont mentionnés comme montants possibles maximum.</w:t>
            </w:r>
          </w:p>
        </w:tc>
      </w:tr>
      <w:tr w:rsidR="00D4105A" w:rsidRPr="005503BC" w14:paraId="636ECBE1" w14:textId="77777777" w:rsidTr="003471A4">
        <w:trPr>
          <w:gridAfter w:val="1"/>
          <w:wAfter w:w="236" w:type="dxa"/>
          <w:trHeight w:val="5060"/>
        </w:trPr>
        <w:tc>
          <w:tcPr>
            <w:tcW w:w="1164" w:type="dxa"/>
            <w:vMerge w:val="restart"/>
            <w:noWrap/>
            <w:vAlign w:val="center"/>
            <w:hideMark/>
          </w:tcPr>
          <w:p w14:paraId="285EA51F" w14:textId="2D7ED314" w:rsidR="00D4105A" w:rsidRPr="005503BC" w:rsidRDefault="00D4105A" w:rsidP="00924DE2">
            <w:pPr>
              <w:spacing w:after="0" w:line="240" w:lineRule="auto"/>
              <w:contextualSpacing/>
              <w:jc w:val="center"/>
              <w:rPr>
                <w:rFonts w:ascii="Cambria" w:eastAsia="Times New Roman" w:hAnsi="Cambria" w:cs="Calibri"/>
                <w:b/>
                <w:bCs/>
                <w:color w:val="000000"/>
                <w:sz w:val="18"/>
                <w:szCs w:val="18"/>
              </w:rPr>
            </w:pPr>
            <w:r w:rsidRPr="005503BC">
              <w:rPr>
                <w:rFonts w:ascii="Cambria" w:hAnsi="Cambria"/>
                <w:b/>
                <w:color w:val="000000"/>
                <w:sz w:val="18"/>
                <w:szCs w:val="18"/>
              </w:rPr>
              <w:t>Corée (Rép.)</w:t>
            </w:r>
          </w:p>
        </w:tc>
        <w:tc>
          <w:tcPr>
            <w:tcW w:w="914" w:type="dxa"/>
            <w:vMerge w:val="restart"/>
            <w:noWrap/>
            <w:vAlign w:val="center"/>
            <w:hideMark/>
          </w:tcPr>
          <w:p w14:paraId="51F160B4"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Non</w:t>
            </w:r>
          </w:p>
        </w:tc>
        <w:tc>
          <w:tcPr>
            <w:tcW w:w="1026" w:type="dxa"/>
            <w:vMerge w:val="restart"/>
            <w:noWrap/>
            <w:vAlign w:val="center"/>
            <w:hideMark/>
          </w:tcPr>
          <w:p w14:paraId="3417B1B2"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70</w:t>
            </w:r>
          </w:p>
        </w:tc>
        <w:tc>
          <w:tcPr>
            <w:tcW w:w="841" w:type="dxa"/>
            <w:vMerge w:val="restart"/>
            <w:noWrap/>
            <w:vAlign w:val="center"/>
            <w:hideMark/>
          </w:tcPr>
          <w:p w14:paraId="0C08C2CC" w14:textId="6EA54DAA" w:rsidR="00D4105A" w:rsidRPr="005503BC" w:rsidRDefault="00124CC2"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9</w:t>
            </w:r>
          </w:p>
        </w:tc>
        <w:tc>
          <w:tcPr>
            <w:tcW w:w="728" w:type="dxa"/>
            <w:vMerge w:val="restart"/>
            <w:noWrap/>
            <w:vAlign w:val="center"/>
            <w:hideMark/>
          </w:tcPr>
          <w:p w14:paraId="4725CA60"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tc>
        <w:tc>
          <w:tcPr>
            <w:tcW w:w="851" w:type="dxa"/>
            <w:vMerge w:val="restart"/>
            <w:noWrap/>
            <w:vAlign w:val="center"/>
            <w:hideMark/>
          </w:tcPr>
          <w:p w14:paraId="0FD19C8B" w14:textId="30F1DF0E" w:rsidR="00D4105A" w:rsidRPr="005503BC" w:rsidRDefault="00D4105A"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70</w:t>
            </w:r>
          </w:p>
        </w:tc>
        <w:tc>
          <w:tcPr>
            <w:tcW w:w="992" w:type="dxa"/>
            <w:vMerge w:val="restart"/>
            <w:noWrap/>
            <w:vAlign w:val="center"/>
            <w:hideMark/>
          </w:tcPr>
          <w:p w14:paraId="776F47E6" w14:textId="56A17355" w:rsidR="00D4105A" w:rsidRPr="005503BC" w:rsidRDefault="00124CC2"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9</w:t>
            </w:r>
          </w:p>
        </w:tc>
        <w:tc>
          <w:tcPr>
            <w:tcW w:w="739" w:type="dxa"/>
            <w:vMerge w:val="restart"/>
            <w:noWrap/>
            <w:vAlign w:val="center"/>
            <w:hideMark/>
          </w:tcPr>
          <w:p w14:paraId="032646BB"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tc>
        <w:tc>
          <w:tcPr>
            <w:tcW w:w="973" w:type="dxa"/>
            <w:vMerge w:val="restart"/>
            <w:noWrap/>
            <w:vAlign w:val="center"/>
            <w:hideMark/>
          </w:tcPr>
          <w:p w14:paraId="6E74374B" w14:textId="4A06EF2E" w:rsidR="00D4105A" w:rsidRPr="005503BC" w:rsidRDefault="00D4105A"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70</w:t>
            </w:r>
          </w:p>
        </w:tc>
        <w:tc>
          <w:tcPr>
            <w:tcW w:w="2966" w:type="dxa"/>
            <w:vMerge w:val="restart"/>
            <w:hideMark/>
          </w:tcPr>
          <w:p w14:paraId="3B435D4A" w14:textId="63BA7FC2" w:rsidR="00124CC2" w:rsidRPr="005503BC" w:rsidRDefault="00124CC2"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color w:val="000000"/>
                <w:sz w:val="18"/>
                <w:szCs w:val="18"/>
              </w:rPr>
              <w:t xml:space="preserve">Neuf palangriers coréens sont autorisés à cibler le thon obèse et capturent parfois de l’espadon du Nord en tant que prises accessoires. Conformément au paragraphe 1, de l’Article 13 de la Loi sur le développement </w:t>
            </w:r>
            <w:r w:rsidR="000C4331" w:rsidRPr="005503BC">
              <w:rPr>
                <w:rFonts w:ascii="Cambria" w:hAnsi="Cambria"/>
                <w:color w:val="000000"/>
                <w:sz w:val="18"/>
                <w:szCs w:val="18"/>
              </w:rPr>
              <w:t>des pêches</w:t>
            </w:r>
            <w:r w:rsidRPr="005503BC">
              <w:rPr>
                <w:rFonts w:ascii="Cambria" w:hAnsi="Cambria"/>
                <w:color w:val="000000"/>
                <w:sz w:val="18"/>
                <w:szCs w:val="18"/>
              </w:rPr>
              <w:t xml:space="preserve"> en eaux lointaines de la Corée, les navires de pêche en eaux lointaines coréens sont tenus de respecter toutes obligations pertinentes découlant des mesures de conservation et de gestion des Organisations Régionales de Gestion des Pêches. Si l’une des dispositions des mesures de conservation et de gestion n’est pas respectée, cela est considéré comme une « grave infraction » et est passible d’emprisonnement ne dépassant pas 5 ans ou d’une amende de 500 millions KRW au moins.</w:t>
            </w:r>
          </w:p>
          <w:p w14:paraId="7FED4136" w14:textId="77777777" w:rsidR="00124CC2" w:rsidRPr="005503BC" w:rsidRDefault="00124CC2" w:rsidP="00924DE2">
            <w:pPr>
              <w:spacing w:after="0" w:line="240" w:lineRule="auto"/>
              <w:contextualSpacing/>
              <w:jc w:val="both"/>
              <w:rPr>
                <w:rFonts w:ascii="Cambria" w:eastAsia="Times New Roman" w:hAnsi="Cambria" w:cs="Calibri"/>
                <w:color w:val="000000"/>
                <w:sz w:val="18"/>
                <w:szCs w:val="18"/>
              </w:rPr>
            </w:pPr>
          </w:p>
          <w:p w14:paraId="7B7A1D66" w14:textId="6BE40C73" w:rsidR="00D4105A" w:rsidRPr="005503BC" w:rsidRDefault="00124CC2"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color w:val="000000"/>
                <w:sz w:val="18"/>
                <w:szCs w:val="18"/>
              </w:rPr>
              <w:t xml:space="preserve">Conformément à la Recommandation 23-04, la Corée prend des mesures pour veiller au </w:t>
            </w:r>
            <w:r w:rsidRPr="005503BC">
              <w:rPr>
                <w:rFonts w:ascii="Cambria" w:hAnsi="Cambria"/>
                <w:color w:val="000000"/>
                <w:sz w:val="18"/>
                <w:szCs w:val="18"/>
              </w:rPr>
              <w:lastRenderedPageBreak/>
              <w:t>plein respect de sa limite de capture allouées de 50 tonnes ou de sa limite de capture annuelle ajustée, selon qu’il convient. En cas de surconsommation de la limite de capture annuelle, le montant de la surconsommation sera déduit de la limite de capture de l’année suivante. Conformément au paragraphe 5 de la Recommandation 01-22, les données de capture des navires sous pavillon coréen sont déclarées deux fois par an (1er avril et 15 septembre) au Secrétariat. Afin de protéger les petits espadons, les navires coréens sont tenus de remettre à l’eau tout espadon pesant moins de 25 kg en poids vif ou de 125 cm LJF. La Corée transmet les données scientifiques relatives à l’espadon de l’Atlantique Nord au SCRS conformément aux paragraphes 15 et 16 de la Recommandation 24-10, respectivement.</w:t>
            </w:r>
          </w:p>
        </w:tc>
        <w:tc>
          <w:tcPr>
            <w:tcW w:w="2835" w:type="dxa"/>
            <w:vMerge w:val="restart"/>
            <w:hideMark/>
          </w:tcPr>
          <w:p w14:paraId="3143E101" w14:textId="3CBD11D2" w:rsidR="00D4105A" w:rsidRPr="005503BC" w:rsidRDefault="00CB147B" w:rsidP="00924DE2">
            <w:pPr>
              <w:spacing w:after="0" w:line="240" w:lineRule="auto"/>
              <w:contextualSpacing/>
              <w:jc w:val="both"/>
              <w:rPr>
                <w:rFonts w:ascii="Cambria" w:eastAsia="Times New Roman" w:hAnsi="Cambria" w:cs="Calibri"/>
                <w:color w:val="000000"/>
                <w:sz w:val="18"/>
                <w:szCs w:val="18"/>
              </w:rPr>
            </w:pPr>
            <w:r w:rsidRPr="005503BC">
              <w:rPr>
                <w:rFonts w:ascii="Cambria" w:hAnsi="Cambria"/>
                <w:color w:val="000000"/>
                <w:sz w:val="18"/>
                <w:szCs w:val="18"/>
              </w:rPr>
              <w:lastRenderedPageBreak/>
              <w:t>La Corée n'a actuellement aucun projet de développement de la pêche d'espadon du Nord.</w:t>
            </w:r>
          </w:p>
          <w:p w14:paraId="16C6CB37" w14:textId="1BEA1E15" w:rsidR="00D4105A" w:rsidRPr="005503BC" w:rsidRDefault="00D4105A" w:rsidP="00924DE2">
            <w:pPr>
              <w:spacing w:after="0" w:line="240" w:lineRule="auto"/>
              <w:contextualSpacing/>
              <w:jc w:val="both"/>
              <w:rPr>
                <w:rFonts w:ascii="Cambria" w:eastAsia="Times New Roman" w:hAnsi="Cambria" w:cs="Calibri"/>
                <w:color w:val="000000"/>
                <w:sz w:val="18"/>
                <w:szCs w:val="18"/>
              </w:rPr>
            </w:pPr>
          </w:p>
        </w:tc>
      </w:tr>
      <w:tr w:rsidR="00D4105A" w:rsidRPr="005503BC" w14:paraId="238017D7" w14:textId="77777777" w:rsidTr="00924DE2">
        <w:trPr>
          <w:trHeight w:val="58"/>
        </w:trPr>
        <w:tc>
          <w:tcPr>
            <w:tcW w:w="1164" w:type="dxa"/>
            <w:vMerge/>
            <w:vAlign w:val="center"/>
            <w:hideMark/>
          </w:tcPr>
          <w:p w14:paraId="2C905AD8" w14:textId="77777777" w:rsidR="00D4105A" w:rsidRPr="005503BC" w:rsidRDefault="00D4105A" w:rsidP="00924DE2">
            <w:pPr>
              <w:spacing w:after="0" w:line="240" w:lineRule="auto"/>
              <w:contextualSpacing/>
              <w:jc w:val="center"/>
              <w:rPr>
                <w:rFonts w:ascii="Cambria" w:eastAsia="Times New Roman" w:hAnsi="Cambria" w:cs="Calibri"/>
                <w:b/>
                <w:bCs/>
                <w:color w:val="000000"/>
                <w:sz w:val="18"/>
                <w:szCs w:val="18"/>
              </w:rPr>
            </w:pPr>
          </w:p>
        </w:tc>
        <w:tc>
          <w:tcPr>
            <w:tcW w:w="914" w:type="dxa"/>
            <w:vMerge/>
            <w:vAlign w:val="center"/>
            <w:hideMark/>
          </w:tcPr>
          <w:p w14:paraId="38F9DDB8"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p>
        </w:tc>
        <w:tc>
          <w:tcPr>
            <w:tcW w:w="1026" w:type="dxa"/>
            <w:vMerge/>
            <w:vAlign w:val="center"/>
            <w:hideMark/>
          </w:tcPr>
          <w:p w14:paraId="64BBC019"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p>
        </w:tc>
        <w:tc>
          <w:tcPr>
            <w:tcW w:w="841" w:type="dxa"/>
            <w:vMerge/>
            <w:vAlign w:val="center"/>
            <w:hideMark/>
          </w:tcPr>
          <w:p w14:paraId="11C55A46"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p>
        </w:tc>
        <w:tc>
          <w:tcPr>
            <w:tcW w:w="728" w:type="dxa"/>
            <w:vMerge/>
            <w:vAlign w:val="center"/>
            <w:hideMark/>
          </w:tcPr>
          <w:p w14:paraId="5B24E514"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p>
        </w:tc>
        <w:tc>
          <w:tcPr>
            <w:tcW w:w="851" w:type="dxa"/>
            <w:vMerge/>
            <w:vAlign w:val="center"/>
            <w:hideMark/>
          </w:tcPr>
          <w:p w14:paraId="31750C34"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p>
        </w:tc>
        <w:tc>
          <w:tcPr>
            <w:tcW w:w="992" w:type="dxa"/>
            <w:vMerge/>
            <w:vAlign w:val="center"/>
            <w:hideMark/>
          </w:tcPr>
          <w:p w14:paraId="7261FBDB"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p>
        </w:tc>
        <w:tc>
          <w:tcPr>
            <w:tcW w:w="739" w:type="dxa"/>
            <w:vMerge/>
            <w:vAlign w:val="center"/>
            <w:hideMark/>
          </w:tcPr>
          <w:p w14:paraId="34080003"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p>
        </w:tc>
        <w:tc>
          <w:tcPr>
            <w:tcW w:w="973" w:type="dxa"/>
            <w:vMerge/>
            <w:vAlign w:val="center"/>
            <w:hideMark/>
          </w:tcPr>
          <w:p w14:paraId="31F54BE2" w14:textId="77777777" w:rsidR="00D4105A" w:rsidRPr="005503BC" w:rsidRDefault="00D4105A" w:rsidP="00924DE2">
            <w:pPr>
              <w:spacing w:after="0" w:line="240" w:lineRule="auto"/>
              <w:contextualSpacing/>
              <w:jc w:val="center"/>
              <w:rPr>
                <w:rFonts w:ascii="Cambria" w:eastAsia="Times New Roman" w:hAnsi="Cambria" w:cs="Calibri"/>
                <w:color w:val="000000"/>
                <w:sz w:val="18"/>
                <w:szCs w:val="18"/>
              </w:rPr>
            </w:pPr>
          </w:p>
        </w:tc>
        <w:tc>
          <w:tcPr>
            <w:tcW w:w="2966" w:type="dxa"/>
            <w:vMerge/>
            <w:hideMark/>
          </w:tcPr>
          <w:p w14:paraId="2A6CD9F2" w14:textId="77777777" w:rsidR="00D4105A" w:rsidRPr="005503BC" w:rsidRDefault="00D4105A" w:rsidP="00924DE2">
            <w:pPr>
              <w:spacing w:after="0" w:line="240" w:lineRule="auto"/>
              <w:contextualSpacing/>
              <w:jc w:val="both"/>
              <w:rPr>
                <w:rFonts w:ascii="Cambria" w:eastAsia="Times New Roman" w:hAnsi="Cambria" w:cs="Calibri"/>
                <w:color w:val="000000"/>
                <w:sz w:val="18"/>
                <w:szCs w:val="18"/>
              </w:rPr>
            </w:pPr>
          </w:p>
        </w:tc>
        <w:tc>
          <w:tcPr>
            <w:tcW w:w="2835" w:type="dxa"/>
            <w:vMerge/>
            <w:tcBorders>
              <w:bottom w:val="single" w:sz="4" w:space="0" w:color="auto"/>
              <w:right w:val="single" w:sz="4" w:space="0" w:color="auto"/>
            </w:tcBorders>
            <w:hideMark/>
          </w:tcPr>
          <w:p w14:paraId="2CF1DF46" w14:textId="77777777" w:rsidR="00D4105A" w:rsidRPr="005503BC" w:rsidRDefault="00D4105A" w:rsidP="00924DE2">
            <w:pPr>
              <w:spacing w:after="0" w:line="240" w:lineRule="auto"/>
              <w:contextualSpacing/>
              <w:jc w:val="both"/>
              <w:rPr>
                <w:rFonts w:ascii="Cambria" w:eastAsia="Times New Roman" w:hAnsi="Cambria" w:cs="Calibri"/>
                <w:color w:val="000000"/>
                <w:sz w:val="18"/>
                <w:szCs w:val="18"/>
              </w:rPr>
            </w:pPr>
          </w:p>
        </w:tc>
        <w:tc>
          <w:tcPr>
            <w:tcW w:w="236" w:type="dxa"/>
            <w:tcBorders>
              <w:top w:val="nil"/>
              <w:left w:val="single" w:sz="4" w:space="0" w:color="auto"/>
              <w:bottom w:val="nil"/>
              <w:right w:val="nil"/>
            </w:tcBorders>
            <w:noWrap/>
            <w:vAlign w:val="bottom"/>
            <w:hideMark/>
          </w:tcPr>
          <w:p w14:paraId="560F4969" w14:textId="77777777" w:rsidR="00D4105A" w:rsidRPr="005503BC" w:rsidRDefault="00D4105A" w:rsidP="00924DE2">
            <w:pPr>
              <w:spacing w:after="0" w:line="240" w:lineRule="auto"/>
              <w:contextualSpacing/>
              <w:jc w:val="both"/>
              <w:rPr>
                <w:rFonts w:ascii="Cambria" w:eastAsia="Times New Roman" w:hAnsi="Cambria" w:cs="Calibri"/>
                <w:color w:val="000000"/>
                <w:sz w:val="18"/>
                <w:szCs w:val="18"/>
              </w:rPr>
            </w:pPr>
          </w:p>
        </w:tc>
      </w:tr>
      <w:tr w:rsidR="00F8000D" w:rsidRPr="005503BC" w14:paraId="54865F42" w14:textId="77777777" w:rsidTr="00140AA1">
        <w:tc>
          <w:tcPr>
            <w:tcW w:w="1164" w:type="dxa"/>
            <w:noWrap/>
            <w:vAlign w:val="center"/>
          </w:tcPr>
          <w:p w14:paraId="3E194EA4" w14:textId="649056D6" w:rsidR="00F8000D" w:rsidRPr="005503BC" w:rsidRDefault="00F8000D" w:rsidP="00924DE2">
            <w:pPr>
              <w:spacing w:after="0" w:line="240" w:lineRule="auto"/>
              <w:contextualSpacing/>
              <w:jc w:val="center"/>
              <w:rPr>
                <w:rFonts w:ascii="Cambria" w:eastAsia="Times New Roman" w:hAnsi="Cambria" w:cs="Calibri"/>
                <w:b/>
                <w:bCs/>
                <w:color w:val="000000"/>
                <w:sz w:val="18"/>
                <w:szCs w:val="18"/>
              </w:rPr>
            </w:pPr>
            <w:r w:rsidRPr="005503BC">
              <w:rPr>
                <w:rFonts w:ascii="Cambria" w:hAnsi="Cambria"/>
                <w:b/>
                <w:color w:val="000000"/>
                <w:sz w:val="18"/>
                <w:szCs w:val="18"/>
              </w:rPr>
              <w:t>Liberia</w:t>
            </w:r>
          </w:p>
        </w:tc>
        <w:tc>
          <w:tcPr>
            <w:tcW w:w="914" w:type="dxa"/>
            <w:noWrap/>
            <w:vAlign w:val="center"/>
          </w:tcPr>
          <w:p w14:paraId="6BEAC9C9" w14:textId="0221CD44"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Oui</w:t>
            </w:r>
          </w:p>
        </w:tc>
        <w:tc>
          <w:tcPr>
            <w:tcW w:w="1026" w:type="dxa"/>
            <w:noWrap/>
            <w:vAlign w:val="center"/>
          </w:tcPr>
          <w:p w14:paraId="294C068D" w14:textId="62D16A6A"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Non applicable</w:t>
            </w:r>
          </w:p>
        </w:tc>
        <w:tc>
          <w:tcPr>
            <w:tcW w:w="841" w:type="dxa"/>
            <w:noWrap/>
            <w:vAlign w:val="center"/>
          </w:tcPr>
          <w:p w14:paraId="39AD5831" w14:textId="7777777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620</w:t>
            </w:r>
          </w:p>
          <w:p w14:paraId="64A423AA" w14:textId="705B397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10</w:t>
            </w:r>
          </w:p>
        </w:tc>
        <w:tc>
          <w:tcPr>
            <w:tcW w:w="728" w:type="dxa"/>
            <w:noWrap/>
            <w:vAlign w:val="center"/>
          </w:tcPr>
          <w:p w14:paraId="5E0012F3" w14:textId="7777777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GN</w:t>
            </w:r>
          </w:p>
          <w:p w14:paraId="07F925CD" w14:textId="0F0FAB7B"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OTH</w:t>
            </w:r>
          </w:p>
        </w:tc>
        <w:tc>
          <w:tcPr>
            <w:tcW w:w="851" w:type="dxa"/>
            <w:noWrap/>
            <w:vAlign w:val="center"/>
          </w:tcPr>
          <w:p w14:paraId="7C2BD24E" w14:textId="7777777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p>
        </w:tc>
        <w:tc>
          <w:tcPr>
            <w:tcW w:w="992" w:type="dxa"/>
            <w:noWrap/>
            <w:vAlign w:val="center"/>
          </w:tcPr>
          <w:p w14:paraId="0E6EF8A7" w14:textId="7777777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620</w:t>
            </w:r>
          </w:p>
          <w:p w14:paraId="382FFA50" w14:textId="5245D5D0"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10</w:t>
            </w:r>
          </w:p>
        </w:tc>
        <w:tc>
          <w:tcPr>
            <w:tcW w:w="739" w:type="dxa"/>
            <w:noWrap/>
            <w:vAlign w:val="center"/>
          </w:tcPr>
          <w:p w14:paraId="5C2880C6" w14:textId="7777777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GN</w:t>
            </w:r>
          </w:p>
          <w:p w14:paraId="23A2B232" w14:textId="18E12192"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OTH</w:t>
            </w:r>
          </w:p>
        </w:tc>
        <w:tc>
          <w:tcPr>
            <w:tcW w:w="973" w:type="dxa"/>
            <w:noWrap/>
            <w:vAlign w:val="center"/>
          </w:tcPr>
          <w:p w14:paraId="339AE78E" w14:textId="7777777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p>
        </w:tc>
        <w:tc>
          <w:tcPr>
            <w:tcW w:w="2966" w:type="dxa"/>
          </w:tcPr>
          <w:p w14:paraId="2C5FBACB" w14:textId="142D12B3" w:rsidR="00F8000D" w:rsidRPr="005503BC" w:rsidRDefault="00F8000D" w:rsidP="00924DE2">
            <w:pPr>
              <w:spacing w:after="0" w:line="240" w:lineRule="auto"/>
              <w:contextualSpacing/>
              <w:jc w:val="both"/>
              <w:rPr>
                <w:rFonts w:ascii="Cambria" w:hAnsi="Cambria"/>
                <w:sz w:val="18"/>
                <w:szCs w:val="18"/>
              </w:rPr>
            </w:pPr>
            <w:r w:rsidRPr="005503BC">
              <w:rPr>
                <w:rFonts w:ascii="Cambria" w:hAnsi="Cambria"/>
                <w:sz w:val="18"/>
                <w:szCs w:val="18"/>
              </w:rPr>
              <w:t xml:space="preserve">L'espadon de l'Atlantique Nord (SWO-N) est actuellement pêché au Liberia exclusivement comme prise accessoire par environ 620 pirogues artisanales. À l'heure actuelle, il n'est pas prévu d'augmenter le nombre de pirogues utilisées pour la pêche. Le gouvernement du Libéria, par l'intermédiaire de l'Autorité nationale des pêches et de l'aquaculture (NaFAA), s'engage à maintenir des niveaux durables d'effort de pêche dans le secteur artisanal. Le Libéria gère un </w:t>
            </w:r>
            <w:r w:rsidRPr="005503BC">
              <w:rPr>
                <w:rFonts w:ascii="Cambria" w:hAnsi="Cambria"/>
                <w:sz w:val="18"/>
                <w:szCs w:val="18"/>
              </w:rPr>
              <w:lastRenderedPageBreak/>
              <w:t xml:space="preserve">programme de collecte de données sur la pêche artisanale, qui emploie 32 enquêteurs spécialisés dans le domaine de la pêche, répartis sur 24 sites de débarquement couvrant les neuf comtés côtiers. Ces enquêteurs collectent régulièrement des données sur les captures, l'effort de pêche et la composition par taille des espèces cibles et des prises accessoires, y compris les thonidés et les espèces apparentées telles que l'espadon du Nord. Outre la collecte de données, les inspecteurs des pêches procèdent régulièrement à des inspections des engins de pêche afin de s'assurer du respect des réglementations nationales et internationales, en particulier celles relatives au type d'engins et aux tailles minimales. La NaFAA a également engagé un dialogue continu avec les pêcheurs artisanaux, en mettant l'accent sur la sensibilisation aux pratiques de pêche responsables, au respect de la réglementation et à l'identification des espèces. En 2024, le Libéria a demandé un quota de 15 tonnes d’espadon du Nord. Bien que cette espèce continue d'être débarquée en tant que prise accessoire, elle représente à la fois une source précieuse de protéines et un produit d'importance économique pour les communautés côtières. En 2024, les captures totales déclarées s'élevaient à 2,02 tonnes. </w:t>
            </w:r>
          </w:p>
          <w:p w14:paraId="5C3E3048" w14:textId="77777777" w:rsidR="006A642E" w:rsidRPr="005503BC" w:rsidRDefault="006A642E" w:rsidP="00924DE2">
            <w:pPr>
              <w:spacing w:after="0" w:line="240" w:lineRule="auto"/>
              <w:contextualSpacing/>
              <w:jc w:val="both"/>
              <w:rPr>
                <w:rFonts w:ascii="Cambria" w:hAnsi="Cambria"/>
                <w:sz w:val="18"/>
                <w:szCs w:val="18"/>
              </w:rPr>
            </w:pPr>
          </w:p>
          <w:p w14:paraId="58B1FFB0" w14:textId="67241C88" w:rsidR="00140AA1" w:rsidRPr="005503BC" w:rsidRDefault="00F8000D" w:rsidP="00924DE2">
            <w:pPr>
              <w:spacing w:after="0" w:line="240" w:lineRule="auto"/>
              <w:contextualSpacing/>
              <w:jc w:val="both"/>
              <w:rPr>
                <w:rFonts w:ascii="Cambria" w:hAnsi="Cambria"/>
                <w:sz w:val="18"/>
                <w:szCs w:val="18"/>
              </w:rPr>
            </w:pPr>
            <w:r w:rsidRPr="005503BC">
              <w:rPr>
                <w:rFonts w:ascii="Cambria" w:hAnsi="Cambria"/>
                <w:sz w:val="18"/>
                <w:szCs w:val="18"/>
              </w:rPr>
              <w:t xml:space="preserve">Les 620 pirogues utilisent principalement des filets maillants </w:t>
            </w:r>
            <w:r w:rsidRPr="005503BC">
              <w:rPr>
                <w:rFonts w:ascii="Cambria" w:hAnsi="Cambria"/>
                <w:sz w:val="18"/>
                <w:szCs w:val="18"/>
              </w:rPr>
              <w:lastRenderedPageBreak/>
              <w:t xml:space="preserve">(GN), qui sont le type d'engin associé aux prises accessoires d'espadons. La gestion de cette pêcherie est régie par un ensemble de cadres juridiques internationaux et nationaux, notamment les </w:t>
            </w:r>
            <w:r w:rsidR="00BD2BFC" w:rsidRPr="005503BC">
              <w:rPr>
                <w:rFonts w:ascii="Cambria" w:hAnsi="Cambria"/>
                <w:sz w:val="18"/>
                <w:szCs w:val="18"/>
              </w:rPr>
              <w:t xml:space="preserve">Recommandations </w:t>
            </w:r>
            <w:r w:rsidRPr="005503BC">
              <w:rPr>
                <w:rFonts w:ascii="Cambria" w:hAnsi="Cambria"/>
                <w:sz w:val="18"/>
                <w:szCs w:val="18"/>
              </w:rPr>
              <w:t>et mesures de conservation pertinentes de la Commission internationale pour la conservation des thonidés de l'Atlantique (ICCAT) et la loi libérienne de 2019 sur la gestion et le développement de la pêche et de l'aquaculture.</w:t>
            </w:r>
          </w:p>
        </w:tc>
        <w:tc>
          <w:tcPr>
            <w:tcW w:w="2835" w:type="dxa"/>
            <w:tcBorders>
              <w:bottom w:val="single" w:sz="4" w:space="0" w:color="auto"/>
              <w:right w:val="single" w:sz="4" w:space="0" w:color="auto"/>
            </w:tcBorders>
            <w:noWrap/>
          </w:tcPr>
          <w:p w14:paraId="3FAAD941" w14:textId="7EEC0F13" w:rsidR="00F8000D" w:rsidRPr="005503BC" w:rsidRDefault="00F8000D" w:rsidP="00924DE2">
            <w:pPr>
              <w:spacing w:after="0" w:line="240" w:lineRule="auto"/>
              <w:contextualSpacing/>
              <w:jc w:val="both"/>
              <w:rPr>
                <w:rFonts w:ascii="Cambria" w:hAnsi="Cambria" w:cs="Calibri"/>
                <w:color w:val="000000"/>
                <w:sz w:val="18"/>
                <w:szCs w:val="18"/>
              </w:rPr>
            </w:pPr>
            <w:r w:rsidRPr="005503BC">
              <w:rPr>
                <w:rFonts w:ascii="Cambria" w:hAnsi="Cambria"/>
                <w:color w:val="000000"/>
                <w:sz w:val="18"/>
                <w:szCs w:val="18"/>
              </w:rPr>
              <w:lastRenderedPageBreak/>
              <w:t xml:space="preserve">Le Libéria élabore actuellement des mesures pour remédier à sa </w:t>
            </w:r>
            <w:r w:rsidR="007470BF">
              <w:rPr>
                <w:rFonts w:ascii="Cambria" w:hAnsi="Cambria"/>
                <w:color w:val="000000"/>
                <w:sz w:val="18"/>
                <w:szCs w:val="18"/>
              </w:rPr>
              <w:t>surconsommation</w:t>
            </w:r>
            <w:r w:rsidRPr="005503BC">
              <w:rPr>
                <w:rFonts w:ascii="Cambria" w:hAnsi="Cambria"/>
                <w:color w:val="000000"/>
                <w:sz w:val="18"/>
                <w:szCs w:val="18"/>
              </w:rPr>
              <w:t xml:space="preserve"> de 115,28 tonnes de SWO-N, conformément aux exigences en matière d’application de l’ICCAT. Une étape clé pour lutter contre cette surconsommation consiste à améliorer la capacité d'identification des espèces. À cette fin, les enquêteurs spécialisés dans le domaine de la pêche ont suivi une formation spécialisée afin d'identifier correctement l’espadon du Nord </w:t>
            </w:r>
            <w:r w:rsidRPr="005503BC">
              <w:rPr>
                <w:rFonts w:ascii="Cambria" w:hAnsi="Cambria"/>
                <w:color w:val="000000"/>
                <w:sz w:val="18"/>
                <w:szCs w:val="18"/>
              </w:rPr>
              <w:lastRenderedPageBreak/>
              <w:t>et de le distinguer des autres espèces de thonidés et espèces apparentées, réduisant ainsi au minimum le risque d'erreurs d'identification dans les registres des captures. Un cas notable s'est produit en 2017, lorsque le Libéria a déclaré une capture de 94,69 tonnes, qui s'est avérée par la suite être en grande partie le résultat d'une erreur d'identification des espèces. Ce problème a mis en évidence la nécessité de renforcer la formation et le contrôle qualité dans les systèmes de déclaration des données, ce à quoi la NaFAA s'est attelée depuis. À l'avenir, le Libéria reste déterminé à améliorer son cadre de gouvernance des pêches grâce aux mesures suivantes</w:t>
            </w:r>
            <w:r w:rsidR="00963502">
              <w:rPr>
                <w:rFonts w:ascii="Cambria" w:hAnsi="Cambria"/>
                <w:color w:val="000000"/>
                <w:sz w:val="18"/>
                <w:szCs w:val="18"/>
              </w:rPr>
              <w:t xml:space="preserve"> : </w:t>
            </w:r>
            <w:r w:rsidRPr="005503BC">
              <w:rPr>
                <w:rFonts w:ascii="Cambria" w:hAnsi="Cambria"/>
                <w:color w:val="000000"/>
                <w:sz w:val="18"/>
                <w:szCs w:val="18"/>
              </w:rPr>
              <w:t xml:space="preserve">Formation continue et renforcement des capacités des collecteurs de données et des inspecteurs dans le domaine de la pêche ; renforcement des systèmes de suivi, de contrôle et de surveillance (MCS) afin de garantir le respect des obligations nationales et internationales ; collaboration accrue avec les parties prenantes, en particulier dans le secteur artisanal, afin de promouvoir des pratiques de pêche durables ; élaboration de plans de gestion spécifiques à chaque espèce à mesure que la qualité des données s'améliore et que des évaluations plus précises des stocks deviennent possibles. </w:t>
            </w:r>
            <w:r w:rsidRPr="005503BC">
              <w:rPr>
                <w:rFonts w:ascii="Cambria" w:hAnsi="Cambria"/>
                <w:color w:val="000000"/>
                <w:sz w:val="18"/>
                <w:szCs w:val="18"/>
              </w:rPr>
              <w:lastRenderedPageBreak/>
              <w:t>Ces efforts reflètent l'engagement plus large du Libéria en faveur de la gestion durable des espèces hautement migratoires, conformément aux meilleures données scientifiques disponibles et aux meilleures pratiques internationales.</w:t>
            </w:r>
          </w:p>
        </w:tc>
        <w:tc>
          <w:tcPr>
            <w:tcW w:w="236" w:type="dxa"/>
            <w:tcBorders>
              <w:top w:val="nil"/>
              <w:left w:val="single" w:sz="4" w:space="0" w:color="auto"/>
              <w:bottom w:val="nil"/>
              <w:right w:val="nil"/>
            </w:tcBorders>
            <w:vAlign w:val="center"/>
          </w:tcPr>
          <w:p w14:paraId="185D760C" w14:textId="77777777" w:rsidR="00F8000D" w:rsidRPr="005503BC" w:rsidRDefault="00F8000D" w:rsidP="00924DE2">
            <w:pPr>
              <w:spacing w:after="0" w:line="240" w:lineRule="auto"/>
              <w:contextualSpacing/>
              <w:rPr>
                <w:rFonts w:ascii="Cambria" w:eastAsia="Times New Roman" w:hAnsi="Cambria" w:cs="Times New Roman"/>
                <w:sz w:val="18"/>
                <w:szCs w:val="18"/>
              </w:rPr>
            </w:pPr>
          </w:p>
        </w:tc>
      </w:tr>
      <w:tr w:rsidR="00F8000D" w:rsidRPr="005503BC" w14:paraId="1E5106EC" w14:textId="77777777" w:rsidTr="00140AA1">
        <w:tc>
          <w:tcPr>
            <w:tcW w:w="1164" w:type="dxa"/>
            <w:noWrap/>
            <w:vAlign w:val="center"/>
            <w:hideMark/>
          </w:tcPr>
          <w:p w14:paraId="041F4CA8" w14:textId="77777777" w:rsidR="00F8000D" w:rsidRPr="005503BC" w:rsidRDefault="00F8000D" w:rsidP="00924DE2">
            <w:pPr>
              <w:spacing w:after="0" w:line="240" w:lineRule="auto"/>
              <w:contextualSpacing/>
              <w:jc w:val="center"/>
              <w:rPr>
                <w:rFonts w:ascii="Cambria" w:eastAsia="Times New Roman" w:hAnsi="Cambria" w:cs="Calibri"/>
                <w:b/>
                <w:bCs/>
                <w:color w:val="000000"/>
                <w:sz w:val="18"/>
                <w:szCs w:val="18"/>
              </w:rPr>
            </w:pPr>
            <w:r w:rsidRPr="005503BC">
              <w:rPr>
                <w:rFonts w:ascii="Cambria" w:hAnsi="Cambria"/>
                <w:b/>
                <w:color w:val="000000"/>
                <w:sz w:val="18"/>
                <w:szCs w:val="18"/>
              </w:rPr>
              <w:lastRenderedPageBreak/>
              <w:t>Mexique</w:t>
            </w:r>
          </w:p>
        </w:tc>
        <w:tc>
          <w:tcPr>
            <w:tcW w:w="914" w:type="dxa"/>
            <w:noWrap/>
            <w:vAlign w:val="center"/>
            <w:hideMark/>
          </w:tcPr>
          <w:p w14:paraId="3FCC6953" w14:textId="74ED6CD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Oui</w:t>
            </w:r>
          </w:p>
        </w:tc>
        <w:tc>
          <w:tcPr>
            <w:tcW w:w="1026" w:type="dxa"/>
            <w:noWrap/>
            <w:vAlign w:val="center"/>
            <w:hideMark/>
          </w:tcPr>
          <w:p w14:paraId="1FF17A02" w14:textId="7777777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200</w:t>
            </w:r>
          </w:p>
        </w:tc>
        <w:tc>
          <w:tcPr>
            <w:tcW w:w="841" w:type="dxa"/>
            <w:noWrap/>
            <w:vAlign w:val="center"/>
            <w:hideMark/>
          </w:tcPr>
          <w:p w14:paraId="0DE264F0" w14:textId="7777777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4</w:t>
            </w:r>
          </w:p>
        </w:tc>
        <w:tc>
          <w:tcPr>
            <w:tcW w:w="728" w:type="dxa"/>
            <w:noWrap/>
            <w:vAlign w:val="center"/>
            <w:hideMark/>
          </w:tcPr>
          <w:p w14:paraId="4147063B" w14:textId="0B849686"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tc>
        <w:tc>
          <w:tcPr>
            <w:tcW w:w="851" w:type="dxa"/>
            <w:noWrap/>
            <w:vAlign w:val="center"/>
            <w:hideMark/>
          </w:tcPr>
          <w:p w14:paraId="5CC6E45E" w14:textId="0712A26A"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26</w:t>
            </w:r>
          </w:p>
        </w:tc>
        <w:tc>
          <w:tcPr>
            <w:tcW w:w="992" w:type="dxa"/>
            <w:noWrap/>
            <w:vAlign w:val="center"/>
            <w:hideMark/>
          </w:tcPr>
          <w:p w14:paraId="5533C94E" w14:textId="438E1FFA"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0</w:t>
            </w:r>
          </w:p>
        </w:tc>
        <w:tc>
          <w:tcPr>
            <w:tcW w:w="739" w:type="dxa"/>
            <w:noWrap/>
            <w:vAlign w:val="center"/>
            <w:hideMark/>
          </w:tcPr>
          <w:p w14:paraId="3EBEA966" w14:textId="70ED62CB" w:rsidR="00F8000D" w:rsidRPr="005503BC" w:rsidRDefault="00F8000D" w:rsidP="00924DE2">
            <w:pPr>
              <w:spacing w:after="0" w:line="240" w:lineRule="auto"/>
              <w:contextualSpacing/>
              <w:jc w:val="center"/>
              <w:rPr>
                <w:rFonts w:ascii="Cambria" w:eastAsia="Times New Roman" w:hAnsi="Cambria" w:cs="Calibri"/>
                <w:color w:val="000000"/>
                <w:sz w:val="18"/>
                <w:szCs w:val="18"/>
              </w:rPr>
            </w:pPr>
          </w:p>
        </w:tc>
        <w:tc>
          <w:tcPr>
            <w:tcW w:w="973" w:type="dxa"/>
            <w:noWrap/>
            <w:vAlign w:val="center"/>
            <w:hideMark/>
          </w:tcPr>
          <w:p w14:paraId="337595C2" w14:textId="3281CF97" w:rsidR="00F8000D" w:rsidRPr="005503BC" w:rsidRDefault="00F8000D"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0</w:t>
            </w:r>
          </w:p>
        </w:tc>
        <w:tc>
          <w:tcPr>
            <w:tcW w:w="2966" w:type="dxa"/>
            <w:hideMark/>
          </w:tcPr>
          <w:p w14:paraId="19C7ED61" w14:textId="410B4B95" w:rsidR="00925AB9" w:rsidRPr="005503BC" w:rsidRDefault="00925AB9" w:rsidP="00924DE2">
            <w:pPr>
              <w:spacing w:after="0" w:line="240" w:lineRule="auto"/>
              <w:contextualSpacing/>
              <w:jc w:val="both"/>
              <w:rPr>
                <w:rFonts w:ascii="Cambria" w:hAnsi="Cambria"/>
                <w:sz w:val="18"/>
                <w:szCs w:val="18"/>
              </w:rPr>
            </w:pPr>
            <w:r w:rsidRPr="005503BC">
              <w:rPr>
                <w:rFonts w:ascii="Cambria" w:hAnsi="Cambria"/>
                <w:sz w:val="18"/>
                <w:szCs w:val="18"/>
              </w:rPr>
              <w:t>ACCORD établissant la taille minimale de capture commerciale de l'espadon (</w:t>
            </w:r>
            <w:r w:rsidRPr="00DB62DA">
              <w:rPr>
                <w:rFonts w:ascii="Cambria" w:hAnsi="Cambria"/>
                <w:i/>
                <w:iCs/>
                <w:sz w:val="18"/>
                <w:szCs w:val="18"/>
              </w:rPr>
              <w:t>Xiphias gladius</w:t>
            </w:r>
            <w:r w:rsidRPr="005503BC">
              <w:rPr>
                <w:rFonts w:ascii="Cambria" w:hAnsi="Cambria"/>
                <w:sz w:val="18"/>
                <w:szCs w:val="18"/>
              </w:rPr>
              <w:t>) dans les eaux marines relevant de la juridiction fédérale dans le golfe du Mexique et la mer des Caraïbes. Publié au Journal officiel de la Fédération (DOF) le 23 mai 2019.</w:t>
            </w:r>
          </w:p>
          <w:p w14:paraId="25EA6933" w14:textId="77777777" w:rsidR="00925AB9" w:rsidRPr="005503BC" w:rsidRDefault="00925AB9" w:rsidP="00924DE2">
            <w:pPr>
              <w:spacing w:after="0" w:line="240" w:lineRule="auto"/>
              <w:contextualSpacing/>
              <w:jc w:val="both"/>
              <w:rPr>
                <w:rFonts w:ascii="Cambria" w:hAnsi="Cambria"/>
                <w:sz w:val="18"/>
                <w:szCs w:val="18"/>
              </w:rPr>
            </w:pPr>
          </w:p>
          <w:p w14:paraId="2CD27D87" w14:textId="77777777" w:rsidR="00925AB9" w:rsidRPr="005503BC" w:rsidRDefault="00925AB9" w:rsidP="00924DE2">
            <w:pPr>
              <w:spacing w:after="0" w:line="240" w:lineRule="auto"/>
              <w:contextualSpacing/>
              <w:jc w:val="both"/>
              <w:rPr>
                <w:rFonts w:ascii="Cambria" w:hAnsi="Cambria"/>
                <w:sz w:val="18"/>
                <w:szCs w:val="18"/>
              </w:rPr>
            </w:pPr>
            <w:r w:rsidRPr="005503BC">
              <w:rPr>
                <w:rFonts w:ascii="Cambria" w:hAnsi="Cambria"/>
                <w:sz w:val="18"/>
                <w:szCs w:val="18"/>
              </w:rPr>
              <w:t>Norme officielle mexicaine NOM-023-SAG/PESC-2014, qui régit l'utilisation des espèces de thonidés au moyen de palangriers dans les eaux relevant de la juridiction fédérale du golfe du Mexique et de la mer des Caraïbes. Publié au Journal officiel de la Fédération (DOF) le 16 avril 2014.</w:t>
            </w:r>
          </w:p>
          <w:p w14:paraId="22268022" w14:textId="77777777" w:rsidR="00925AB9" w:rsidRPr="005503BC" w:rsidRDefault="00925AB9" w:rsidP="00924DE2">
            <w:pPr>
              <w:spacing w:after="0" w:line="240" w:lineRule="auto"/>
              <w:contextualSpacing/>
              <w:jc w:val="both"/>
              <w:rPr>
                <w:rFonts w:ascii="Cambria" w:hAnsi="Cambria"/>
                <w:sz w:val="18"/>
                <w:szCs w:val="18"/>
              </w:rPr>
            </w:pPr>
          </w:p>
          <w:p w14:paraId="0A1B57D8" w14:textId="77777777" w:rsidR="00096231" w:rsidRDefault="00925AB9" w:rsidP="00924DE2">
            <w:pPr>
              <w:spacing w:after="0" w:line="240" w:lineRule="auto"/>
              <w:contextualSpacing/>
              <w:jc w:val="both"/>
              <w:rPr>
                <w:rFonts w:ascii="Cambria" w:hAnsi="Cambria"/>
                <w:sz w:val="18"/>
                <w:szCs w:val="18"/>
              </w:rPr>
            </w:pPr>
            <w:r w:rsidRPr="005503BC">
              <w:rPr>
                <w:rFonts w:ascii="Cambria" w:hAnsi="Cambria"/>
                <w:sz w:val="18"/>
                <w:szCs w:val="18"/>
              </w:rPr>
              <w:t>Norme officielle mexicaine NOM-017-PESC-1994, réglementant les activités de pêche sportive et récréative dans les eaux sous juridiction fédérale des États-Unis du Mexique.</w:t>
            </w:r>
          </w:p>
          <w:p w14:paraId="40FEF5F0" w14:textId="016020AF" w:rsidR="00963502" w:rsidRPr="005503BC" w:rsidRDefault="00963502" w:rsidP="00924DE2">
            <w:pPr>
              <w:spacing w:after="0" w:line="240" w:lineRule="auto"/>
              <w:contextualSpacing/>
              <w:jc w:val="both"/>
              <w:rPr>
                <w:rFonts w:ascii="Cambria" w:eastAsia="Times New Roman" w:hAnsi="Cambria" w:cs="Calibri"/>
                <w:color w:val="000000"/>
                <w:sz w:val="18"/>
                <w:szCs w:val="18"/>
              </w:rPr>
            </w:pPr>
          </w:p>
        </w:tc>
        <w:tc>
          <w:tcPr>
            <w:tcW w:w="2835" w:type="dxa"/>
            <w:tcBorders>
              <w:bottom w:val="single" w:sz="4" w:space="0" w:color="auto"/>
              <w:right w:val="single" w:sz="4" w:space="0" w:color="auto"/>
            </w:tcBorders>
            <w:noWrap/>
            <w:hideMark/>
          </w:tcPr>
          <w:p w14:paraId="102DD673" w14:textId="17987A07" w:rsidR="00F8000D" w:rsidRPr="005503BC" w:rsidRDefault="00F8000D" w:rsidP="00924DE2">
            <w:pPr>
              <w:spacing w:after="0" w:line="240" w:lineRule="auto"/>
              <w:contextualSpacing/>
              <w:jc w:val="both"/>
              <w:rPr>
                <w:rFonts w:ascii="Cambria" w:eastAsia="Times New Roman" w:hAnsi="Cambria" w:cs="Calibri"/>
                <w:color w:val="000000"/>
                <w:sz w:val="18"/>
                <w:szCs w:val="18"/>
              </w:rPr>
            </w:pPr>
          </w:p>
        </w:tc>
        <w:tc>
          <w:tcPr>
            <w:tcW w:w="236" w:type="dxa"/>
            <w:tcBorders>
              <w:top w:val="nil"/>
              <w:left w:val="single" w:sz="4" w:space="0" w:color="auto"/>
              <w:bottom w:val="nil"/>
              <w:right w:val="nil"/>
            </w:tcBorders>
            <w:vAlign w:val="center"/>
            <w:hideMark/>
          </w:tcPr>
          <w:p w14:paraId="4988C096" w14:textId="77777777" w:rsidR="00F8000D" w:rsidRPr="005503BC" w:rsidRDefault="00F8000D" w:rsidP="00924DE2">
            <w:pPr>
              <w:spacing w:after="0" w:line="240" w:lineRule="auto"/>
              <w:contextualSpacing/>
              <w:rPr>
                <w:rFonts w:ascii="Cambria" w:eastAsia="Times New Roman" w:hAnsi="Cambria" w:cs="Times New Roman"/>
                <w:sz w:val="18"/>
                <w:szCs w:val="18"/>
              </w:rPr>
            </w:pPr>
          </w:p>
        </w:tc>
      </w:tr>
      <w:tr w:rsidR="00AC3E46" w:rsidRPr="005503BC" w14:paraId="0E29AE82" w14:textId="77777777" w:rsidTr="00140AA1">
        <w:tc>
          <w:tcPr>
            <w:tcW w:w="1164" w:type="dxa"/>
            <w:tcBorders>
              <w:bottom w:val="single" w:sz="4" w:space="0" w:color="auto"/>
            </w:tcBorders>
            <w:noWrap/>
            <w:vAlign w:val="center"/>
          </w:tcPr>
          <w:p w14:paraId="43BA9204" w14:textId="578F9DEE" w:rsidR="00AC3E46" w:rsidRPr="005503BC" w:rsidRDefault="00AC3E46" w:rsidP="00924DE2">
            <w:pPr>
              <w:spacing w:after="0" w:line="240" w:lineRule="auto"/>
              <w:contextualSpacing/>
              <w:jc w:val="center"/>
              <w:rPr>
                <w:rFonts w:ascii="Cambria" w:eastAsia="Times New Roman" w:hAnsi="Cambria" w:cs="Calibri"/>
                <w:b/>
                <w:bCs/>
                <w:color w:val="000000"/>
                <w:sz w:val="18"/>
                <w:szCs w:val="18"/>
              </w:rPr>
            </w:pPr>
            <w:r w:rsidRPr="005503BC">
              <w:rPr>
                <w:rFonts w:ascii="Cambria" w:hAnsi="Cambria"/>
                <w:b/>
                <w:color w:val="000000"/>
                <w:sz w:val="18"/>
                <w:szCs w:val="18"/>
              </w:rPr>
              <w:lastRenderedPageBreak/>
              <w:t>Maroc</w:t>
            </w:r>
          </w:p>
        </w:tc>
        <w:tc>
          <w:tcPr>
            <w:tcW w:w="914" w:type="dxa"/>
            <w:tcBorders>
              <w:bottom w:val="single" w:sz="4" w:space="0" w:color="auto"/>
            </w:tcBorders>
            <w:noWrap/>
            <w:vAlign w:val="center"/>
          </w:tcPr>
          <w:p w14:paraId="67807FFD" w14:textId="3BAAA20E"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Oui</w:t>
            </w:r>
          </w:p>
        </w:tc>
        <w:tc>
          <w:tcPr>
            <w:tcW w:w="1026" w:type="dxa"/>
            <w:tcBorders>
              <w:bottom w:val="single" w:sz="4" w:space="0" w:color="auto"/>
            </w:tcBorders>
            <w:vAlign w:val="center"/>
          </w:tcPr>
          <w:p w14:paraId="47BAF343" w14:textId="61010EDA"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1.186 (1.388,43 *ajustées)</w:t>
            </w:r>
          </w:p>
        </w:tc>
        <w:tc>
          <w:tcPr>
            <w:tcW w:w="841" w:type="dxa"/>
            <w:tcBorders>
              <w:bottom w:val="single" w:sz="4" w:space="0" w:color="auto"/>
            </w:tcBorders>
            <w:noWrap/>
            <w:vAlign w:val="center"/>
          </w:tcPr>
          <w:p w14:paraId="6E4DE9C7" w14:textId="13095259"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860</w:t>
            </w:r>
          </w:p>
          <w:p w14:paraId="6A132FD2" w14:textId="73D05C80"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530</w:t>
            </w:r>
          </w:p>
        </w:tc>
        <w:tc>
          <w:tcPr>
            <w:tcW w:w="728" w:type="dxa"/>
            <w:tcBorders>
              <w:bottom w:val="single" w:sz="4" w:space="0" w:color="auto"/>
            </w:tcBorders>
            <w:noWrap/>
            <w:vAlign w:val="center"/>
          </w:tcPr>
          <w:p w14:paraId="222E08C7" w14:textId="77777777"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p w14:paraId="7D1E8D5C" w14:textId="183818C3"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HL</w:t>
            </w:r>
          </w:p>
        </w:tc>
        <w:tc>
          <w:tcPr>
            <w:tcW w:w="851" w:type="dxa"/>
            <w:tcBorders>
              <w:bottom w:val="single" w:sz="4" w:space="0" w:color="auto"/>
            </w:tcBorders>
            <w:noWrap/>
            <w:vAlign w:val="center"/>
          </w:tcPr>
          <w:p w14:paraId="0791AF70" w14:textId="67A8ECAF"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738</w:t>
            </w:r>
          </w:p>
          <w:p w14:paraId="18220F37" w14:textId="568CD2EF"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650</w:t>
            </w:r>
          </w:p>
        </w:tc>
        <w:tc>
          <w:tcPr>
            <w:tcW w:w="992" w:type="dxa"/>
            <w:tcBorders>
              <w:bottom w:val="single" w:sz="4" w:space="0" w:color="auto"/>
            </w:tcBorders>
            <w:noWrap/>
            <w:vAlign w:val="center"/>
          </w:tcPr>
          <w:p w14:paraId="653356CE" w14:textId="77777777"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880</w:t>
            </w:r>
          </w:p>
          <w:p w14:paraId="6DAE7024" w14:textId="73850119"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1000</w:t>
            </w:r>
          </w:p>
        </w:tc>
        <w:tc>
          <w:tcPr>
            <w:tcW w:w="739" w:type="dxa"/>
            <w:tcBorders>
              <w:bottom w:val="single" w:sz="4" w:space="0" w:color="auto"/>
            </w:tcBorders>
            <w:noWrap/>
            <w:vAlign w:val="center"/>
          </w:tcPr>
          <w:p w14:paraId="0107565D" w14:textId="77777777"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p w14:paraId="58111A00" w14:textId="4BC372AD"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HL</w:t>
            </w:r>
          </w:p>
        </w:tc>
        <w:tc>
          <w:tcPr>
            <w:tcW w:w="973" w:type="dxa"/>
            <w:tcBorders>
              <w:bottom w:val="single" w:sz="4" w:space="0" w:color="auto"/>
            </w:tcBorders>
            <w:noWrap/>
            <w:vAlign w:val="center"/>
          </w:tcPr>
          <w:p w14:paraId="0F638FF5" w14:textId="508819F6"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600</w:t>
            </w:r>
          </w:p>
          <w:p w14:paraId="231F54D5" w14:textId="4BCA3A8C" w:rsidR="00AC3E46" w:rsidRPr="005503BC" w:rsidRDefault="00AC3E4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700</w:t>
            </w:r>
          </w:p>
        </w:tc>
        <w:tc>
          <w:tcPr>
            <w:tcW w:w="2966" w:type="dxa"/>
            <w:tcBorders>
              <w:bottom w:val="single" w:sz="4" w:space="0" w:color="auto"/>
            </w:tcBorders>
          </w:tcPr>
          <w:p w14:paraId="077A2273" w14:textId="6D80A8B3" w:rsidR="00AC3E46" w:rsidRPr="005503BC" w:rsidRDefault="00AC3E46" w:rsidP="00924DE2">
            <w:pPr>
              <w:spacing w:after="0" w:line="240" w:lineRule="auto"/>
              <w:contextualSpacing/>
              <w:jc w:val="both"/>
              <w:rPr>
                <w:rFonts w:ascii="Cambria" w:hAnsi="Cambria"/>
                <w:sz w:val="18"/>
                <w:szCs w:val="18"/>
              </w:rPr>
            </w:pPr>
            <w:r w:rsidRPr="005503BC">
              <w:rPr>
                <w:rFonts w:ascii="Cambria" w:hAnsi="Cambria"/>
                <w:sz w:val="18"/>
                <w:szCs w:val="18"/>
              </w:rPr>
              <w:t>1</w:t>
            </w:r>
            <w:r w:rsidR="0003337B">
              <w:rPr>
                <w:rFonts w:ascii="Cambria" w:hAnsi="Cambria"/>
                <w:sz w:val="18"/>
                <w:szCs w:val="18"/>
              </w:rPr>
              <w:t xml:space="preserve">. </w:t>
            </w:r>
            <w:r w:rsidRPr="005503BC">
              <w:rPr>
                <w:rFonts w:ascii="Cambria" w:hAnsi="Cambria"/>
                <w:sz w:val="18"/>
                <w:szCs w:val="18"/>
              </w:rPr>
              <w:t>Arrêté Ministériel  n° 1112-22 du 14 avril 2022 relatif au plan d’aménagement et de gestion de la pêcherie de l’espadon (</w:t>
            </w:r>
            <w:r w:rsidRPr="005503BC">
              <w:rPr>
                <w:rFonts w:ascii="Cambria" w:hAnsi="Cambria"/>
                <w:i/>
                <w:sz w:val="18"/>
                <w:szCs w:val="18"/>
              </w:rPr>
              <w:t>Xiphias gladius</w:t>
            </w:r>
            <w:r w:rsidRPr="005503BC">
              <w:rPr>
                <w:rFonts w:ascii="Cambria" w:hAnsi="Cambria"/>
                <w:sz w:val="18"/>
                <w:szCs w:val="18"/>
              </w:rPr>
              <w:t>).</w:t>
            </w:r>
          </w:p>
          <w:p w14:paraId="73883A1D" w14:textId="77777777" w:rsidR="00AC3E46" w:rsidRPr="005503BC" w:rsidRDefault="00AC3E46" w:rsidP="00924DE2">
            <w:pPr>
              <w:spacing w:after="0" w:line="240" w:lineRule="auto"/>
              <w:contextualSpacing/>
              <w:jc w:val="both"/>
              <w:rPr>
                <w:rFonts w:ascii="Cambria" w:hAnsi="Cambria"/>
                <w:sz w:val="18"/>
                <w:szCs w:val="18"/>
              </w:rPr>
            </w:pPr>
          </w:p>
          <w:p w14:paraId="4C2A6E69" w14:textId="530CB3B9" w:rsidR="00AC3E46" w:rsidRPr="005503BC" w:rsidRDefault="0003337B" w:rsidP="00924DE2">
            <w:pPr>
              <w:spacing w:after="0" w:line="240" w:lineRule="auto"/>
              <w:contextualSpacing/>
              <w:jc w:val="both"/>
              <w:rPr>
                <w:rFonts w:ascii="Cambria" w:hAnsi="Cambria"/>
                <w:sz w:val="18"/>
                <w:szCs w:val="18"/>
              </w:rPr>
            </w:pPr>
            <w:r>
              <w:rPr>
                <w:rFonts w:ascii="Cambria" w:hAnsi="Cambria"/>
                <w:sz w:val="18"/>
                <w:szCs w:val="18"/>
              </w:rPr>
              <w:t xml:space="preserve">2. </w:t>
            </w:r>
            <w:r w:rsidR="00AC3E46" w:rsidRPr="005503BC">
              <w:rPr>
                <w:rFonts w:ascii="Cambria" w:hAnsi="Cambria"/>
                <w:sz w:val="18"/>
                <w:szCs w:val="18"/>
              </w:rPr>
              <w:t>Suivi et gestion de la consommation du quota alloué au Maroc par l’</w:t>
            </w:r>
            <w:r>
              <w:rPr>
                <w:rFonts w:ascii="Cambria" w:hAnsi="Cambria"/>
                <w:sz w:val="18"/>
                <w:szCs w:val="18"/>
              </w:rPr>
              <w:t>I</w:t>
            </w:r>
            <w:r w:rsidR="00AC3E46" w:rsidRPr="005503BC">
              <w:rPr>
                <w:rFonts w:ascii="Cambria" w:hAnsi="Cambria"/>
                <w:sz w:val="18"/>
                <w:szCs w:val="18"/>
              </w:rPr>
              <w:t>CCAT au niveau central  via les Délégations des Pêches Maritimes chargées du contrôle et de la certification des captures et l’Office National des pêches chargé de la commercialisation.</w:t>
            </w:r>
          </w:p>
          <w:p w14:paraId="12DA8000" w14:textId="647579DA" w:rsidR="00AC3E46" w:rsidRPr="005503BC" w:rsidRDefault="00AC3E46" w:rsidP="00924DE2">
            <w:pPr>
              <w:spacing w:after="0" w:line="240" w:lineRule="auto"/>
              <w:contextualSpacing/>
              <w:jc w:val="both"/>
              <w:rPr>
                <w:rFonts w:ascii="Cambria" w:hAnsi="Cambria"/>
                <w:sz w:val="18"/>
                <w:szCs w:val="18"/>
              </w:rPr>
            </w:pPr>
          </w:p>
          <w:p w14:paraId="636D28E9" w14:textId="70C12F4E" w:rsidR="00AC3E46" w:rsidRPr="005503BC" w:rsidRDefault="00844A76" w:rsidP="00924DE2">
            <w:pPr>
              <w:spacing w:after="0" w:line="240" w:lineRule="auto"/>
              <w:contextualSpacing/>
              <w:jc w:val="both"/>
              <w:rPr>
                <w:rFonts w:ascii="Cambria" w:hAnsi="Cambria"/>
                <w:sz w:val="18"/>
                <w:szCs w:val="18"/>
              </w:rPr>
            </w:pPr>
            <w:r>
              <w:rPr>
                <w:rFonts w:ascii="Cambria" w:hAnsi="Cambria"/>
                <w:sz w:val="18"/>
                <w:szCs w:val="18"/>
              </w:rPr>
              <w:t>3.</w:t>
            </w:r>
            <w:r w:rsidR="00AC3E46" w:rsidRPr="005503BC">
              <w:rPr>
                <w:rFonts w:ascii="Cambria" w:hAnsi="Cambria"/>
                <w:sz w:val="18"/>
                <w:szCs w:val="18"/>
              </w:rPr>
              <w:t xml:space="preserve"> Suivi de l'application des dispositions de l'ICCAT transposées dans l'Arrêté Ministériel n° 1112-22 du 14 avril 2022 régissant la pêche de l’espadon de </w:t>
            </w:r>
            <w:r w:rsidR="00924DE2" w:rsidRPr="005503BC">
              <w:rPr>
                <w:rFonts w:ascii="Cambria" w:hAnsi="Cambria"/>
                <w:sz w:val="18"/>
                <w:szCs w:val="18"/>
              </w:rPr>
              <w:t>l’</w:t>
            </w:r>
            <w:r w:rsidR="00AC3E46" w:rsidRPr="005503BC">
              <w:rPr>
                <w:rFonts w:ascii="Cambria" w:hAnsi="Cambria"/>
                <w:sz w:val="18"/>
                <w:szCs w:val="18"/>
              </w:rPr>
              <w:t xml:space="preserve">Atlantique Nord et de la Méditerranée </w:t>
            </w:r>
            <w:r w:rsidR="00924DE2" w:rsidRPr="005503BC">
              <w:rPr>
                <w:rFonts w:ascii="Cambria" w:hAnsi="Cambria"/>
                <w:sz w:val="18"/>
                <w:szCs w:val="18"/>
              </w:rPr>
              <w:t>marocaine</w:t>
            </w:r>
            <w:r w:rsidR="00AC3E46" w:rsidRPr="005503BC">
              <w:rPr>
                <w:rFonts w:ascii="Cambria" w:hAnsi="Cambria"/>
                <w:sz w:val="18"/>
                <w:szCs w:val="18"/>
              </w:rPr>
              <w:t>.</w:t>
            </w:r>
          </w:p>
          <w:p w14:paraId="6DC7533A" w14:textId="77777777" w:rsidR="00AC3E46" w:rsidRPr="005503BC" w:rsidRDefault="00AC3E46" w:rsidP="00924DE2">
            <w:pPr>
              <w:spacing w:after="0" w:line="240" w:lineRule="auto"/>
              <w:contextualSpacing/>
              <w:jc w:val="both"/>
              <w:rPr>
                <w:rFonts w:ascii="Cambria" w:hAnsi="Cambria"/>
                <w:sz w:val="18"/>
                <w:szCs w:val="18"/>
              </w:rPr>
            </w:pPr>
          </w:p>
          <w:p w14:paraId="12D0B715" w14:textId="7A52A217" w:rsidR="00AC3E46" w:rsidRPr="005503BC" w:rsidRDefault="000349A8" w:rsidP="00924DE2">
            <w:pPr>
              <w:spacing w:after="0" w:line="240" w:lineRule="auto"/>
              <w:contextualSpacing/>
              <w:jc w:val="both"/>
              <w:rPr>
                <w:rFonts w:ascii="Cambria" w:hAnsi="Cambria"/>
                <w:sz w:val="18"/>
                <w:szCs w:val="18"/>
              </w:rPr>
            </w:pPr>
            <w:r>
              <w:rPr>
                <w:rFonts w:ascii="Cambria" w:hAnsi="Cambria"/>
                <w:sz w:val="18"/>
                <w:szCs w:val="18"/>
              </w:rPr>
              <w:t xml:space="preserve">4. </w:t>
            </w:r>
            <w:r w:rsidR="00AC3E46" w:rsidRPr="005503BC">
              <w:rPr>
                <w:rFonts w:ascii="Cambria" w:hAnsi="Cambria"/>
                <w:sz w:val="18"/>
                <w:szCs w:val="18"/>
              </w:rPr>
              <w:t>Enregistrement sur le registre ICCAT des navires plus de 20</w:t>
            </w:r>
            <w:r>
              <w:rPr>
                <w:rFonts w:ascii="Cambria" w:hAnsi="Cambria"/>
                <w:sz w:val="18"/>
                <w:szCs w:val="18"/>
              </w:rPr>
              <w:t xml:space="preserve"> </w:t>
            </w:r>
            <w:r w:rsidR="00AC3E46" w:rsidRPr="005503BC">
              <w:rPr>
                <w:rFonts w:ascii="Cambria" w:hAnsi="Cambria"/>
                <w:sz w:val="18"/>
                <w:szCs w:val="18"/>
              </w:rPr>
              <w:t>m susceptibles de capturer l’espadon de l’Atlantique Nord.</w:t>
            </w:r>
          </w:p>
          <w:p w14:paraId="6C0C6064" w14:textId="77777777" w:rsidR="00AC3E46" w:rsidRPr="005503BC" w:rsidRDefault="00AC3E46" w:rsidP="00924DE2">
            <w:pPr>
              <w:spacing w:after="0" w:line="240" w:lineRule="auto"/>
              <w:contextualSpacing/>
              <w:jc w:val="both"/>
              <w:rPr>
                <w:rFonts w:ascii="Cambria" w:hAnsi="Cambria"/>
                <w:sz w:val="18"/>
                <w:szCs w:val="18"/>
              </w:rPr>
            </w:pPr>
          </w:p>
          <w:p w14:paraId="31DACC46" w14:textId="6140AB6D" w:rsidR="00AC3E46" w:rsidRPr="005503BC" w:rsidRDefault="000349A8" w:rsidP="00924DE2">
            <w:pPr>
              <w:spacing w:after="0" w:line="240" w:lineRule="auto"/>
              <w:contextualSpacing/>
              <w:jc w:val="both"/>
              <w:rPr>
                <w:rFonts w:ascii="Cambria" w:hAnsi="Cambria"/>
                <w:sz w:val="18"/>
                <w:szCs w:val="18"/>
              </w:rPr>
            </w:pPr>
            <w:r>
              <w:rPr>
                <w:rFonts w:ascii="Cambria" w:hAnsi="Cambria"/>
                <w:sz w:val="18"/>
                <w:szCs w:val="18"/>
              </w:rPr>
              <w:t>5.</w:t>
            </w:r>
            <w:r w:rsidR="00AC3E46" w:rsidRPr="005503BC">
              <w:rPr>
                <w:rFonts w:ascii="Cambria" w:hAnsi="Cambria"/>
                <w:sz w:val="18"/>
                <w:szCs w:val="18"/>
              </w:rPr>
              <w:t xml:space="preserve"> Dahir portant loi n° 1-73-255 du 27 chaoual 1393 (23 novembre 1973) formant règlement sur la pêche maritime tel que modifié et complété.</w:t>
            </w:r>
          </w:p>
          <w:p w14:paraId="31DB5B4B" w14:textId="77777777" w:rsidR="00AC3E46" w:rsidRPr="005503BC" w:rsidRDefault="00AC3E46" w:rsidP="00924DE2">
            <w:pPr>
              <w:spacing w:after="0" w:line="240" w:lineRule="auto"/>
              <w:contextualSpacing/>
              <w:jc w:val="both"/>
              <w:rPr>
                <w:rFonts w:ascii="Cambria" w:hAnsi="Cambria"/>
                <w:sz w:val="18"/>
                <w:szCs w:val="18"/>
              </w:rPr>
            </w:pPr>
          </w:p>
          <w:p w14:paraId="474A191F" w14:textId="43FFE8AE" w:rsidR="00AC3E46" w:rsidRPr="005503BC" w:rsidRDefault="000349A8" w:rsidP="00924DE2">
            <w:pPr>
              <w:spacing w:after="0" w:line="240" w:lineRule="auto"/>
              <w:contextualSpacing/>
              <w:jc w:val="both"/>
              <w:rPr>
                <w:rFonts w:ascii="Cambria" w:hAnsi="Cambria"/>
                <w:sz w:val="18"/>
                <w:szCs w:val="18"/>
              </w:rPr>
            </w:pPr>
            <w:r>
              <w:rPr>
                <w:rFonts w:ascii="Cambria" w:hAnsi="Cambria"/>
                <w:sz w:val="18"/>
                <w:szCs w:val="18"/>
              </w:rPr>
              <w:t xml:space="preserve">6. </w:t>
            </w:r>
            <w:r w:rsidR="00AC3E46" w:rsidRPr="005503BC">
              <w:rPr>
                <w:rFonts w:ascii="Cambria" w:hAnsi="Cambria"/>
                <w:sz w:val="18"/>
                <w:szCs w:val="18"/>
              </w:rPr>
              <w:t xml:space="preserve">Dahir n° 1-14-95 du 12 mai 2014 portant promulgation de la loi n° 15-12 relative à la prévention et la lutte contre la pêche illicite, non déclarée et non réglementée et modifiant et complétant le dahir n° 1-73-255 du 23 novembre 1973 </w:t>
            </w:r>
            <w:r w:rsidR="00AC3E46" w:rsidRPr="005503BC">
              <w:rPr>
                <w:rFonts w:ascii="Cambria" w:hAnsi="Cambria"/>
                <w:sz w:val="18"/>
                <w:szCs w:val="18"/>
              </w:rPr>
              <w:lastRenderedPageBreak/>
              <w:t>formant règlement sur la pêche maritime.</w:t>
            </w:r>
          </w:p>
          <w:p w14:paraId="00B2A20B" w14:textId="77777777" w:rsidR="00AC3E46" w:rsidRPr="005503BC" w:rsidRDefault="00AC3E46" w:rsidP="00924DE2">
            <w:pPr>
              <w:spacing w:after="0" w:line="240" w:lineRule="auto"/>
              <w:contextualSpacing/>
              <w:jc w:val="both"/>
              <w:rPr>
                <w:rFonts w:ascii="Cambria" w:hAnsi="Cambria"/>
                <w:sz w:val="18"/>
                <w:szCs w:val="18"/>
              </w:rPr>
            </w:pPr>
          </w:p>
          <w:p w14:paraId="5FFF2310" w14:textId="750BF209" w:rsidR="00AC3E46" w:rsidRPr="005503BC" w:rsidRDefault="00253E2C" w:rsidP="00924DE2">
            <w:pPr>
              <w:spacing w:after="0" w:line="240" w:lineRule="auto"/>
              <w:contextualSpacing/>
              <w:jc w:val="both"/>
              <w:rPr>
                <w:rFonts w:ascii="Cambria" w:hAnsi="Cambria"/>
                <w:sz w:val="18"/>
                <w:szCs w:val="18"/>
              </w:rPr>
            </w:pPr>
            <w:r>
              <w:rPr>
                <w:rFonts w:ascii="Cambria" w:hAnsi="Cambria"/>
                <w:sz w:val="18"/>
                <w:szCs w:val="18"/>
              </w:rPr>
              <w:t xml:space="preserve">7. </w:t>
            </w:r>
            <w:r w:rsidR="00AC3E46" w:rsidRPr="005503BC">
              <w:rPr>
                <w:rFonts w:ascii="Cambria" w:hAnsi="Cambria"/>
                <w:sz w:val="18"/>
                <w:szCs w:val="18"/>
              </w:rPr>
              <w:t>Décret n° 2.18.104 du 10 décembre 2018 modifiant et complétant le décret n° 2-09-674 du 17 mars 2010 fixant les conditions et les modalités d'</w:t>
            </w:r>
            <w:r>
              <w:rPr>
                <w:rFonts w:ascii="Cambria" w:hAnsi="Cambria"/>
                <w:sz w:val="18"/>
                <w:szCs w:val="18"/>
              </w:rPr>
              <w:t>i</w:t>
            </w:r>
            <w:r w:rsidR="00AC3E46" w:rsidRPr="005503BC">
              <w:rPr>
                <w:rFonts w:ascii="Cambria" w:hAnsi="Cambria"/>
                <w:sz w:val="18"/>
                <w:szCs w:val="18"/>
              </w:rPr>
              <w:t xml:space="preserve">nstallation et d'utilisation à bord des navires de pêche d'un système de positionnement et de localisation continue utilisant les communications par satellite pour la transmission </w:t>
            </w:r>
            <w:r w:rsidR="00924DE2" w:rsidRPr="005503BC">
              <w:rPr>
                <w:rFonts w:ascii="Cambria" w:hAnsi="Cambria"/>
                <w:sz w:val="18"/>
                <w:szCs w:val="18"/>
              </w:rPr>
              <w:t>des données</w:t>
            </w:r>
            <w:r w:rsidR="00AC3E46" w:rsidRPr="005503BC">
              <w:rPr>
                <w:rFonts w:ascii="Cambria" w:hAnsi="Cambria"/>
                <w:sz w:val="18"/>
                <w:szCs w:val="18"/>
              </w:rPr>
              <w:t>.</w:t>
            </w:r>
          </w:p>
          <w:p w14:paraId="59F0F6F3" w14:textId="77777777" w:rsidR="00AC3E46" w:rsidRPr="005503BC" w:rsidRDefault="00AC3E46" w:rsidP="00924DE2">
            <w:pPr>
              <w:spacing w:after="0" w:line="240" w:lineRule="auto"/>
              <w:contextualSpacing/>
              <w:jc w:val="both"/>
              <w:rPr>
                <w:rFonts w:ascii="Cambria" w:hAnsi="Cambria"/>
                <w:sz w:val="18"/>
                <w:szCs w:val="18"/>
              </w:rPr>
            </w:pPr>
          </w:p>
          <w:p w14:paraId="0C3EC14A" w14:textId="16993795" w:rsidR="00AC3E46" w:rsidRPr="005503BC" w:rsidRDefault="00253E2C" w:rsidP="00924DE2">
            <w:pPr>
              <w:spacing w:after="0" w:line="240" w:lineRule="auto"/>
              <w:contextualSpacing/>
              <w:jc w:val="both"/>
              <w:rPr>
                <w:rFonts w:ascii="Cambria" w:hAnsi="Cambria"/>
                <w:sz w:val="18"/>
                <w:szCs w:val="18"/>
              </w:rPr>
            </w:pPr>
            <w:r>
              <w:rPr>
                <w:rFonts w:ascii="Cambria" w:hAnsi="Cambria"/>
                <w:sz w:val="18"/>
                <w:szCs w:val="18"/>
              </w:rPr>
              <w:t xml:space="preserve">8. </w:t>
            </w:r>
            <w:r w:rsidR="00AC3E46" w:rsidRPr="005503BC">
              <w:rPr>
                <w:rFonts w:ascii="Cambria" w:hAnsi="Cambria"/>
                <w:sz w:val="18"/>
                <w:szCs w:val="18"/>
              </w:rPr>
              <w:t>Décret n° 2-17-455 du 26 avril 2018 pris pour l'application de certaines dispositions du Titre I de la loi n° 15-12 relative à la prévention et à la lutte contre la pêche illicite, non déclarée et non réglementée et modifiant et complétant le dahir portant loi n° 1-73-255 du 23 novembre 1973 formant règlement sur la pêche maritime.</w:t>
            </w:r>
          </w:p>
          <w:p w14:paraId="5E89F4C5" w14:textId="77777777" w:rsidR="00AC3E46" w:rsidRPr="005503BC" w:rsidRDefault="00AC3E46" w:rsidP="00924DE2">
            <w:pPr>
              <w:spacing w:after="0" w:line="240" w:lineRule="auto"/>
              <w:contextualSpacing/>
              <w:jc w:val="both"/>
              <w:rPr>
                <w:rFonts w:ascii="Cambria" w:hAnsi="Cambria"/>
                <w:sz w:val="18"/>
                <w:szCs w:val="18"/>
              </w:rPr>
            </w:pPr>
          </w:p>
          <w:p w14:paraId="6D800EF1" w14:textId="421D9138" w:rsidR="00AC3E46" w:rsidRPr="005503BC" w:rsidRDefault="00253E2C" w:rsidP="00924DE2">
            <w:pPr>
              <w:spacing w:after="0" w:line="240" w:lineRule="auto"/>
              <w:contextualSpacing/>
              <w:jc w:val="both"/>
              <w:rPr>
                <w:rFonts w:ascii="Cambria" w:hAnsi="Cambria"/>
                <w:sz w:val="18"/>
                <w:szCs w:val="18"/>
              </w:rPr>
            </w:pPr>
            <w:r>
              <w:rPr>
                <w:rFonts w:ascii="Cambria" w:hAnsi="Cambria"/>
                <w:sz w:val="18"/>
                <w:szCs w:val="18"/>
              </w:rPr>
              <w:t>9.</w:t>
            </w:r>
            <w:r w:rsidR="00AC3E46" w:rsidRPr="005503BC">
              <w:rPr>
                <w:rFonts w:ascii="Cambria" w:hAnsi="Cambria"/>
                <w:sz w:val="18"/>
                <w:szCs w:val="18"/>
              </w:rPr>
              <w:t xml:space="preserve"> Décret n° 2-17-456 du 15 mars 2018 pris pour l’application de certaines dispositions du dahir portant n° 1-73-255 du 23 novembre 1973 formant règlement sur la pêche maritime.</w:t>
            </w:r>
          </w:p>
          <w:p w14:paraId="64CA2A89" w14:textId="77777777" w:rsidR="00AC3E46" w:rsidRPr="005503BC" w:rsidRDefault="00AC3E46" w:rsidP="00924DE2">
            <w:pPr>
              <w:spacing w:after="0" w:line="240" w:lineRule="auto"/>
              <w:contextualSpacing/>
              <w:jc w:val="both"/>
              <w:rPr>
                <w:rFonts w:ascii="Cambria" w:hAnsi="Cambria"/>
                <w:sz w:val="18"/>
                <w:szCs w:val="18"/>
              </w:rPr>
            </w:pPr>
          </w:p>
          <w:p w14:paraId="3ACEB4B1" w14:textId="3FF4099F" w:rsidR="00AC3E46" w:rsidRPr="005503BC" w:rsidRDefault="003A33DA" w:rsidP="00924DE2">
            <w:pPr>
              <w:spacing w:after="0" w:line="240" w:lineRule="auto"/>
              <w:contextualSpacing/>
              <w:jc w:val="both"/>
              <w:rPr>
                <w:rFonts w:ascii="Cambria" w:hAnsi="Cambria"/>
                <w:sz w:val="18"/>
                <w:szCs w:val="18"/>
              </w:rPr>
            </w:pPr>
            <w:r>
              <w:rPr>
                <w:rFonts w:ascii="Cambria" w:hAnsi="Cambria"/>
                <w:sz w:val="18"/>
                <w:szCs w:val="18"/>
              </w:rPr>
              <w:t xml:space="preserve">10. </w:t>
            </w:r>
            <w:r w:rsidR="00AC3E46" w:rsidRPr="005503BC">
              <w:rPr>
                <w:rFonts w:ascii="Cambria" w:hAnsi="Cambria"/>
                <w:sz w:val="18"/>
                <w:szCs w:val="18"/>
              </w:rPr>
              <w:t>L’arrêté n°574-19 du 29 joumada II 1440 (7 mars 2019) relatif au dispositif de positionnement et de localisation continue des navires de pêche.</w:t>
            </w:r>
          </w:p>
          <w:p w14:paraId="04063943" w14:textId="6742C485" w:rsidR="00AC3E46" w:rsidRPr="005503BC" w:rsidRDefault="00AC3E46" w:rsidP="00924DE2">
            <w:pPr>
              <w:spacing w:after="0" w:line="240" w:lineRule="auto"/>
              <w:contextualSpacing/>
              <w:jc w:val="both"/>
              <w:rPr>
                <w:rFonts w:ascii="Cambria" w:hAnsi="Cambria"/>
                <w:sz w:val="18"/>
                <w:szCs w:val="18"/>
              </w:rPr>
            </w:pPr>
          </w:p>
        </w:tc>
        <w:tc>
          <w:tcPr>
            <w:tcW w:w="2835" w:type="dxa"/>
            <w:tcBorders>
              <w:bottom w:val="single" w:sz="4" w:space="0" w:color="auto"/>
              <w:right w:val="single" w:sz="4" w:space="0" w:color="auto"/>
            </w:tcBorders>
          </w:tcPr>
          <w:p w14:paraId="7DCF768F" w14:textId="1916B272" w:rsidR="00AC3E46" w:rsidRPr="005503BC" w:rsidRDefault="00AC3E46" w:rsidP="00924DE2">
            <w:pPr>
              <w:spacing w:after="0" w:line="240" w:lineRule="auto"/>
              <w:contextualSpacing/>
              <w:jc w:val="both"/>
              <w:rPr>
                <w:rFonts w:ascii="Cambria" w:hAnsi="Cambria"/>
                <w:sz w:val="18"/>
                <w:szCs w:val="18"/>
              </w:rPr>
            </w:pPr>
            <w:r w:rsidRPr="005503BC">
              <w:rPr>
                <w:rFonts w:ascii="Cambria" w:hAnsi="Cambria"/>
                <w:sz w:val="18"/>
                <w:szCs w:val="18"/>
              </w:rPr>
              <w:lastRenderedPageBreak/>
              <w:t>Les mesures</w:t>
            </w:r>
            <w:r w:rsidR="008F23ED">
              <w:rPr>
                <w:rFonts w:ascii="Cambria" w:hAnsi="Cambria"/>
                <w:sz w:val="18"/>
                <w:szCs w:val="18"/>
              </w:rPr>
              <w:t xml:space="preserve"> </w:t>
            </w:r>
            <w:r w:rsidRPr="005503BC">
              <w:rPr>
                <w:rFonts w:ascii="Cambria" w:hAnsi="Cambria"/>
                <w:sz w:val="18"/>
                <w:szCs w:val="18"/>
              </w:rPr>
              <w:t>prévues par le Royaume du Maroc pour la gestion de l'espadon de l'Atlantique Nord, seront les mêmes mesures adoptées actuellement et ce conformément aux dispositions de la Recommandation 24-10 sur des mesures de conservation et de gestion, incluant une procédure de gestion, pour l'espadon de l'Atlantique Nord, et à la réglementation nationale en vigueur</w:t>
            </w:r>
            <w:r w:rsidR="007A2141">
              <w:rPr>
                <w:rFonts w:ascii="Cambria" w:hAnsi="Cambria"/>
                <w:sz w:val="18"/>
                <w:szCs w:val="18"/>
              </w:rPr>
              <w:t>.</w:t>
            </w:r>
          </w:p>
        </w:tc>
        <w:tc>
          <w:tcPr>
            <w:tcW w:w="236" w:type="dxa"/>
            <w:tcBorders>
              <w:top w:val="nil"/>
              <w:left w:val="single" w:sz="4" w:space="0" w:color="auto"/>
              <w:bottom w:val="nil"/>
              <w:right w:val="nil"/>
            </w:tcBorders>
            <w:vAlign w:val="center"/>
          </w:tcPr>
          <w:p w14:paraId="1B044722" w14:textId="77777777" w:rsidR="00AC3E46" w:rsidRPr="005503BC" w:rsidRDefault="00AC3E46" w:rsidP="00924DE2">
            <w:pPr>
              <w:spacing w:after="0" w:line="240" w:lineRule="auto"/>
              <w:contextualSpacing/>
              <w:rPr>
                <w:rFonts w:ascii="Cambria" w:eastAsia="Times New Roman" w:hAnsi="Cambria" w:cs="Times New Roman"/>
                <w:sz w:val="18"/>
                <w:szCs w:val="18"/>
              </w:rPr>
            </w:pPr>
          </w:p>
        </w:tc>
      </w:tr>
      <w:tr w:rsidR="00F8000D" w:rsidRPr="005503BC" w14:paraId="390B2895" w14:textId="77777777" w:rsidTr="00140AA1">
        <w:tc>
          <w:tcPr>
            <w:tcW w:w="14029" w:type="dxa"/>
            <w:gridSpan w:val="11"/>
            <w:tcBorders>
              <w:right w:val="single" w:sz="4" w:space="0" w:color="auto"/>
            </w:tcBorders>
            <w:noWrap/>
          </w:tcPr>
          <w:p w14:paraId="5FADAEFE" w14:textId="5DCB4881" w:rsidR="00F8000D" w:rsidRPr="005503BC" w:rsidRDefault="00134FA1" w:rsidP="00924DE2">
            <w:pPr>
              <w:spacing w:after="0" w:line="240" w:lineRule="auto"/>
              <w:contextualSpacing/>
              <w:rPr>
                <w:rFonts w:ascii="Cambria" w:hAnsi="Cambria"/>
                <w:sz w:val="18"/>
                <w:szCs w:val="18"/>
              </w:rPr>
            </w:pPr>
            <w:r w:rsidRPr="005503BC">
              <w:rPr>
                <w:rFonts w:ascii="Cambria" w:hAnsi="Cambria"/>
                <w:sz w:val="18"/>
                <w:szCs w:val="18"/>
              </w:rPr>
              <w:t>* Quota ajusté = quota initial (1.186 t) + quota transféré du Japon (150 t) + quota transféré de Trinité-et-Tobago (25 t) + quantité restante transférée (27,43 t)</w:t>
            </w:r>
          </w:p>
        </w:tc>
        <w:tc>
          <w:tcPr>
            <w:tcW w:w="236" w:type="dxa"/>
            <w:tcBorders>
              <w:top w:val="nil"/>
              <w:left w:val="single" w:sz="4" w:space="0" w:color="auto"/>
              <w:bottom w:val="nil"/>
              <w:right w:val="nil"/>
            </w:tcBorders>
            <w:vAlign w:val="center"/>
          </w:tcPr>
          <w:p w14:paraId="251F3399" w14:textId="77777777" w:rsidR="00F8000D" w:rsidRPr="005503BC" w:rsidRDefault="00F8000D" w:rsidP="00924DE2">
            <w:pPr>
              <w:spacing w:after="0" w:line="240" w:lineRule="auto"/>
              <w:contextualSpacing/>
              <w:rPr>
                <w:rFonts w:ascii="Cambria" w:eastAsia="Times New Roman" w:hAnsi="Cambria" w:cs="Times New Roman"/>
                <w:sz w:val="18"/>
                <w:szCs w:val="18"/>
              </w:rPr>
            </w:pPr>
          </w:p>
        </w:tc>
      </w:tr>
      <w:tr w:rsidR="007D164E" w:rsidRPr="005503BC" w14:paraId="1DBF842F" w14:textId="77777777" w:rsidTr="00140AA1">
        <w:tc>
          <w:tcPr>
            <w:tcW w:w="1164" w:type="dxa"/>
            <w:noWrap/>
            <w:vAlign w:val="center"/>
          </w:tcPr>
          <w:p w14:paraId="028EB495" w14:textId="3F1D4708" w:rsidR="007D164E" w:rsidRPr="00796FE1" w:rsidRDefault="007D164E" w:rsidP="00924DE2">
            <w:pPr>
              <w:spacing w:after="0" w:line="240" w:lineRule="auto"/>
              <w:contextualSpacing/>
              <w:jc w:val="center"/>
              <w:rPr>
                <w:rFonts w:ascii="Cambria" w:eastAsia="Times New Roman" w:hAnsi="Cambria" w:cs="Calibri"/>
                <w:b/>
                <w:bCs/>
                <w:color w:val="000000"/>
                <w:sz w:val="18"/>
                <w:szCs w:val="18"/>
              </w:rPr>
            </w:pPr>
            <w:r w:rsidRPr="00796FE1">
              <w:rPr>
                <w:rFonts w:ascii="Cambria" w:hAnsi="Cambria"/>
                <w:b/>
                <w:color w:val="000000"/>
                <w:sz w:val="18"/>
                <w:szCs w:val="18"/>
              </w:rPr>
              <w:lastRenderedPageBreak/>
              <w:t>Sénégal</w:t>
            </w:r>
          </w:p>
        </w:tc>
        <w:tc>
          <w:tcPr>
            <w:tcW w:w="914" w:type="dxa"/>
            <w:noWrap/>
            <w:vAlign w:val="center"/>
          </w:tcPr>
          <w:p w14:paraId="37B27B6A" w14:textId="211EA18F" w:rsidR="007D164E" w:rsidRPr="00796FE1" w:rsidRDefault="0002345F" w:rsidP="00924DE2">
            <w:pPr>
              <w:spacing w:after="0" w:line="240" w:lineRule="auto"/>
              <w:contextualSpacing/>
              <w:jc w:val="center"/>
              <w:rPr>
                <w:rFonts w:ascii="Cambria" w:eastAsia="Times New Roman" w:hAnsi="Cambria" w:cs="Calibri"/>
                <w:color w:val="000000"/>
                <w:sz w:val="18"/>
                <w:szCs w:val="18"/>
              </w:rPr>
            </w:pPr>
            <w:r w:rsidRPr="00796FE1">
              <w:rPr>
                <w:rFonts w:ascii="Cambria" w:hAnsi="Cambria"/>
                <w:color w:val="000000"/>
                <w:sz w:val="18"/>
                <w:szCs w:val="18"/>
              </w:rPr>
              <w:t>Oui</w:t>
            </w:r>
          </w:p>
        </w:tc>
        <w:tc>
          <w:tcPr>
            <w:tcW w:w="1026" w:type="dxa"/>
            <w:vAlign w:val="center"/>
          </w:tcPr>
          <w:p w14:paraId="55356FB2" w14:textId="41424441"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250</w:t>
            </w:r>
          </w:p>
        </w:tc>
        <w:tc>
          <w:tcPr>
            <w:tcW w:w="841" w:type="dxa"/>
            <w:noWrap/>
            <w:vAlign w:val="center"/>
          </w:tcPr>
          <w:p w14:paraId="6C518FE7" w14:textId="77777777"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w:t>
            </w:r>
          </w:p>
          <w:p w14:paraId="12D16068" w14:textId="77777777"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7</w:t>
            </w:r>
          </w:p>
          <w:p w14:paraId="7E0AD681" w14:textId="0FF1B404"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5</w:t>
            </w:r>
          </w:p>
        </w:tc>
        <w:tc>
          <w:tcPr>
            <w:tcW w:w="728" w:type="dxa"/>
            <w:noWrap/>
            <w:vAlign w:val="center"/>
          </w:tcPr>
          <w:p w14:paraId="79DA049D" w14:textId="77777777"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p w14:paraId="78121A99" w14:textId="77777777"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PS</w:t>
            </w:r>
          </w:p>
          <w:p w14:paraId="00D400B6" w14:textId="5C247AC2"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BB</w:t>
            </w:r>
          </w:p>
        </w:tc>
        <w:tc>
          <w:tcPr>
            <w:tcW w:w="851" w:type="dxa"/>
            <w:noWrap/>
            <w:vAlign w:val="center"/>
          </w:tcPr>
          <w:p w14:paraId="602C04AE" w14:textId="77777777" w:rsidR="007D164E" w:rsidRPr="005503BC" w:rsidRDefault="007D164E" w:rsidP="00924DE2">
            <w:pPr>
              <w:spacing w:after="0" w:line="240" w:lineRule="auto"/>
              <w:contextualSpacing/>
              <w:jc w:val="center"/>
              <w:rPr>
                <w:rFonts w:ascii="Cambria" w:eastAsia="Times New Roman" w:hAnsi="Cambria" w:cs="Calibri"/>
                <w:color w:val="000000"/>
                <w:sz w:val="18"/>
                <w:szCs w:val="18"/>
              </w:rPr>
            </w:pPr>
          </w:p>
        </w:tc>
        <w:tc>
          <w:tcPr>
            <w:tcW w:w="992" w:type="dxa"/>
            <w:noWrap/>
            <w:vAlign w:val="center"/>
          </w:tcPr>
          <w:p w14:paraId="3776E5C2" w14:textId="3BCF2D8A"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3</w:t>
            </w:r>
          </w:p>
          <w:p w14:paraId="675904E3" w14:textId="1814D4BA"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10</w:t>
            </w:r>
          </w:p>
          <w:p w14:paraId="13BC7AC1" w14:textId="5D1D6842"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5</w:t>
            </w:r>
          </w:p>
        </w:tc>
        <w:tc>
          <w:tcPr>
            <w:tcW w:w="739" w:type="dxa"/>
            <w:noWrap/>
            <w:vAlign w:val="center"/>
          </w:tcPr>
          <w:p w14:paraId="4C35861D" w14:textId="77777777"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p w14:paraId="3C66F415" w14:textId="77777777"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PS</w:t>
            </w:r>
          </w:p>
          <w:p w14:paraId="40BE0080" w14:textId="54AE9288" w:rsidR="007D164E" w:rsidRPr="005503BC" w:rsidRDefault="007D164E"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BB</w:t>
            </w:r>
          </w:p>
        </w:tc>
        <w:tc>
          <w:tcPr>
            <w:tcW w:w="973" w:type="dxa"/>
            <w:noWrap/>
            <w:vAlign w:val="center"/>
          </w:tcPr>
          <w:p w14:paraId="542605CA" w14:textId="77777777" w:rsidR="007D164E" w:rsidRPr="005503BC" w:rsidRDefault="007D164E" w:rsidP="00924DE2">
            <w:pPr>
              <w:spacing w:after="0" w:line="240" w:lineRule="auto"/>
              <w:contextualSpacing/>
              <w:jc w:val="center"/>
              <w:rPr>
                <w:rFonts w:ascii="Cambria" w:eastAsia="Times New Roman" w:hAnsi="Cambria" w:cs="Calibri"/>
                <w:color w:val="000000"/>
                <w:sz w:val="18"/>
                <w:szCs w:val="18"/>
              </w:rPr>
            </w:pPr>
          </w:p>
        </w:tc>
        <w:tc>
          <w:tcPr>
            <w:tcW w:w="2966" w:type="dxa"/>
          </w:tcPr>
          <w:p w14:paraId="29D94BE0" w14:textId="77777777" w:rsidR="007D164E" w:rsidRPr="005503BC" w:rsidRDefault="007D164E" w:rsidP="00813F50">
            <w:pPr>
              <w:pStyle w:val="ListParagraph"/>
              <w:numPr>
                <w:ilvl w:val="0"/>
                <w:numId w:val="14"/>
              </w:numPr>
              <w:spacing w:after="0" w:line="240" w:lineRule="auto"/>
              <w:jc w:val="both"/>
              <w:rPr>
                <w:rFonts w:ascii="Cambria" w:hAnsi="Cambria"/>
                <w:sz w:val="18"/>
                <w:szCs w:val="18"/>
              </w:rPr>
            </w:pPr>
            <w:r w:rsidRPr="005503BC">
              <w:rPr>
                <w:rFonts w:ascii="Cambria" w:hAnsi="Cambria"/>
                <w:sz w:val="18"/>
                <w:szCs w:val="18"/>
              </w:rPr>
              <w:t>Interdiction des grands filets pélagiques</w:t>
            </w:r>
          </w:p>
          <w:p w14:paraId="104098E9" w14:textId="140AF4B0" w:rsidR="007D164E" w:rsidRPr="005503BC" w:rsidRDefault="00796FE1" w:rsidP="00813F50">
            <w:pPr>
              <w:pStyle w:val="ListParagraph"/>
              <w:numPr>
                <w:ilvl w:val="0"/>
                <w:numId w:val="14"/>
              </w:numPr>
              <w:spacing w:after="0" w:line="240" w:lineRule="auto"/>
              <w:jc w:val="both"/>
              <w:rPr>
                <w:rFonts w:ascii="Cambria" w:hAnsi="Cambria"/>
                <w:sz w:val="18"/>
                <w:szCs w:val="18"/>
              </w:rPr>
            </w:pPr>
            <w:r w:rsidRPr="005503BC">
              <w:rPr>
                <w:rFonts w:ascii="Cambria" w:hAnsi="Cambria"/>
                <w:sz w:val="18"/>
                <w:szCs w:val="18"/>
              </w:rPr>
              <w:t xml:space="preserve">Pêche </w:t>
            </w:r>
            <w:r w:rsidR="007D164E" w:rsidRPr="005503BC">
              <w:rPr>
                <w:rFonts w:ascii="Cambria" w:hAnsi="Cambria"/>
                <w:sz w:val="18"/>
                <w:szCs w:val="18"/>
              </w:rPr>
              <w:t xml:space="preserve">sélective </w:t>
            </w:r>
          </w:p>
          <w:p w14:paraId="1936CF87" w14:textId="24FAC261" w:rsidR="007D164E" w:rsidRPr="005503BC" w:rsidRDefault="00796FE1" w:rsidP="00813F50">
            <w:pPr>
              <w:pStyle w:val="ListParagraph"/>
              <w:numPr>
                <w:ilvl w:val="0"/>
                <w:numId w:val="14"/>
              </w:numPr>
              <w:spacing w:after="0" w:line="240" w:lineRule="auto"/>
              <w:jc w:val="both"/>
              <w:rPr>
                <w:rFonts w:ascii="Cambria" w:hAnsi="Cambria"/>
                <w:sz w:val="18"/>
                <w:szCs w:val="18"/>
              </w:rPr>
            </w:pPr>
            <w:r w:rsidRPr="005503BC">
              <w:rPr>
                <w:rFonts w:ascii="Cambria" w:hAnsi="Cambria"/>
                <w:sz w:val="18"/>
                <w:szCs w:val="18"/>
              </w:rPr>
              <w:t xml:space="preserve">Organisation </w:t>
            </w:r>
            <w:r w:rsidR="007D164E" w:rsidRPr="005503BC">
              <w:rPr>
                <w:rFonts w:ascii="Cambria" w:hAnsi="Cambria"/>
                <w:sz w:val="18"/>
                <w:szCs w:val="18"/>
              </w:rPr>
              <w:t>de la pêche artisanale</w:t>
            </w:r>
          </w:p>
          <w:p w14:paraId="66C44050" w14:textId="6919A4BE" w:rsidR="007D164E" w:rsidRPr="005503BC" w:rsidRDefault="00796FE1" w:rsidP="00813F50">
            <w:pPr>
              <w:pStyle w:val="ListParagraph"/>
              <w:numPr>
                <w:ilvl w:val="0"/>
                <w:numId w:val="14"/>
              </w:numPr>
              <w:spacing w:after="0" w:line="240" w:lineRule="auto"/>
              <w:jc w:val="both"/>
              <w:rPr>
                <w:rFonts w:ascii="Cambria" w:hAnsi="Cambria"/>
                <w:sz w:val="18"/>
                <w:szCs w:val="18"/>
              </w:rPr>
            </w:pPr>
            <w:r w:rsidRPr="005503BC">
              <w:rPr>
                <w:rFonts w:ascii="Cambria" w:hAnsi="Cambria"/>
                <w:sz w:val="18"/>
                <w:szCs w:val="18"/>
              </w:rPr>
              <w:t xml:space="preserve">Autorisation </w:t>
            </w:r>
            <w:r w:rsidR="007D164E" w:rsidRPr="005503BC">
              <w:rPr>
                <w:rFonts w:ascii="Cambria" w:hAnsi="Cambria"/>
                <w:sz w:val="18"/>
                <w:szCs w:val="18"/>
              </w:rPr>
              <w:t>spéciale</w:t>
            </w:r>
          </w:p>
          <w:p w14:paraId="51B907AC" w14:textId="4BCDB479" w:rsidR="007D164E" w:rsidRPr="005503BC" w:rsidRDefault="007D164E" w:rsidP="00924DE2">
            <w:pPr>
              <w:pStyle w:val="ListParagraph"/>
              <w:spacing w:after="0" w:line="240" w:lineRule="auto"/>
              <w:ind w:left="168"/>
              <w:jc w:val="both"/>
              <w:rPr>
                <w:rFonts w:ascii="Cambria" w:hAnsi="Cambria"/>
                <w:sz w:val="18"/>
                <w:szCs w:val="18"/>
              </w:rPr>
            </w:pPr>
          </w:p>
        </w:tc>
        <w:tc>
          <w:tcPr>
            <w:tcW w:w="2835" w:type="dxa"/>
            <w:tcBorders>
              <w:bottom w:val="single" w:sz="4" w:space="0" w:color="auto"/>
              <w:right w:val="single" w:sz="4" w:space="0" w:color="auto"/>
            </w:tcBorders>
          </w:tcPr>
          <w:p w14:paraId="78D9105C" w14:textId="0187FF58" w:rsidR="007D164E" w:rsidRPr="005503BC" w:rsidRDefault="00796FE1" w:rsidP="00796FE1">
            <w:pPr>
              <w:pStyle w:val="ListParagraph"/>
              <w:numPr>
                <w:ilvl w:val="0"/>
                <w:numId w:val="14"/>
              </w:numPr>
              <w:spacing w:after="0" w:line="240" w:lineRule="auto"/>
              <w:jc w:val="both"/>
              <w:rPr>
                <w:rFonts w:ascii="Cambria" w:hAnsi="Cambria"/>
                <w:sz w:val="18"/>
                <w:szCs w:val="18"/>
              </w:rPr>
            </w:pPr>
            <w:r w:rsidRPr="005503BC">
              <w:rPr>
                <w:rFonts w:ascii="Cambria" w:hAnsi="Cambria"/>
                <w:sz w:val="18"/>
                <w:szCs w:val="18"/>
              </w:rPr>
              <w:t xml:space="preserve">Taille </w:t>
            </w:r>
            <w:r w:rsidR="007D164E" w:rsidRPr="005503BC">
              <w:rPr>
                <w:rFonts w:ascii="Cambria" w:hAnsi="Cambria"/>
                <w:sz w:val="18"/>
                <w:szCs w:val="18"/>
              </w:rPr>
              <w:t>minimale 115 cm ou poids minimal de 25 kg</w:t>
            </w:r>
          </w:p>
          <w:p w14:paraId="426843E6" w14:textId="4560EC15" w:rsidR="007D164E" w:rsidRPr="005503BC" w:rsidRDefault="00796FE1" w:rsidP="00796FE1">
            <w:pPr>
              <w:pStyle w:val="ListParagraph"/>
              <w:numPr>
                <w:ilvl w:val="0"/>
                <w:numId w:val="14"/>
              </w:numPr>
              <w:spacing w:after="0" w:line="240" w:lineRule="auto"/>
              <w:jc w:val="both"/>
              <w:rPr>
                <w:rFonts w:ascii="Cambria" w:hAnsi="Cambria"/>
                <w:sz w:val="18"/>
                <w:szCs w:val="18"/>
              </w:rPr>
            </w:pPr>
            <w:r w:rsidRPr="005503BC">
              <w:rPr>
                <w:rFonts w:ascii="Cambria" w:hAnsi="Cambria"/>
                <w:sz w:val="18"/>
                <w:szCs w:val="18"/>
              </w:rPr>
              <w:t xml:space="preserve">Taux </w:t>
            </w:r>
            <w:r w:rsidR="007D164E" w:rsidRPr="005503BC">
              <w:rPr>
                <w:rFonts w:ascii="Cambria" w:hAnsi="Cambria"/>
                <w:sz w:val="18"/>
                <w:szCs w:val="18"/>
              </w:rPr>
              <w:t>de prises accessoires</w:t>
            </w:r>
            <w:r>
              <w:rPr>
                <w:rFonts w:ascii="Cambria" w:hAnsi="Cambria"/>
                <w:sz w:val="18"/>
                <w:szCs w:val="18"/>
              </w:rPr>
              <w:t>.</w:t>
            </w:r>
          </w:p>
        </w:tc>
        <w:tc>
          <w:tcPr>
            <w:tcW w:w="236" w:type="dxa"/>
            <w:tcBorders>
              <w:top w:val="nil"/>
              <w:left w:val="single" w:sz="4" w:space="0" w:color="auto"/>
              <w:bottom w:val="nil"/>
              <w:right w:val="nil"/>
            </w:tcBorders>
            <w:vAlign w:val="center"/>
          </w:tcPr>
          <w:p w14:paraId="3501B668" w14:textId="77777777" w:rsidR="007D164E" w:rsidRPr="005503BC" w:rsidRDefault="007D164E" w:rsidP="00924DE2">
            <w:pPr>
              <w:spacing w:after="0" w:line="240" w:lineRule="auto"/>
              <w:contextualSpacing/>
              <w:rPr>
                <w:rFonts w:ascii="Cambria" w:eastAsia="Times New Roman" w:hAnsi="Cambria" w:cs="Times New Roman"/>
                <w:sz w:val="18"/>
                <w:szCs w:val="18"/>
              </w:rPr>
            </w:pPr>
          </w:p>
        </w:tc>
      </w:tr>
      <w:tr w:rsidR="00305950" w:rsidRPr="005503BC" w14:paraId="6807ACF9" w14:textId="77777777" w:rsidTr="00140AA1">
        <w:tc>
          <w:tcPr>
            <w:tcW w:w="1164" w:type="dxa"/>
            <w:noWrap/>
            <w:vAlign w:val="center"/>
          </w:tcPr>
          <w:p w14:paraId="114C4143" w14:textId="678F22FD" w:rsidR="00305950" w:rsidRPr="005503BC" w:rsidRDefault="00305950" w:rsidP="00924DE2">
            <w:pPr>
              <w:spacing w:after="0" w:line="240" w:lineRule="auto"/>
              <w:contextualSpacing/>
              <w:jc w:val="center"/>
              <w:rPr>
                <w:rFonts w:ascii="Cambria" w:eastAsia="Times New Roman" w:hAnsi="Cambria" w:cs="Calibri"/>
                <w:b/>
                <w:bCs/>
                <w:color w:val="000000"/>
                <w:sz w:val="18"/>
                <w:szCs w:val="18"/>
              </w:rPr>
            </w:pPr>
            <w:r w:rsidRPr="005503BC">
              <w:rPr>
                <w:rFonts w:ascii="Cambria" w:hAnsi="Cambria"/>
                <w:b/>
                <w:color w:val="000000"/>
                <w:sz w:val="18"/>
                <w:szCs w:val="18"/>
              </w:rPr>
              <w:t>États-Unis</w:t>
            </w:r>
          </w:p>
        </w:tc>
        <w:tc>
          <w:tcPr>
            <w:tcW w:w="914" w:type="dxa"/>
            <w:noWrap/>
            <w:vAlign w:val="center"/>
          </w:tcPr>
          <w:p w14:paraId="35705725" w14:textId="011313A1"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Oui</w:t>
            </w:r>
          </w:p>
        </w:tc>
        <w:tc>
          <w:tcPr>
            <w:tcW w:w="1026" w:type="dxa"/>
            <w:vAlign w:val="center"/>
          </w:tcPr>
          <w:p w14:paraId="31CBFBF0" w14:textId="7535ACC2"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3907</w:t>
            </w:r>
          </w:p>
        </w:tc>
        <w:tc>
          <w:tcPr>
            <w:tcW w:w="841" w:type="dxa"/>
            <w:noWrap/>
            <w:vAlign w:val="center"/>
          </w:tcPr>
          <w:p w14:paraId="0F6A984B" w14:textId="7777777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223</w:t>
            </w:r>
          </w:p>
          <w:p w14:paraId="2D142921" w14:textId="7777777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68</w:t>
            </w:r>
          </w:p>
          <w:p w14:paraId="798CE353" w14:textId="5BD95B0F"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1142</w:t>
            </w:r>
          </w:p>
        </w:tc>
        <w:tc>
          <w:tcPr>
            <w:tcW w:w="728" w:type="dxa"/>
            <w:noWrap/>
            <w:vAlign w:val="center"/>
          </w:tcPr>
          <w:p w14:paraId="61299A9B" w14:textId="7777777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p w14:paraId="29328445" w14:textId="7777777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TO</w:t>
            </w:r>
          </w:p>
          <w:p w14:paraId="2CF9EFC0" w14:textId="32516DA1"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OT</w:t>
            </w:r>
          </w:p>
        </w:tc>
        <w:tc>
          <w:tcPr>
            <w:tcW w:w="851" w:type="dxa"/>
            <w:noWrap/>
            <w:vAlign w:val="center"/>
          </w:tcPr>
          <w:p w14:paraId="0B6F5153" w14:textId="7777777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p>
        </w:tc>
        <w:tc>
          <w:tcPr>
            <w:tcW w:w="992" w:type="dxa"/>
            <w:noWrap/>
            <w:vAlign w:val="center"/>
          </w:tcPr>
          <w:p w14:paraId="368A394D" w14:textId="7777777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223</w:t>
            </w:r>
          </w:p>
          <w:p w14:paraId="6FC513B7" w14:textId="7777777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68</w:t>
            </w:r>
          </w:p>
          <w:p w14:paraId="488F95F3" w14:textId="76923E0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1142</w:t>
            </w:r>
          </w:p>
        </w:tc>
        <w:tc>
          <w:tcPr>
            <w:tcW w:w="739" w:type="dxa"/>
            <w:noWrap/>
            <w:vAlign w:val="center"/>
          </w:tcPr>
          <w:p w14:paraId="636277C5" w14:textId="7777777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p w14:paraId="5399A9B1" w14:textId="7777777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TO</w:t>
            </w:r>
          </w:p>
          <w:p w14:paraId="477858FA" w14:textId="490FBF12" w:rsidR="00305950" w:rsidRPr="005503BC" w:rsidRDefault="00305950"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OT</w:t>
            </w:r>
          </w:p>
        </w:tc>
        <w:tc>
          <w:tcPr>
            <w:tcW w:w="973" w:type="dxa"/>
            <w:noWrap/>
            <w:vAlign w:val="center"/>
          </w:tcPr>
          <w:p w14:paraId="6EFA5685" w14:textId="77777777" w:rsidR="00305950" w:rsidRPr="005503BC" w:rsidRDefault="00305950" w:rsidP="00924DE2">
            <w:pPr>
              <w:spacing w:after="0" w:line="240" w:lineRule="auto"/>
              <w:contextualSpacing/>
              <w:jc w:val="center"/>
              <w:rPr>
                <w:rFonts w:ascii="Cambria" w:eastAsia="Times New Roman" w:hAnsi="Cambria" w:cs="Calibri"/>
                <w:color w:val="000000"/>
                <w:sz w:val="18"/>
                <w:szCs w:val="18"/>
              </w:rPr>
            </w:pPr>
          </w:p>
        </w:tc>
        <w:tc>
          <w:tcPr>
            <w:tcW w:w="2966" w:type="dxa"/>
          </w:tcPr>
          <w:p w14:paraId="14D61525" w14:textId="1A61F150" w:rsidR="00140AA1" w:rsidRPr="0033762F" w:rsidRDefault="00305950" w:rsidP="00924DE2">
            <w:pPr>
              <w:spacing w:after="0" w:line="240" w:lineRule="auto"/>
              <w:contextualSpacing/>
              <w:jc w:val="both"/>
              <w:rPr>
                <w:rFonts w:ascii="Cambria" w:hAnsi="Cambria"/>
                <w:sz w:val="18"/>
                <w:szCs w:val="18"/>
              </w:rPr>
            </w:pPr>
            <w:r w:rsidRPr="0033762F">
              <w:rPr>
                <w:rFonts w:ascii="Cambria" w:hAnsi="Cambria"/>
                <w:sz w:val="18"/>
                <w:szCs w:val="18"/>
              </w:rPr>
              <w:t>Pour plus d'informations, veuillez consulter notre plan complet de pêche/gestion dans le document PA4_801_Annexe 1/2024 (</w:t>
            </w:r>
            <w:hyperlink r:id="rId10" w:history="1">
              <w:r w:rsidRPr="0033762F">
                <w:rPr>
                  <w:rStyle w:val="Hyperlink"/>
                  <w:rFonts w:ascii="Cambria" w:hAnsi="Cambria"/>
                  <w:sz w:val="18"/>
                  <w:szCs w:val="18"/>
                  <w:u w:val="none"/>
                </w:rPr>
                <w:t>https://www.iccat.int/</w:t>
              </w:r>
              <w:r w:rsidRPr="0033762F">
                <w:rPr>
                  <w:rStyle w:val="Hyperlink"/>
                  <w:rFonts w:ascii="Cambria" w:hAnsi="Cambria"/>
                  <w:sz w:val="18"/>
                  <w:szCs w:val="18"/>
                  <w:u w:val="none"/>
                </w:rPr>
                <w:t>com2024/Annex/PA4_801_Annex1.pdf</w:t>
              </w:r>
            </w:hyperlink>
            <w:r w:rsidRPr="0033762F">
              <w:rPr>
                <w:rFonts w:ascii="Cambria" w:hAnsi="Cambria"/>
                <w:sz w:val="18"/>
                <w:szCs w:val="18"/>
              </w:rPr>
              <w:t xml:space="preserve">). Les mesures de gestion pour l’espadon de l’Atlantique sont élaborées, coordonnées et mises en œuvre à travers un seul Plan de gestion des pêches (FMP), le FMP consolidé pour les espèces de grands migrateurs de l’Atlantique de 2006, qui est émis sous la juridiction du NOAA </w:t>
            </w:r>
            <w:r w:rsidRPr="0033762F">
              <w:rPr>
                <w:rFonts w:ascii="Cambria" w:hAnsi="Cambria"/>
                <w:i/>
                <w:iCs/>
                <w:sz w:val="18"/>
                <w:szCs w:val="18"/>
              </w:rPr>
              <w:t>National Marine Fisheries Service.</w:t>
            </w:r>
            <w:r w:rsidRPr="0033762F">
              <w:rPr>
                <w:rFonts w:ascii="Cambria" w:hAnsi="Cambria"/>
                <w:sz w:val="18"/>
                <w:szCs w:val="18"/>
              </w:rPr>
              <w:t xml:space="preserve"> Les </w:t>
            </w:r>
            <w:r w:rsidR="00391B20" w:rsidRPr="0033762F">
              <w:rPr>
                <w:rFonts w:ascii="Cambria" w:hAnsi="Cambria"/>
                <w:sz w:val="18"/>
                <w:szCs w:val="18"/>
              </w:rPr>
              <w:t xml:space="preserve">Recommandations </w:t>
            </w:r>
            <w:r w:rsidRPr="0033762F">
              <w:rPr>
                <w:rFonts w:ascii="Cambria" w:hAnsi="Cambria"/>
                <w:sz w:val="18"/>
                <w:szCs w:val="18"/>
              </w:rPr>
              <w:t xml:space="preserve">adoptées par l’ICCAT, y compris les allocations annuelles de quotas aux États-Unis, sont mises en œuvre aux États-Unis par un règlement en vertu de la Loi sur la Convention des thonidés de l’Atlantique. L’allocation annuelle du quota d’espadon des États-Unis est divisée en quotas de pêche dirigée semestriels équivalents (débarquements commerciaux dans leur ensemble), un quota annuel de capture accidentelle pour les pêcheurs ciblant d’autres espèces ou capturant l’espadon de façon récréative, et une catégorie de réserve. La législation nationale, incluant la Loi Magnuson-Stevens </w:t>
            </w:r>
            <w:r w:rsidRPr="0033762F">
              <w:rPr>
                <w:rFonts w:ascii="Cambria" w:hAnsi="Cambria"/>
                <w:sz w:val="18"/>
                <w:szCs w:val="18"/>
              </w:rPr>
              <w:lastRenderedPageBreak/>
              <w:t>sur la gestion et la conservation des ressources halieutiques, la Loi sur les espèces menacées d'extinction  et la Loi sur la protection des mammifères marins, prévoit aussi des exigences en matière de mesures de conservation et de gestion pour le secteur commercial et le secteur récréatif. Les mesures de gestion, détaillées dans notre plan complet, incluent : d</w:t>
            </w:r>
            <w:r w:rsidR="00297350">
              <w:rPr>
                <w:rFonts w:ascii="Cambria" w:hAnsi="Cambria"/>
                <w:sz w:val="18"/>
                <w:szCs w:val="18"/>
              </w:rPr>
              <w:t xml:space="preserve">élivrance de </w:t>
            </w:r>
            <w:r w:rsidRPr="0033762F">
              <w:rPr>
                <w:rFonts w:ascii="Cambria" w:hAnsi="Cambria"/>
                <w:sz w:val="18"/>
                <w:szCs w:val="18"/>
              </w:rPr>
              <w:t>permis et contrôle de l'effort, des exigences relatives à la taille minimale et aux débarquements, des autorisations d’engins, des limites de rétention, des fermetures spatio-temporelles et des zones de restriction des engins, des exigences de déclaration, le suivi et la déclaration, la réduction des prises accessoires et la mise en application des règlements relatifs à l’espadon.</w:t>
            </w:r>
          </w:p>
        </w:tc>
        <w:tc>
          <w:tcPr>
            <w:tcW w:w="2835" w:type="dxa"/>
            <w:tcBorders>
              <w:bottom w:val="single" w:sz="4" w:space="0" w:color="auto"/>
              <w:right w:val="single" w:sz="4" w:space="0" w:color="auto"/>
            </w:tcBorders>
          </w:tcPr>
          <w:p w14:paraId="73F5E469" w14:textId="1397DE00" w:rsidR="00305950" w:rsidRPr="00BF5491" w:rsidRDefault="00305950" w:rsidP="00924DE2">
            <w:pPr>
              <w:spacing w:after="0" w:line="240" w:lineRule="auto"/>
              <w:contextualSpacing/>
              <w:jc w:val="both"/>
              <w:rPr>
                <w:rFonts w:ascii="Cambria" w:hAnsi="Cambria"/>
                <w:sz w:val="18"/>
                <w:szCs w:val="18"/>
              </w:rPr>
            </w:pPr>
            <w:r w:rsidRPr="00BF5491">
              <w:rPr>
                <w:rFonts w:ascii="Cambria" w:hAnsi="Cambria"/>
                <w:sz w:val="18"/>
                <w:szCs w:val="18"/>
              </w:rPr>
              <w:lastRenderedPageBreak/>
              <w:t>Les États-Unis ont également fait preuve de coopération avec d’autres CPC pour l’exploitation durable du stock. En 2024, conformément à la Rec. 23-04, les États-Unis ont transféré à titre exceptionnel 200 tonnes de leur quota d'espadon de l'Atlantique Nord au Maroc. En 2025, conformément à la Rec. 24-10, les États-Unis ont effectué un transfert unique de quota de 300 tonnes au Costa Rica. Ces transferts visent à faciliter les efforts de gestion coopérative entre les Parties contractantes de l’ICCAT. Veuillez consulter notre plan de pêche/gestion complet inclus dans le PA4_801_Annex 1/2024 (</w:t>
            </w:r>
            <w:hyperlink r:id="rId11" w:history="1">
              <w:r w:rsidRPr="00BF5491">
                <w:rPr>
                  <w:rStyle w:val="Hyperlink"/>
                  <w:rFonts w:ascii="Cambria" w:hAnsi="Cambria"/>
                  <w:sz w:val="18"/>
                  <w:szCs w:val="18"/>
                  <w:u w:val="none"/>
                </w:rPr>
                <w:t>https://www.ic</w:t>
              </w:r>
              <w:r w:rsidRPr="00BF5491">
                <w:rPr>
                  <w:rStyle w:val="Hyperlink"/>
                  <w:rFonts w:ascii="Cambria" w:hAnsi="Cambria"/>
                  <w:sz w:val="18"/>
                  <w:szCs w:val="18"/>
                  <w:u w:val="none"/>
                </w:rPr>
                <w:t>cat.int/com2024/Annex/PA4_801_Annex1.pdf</w:t>
              </w:r>
            </w:hyperlink>
            <w:r w:rsidRPr="00BF5491">
              <w:rPr>
                <w:rFonts w:ascii="Cambria" w:hAnsi="Cambria"/>
                <w:sz w:val="18"/>
                <w:szCs w:val="18"/>
              </w:rPr>
              <w:t>)</w:t>
            </w:r>
            <w:r w:rsidR="00BF5491" w:rsidRPr="00BF5491">
              <w:rPr>
                <w:rFonts w:ascii="Cambria" w:hAnsi="Cambria"/>
                <w:sz w:val="18"/>
                <w:szCs w:val="18"/>
              </w:rPr>
              <w:t xml:space="preserve"> </w:t>
            </w:r>
            <w:r w:rsidR="002649E7" w:rsidRPr="00BF5491">
              <w:rPr>
                <w:rFonts w:ascii="Cambria" w:hAnsi="Cambria"/>
                <w:sz w:val="18"/>
                <w:szCs w:val="18"/>
              </w:rPr>
              <w:t>p</w:t>
            </w:r>
            <w:r w:rsidRPr="00BF5491">
              <w:rPr>
                <w:rFonts w:ascii="Cambria" w:hAnsi="Cambria"/>
                <w:sz w:val="18"/>
                <w:szCs w:val="18"/>
              </w:rPr>
              <w:t xml:space="preserve">our plus de détails sur le développement des pêches et les changements apportés aux mesures de gestion nationales. Ces dernières années, les États-Unis ont proposé ou mis en œuvre des mesures de gestion visant à offrir des avantages aux palangriers pélagiques et aux navires commerciaux à la ligne à main américains qui ciblent l’espadon. Certains des </w:t>
            </w:r>
            <w:r w:rsidRPr="00BF5491">
              <w:rPr>
                <w:rFonts w:ascii="Cambria" w:hAnsi="Cambria"/>
                <w:sz w:val="18"/>
                <w:szCs w:val="18"/>
              </w:rPr>
              <w:lastRenderedPageBreak/>
              <w:t>changements les plus importants ont été mis en œuvre en 2023 ou n’ont pas encore été achevés, de sorte que les avantages pour la pêcherie pourraient ne pas encore être reflétés dans les tendances de captures. En outre, les États-Unis élaborent actuellement une réglementation visant à mettre en œuvre la procédure de gestion prévue par la Rec. 24-10, afin de rationaliser la mise en œuvre des quotas nationaux. Les États-Unis continuent de rechercher des moyens d'améliorer la gestion et la science halieutiques dans le respect des exigences légales applicables, comme le prévoit le décret exécutif sur le rétablissement de la compétitivité des produits de la mer américains.</w:t>
            </w:r>
          </w:p>
        </w:tc>
        <w:tc>
          <w:tcPr>
            <w:tcW w:w="236" w:type="dxa"/>
            <w:tcBorders>
              <w:top w:val="nil"/>
              <w:left w:val="single" w:sz="4" w:space="0" w:color="auto"/>
              <w:bottom w:val="nil"/>
              <w:right w:val="nil"/>
            </w:tcBorders>
            <w:vAlign w:val="center"/>
          </w:tcPr>
          <w:p w14:paraId="3B488449" w14:textId="77777777" w:rsidR="00305950" w:rsidRPr="005503BC" w:rsidRDefault="00305950" w:rsidP="00924DE2">
            <w:pPr>
              <w:spacing w:after="0" w:line="240" w:lineRule="auto"/>
              <w:contextualSpacing/>
              <w:rPr>
                <w:rFonts w:ascii="Cambria" w:eastAsia="Times New Roman" w:hAnsi="Cambria" w:cs="Times New Roman"/>
                <w:sz w:val="18"/>
                <w:szCs w:val="18"/>
              </w:rPr>
            </w:pPr>
          </w:p>
        </w:tc>
      </w:tr>
      <w:tr w:rsidR="00AF1806" w:rsidRPr="005503BC" w14:paraId="3EA537A2" w14:textId="77777777" w:rsidTr="00140AA1">
        <w:tc>
          <w:tcPr>
            <w:tcW w:w="1164" w:type="dxa"/>
            <w:noWrap/>
            <w:vAlign w:val="center"/>
          </w:tcPr>
          <w:p w14:paraId="7A2B8D27" w14:textId="57D2DA04" w:rsidR="00AF1806" w:rsidRPr="005503BC" w:rsidRDefault="00AF1806" w:rsidP="00924DE2">
            <w:pPr>
              <w:spacing w:after="0" w:line="240" w:lineRule="auto"/>
              <w:contextualSpacing/>
              <w:jc w:val="center"/>
              <w:rPr>
                <w:rFonts w:ascii="Cambria" w:eastAsia="Times New Roman" w:hAnsi="Cambria" w:cs="Calibri"/>
                <w:b/>
                <w:bCs/>
                <w:color w:val="000000"/>
                <w:sz w:val="18"/>
                <w:szCs w:val="18"/>
              </w:rPr>
            </w:pPr>
            <w:r w:rsidRPr="005503BC">
              <w:rPr>
                <w:rFonts w:ascii="Cambria" w:hAnsi="Cambria"/>
                <w:b/>
                <w:color w:val="000000"/>
                <w:sz w:val="18"/>
                <w:szCs w:val="18"/>
              </w:rPr>
              <w:t>Venezuela</w:t>
            </w:r>
          </w:p>
        </w:tc>
        <w:tc>
          <w:tcPr>
            <w:tcW w:w="914" w:type="dxa"/>
            <w:noWrap/>
            <w:vAlign w:val="center"/>
          </w:tcPr>
          <w:p w14:paraId="73D317F6" w14:textId="00801657" w:rsidR="00AF1806" w:rsidRPr="005503BC" w:rsidRDefault="00AF180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Non</w:t>
            </w:r>
          </w:p>
        </w:tc>
        <w:tc>
          <w:tcPr>
            <w:tcW w:w="1026" w:type="dxa"/>
            <w:vAlign w:val="center"/>
          </w:tcPr>
          <w:p w14:paraId="044B2FE2" w14:textId="081DDAC6" w:rsidR="00AF1806" w:rsidRPr="005503BC" w:rsidRDefault="00AF180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85</w:t>
            </w:r>
          </w:p>
        </w:tc>
        <w:tc>
          <w:tcPr>
            <w:tcW w:w="841" w:type="dxa"/>
            <w:noWrap/>
            <w:vAlign w:val="center"/>
          </w:tcPr>
          <w:p w14:paraId="537899C9" w14:textId="6AB6E9E1" w:rsidR="00AF1806" w:rsidRPr="005503BC" w:rsidRDefault="00AF180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30</w:t>
            </w:r>
          </w:p>
        </w:tc>
        <w:tc>
          <w:tcPr>
            <w:tcW w:w="728" w:type="dxa"/>
            <w:noWrap/>
            <w:vAlign w:val="center"/>
          </w:tcPr>
          <w:p w14:paraId="54B0A60F" w14:textId="5BA8954E" w:rsidR="00AF1806" w:rsidRPr="005503BC" w:rsidRDefault="00AF1806" w:rsidP="00924DE2">
            <w:pPr>
              <w:spacing w:after="0" w:line="240" w:lineRule="auto"/>
              <w:contextualSpacing/>
              <w:jc w:val="center"/>
              <w:rPr>
                <w:rFonts w:ascii="Cambria" w:eastAsia="Times New Roman" w:hAnsi="Cambria" w:cs="Calibri"/>
                <w:color w:val="000000"/>
                <w:sz w:val="18"/>
                <w:szCs w:val="18"/>
              </w:rPr>
            </w:pPr>
            <w:r w:rsidRPr="005503BC">
              <w:rPr>
                <w:rFonts w:ascii="Cambria" w:hAnsi="Cambria"/>
                <w:color w:val="000000"/>
                <w:sz w:val="18"/>
                <w:szCs w:val="18"/>
              </w:rPr>
              <w:t>LL</w:t>
            </w:r>
          </w:p>
        </w:tc>
        <w:tc>
          <w:tcPr>
            <w:tcW w:w="851" w:type="dxa"/>
            <w:noWrap/>
            <w:vAlign w:val="center"/>
          </w:tcPr>
          <w:p w14:paraId="17DF78D3" w14:textId="77777777" w:rsidR="00AF1806" w:rsidRPr="005503BC" w:rsidRDefault="00AF1806" w:rsidP="00924DE2">
            <w:pPr>
              <w:spacing w:after="0" w:line="240" w:lineRule="auto"/>
              <w:contextualSpacing/>
              <w:jc w:val="center"/>
              <w:rPr>
                <w:rFonts w:ascii="Cambria" w:eastAsia="Times New Roman" w:hAnsi="Cambria" w:cs="Calibri"/>
                <w:color w:val="000000"/>
                <w:sz w:val="18"/>
                <w:szCs w:val="18"/>
              </w:rPr>
            </w:pPr>
          </w:p>
        </w:tc>
        <w:tc>
          <w:tcPr>
            <w:tcW w:w="992" w:type="dxa"/>
            <w:noWrap/>
            <w:vAlign w:val="center"/>
          </w:tcPr>
          <w:p w14:paraId="732AF54A" w14:textId="77777777" w:rsidR="00AF1806" w:rsidRPr="005503BC" w:rsidRDefault="00AF1806" w:rsidP="00924DE2">
            <w:pPr>
              <w:spacing w:after="0" w:line="240" w:lineRule="auto"/>
              <w:contextualSpacing/>
              <w:jc w:val="center"/>
              <w:rPr>
                <w:rFonts w:ascii="Cambria" w:eastAsia="Times New Roman" w:hAnsi="Cambria" w:cs="Calibri"/>
                <w:color w:val="000000"/>
                <w:sz w:val="18"/>
                <w:szCs w:val="18"/>
              </w:rPr>
            </w:pPr>
          </w:p>
        </w:tc>
        <w:tc>
          <w:tcPr>
            <w:tcW w:w="739" w:type="dxa"/>
            <w:noWrap/>
            <w:vAlign w:val="center"/>
          </w:tcPr>
          <w:p w14:paraId="52111264" w14:textId="77777777" w:rsidR="00AF1806" w:rsidRPr="005503BC" w:rsidRDefault="00AF1806" w:rsidP="00924DE2">
            <w:pPr>
              <w:spacing w:after="0" w:line="240" w:lineRule="auto"/>
              <w:contextualSpacing/>
              <w:jc w:val="center"/>
              <w:rPr>
                <w:rFonts w:ascii="Cambria" w:eastAsia="Times New Roman" w:hAnsi="Cambria" w:cs="Calibri"/>
                <w:color w:val="000000"/>
                <w:sz w:val="18"/>
                <w:szCs w:val="18"/>
              </w:rPr>
            </w:pPr>
          </w:p>
        </w:tc>
        <w:tc>
          <w:tcPr>
            <w:tcW w:w="973" w:type="dxa"/>
            <w:noWrap/>
            <w:vAlign w:val="center"/>
          </w:tcPr>
          <w:p w14:paraId="73FB5F91" w14:textId="77777777" w:rsidR="00AF1806" w:rsidRPr="005503BC" w:rsidRDefault="00AF1806" w:rsidP="00924DE2">
            <w:pPr>
              <w:spacing w:after="0" w:line="240" w:lineRule="auto"/>
              <w:contextualSpacing/>
              <w:jc w:val="center"/>
              <w:rPr>
                <w:rFonts w:ascii="Cambria" w:eastAsia="Times New Roman" w:hAnsi="Cambria" w:cs="Calibri"/>
                <w:color w:val="000000"/>
                <w:sz w:val="18"/>
                <w:szCs w:val="18"/>
              </w:rPr>
            </w:pPr>
          </w:p>
        </w:tc>
        <w:tc>
          <w:tcPr>
            <w:tcW w:w="2966" w:type="dxa"/>
          </w:tcPr>
          <w:p w14:paraId="0D8E2455" w14:textId="4C0732FD" w:rsidR="00AF1806" w:rsidRPr="005503BC" w:rsidRDefault="00AF1806" w:rsidP="00924DE2">
            <w:pPr>
              <w:spacing w:after="0" w:line="240" w:lineRule="auto"/>
              <w:contextualSpacing/>
              <w:jc w:val="both"/>
              <w:rPr>
                <w:rFonts w:ascii="Cambria" w:hAnsi="Cambria"/>
                <w:sz w:val="18"/>
                <w:szCs w:val="18"/>
              </w:rPr>
            </w:pPr>
            <w:r w:rsidRPr="005503BC">
              <w:rPr>
                <w:rFonts w:ascii="Cambria" w:hAnsi="Cambria"/>
                <w:sz w:val="18"/>
                <w:szCs w:val="18"/>
              </w:rPr>
              <w:t xml:space="preserve">Mesures de gestion internes actuellement en vigueur : </w:t>
            </w:r>
            <w:r w:rsidR="00873B62">
              <w:rPr>
                <w:rFonts w:ascii="Cambria" w:hAnsi="Cambria"/>
                <w:sz w:val="18"/>
                <w:szCs w:val="18"/>
              </w:rPr>
              <w:t>l’</w:t>
            </w:r>
            <w:r w:rsidR="00873B62" w:rsidRPr="005503BC">
              <w:rPr>
                <w:rFonts w:ascii="Cambria" w:hAnsi="Cambria"/>
                <w:sz w:val="18"/>
                <w:szCs w:val="18"/>
              </w:rPr>
              <w:t>article n° 4</w:t>
            </w:r>
            <w:r w:rsidR="00873B62">
              <w:rPr>
                <w:rFonts w:ascii="Cambria" w:hAnsi="Cambria"/>
                <w:sz w:val="18"/>
                <w:szCs w:val="18"/>
              </w:rPr>
              <w:t xml:space="preserve"> de </w:t>
            </w:r>
            <w:r w:rsidRPr="005503BC">
              <w:rPr>
                <w:rFonts w:ascii="Cambria" w:hAnsi="Cambria"/>
                <w:sz w:val="18"/>
                <w:szCs w:val="18"/>
              </w:rPr>
              <w:t xml:space="preserve">la </w:t>
            </w:r>
            <w:r w:rsidR="00873B62" w:rsidRPr="005503BC">
              <w:rPr>
                <w:rFonts w:ascii="Cambria" w:hAnsi="Cambria"/>
                <w:sz w:val="18"/>
                <w:szCs w:val="18"/>
              </w:rPr>
              <w:t>décision administrative</w:t>
            </w:r>
            <w:r w:rsidRPr="005503BC">
              <w:rPr>
                <w:rFonts w:ascii="Cambria" w:hAnsi="Cambria"/>
                <w:sz w:val="18"/>
                <w:szCs w:val="18"/>
              </w:rPr>
              <w:t xml:space="preserve"> </w:t>
            </w:r>
            <w:r w:rsidR="00873B62">
              <w:rPr>
                <w:rFonts w:ascii="Cambria" w:hAnsi="Cambria"/>
                <w:sz w:val="18"/>
                <w:szCs w:val="18"/>
              </w:rPr>
              <w:t>nº</w:t>
            </w:r>
            <w:r w:rsidRPr="005503BC">
              <w:rPr>
                <w:rFonts w:ascii="Cambria" w:hAnsi="Cambria"/>
                <w:sz w:val="18"/>
                <w:szCs w:val="18"/>
              </w:rPr>
              <w:t xml:space="preserve"> 69/2003  08 -09- 2003 publiée au Journal officiel n° 37.787 du 1er octobre 2003, établit une zone de protection de la pêche où il est interdit de capturer des espèces de la famille des </w:t>
            </w:r>
            <w:r w:rsidRPr="005503BC">
              <w:rPr>
                <w:rFonts w:ascii="Cambria" w:hAnsi="Cambria"/>
                <w:i/>
                <w:iCs/>
                <w:sz w:val="18"/>
                <w:szCs w:val="18"/>
              </w:rPr>
              <w:t>Xiphidae</w:t>
            </w:r>
            <w:r w:rsidRPr="005503BC">
              <w:rPr>
                <w:rFonts w:ascii="Cambria" w:hAnsi="Cambria"/>
                <w:sz w:val="18"/>
                <w:szCs w:val="18"/>
              </w:rPr>
              <w:t xml:space="preserve"> et de la famille des </w:t>
            </w:r>
            <w:r w:rsidRPr="005503BC">
              <w:rPr>
                <w:rFonts w:ascii="Cambria" w:hAnsi="Cambria"/>
                <w:i/>
                <w:iCs/>
                <w:sz w:val="18"/>
                <w:szCs w:val="18"/>
              </w:rPr>
              <w:t>Istiophoridae</w:t>
            </w:r>
            <w:r w:rsidRPr="005503BC">
              <w:rPr>
                <w:rFonts w:ascii="Cambria" w:hAnsi="Cambria"/>
                <w:sz w:val="18"/>
                <w:szCs w:val="18"/>
              </w:rPr>
              <w:t xml:space="preserve"> par les navires commerciaux de plus de 10 unités de tonnage brut (GT) et </w:t>
            </w:r>
            <w:r w:rsidR="00170745">
              <w:rPr>
                <w:rFonts w:ascii="Cambria" w:hAnsi="Cambria"/>
                <w:sz w:val="18"/>
                <w:szCs w:val="18"/>
              </w:rPr>
              <w:t xml:space="preserve">par les navires </w:t>
            </w:r>
            <w:r w:rsidRPr="005503BC">
              <w:rPr>
                <w:rFonts w:ascii="Cambria" w:hAnsi="Cambria"/>
                <w:sz w:val="18"/>
                <w:szCs w:val="18"/>
              </w:rPr>
              <w:t>artisanaux, à l’exception d’une petite flottille de 35 navires appartenant au secteur de Playa Verde, de l'État de La Guaira.</w:t>
            </w:r>
          </w:p>
        </w:tc>
        <w:tc>
          <w:tcPr>
            <w:tcW w:w="2835" w:type="dxa"/>
            <w:tcBorders>
              <w:bottom w:val="single" w:sz="4" w:space="0" w:color="auto"/>
              <w:right w:val="single" w:sz="4" w:space="0" w:color="auto"/>
            </w:tcBorders>
          </w:tcPr>
          <w:p w14:paraId="21147EAA" w14:textId="738A63E3" w:rsidR="00AF1806" w:rsidRPr="005503BC" w:rsidRDefault="00AF1806" w:rsidP="00924DE2">
            <w:pPr>
              <w:spacing w:after="0" w:line="240" w:lineRule="auto"/>
              <w:contextualSpacing/>
              <w:jc w:val="both"/>
              <w:rPr>
                <w:rFonts w:ascii="Cambria" w:hAnsi="Cambria"/>
                <w:sz w:val="18"/>
                <w:szCs w:val="18"/>
              </w:rPr>
            </w:pPr>
            <w:r w:rsidRPr="005503BC">
              <w:rPr>
                <w:rFonts w:ascii="Cambria" w:hAnsi="Cambria"/>
                <w:sz w:val="18"/>
                <w:szCs w:val="18"/>
              </w:rPr>
              <w:t xml:space="preserve">Plans de développement de la pêcherie et mesures de gestion internes envisagées. Un projet de norme technique relative à la gestion des pêches a été élaboré afin d'actualiser la norme qui régit la capture des poissons appartenant aux familles </w:t>
            </w:r>
            <w:r w:rsidRPr="005503BC">
              <w:rPr>
                <w:rFonts w:ascii="Cambria" w:hAnsi="Cambria"/>
                <w:i/>
                <w:iCs/>
                <w:sz w:val="18"/>
                <w:szCs w:val="18"/>
              </w:rPr>
              <w:t>Istiophoridae</w:t>
            </w:r>
            <w:r w:rsidRPr="005503BC">
              <w:rPr>
                <w:rFonts w:ascii="Cambria" w:hAnsi="Cambria"/>
                <w:sz w:val="18"/>
                <w:szCs w:val="18"/>
              </w:rPr>
              <w:t xml:space="preserve"> et </w:t>
            </w:r>
            <w:r w:rsidRPr="005503BC">
              <w:rPr>
                <w:rFonts w:ascii="Cambria" w:hAnsi="Cambria"/>
                <w:i/>
                <w:iCs/>
                <w:sz w:val="18"/>
                <w:szCs w:val="18"/>
              </w:rPr>
              <w:t>Xiphiidae</w:t>
            </w:r>
            <w:r w:rsidRPr="005503BC">
              <w:rPr>
                <w:rFonts w:ascii="Cambria" w:hAnsi="Cambria"/>
                <w:sz w:val="18"/>
                <w:szCs w:val="18"/>
              </w:rPr>
              <w:t xml:space="preserve">. Il est prévu de créer deux nouvelles normes séparant les réglementations relatives aux familles </w:t>
            </w:r>
            <w:r w:rsidRPr="005503BC">
              <w:rPr>
                <w:rFonts w:ascii="Cambria" w:hAnsi="Cambria"/>
                <w:i/>
                <w:iCs/>
                <w:sz w:val="18"/>
                <w:szCs w:val="18"/>
              </w:rPr>
              <w:t>Xiphiidae</w:t>
            </w:r>
            <w:r w:rsidRPr="005503BC">
              <w:rPr>
                <w:rFonts w:ascii="Cambria" w:hAnsi="Cambria"/>
                <w:sz w:val="18"/>
                <w:szCs w:val="18"/>
              </w:rPr>
              <w:t xml:space="preserve"> et </w:t>
            </w:r>
            <w:r w:rsidRPr="005503BC">
              <w:rPr>
                <w:rFonts w:ascii="Cambria" w:hAnsi="Cambria"/>
                <w:i/>
                <w:iCs/>
                <w:sz w:val="18"/>
                <w:szCs w:val="18"/>
              </w:rPr>
              <w:t>Istiophoridae</w:t>
            </w:r>
            <w:r w:rsidRPr="005503BC">
              <w:rPr>
                <w:rFonts w:ascii="Cambria" w:hAnsi="Cambria"/>
                <w:sz w:val="18"/>
                <w:szCs w:val="18"/>
              </w:rPr>
              <w:t xml:space="preserve"> au Venezuela en deux instruments distincts. Ce projet de norme technique est en cours d'approbation pour publication officielle. Au centre du Venezuela, certaines communautés </w:t>
            </w:r>
            <w:r w:rsidRPr="005503BC">
              <w:rPr>
                <w:rFonts w:ascii="Cambria" w:hAnsi="Cambria"/>
                <w:sz w:val="18"/>
                <w:szCs w:val="18"/>
              </w:rPr>
              <w:lastRenderedPageBreak/>
              <w:t>pratiquent la pêche artisanale autour du banc connu sous le nom de « Placer de La Guaira », l'un des points chauds les plus réputés de l'océan Atlantique pour la pêche aux istiophoridés, où se concentrent les makaires. L'une des ressources qu'ils capturent  est l'espadon, et même, à certaines périodes de l'année, ils ciblent leurs captures sur cette ressource halieutique. Parmi ces communautés, on peut citer La Zorra, Arrecife, Puerto Maya, Puerto Cruz, Caraballeda, Chichiriviche, Cuyagua, Choroni, Cepe, Chuao, entre autres.                                                                                                                                                                                            Le Venezuela travaille actuellement à l'élaboration d'un plan de surveillance qui prévoit une série d'actions telles que : la caractérisation de la flottille artisanale qui capture des espèces relevant de l’ICCAT, des ateliers de formation et de sensibilisation pour les pêcheurs, la mise à jour des législations pertinentes, la formation d'inspecteurs spécialisés dans la pêche artisanale, entre autres, qui nous permettront de mettre en place un plan de surveillance efficace dans les communautés concernées.</w:t>
            </w:r>
          </w:p>
        </w:tc>
        <w:tc>
          <w:tcPr>
            <w:tcW w:w="236" w:type="dxa"/>
            <w:tcBorders>
              <w:top w:val="nil"/>
              <w:left w:val="single" w:sz="4" w:space="0" w:color="auto"/>
              <w:bottom w:val="nil"/>
              <w:right w:val="nil"/>
            </w:tcBorders>
            <w:vAlign w:val="center"/>
          </w:tcPr>
          <w:p w14:paraId="2A4BF290" w14:textId="77777777" w:rsidR="00AF1806" w:rsidRPr="005503BC" w:rsidRDefault="00AF1806" w:rsidP="00924DE2">
            <w:pPr>
              <w:spacing w:after="0" w:line="240" w:lineRule="auto"/>
              <w:contextualSpacing/>
              <w:rPr>
                <w:rFonts w:ascii="Cambria" w:eastAsia="Times New Roman" w:hAnsi="Cambria" w:cs="Times New Roman"/>
                <w:sz w:val="18"/>
                <w:szCs w:val="18"/>
              </w:rPr>
            </w:pPr>
          </w:p>
        </w:tc>
      </w:tr>
    </w:tbl>
    <w:p w14:paraId="028BFB74" w14:textId="77777777" w:rsidR="00647AF6" w:rsidRPr="004F0304" w:rsidRDefault="00647AF6" w:rsidP="00924DE2">
      <w:pPr>
        <w:spacing w:after="0" w:line="240" w:lineRule="auto"/>
        <w:contextualSpacing/>
        <w:rPr>
          <w:rFonts w:ascii="Cambria" w:hAnsi="Cambria"/>
          <w:sz w:val="20"/>
          <w:szCs w:val="20"/>
        </w:rPr>
        <w:sectPr w:rsidR="00647AF6" w:rsidRPr="004F0304" w:rsidSect="00E84D95">
          <w:pgSz w:w="15840" w:h="12240" w:orient="landscape"/>
          <w:pgMar w:top="1440" w:right="1021" w:bottom="1440" w:left="1134" w:header="850" w:footer="1134" w:gutter="0"/>
          <w:cols w:space="720"/>
          <w:docGrid w:linePitch="360"/>
        </w:sectPr>
      </w:pPr>
    </w:p>
    <w:p w14:paraId="7EAB42AB" w14:textId="0E4DCF40" w:rsidR="00647AF6" w:rsidRPr="00CD62D8" w:rsidRDefault="00647AF6" w:rsidP="00924DE2">
      <w:pPr>
        <w:spacing w:after="0" w:line="240" w:lineRule="auto"/>
        <w:contextualSpacing/>
        <w:rPr>
          <w:rFonts w:ascii="Cambria" w:hAnsi="Cambria"/>
          <w:sz w:val="20"/>
          <w:szCs w:val="20"/>
        </w:rPr>
      </w:pPr>
      <w:r>
        <w:rPr>
          <w:rFonts w:ascii="Cambria" w:hAnsi="Cambria"/>
          <w:b/>
          <w:sz w:val="20"/>
        </w:rPr>
        <w:lastRenderedPageBreak/>
        <w:t>Canada</w:t>
      </w:r>
    </w:p>
    <w:p w14:paraId="0B29A26B" w14:textId="77777777" w:rsidR="00647AF6" w:rsidRPr="004F0304" w:rsidRDefault="00647AF6" w:rsidP="00924DE2">
      <w:pPr>
        <w:spacing w:after="0" w:line="240" w:lineRule="auto"/>
        <w:contextualSpacing/>
        <w:rPr>
          <w:rFonts w:ascii="Cambria" w:hAnsi="Cambria" w:cs="Times New Roman"/>
          <w:b/>
          <w:color w:val="000000"/>
          <w:sz w:val="20"/>
          <w:szCs w:val="20"/>
          <w:lang w:eastAsia="en-CA"/>
        </w:rPr>
      </w:pPr>
    </w:p>
    <w:p w14:paraId="5748A5EE" w14:textId="72ED7B4D" w:rsidR="00647AF6" w:rsidRPr="00CD62D8" w:rsidRDefault="00647AF6" w:rsidP="00924DE2">
      <w:pPr>
        <w:spacing w:after="0" w:line="240" w:lineRule="auto"/>
        <w:contextualSpacing/>
        <w:rPr>
          <w:rFonts w:ascii="Cambria" w:hAnsi="Cambria" w:cs="Times New Roman"/>
          <w:color w:val="000000"/>
          <w:sz w:val="20"/>
          <w:szCs w:val="20"/>
        </w:rPr>
      </w:pPr>
      <w:r>
        <w:rPr>
          <w:rFonts w:ascii="Cambria" w:hAnsi="Cambria"/>
          <w:b/>
          <w:color w:val="000000"/>
          <w:sz w:val="20"/>
        </w:rPr>
        <w:t>Résumé exécutif</w:t>
      </w:r>
    </w:p>
    <w:p w14:paraId="19128B1B" w14:textId="77777777" w:rsidR="00647AF6" w:rsidRPr="004F0304" w:rsidRDefault="00647AF6" w:rsidP="00924DE2">
      <w:pPr>
        <w:spacing w:after="0" w:line="240" w:lineRule="auto"/>
        <w:contextualSpacing/>
        <w:rPr>
          <w:rFonts w:ascii="Cambria" w:hAnsi="Cambria" w:cs="Times New Roman"/>
          <w:sz w:val="20"/>
          <w:szCs w:val="20"/>
        </w:rPr>
      </w:pPr>
    </w:p>
    <w:p w14:paraId="67F39835" w14:textId="77777777"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t xml:space="preserve">La Recommandation 17-02 de l'ICCAT stipule que chaque Partie contractante et Partie, Entité ou Entité de pêche non contractante coopérante devra soumettre au Secrétariat les modifications à son plan de développement, de pêche ou de gestion avant le 15 septembre. Le présent document décrit l'historique, la gestion et les aspects socio-économiques et les aspirations futures de la pêcherie d'espadon de l'Atlantique Nord du Canada.  </w:t>
      </w:r>
    </w:p>
    <w:p w14:paraId="76CFA169" w14:textId="77777777" w:rsidR="006677AB" w:rsidRPr="004F0304" w:rsidRDefault="006677AB" w:rsidP="00924DE2">
      <w:pPr>
        <w:spacing w:after="0" w:line="240" w:lineRule="auto"/>
        <w:contextualSpacing/>
        <w:jc w:val="both"/>
        <w:rPr>
          <w:rFonts w:ascii="Cambria" w:hAnsi="Cambria"/>
          <w:sz w:val="20"/>
          <w:szCs w:val="20"/>
        </w:rPr>
      </w:pPr>
    </w:p>
    <w:p w14:paraId="07231647" w14:textId="47A11EA4"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t xml:space="preserve">La pêche de l’espadon de l’Atlantique Nord au Canada remonte aux années 1880. À l'heure actuelle, cette pêcherie exclusivement commerciale reste socialement et économiquement importante pour de nombreuses communautés côtières et indigènes partout au Canada atlantique. Les débarquements annuels </w:t>
      </w:r>
      <w:r w:rsidR="00361D97">
        <w:rPr>
          <w:rFonts w:ascii="Cambria" w:hAnsi="Cambria"/>
          <w:sz w:val="20"/>
        </w:rPr>
        <w:t xml:space="preserve">ont </w:t>
      </w:r>
      <w:r>
        <w:rPr>
          <w:rFonts w:ascii="Cambria" w:hAnsi="Cambria"/>
          <w:sz w:val="20"/>
        </w:rPr>
        <w:t>gén</w:t>
      </w:r>
      <w:r w:rsidR="00361D97">
        <w:rPr>
          <w:rFonts w:ascii="Cambria" w:hAnsi="Cambria"/>
          <w:sz w:val="20"/>
        </w:rPr>
        <w:t>éré</w:t>
      </w:r>
      <w:r>
        <w:rPr>
          <w:rFonts w:ascii="Cambria" w:hAnsi="Cambria"/>
          <w:sz w:val="20"/>
        </w:rPr>
        <w:t xml:space="preserve"> plus de 17,5 millions USD de revenus dans plusieurs ports de l’Atlantique</w:t>
      </w:r>
      <w:r w:rsidR="00361D97">
        <w:rPr>
          <w:rFonts w:ascii="Cambria" w:hAnsi="Cambria"/>
          <w:sz w:val="20"/>
        </w:rPr>
        <w:t xml:space="preserve"> en 2023.</w:t>
      </w:r>
    </w:p>
    <w:p w14:paraId="250643A1" w14:textId="77777777" w:rsidR="006677AB" w:rsidRPr="004F0304" w:rsidRDefault="006677AB" w:rsidP="00924DE2">
      <w:pPr>
        <w:spacing w:after="0" w:line="240" w:lineRule="auto"/>
        <w:contextualSpacing/>
        <w:jc w:val="both"/>
        <w:rPr>
          <w:rFonts w:ascii="Cambria" w:hAnsi="Cambria"/>
          <w:sz w:val="20"/>
          <w:szCs w:val="20"/>
        </w:rPr>
      </w:pPr>
    </w:p>
    <w:p w14:paraId="681A6048" w14:textId="5947FE5A"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t>L'allocation initiale d’espadon de l’Atlantique Nord allouée au Canada au titre de 2024 s'élevait à 1.348 tonnes</w:t>
      </w:r>
      <w:r w:rsidR="00A25A70">
        <w:rPr>
          <w:rFonts w:ascii="Cambria" w:hAnsi="Cambria"/>
          <w:sz w:val="20"/>
        </w:rPr>
        <w:t> ;</w:t>
      </w:r>
      <w:r>
        <w:rPr>
          <w:rFonts w:ascii="Cambria" w:hAnsi="Cambria"/>
          <w:sz w:val="20"/>
        </w:rPr>
        <w:t xml:space="preserve"> 5 tonnes de celle-ci </w:t>
      </w:r>
      <w:r w:rsidR="000C4331">
        <w:rPr>
          <w:rFonts w:ascii="Cambria" w:hAnsi="Cambria"/>
          <w:sz w:val="20"/>
        </w:rPr>
        <w:t>ont</w:t>
      </w:r>
      <w:r>
        <w:rPr>
          <w:rFonts w:ascii="Cambria" w:hAnsi="Cambria"/>
          <w:sz w:val="20"/>
        </w:rPr>
        <w:t xml:space="preserve"> été allouée</w:t>
      </w:r>
      <w:r w:rsidR="000C4331">
        <w:rPr>
          <w:rFonts w:ascii="Cambria" w:hAnsi="Cambria"/>
          <w:sz w:val="20"/>
        </w:rPr>
        <w:t>s</w:t>
      </w:r>
      <w:r>
        <w:rPr>
          <w:rFonts w:ascii="Cambria" w:hAnsi="Cambria"/>
          <w:sz w:val="20"/>
        </w:rPr>
        <w:t xml:space="preserve"> à sa flottille thonière hauturière capturant l'espadon en tant qu'espèce accessoire. L'allocation restante a été partagée entre deux flottilles ciblant l'espadon de l'Atlantique Nord : </w:t>
      </w:r>
      <w:r w:rsidR="00135B9A">
        <w:rPr>
          <w:rFonts w:ascii="Cambria" w:hAnsi="Cambria"/>
          <w:sz w:val="20"/>
        </w:rPr>
        <w:t>quatre</w:t>
      </w:r>
      <w:r>
        <w:rPr>
          <w:rFonts w:ascii="Cambria" w:hAnsi="Cambria"/>
          <w:sz w:val="20"/>
        </w:rPr>
        <w:t xml:space="preserve">-vingt-dix pour cent sont attribués à la flottille palangrière et dix pour cent à la flottille opérant avec des harpons. Depuis 2020, le Canada teste la viabilité des engins de pêche à la canne et au moulinet et des engins à bouée tendue dans la pêcherie commerciale à l'espadon. Les scientifiques canadiens évalueront les taux de prises accessoires des nouveaux engins. </w:t>
      </w:r>
    </w:p>
    <w:p w14:paraId="6CECF88F" w14:textId="77777777" w:rsidR="006677AB" w:rsidRPr="004F0304" w:rsidRDefault="006677AB" w:rsidP="00924DE2">
      <w:pPr>
        <w:spacing w:after="0" w:line="240" w:lineRule="auto"/>
        <w:contextualSpacing/>
        <w:jc w:val="both"/>
        <w:rPr>
          <w:rFonts w:ascii="Cambria" w:hAnsi="Cambria"/>
          <w:sz w:val="20"/>
          <w:szCs w:val="20"/>
        </w:rPr>
      </w:pPr>
    </w:p>
    <w:p w14:paraId="56EC96BA" w14:textId="36C7387C"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t xml:space="preserve">De 2020 à 2024, Canada a constamment démontré sa capacité à utiliser pleinement son quota de l’ICCAT avec des débarquements annuels moyens de 114 pour cent de ses allocations annuelles initiales (avant les transferts de quotas) au cours de cette période de quatre ans. En 2024, le Canada a obtenu 124 % de ses allocations annuelles (avant les transferts de quotas). Depuis 2004, le Canada s’est vu allouer 1.348 t des allocations de quota de l'ICCAT (soit 10,5 % des limites de capture). Toutefois, le Canada a débarqué près de 13,2 pour cent de la capture totale d’espadon de l’Atlantique Nord tous les ans au cours de ces dix dernières années (2014 – 2023) en raison de la réception de transferts de quotas. </w:t>
      </w:r>
    </w:p>
    <w:p w14:paraId="6B5F7933" w14:textId="77777777" w:rsidR="006677AB" w:rsidRPr="004F0304" w:rsidRDefault="006677AB" w:rsidP="00924DE2">
      <w:pPr>
        <w:spacing w:after="0" w:line="240" w:lineRule="auto"/>
        <w:contextualSpacing/>
        <w:jc w:val="both"/>
        <w:rPr>
          <w:rFonts w:ascii="Cambria" w:hAnsi="Cambria"/>
          <w:sz w:val="20"/>
          <w:szCs w:val="20"/>
        </w:rPr>
      </w:pPr>
    </w:p>
    <w:p w14:paraId="4D5F3EFA" w14:textId="25A2F9B8"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t>Étant donné qu'il s'agit de la base des travaux de recherche et des évaluations de stock fiables, le Canada recueille, entre autres, les données de capture et d'effort de toutes les sorties de pêche. Depuis 1996, un programme de suivi au quai financé par l'industrie (DMP) a été mis en place au Canada atlantique afin de fournir la vérification par un tiers indépendant des présentations des carnets de pêche. Le DMP du Canada est réalisé par des agents certifiés qui supervisent 100% des déchargements d'espadon au Canada Atlantique et saisissent les données des carnets de pêche dans une base de données centrale. Le DMP veille à ce que des informations précises et fiables sur le nombre de poissons capturés, leur poids, l'effort, les conditions environnementales et d'autres statistiques vitales soient collectées. Ces données sont disponibles en temps réel pour les gestionnaires des pêcheries, les scientifiques et les agents d'exécution.</w:t>
      </w:r>
    </w:p>
    <w:p w14:paraId="5CD75F50" w14:textId="77777777" w:rsidR="006677AB" w:rsidRPr="004F0304" w:rsidRDefault="006677AB" w:rsidP="00924DE2">
      <w:pPr>
        <w:spacing w:after="0" w:line="240" w:lineRule="auto"/>
        <w:contextualSpacing/>
        <w:jc w:val="both"/>
        <w:rPr>
          <w:rFonts w:ascii="Cambria" w:hAnsi="Cambria"/>
          <w:sz w:val="20"/>
          <w:szCs w:val="20"/>
        </w:rPr>
      </w:pPr>
    </w:p>
    <w:p w14:paraId="59FFDBC1" w14:textId="7840C075"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t>L'approche globale du Canada concernant l'application comprend également l'obligation que tous les palangriers soient équipés d'un système de surveillance des navires (VMS), même s'il n'y a actuellement que deux palangriers pélagiques, sur les 77, battant le pavillon du Canada de plus de 20 mètres de longueur, et donc tenus de respecter la mesure VMS de l'ICCAT.</w:t>
      </w:r>
    </w:p>
    <w:p w14:paraId="7619C45A" w14:textId="77777777" w:rsidR="006677AB" w:rsidRPr="004F0304" w:rsidRDefault="006677AB" w:rsidP="00924DE2">
      <w:pPr>
        <w:spacing w:after="0" w:line="240" w:lineRule="auto"/>
        <w:contextualSpacing/>
        <w:jc w:val="both"/>
        <w:rPr>
          <w:rFonts w:ascii="Cambria" w:hAnsi="Cambria"/>
          <w:sz w:val="20"/>
          <w:szCs w:val="20"/>
        </w:rPr>
      </w:pPr>
    </w:p>
    <w:p w14:paraId="479E5A46" w14:textId="77777777"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t xml:space="preserve">Le suivi et l'application des mesures de gestion de l'espadon au Canada sont des éléments essentiels pour garantir la durabilité de l'espèce. Les agents des Pêches et Océans du Canada utilisent diverses méthodes pour contrôler l'activité de pêche à l'espadon afin de promouvoir le respect des mesures de gestion des pêcheries d'espadon, notamment la surveillance aérienne, les inspections en mer et dans les ports, les observateurs en mer et les systèmes de surveillance des navires. En plus des inspections en mer et au port, les agents des pêches inspectent les installations d'achat et de transformation de l'espadon et réalisent des audits du programme de contrôle à quai dans cette pêcherie. En 2024, 238,5 heures de travail des agents des pêches ont été consacrées à la pêcherie d’espadon. </w:t>
      </w:r>
    </w:p>
    <w:p w14:paraId="477DA855" w14:textId="77777777" w:rsidR="006677AB" w:rsidRPr="004F0304" w:rsidRDefault="006677AB" w:rsidP="00924DE2">
      <w:pPr>
        <w:spacing w:after="0" w:line="240" w:lineRule="auto"/>
        <w:contextualSpacing/>
        <w:jc w:val="both"/>
        <w:rPr>
          <w:rFonts w:ascii="Cambria" w:hAnsi="Cambria"/>
          <w:sz w:val="20"/>
          <w:szCs w:val="20"/>
        </w:rPr>
      </w:pPr>
    </w:p>
    <w:p w14:paraId="20F9FD22" w14:textId="77777777"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lastRenderedPageBreak/>
        <w:t xml:space="preserve">Depuis 2012, en reconnaissance du régime de gestion solide appliqué à ces pêcheries au Canada, les flottilles palangrières et au harpon ciblant l'espadon de l’Atlantique Nord ont obtenu la certification Marine Stewardship Council. Le Canada est le premier membre de l'ICCAT à avoir obtenu cette certification pour l'ensemble de sa flottille d'espadon. </w:t>
      </w:r>
    </w:p>
    <w:p w14:paraId="01DFE280" w14:textId="77777777" w:rsidR="001A07F9" w:rsidRPr="004F0304" w:rsidRDefault="001A07F9" w:rsidP="00924DE2">
      <w:pPr>
        <w:spacing w:after="0" w:line="240" w:lineRule="auto"/>
        <w:contextualSpacing/>
        <w:jc w:val="both"/>
        <w:rPr>
          <w:rFonts w:ascii="Cambria" w:hAnsi="Cambria"/>
          <w:sz w:val="20"/>
          <w:szCs w:val="20"/>
        </w:rPr>
      </w:pPr>
    </w:p>
    <w:p w14:paraId="3170C2B1" w14:textId="7C6559D3"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t xml:space="preserve">Le Canada a joué un rôle moteur dans l’appui aux recherches scientifiques de l’ICCAT portant sur les ressources d’espadon dans l’Atlantique ces dernières décennies. Grâce à sa capacité notoire à collecter et maintenir des statistiques halieutiques importantes pour l’évaluation du stock, le Canada apporte la plus longue série de données sur les taux de capture à l’évaluation du stock de l’Atlantique Nord depuis 1963. </w:t>
      </w:r>
    </w:p>
    <w:p w14:paraId="12C98C3F" w14:textId="77777777" w:rsidR="001A07F9" w:rsidRPr="004F0304" w:rsidRDefault="001A07F9" w:rsidP="00924DE2">
      <w:pPr>
        <w:spacing w:after="0" w:line="240" w:lineRule="auto"/>
        <w:contextualSpacing/>
        <w:jc w:val="both"/>
        <w:rPr>
          <w:rFonts w:ascii="Cambria" w:hAnsi="Cambria"/>
          <w:sz w:val="20"/>
          <w:szCs w:val="20"/>
        </w:rPr>
      </w:pPr>
    </w:p>
    <w:p w14:paraId="4DE9C2C3" w14:textId="77777777"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t>À compter de 2018, le Canada a dirigé la création d'un programme de recherche international financé par l’ICCAT et la Commission européenne pour l'espadon dans l'océan Atlantique et la mer Méditerranée. Ce programme vise à améliorer la connaissance de la distribution des stocks, de l'âge et du sexe de la capture, du taux de croissance, de l'âge de maturité, du taux de maturité, de la saison de frai et de la localisation et du régime alimentaire pour chacun des trois stocks d’espadon relevant de l’ICCAT. Ces données et les analyses qui en résultent contribuent aux travaux d’évaluation et sur la MSE de l’ICCAT.</w:t>
      </w:r>
    </w:p>
    <w:p w14:paraId="5EAF9051" w14:textId="77777777" w:rsidR="006677AB" w:rsidRPr="004F0304" w:rsidRDefault="006677AB" w:rsidP="00924DE2">
      <w:pPr>
        <w:spacing w:after="0" w:line="240" w:lineRule="auto"/>
        <w:contextualSpacing/>
        <w:jc w:val="both"/>
        <w:rPr>
          <w:rFonts w:ascii="Cambria" w:hAnsi="Cambria"/>
          <w:sz w:val="20"/>
          <w:szCs w:val="20"/>
        </w:rPr>
      </w:pPr>
    </w:p>
    <w:p w14:paraId="1BE1911A" w14:textId="77777777" w:rsidR="006677AB" w:rsidRPr="00CD62D8" w:rsidRDefault="006677AB" w:rsidP="00924DE2">
      <w:pPr>
        <w:spacing w:after="0" w:line="240" w:lineRule="auto"/>
        <w:contextualSpacing/>
        <w:jc w:val="both"/>
        <w:rPr>
          <w:rFonts w:ascii="Cambria" w:hAnsi="Cambria"/>
          <w:sz w:val="20"/>
          <w:szCs w:val="20"/>
        </w:rPr>
      </w:pPr>
      <w:r>
        <w:rPr>
          <w:rFonts w:ascii="Cambria" w:hAnsi="Cambria"/>
          <w:sz w:val="20"/>
        </w:rPr>
        <w:t>L’industrie halieutique du Canada s’engage pleinement dans les efforts de conservation et de gestion de cette espèce pour en assurer la durabilité, y compris la participation à la recherche scientifique, le financement d’observateurs indépendants pour suivre en mer la pêcherie et le financement de tierces parties indépendantes chargées d’observer et d’enregistrer tous les débarquements à quai. La flottille de harpon fournit des fonds ou des apports en nature en termes de navires pour la recherche scientifique au lieu de la couverture par les observateurs en mer.</w:t>
      </w:r>
    </w:p>
    <w:p w14:paraId="7B74C787" w14:textId="77777777" w:rsidR="006677AB" w:rsidRPr="004F0304" w:rsidRDefault="006677AB" w:rsidP="00924DE2">
      <w:pPr>
        <w:spacing w:after="0" w:line="240" w:lineRule="auto"/>
        <w:contextualSpacing/>
        <w:jc w:val="both"/>
        <w:rPr>
          <w:rFonts w:ascii="Cambria" w:hAnsi="Cambria"/>
          <w:sz w:val="20"/>
          <w:szCs w:val="20"/>
        </w:rPr>
      </w:pPr>
    </w:p>
    <w:p w14:paraId="1AE9723F" w14:textId="0A37A9C0" w:rsidR="00CE1067" w:rsidRPr="00102FBE" w:rsidRDefault="006677AB" w:rsidP="00924DE2">
      <w:pPr>
        <w:autoSpaceDE w:val="0"/>
        <w:autoSpaceDN w:val="0"/>
        <w:adjustRightInd w:val="0"/>
        <w:spacing w:after="0" w:line="240" w:lineRule="auto"/>
        <w:contextualSpacing/>
        <w:jc w:val="both"/>
        <w:rPr>
          <w:rFonts w:ascii="Cambria" w:hAnsi="Cambria"/>
          <w:sz w:val="20"/>
          <w:szCs w:val="20"/>
        </w:rPr>
      </w:pPr>
      <w:r>
        <w:rPr>
          <w:rFonts w:ascii="Cambria" w:hAnsi="Cambria"/>
          <w:sz w:val="20"/>
        </w:rPr>
        <w:t xml:space="preserve">À l'instar d'autres membres de l’ICCAT, le Canada a accepté des quotas considérablement inférieurs pendant la période de rétablissement de la pêcherie ; le Canada a démontré sa capacité à utiliser la totalité de son quota initial ainsi que la quasi-totalité des transferts de quotas reçus au cours des années précédentes. Le Canada vise toujours à élargir l‘accès à cette pêcherie afin d’assurer la viabilité </w:t>
      </w:r>
      <w:r w:rsidR="0083300C">
        <w:rPr>
          <w:rFonts w:ascii="Cambria" w:hAnsi="Cambria"/>
          <w:sz w:val="20"/>
        </w:rPr>
        <w:t>de</w:t>
      </w:r>
      <w:r>
        <w:rPr>
          <w:rFonts w:ascii="Cambria" w:hAnsi="Cambria"/>
          <w:sz w:val="20"/>
        </w:rPr>
        <w:t xml:space="preserve"> ses communautés côtières.</w:t>
      </w:r>
    </w:p>
    <w:sectPr w:rsidR="00CE1067" w:rsidRPr="00102FBE" w:rsidSect="001A07F9">
      <w:pgSz w:w="12240" w:h="15840"/>
      <w:pgMar w:top="1021" w:right="1440" w:bottom="1134"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DF89" w14:textId="77777777" w:rsidR="000B07B3" w:rsidRDefault="000B07B3" w:rsidP="00033B23">
      <w:pPr>
        <w:spacing w:after="0" w:line="240" w:lineRule="auto"/>
      </w:pPr>
      <w:r>
        <w:separator/>
      </w:r>
    </w:p>
  </w:endnote>
  <w:endnote w:type="continuationSeparator" w:id="0">
    <w:p w14:paraId="5A41ADB7" w14:textId="77777777" w:rsidR="000B07B3" w:rsidRDefault="000B07B3" w:rsidP="0003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E929" w14:textId="39CD5BA7" w:rsidR="005D4BD1" w:rsidRPr="005D4BD1" w:rsidRDefault="005D4BD1" w:rsidP="005D4BD1">
    <w:pPr>
      <w:tabs>
        <w:tab w:val="center" w:pos="4535"/>
        <w:tab w:val="center" w:pos="4680"/>
        <w:tab w:val="left" w:pos="6150"/>
        <w:tab w:val="right" w:pos="9360"/>
      </w:tabs>
      <w:spacing w:after="0" w:line="240" w:lineRule="auto"/>
      <w:jc w:val="center"/>
      <w:rPr>
        <w:rFonts w:ascii="Cambria" w:eastAsia="Calibri" w:hAnsi="Cambria" w:cs="Calibri"/>
        <w:sz w:val="20"/>
      </w:rPr>
    </w:pPr>
    <w:r w:rsidRPr="003D4EC2">
      <w:rPr>
        <w:rFonts w:ascii="Cambria" w:eastAsia="Calibri" w:hAnsi="Cambria" w:cs="Calibri"/>
        <w:sz w:val="20"/>
      </w:rPr>
      <w:fldChar w:fldCharType="begin"/>
    </w:r>
    <w:r w:rsidRPr="003D4EC2">
      <w:rPr>
        <w:rFonts w:ascii="Cambria" w:eastAsia="Calibri" w:hAnsi="Cambria" w:cs="Calibri"/>
        <w:sz w:val="20"/>
      </w:rPr>
      <w:instrText xml:space="preserve"> PAGE </w:instrText>
    </w:r>
    <w:r w:rsidRPr="003D4EC2">
      <w:rPr>
        <w:rFonts w:ascii="Cambria" w:eastAsia="Calibri" w:hAnsi="Cambria" w:cs="Calibri"/>
        <w:sz w:val="20"/>
      </w:rPr>
      <w:fldChar w:fldCharType="separate"/>
    </w:r>
    <w:r>
      <w:rPr>
        <w:rFonts w:ascii="Cambria" w:eastAsia="Calibri" w:hAnsi="Cambria" w:cs="Calibri"/>
        <w:sz w:val="20"/>
      </w:rPr>
      <w:t>1</w:t>
    </w:r>
    <w:r w:rsidRPr="003D4EC2">
      <w:rPr>
        <w:rFonts w:ascii="Cambria" w:eastAsia="Calibri" w:hAnsi="Cambria" w:cs="Calibri"/>
        <w:sz w:val="20"/>
      </w:rPr>
      <w:fldChar w:fldCharType="end"/>
    </w:r>
    <w:r>
      <w:rPr>
        <w:rFonts w:ascii="Cambria" w:hAnsi="Cambria"/>
        <w:sz w:val="20"/>
      </w:rPr>
      <w:t xml:space="preserve"> / </w:t>
    </w:r>
    <w:r w:rsidRPr="003D4EC2">
      <w:rPr>
        <w:rFonts w:ascii="Cambria" w:eastAsia="Calibri" w:hAnsi="Cambria" w:cs="Calibri"/>
        <w:sz w:val="20"/>
      </w:rPr>
      <w:fldChar w:fldCharType="begin"/>
    </w:r>
    <w:r w:rsidRPr="003D4EC2">
      <w:rPr>
        <w:rFonts w:ascii="Cambria" w:eastAsia="Calibri" w:hAnsi="Cambria" w:cs="Calibri"/>
        <w:sz w:val="20"/>
      </w:rPr>
      <w:instrText xml:space="preserve"> NUMPAGES  </w:instrText>
    </w:r>
    <w:r w:rsidRPr="003D4EC2">
      <w:rPr>
        <w:rFonts w:ascii="Cambria" w:eastAsia="Calibri" w:hAnsi="Cambria" w:cs="Calibri"/>
        <w:sz w:val="20"/>
      </w:rPr>
      <w:fldChar w:fldCharType="separate"/>
    </w:r>
    <w:r>
      <w:rPr>
        <w:rFonts w:ascii="Cambria" w:eastAsia="Calibri" w:hAnsi="Cambria" w:cs="Calibri"/>
        <w:sz w:val="20"/>
      </w:rPr>
      <w:t>2</w:t>
    </w:r>
    <w:r w:rsidRPr="003D4EC2">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4343" w14:textId="77777777" w:rsidR="000B07B3" w:rsidRDefault="000B07B3" w:rsidP="00033B23">
      <w:pPr>
        <w:spacing w:after="0" w:line="240" w:lineRule="auto"/>
      </w:pPr>
      <w:r>
        <w:separator/>
      </w:r>
    </w:p>
  </w:footnote>
  <w:footnote w:type="continuationSeparator" w:id="0">
    <w:p w14:paraId="64060523" w14:textId="77777777" w:rsidR="000B07B3" w:rsidRDefault="000B07B3" w:rsidP="0003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87EB" w14:textId="3384955F" w:rsidR="00033B23" w:rsidRPr="00033B23" w:rsidRDefault="00033B23" w:rsidP="00033B23">
    <w:pPr>
      <w:widowControl w:val="0"/>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PA4_801/2025</w:t>
    </w:r>
  </w:p>
  <w:p w14:paraId="78370D4C" w14:textId="11192242" w:rsidR="00033B23" w:rsidRPr="00033B23" w:rsidRDefault="00033B23" w:rsidP="00033B23">
    <w:pPr>
      <w:widowControl w:val="0"/>
      <w:tabs>
        <w:tab w:val="left" w:pos="7320"/>
      </w:tabs>
      <w:spacing w:after="0" w:line="240" w:lineRule="exact"/>
      <w:jc w:val="right"/>
      <w:rPr>
        <w:rFonts w:ascii="Cambria" w:eastAsia="Calibri" w:hAnsi="Cambria" w:cs="Times New Roman"/>
        <w:b/>
        <w:bCs/>
        <w:sz w:val="16"/>
        <w:szCs w:val="16"/>
      </w:rPr>
    </w:pPr>
    <w:r w:rsidRPr="00033B23">
      <w:rPr>
        <w:rFonts w:ascii="Cambria" w:eastAsia="Calibri" w:hAnsi="Cambria" w:cs="Times New Roman"/>
        <w:b/>
        <w:sz w:val="16"/>
      </w:rPr>
      <w:fldChar w:fldCharType="begin"/>
    </w:r>
    <w:r w:rsidRPr="00033B23">
      <w:rPr>
        <w:rFonts w:ascii="Cambria" w:eastAsia="Calibri" w:hAnsi="Cambria" w:cs="Times New Roman"/>
        <w:b/>
        <w:sz w:val="16"/>
      </w:rPr>
      <w:instrText xml:space="preserve"> TIME \@ "dd/MM/yyyy H:mm" </w:instrText>
    </w:r>
    <w:r w:rsidRPr="00033B23">
      <w:rPr>
        <w:rFonts w:ascii="Cambria" w:eastAsia="Calibri" w:hAnsi="Cambria" w:cs="Times New Roman"/>
        <w:b/>
        <w:sz w:val="16"/>
      </w:rPr>
      <w:fldChar w:fldCharType="separate"/>
    </w:r>
    <w:r w:rsidR="001B627A">
      <w:rPr>
        <w:rFonts w:ascii="Cambria" w:eastAsia="Calibri" w:hAnsi="Cambria" w:cs="Times New Roman"/>
        <w:b/>
        <w:noProof/>
        <w:sz w:val="16"/>
      </w:rPr>
      <w:t>16/11/2025 15:26</w:t>
    </w:r>
    <w:r w:rsidRPr="00033B23">
      <w:rPr>
        <w:rFonts w:ascii="Cambria" w:eastAsia="Calibri" w:hAnsi="Cambria" w:cs="Times New Roman"/>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1D1"/>
    <w:multiLevelType w:val="hybridMultilevel"/>
    <w:tmpl w:val="3E6E75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91F58"/>
    <w:multiLevelType w:val="hybridMultilevel"/>
    <w:tmpl w:val="456A6F3A"/>
    <w:lvl w:ilvl="0" w:tplc="D4CAFA48">
      <w:numFmt w:val="bullet"/>
      <w:lvlText w:val="–"/>
      <w:lvlJc w:val="left"/>
      <w:pPr>
        <w:ind w:left="360" w:hanging="360"/>
      </w:pPr>
      <w:rPr>
        <w:rFonts w:ascii="Cambria" w:eastAsia="MS Gothic"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7472A"/>
    <w:multiLevelType w:val="hybridMultilevel"/>
    <w:tmpl w:val="D402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52629"/>
    <w:multiLevelType w:val="hybridMultilevel"/>
    <w:tmpl w:val="A6849E62"/>
    <w:lvl w:ilvl="0" w:tplc="8D0217D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F192EB3"/>
    <w:multiLevelType w:val="hybridMultilevel"/>
    <w:tmpl w:val="FF588E00"/>
    <w:lvl w:ilvl="0" w:tplc="8D021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371DE"/>
    <w:multiLevelType w:val="hybridMultilevel"/>
    <w:tmpl w:val="EAF42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90C5D"/>
    <w:multiLevelType w:val="hybridMultilevel"/>
    <w:tmpl w:val="B31E165E"/>
    <w:lvl w:ilvl="0" w:tplc="8D0217D6">
      <w:start w:val="1"/>
      <w:numFmt w:val="bullet"/>
      <w:lvlText w:val=""/>
      <w:lvlJc w:val="left"/>
      <w:pPr>
        <w:ind w:left="319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783951"/>
    <w:multiLevelType w:val="hybridMultilevel"/>
    <w:tmpl w:val="2542A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1F1575"/>
    <w:multiLevelType w:val="hybridMultilevel"/>
    <w:tmpl w:val="DEFE56AE"/>
    <w:lvl w:ilvl="0" w:tplc="8D0217D6">
      <w:start w:val="1"/>
      <w:numFmt w:val="bullet"/>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9" w15:restartNumberingAfterBreak="0">
    <w:nsid w:val="69041879"/>
    <w:multiLevelType w:val="hybridMultilevel"/>
    <w:tmpl w:val="12A83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731602"/>
    <w:multiLevelType w:val="hybridMultilevel"/>
    <w:tmpl w:val="A5B6E228"/>
    <w:lvl w:ilvl="0" w:tplc="D4CAFA48">
      <w:numFmt w:val="bullet"/>
      <w:lvlText w:val="–"/>
      <w:lvlJc w:val="left"/>
      <w:pPr>
        <w:ind w:left="360" w:hanging="360"/>
      </w:pPr>
      <w:rPr>
        <w:rFonts w:ascii="Cambria" w:eastAsia="MS Gothic"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1652190">
    <w:abstractNumId w:val="5"/>
  </w:num>
  <w:num w:numId="2" w16cid:durableId="1967344592">
    <w:abstractNumId w:val="0"/>
  </w:num>
  <w:num w:numId="3" w16cid:durableId="1105613849">
    <w:abstractNumId w:val="1"/>
  </w:num>
  <w:num w:numId="4" w16cid:durableId="558134239">
    <w:abstractNumId w:val="2"/>
  </w:num>
  <w:num w:numId="5" w16cid:durableId="335545576">
    <w:abstractNumId w:val="9"/>
  </w:num>
  <w:num w:numId="6" w16cid:durableId="825975749">
    <w:abstractNumId w:val="7"/>
  </w:num>
  <w:num w:numId="7" w16cid:durableId="39398584">
    <w:abstractNumId w:val="6"/>
  </w:num>
  <w:num w:numId="8" w16cid:durableId="717583561">
    <w:abstractNumId w:val="4"/>
  </w:num>
  <w:num w:numId="9" w16cid:durableId="1281452558">
    <w:abstractNumId w:val="8"/>
  </w:num>
  <w:num w:numId="10" w16cid:durableId="656112503">
    <w:abstractNumId w:val="3"/>
  </w:num>
  <w:num w:numId="11" w16cid:durableId="1908998539">
    <w:abstractNumId w:val="1"/>
  </w:num>
  <w:num w:numId="12" w16cid:durableId="1744840233">
    <w:abstractNumId w:val="9"/>
  </w:num>
  <w:num w:numId="13" w16cid:durableId="312680146">
    <w:abstractNumId w:val="7"/>
  </w:num>
  <w:num w:numId="14" w16cid:durableId="1898316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80"/>
    <w:rsid w:val="0002345F"/>
    <w:rsid w:val="000275CE"/>
    <w:rsid w:val="0003337B"/>
    <w:rsid w:val="00033B23"/>
    <w:rsid w:val="000349A8"/>
    <w:rsid w:val="00062080"/>
    <w:rsid w:val="0009253F"/>
    <w:rsid w:val="00096231"/>
    <w:rsid w:val="000B07B3"/>
    <w:rsid w:val="000B6A94"/>
    <w:rsid w:val="000C186F"/>
    <w:rsid w:val="000C4331"/>
    <w:rsid w:val="000C53D2"/>
    <w:rsid w:val="000D1CBE"/>
    <w:rsid w:val="000D1E4A"/>
    <w:rsid w:val="000D23EC"/>
    <w:rsid w:val="00102FBE"/>
    <w:rsid w:val="00124CC2"/>
    <w:rsid w:val="00130603"/>
    <w:rsid w:val="00134FA1"/>
    <w:rsid w:val="00135B9A"/>
    <w:rsid w:val="00140086"/>
    <w:rsid w:val="00140AA1"/>
    <w:rsid w:val="00156A34"/>
    <w:rsid w:val="00166BF5"/>
    <w:rsid w:val="00167E4B"/>
    <w:rsid w:val="00170745"/>
    <w:rsid w:val="001A06EC"/>
    <w:rsid w:val="001A07F9"/>
    <w:rsid w:val="001B627A"/>
    <w:rsid w:val="001E2A88"/>
    <w:rsid w:val="002065F7"/>
    <w:rsid w:val="00222F78"/>
    <w:rsid w:val="00252FCC"/>
    <w:rsid w:val="00253E2C"/>
    <w:rsid w:val="0026010A"/>
    <w:rsid w:val="002649E7"/>
    <w:rsid w:val="00275B06"/>
    <w:rsid w:val="00275DF7"/>
    <w:rsid w:val="0029091C"/>
    <w:rsid w:val="00297350"/>
    <w:rsid w:val="002A1E8A"/>
    <w:rsid w:val="002B4D2F"/>
    <w:rsid w:val="002B68C0"/>
    <w:rsid w:val="002E7B5F"/>
    <w:rsid w:val="00305950"/>
    <w:rsid w:val="00335D2D"/>
    <w:rsid w:val="0033762F"/>
    <w:rsid w:val="003402C1"/>
    <w:rsid w:val="003424DA"/>
    <w:rsid w:val="003471A4"/>
    <w:rsid w:val="00353AFF"/>
    <w:rsid w:val="00361D97"/>
    <w:rsid w:val="003703DD"/>
    <w:rsid w:val="00391B20"/>
    <w:rsid w:val="003A33DA"/>
    <w:rsid w:val="003B2F3A"/>
    <w:rsid w:val="003C20C6"/>
    <w:rsid w:val="003D2061"/>
    <w:rsid w:val="003D6305"/>
    <w:rsid w:val="003D7854"/>
    <w:rsid w:val="003E574F"/>
    <w:rsid w:val="003F51A3"/>
    <w:rsid w:val="003F7BA3"/>
    <w:rsid w:val="00432195"/>
    <w:rsid w:val="00465883"/>
    <w:rsid w:val="0047224C"/>
    <w:rsid w:val="00472674"/>
    <w:rsid w:val="00486FD8"/>
    <w:rsid w:val="004A4D64"/>
    <w:rsid w:val="004A6D10"/>
    <w:rsid w:val="004D01BF"/>
    <w:rsid w:val="004D5A8D"/>
    <w:rsid w:val="004E5FD3"/>
    <w:rsid w:val="004F0304"/>
    <w:rsid w:val="004F4748"/>
    <w:rsid w:val="004F7836"/>
    <w:rsid w:val="005005A6"/>
    <w:rsid w:val="005078CA"/>
    <w:rsid w:val="00510C48"/>
    <w:rsid w:val="0051366A"/>
    <w:rsid w:val="005206E1"/>
    <w:rsid w:val="005439A5"/>
    <w:rsid w:val="005503BC"/>
    <w:rsid w:val="00553548"/>
    <w:rsid w:val="00554468"/>
    <w:rsid w:val="005A2137"/>
    <w:rsid w:val="005A2F40"/>
    <w:rsid w:val="005A4D10"/>
    <w:rsid w:val="005B52ED"/>
    <w:rsid w:val="005B7571"/>
    <w:rsid w:val="005C2605"/>
    <w:rsid w:val="005D4BD1"/>
    <w:rsid w:val="005F0E69"/>
    <w:rsid w:val="0060100B"/>
    <w:rsid w:val="0062579B"/>
    <w:rsid w:val="00636DC9"/>
    <w:rsid w:val="00647AF6"/>
    <w:rsid w:val="00654DA9"/>
    <w:rsid w:val="006610FC"/>
    <w:rsid w:val="006677AB"/>
    <w:rsid w:val="00670D28"/>
    <w:rsid w:val="00676B6D"/>
    <w:rsid w:val="00690694"/>
    <w:rsid w:val="006A642E"/>
    <w:rsid w:val="006B74FF"/>
    <w:rsid w:val="006C2D80"/>
    <w:rsid w:val="006E3179"/>
    <w:rsid w:val="006F5521"/>
    <w:rsid w:val="00711865"/>
    <w:rsid w:val="0073453F"/>
    <w:rsid w:val="00734CFC"/>
    <w:rsid w:val="00746080"/>
    <w:rsid w:val="007470BF"/>
    <w:rsid w:val="00757FB4"/>
    <w:rsid w:val="00796FE1"/>
    <w:rsid w:val="007A2141"/>
    <w:rsid w:val="007C4687"/>
    <w:rsid w:val="007C7C4B"/>
    <w:rsid w:val="007D164E"/>
    <w:rsid w:val="007E2238"/>
    <w:rsid w:val="0080341C"/>
    <w:rsid w:val="008048A7"/>
    <w:rsid w:val="00813F50"/>
    <w:rsid w:val="00830455"/>
    <w:rsid w:val="0083300C"/>
    <w:rsid w:val="00834001"/>
    <w:rsid w:val="00844A76"/>
    <w:rsid w:val="008515F6"/>
    <w:rsid w:val="00851B72"/>
    <w:rsid w:val="00864BA2"/>
    <w:rsid w:val="00873B62"/>
    <w:rsid w:val="008A608A"/>
    <w:rsid w:val="008D1448"/>
    <w:rsid w:val="008E2186"/>
    <w:rsid w:val="008F23ED"/>
    <w:rsid w:val="008F349F"/>
    <w:rsid w:val="008F454A"/>
    <w:rsid w:val="009006C5"/>
    <w:rsid w:val="00900886"/>
    <w:rsid w:val="00917C7B"/>
    <w:rsid w:val="00922089"/>
    <w:rsid w:val="00924DE2"/>
    <w:rsid w:val="00925AB9"/>
    <w:rsid w:val="00933E99"/>
    <w:rsid w:val="00945DE5"/>
    <w:rsid w:val="00955D63"/>
    <w:rsid w:val="009625AC"/>
    <w:rsid w:val="00963502"/>
    <w:rsid w:val="00986A16"/>
    <w:rsid w:val="00995875"/>
    <w:rsid w:val="00997B98"/>
    <w:rsid w:val="009A0500"/>
    <w:rsid w:val="009A7EE7"/>
    <w:rsid w:val="009B1BBD"/>
    <w:rsid w:val="009B238F"/>
    <w:rsid w:val="009B36CD"/>
    <w:rsid w:val="00A17A3A"/>
    <w:rsid w:val="00A24CDD"/>
    <w:rsid w:val="00A25A70"/>
    <w:rsid w:val="00A27E1F"/>
    <w:rsid w:val="00A46EEC"/>
    <w:rsid w:val="00A61250"/>
    <w:rsid w:val="00A751FE"/>
    <w:rsid w:val="00A81819"/>
    <w:rsid w:val="00A864BA"/>
    <w:rsid w:val="00A87105"/>
    <w:rsid w:val="00A948B8"/>
    <w:rsid w:val="00AC3E46"/>
    <w:rsid w:val="00AE2AFD"/>
    <w:rsid w:val="00AF1806"/>
    <w:rsid w:val="00AF6F2C"/>
    <w:rsid w:val="00B07839"/>
    <w:rsid w:val="00B11103"/>
    <w:rsid w:val="00B11CA2"/>
    <w:rsid w:val="00B26D82"/>
    <w:rsid w:val="00B335AD"/>
    <w:rsid w:val="00B337E3"/>
    <w:rsid w:val="00B37FDE"/>
    <w:rsid w:val="00B54478"/>
    <w:rsid w:val="00B62687"/>
    <w:rsid w:val="00B871A2"/>
    <w:rsid w:val="00BA5E77"/>
    <w:rsid w:val="00BC2E67"/>
    <w:rsid w:val="00BC4169"/>
    <w:rsid w:val="00BD2BFC"/>
    <w:rsid w:val="00BD4008"/>
    <w:rsid w:val="00BE0200"/>
    <w:rsid w:val="00BE0796"/>
    <w:rsid w:val="00BF5491"/>
    <w:rsid w:val="00BF5C96"/>
    <w:rsid w:val="00C04DFF"/>
    <w:rsid w:val="00C678AF"/>
    <w:rsid w:val="00C71D5E"/>
    <w:rsid w:val="00C86C25"/>
    <w:rsid w:val="00C87618"/>
    <w:rsid w:val="00C97C90"/>
    <w:rsid w:val="00CB147B"/>
    <w:rsid w:val="00CC3923"/>
    <w:rsid w:val="00CC5095"/>
    <w:rsid w:val="00CC6225"/>
    <w:rsid w:val="00CC7385"/>
    <w:rsid w:val="00CD62D8"/>
    <w:rsid w:val="00CE1067"/>
    <w:rsid w:val="00CE43E6"/>
    <w:rsid w:val="00D1711B"/>
    <w:rsid w:val="00D4105A"/>
    <w:rsid w:val="00D5390F"/>
    <w:rsid w:val="00D605D3"/>
    <w:rsid w:val="00D86644"/>
    <w:rsid w:val="00D97F14"/>
    <w:rsid w:val="00DB62DA"/>
    <w:rsid w:val="00DC21B7"/>
    <w:rsid w:val="00DF1990"/>
    <w:rsid w:val="00E1315C"/>
    <w:rsid w:val="00E2701C"/>
    <w:rsid w:val="00E55E62"/>
    <w:rsid w:val="00E60D3A"/>
    <w:rsid w:val="00E742B2"/>
    <w:rsid w:val="00E75F18"/>
    <w:rsid w:val="00E84D95"/>
    <w:rsid w:val="00E90BEB"/>
    <w:rsid w:val="00EE02C8"/>
    <w:rsid w:val="00EE5AAA"/>
    <w:rsid w:val="00EF28CB"/>
    <w:rsid w:val="00F259E2"/>
    <w:rsid w:val="00F3220A"/>
    <w:rsid w:val="00F44947"/>
    <w:rsid w:val="00F50E8F"/>
    <w:rsid w:val="00F65870"/>
    <w:rsid w:val="00F67F10"/>
    <w:rsid w:val="00F8000D"/>
    <w:rsid w:val="00F80A77"/>
    <w:rsid w:val="00F83E9B"/>
    <w:rsid w:val="00F87314"/>
    <w:rsid w:val="00FB1E4B"/>
    <w:rsid w:val="00FC6D3C"/>
    <w:rsid w:val="00FE0F9F"/>
    <w:rsid w:val="00FE38A8"/>
    <w:rsid w:val="00FE5935"/>
    <w:rsid w:val="00FF4979"/>
    <w:rsid w:val="00FF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7D2A1"/>
  <w15:chartTrackingRefBased/>
  <w15:docId w15:val="{A4BBCD6A-7AE4-43C4-969F-9B4376F7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B23"/>
  </w:style>
  <w:style w:type="paragraph" w:styleId="Footer">
    <w:name w:val="footer"/>
    <w:basedOn w:val="Normal"/>
    <w:link w:val="FooterChar"/>
    <w:uiPriority w:val="99"/>
    <w:unhideWhenUsed/>
    <w:rsid w:val="0003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B23"/>
  </w:style>
  <w:style w:type="paragraph" w:styleId="ListParagraph">
    <w:name w:val="List Paragraph"/>
    <w:basedOn w:val="Normal"/>
    <w:uiPriority w:val="34"/>
    <w:qFormat/>
    <w:rsid w:val="003703DD"/>
    <w:pPr>
      <w:ind w:left="720"/>
      <w:contextualSpacing/>
    </w:pPr>
  </w:style>
  <w:style w:type="paragraph" w:styleId="HTMLPreformatted">
    <w:name w:val="HTML Preformatted"/>
    <w:basedOn w:val="Normal"/>
    <w:link w:val="HTMLPreformattedChar"/>
    <w:uiPriority w:val="99"/>
    <w:semiHidden/>
    <w:unhideWhenUsed/>
    <w:rsid w:val="00A81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1819"/>
    <w:rPr>
      <w:rFonts w:ascii="Courier New" w:eastAsia="Times New Roman" w:hAnsi="Courier New" w:cs="Courier New"/>
      <w:sz w:val="20"/>
      <w:szCs w:val="20"/>
    </w:rPr>
  </w:style>
  <w:style w:type="character" w:customStyle="1" w:styleId="y2iqfc">
    <w:name w:val="y2iqfc"/>
    <w:basedOn w:val="DefaultParagraphFont"/>
    <w:rsid w:val="00A81819"/>
  </w:style>
  <w:style w:type="paragraph" w:styleId="Revision">
    <w:name w:val="Revision"/>
    <w:hidden/>
    <w:uiPriority w:val="99"/>
    <w:semiHidden/>
    <w:rsid w:val="00166BF5"/>
    <w:pPr>
      <w:spacing w:after="0" w:line="240" w:lineRule="auto"/>
    </w:pPr>
  </w:style>
  <w:style w:type="character" w:styleId="Hyperlink">
    <w:name w:val="Hyperlink"/>
    <w:basedOn w:val="DefaultParagraphFont"/>
    <w:uiPriority w:val="99"/>
    <w:unhideWhenUsed/>
    <w:rsid w:val="009A7EE7"/>
    <w:rPr>
      <w:color w:val="0563C1" w:themeColor="hyperlink"/>
      <w:u w:val="single"/>
    </w:rPr>
  </w:style>
  <w:style w:type="character" w:styleId="UnresolvedMention">
    <w:name w:val="Unresolved Mention"/>
    <w:basedOn w:val="DefaultParagraphFont"/>
    <w:uiPriority w:val="99"/>
    <w:semiHidden/>
    <w:unhideWhenUsed/>
    <w:rsid w:val="009A7EE7"/>
    <w:rPr>
      <w:color w:val="605E5C"/>
      <w:shd w:val="clear" w:color="auto" w:fill="E1DFDD"/>
    </w:rPr>
  </w:style>
  <w:style w:type="character" w:styleId="FollowedHyperlink">
    <w:name w:val="FollowedHyperlink"/>
    <w:basedOn w:val="DefaultParagraphFont"/>
    <w:uiPriority w:val="99"/>
    <w:semiHidden/>
    <w:unhideWhenUsed/>
    <w:rsid w:val="009A7E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6922">
      <w:bodyDiv w:val="1"/>
      <w:marLeft w:val="0"/>
      <w:marRight w:val="0"/>
      <w:marTop w:val="0"/>
      <w:marBottom w:val="0"/>
      <w:divBdr>
        <w:top w:val="none" w:sz="0" w:space="0" w:color="auto"/>
        <w:left w:val="none" w:sz="0" w:space="0" w:color="auto"/>
        <w:bottom w:val="none" w:sz="0" w:space="0" w:color="auto"/>
        <w:right w:val="none" w:sz="0" w:space="0" w:color="auto"/>
      </w:divBdr>
    </w:div>
    <w:div w:id="417946003">
      <w:bodyDiv w:val="1"/>
      <w:marLeft w:val="0"/>
      <w:marRight w:val="0"/>
      <w:marTop w:val="0"/>
      <w:marBottom w:val="0"/>
      <w:divBdr>
        <w:top w:val="none" w:sz="0" w:space="0" w:color="auto"/>
        <w:left w:val="none" w:sz="0" w:space="0" w:color="auto"/>
        <w:bottom w:val="none" w:sz="0" w:space="0" w:color="auto"/>
        <w:right w:val="none" w:sz="0" w:space="0" w:color="auto"/>
      </w:divBdr>
    </w:div>
    <w:div w:id="781462757">
      <w:bodyDiv w:val="1"/>
      <w:marLeft w:val="0"/>
      <w:marRight w:val="0"/>
      <w:marTop w:val="0"/>
      <w:marBottom w:val="0"/>
      <w:divBdr>
        <w:top w:val="none" w:sz="0" w:space="0" w:color="auto"/>
        <w:left w:val="none" w:sz="0" w:space="0" w:color="auto"/>
        <w:bottom w:val="none" w:sz="0" w:space="0" w:color="auto"/>
        <w:right w:val="none" w:sz="0" w:space="0" w:color="auto"/>
      </w:divBdr>
    </w:div>
    <w:div w:id="817646060">
      <w:bodyDiv w:val="1"/>
      <w:marLeft w:val="0"/>
      <w:marRight w:val="0"/>
      <w:marTop w:val="0"/>
      <w:marBottom w:val="0"/>
      <w:divBdr>
        <w:top w:val="none" w:sz="0" w:space="0" w:color="auto"/>
        <w:left w:val="none" w:sz="0" w:space="0" w:color="auto"/>
        <w:bottom w:val="none" w:sz="0" w:space="0" w:color="auto"/>
        <w:right w:val="none" w:sz="0" w:space="0" w:color="auto"/>
      </w:divBdr>
    </w:div>
    <w:div w:id="934751350">
      <w:bodyDiv w:val="1"/>
      <w:marLeft w:val="0"/>
      <w:marRight w:val="0"/>
      <w:marTop w:val="0"/>
      <w:marBottom w:val="0"/>
      <w:divBdr>
        <w:top w:val="none" w:sz="0" w:space="0" w:color="auto"/>
        <w:left w:val="none" w:sz="0" w:space="0" w:color="auto"/>
        <w:bottom w:val="none" w:sz="0" w:space="0" w:color="auto"/>
        <w:right w:val="none" w:sz="0" w:space="0" w:color="auto"/>
      </w:divBdr>
    </w:div>
    <w:div w:id="17182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com2024/Annex/PA4_801_Annex1.pdf" TargetMode="External"/><Relationship Id="rId5" Type="http://schemas.openxmlformats.org/officeDocument/2006/relationships/webSettings" Target="webSettings.xml"/><Relationship Id="rId10" Type="http://schemas.openxmlformats.org/officeDocument/2006/relationships/hyperlink" Target="https://www.iccat.int/com2024/Annex/PA4_801_Annex1.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47F5D-C473-4A86-B353-978DFC52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16</Pages>
  <Words>4542</Words>
  <Characters>25893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171</cp:revision>
  <cp:lastPrinted>2022-11-20T19:01:00Z</cp:lastPrinted>
  <dcterms:created xsi:type="dcterms:W3CDTF">2023-09-20T08:33:00Z</dcterms:created>
  <dcterms:modified xsi:type="dcterms:W3CDTF">2025-11-16T16:18:00Z</dcterms:modified>
</cp:coreProperties>
</file>