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3837" w14:textId="6C3A1C17" w:rsidR="00746080" w:rsidRPr="00CD62D8" w:rsidRDefault="00746080" w:rsidP="00102FBE">
      <w:pPr>
        <w:spacing w:after="0" w:line="240" w:lineRule="auto"/>
        <w:jc w:val="right"/>
        <w:rPr>
          <w:rFonts w:ascii="Cambria" w:hAnsi="Cambria" w:cs="Times New Roman"/>
          <w:bCs/>
          <w:sz w:val="20"/>
          <w:szCs w:val="20"/>
          <w:lang w:val="en-GB"/>
        </w:rPr>
      </w:pPr>
      <w:r w:rsidRPr="00CD62D8">
        <w:rPr>
          <w:rFonts w:ascii="Cambria" w:hAnsi="Cambria" w:cs="Times New Roman"/>
          <w:b/>
          <w:bCs/>
          <w:sz w:val="20"/>
          <w:szCs w:val="20"/>
          <w:lang w:val="en-GB"/>
        </w:rPr>
        <w:t>Original: English</w:t>
      </w:r>
      <w:r w:rsidR="00554468" w:rsidRPr="00CD62D8">
        <w:rPr>
          <w:rFonts w:ascii="Cambria" w:hAnsi="Cambria" w:cs="Times New Roman"/>
          <w:b/>
          <w:bCs/>
          <w:sz w:val="20"/>
          <w:szCs w:val="20"/>
          <w:lang w:val="en-GB"/>
        </w:rPr>
        <w:t>/French/Spanish</w:t>
      </w:r>
    </w:p>
    <w:p w14:paraId="2B4057B2" w14:textId="5255F42F" w:rsidR="00746080" w:rsidRPr="00CD62D8" w:rsidRDefault="00746080" w:rsidP="00102FBE">
      <w:pPr>
        <w:spacing w:after="0" w:line="240" w:lineRule="auto"/>
        <w:jc w:val="right"/>
        <w:rPr>
          <w:rFonts w:ascii="Cambria" w:hAnsi="Cambria" w:cs="Times New Roman"/>
          <w:b/>
          <w:bCs/>
          <w:sz w:val="20"/>
          <w:szCs w:val="20"/>
          <w:lang w:val="en-GB"/>
        </w:rPr>
      </w:pPr>
    </w:p>
    <w:p w14:paraId="16FE3C4C" w14:textId="77777777" w:rsidR="00102FBE" w:rsidRPr="00CD62D8" w:rsidRDefault="00102FBE" w:rsidP="00102FBE">
      <w:pPr>
        <w:autoSpaceDE w:val="0"/>
        <w:autoSpaceDN w:val="0"/>
        <w:adjustRightInd w:val="0"/>
        <w:spacing w:after="0" w:line="240" w:lineRule="auto"/>
        <w:jc w:val="center"/>
        <w:rPr>
          <w:rFonts w:ascii="Cambria" w:hAnsi="Cambria" w:cs="Times New Roman"/>
          <w:b/>
          <w:bCs/>
          <w:sz w:val="20"/>
          <w:szCs w:val="20"/>
          <w:lang w:val="en-GB"/>
        </w:rPr>
      </w:pPr>
      <w:bookmarkStart w:id="0" w:name="_Hlk119173661"/>
      <w:r w:rsidRPr="00CD62D8">
        <w:rPr>
          <w:rFonts w:ascii="Cambria" w:hAnsi="Cambria" w:cs="Times New Roman"/>
          <w:b/>
          <w:bCs/>
          <w:sz w:val="20"/>
          <w:szCs w:val="20"/>
          <w:lang w:val="en-GB"/>
        </w:rPr>
        <w:t>Development or fishing/management plans for North Atlantic swordfish</w:t>
      </w:r>
      <w:bookmarkEnd w:id="0"/>
    </w:p>
    <w:p w14:paraId="311731F7" w14:textId="77777777" w:rsidR="00746080" w:rsidRPr="00CD62D8" w:rsidRDefault="00746080" w:rsidP="00102FBE">
      <w:pPr>
        <w:autoSpaceDE w:val="0"/>
        <w:autoSpaceDN w:val="0"/>
        <w:adjustRightInd w:val="0"/>
        <w:spacing w:after="0" w:line="240" w:lineRule="auto"/>
        <w:jc w:val="center"/>
        <w:rPr>
          <w:rFonts w:ascii="Cambria" w:hAnsi="Cambria" w:cs="Times New Roman"/>
          <w:i/>
          <w:iCs/>
          <w:sz w:val="20"/>
          <w:szCs w:val="20"/>
          <w:lang w:val="en-GB"/>
        </w:rPr>
      </w:pPr>
    </w:p>
    <w:p w14:paraId="61E49969" w14:textId="266C8613" w:rsidR="00746080" w:rsidRPr="00CD62D8" w:rsidRDefault="004E5FD3" w:rsidP="00102FBE">
      <w:pPr>
        <w:autoSpaceDE w:val="0"/>
        <w:autoSpaceDN w:val="0"/>
        <w:adjustRightInd w:val="0"/>
        <w:spacing w:after="0" w:line="240" w:lineRule="auto"/>
        <w:jc w:val="center"/>
        <w:rPr>
          <w:rFonts w:ascii="Cambria" w:hAnsi="Cambria" w:cs="Times New Roman"/>
          <w:i/>
          <w:iCs/>
          <w:sz w:val="20"/>
          <w:szCs w:val="20"/>
          <w:lang w:val="en-GB"/>
        </w:rPr>
      </w:pPr>
      <w:r w:rsidRPr="00CD62D8">
        <w:rPr>
          <w:rFonts w:ascii="Cambria" w:hAnsi="Cambria" w:cs="Times New Roman"/>
          <w:i/>
          <w:iCs/>
          <w:sz w:val="20"/>
          <w:szCs w:val="20"/>
          <w:lang w:val="en-GB"/>
        </w:rPr>
        <w:t>(</w:t>
      </w:r>
      <w:r w:rsidR="00746080" w:rsidRPr="00CD62D8">
        <w:rPr>
          <w:rFonts w:ascii="Cambria" w:hAnsi="Cambria" w:cs="Times New Roman"/>
          <w:i/>
          <w:iCs/>
          <w:sz w:val="20"/>
          <w:szCs w:val="20"/>
          <w:lang w:val="en-GB"/>
        </w:rPr>
        <w:t>ICCAT Secretariat</w:t>
      </w:r>
      <w:r w:rsidRPr="00CD62D8">
        <w:rPr>
          <w:rFonts w:ascii="Cambria" w:hAnsi="Cambria" w:cs="Times New Roman"/>
          <w:i/>
          <w:iCs/>
          <w:sz w:val="20"/>
          <w:szCs w:val="20"/>
          <w:lang w:val="en-GB"/>
        </w:rPr>
        <w:t>)</w:t>
      </w:r>
    </w:p>
    <w:p w14:paraId="19DE3254" w14:textId="77777777" w:rsidR="00746080" w:rsidRPr="00CD62D8" w:rsidRDefault="00746080" w:rsidP="00102FBE">
      <w:pPr>
        <w:autoSpaceDE w:val="0"/>
        <w:autoSpaceDN w:val="0"/>
        <w:adjustRightInd w:val="0"/>
        <w:spacing w:after="0" w:line="240" w:lineRule="auto"/>
        <w:jc w:val="center"/>
        <w:rPr>
          <w:rFonts w:ascii="Cambria" w:hAnsi="Cambria" w:cs="Times New Roman"/>
          <w:i/>
          <w:iCs/>
          <w:sz w:val="20"/>
          <w:szCs w:val="20"/>
          <w:lang w:val="en-GB"/>
        </w:rPr>
      </w:pPr>
    </w:p>
    <w:p w14:paraId="6A03A677" w14:textId="77777777" w:rsidR="00746080" w:rsidRPr="00CD62D8" w:rsidRDefault="00746080" w:rsidP="00102FBE">
      <w:pPr>
        <w:autoSpaceDE w:val="0"/>
        <w:autoSpaceDN w:val="0"/>
        <w:adjustRightInd w:val="0"/>
        <w:spacing w:after="0" w:line="240" w:lineRule="auto"/>
        <w:jc w:val="both"/>
        <w:rPr>
          <w:rFonts w:ascii="Cambria" w:hAnsi="Cambria" w:cs="Times New Roman"/>
          <w:sz w:val="20"/>
          <w:szCs w:val="20"/>
          <w:lang w:val="en-GB"/>
        </w:rPr>
      </w:pPr>
    </w:p>
    <w:p w14:paraId="29161C77" w14:textId="3E01AE8B" w:rsidR="00746080" w:rsidRPr="00CD62D8" w:rsidRDefault="00746080" w:rsidP="00102FBE">
      <w:pPr>
        <w:spacing w:after="0" w:line="240" w:lineRule="auto"/>
        <w:jc w:val="both"/>
        <w:rPr>
          <w:rFonts w:ascii="Cambria" w:hAnsi="Cambria" w:cs="Times New Roman"/>
          <w:sz w:val="20"/>
          <w:szCs w:val="20"/>
          <w:lang w:val="en-GB"/>
        </w:rPr>
      </w:pPr>
      <w:bookmarkStart w:id="1" w:name="_Hlk51245685"/>
      <w:r w:rsidRPr="00CD62D8">
        <w:rPr>
          <w:rFonts w:ascii="Cambria" w:hAnsi="Cambria" w:cs="Times New Roman"/>
          <w:sz w:val="20"/>
          <w:szCs w:val="20"/>
          <w:lang w:val="en-GB"/>
        </w:rPr>
        <w:t>Rec. 17-02</w:t>
      </w:r>
      <w:r w:rsidR="00EE5AAA" w:rsidRPr="00CD62D8">
        <w:rPr>
          <w:rFonts w:ascii="Cambria" w:hAnsi="Cambria" w:cs="Times New Roman"/>
          <w:sz w:val="20"/>
          <w:szCs w:val="20"/>
          <w:lang w:val="en-GB"/>
        </w:rPr>
        <w:t>, as amended by Rec. 23-04, and Rec. 24-10</w:t>
      </w:r>
      <w:r w:rsidRPr="00CD62D8">
        <w:rPr>
          <w:rFonts w:ascii="Cambria" w:hAnsi="Cambria" w:cs="Times New Roman"/>
          <w:sz w:val="20"/>
          <w:szCs w:val="20"/>
          <w:lang w:val="en-GB"/>
        </w:rPr>
        <w:t xml:space="preserve"> indicate</w:t>
      </w:r>
      <w:r w:rsidR="00EE5AAA" w:rsidRPr="00CD62D8">
        <w:rPr>
          <w:rFonts w:ascii="Cambria" w:hAnsi="Cambria" w:cs="Times New Roman"/>
          <w:sz w:val="20"/>
          <w:szCs w:val="20"/>
          <w:lang w:val="en-GB"/>
        </w:rPr>
        <w:t xml:space="preserve"> </w:t>
      </w:r>
      <w:r w:rsidRPr="00CD62D8">
        <w:rPr>
          <w:rFonts w:ascii="Cambria" w:hAnsi="Cambria" w:cs="Times New Roman"/>
          <w:sz w:val="20"/>
          <w:szCs w:val="20"/>
          <w:lang w:val="en-GB"/>
        </w:rPr>
        <w:t>that: “In the event of the modification</w:t>
      </w:r>
      <w:r w:rsidR="00102FBE" w:rsidRPr="00CD62D8">
        <w:rPr>
          <w:rFonts w:ascii="Cambria" w:hAnsi="Cambria" w:cs="Times New Roman"/>
          <w:sz w:val="20"/>
          <w:szCs w:val="20"/>
          <w:lang w:val="en-GB"/>
        </w:rPr>
        <w:t xml:space="preserve"> of</w:t>
      </w:r>
      <w:r w:rsidRPr="00CD62D8">
        <w:rPr>
          <w:rFonts w:ascii="Cambria" w:hAnsi="Cambria" w:cs="Times New Roman"/>
          <w:sz w:val="20"/>
          <w:szCs w:val="20"/>
          <w:lang w:val="en-GB"/>
        </w:rPr>
        <w:t xml:space="preserve"> its fishing/management plan, each CPC shall submit the updated version of its fishing/management plan to the Commission</w:t>
      </w:r>
      <w:bookmarkEnd w:id="1"/>
      <w:r w:rsidRPr="00CD62D8">
        <w:rPr>
          <w:rFonts w:ascii="Cambria" w:hAnsi="Cambria" w:cs="Times New Roman"/>
          <w:sz w:val="20"/>
          <w:szCs w:val="20"/>
          <w:lang w:val="en-GB"/>
        </w:rPr>
        <w:t>”. It was agreed by the Commission that the resubmission of such reports would only be required in the event of changes. Plans received in previous years can be found on the meeting document websites. In 202</w:t>
      </w:r>
      <w:r w:rsidR="003D7854" w:rsidRPr="00CD62D8">
        <w:rPr>
          <w:rFonts w:ascii="Cambria" w:hAnsi="Cambria" w:cs="Times New Roman"/>
          <w:sz w:val="20"/>
          <w:szCs w:val="20"/>
          <w:lang w:val="en-GB"/>
        </w:rPr>
        <w:t>5</w:t>
      </w:r>
      <w:r w:rsidRPr="00CD62D8">
        <w:rPr>
          <w:rFonts w:ascii="Cambria" w:hAnsi="Cambria" w:cs="Times New Roman"/>
          <w:sz w:val="20"/>
          <w:szCs w:val="20"/>
          <w:lang w:val="en-GB"/>
        </w:rPr>
        <w:t>, the Secretariat has received updated plans within the deadline from:</w:t>
      </w:r>
      <w:r w:rsidR="006677AB" w:rsidRPr="00CD62D8">
        <w:rPr>
          <w:rFonts w:ascii="Cambria" w:hAnsi="Cambria" w:cs="Times New Roman"/>
          <w:sz w:val="20"/>
          <w:szCs w:val="20"/>
          <w:lang w:val="en-GB"/>
        </w:rPr>
        <w:t xml:space="preserve"> </w:t>
      </w:r>
      <w:r w:rsidRPr="00CD62D8">
        <w:rPr>
          <w:rFonts w:ascii="Cambria" w:hAnsi="Cambria" w:cs="Times New Roman"/>
          <w:sz w:val="20"/>
          <w:szCs w:val="20"/>
          <w:lang w:val="en-GB"/>
        </w:rPr>
        <w:t xml:space="preserve">Canada, </w:t>
      </w:r>
      <w:r w:rsidR="003D7854" w:rsidRPr="00CD62D8">
        <w:rPr>
          <w:rFonts w:ascii="Cambria" w:hAnsi="Cambria" w:cs="Times New Roman"/>
          <w:sz w:val="20"/>
          <w:szCs w:val="20"/>
          <w:lang w:val="en-GB"/>
        </w:rPr>
        <w:t xml:space="preserve">Costa Rica, </w:t>
      </w:r>
      <w:r w:rsidRPr="00CD62D8">
        <w:rPr>
          <w:rFonts w:ascii="Cambria" w:hAnsi="Cambria" w:cs="Times New Roman"/>
          <w:sz w:val="20"/>
          <w:szCs w:val="20"/>
          <w:lang w:val="en-GB"/>
        </w:rPr>
        <w:t>Japan, Korea</w:t>
      </w:r>
      <w:r w:rsidR="00102FBE" w:rsidRPr="00CD62D8">
        <w:rPr>
          <w:rFonts w:ascii="Cambria" w:hAnsi="Cambria" w:cs="Times New Roman"/>
          <w:sz w:val="20"/>
          <w:szCs w:val="20"/>
          <w:lang w:val="en-GB"/>
        </w:rPr>
        <w:t xml:space="preserve"> (Rep.)</w:t>
      </w:r>
      <w:r w:rsidR="003D7854" w:rsidRPr="00CD62D8">
        <w:rPr>
          <w:rFonts w:ascii="Cambria" w:hAnsi="Cambria" w:cs="Times New Roman"/>
          <w:sz w:val="20"/>
          <w:szCs w:val="20"/>
          <w:lang w:val="en-GB"/>
        </w:rPr>
        <w:t>, Liberia,</w:t>
      </w:r>
      <w:r w:rsidRPr="00CD62D8">
        <w:rPr>
          <w:rFonts w:ascii="Cambria" w:hAnsi="Cambria" w:cs="Times New Roman"/>
          <w:sz w:val="20"/>
          <w:szCs w:val="20"/>
          <w:lang w:val="en-GB"/>
        </w:rPr>
        <w:t xml:space="preserve"> Mexico, Morocco,</w:t>
      </w:r>
      <w:r w:rsidR="009B36CD" w:rsidRPr="00CD62D8">
        <w:rPr>
          <w:rFonts w:ascii="Cambria" w:hAnsi="Cambria" w:cs="Times New Roman"/>
          <w:sz w:val="20"/>
          <w:szCs w:val="20"/>
          <w:lang w:val="en-GB"/>
        </w:rPr>
        <w:t xml:space="preserve"> </w:t>
      </w:r>
      <w:r w:rsidR="003D7854" w:rsidRPr="00CD62D8">
        <w:rPr>
          <w:rFonts w:ascii="Cambria" w:hAnsi="Cambria" w:cs="Times New Roman"/>
          <w:sz w:val="20"/>
          <w:szCs w:val="20"/>
          <w:lang w:val="en-GB"/>
        </w:rPr>
        <w:t xml:space="preserve">Senegal, </w:t>
      </w:r>
      <w:r w:rsidR="009B36CD" w:rsidRPr="00CD62D8">
        <w:rPr>
          <w:rFonts w:ascii="Cambria" w:hAnsi="Cambria" w:cs="Times New Roman"/>
          <w:sz w:val="20"/>
          <w:szCs w:val="20"/>
          <w:lang w:val="en-GB"/>
        </w:rPr>
        <w:t>the United States</w:t>
      </w:r>
      <w:r w:rsidR="00102FBE" w:rsidRPr="00CD62D8">
        <w:rPr>
          <w:rFonts w:ascii="Cambria" w:hAnsi="Cambria" w:cs="Times New Roman"/>
          <w:sz w:val="20"/>
          <w:szCs w:val="20"/>
          <w:lang w:val="en-GB"/>
        </w:rPr>
        <w:t>,</w:t>
      </w:r>
      <w:r w:rsidR="003D7854" w:rsidRPr="00CD62D8">
        <w:rPr>
          <w:rFonts w:ascii="Cambria" w:hAnsi="Cambria" w:cs="Times New Roman"/>
          <w:sz w:val="20"/>
          <w:szCs w:val="20"/>
          <w:lang w:val="en-GB"/>
        </w:rPr>
        <w:t xml:space="preserve"> and Venezuela.</w:t>
      </w:r>
    </w:p>
    <w:p w14:paraId="504ED706" w14:textId="77777777" w:rsidR="00746080" w:rsidRPr="00CD62D8" w:rsidRDefault="00746080" w:rsidP="00102FBE">
      <w:pPr>
        <w:spacing w:after="0" w:line="240" w:lineRule="auto"/>
        <w:jc w:val="both"/>
        <w:rPr>
          <w:rFonts w:ascii="Cambria" w:hAnsi="Cambria" w:cs="Times New Roman"/>
          <w:sz w:val="20"/>
          <w:szCs w:val="20"/>
          <w:lang w:val="en-GB"/>
        </w:rPr>
      </w:pPr>
    </w:p>
    <w:p w14:paraId="7B9BDA31" w14:textId="6075E667" w:rsidR="00746080" w:rsidRPr="00CD62D8" w:rsidRDefault="006677AB" w:rsidP="00102FBE">
      <w:pPr>
        <w:spacing w:after="0" w:line="240" w:lineRule="auto"/>
        <w:jc w:val="both"/>
        <w:rPr>
          <w:rFonts w:ascii="Cambria" w:hAnsi="Cambria" w:cs="Times New Roman"/>
          <w:sz w:val="20"/>
          <w:szCs w:val="20"/>
          <w:lang w:val="en-GB"/>
        </w:rPr>
      </w:pPr>
      <w:r w:rsidRPr="00CD62D8">
        <w:rPr>
          <w:rFonts w:ascii="Cambria" w:hAnsi="Cambria" w:cs="Times New Roman"/>
          <w:sz w:val="20"/>
          <w:szCs w:val="20"/>
        </w:rPr>
        <w:t xml:space="preserve">The revised Management Plans are attached below, together with the executive summary of the full plan submitted by Canada, which is available in the original language in </w:t>
      </w:r>
      <w:r w:rsidRPr="00CD62D8">
        <w:rPr>
          <w:rFonts w:ascii="Cambria" w:hAnsi="Cambria" w:cs="Times New Roman"/>
          <w:b/>
          <w:bCs/>
          <w:sz w:val="20"/>
          <w:szCs w:val="20"/>
        </w:rPr>
        <w:t>Annex 1</w:t>
      </w:r>
      <w:r w:rsidRPr="00CD62D8">
        <w:rPr>
          <w:rFonts w:ascii="Cambria" w:hAnsi="Cambria" w:cs="Times New Roman"/>
          <w:sz w:val="20"/>
          <w:szCs w:val="20"/>
        </w:rPr>
        <w:t xml:space="preserve"> to this document</w:t>
      </w:r>
      <w:r w:rsidR="00746080" w:rsidRPr="00CD62D8">
        <w:rPr>
          <w:rFonts w:ascii="Cambria" w:hAnsi="Cambria" w:cs="Times New Roman"/>
          <w:sz w:val="20"/>
          <w:szCs w:val="20"/>
          <w:lang w:val="en-GB"/>
        </w:rPr>
        <w:t xml:space="preserve">. </w:t>
      </w:r>
    </w:p>
    <w:p w14:paraId="250E81EA" w14:textId="0CA981F4" w:rsidR="00746080" w:rsidRPr="00CD62D8" w:rsidRDefault="00746080" w:rsidP="00102FBE">
      <w:pPr>
        <w:spacing w:after="0" w:line="240" w:lineRule="auto"/>
        <w:jc w:val="both"/>
        <w:rPr>
          <w:rFonts w:ascii="Cambria" w:hAnsi="Cambria" w:cs="Times New Roman"/>
          <w:sz w:val="20"/>
          <w:szCs w:val="20"/>
          <w:lang w:val="en-GB"/>
        </w:rPr>
      </w:pPr>
    </w:p>
    <w:p w14:paraId="5DEB2370" w14:textId="20BB6990" w:rsidR="00746080" w:rsidRPr="00CD62D8" w:rsidRDefault="00746080" w:rsidP="00102FBE">
      <w:pPr>
        <w:spacing w:after="0" w:line="240" w:lineRule="auto"/>
        <w:jc w:val="both"/>
        <w:rPr>
          <w:rFonts w:ascii="Cambria" w:hAnsi="Cambria" w:cs="Times New Roman"/>
          <w:sz w:val="20"/>
          <w:szCs w:val="20"/>
          <w:lang w:val="en-GB"/>
        </w:rPr>
      </w:pPr>
    </w:p>
    <w:p w14:paraId="50CD860A" w14:textId="779C0778" w:rsidR="00746080" w:rsidRPr="00CD62D8" w:rsidRDefault="00746080" w:rsidP="00102FBE">
      <w:pPr>
        <w:spacing w:after="0" w:line="240" w:lineRule="auto"/>
        <w:jc w:val="both"/>
        <w:rPr>
          <w:rFonts w:ascii="Cambria" w:hAnsi="Cambria" w:cs="Times New Roman"/>
          <w:sz w:val="20"/>
          <w:szCs w:val="20"/>
          <w:lang w:val="en-GB"/>
        </w:rPr>
      </w:pPr>
    </w:p>
    <w:p w14:paraId="37D77EA1" w14:textId="6121C007" w:rsidR="00746080" w:rsidRPr="00CD62D8" w:rsidRDefault="00746080" w:rsidP="00102FBE">
      <w:pPr>
        <w:spacing w:after="0" w:line="240" w:lineRule="auto"/>
        <w:jc w:val="both"/>
        <w:rPr>
          <w:rFonts w:ascii="Cambria" w:hAnsi="Cambria" w:cs="Times New Roman"/>
          <w:sz w:val="20"/>
          <w:szCs w:val="20"/>
          <w:lang w:val="en-GB"/>
        </w:rPr>
      </w:pPr>
    </w:p>
    <w:p w14:paraId="66D0A8B4" w14:textId="6DE4EB43" w:rsidR="00746080" w:rsidRPr="00CD62D8" w:rsidRDefault="00746080" w:rsidP="00102FBE">
      <w:pPr>
        <w:spacing w:after="0" w:line="240" w:lineRule="auto"/>
        <w:jc w:val="both"/>
        <w:rPr>
          <w:rFonts w:ascii="Cambria" w:hAnsi="Cambria" w:cs="Times New Roman"/>
          <w:sz w:val="20"/>
          <w:szCs w:val="20"/>
          <w:lang w:val="en-GB"/>
        </w:rPr>
      </w:pPr>
    </w:p>
    <w:p w14:paraId="02225C6F" w14:textId="7B40C1CC" w:rsidR="00746080" w:rsidRPr="00CD62D8" w:rsidRDefault="00746080" w:rsidP="00102FBE">
      <w:pPr>
        <w:spacing w:after="0" w:line="240" w:lineRule="auto"/>
        <w:jc w:val="both"/>
        <w:rPr>
          <w:rFonts w:ascii="Cambria" w:hAnsi="Cambria" w:cs="Times New Roman"/>
          <w:sz w:val="20"/>
          <w:szCs w:val="20"/>
          <w:lang w:val="en-GB"/>
        </w:rPr>
      </w:pPr>
    </w:p>
    <w:p w14:paraId="7E57A725" w14:textId="03B426EA" w:rsidR="00746080" w:rsidRPr="00CD62D8" w:rsidRDefault="00746080" w:rsidP="00102FBE">
      <w:pPr>
        <w:spacing w:after="0" w:line="240" w:lineRule="auto"/>
        <w:jc w:val="both"/>
        <w:rPr>
          <w:rFonts w:ascii="Cambria" w:hAnsi="Cambria" w:cs="Times New Roman"/>
          <w:sz w:val="20"/>
          <w:szCs w:val="20"/>
          <w:lang w:val="en-GB"/>
        </w:rPr>
      </w:pPr>
    </w:p>
    <w:p w14:paraId="314584D9" w14:textId="53064841" w:rsidR="00746080" w:rsidRPr="00CD62D8" w:rsidRDefault="00746080" w:rsidP="00102FBE">
      <w:pPr>
        <w:spacing w:after="0" w:line="240" w:lineRule="auto"/>
        <w:jc w:val="both"/>
        <w:rPr>
          <w:rFonts w:ascii="Cambria" w:hAnsi="Cambria" w:cs="Times New Roman"/>
          <w:sz w:val="20"/>
          <w:szCs w:val="20"/>
          <w:lang w:val="en-GB"/>
        </w:rPr>
      </w:pPr>
    </w:p>
    <w:p w14:paraId="330ED422" w14:textId="5AECF31E" w:rsidR="00746080" w:rsidRPr="00CD62D8" w:rsidRDefault="00746080" w:rsidP="00102FBE">
      <w:pPr>
        <w:spacing w:after="0" w:line="240" w:lineRule="auto"/>
        <w:jc w:val="both"/>
        <w:rPr>
          <w:rFonts w:ascii="Cambria" w:hAnsi="Cambria" w:cs="Times New Roman"/>
          <w:sz w:val="20"/>
          <w:szCs w:val="20"/>
          <w:lang w:val="en-GB"/>
        </w:rPr>
      </w:pPr>
    </w:p>
    <w:p w14:paraId="4F37ACC6" w14:textId="25EC10D5" w:rsidR="00746080" w:rsidRPr="00CD62D8" w:rsidRDefault="00746080" w:rsidP="00102FBE">
      <w:pPr>
        <w:spacing w:after="0" w:line="240" w:lineRule="auto"/>
        <w:jc w:val="both"/>
        <w:rPr>
          <w:rFonts w:ascii="Cambria" w:hAnsi="Cambria" w:cs="Times New Roman"/>
          <w:sz w:val="20"/>
          <w:szCs w:val="20"/>
          <w:lang w:val="en-GB"/>
        </w:rPr>
      </w:pPr>
    </w:p>
    <w:p w14:paraId="6C4E7A3E" w14:textId="19B48593" w:rsidR="00746080" w:rsidRPr="00CD62D8" w:rsidRDefault="00746080" w:rsidP="00102FBE">
      <w:pPr>
        <w:spacing w:after="0" w:line="240" w:lineRule="auto"/>
        <w:jc w:val="both"/>
        <w:rPr>
          <w:rFonts w:ascii="Cambria" w:hAnsi="Cambria" w:cs="Times New Roman"/>
          <w:sz w:val="20"/>
          <w:szCs w:val="20"/>
          <w:lang w:val="en-GB"/>
        </w:rPr>
      </w:pPr>
    </w:p>
    <w:p w14:paraId="3D75255B" w14:textId="5226DC70" w:rsidR="00746080" w:rsidRPr="00CD62D8" w:rsidRDefault="00746080" w:rsidP="00102FBE">
      <w:pPr>
        <w:spacing w:after="0" w:line="240" w:lineRule="auto"/>
        <w:jc w:val="both"/>
        <w:rPr>
          <w:rFonts w:ascii="Cambria" w:hAnsi="Cambria" w:cs="Times New Roman"/>
          <w:sz w:val="20"/>
          <w:szCs w:val="20"/>
          <w:lang w:val="en-GB"/>
        </w:rPr>
      </w:pPr>
    </w:p>
    <w:p w14:paraId="37E3A05C" w14:textId="328BC3F0" w:rsidR="00746080" w:rsidRPr="00CD62D8" w:rsidRDefault="00746080" w:rsidP="00102FBE">
      <w:pPr>
        <w:spacing w:after="0" w:line="240" w:lineRule="auto"/>
        <w:jc w:val="both"/>
        <w:rPr>
          <w:rFonts w:ascii="Cambria" w:hAnsi="Cambria" w:cs="Times New Roman"/>
          <w:sz w:val="20"/>
          <w:szCs w:val="20"/>
          <w:lang w:val="en-GB"/>
        </w:rPr>
      </w:pPr>
    </w:p>
    <w:p w14:paraId="36E891D9" w14:textId="13300C80" w:rsidR="00746080" w:rsidRPr="00CD62D8" w:rsidRDefault="00746080" w:rsidP="00102FBE">
      <w:pPr>
        <w:spacing w:after="0" w:line="240" w:lineRule="auto"/>
        <w:jc w:val="both"/>
        <w:rPr>
          <w:rFonts w:ascii="Cambria" w:hAnsi="Cambria" w:cs="Times New Roman"/>
          <w:sz w:val="20"/>
          <w:szCs w:val="20"/>
          <w:lang w:val="en-GB"/>
        </w:rPr>
      </w:pPr>
    </w:p>
    <w:p w14:paraId="355C35BC" w14:textId="2D863FB8" w:rsidR="00746080" w:rsidRPr="00CD62D8" w:rsidRDefault="00746080" w:rsidP="00102FBE">
      <w:pPr>
        <w:spacing w:after="0" w:line="240" w:lineRule="auto"/>
        <w:jc w:val="both"/>
        <w:rPr>
          <w:rFonts w:ascii="Cambria" w:hAnsi="Cambria" w:cs="Times New Roman"/>
          <w:sz w:val="20"/>
          <w:szCs w:val="20"/>
          <w:lang w:val="en-GB"/>
        </w:rPr>
      </w:pPr>
    </w:p>
    <w:p w14:paraId="12474831" w14:textId="53A94B2E" w:rsidR="00746080" w:rsidRPr="00CD62D8" w:rsidRDefault="00746080" w:rsidP="00102FBE">
      <w:pPr>
        <w:spacing w:after="0" w:line="240" w:lineRule="auto"/>
        <w:jc w:val="both"/>
        <w:rPr>
          <w:rFonts w:ascii="Cambria" w:hAnsi="Cambria" w:cs="Times New Roman"/>
          <w:sz w:val="20"/>
          <w:szCs w:val="20"/>
          <w:lang w:val="en-GB"/>
        </w:rPr>
      </w:pPr>
    </w:p>
    <w:p w14:paraId="20B5F336" w14:textId="7F402DBD" w:rsidR="00746080" w:rsidRPr="00CD62D8" w:rsidRDefault="00746080" w:rsidP="00102FBE">
      <w:pPr>
        <w:spacing w:after="0" w:line="240" w:lineRule="auto"/>
        <w:jc w:val="both"/>
        <w:rPr>
          <w:rFonts w:ascii="Cambria" w:hAnsi="Cambria" w:cs="Times New Roman"/>
          <w:sz w:val="20"/>
          <w:szCs w:val="20"/>
          <w:lang w:val="en-GB"/>
        </w:rPr>
      </w:pPr>
    </w:p>
    <w:p w14:paraId="5C27A4AB" w14:textId="77E51B72" w:rsidR="00746080" w:rsidRPr="00CD62D8" w:rsidRDefault="00746080" w:rsidP="00102FBE">
      <w:pPr>
        <w:spacing w:after="0" w:line="240" w:lineRule="auto"/>
        <w:jc w:val="both"/>
        <w:rPr>
          <w:rFonts w:ascii="Cambria" w:hAnsi="Cambria" w:cs="Times New Roman"/>
          <w:sz w:val="20"/>
          <w:szCs w:val="20"/>
          <w:lang w:val="en-GB"/>
        </w:rPr>
      </w:pPr>
    </w:p>
    <w:p w14:paraId="2B5AD0C3" w14:textId="5607957E" w:rsidR="00746080" w:rsidRPr="00CD62D8" w:rsidRDefault="00746080" w:rsidP="00102FBE">
      <w:pPr>
        <w:spacing w:after="0" w:line="240" w:lineRule="auto"/>
        <w:jc w:val="both"/>
        <w:rPr>
          <w:rFonts w:ascii="Cambria" w:hAnsi="Cambria" w:cs="Times New Roman"/>
          <w:sz w:val="20"/>
          <w:szCs w:val="20"/>
          <w:lang w:val="en-GB"/>
        </w:rPr>
      </w:pPr>
    </w:p>
    <w:p w14:paraId="7BFED5A4" w14:textId="7A56F0BB" w:rsidR="00746080" w:rsidRPr="00CD62D8" w:rsidRDefault="00746080" w:rsidP="00102FBE">
      <w:pPr>
        <w:spacing w:after="0" w:line="240" w:lineRule="auto"/>
        <w:jc w:val="both"/>
        <w:rPr>
          <w:rFonts w:ascii="Cambria" w:hAnsi="Cambria" w:cs="Times New Roman"/>
          <w:sz w:val="20"/>
          <w:szCs w:val="20"/>
          <w:lang w:val="en-GB"/>
        </w:rPr>
      </w:pPr>
    </w:p>
    <w:p w14:paraId="745E3562" w14:textId="5D32EFC1" w:rsidR="00746080" w:rsidRPr="00CD62D8" w:rsidRDefault="00746080" w:rsidP="00102FBE">
      <w:pPr>
        <w:spacing w:after="0" w:line="240" w:lineRule="auto"/>
        <w:jc w:val="both"/>
        <w:rPr>
          <w:rFonts w:ascii="Cambria" w:hAnsi="Cambria" w:cs="Times New Roman"/>
          <w:sz w:val="20"/>
          <w:szCs w:val="20"/>
          <w:lang w:val="en-GB"/>
        </w:rPr>
      </w:pPr>
    </w:p>
    <w:p w14:paraId="0624A266" w14:textId="4676CA04" w:rsidR="00746080" w:rsidRPr="00CD62D8" w:rsidRDefault="00746080" w:rsidP="00102FBE">
      <w:pPr>
        <w:spacing w:after="0" w:line="240" w:lineRule="auto"/>
        <w:jc w:val="both"/>
        <w:rPr>
          <w:rFonts w:ascii="Cambria" w:hAnsi="Cambria" w:cs="Times New Roman"/>
          <w:sz w:val="20"/>
          <w:szCs w:val="20"/>
          <w:lang w:val="en-GB"/>
        </w:rPr>
      </w:pPr>
    </w:p>
    <w:p w14:paraId="56B6CE2B" w14:textId="77777777" w:rsidR="004D5A8D" w:rsidRPr="00CD62D8" w:rsidRDefault="004D5A8D" w:rsidP="00102FBE">
      <w:pPr>
        <w:spacing w:after="0" w:line="240" w:lineRule="auto"/>
        <w:jc w:val="both"/>
        <w:rPr>
          <w:rFonts w:ascii="Cambria" w:hAnsi="Cambria" w:cs="Times New Roman"/>
          <w:sz w:val="20"/>
          <w:szCs w:val="20"/>
          <w:lang w:val="en-GB"/>
        </w:rPr>
        <w:sectPr w:rsidR="004D5A8D" w:rsidRPr="00CD62D8" w:rsidSect="00BC2E67">
          <w:headerReference w:type="default" r:id="rId8"/>
          <w:footerReference w:type="default" r:id="rId9"/>
          <w:pgSz w:w="11907" w:h="16840" w:code="9"/>
          <w:pgMar w:top="1418" w:right="1418" w:bottom="1418" w:left="1418" w:header="851" w:footer="1134" w:gutter="0"/>
          <w:cols w:space="720"/>
          <w:docGrid w:linePitch="360"/>
        </w:sectPr>
      </w:pPr>
    </w:p>
    <w:p w14:paraId="5630E6AD" w14:textId="2D0E51EA" w:rsidR="00746080" w:rsidRPr="00CD62D8" w:rsidRDefault="00746080" w:rsidP="00102FBE">
      <w:pPr>
        <w:spacing w:after="0" w:line="240" w:lineRule="auto"/>
        <w:jc w:val="both"/>
        <w:rPr>
          <w:rFonts w:ascii="Cambria" w:hAnsi="Cambria" w:cs="Times New Roman"/>
          <w:sz w:val="20"/>
          <w:szCs w:val="20"/>
          <w:lang w:val="en-GB"/>
        </w:rPr>
      </w:pPr>
    </w:p>
    <w:tbl>
      <w:tblPr>
        <w:tblW w:w="14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14"/>
        <w:gridCol w:w="1026"/>
        <w:gridCol w:w="841"/>
        <w:gridCol w:w="728"/>
        <w:gridCol w:w="851"/>
        <w:gridCol w:w="992"/>
        <w:gridCol w:w="739"/>
        <w:gridCol w:w="973"/>
        <w:gridCol w:w="2966"/>
        <w:gridCol w:w="2835"/>
        <w:gridCol w:w="236"/>
      </w:tblGrid>
      <w:tr w:rsidR="00746080" w:rsidRPr="00CD62D8" w14:paraId="7FC7AC8F" w14:textId="77777777" w:rsidTr="00140AA1">
        <w:trPr>
          <w:gridAfter w:val="1"/>
          <w:wAfter w:w="236" w:type="dxa"/>
          <w:tblHeader/>
        </w:trPr>
        <w:tc>
          <w:tcPr>
            <w:tcW w:w="1164" w:type="dxa"/>
            <w:vAlign w:val="center"/>
            <w:hideMark/>
          </w:tcPr>
          <w:p w14:paraId="2B0700AE"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CPC</w:t>
            </w:r>
          </w:p>
        </w:tc>
        <w:tc>
          <w:tcPr>
            <w:tcW w:w="914" w:type="dxa"/>
            <w:vAlign w:val="center"/>
            <w:hideMark/>
          </w:tcPr>
          <w:p w14:paraId="46B1E555"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Current Fishery</w:t>
            </w:r>
          </w:p>
        </w:tc>
        <w:tc>
          <w:tcPr>
            <w:tcW w:w="1026" w:type="dxa"/>
            <w:vAlign w:val="center"/>
            <w:hideMark/>
          </w:tcPr>
          <w:p w14:paraId="31B7CAB7"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Current quota (t)</w:t>
            </w:r>
          </w:p>
        </w:tc>
        <w:tc>
          <w:tcPr>
            <w:tcW w:w="841" w:type="dxa"/>
            <w:vAlign w:val="center"/>
            <w:hideMark/>
          </w:tcPr>
          <w:p w14:paraId="72E8AA57"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No. of vessels</w:t>
            </w:r>
          </w:p>
        </w:tc>
        <w:tc>
          <w:tcPr>
            <w:tcW w:w="728" w:type="dxa"/>
            <w:vAlign w:val="center"/>
            <w:hideMark/>
          </w:tcPr>
          <w:p w14:paraId="62DBBFF8"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Gear</w:t>
            </w:r>
          </w:p>
        </w:tc>
        <w:tc>
          <w:tcPr>
            <w:tcW w:w="851" w:type="dxa"/>
            <w:vAlign w:val="center"/>
            <w:hideMark/>
          </w:tcPr>
          <w:p w14:paraId="23606A62" w14:textId="2ECD1A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Current capacity</w:t>
            </w:r>
            <w:r w:rsidR="008E2186" w:rsidRPr="00CD62D8">
              <w:rPr>
                <w:rFonts w:ascii="Cambria" w:eastAsia="Times New Roman" w:hAnsi="Cambria" w:cs="Calibri"/>
                <w:b/>
                <w:bCs/>
                <w:i/>
                <w:iCs/>
                <w:color w:val="000000"/>
                <w:sz w:val="16"/>
                <w:szCs w:val="16"/>
              </w:rPr>
              <w:t xml:space="preserve"> (t)</w:t>
            </w:r>
          </w:p>
        </w:tc>
        <w:tc>
          <w:tcPr>
            <w:tcW w:w="992" w:type="dxa"/>
            <w:vAlign w:val="center"/>
            <w:hideMark/>
          </w:tcPr>
          <w:p w14:paraId="44DDEA8C"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Planned No. of vessels</w:t>
            </w:r>
          </w:p>
        </w:tc>
        <w:tc>
          <w:tcPr>
            <w:tcW w:w="739" w:type="dxa"/>
            <w:vAlign w:val="center"/>
            <w:hideMark/>
          </w:tcPr>
          <w:p w14:paraId="107BD880"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Gear</w:t>
            </w:r>
          </w:p>
        </w:tc>
        <w:tc>
          <w:tcPr>
            <w:tcW w:w="973" w:type="dxa"/>
            <w:vAlign w:val="center"/>
            <w:hideMark/>
          </w:tcPr>
          <w:p w14:paraId="7A2D5F98" w14:textId="46A98EDE"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Planned capacity</w:t>
            </w:r>
            <w:r w:rsidR="008E2186" w:rsidRPr="00CD62D8">
              <w:rPr>
                <w:rFonts w:ascii="Cambria" w:eastAsia="Times New Roman" w:hAnsi="Cambria" w:cs="Calibri"/>
                <w:b/>
                <w:bCs/>
                <w:i/>
                <w:iCs/>
                <w:color w:val="000000"/>
                <w:sz w:val="16"/>
                <w:szCs w:val="16"/>
              </w:rPr>
              <w:t xml:space="preserve"> (t)</w:t>
            </w:r>
          </w:p>
        </w:tc>
        <w:tc>
          <w:tcPr>
            <w:tcW w:w="2966" w:type="dxa"/>
            <w:vAlign w:val="center"/>
            <w:hideMark/>
          </w:tcPr>
          <w:p w14:paraId="39B933CB"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Current management measures</w:t>
            </w:r>
          </w:p>
        </w:tc>
        <w:tc>
          <w:tcPr>
            <w:tcW w:w="2835" w:type="dxa"/>
            <w:vAlign w:val="center"/>
            <w:hideMark/>
          </w:tcPr>
          <w:p w14:paraId="1104CA0A" w14:textId="77777777" w:rsidR="00746080" w:rsidRPr="00CD62D8" w:rsidRDefault="00746080" w:rsidP="00102FBE">
            <w:pPr>
              <w:spacing w:after="0" w:line="240" w:lineRule="auto"/>
              <w:jc w:val="center"/>
              <w:rPr>
                <w:rFonts w:ascii="Cambria" w:eastAsia="Times New Roman" w:hAnsi="Cambria" w:cs="Calibri"/>
                <w:b/>
                <w:bCs/>
                <w:i/>
                <w:iCs/>
                <w:color w:val="000000"/>
                <w:sz w:val="16"/>
                <w:szCs w:val="16"/>
              </w:rPr>
            </w:pPr>
            <w:r w:rsidRPr="00CD62D8">
              <w:rPr>
                <w:rFonts w:ascii="Cambria" w:eastAsia="Times New Roman" w:hAnsi="Cambria" w:cs="Calibri"/>
                <w:b/>
                <w:bCs/>
                <w:i/>
                <w:iCs/>
                <w:color w:val="000000"/>
                <w:sz w:val="16"/>
                <w:szCs w:val="16"/>
              </w:rPr>
              <w:t>Future planned measures</w:t>
            </w:r>
          </w:p>
        </w:tc>
      </w:tr>
      <w:tr w:rsidR="00746080" w:rsidRPr="00CD62D8" w14:paraId="477353F2" w14:textId="77777777" w:rsidTr="00140AA1">
        <w:trPr>
          <w:gridAfter w:val="1"/>
          <w:wAfter w:w="236" w:type="dxa"/>
        </w:trPr>
        <w:tc>
          <w:tcPr>
            <w:tcW w:w="1164" w:type="dxa"/>
            <w:vAlign w:val="center"/>
            <w:hideMark/>
          </w:tcPr>
          <w:p w14:paraId="2A33DC5E" w14:textId="77777777" w:rsidR="00746080" w:rsidRPr="00CD62D8" w:rsidRDefault="00746080"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t>Canada</w:t>
            </w:r>
          </w:p>
        </w:tc>
        <w:tc>
          <w:tcPr>
            <w:tcW w:w="914" w:type="dxa"/>
            <w:vAlign w:val="center"/>
            <w:hideMark/>
          </w:tcPr>
          <w:p w14:paraId="2299C3B6" w14:textId="77777777"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Yes</w:t>
            </w:r>
          </w:p>
        </w:tc>
        <w:tc>
          <w:tcPr>
            <w:tcW w:w="1026" w:type="dxa"/>
            <w:vAlign w:val="center"/>
            <w:hideMark/>
          </w:tcPr>
          <w:p w14:paraId="7FF5F47B" w14:textId="62AF5A74"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w:t>
            </w:r>
            <w:r w:rsidR="00757FB4" w:rsidRPr="00CD62D8">
              <w:rPr>
                <w:rFonts w:ascii="Cambria" w:eastAsia="Times New Roman" w:hAnsi="Cambria" w:cs="Calibri"/>
                <w:color w:val="000000"/>
                <w:sz w:val="18"/>
                <w:szCs w:val="18"/>
              </w:rPr>
              <w:t>,</w:t>
            </w:r>
            <w:r w:rsidRPr="00CD62D8">
              <w:rPr>
                <w:rFonts w:ascii="Cambria" w:eastAsia="Times New Roman" w:hAnsi="Cambria" w:cs="Calibri"/>
                <w:color w:val="000000"/>
                <w:sz w:val="18"/>
                <w:szCs w:val="18"/>
              </w:rPr>
              <w:t>348</w:t>
            </w:r>
          </w:p>
        </w:tc>
        <w:tc>
          <w:tcPr>
            <w:tcW w:w="841" w:type="dxa"/>
            <w:vAlign w:val="center"/>
            <w:hideMark/>
          </w:tcPr>
          <w:p w14:paraId="45DD76CA" w14:textId="77777777"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77</w:t>
            </w:r>
          </w:p>
          <w:p w14:paraId="19B10AF2" w14:textId="7DCB5B63"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1200</w:t>
            </w:r>
          </w:p>
        </w:tc>
        <w:tc>
          <w:tcPr>
            <w:tcW w:w="728" w:type="dxa"/>
            <w:vAlign w:val="center"/>
            <w:hideMark/>
          </w:tcPr>
          <w:p w14:paraId="5ECB1707" w14:textId="77777777"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p w14:paraId="37FDADEC" w14:textId="6C4DCE75"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HARP</w:t>
            </w:r>
          </w:p>
        </w:tc>
        <w:tc>
          <w:tcPr>
            <w:tcW w:w="851" w:type="dxa"/>
            <w:vAlign w:val="center"/>
            <w:hideMark/>
          </w:tcPr>
          <w:p w14:paraId="1A05FF91" w14:textId="2FBB5364" w:rsidR="00746080" w:rsidRPr="00CD62D8" w:rsidRDefault="00746080" w:rsidP="00102FBE">
            <w:pPr>
              <w:spacing w:after="0" w:line="240" w:lineRule="auto"/>
              <w:jc w:val="center"/>
              <w:rPr>
                <w:rFonts w:ascii="Cambria" w:eastAsia="Times New Roman" w:hAnsi="Cambria" w:cs="Calibri"/>
                <w:color w:val="000000"/>
                <w:sz w:val="18"/>
                <w:szCs w:val="18"/>
              </w:rPr>
            </w:pPr>
          </w:p>
        </w:tc>
        <w:tc>
          <w:tcPr>
            <w:tcW w:w="992" w:type="dxa"/>
            <w:vAlign w:val="center"/>
            <w:hideMark/>
          </w:tcPr>
          <w:p w14:paraId="1F20CA58" w14:textId="77777777"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77</w:t>
            </w:r>
          </w:p>
          <w:p w14:paraId="732A266E" w14:textId="47FF4E36"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1200</w:t>
            </w:r>
          </w:p>
        </w:tc>
        <w:tc>
          <w:tcPr>
            <w:tcW w:w="739" w:type="dxa"/>
            <w:vAlign w:val="center"/>
            <w:hideMark/>
          </w:tcPr>
          <w:p w14:paraId="7EA71A01" w14:textId="77777777" w:rsidR="00746080" w:rsidRPr="00CD62D8" w:rsidRDefault="00746080"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p w14:paraId="3311321D" w14:textId="6B9D9258"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HARP</w:t>
            </w:r>
          </w:p>
        </w:tc>
        <w:tc>
          <w:tcPr>
            <w:tcW w:w="973" w:type="dxa"/>
            <w:vAlign w:val="center"/>
            <w:hideMark/>
          </w:tcPr>
          <w:p w14:paraId="35BC4898" w14:textId="32382A4B" w:rsidR="00746080" w:rsidRPr="00CD62D8" w:rsidRDefault="00746080" w:rsidP="00102FBE">
            <w:pPr>
              <w:spacing w:after="0" w:line="240" w:lineRule="auto"/>
              <w:jc w:val="center"/>
              <w:rPr>
                <w:rFonts w:ascii="Cambria" w:eastAsia="Times New Roman" w:hAnsi="Cambria" w:cs="Calibri"/>
                <w:b/>
                <w:bCs/>
                <w:color w:val="000000"/>
                <w:sz w:val="18"/>
                <w:szCs w:val="18"/>
              </w:rPr>
            </w:pPr>
          </w:p>
        </w:tc>
        <w:tc>
          <w:tcPr>
            <w:tcW w:w="2966" w:type="dxa"/>
            <w:noWrap/>
            <w:hideMark/>
          </w:tcPr>
          <w:p w14:paraId="0E55D6AF" w14:textId="77777777" w:rsidR="00757FB4" w:rsidRPr="00CD62D8" w:rsidRDefault="00757FB4"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Limitations on the Number of Licenses</w:t>
            </w:r>
          </w:p>
          <w:p w14:paraId="0E19BFCF" w14:textId="77777777" w:rsidR="00757FB4" w:rsidRPr="00CD62D8" w:rsidRDefault="00757FB4"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 xml:space="preserve">Since 1992, entry </w:t>
            </w:r>
            <w:proofErr w:type="gramStart"/>
            <w:r w:rsidRPr="00CD62D8">
              <w:rPr>
                <w:rFonts w:ascii="Cambria" w:eastAsia="Times New Roman" w:hAnsi="Cambria" w:cs="Calibri"/>
                <w:color w:val="000000"/>
                <w:sz w:val="20"/>
                <w:szCs w:val="20"/>
              </w:rPr>
              <w:t>to</w:t>
            </w:r>
            <w:proofErr w:type="gramEnd"/>
            <w:r w:rsidRPr="00CD62D8">
              <w:rPr>
                <w:rFonts w:ascii="Cambria" w:eastAsia="Times New Roman" w:hAnsi="Cambria" w:cs="Calibri"/>
                <w:color w:val="000000"/>
                <w:sz w:val="20"/>
                <w:szCs w:val="20"/>
              </w:rPr>
              <w:t xml:space="preserve"> the swordfish fishery, regardless of fleet sector, </w:t>
            </w:r>
            <w:proofErr w:type="gramStart"/>
            <w:r w:rsidRPr="00CD62D8">
              <w:rPr>
                <w:rFonts w:ascii="Cambria" w:eastAsia="Times New Roman" w:hAnsi="Cambria" w:cs="Calibri"/>
                <w:color w:val="000000"/>
                <w:sz w:val="20"/>
                <w:szCs w:val="20"/>
              </w:rPr>
              <w:t>is</w:t>
            </w:r>
            <w:proofErr w:type="gramEnd"/>
            <w:r w:rsidRPr="00CD62D8">
              <w:rPr>
                <w:rFonts w:ascii="Cambria" w:eastAsia="Times New Roman" w:hAnsi="Cambria" w:cs="Calibri"/>
                <w:color w:val="000000"/>
                <w:sz w:val="20"/>
                <w:szCs w:val="20"/>
              </w:rPr>
              <w:t xml:space="preserve"> limited to current licenses. Licenses have been fixed at this number, but may be reissued, within certain policy restrictions, from one harvester to another.</w:t>
            </w:r>
          </w:p>
          <w:p w14:paraId="0CE01F93" w14:textId="77777777" w:rsidR="00757FB4" w:rsidRPr="00CD62D8" w:rsidRDefault="00757FB4" w:rsidP="00102FBE">
            <w:pPr>
              <w:spacing w:after="0" w:line="240" w:lineRule="auto"/>
              <w:jc w:val="both"/>
              <w:rPr>
                <w:rFonts w:ascii="Cambria" w:eastAsia="Times New Roman" w:hAnsi="Cambria" w:cs="Calibri"/>
                <w:color w:val="000000"/>
                <w:sz w:val="20"/>
                <w:szCs w:val="20"/>
              </w:rPr>
            </w:pPr>
          </w:p>
          <w:p w14:paraId="0D2806CC" w14:textId="0DF6B101" w:rsidR="00757FB4" w:rsidRPr="00CD62D8" w:rsidRDefault="00510C48"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Rigorous</w:t>
            </w:r>
            <w:r w:rsidR="00757FB4" w:rsidRPr="00CD62D8">
              <w:rPr>
                <w:rFonts w:ascii="Cambria" w:eastAsia="Times New Roman" w:hAnsi="Cambria" w:cs="Calibri"/>
                <w:color w:val="000000"/>
                <w:sz w:val="20"/>
                <w:szCs w:val="20"/>
              </w:rPr>
              <w:t xml:space="preserve"> Monitoring, Control, and Surveillance of the Fishery</w:t>
            </w:r>
          </w:p>
          <w:p w14:paraId="53998305" w14:textId="77777777" w:rsidR="00757FB4" w:rsidRPr="00CD62D8" w:rsidRDefault="00757FB4"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Canada takes a comprehensive approach to enforcement that includes sophisticated vessel monitoring systems on all longline vessels, aerial surveillance, dockside monitoring, and at-sea observers.</w:t>
            </w:r>
          </w:p>
          <w:p w14:paraId="43443886" w14:textId="77777777" w:rsidR="00757FB4" w:rsidRPr="00CD62D8" w:rsidRDefault="00757FB4" w:rsidP="00102FBE">
            <w:pPr>
              <w:spacing w:after="0" w:line="240" w:lineRule="auto"/>
              <w:jc w:val="both"/>
              <w:rPr>
                <w:rFonts w:ascii="Cambria" w:eastAsia="Times New Roman" w:hAnsi="Cambria" w:cs="Calibri"/>
                <w:color w:val="000000"/>
                <w:sz w:val="20"/>
                <w:szCs w:val="20"/>
              </w:rPr>
            </w:pPr>
          </w:p>
          <w:p w14:paraId="2B394120" w14:textId="77777777" w:rsidR="00757FB4" w:rsidRPr="00CD62D8" w:rsidRDefault="00757FB4"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Strong Legislative and Regulatory Framework</w:t>
            </w:r>
          </w:p>
          <w:p w14:paraId="4E84374D" w14:textId="77777777" w:rsidR="00757FB4" w:rsidRPr="00CD62D8" w:rsidRDefault="00757FB4"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In addition to the requirements for fleets to annually submit a Conservation Harvesting Plan to specific swordfish and other tuna fleets and the fully Integrated Fisheries Management Plan, the Canadian swordfish fishery is governed by a suite of legislation, policy, and regulations.</w:t>
            </w:r>
          </w:p>
          <w:p w14:paraId="414A542C" w14:textId="77777777" w:rsidR="00757FB4" w:rsidRPr="00CD62D8" w:rsidRDefault="00757FB4" w:rsidP="00102FBE">
            <w:pPr>
              <w:spacing w:after="0" w:line="240" w:lineRule="auto"/>
              <w:jc w:val="both"/>
              <w:rPr>
                <w:rFonts w:ascii="Cambria" w:eastAsia="Times New Roman" w:hAnsi="Cambria" w:cs="Calibri"/>
                <w:color w:val="000000"/>
                <w:sz w:val="20"/>
                <w:szCs w:val="20"/>
              </w:rPr>
            </w:pPr>
          </w:p>
          <w:p w14:paraId="5B8BF599" w14:textId="0E140F32"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lastRenderedPageBreak/>
              <w:t>International Commission for the Conservation of Atlantic Tuna</w:t>
            </w:r>
            <w:r w:rsidR="00ED79FF">
              <w:rPr>
                <w:rFonts w:ascii="Cambria" w:eastAsia="Times New Roman" w:hAnsi="Cambria" w:cs="Calibri"/>
                <w:color w:val="000000"/>
                <w:sz w:val="20"/>
                <w:szCs w:val="20"/>
              </w:rPr>
              <w:t>s</w:t>
            </w:r>
            <w:r w:rsidRPr="00CD62D8">
              <w:rPr>
                <w:rFonts w:ascii="Cambria" w:eastAsia="Times New Roman" w:hAnsi="Cambria" w:cs="Calibri"/>
                <w:color w:val="000000"/>
                <w:sz w:val="20"/>
                <w:szCs w:val="20"/>
              </w:rPr>
              <w:t xml:space="preserve"> (ICCAT)</w:t>
            </w:r>
            <w:r w:rsidR="00E1315C" w:rsidRPr="00CD62D8">
              <w:rPr>
                <w:rFonts w:ascii="Cambria" w:eastAsia="Times New Roman" w:hAnsi="Cambria" w:cs="Calibri"/>
                <w:color w:val="000000"/>
                <w:sz w:val="20"/>
                <w:szCs w:val="20"/>
              </w:rPr>
              <w:t>.</w:t>
            </w:r>
          </w:p>
          <w:p w14:paraId="2359D1B7" w14:textId="7EBF3D14"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Fisheries Act, 1985</w:t>
            </w:r>
            <w:r w:rsidR="00E1315C" w:rsidRPr="00CD62D8">
              <w:rPr>
                <w:rFonts w:ascii="Cambria" w:eastAsia="Times New Roman" w:hAnsi="Cambria" w:cs="Calibri"/>
                <w:color w:val="000000"/>
                <w:sz w:val="20"/>
                <w:szCs w:val="20"/>
              </w:rPr>
              <w:t>.</w:t>
            </w:r>
          </w:p>
          <w:p w14:paraId="47CF18DF" w14:textId="09971CC8"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Atlantic Fishery Regulations (AFR), 1985</w:t>
            </w:r>
            <w:r w:rsidR="00E1315C" w:rsidRPr="00CD62D8">
              <w:rPr>
                <w:rFonts w:ascii="Cambria" w:eastAsia="Times New Roman" w:hAnsi="Cambria" w:cs="Calibri"/>
                <w:color w:val="000000"/>
                <w:sz w:val="20"/>
                <w:szCs w:val="20"/>
              </w:rPr>
              <w:t>.</w:t>
            </w:r>
          </w:p>
          <w:p w14:paraId="6EF9F01C" w14:textId="0537E985"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Fishery</w:t>
            </w:r>
            <w:r w:rsidR="00124CC2" w:rsidRPr="00CD62D8">
              <w:rPr>
                <w:rFonts w:ascii="Cambria" w:eastAsia="Times New Roman" w:hAnsi="Cambria" w:cs="Calibri"/>
                <w:color w:val="000000"/>
                <w:sz w:val="20"/>
                <w:szCs w:val="20"/>
              </w:rPr>
              <w:t xml:space="preserve"> </w:t>
            </w:r>
            <w:r w:rsidRPr="00CD62D8">
              <w:rPr>
                <w:rFonts w:ascii="Cambria" w:eastAsia="Times New Roman" w:hAnsi="Cambria" w:cs="Calibri"/>
                <w:color w:val="000000"/>
                <w:sz w:val="20"/>
                <w:szCs w:val="20"/>
              </w:rPr>
              <w:t>(General) Regulations, 1993</w:t>
            </w:r>
            <w:r w:rsidR="00E1315C" w:rsidRPr="00CD62D8">
              <w:rPr>
                <w:rFonts w:ascii="Cambria" w:eastAsia="Times New Roman" w:hAnsi="Cambria" w:cs="Calibri"/>
                <w:color w:val="000000"/>
                <w:sz w:val="20"/>
                <w:szCs w:val="20"/>
              </w:rPr>
              <w:t>.</w:t>
            </w:r>
          </w:p>
          <w:p w14:paraId="057D5EDB" w14:textId="4D064405"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Oceans Act, 1996</w:t>
            </w:r>
            <w:r w:rsidR="00E1315C" w:rsidRPr="00CD62D8">
              <w:rPr>
                <w:rFonts w:ascii="Cambria" w:eastAsia="Times New Roman" w:hAnsi="Cambria" w:cs="Calibri"/>
                <w:color w:val="000000"/>
                <w:sz w:val="20"/>
                <w:szCs w:val="20"/>
              </w:rPr>
              <w:t>.</w:t>
            </w:r>
          </w:p>
          <w:p w14:paraId="35ACB4A0" w14:textId="046C5035"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Species at Risk Act, 2002</w:t>
            </w:r>
            <w:r w:rsidR="00E1315C" w:rsidRPr="00CD62D8">
              <w:rPr>
                <w:rFonts w:ascii="Cambria" w:eastAsia="Times New Roman" w:hAnsi="Cambria" w:cs="Calibri"/>
                <w:color w:val="000000"/>
                <w:sz w:val="20"/>
                <w:szCs w:val="20"/>
              </w:rPr>
              <w:t>.</w:t>
            </w:r>
          </w:p>
          <w:p w14:paraId="3D9A3963" w14:textId="4A4DB34E"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International Plan of Action (IPOA) and Canada's National Plan of Action (NPOA) for Reducing Incidental Catch of Seabirds in Longline Fisheries</w:t>
            </w:r>
            <w:r w:rsidR="00E1315C" w:rsidRPr="00CD62D8">
              <w:rPr>
                <w:rFonts w:ascii="Cambria" w:eastAsia="Times New Roman" w:hAnsi="Cambria" w:cs="Calibri"/>
                <w:color w:val="000000"/>
                <w:sz w:val="20"/>
                <w:szCs w:val="20"/>
              </w:rPr>
              <w:t>.</w:t>
            </w:r>
          </w:p>
          <w:p w14:paraId="60986DF2" w14:textId="21E49E11"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IPOA for Shark Conservation</w:t>
            </w:r>
            <w:r w:rsidR="00E1315C" w:rsidRPr="00CD62D8">
              <w:rPr>
                <w:rFonts w:ascii="Cambria" w:eastAsia="Times New Roman" w:hAnsi="Cambria" w:cs="Calibri"/>
                <w:color w:val="000000"/>
                <w:sz w:val="20"/>
                <w:szCs w:val="20"/>
              </w:rPr>
              <w:t>.</w:t>
            </w:r>
          </w:p>
          <w:p w14:paraId="52BEB4BB" w14:textId="5A90A6C6"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Coastal Fisheries Protection Act, 1985</w:t>
            </w:r>
            <w:r w:rsidR="00E1315C" w:rsidRPr="00CD62D8">
              <w:rPr>
                <w:rFonts w:ascii="Cambria" w:eastAsia="Times New Roman" w:hAnsi="Cambria" w:cs="Calibri"/>
                <w:color w:val="000000"/>
                <w:sz w:val="20"/>
                <w:szCs w:val="20"/>
              </w:rPr>
              <w:t>.</w:t>
            </w:r>
          </w:p>
          <w:p w14:paraId="79283F46" w14:textId="7A5AE766"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Department of Fisheries and Oceans Act, 1985</w:t>
            </w:r>
            <w:r w:rsidR="00E1315C" w:rsidRPr="00CD62D8">
              <w:rPr>
                <w:rFonts w:ascii="Cambria" w:eastAsia="Times New Roman" w:hAnsi="Cambria" w:cs="Calibri"/>
                <w:color w:val="000000"/>
                <w:sz w:val="20"/>
                <w:szCs w:val="20"/>
              </w:rPr>
              <w:t>.</w:t>
            </w:r>
          </w:p>
          <w:p w14:paraId="18105C5D" w14:textId="0C6C1C5C"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Atlantic Fisheries Restructuring Act, 1985</w:t>
            </w:r>
            <w:r w:rsidR="00E1315C" w:rsidRPr="00CD62D8">
              <w:rPr>
                <w:rFonts w:ascii="Cambria" w:eastAsia="Times New Roman" w:hAnsi="Cambria" w:cs="Calibri"/>
                <w:color w:val="000000"/>
                <w:sz w:val="20"/>
                <w:szCs w:val="20"/>
              </w:rPr>
              <w:t>.</w:t>
            </w:r>
          </w:p>
          <w:p w14:paraId="46B4200B" w14:textId="2A88A2E8" w:rsidR="00757FB4"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Aboriginal Communal Fishing Licenses Regulations, 1993</w:t>
            </w:r>
            <w:r w:rsidR="00E1315C" w:rsidRPr="00CD62D8">
              <w:rPr>
                <w:rFonts w:ascii="Cambria" w:eastAsia="Times New Roman" w:hAnsi="Cambria" w:cs="Calibri"/>
                <w:color w:val="000000"/>
                <w:sz w:val="20"/>
                <w:szCs w:val="20"/>
              </w:rPr>
              <w:t>.</w:t>
            </w:r>
          </w:p>
          <w:p w14:paraId="712A64F9" w14:textId="77777777" w:rsidR="00124CC2" w:rsidRPr="00CD62D8"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Commercial Fisheries Licensing Policy for Eastern Canada, 199</w:t>
            </w:r>
            <w:r w:rsidR="00124CC2" w:rsidRPr="00CD62D8">
              <w:rPr>
                <w:rFonts w:ascii="Cambria" w:eastAsia="Times New Roman" w:hAnsi="Cambria" w:cs="Calibri"/>
                <w:color w:val="000000"/>
                <w:sz w:val="20"/>
                <w:szCs w:val="20"/>
              </w:rPr>
              <w:t>6.</w:t>
            </w:r>
          </w:p>
          <w:p w14:paraId="073E320C" w14:textId="487F127B" w:rsidR="00757FB4" w:rsidRPr="00CD62D8" w:rsidRDefault="00124CC2"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Sustainable Fisheries Framework: Conservation and Sustainable Use Elements - (1) Precautionary Approach Policy, (2) Foraging Species Policy, (3) Sensitive Benthic Areas Policy, and (4) Bycatch Policy</w:t>
            </w:r>
            <w:r w:rsidR="00922089" w:rsidRPr="00CD62D8">
              <w:rPr>
                <w:rFonts w:ascii="Cambria" w:eastAsia="Times New Roman" w:hAnsi="Cambria" w:cs="Calibri"/>
                <w:color w:val="000000"/>
                <w:sz w:val="20"/>
                <w:szCs w:val="20"/>
              </w:rPr>
              <w:t>.</w:t>
            </w:r>
          </w:p>
          <w:p w14:paraId="1339C2B1" w14:textId="20AABAF9" w:rsidR="00746080" w:rsidRPr="00CD62D8" w:rsidRDefault="00746080" w:rsidP="00102FBE">
            <w:pPr>
              <w:spacing w:after="0" w:line="240" w:lineRule="auto"/>
              <w:jc w:val="both"/>
              <w:rPr>
                <w:rFonts w:ascii="Cambria" w:eastAsia="Times New Roman" w:hAnsi="Cambria" w:cs="Calibri"/>
                <w:color w:val="000000"/>
                <w:sz w:val="20"/>
                <w:szCs w:val="20"/>
              </w:rPr>
            </w:pPr>
          </w:p>
        </w:tc>
        <w:tc>
          <w:tcPr>
            <w:tcW w:w="2835" w:type="dxa"/>
            <w:hideMark/>
          </w:tcPr>
          <w:p w14:paraId="29EEC11E" w14:textId="35F100B5" w:rsidR="004D5A8D" w:rsidRPr="00CD62D8" w:rsidRDefault="00757FB4" w:rsidP="00102FBE">
            <w:pPr>
              <w:spacing w:after="0" w:line="240" w:lineRule="auto"/>
              <w:jc w:val="center"/>
              <w:rPr>
                <w:rFonts w:ascii="Cambria" w:eastAsia="Times New Roman" w:hAnsi="Cambria" w:cs="Calibri"/>
                <w:color w:val="000000"/>
                <w:sz w:val="20"/>
                <w:szCs w:val="20"/>
              </w:rPr>
            </w:pPr>
            <w:r w:rsidRPr="00CD62D8">
              <w:rPr>
                <w:rFonts w:ascii="Cambria" w:eastAsia="Times New Roman" w:hAnsi="Cambria" w:cs="Calibri"/>
                <w:color w:val="000000"/>
                <w:sz w:val="20"/>
                <w:szCs w:val="20"/>
              </w:rPr>
              <w:lastRenderedPageBreak/>
              <w:t>N/A</w:t>
            </w:r>
          </w:p>
        </w:tc>
      </w:tr>
      <w:tr w:rsidR="000D1E4A" w:rsidRPr="00CD62D8" w14:paraId="543BA4D3" w14:textId="77777777" w:rsidTr="00102FBE">
        <w:trPr>
          <w:gridAfter w:val="1"/>
          <w:wAfter w:w="236" w:type="dxa"/>
          <w:trHeight w:val="8036"/>
        </w:trPr>
        <w:tc>
          <w:tcPr>
            <w:tcW w:w="1164" w:type="dxa"/>
            <w:tcBorders>
              <w:bottom w:val="single" w:sz="4" w:space="0" w:color="auto"/>
            </w:tcBorders>
            <w:noWrap/>
            <w:vAlign w:val="center"/>
          </w:tcPr>
          <w:p w14:paraId="7518F3C4" w14:textId="137EDF7C" w:rsidR="000D1E4A" w:rsidRPr="00CD62D8" w:rsidRDefault="000D1E4A"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lastRenderedPageBreak/>
              <w:t>Costa Rica</w:t>
            </w:r>
          </w:p>
        </w:tc>
        <w:tc>
          <w:tcPr>
            <w:tcW w:w="914" w:type="dxa"/>
            <w:tcBorders>
              <w:bottom w:val="single" w:sz="4" w:space="0" w:color="auto"/>
            </w:tcBorders>
            <w:noWrap/>
            <w:vAlign w:val="center"/>
          </w:tcPr>
          <w:p w14:paraId="594C9BC4" w14:textId="055043E2" w:rsidR="000D1E4A" w:rsidRPr="00CD62D8" w:rsidRDefault="000D1E4A" w:rsidP="00102FBE">
            <w:pPr>
              <w:spacing w:after="0" w:line="240" w:lineRule="auto"/>
              <w:jc w:val="center"/>
              <w:rPr>
                <w:rFonts w:ascii="Cambria" w:eastAsia="Times New Roman" w:hAnsi="Cambria" w:cs="Calibri"/>
                <w:sz w:val="18"/>
                <w:szCs w:val="18"/>
              </w:rPr>
            </w:pPr>
            <w:r w:rsidRPr="00CD62D8">
              <w:rPr>
                <w:rFonts w:ascii="Cambria" w:eastAsia="Times New Roman" w:hAnsi="Cambria" w:cs="Calibri"/>
                <w:color w:val="000000"/>
                <w:sz w:val="18"/>
                <w:szCs w:val="18"/>
              </w:rPr>
              <w:t>Yes</w:t>
            </w:r>
          </w:p>
        </w:tc>
        <w:tc>
          <w:tcPr>
            <w:tcW w:w="1026" w:type="dxa"/>
            <w:tcBorders>
              <w:bottom w:val="single" w:sz="4" w:space="0" w:color="auto"/>
            </w:tcBorders>
            <w:noWrap/>
            <w:vAlign w:val="center"/>
          </w:tcPr>
          <w:p w14:paraId="6B0087E4" w14:textId="032E2AD3" w:rsidR="000D1E4A" w:rsidRPr="00CD62D8" w:rsidRDefault="000D1E4A" w:rsidP="00102FBE">
            <w:pPr>
              <w:spacing w:after="0" w:line="240" w:lineRule="auto"/>
              <w:jc w:val="center"/>
              <w:rPr>
                <w:rFonts w:ascii="Cambria" w:eastAsia="Times New Roman" w:hAnsi="Cambria" w:cs="Calibri"/>
                <w:sz w:val="18"/>
                <w:szCs w:val="18"/>
              </w:rPr>
            </w:pPr>
            <w:r w:rsidRPr="00CD62D8">
              <w:rPr>
                <w:rFonts w:ascii="Cambria" w:eastAsia="Times New Roman" w:hAnsi="Cambria" w:cs="Calibri"/>
                <w:color w:val="000000"/>
                <w:sz w:val="18"/>
                <w:szCs w:val="18"/>
              </w:rPr>
              <w:t>375</w:t>
            </w:r>
            <w:r w:rsidR="00CC5095" w:rsidRPr="00CD62D8">
              <w:rPr>
                <w:rFonts w:ascii="Cambria" w:eastAsia="Times New Roman" w:hAnsi="Cambria" w:cs="Calibri"/>
                <w:color w:val="000000"/>
                <w:sz w:val="18"/>
                <w:szCs w:val="18"/>
              </w:rPr>
              <w:t>*</w:t>
            </w:r>
          </w:p>
        </w:tc>
        <w:tc>
          <w:tcPr>
            <w:tcW w:w="841" w:type="dxa"/>
            <w:tcBorders>
              <w:bottom w:val="single" w:sz="4" w:space="0" w:color="auto"/>
            </w:tcBorders>
            <w:noWrap/>
            <w:vAlign w:val="center"/>
          </w:tcPr>
          <w:p w14:paraId="0E6A1FEE" w14:textId="508D963D" w:rsidR="000D1E4A" w:rsidRPr="00CD62D8" w:rsidRDefault="000D1E4A" w:rsidP="00102FBE">
            <w:pPr>
              <w:spacing w:after="0" w:line="240" w:lineRule="auto"/>
              <w:jc w:val="center"/>
              <w:rPr>
                <w:rFonts w:ascii="Cambria" w:hAnsi="Cambria"/>
                <w:sz w:val="18"/>
                <w:szCs w:val="18"/>
              </w:rPr>
            </w:pPr>
            <w:r w:rsidRPr="00CD62D8">
              <w:rPr>
                <w:rFonts w:ascii="Cambria" w:eastAsia="Times New Roman" w:hAnsi="Cambria" w:cs="Calibri"/>
                <w:color w:val="000000"/>
                <w:sz w:val="18"/>
                <w:szCs w:val="18"/>
              </w:rPr>
              <w:t>12</w:t>
            </w:r>
          </w:p>
        </w:tc>
        <w:tc>
          <w:tcPr>
            <w:tcW w:w="728" w:type="dxa"/>
            <w:tcBorders>
              <w:bottom w:val="single" w:sz="4" w:space="0" w:color="auto"/>
            </w:tcBorders>
            <w:noWrap/>
            <w:vAlign w:val="center"/>
          </w:tcPr>
          <w:p w14:paraId="1857A8BB" w14:textId="62C9709C" w:rsidR="000D1E4A" w:rsidRPr="00CD62D8" w:rsidRDefault="000D1E4A" w:rsidP="00102FBE">
            <w:pPr>
              <w:spacing w:after="0" w:line="240" w:lineRule="auto"/>
              <w:jc w:val="center"/>
              <w:rPr>
                <w:rFonts w:ascii="Cambria" w:hAnsi="Cambria"/>
                <w:sz w:val="18"/>
                <w:szCs w:val="18"/>
              </w:rPr>
            </w:pPr>
            <w:r w:rsidRPr="00CD62D8">
              <w:rPr>
                <w:rFonts w:ascii="Cambria" w:eastAsia="Times New Roman" w:hAnsi="Cambria" w:cs="Calibri"/>
                <w:color w:val="000000"/>
                <w:sz w:val="18"/>
                <w:szCs w:val="18"/>
              </w:rPr>
              <w:t>LL</w:t>
            </w:r>
          </w:p>
        </w:tc>
        <w:tc>
          <w:tcPr>
            <w:tcW w:w="851" w:type="dxa"/>
            <w:tcBorders>
              <w:bottom w:val="single" w:sz="4" w:space="0" w:color="auto"/>
            </w:tcBorders>
            <w:noWrap/>
            <w:vAlign w:val="center"/>
          </w:tcPr>
          <w:p w14:paraId="75F0DB68" w14:textId="698D22F3" w:rsidR="000D1E4A" w:rsidRPr="00CD62D8" w:rsidRDefault="000D1E4A" w:rsidP="00102FBE">
            <w:pPr>
              <w:spacing w:after="0" w:line="240" w:lineRule="auto"/>
              <w:jc w:val="center"/>
              <w:rPr>
                <w:rFonts w:ascii="Cambria" w:hAnsi="Cambria"/>
                <w:sz w:val="18"/>
                <w:szCs w:val="18"/>
              </w:rPr>
            </w:pPr>
            <w:r w:rsidRPr="00CD62D8">
              <w:rPr>
                <w:rFonts w:ascii="Cambria" w:eastAsia="Times New Roman" w:hAnsi="Cambria" w:cs="Calibri"/>
                <w:color w:val="000000"/>
                <w:sz w:val="18"/>
                <w:szCs w:val="18"/>
              </w:rPr>
              <w:t>302.</w:t>
            </w:r>
            <w:r w:rsidR="00CC5095" w:rsidRPr="00CD62D8">
              <w:rPr>
                <w:rFonts w:ascii="Cambria" w:eastAsia="Times New Roman" w:hAnsi="Cambria" w:cs="Calibri"/>
                <w:color w:val="000000"/>
                <w:sz w:val="18"/>
                <w:szCs w:val="18"/>
              </w:rPr>
              <w:t>1</w:t>
            </w:r>
            <w:r w:rsidRPr="00CD62D8">
              <w:rPr>
                <w:rFonts w:ascii="Cambria" w:eastAsia="Times New Roman" w:hAnsi="Cambria" w:cs="Calibri"/>
                <w:color w:val="000000"/>
                <w:sz w:val="18"/>
                <w:szCs w:val="18"/>
              </w:rPr>
              <w:t>5</w:t>
            </w:r>
          </w:p>
        </w:tc>
        <w:tc>
          <w:tcPr>
            <w:tcW w:w="992" w:type="dxa"/>
            <w:tcBorders>
              <w:bottom w:val="single" w:sz="4" w:space="0" w:color="auto"/>
            </w:tcBorders>
            <w:noWrap/>
            <w:vAlign w:val="center"/>
          </w:tcPr>
          <w:p w14:paraId="341E1DF1" w14:textId="30C4097F" w:rsidR="000D1E4A" w:rsidRPr="00CD62D8" w:rsidRDefault="000D1E4A" w:rsidP="00102FBE">
            <w:pPr>
              <w:spacing w:after="0" w:line="240" w:lineRule="auto"/>
              <w:jc w:val="center"/>
              <w:rPr>
                <w:rFonts w:ascii="Cambria" w:hAnsi="Cambria"/>
                <w:sz w:val="18"/>
                <w:szCs w:val="18"/>
              </w:rPr>
            </w:pPr>
            <w:r w:rsidRPr="00CD62D8">
              <w:rPr>
                <w:rFonts w:ascii="Cambria" w:eastAsia="Times New Roman" w:hAnsi="Cambria" w:cs="Calibri"/>
                <w:color w:val="000000"/>
                <w:sz w:val="18"/>
                <w:szCs w:val="18"/>
              </w:rPr>
              <w:t>12</w:t>
            </w:r>
          </w:p>
        </w:tc>
        <w:tc>
          <w:tcPr>
            <w:tcW w:w="739" w:type="dxa"/>
            <w:tcBorders>
              <w:bottom w:val="single" w:sz="4" w:space="0" w:color="auto"/>
            </w:tcBorders>
            <w:noWrap/>
            <w:vAlign w:val="center"/>
          </w:tcPr>
          <w:p w14:paraId="026F7574" w14:textId="6BAD08C7" w:rsidR="000D1E4A" w:rsidRPr="00CD62D8" w:rsidRDefault="000D1E4A" w:rsidP="00102FBE">
            <w:pPr>
              <w:spacing w:after="0" w:line="240" w:lineRule="auto"/>
              <w:jc w:val="center"/>
              <w:rPr>
                <w:rFonts w:ascii="Cambria" w:hAnsi="Cambria"/>
                <w:sz w:val="18"/>
                <w:szCs w:val="18"/>
              </w:rPr>
            </w:pPr>
            <w:r w:rsidRPr="00CD62D8">
              <w:rPr>
                <w:rFonts w:ascii="Cambria" w:eastAsia="Times New Roman" w:hAnsi="Cambria" w:cs="Calibri"/>
                <w:color w:val="000000"/>
                <w:sz w:val="18"/>
                <w:szCs w:val="18"/>
              </w:rPr>
              <w:t>LL</w:t>
            </w:r>
          </w:p>
        </w:tc>
        <w:tc>
          <w:tcPr>
            <w:tcW w:w="973" w:type="dxa"/>
            <w:tcBorders>
              <w:bottom w:val="single" w:sz="4" w:space="0" w:color="auto"/>
            </w:tcBorders>
            <w:noWrap/>
            <w:vAlign w:val="center"/>
          </w:tcPr>
          <w:p w14:paraId="08F9A0E3" w14:textId="253A4236" w:rsidR="000D1E4A" w:rsidRPr="00CD62D8" w:rsidRDefault="00CC5095" w:rsidP="00102FBE">
            <w:pPr>
              <w:spacing w:after="0" w:line="240" w:lineRule="auto"/>
              <w:jc w:val="center"/>
              <w:rPr>
                <w:rFonts w:ascii="Cambria" w:eastAsia="Times New Roman" w:hAnsi="Cambria" w:cs="Calibri"/>
                <w:sz w:val="19"/>
                <w:szCs w:val="19"/>
              </w:rPr>
            </w:pPr>
            <w:r w:rsidRPr="00CD62D8">
              <w:rPr>
                <w:rFonts w:ascii="Cambria" w:eastAsia="Times New Roman" w:hAnsi="Cambria" w:cs="Calibri"/>
                <w:color w:val="000000"/>
                <w:sz w:val="19"/>
                <w:szCs w:val="19"/>
              </w:rPr>
              <w:t>375</w:t>
            </w:r>
          </w:p>
        </w:tc>
        <w:tc>
          <w:tcPr>
            <w:tcW w:w="2966" w:type="dxa"/>
            <w:tcBorders>
              <w:bottom w:val="single" w:sz="4" w:space="0" w:color="auto"/>
            </w:tcBorders>
          </w:tcPr>
          <w:p w14:paraId="567C134D" w14:textId="53FEEE63" w:rsidR="004A4D64" w:rsidRPr="00CD62D8" w:rsidRDefault="00BE0796" w:rsidP="00A87105">
            <w:pPr>
              <w:pStyle w:val="ListParagraph"/>
              <w:numPr>
                <w:ilvl w:val="0"/>
                <w:numId w:val="7"/>
              </w:numPr>
              <w:spacing w:after="0" w:line="240" w:lineRule="auto"/>
              <w:ind w:left="165" w:hanging="141"/>
              <w:contextualSpacing w:val="0"/>
              <w:jc w:val="both"/>
              <w:rPr>
                <w:rFonts w:ascii="Cambria" w:hAnsi="Cambria"/>
                <w:sz w:val="19"/>
                <w:szCs w:val="19"/>
              </w:rPr>
            </w:pPr>
            <w:r w:rsidRPr="00CD62D8">
              <w:rPr>
                <w:rFonts w:ascii="Cambria" w:hAnsi="Cambria"/>
                <w:sz w:val="19"/>
                <w:szCs w:val="19"/>
              </w:rPr>
              <w:t>It is permitted to catch</w:t>
            </w:r>
            <w:r w:rsidR="00102FBE" w:rsidRPr="00CD62D8">
              <w:rPr>
                <w:rFonts w:ascii="Cambria" w:hAnsi="Cambria"/>
                <w:sz w:val="19"/>
                <w:szCs w:val="19"/>
              </w:rPr>
              <w:t xml:space="preserve"> large pelagic and demersal fish</w:t>
            </w:r>
            <w:r w:rsidR="004A4D64" w:rsidRPr="00CD62D8">
              <w:rPr>
                <w:rFonts w:ascii="Cambria" w:hAnsi="Cambria"/>
                <w:sz w:val="19"/>
                <w:szCs w:val="19"/>
              </w:rPr>
              <w:t>.</w:t>
            </w:r>
            <w:r w:rsidR="00102FBE" w:rsidRPr="00CD62D8">
              <w:rPr>
                <w:rFonts w:ascii="Cambria" w:hAnsi="Cambria"/>
                <w:sz w:val="19"/>
                <w:szCs w:val="19"/>
              </w:rPr>
              <w:t xml:space="preserve">     </w:t>
            </w:r>
          </w:p>
          <w:p w14:paraId="3FE12299" w14:textId="0793808F" w:rsidR="004A4D64" w:rsidRPr="00CD62D8" w:rsidRDefault="00102FBE" w:rsidP="00A87105">
            <w:pPr>
              <w:pStyle w:val="ListParagraph"/>
              <w:numPr>
                <w:ilvl w:val="0"/>
                <w:numId w:val="7"/>
              </w:numPr>
              <w:spacing w:after="0" w:line="240" w:lineRule="auto"/>
              <w:ind w:left="165" w:hanging="141"/>
              <w:contextualSpacing w:val="0"/>
              <w:jc w:val="both"/>
              <w:rPr>
                <w:rFonts w:ascii="Cambria" w:hAnsi="Cambria"/>
                <w:sz w:val="19"/>
                <w:szCs w:val="19"/>
              </w:rPr>
            </w:pPr>
            <w:r w:rsidRPr="00CD62D8">
              <w:rPr>
                <w:rFonts w:ascii="Cambria" w:hAnsi="Cambria"/>
                <w:sz w:val="19"/>
                <w:szCs w:val="19"/>
              </w:rPr>
              <w:t>Fishing activities are permitted within three nautical miles of the coast for small-</w:t>
            </w:r>
            <w:r w:rsidR="00A751FE" w:rsidRPr="00CD62D8">
              <w:rPr>
                <w:rFonts w:ascii="Cambria" w:hAnsi="Cambria"/>
                <w:sz w:val="19"/>
                <w:szCs w:val="19"/>
              </w:rPr>
              <w:t>s</w:t>
            </w:r>
            <w:r w:rsidR="00F50E8F" w:rsidRPr="00CD62D8">
              <w:rPr>
                <w:rFonts w:ascii="Cambria" w:hAnsi="Cambria"/>
                <w:sz w:val="19"/>
                <w:szCs w:val="19"/>
              </w:rPr>
              <w:t>cale</w:t>
            </w:r>
            <w:r w:rsidRPr="00CD62D8">
              <w:rPr>
                <w:rFonts w:ascii="Cambria" w:hAnsi="Cambria"/>
                <w:sz w:val="19"/>
                <w:szCs w:val="19"/>
              </w:rPr>
              <w:t xml:space="preserve"> commercial vessels, up to 40 nautical miles for medium-scale vessels, and more than 40 nautical miles for </w:t>
            </w:r>
            <w:r w:rsidR="00F50E8F" w:rsidRPr="00CD62D8">
              <w:rPr>
                <w:rFonts w:ascii="Cambria" w:hAnsi="Cambria"/>
                <w:sz w:val="19"/>
                <w:szCs w:val="19"/>
              </w:rPr>
              <w:t>larger</w:t>
            </w:r>
            <w:r w:rsidRPr="00CD62D8">
              <w:rPr>
                <w:rFonts w:ascii="Cambria" w:hAnsi="Cambria"/>
                <w:sz w:val="19"/>
                <w:szCs w:val="19"/>
              </w:rPr>
              <w:t xml:space="preserve"> vessels. Fishing is not </w:t>
            </w:r>
            <w:proofErr w:type="spellStart"/>
            <w:r w:rsidRPr="00CD62D8">
              <w:rPr>
                <w:rFonts w:ascii="Cambria" w:hAnsi="Cambria"/>
                <w:sz w:val="19"/>
                <w:szCs w:val="19"/>
              </w:rPr>
              <w:t>authorised</w:t>
            </w:r>
            <w:proofErr w:type="spellEnd"/>
            <w:r w:rsidRPr="00CD62D8">
              <w:rPr>
                <w:rFonts w:ascii="Cambria" w:hAnsi="Cambria"/>
                <w:sz w:val="19"/>
                <w:szCs w:val="19"/>
              </w:rPr>
              <w:t xml:space="preserve"> in parks and closed areas; responsible marine fishing area management plans must be </w:t>
            </w:r>
            <w:r w:rsidR="009B238F" w:rsidRPr="00CD62D8">
              <w:rPr>
                <w:rFonts w:ascii="Cambria" w:hAnsi="Cambria"/>
                <w:sz w:val="19"/>
                <w:szCs w:val="19"/>
              </w:rPr>
              <w:t>abided by</w:t>
            </w:r>
            <w:r w:rsidR="004A4D64" w:rsidRPr="00CD62D8">
              <w:rPr>
                <w:rFonts w:ascii="Cambria" w:hAnsi="Cambria"/>
                <w:sz w:val="19"/>
                <w:szCs w:val="19"/>
              </w:rPr>
              <w:t xml:space="preserve">. </w:t>
            </w:r>
            <w:r w:rsidRPr="00CD62D8">
              <w:rPr>
                <w:rFonts w:ascii="Cambria" w:hAnsi="Cambria"/>
                <w:sz w:val="19"/>
                <w:szCs w:val="19"/>
              </w:rPr>
              <w:t xml:space="preserve">Collection of catch data on fishing </w:t>
            </w:r>
            <w:proofErr w:type="gramStart"/>
            <w:r w:rsidRPr="00CD62D8">
              <w:rPr>
                <w:rFonts w:ascii="Cambria" w:hAnsi="Cambria"/>
                <w:sz w:val="19"/>
                <w:szCs w:val="19"/>
              </w:rPr>
              <w:t>trips.·</w:t>
            </w:r>
            <w:proofErr w:type="gramEnd"/>
          </w:p>
          <w:p w14:paraId="4ADDD019" w14:textId="2138BBF8" w:rsidR="004A4D64" w:rsidRPr="00CD62D8" w:rsidRDefault="004A4D64" w:rsidP="00E90BEB">
            <w:pPr>
              <w:pStyle w:val="ListParagraph"/>
              <w:numPr>
                <w:ilvl w:val="0"/>
                <w:numId w:val="7"/>
              </w:numPr>
              <w:spacing w:after="0" w:line="240" w:lineRule="auto"/>
              <w:ind w:left="165" w:hanging="141"/>
              <w:contextualSpacing w:val="0"/>
              <w:jc w:val="both"/>
              <w:rPr>
                <w:rFonts w:ascii="Cambria" w:hAnsi="Cambria"/>
                <w:sz w:val="19"/>
                <w:szCs w:val="19"/>
              </w:rPr>
            </w:pPr>
            <w:r w:rsidRPr="00CD62D8">
              <w:rPr>
                <w:rFonts w:ascii="Cambria" w:hAnsi="Cambria"/>
                <w:sz w:val="19"/>
                <w:szCs w:val="19"/>
              </w:rPr>
              <w:t>In-port m</w:t>
            </w:r>
            <w:r w:rsidR="00102FBE" w:rsidRPr="00CD62D8">
              <w:rPr>
                <w:rFonts w:ascii="Cambria" w:hAnsi="Cambria"/>
                <w:sz w:val="19"/>
                <w:szCs w:val="19"/>
              </w:rPr>
              <w:t xml:space="preserve">onitoring </w:t>
            </w:r>
            <w:proofErr w:type="spellStart"/>
            <w:r w:rsidR="00102FBE" w:rsidRPr="00CD62D8">
              <w:rPr>
                <w:rFonts w:ascii="Cambria" w:hAnsi="Cambria"/>
                <w:sz w:val="19"/>
                <w:szCs w:val="19"/>
              </w:rPr>
              <w:t>programme</w:t>
            </w:r>
            <w:proofErr w:type="spellEnd"/>
            <w:r w:rsidRPr="00CD62D8">
              <w:rPr>
                <w:rFonts w:ascii="Cambria" w:hAnsi="Cambria"/>
                <w:sz w:val="19"/>
                <w:szCs w:val="19"/>
              </w:rPr>
              <w:t xml:space="preserve"> </w:t>
            </w:r>
            <w:r w:rsidR="00102FBE" w:rsidRPr="00CD62D8">
              <w:rPr>
                <w:rFonts w:ascii="Cambria" w:hAnsi="Cambria"/>
                <w:sz w:val="19"/>
                <w:szCs w:val="19"/>
              </w:rPr>
              <w:t>to verify fishing logbooks.</w:t>
            </w:r>
          </w:p>
          <w:p w14:paraId="7AF6B259" w14:textId="4EE19A79" w:rsidR="004A4D64" w:rsidRPr="00CD62D8" w:rsidRDefault="00102FBE" w:rsidP="00E90BEB">
            <w:pPr>
              <w:pStyle w:val="ListParagraph"/>
              <w:numPr>
                <w:ilvl w:val="0"/>
                <w:numId w:val="7"/>
              </w:numPr>
              <w:spacing w:after="0" w:line="240" w:lineRule="auto"/>
              <w:ind w:left="165" w:hanging="141"/>
              <w:contextualSpacing w:val="0"/>
              <w:jc w:val="both"/>
              <w:rPr>
                <w:rFonts w:ascii="Cambria" w:hAnsi="Cambria"/>
                <w:sz w:val="19"/>
                <w:szCs w:val="19"/>
              </w:rPr>
            </w:pPr>
            <w:r w:rsidRPr="00CD62D8">
              <w:rPr>
                <w:rFonts w:ascii="Cambria" w:hAnsi="Cambria"/>
                <w:sz w:val="19"/>
                <w:szCs w:val="19"/>
              </w:rPr>
              <w:t xml:space="preserve">INCOPESCA officials inspect 100% of landings by the medium-scale and </w:t>
            </w:r>
            <w:r w:rsidR="0047224C" w:rsidRPr="00CD62D8">
              <w:rPr>
                <w:rFonts w:ascii="Cambria" w:hAnsi="Cambria"/>
                <w:sz w:val="19"/>
                <w:szCs w:val="19"/>
              </w:rPr>
              <w:t>greater</w:t>
            </w:r>
            <w:r w:rsidRPr="00CD62D8">
              <w:rPr>
                <w:rFonts w:ascii="Cambria" w:hAnsi="Cambria"/>
                <w:sz w:val="19"/>
                <w:szCs w:val="19"/>
              </w:rPr>
              <w:t xml:space="preserve"> commercial fleet and record the information on the Hydrobiological Resources Landing Inspection Form (FID).</w:t>
            </w:r>
          </w:p>
          <w:p w14:paraId="68A90DC9" w14:textId="77777777" w:rsidR="004A4D64" w:rsidRPr="00CD62D8" w:rsidRDefault="00102FBE" w:rsidP="00E90BEB">
            <w:pPr>
              <w:pStyle w:val="ListParagraph"/>
              <w:numPr>
                <w:ilvl w:val="0"/>
                <w:numId w:val="7"/>
              </w:numPr>
              <w:spacing w:after="0" w:line="240" w:lineRule="auto"/>
              <w:ind w:left="165" w:hanging="141"/>
              <w:contextualSpacing w:val="0"/>
              <w:jc w:val="both"/>
              <w:rPr>
                <w:rFonts w:ascii="Cambria" w:hAnsi="Cambria"/>
                <w:sz w:val="19"/>
                <w:szCs w:val="19"/>
                <w:lang w:val="it-IT"/>
              </w:rPr>
            </w:pPr>
            <w:r w:rsidRPr="00CD62D8">
              <w:rPr>
                <w:rFonts w:ascii="Cambria" w:hAnsi="Cambria"/>
                <w:sz w:val="19"/>
                <w:szCs w:val="19"/>
              </w:rPr>
              <w:t xml:space="preserve"> </w:t>
            </w:r>
            <w:r w:rsidRPr="00CD62D8">
              <w:rPr>
                <w:rFonts w:ascii="Cambria" w:hAnsi="Cambria"/>
                <w:sz w:val="19"/>
                <w:szCs w:val="19"/>
                <w:lang w:val="it-IT"/>
              </w:rPr>
              <w:t>Satellite vessel monitoring system (VMS).</w:t>
            </w:r>
          </w:p>
          <w:p w14:paraId="35F97956" w14:textId="3B089924" w:rsidR="004A4D64" w:rsidRPr="00CD62D8" w:rsidRDefault="00102FBE" w:rsidP="00E90BEB">
            <w:pPr>
              <w:pStyle w:val="ListParagraph"/>
              <w:numPr>
                <w:ilvl w:val="0"/>
                <w:numId w:val="7"/>
              </w:numPr>
              <w:spacing w:after="0" w:line="240" w:lineRule="auto"/>
              <w:ind w:left="165" w:hanging="141"/>
              <w:contextualSpacing w:val="0"/>
              <w:jc w:val="both"/>
              <w:rPr>
                <w:rFonts w:ascii="Cambria" w:hAnsi="Cambria"/>
                <w:sz w:val="19"/>
                <w:szCs w:val="19"/>
              </w:rPr>
            </w:pPr>
            <w:r w:rsidRPr="00CD62D8">
              <w:rPr>
                <w:rFonts w:ascii="Cambria" w:hAnsi="Cambria"/>
                <w:sz w:val="19"/>
                <w:szCs w:val="19"/>
              </w:rPr>
              <w:t xml:space="preserve">Monitoring of fishing activity: </w:t>
            </w:r>
            <w:r w:rsidR="004A4D64" w:rsidRPr="00CD62D8">
              <w:rPr>
                <w:rFonts w:ascii="Cambria" w:hAnsi="Cambria"/>
                <w:sz w:val="19"/>
                <w:szCs w:val="19"/>
              </w:rPr>
              <w:t xml:space="preserve">at-sea and in-port </w:t>
            </w:r>
            <w:r w:rsidRPr="00CD62D8">
              <w:rPr>
                <w:rFonts w:ascii="Cambria" w:hAnsi="Cambria"/>
                <w:sz w:val="19"/>
                <w:szCs w:val="19"/>
              </w:rPr>
              <w:t xml:space="preserve">aerial </w:t>
            </w:r>
            <w:r w:rsidR="00670D28" w:rsidRPr="00CD62D8">
              <w:rPr>
                <w:rFonts w:ascii="Cambria" w:hAnsi="Cambria"/>
                <w:sz w:val="19"/>
                <w:szCs w:val="19"/>
              </w:rPr>
              <w:t>monitoring</w:t>
            </w:r>
            <w:r w:rsidRPr="00CD62D8">
              <w:rPr>
                <w:rFonts w:ascii="Cambria" w:hAnsi="Cambria"/>
                <w:sz w:val="19"/>
                <w:szCs w:val="19"/>
              </w:rPr>
              <w:t xml:space="preserve"> (inspections are carried out at fish processing and purchasing </w:t>
            </w:r>
            <w:r w:rsidR="00C97C90" w:rsidRPr="00CD62D8">
              <w:rPr>
                <w:rFonts w:ascii="Cambria" w:hAnsi="Cambria"/>
                <w:sz w:val="19"/>
                <w:szCs w:val="19"/>
              </w:rPr>
              <w:t>sites).</w:t>
            </w:r>
          </w:p>
          <w:p w14:paraId="6B622378" w14:textId="7F0473C8" w:rsidR="00102FBE" w:rsidRPr="00CD62D8" w:rsidRDefault="00102FBE" w:rsidP="00E90BEB">
            <w:pPr>
              <w:pStyle w:val="ListParagraph"/>
              <w:numPr>
                <w:ilvl w:val="0"/>
                <w:numId w:val="7"/>
              </w:numPr>
              <w:spacing w:after="0" w:line="240" w:lineRule="auto"/>
              <w:ind w:left="165" w:hanging="141"/>
              <w:contextualSpacing w:val="0"/>
              <w:jc w:val="both"/>
              <w:rPr>
                <w:rFonts w:ascii="Cambria" w:hAnsi="Cambria"/>
                <w:sz w:val="19"/>
                <w:szCs w:val="19"/>
              </w:rPr>
            </w:pPr>
            <w:proofErr w:type="gramStart"/>
            <w:r w:rsidRPr="00CD62D8">
              <w:rPr>
                <w:rFonts w:ascii="Cambria" w:hAnsi="Cambria"/>
                <w:sz w:val="19"/>
                <w:szCs w:val="19"/>
              </w:rPr>
              <w:t>Recording</w:t>
            </w:r>
            <w:r w:rsidR="00AF6F2C" w:rsidRPr="00CD62D8">
              <w:rPr>
                <w:rFonts w:ascii="Cambria" w:hAnsi="Cambria"/>
                <w:sz w:val="19"/>
                <w:szCs w:val="19"/>
              </w:rPr>
              <w:t xml:space="preserve"> </w:t>
            </w:r>
            <w:r w:rsidRPr="00CD62D8">
              <w:rPr>
                <w:rFonts w:ascii="Cambria" w:hAnsi="Cambria"/>
                <w:sz w:val="19"/>
                <w:szCs w:val="19"/>
              </w:rPr>
              <w:t>of</w:t>
            </w:r>
            <w:proofErr w:type="gramEnd"/>
            <w:r w:rsidRPr="00CD62D8">
              <w:rPr>
                <w:rFonts w:ascii="Cambria" w:hAnsi="Cambria"/>
                <w:sz w:val="19"/>
                <w:szCs w:val="19"/>
              </w:rPr>
              <w:t xml:space="preserve"> </w:t>
            </w:r>
            <w:r w:rsidR="005078CA" w:rsidRPr="00CD62D8">
              <w:rPr>
                <w:rFonts w:ascii="Cambria" w:hAnsi="Cambria"/>
                <w:sz w:val="19"/>
                <w:szCs w:val="19"/>
              </w:rPr>
              <w:t xml:space="preserve">fish </w:t>
            </w:r>
            <w:r w:rsidRPr="00CD62D8">
              <w:rPr>
                <w:rFonts w:ascii="Cambria" w:hAnsi="Cambria"/>
                <w:sz w:val="19"/>
                <w:szCs w:val="19"/>
              </w:rPr>
              <w:t>biolog</w:t>
            </w:r>
            <w:r w:rsidR="005078CA" w:rsidRPr="00CD62D8">
              <w:rPr>
                <w:rFonts w:ascii="Cambria" w:hAnsi="Cambria"/>
                <w:sz w:val="19"/>
                <w:szCs w:val="19"/>
              </w:rPr>
              <w:t>y</w:t>
            </w:r>
            <w:r w:rsidRPr="00CD62D8">
              <w:rPr>
                <w:rFonts w:ascii="Cambria" w:hAnsi="Cambria"/>
                <w:sz w:val="19"/>
                <w:szCs w:val="19"/>
              </w:rPr>
              <w:t xml:space="preserve"> information </w:t>
            </w:r>
            <w:r w:rsidR="004A4D64" w:rsidRPr="00CD62D8">
              <w:rPr>
                <w:rFonts w:ascii="Cambria" w:hAnsi="Cambria"/>
                <w:sz w:val="19"/>
                <w:szCs w:val="19"/>
              </w:rPr>
              <w:t>upon</w:t>
            </w:r>
            <w:r w:rsidRPr="00CD62D8">
              <w:rPr>
                <w:rFonts w:ascii="Cambria" w:hAnsi="Cambria"/>
                <w:sz w:val="19"/>
                <w:szCs w:val="19"/>
              </w:rPr>
              <w:t xml:space="preserve"> landing.</w:t>
            </w:r>
          </w:p>
          <w:p w14:paraId="6B9DCB5A" w14:textId="4BEED13B" w:rsidR="00140AA1" w:rsidRPr="00CD62D8" w:rsidRDefault="00140AA1" w:rsidP="004A4D64">
            <w:pPr>
              <w:pStyle w:val="ListParagraph"/>
              <w:spacing w:after="0" w:line="240" w:lineRule="auto"/>
              <w:ind w:left="27" w:hanging="142"/>
              <w:contextualSpacing w:val="0"/>
              <w:jc w:val="both"/>
              <w:rPr>
                <w:rFonts w:ascii="Cambria" w:hAnsi="Cambria"/>
                <w:sz w:val="19"/>
                <w:szCs w:val="19"/>
              </w:rPr>
            </w:pPr>
          </w:p>
        </w:tc>
        <w:tc>
          <w:tcPr>
            <w:tcW w:w="2835" w:type="dxa"/>
            <w:tcBorders>
              <w:bottom w:val="single" w:sz="4" w:space="0" w:color="auto"/>
            </w:tcBorders>
          </w:tcPr>
          <w:p w14:paraId="0F87EFD3" w14:textId="2D6B9801" w:rsidR="00102FBE" w:rsidRPr="00CD62D8" w:rsidRDefault="00102FBE" w:rsidP="00102FBE">
            <w:pPr>
              <w:spacing w:after="0" w:line="240" w:lineRule="auto"/>
              <w:jc w:val="both"/>
              <w:rPr>
                <w:rFonts w:ascii="Cambria" w:hAnsi="Cambria"/>
                <w:sz w:val="20"/>
                <w:szCs w:val="20"/>
              </w:rPr>
            </w:pPr>
            <w:r w:rsidRPr="00CD62D8">
              <w:rPr>
                <w:rFonts w:ascii="Cambria" w:hAnsi="Cambria"/>
                <w:sz w:val="20"/>
                <w:szCs w:val="20"/>
              </w:rPr>
              <w:t xml:space="preserve">Minimum catch size for North Atlantic swordfish: </w:t>
            </w:r>
            <w:r w:rsidR="004D01BF" w:rsidRPr="00CD62D8">
              <w:rPr>
                <w:rFonts w:ascii="Cambria" w:hAnsi="Cambria"/>
                <w:sz w:val="20"/>
                <w:szCs w:val="20"/>
              </w:rPr>
              <w:t>round</w:t>
            </w:r>
            <w:r w:rsidRPr="00CD62D8">
              <w:rPr>
                <w:rFonts w:ascii="Cambria" w:hAnsi="Cambria"/>
                <w:sz w:val="20"/>
                <w:szCs w:val="20"/>
              </w:rPr>
              <w:t xml:space="preserve"> weight of 25 kg or, alternatively, 125</w:t>
            </w:r>
            <w:r w:rsidR="004A4D64" w:rsidRPr="00CD62D8">
              <w:rPr>
                <w:rFonts w:ascii="Cambria" w:hAnsi="Cambria"/>
                <w:sz w:val="20"/>
                <w:szCs w:val="20"/>
              </w:rPr>
              <w:t> </w:t>
            </w:r>
            <w:r w:rsidRPr="00CD62D8">
              <w:rPr>
                <w:rFonts w:ascii="Cambria" w:hAnsi="Cambria"/>
                <w:sz w:val="20"/>
                <w:szCs w:val="20"/>
              </w:rPr>
              <w:t xml:space="preserve">cm from the lower jaw to the fork. Tolerance </w:t>
            </w:r>
            <w:r w:rsidR="00917C7B" w:rsidRPr="00CD62D8">
              <w:rPr>
                <w:rFonts w:ascii="Cambria" w:hAnsi="Cambria"/>
                <w:sz w:val="20"/>
                <w:szCs w:val="20"/>
              </w:rPr>
              <w:t>allowance</w:t>
            </w:r>
            <w:r w:rsidRPr="00CD62D8">
              <w:rPr>
                <w:rFonts w:ascii="Cambria" w:hAnsi="Cambria"/>
                <w:sz w:val="20"/>
                <w:szCs w:val="20"/>
              </w:rPr>
              <w:t xml:space="preserve"> for vessels that have </w:t>
            </w:r>
            <w:r w:rsidR="006E3179" w:rsidRPr="00CD62D8">
              <w:rPr>
                <w:rFonts w:ascii="Cambria" w:hAnsi="Cambria"/>
                <w:sz w:val="20"/>
                <w:szCs w:val="20"/>
              </w:rPr>
              <w:t>by</w:t>
            </w:r>
            <w:r w:rsidRPr="00CD62D8">
              <w:rPr>
                <w:rFonts w:ascii="Cambria" w:hAnsi="Cambria"/>
                <w:sz w:val="20"/>
                <w:szCs w:val="20"/>
              </w:rPr>
              <w:t xml:space="preserve">caught small specimens, provided that these </w:t>
            </w:r>
            <w:r w:rsidR="006E3179" w:rsidRPr="00CD62D8">
              <w:rPr>
                <w:rFonts w:ascii="Cambria" w:hAnsi="Cambria"/>
                <w:sz w:val="20"/>
                <w:szCs w:val="20"/>
              </w:rPr>
              <w:t>by</w:t>
            </w:r>
            <w:r w:rsidRPr="00CD62D8">
              <w:rPr>
                <w:rFonts w:ascii="Cambria" w:hAnsi="Cambria"/>
                <w:sz w:val="20"/>
                <w:szCs w:val="20"/>
              </w:rPr>
              <w:t>catches do not exceed 15% of the number of swordfish per landing of the total swordfish catch of those vessels</w:t>
            </w:r>
            <w:r w:rsidR="00D5390F" w:rsidRPr="00CD62D8">
              <w:rPr>
                <w:rFonts w:ascii="Cambria" w:hAnsi="Cambria"/>
                <w:sz w:val="20"/>
                <w:szCs w:val="20"/>
              </w:rPr>
              <w:t>.</w:t>
            </w:r>
          </w:p>
          <w:p w14:paraId="0A86340A" w14:textId="77777777" w:rsidR="004A4D64" w:rsidRPr="00CD62D8" w:rsidRDefault="004A4D64" w:rsidP="00102FBE">
            <w:pPr>
              <w:spacing w:after="0" w:line="240" w:lineRule="auto"/>
              <w:jc w:val="both"/>
              <w:rPr>
                <w:rFonts w:ascii="Cambria" w:hAnsi="Cambria"/>
                <w:sz w:val="20"/>
                <w:szCs w:val="20"/>
              </w:rPr>
            </w:pPr>
          </w:p>
          <w:p w14:paraId="5D71A9D8" w14:textId="2E0F4D9B" w:rsidR="00102FBE" w:rsidRPr="00CD62D8" w:rsidRDefault="00102FBE" w:rsidP="00102FBE">
            <w:pPr>
              <w:spacing w:after="0" w:line="240" w:lineRule="auto"/>
              <w:jc w:val="both"/>
              <w:rPr>
                <w:rFonts w:ascii="Cambria" w:hAnsi="Cambria"/>
                <w:sz w:val="20"/>
                <w:szCs w:val="20"/>
              </w:rPr>
            </w:pPr>
            <w:r w:rsidRPr="00CD62D8">
              <w:rPr>
                <w:rFonts w:ascii="Cambria" w:hAnsi="Cambria"/>
                <w:sz w:val="20"/>
                <w:szCs w:val="20"/>
              </w:rPr>
              <w:t>In 2025, Costa Rica has an allocated catch limit of 75</w:t>
            </w:r>
            <w:r w:rsidR="004A4D64" w:rsidRPr="00CD62D8">
              <w:rPr>
                <w:rFonts w:ascii="Cambria" w:hAnsi="Cambria"/>
                <w:sz w:val="20"/>
                <w:szCs w:val="20"/>
              </w:rPr>
              <w:t> </w:t>
            </w:r>
            <w:r w:rsidRPr="00CD62D8">
              <w:rPr>
                <w:rFonts w:ascii="Cambria" w:hAnsi="Cambria"/>
                <w:sz w:val="20"/>
                <w:szCs w:val="20"/>
              </w:rPr>
              <w:t>t and a transfer of 300</w:t>
            </w:r>
            <w:r w:rsidR="004A4D64" w:rsidRPr="00CD62D8">
              <w:rPr>
                <w:rFonts w:ascii="Cambria" w:hAnsi="Cambria"/>
                <w:sz w:val="20"/>
                <w:szCs w:val="20"/>
              </w:rPr>
              <w:t> </w:t>
            </w:r>
            <w:r w:rsidRPr="00CD62D8">
              <w:rPr>
                <w:rFonts w:ascii="Cambria" w:hAnsi="Cambria"/>
                <w:sz w:val="20"/>
                <w:szCs w:val="20"/>
              </w:rPr>
              <w:t xml:space="preserve">t from the United States, </w:t>
            </w:r>
            <w:r w:rsidR="00B11CA2" w:rsidRPr="00CD62D8">
              <w:rPr>
                <w:rFonts w:ascii="Cambria" w:hAnsi="Cambria"/>
                <w:sz w:val="20"/>
                <w:szCs w:val="20"/>
              </w:rPr>
              <w:t>giving</w:t>
            </w:r>
            <w:r w:rsidRPr="00CD62D8">
              <w:rPr>
                <w:rFonts w:ascii="Cambria" w:hAnsi="Cambria"/>
                <w:sz w:val="20"/>
                <w:szCs w:val="20"/>
              </w:rPr>
              <w:t xml:space="preserve"> a total of 375</w:t>
            </w:r>
            <w:r w:rsidR="004A4D64" w:rsidRPr="00CD62D8">
              <w:rPr>
                <w:rFonts w:ascii="Cambria" w:hAnsi="Cambria"/>
                <w:sz w:val="20"/>
                <w:szCs w:val="20"/>
              </w:rPr>
              <w:t> </w:t>
            </w:r>
            <w:r w:rsidRPr="00CD62D8">
              <w:rPr>
                <w:rFonts w:ascii="Cambria" w:hAnsi="Cambria"/>
                <w:sz w:val="20"/>
                <w:szCs w:val="20"/>
              </w:rPr>
              <w:t xml:space="preserve">t (Rec. 24-10). </w:t>
            </w:r>
            <w:r w:rsidR="00BA5E77" w:rsidRPr="00CD62D8">
              <w:rPr>
                <w:rFonts w:ascii="Cambria" w:hAnsi="Cambria"/>
                <w:sz w:val="20"/>
                <w:szCs w:val="20"/>
              </w:rPr>
              <w:t>The intention is to pay back the</w:t>
            </w:r>
            <w:r w:rsidR="00C678AF" w:rsidRPr="00CD62D8">
              <w:rPr>
                <w:rFonts w:ascii="Cambria" w:hAnsi="Cambria"/>
                <w:sz w:val="20"/>
                <w:szCs w:val="20"/>
              </w:rPr>
              <w:t xml:space="preserve"> accumulated</w:t>
            </w:r>
            <w:r w:rsidR="00BA5E77" w:rsidRPr="00CD62D8">
              <w:rPr>
                <w:rFonts w:ascii="Cambria" w:hAnsi="Cambria"/>
                <w:sz w:val="20"/>
                <w:szCs w:val="20"/>
              </w:rPr>
              <w:t xml:space="preserve"> overharvest in </w:t>
            </w:r>
            <w:r w:rsidR="003471A4" w:rsidRPr="00CD62D8">
              <w:rPr>
                <w:rFonts w:ascii="Cambria" w:hAnsi="Cambria"/>
                <w:sz w:val="20"/>
                <w:szCs w:val="20"/>
              </w:rPr>
              <w:t>2025.</w:t>
            </w:r>
          </w:p>
          <w:p w14:paraId="6C8DA4F3" w14:textId="77777777" w:rsidR="00102FBE" w:rsidRPr="00CD62D8" w:rsidRDefault="00102FBE" w:rsidP="00102FBE">
            <w:pPr>
              <w:spacing w:after="0" w:line="240" w:lineRule="auto"/>
              <w:jc w:val="both"/>
              <w:rPr>
                <w:rFonts w:ascii="Cambria" w:hAnsi="Cambria"/>
                <w:sz w:val="20"/>
                <w:szCs w:val="20"/>
              </w:rPr>
            </w:pPr>
          </w:p>
          <w:p w14:paraId="1F8F36F2" w14:textId="772793BF" w:rsidR="000D1E4A" w:rsidRPr="00CD62D8" w:rsidRDefault="000D1E4A" w:rsidP="00102FBE">
            <w:pPr>
              <w:spacing w:after="0" w:line="240" w:lineRule="auto"/>
              <w:jc w:val="both"/>
              <w:rPr>
                <w:rFonts w:ascii="Cambria" w:hAnsi="Cambria"/>
                <w:sz w:val="20"/>
                <w:szCs w:val="20"/>
              </w:rPr>
            </w:pPr>
          </w:p>
        </w:tc>
      </w:tr>
      <w:tr w:rsidR="00CC5095" w:rsidRPr="00CD62D8" w14:paraId="32BFD5FB" w14:textId="77777777" w:rsidTr="00140AA1">
        <w:trPr>
          <w:gridAfter w:val="1"/>
          <w:wAfter w:w="236" w:type="dxa"/>
        </w:trPr>
        <w:tc>
          <w:tcPr>
            <w:tcW w:w="14029" w:type="dxa"/>
            <w:gridSpan w:val="11"/>
            <w:tcBorders>
              <w:bottom w:val="single" w:sz="4" w:space="0" w:color="auto"/>
            </w:tcBorders>
            <w:noWrap/>
          </w:tcPr>
          <w:p w14:paraId="26CD72F5" w14:textId="11328647" w:rsidR="00CC5095" w:rsidRPr="00CD62D8" w:rsidRDefault="003471A4" w:rsidP="00102FBE">
            <w:pPr>
              <w:spacing w:after="0" w:line="240" w:lineRule="auto"/>
              <w:rPr>
                <w:rFonts w:ascii="Cambria" w:hAnsi="Cambria"/>
                <w:sz w:val="20"/>
                <w:szCs w:val="20"/>
              </w:rPr>
            </w:pPr>
            <w:r w:rsidRPr="00CD62D8">
              <w:rPr>
                <w:rFonts w:ascii="Cambria" w:hAnsi="Cambria"/>
                <w:sz w:val="20"/>
                <w:szCs w:val="20"/>
              </w:rPr>
              <w:t xml:space="preserve">*In 2025, Costa Rica has an allocated catch limit of 75 t and a transfer of 300 t from the United States, </w:t>
            </w:r>
            <w:r w:rsidR="00C059D9">
              <w:rPr>
                <w:rFonts w:ascii="Cambria" w:hAnsi="Cambria"/>
                <w:sz w:val="20"/>
                <w:szCs w:val="20"/>
              </w:rPr>
              <w:t>giving</w:t>
            </w:r>
            <w:r w:rsidRPr="00CD62D8">
              <w:rPr>
                <w:rFonts w:ascii="Cambria" w:hAnsi="Cambria"/>
                <w:sz w:val="20"/>
                <w:szCs w:val="20"/>
              </w:rPr>
              <w:t xml:space="preserve"> a total of 375 t</w:t>
            </w:r>
            <w:r w:rsidR="00E90BEB" w:rsidRPr="00CD62D8">
              <w:rPr>
                <w:rFonts w:ascii="Cambria" w:hAnsi="Cambria"/>
                <w:sz w:val="20"/>
                <w:szCs w:val="20"/>
              </w:rPr>
              <w:t xml:space="preserve"> </w:t>
            </w:r>
            <w:r w:rsidRPr="00CD62D8">
              <w:rPr>
                <w:rFonts w:ascii="Cambria" w:hAnsi="Cambria"/>
                <w:sz w:val="20"/>
                <w:szCs w:val="20"/>
              </w:rPr>
              <w:t xml:space="preserve">(Rec. 24-10). It is planned that the excess </w:t>
            </w:r>
            <w:r w:rsidR="00353AFF" w:rsidRPr="00CD62D8">
              <w:rPr>
                <w:rFonts w:ascii="Cambria" w:hAnsi="Cambria"/>
                <w:sz w:val="20"/>
                <w:szCs w:val="20"/>
              </w:rPr>
              <w:t>accumulated</w:t>
            </w:r>
            <w:r w:rsidRPr="00CD62D8">
              <w:rPr>
                <w:rFonts w:ascii="Cambria" w:hAnsi="Cambria"/>
                <w:sz w:val="20"/>
                <w:szCs w:val="20"/>
              </w:rPr>
              <w:t xml:space="preserve"> catch will be returned in 2025</w:t>
            </w:r>
            <w:r w:rsidR="00E90BEB" w:rsidRPr="00CD62D8">
              <w:rPr>
                <w:rFonts w:ascii="Cambria" w:hAnsi="Cambria"/>
                <w:sz w:val="20"/>
                <w:szCs w:val="20"/>
              </w:rPr>
              <w:t>.</w:t>
            </w:r>
          </w:p>
        </w:tc>
      </w:tr>
      <w:tr w:rsidR="00D4105A" w:rsidRPr="00CD62D8" w14:paraId="0972F477" w14:textId="77777777" w:rsidTr="00140AA1">
        <w:trPr>
          <w:gridAfter w:val="1"/>
          <w:wAfter w:w="236" w:type="dxa"/>
        </w:trPr>
        <w:tc>
          <w:tcPr>
            <w:tcW w:w="1164" w:type="dxa"/>
            <w:tcBorders>
              <w:bottom w:val="single" w:sz="4" w:space="0" w:color="auto"/>
            </w:tcBorders>
            <w:noWrap/>
            <w:vAlign w:val="center"/>
            <w:hideMark/>
          </w:tcPr>
          <w:p w14:paraId="2CEDCF61" w14:textId="77777777" w:rsidR="00D4105A" w:rsidRPr="00CD62D8" w:rsidRDefault="00D4105A"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lastRenderedPageBreak/>
              <w:t>Japan</w:t>
            </w:r>
          </w:p>
        </w:tc>
        <w:tc>
          <w:tcPr>
            <w:tcW w:w="914" w:type="dxa"/>
            <w:tcBorders>
              <w:bottom w:val="single" w:sz="4" w:space="0" w:color="auto"/>
            </w:tcBorders>
            <w:noWrap/>
            <w:vAlign w:val="center"/>
            <w:hideMark/>
          </w:tcPr>
          <w:p w14:paraId="3A3983F2" w14:textId="77777777" w:rsidR="00D4105A" w:rsidRPr="00CD62D8" w:rsidRDefault="00D4105A" w:rsidP="00102FBE">
            <w:pPr>
              <w:spacing w:after="0" w:line="240" w:lineRule="auto"/>
              <w:jc w:val="center"/>
              <w:rPr>
                <w:rFonts w:ascii="Cambria" w:eastAsia="Times New Roman" w:hAnsi="Cambria" w:cs="Calibri"/>
                <w:sz w:val="18"/>
                <w:szCs w:val="18"/>
              </w:rPr>
            </w:pPr>
            <w:r w:rsidRPr="00CD62D8">
              <w:rPr>
                <w:rFonts w:ascii="Cambria" w:eastAsia="Times New Roman" w:hAnsi="Cambria" w:cs="Calibri"/>
                <w:sz w:val="18"/>
                <w:szCs w:val="18"/>
              </w:rPr>
              <w:t>Yes</w:t>
            </w:r>
          </w:p>
        </w:tc>
        <w:tc>
          <w:tcPr>
            <w:tcW w:w="1026" w:type="dxa"/>
            <w:tcBorders>
              <w:bottom w:val="single" w:sz="4" w:space="0" w:color="auto"/>
            </w:tcBorders>
            <w:noWrap/>
            <w:vAlign w:val="center"/>
            <w:hideMark/>
          </w:tcPr>
          <w:p w14:paraId="4B87AE3C" w14:textId="5755A282" w:rsidR="00D4105A" w:rsidRPr="00CD62D8" w:rsidRDefault="00D4105A" w:rsidP="00102FBE">
            <w:pPr>
              <w:spacing w:after="0" w:line="240" w:lineRule="auto"/>
              <w:jc w:val="center"/>
              <w:rPr>
                <w:rFonts w:ascii="Cambria" w:eastAsia="Times New Roman" w:hAnsi="Cambria" w:cs="Calibri"/>
                <w:sz w:val="18"/>
                <w:szCs w:val="18"/>
              </w:rPr>
            </w:pPr>
            <w:r w:rsidRPr="00CD62D8">
              <w:rPr>
                <w:rFonts w:ascii="Cambria" w:eastAsia="Times New Roman" w:hAnsi="Cambria" w:cs="Calibri"/>
                <w:sz w:val="18"/>
                <w:szCs w:val="18"/>
              </w:rPr>
              <w:t>842</w:t>
            </w:r>
          </w:p>
        </w:tc>
        <w:tc>
          <w:tcPr>
            <w:tcW w:w="841" w:type="dxa"/>
            <w:tcBorders>
              <w:bottom w:val="single" w:sz="4" w:space="0" w:color="auto"/>
            </w:tcBorders>
            <w:noWrap/>
            <w:vAlign w:val="center"/>
            <w:hideMark/>
          </w:tcPr>
          <w:p w14:paraId="2F340D0A" w14:textId="79B50368" w:rsidR="00D4105A" w:rsidRPr="00CD62D8" w:rsidRDefault="00EE5AAA" w:rsidP="00102FBE">
            <w:pPr>
              <w:spacing w:after="0" w:line="240" w:lineRule="auto"/>
              <w:jc w:val="center"/>
              <w:rPr>
                <w:rFonts w:ascii="Cambria" w:eastAsia="Times New Roman" w:hAnsi="Cambria" w:cs="Calibri"/>
                <w:sz w:val="18"/>
                <w:szCs w:val="18"/>
              </w:rPr>
            </w:pPr>
            <w:r w:rsidRPr="00CD62D8">
              <w:rPr>
                <w:rFonts w:ascii="Cambria" w:hAnsi="Cambria"/>
                <w:sz w:val="18"/>
                <w:szCs w:val="18"/>
              </w:rPr>
              <w:t>46</w:t>
            </w:r>
          </w:p>
        </w:tc>
        <w:tc>
          <w:tcPr>
            <w:tcW w:w="728" w:type="dxa"/>
            <w:tcBorders>
              <w:bottom w:val="single" w:sz="4" w:space="0" w:color="auto"/>
            </w:tcBorders>
            <w:noWrap/>
            <w:vAlign w:val="center"/>
            <w:hideMark/>
          </w:tcPr>
          <w:p w14:paraId="7AE4F8EB" w14:textId="76FA041A" w:rsidR="00D4105A" w:rsidRPr="00CD62D8" w:rsidRDefault="00D4105A" w:rsidP="00102FBE">
            <w:pPr>
              <w:spacing w:after="0" w:line="240" w:lineRule="auto"/>
              <w:jc w:val="center"/>
              <w:rPr>
                <w:rFonts w:ascii="Cambria" w:eastAsia="Times New Roman" w:hAnsi="Cambria" w:cs="Calibri"/>
                <w:sz w:val="18"/>
                <w:szCs w:val="18"/>
              </w:rPr>
            </w:pPr>
            <w:r w:rsidRPr="00CD62D8">
              <w:rPr>
                <w:rFonts w:ascii="Cambria" w:hAnsi="Cambria"/>
                <w:sz w:val="18"/>
                <w:szCs w:val="18"/>
              </w:rPr>
              <w:t>LL</w:t>
            </w:r>
          </w:p>
        </w:tc>
        <w:tc>
          <w:tcPr>
            <w:tcW w:w="851" w:type="dxa"/>
            <w:tcBorders>
              <w:bottom w:val="single" w:sz="4" w:space="0" w:color="auto"/>
            </w:tcBorders>
            <w:noWrap/>
            <w:vAlign w:val="center"/>
            <w:hideMark/>
          </w:tcPr>
          <w:p w14:paraId="54093F40" w14:textId="30509CF3" w:rsidR="00D4105A" w:rsidRPr="00CD62D8" w:rsidRDefault="00EE5AAA" w:rsidP="00102FBE">
            <w:pPr>
              <w:spacing w:after="0" w:line="240" w:lineRule="auto"/>
              <w:jc w:val="center"/>
              <w:rPr>
                <w:rFonts w:ascii="Cambria" w:hAnsi="Cambria" w:cs="Calibri"/>
                <w:sz w:val="18"/>
                <w:szCs w:val="18"/>
              </w:rPr>
            </w:pPr>
            <w:r w:rsidRPr="00CD62D8">
              <w:rPr>
                <w:rFonts w:ascii="Cambria" w:hAnsi="Cambria" w:cs="Calibri"/>
                <w:sz w:val="18"/>
                <w:szCs w:val="18"/>
              </w:rPr>
              <w:t>21,150</w:t>
            </w:r>
          </w:p>
          <w:p w14:paraId="3D2E49BB" w14:textId="707C46FD" w:rsidR="00D4105A" w:rsidRPr="00CD62D8" w:rsidRDefault="00D4105A" w:rsidP="00102FBE">
            <w:pPr>
              <w:spacing w:after="0" w:line="240" w:lineRule="auto"/>
              <w:jc w:val="center"/>
              <w:rPr>
                <w:rFonts w:ascii="Cambria" w:eastAsia="Times New Roman" w:hAnsi="Cambria" w:cs="Calibri"/>
                <w:sz w:val="18"/>
                <w:szCs w:val="18"/>
              </w:rPr>
            </w:pPr>
          </w:p>
        </w:tc>
        <w:tc>
          <w:tcPr>
            <w:tcW w:w="992" w:type="dxa"/>
            <w:tcBorders>
              <w:bottom w:val="single" w:sz="4" w:space="0" w:color="auto"/>
            </w:tcBorders>
            <w:noWrap/>
            <w:vAlign w:val="center"/>
            <w:hideMark/>
          </w:tcPr>
          <w:p w14:paraId="33CF563D" w14:textId="220CC601" w:rsidR="00D4105A" w:rsidRPr="00CD62D8" w:rsidRDefault="00D4105A" w:rsidP="00102FBE">
            <w:pPr>
              <w:spacing w:after="0" w:line="240" w:lineRule="auto"/>
              <w:jc w:val="center"/>
              <w:rPr>
                <w:rFonts w:ascii="Cambria" w:eastAsia="Times New Roman" w:hAnsi="Cambria" w:cs="Calibri"/>
                <w:sz w:val="18"/>
                <w:szCs w:val="18"/>
              </w:rPr>
            </w:pPr>
            <w:r w:rsidRPr="00CD62D8">
              <w:rPr>
                <w:rFonts w:ascii="Cambria" w:hAnsi="Cambria"/>
                <w:sz w:val="18"/>
                <w:szCs w:val="18"/>
              </w:rPr>
              <w:t>1</w:t>
            </w:r>
            <w:r w:rsidR="00EE5AAA" w:rsidRPr="00CD62D8">
              <w:rPr>
                <w:rFonts w:ascii="Cambria" w:hAnsi="Cambria"/>
                <w:sz w:val="18"/>
                <w:szCs w:val="18"/>
              </w:rPr>
              <w:t>47</w:t>
            </w:r>
            <w:r w:rsidRPr="00CD62D8">
              <w:rPr>
                <w:rFonts w:ascii="Cambria" w:hAnsi="Cambria"/>
                <w:sz w:val="18"/>
                <w:szCs w:val="18"/>
              </w:rPr>
              <w:t>*</w:t>
            </w:r>
          </w:p>
        </w:tc>
        <w:tc>
          <w:tcPr>
            <w:tcW w:w="739" w:type="dxa"/>
            <w:tcBorders>
              <w:bottom w:val="single" w:sz="4" w:space="0" w:color="auto"/>
            </w:tcBorders>
            <w:noWrap/>
            <w:vAlign w:val="center"/>
            <w:hideMark/>
          </w:tcPr>
          <w:p w14:paraId="342C2AB1" w14:textId="6C4B372E" w:rsidR="00D4105A" w:rsidRPr="00CD62D8" w:rsidRDefault="00D4105A" w:rsidP="00102FBE">
            <w:pPr>
              <w:spacing w:after="0" w:line="240" w:lineRule="auto"/>
              <w:jc w:val="center"/>
              <w:rPr>
                <w:rFonts w:ascii="Cambria" w:eastAsia="Times New Roman" w:hAnsi="Cambria" w:cs="Calibri"/>
                <w:sz w:val="18"/>
                <w:szCs w:val="18"/>
              </w:rPr>
            </w:pPr>
            <w:r w:rsidRPr="00CD62D8">
              <w:rPr>
                <w:rFonts w:ascii="Cambria" w:hAnsi="Cambria"/>
                <w:sz w:val="18"/>
                <w:szCs w:val="18"/>
              </w:rPr>
              <w:t>LL</w:t>
            </w:r>
          </w:p>
        </w:tc>
        <w:tc>
          <w:tcPr>
            <w:tcW w:w="973" w:type="dxa"/>
            <w:tcBorders>
              <w:bottom w:val="single" w:sz="4" w:space="0" w:color="auto"/>
            </w:tcBorders>
            <w:noWrap/>
            <w:vAlign w:val="center"/>
            <w:hideMark/>
          </w:tcPr>
          <w:p w14:paraId="1D6E9B8C" w14:textId="5F14DB05" w:rsidR="00D4105A" w:rsidRPr="00CD62D8" w:rsidRDefault="00EE5AAA" w:rsidP="00102FBE">
            <w:pPr>
              <w:spacing w:after="0" w:line="240" w:lineRule="auto"/>
              <w:jc w:val="center"/>
              <w:rPr>
                <w:rFonts w:ascii="Cambria" w:eastAsia="Times New Roman" w:hAnsi="Cambria" w:cs="Calibri"/>
                <w:sz w:val="18"/>
                <w:szCs w:val="18"/>
              </w:rPr>
            </w:pPr>
            <w:r w:rsidRPr="00CD62D8">
              <w:rPr>
                <w:rFonts w:ascii="Cambria" w:eastAsia="Times New Roman" w:hAnsi="Cambria" w:cs="Calibri"/>
                <w:sz w:val="18"/>
                <w:szCs w:val="18"/>
              </w:rPr>
              <w:t>62271</w:t>
            </w:r>
          </w:p>
        </w:tc>
        <w:tc>
          <w:tcPr>
            <w:tcW w:w="2966" w:type="dxa"/>
            <w:tcBorders>
              <w:bottom w:val="single" w:sz="4" w:space="0" w:color="auto"/>
            </w:tcBorders>
            <w:hideMark/>
          </w:tcPr>
          <w:p w14:paraId="071FE87C" w14:textId="7DE05B61" w:rsidR="00EE5AAA" w:rsidRPr="00CD62D8" w:rsidRDefault="00EE5AAA" w:rsidP="00102FBE">
            <w:pPr>
              <w:spacing w:after="0" w:line="240" w:lineRule="auto"/>
              <w:jc w:val="both"/>
              <w:rPr>
                <w:rFonts w:ascii="Cambria" w:hAnsi="Cambria"/>
                <w:sz w:val="12"/>
                <w:szCs w:val="12"/>
              </w:rPr>
            </w:pPr>
            <w:r w:rsidRPr="00CD62D8">
              <w:rPr>
                <w:rFonts w:ascii="Cambria" w:hAnsi="Cambria"/>
                <w:sz w:val="20"/>
                <w:szCs w:val="20"/>
              </w:rPr>
              <w:t xml:space="preserve">ID1. Fishery Act prohibits Japanese fishing vessels from fishing tuna on the high seas without a fishing license issued by the FAJ.  The law also requires the Government to decide the maximum number of licenses to be issued and other fishing conditions.   The FAJ ensures that fishing capacities </w:t>
            </w:r>
            <w:proofErr w:type="gramStart"/>
            <w:r w:rsidRPr="00CD62D8">
              <w:rPr>
                <w:rFonts w:ascii="Cambria" w:hAnsi="Cambria"/>
                <w:sz w:val="20"/>
                <w:szCs w:val="20"/>
              </w:rPr>
              <w:t>have to</w:t>
            </w:r>
            <w:proofErr w:type="gramEnd"/>
            <w:r w:rsidRPr="00CD62D8">
              <w:rPr>
                <w:rFonts w:ascii="Cambria" w:hAnsi="Cambria"/>
                <w:sz w:val="20"/>
                <w:szCs w:val="20"/>
              </w:rPr>
              <w:t xml:space="preserve"> be commensurate with its fishing opportunities as determined by tuna RFMOs such as ICCAT.  </w:t>
            </w:r>
            <w:r w:rsidRPr="00CD62D8">
              <w:rPr>
                <w:rFonts w:ascii="Cambria" w:hAnsi="Cambria"/>
                <w:sz w:val="20"/>
                <w:szCs w:val="20"/>
              </w:rPr>
              <w:tab/>
            </w:r>
            <w:r w:rsidRPr="00CD62D8">
              <w:rPr>
                <w:rFonts w:ascii="Cambria" w:hAnsi="Cambria"/>
                <w:sz w:val="20"/>
                <w:szCs w:val="20"/>
              </w:rPr>
              <w:tab/>
            </w:r>
            <w:r w:rsidRPr="00CD62D8">
              <w:rPr>
                <w:rFonts w:ascii="Cambria" w:hAnsi="Cambria"/>
                <w:sz w:val="20"/>
                <w:szCs w:val="20"/>
              </w:rPr>
              <w:tab/>
            </w:r>
          </w:p>
          <w:p w14:paraId="6E2691B8" w14:textId="5F08954E" w:rsidR="00EE5AAA" w:rsidRPr="00CD62D8" w:rsidRDefault="00EE5AAA" w:rsidP="00102FBE">
            <w:pPr>
              <w:spacing w:after="0" w:line="240" w:lineRule="auto"/>
              <w:jc w:val="both"/>
              <w:rPr>
                <w:rFonts w:ascii="Cambria" w:hAnsi="Cambria"/>
                <w:sz w:val="12"/>
                <w:szCs w:val="12"/>
              </w:rPr>
            </w:pPr>
            <w:r w:rsidRPr="00CD62D8">
              <w:rPr>
                <w:rFonts w:ascii="Cambria" w:hAnsi="Cambria"/>
                <w:sz w:val="20"/>
                <w:szCs w:val="20"/>
              </w:rPr>
              <w:t xml:space="preserve">ID2. Japanese swordfish catch is bycatch, which has been fluctuating year by year mainly due to the shift of the fishing ground for bigeye tuna.  Japan, having no intention to increase </w:t>
            </w:r>
            <w:r w:rsidR="00B62687" w:rsidRPr="00CD62D8">
              <w:rPr>
                <w:rFonts w:ascii="Cambria" w:hAnsi="Cambria"/>
                <w:sz w:val="20"/>
                <w:szCs w:val="20"/>
              </w:rPr>
              <w:t>N</w:t>
            </w:r>
            <w:r w:rsidRPr="00CD62D8">
              <w:rPr>
                <w:rFonts w:ascii="Cambria" w:hAnsi="Cambria"/>
                <w:sz w:val="20"/>
                <w:szCs w:val="20"/>
              </w:rPr>
              <w:t xml:space="preserve">orth Atlantic swordfish catch as target species, needs flexibility to address this nature. For this purpose, special arrangements for Japan including a multi-year block quota, as </w:t>
            </w:r>
            <w:r w:rsidR="00E1315C" w:rsidRPr="00CD62D8">
              <w:rPr>
                <w:rFonts w:ascii="Cambria" w:hAnsi="Cambria"/>
                <w:sz w:val="20"/>
                <w:szCs w:val="20"/>
              </w:rPr>
              <w:t>stipulated</w:t>
            </w:r>
            <w:r w:rsidRPr="00CD62D8">
              <w:rPr>
                <w:rFonts w:ascii="Cambria" w:hAnsi="Cambria"/>
                <w:sz w:val="20"/>
                <w:szCs w:val="20"/>
              </w:rPr>
              <w:t xml:space="preserve"> in paragraph 12 of Recommendation 24-10, has been continued in 2025</w:t>
            </w:r>
            <w:r w:rsidR="00DD7C67">
              <w:rPr>
                <w:rFonts w:ascii="Cambria" w:hAnsi="Cambria"/>
                <w:sz w:val="20"/>
                <w:szCs w:val="20"/>
              </w:rPr>
              <w:t>.</w:t>
            </w:r>
            <w:r w:rsidRPr="00CD62D8">
              <w:rPr>
                <w:rFonts w:ascii="Cambria" w:hAnsi="Cambria"/>
                <w:sz w:val="20"/>
                <w:szCs w:val="20"/>
              </w:rPr>
              <w:tab/>
            </w:r>
            <w:r w:rsidRPr="00CD62D8">
              <w:rPr>
                <w:rFonts w:ascii="Cambria" w:hAnsi="Cambria"/>
                <w:sz w:val="20"/>
                <w:szCs w:val="20"/>
              </w:rPr>
              <w:tab/>
            </w:r>
            <w:r w:rsidRPr="00CD62D8">
              <w:rPr>
                <w:rFonts w:ascii="Cambria" w:hAnsi="Cambria"/>
                <w:sz w:val="20"/>
                <w:szCs w:val="20"/>
              </w:rPr>
              <w:tab/>
            </w:r>
          </w:p>
          <w:p w14:paraId="58B13448" w14:textId="79FEFE95" w:rsidR="00EE5AAA" w:rsidRPr="00CD62D8" w:rsidRDefault="00EE5AAA" w:rsidP="00102FBE">
            <w:pPr>
              <w:spacing w:after="0" w:line="240" w:lineRule="auto"/>
              <w:jc w:val="both"/>
              <w:rPr>
                <w:rFonts w:ascii="Cambria" w:hAnsi="Cambria"/>
                <w:sz w:val="20"/>
                <w:szCs w:val="20"/>
              </w:rPr>
            </w:pPr>
            <w:r w:rsidRPr="00CD62D8">
              <w:rPr>
                <w:rFonts w:ascii="Cambria" w:hAnsi="Cambria"/>
                <w:sz w:val="20"/>
                <w:szCs w:val="20"/>
              </w:rPr>
              <w:t xml:space="preserve">ID3. The FAJ has been properly reporting data on swordfish, which has been utilized in the stock assessment of </w:t>
            </w:r>
            <w:r w:rsidR="00B62687" w:rsidRPr="00CD62D8">
              <w:rPr>
                <w:rFonts w:ascii="Cambria" w:hAnsi="Cambria"/>
                <w:sz w:val="20"/>
                <w:szCs w:val="20"/>
              </w:rPr>
              <w:t>N</w:t>
            </w:r>
            <w:r w:rsidRPr="00CD62D8">
              <w:rPr>
                <w:rFonts w:ascii="Cambria" w:hAnsi="Cambria"/>
                <w:sz w:val="20"/>
                <w:szCs w:val="20"/>
              </w:rPr>
              <w:t xml:space="preserve">orth Atlantic swordfish.  </w:t>
            </w:r>
            <w:r w:rsidRPr="00CD62D8">
              <w:rPr>
                <w:rFonts w:ascii="Cambria" w:hAnsi="Cambria"/>
                <w:sz w:val="20"/>
                <w:szCs w:val="20"/>
              </w:rPr>
              <w:tab/>
            </w:r>
            <w:r w:rsidRPr="00CD62D8">
              <w:rPr>
                <w:rFonts w:ascii="Cambria" w:hAnsi="Cambria"/>
                <w:sz w:val="20"/>
                <w:szCs w:val="20"/>
              </w:rPr>
              <w:tab/>
            </w:r>
            <w:r w:rsidRPr="00CD62D8">
              <w:rPr>
                <w:rFonts w:ascii="Cambria" w:hAnsi="Cambria"/>
                <w:sz w:val="20"/>
                <w:szCs w:val="20"/>
              </w:rPr>
              <w:tab/>
            </w:r>
            <w:r w:rsidRPr="00CD62D8">
              <w:rPr>
                <w:rFonts w:ascii="Cambria" w:hAnsi="Cambria"/>
                <w:sz w:val="20"/>
                <w:szCs w:val="20"/>
              </w:rPr>
              <w:tab/>
            </w:r>
          </w:p>
          <w:p w14:paraId="7EEECCA6" w14:textId="18475806" w:rsidR="00140AA1" w:rsidRPr="00CD62D8" w:rsidRDefault="00EE5AAA" w:rsidP="00102FBE">
            <w:pPr>
              <w:tabs>
                <w:tab w:val="left" w:pos="310"/>
              </w:tabs>
              <w:spacing w:after="0" w:line="240" w:lineRule="auto"/>
              <w:jc w:val="both"/>
              <w:rPr>
                <w:rFonts w:ascii="Cambria" w:hAnsi="Cambria"/>
                <w:sz w:val="20"/>
                <w:szCs w:val="20"/>
              </w:rPr>
            </w:pPr>
            <w:r w:rsidRPr="00CD62D8">
              <w:rPr>
                <w:rFonts w:ascii="Cambria" w:hAnsi="Cambria"/>
                <w:sz w:val="20"/>
                <w:szCs w:val="20"/>
              </w:rPr>
              <w:lastRenderedPageBreak/>
              <w:t xml:space="preserve">ID4. The FAJ has been monitoring and controlling all Japanese tuna longliners operating on the ICCAT Convention </w:t>
            </w:r>
            <w:r w:rsidR="0080341C" w:rsidRPr="00CD62D8">
              <w:rPr>
                <w:rFonts w:ascii="Cambria" w:hAnsi="Cambria"/>
                <w:sz w:val="20"/>
                <w:szCs w:val="20"/>
              </w:rPr>
              <w:t>a</w:t>
            </w:r>
            <w:r w:rsidRPr="00CD62D8">
              <w:rPr>
                <w:rFonts w:ascii="Cambria" w:hAnsi="Cambria"/>
                <w:sz w:val="20"/>
                <w:szCs w:val="20"/>
              </w:rPr>
              <w:t>rea with VMS, port inspection and so on.</w:t>
            </w:r>
          </w:p>
          <w:p w14:paraId="37521C22" w14:textId="21B05B05" w:rsidR="00140AA1" w:rsidRPr="00CD62D8" w:rsidRDefault="00140AA1" w:rsidP="00102FBE">
            <w:pPr>
              <w:tabs>
                <w:tab w:val="left" w:pos="310"/>
              </w:tabs>
              <w:spacing w:after="0" w:line="240" w:lineRule="auto"/>
              <w:jc w:val="both"/>
              <w:rPr>
                <w:rFonts w:ascii="Cambria" w:hAnsi="Cambria"/>
                <w:sz w:val="20"/>
                <w:szCs w:val="20"/>
              </w:rPr>
            </w:pPr>
          </w:p>
        </w:tc>
        <w:tc>
          <w:tcPr>
            <w:tcW w:w="2835" w:type="dxa"/>
            <w:tcBorders>
              <w:bottom w:val="single" w:sz="4" w:space="0" w:color="auto"/>
            </w:tcBorders>
            <w:hideMark/>
          </w:tcPr>
          <w:p w14:paraId="28F16543" w14:textId="77777777" w:rsidR="00124CC2" w:rsidRPr="00CD62D8" w:rsidRDefault="00EE5AAA" w:rsidP="00102FBE">
            <w:pPr>
              <w:spacing w:after="0" w:line="240" w:lineRule="auto"/>
              <w:jc w:val="both"/>
              <w:rPr>
                <w:rFonts w:ascii="Cambria" w:hAnsi="Cambria"/>
                <w:sz w:val="20"/>
                <w:szCs w:val="20"/>
              </w:rPr>
            </w:pPr>
            <w:r w:rsidRPr="00CD62D8">
              <w:rPr>
                <w:rFonts w:ascii="Cambria" w:hAnsi="Cambria"/>
                <w:sz w:val="20"/>
                <w:szCs w:val="20"/>
              </w:rPr>
              <w:lastRenderedPageBreak/>
              <w:t>ID</w:t>
            </w:r>
            <w:r w:rsidR="00124CC2" w:rsidRPr="00CD62D8">
              <w:rPr>
                <w:rFonts w:ascii="Cambria" w:hAnsi="Cambria"/>
                <w:sz w:val="20"/>
                <w:szCs w:val="20"/>
              </w:rPr>
              <w:t xml:space="preserve">1. </w:t>
            </w:r>
            <w:r w:rsidRPr="00CD62D8">
              <w:rPr>
                <w:rFonts w:ascii="Cambria" w:hAnsi="Cambria"/>
                <w:sz w:val="20"/>
                <w:szCs w:val="20"/>
              </w:rPr>
              <w:t>The FAJ will maintain restrictions on the issuance of licenses for longline vessels.</w:t>
            </w:r>
          </w:p>
          <w:p w14:paraId="6E8F5EB4" w14:textId="77777777" w:rsidR="00124CC2" w:rsidRPr="00CD62D8" w:rsidRDefault="00124CC2" w:rsidP="00102FBE">
            <w:pPr>
              <w:spacing w:after="0" w:line="240" w:lineRule="auto"/>
              <w:jc w:val="both"/>
              <w:rPr>
                <w:rFonts w:ascii="Cambria" w:hAnsi="Cambria"/>
                <w:sz w:val="20"/>
                <w:szCs w:val="20"/>
              </w:rPr>
            </w:pPr>
          </w:p>
          <w:p w14:paraId="6B6C6719" w14:textId="77777777" w:rsidR="00124CC2" w:rsidRPr="00CD62D8" w:rsidRDefault="00124CC2" w:rsidP="00102FBE">
            <w:pPr>
              <w:spacing w:after="0" w:line="240" w:lineRule="auto"/>
              <w:jc w:val="both"/>
              <w:rPr>
                <w:rFonts w:ascii="Cambria" w:hAnsi="Cambria"/>
                <w:sz w:val="20"/>
                <w:szCs w:val="20"/>
              </w:rPr>
            </w:pPr>
            <w:r w:rsidRPr="00CD62D8">
              <w:rPr>
                <w:rFonts w:ascii="Cambria" w:hAnsi="Cambria"/>
                <w:sz w:val="20"/>
                <w:szCs w:val="20"/>
              </w:rPr>
              <w:t xml:space="preserve">ID2. </w:t>
            </w:r>
            <w:r w:rsidR="00EE5AAA" w:rsidRPr="00CD62D8">
              <w:rPr>
                <w:rFonts w:ascii="Cambria" w:hAnsi="Cambria"/>
                <w:sz w:val="20"/>
                <w:szCs w:val="20"/>
              </w:rPr>
              <w:t>The FAJ will maintain setting block quota subject to para 12 of Recommendation 24-10.</w:t>
            </w:r>
          </w:p>
          <w:p w14:paraId="276CD9B6" w14:textId="77777777" w:rsidR="00124CC2" w:rsidRPr="00CD62D8" w:rsidRDefault="00124CC2" w:rsidP="00102FBE">
            <w:pPr>
              <w:spacing w:after="0" w:line="240" w:lineRule="auto"/>
              <w:jc w:val="both"/>
              <w:rPr>
                <w:rFonts w:ascii="Cambria" w:hAnsi="Cambria"/>
                <w:sz w:val="20"/>
                <w:szCs w:val="20"/>
              </w:rPr>
            </w:pPr>
          </w:p>
          <w:p w14:paraId="357E2648" w14:textId="77777777" w:rsidR="00124CC2" w:rsidRPr="00CD62D8" w:rsidRDefault="00124CC2" w:rsidP="00102FBE">
            <w:pPr>
              <w:spacing w:after="0" w:line="240" w:lineRule="auto"/>
              <w:jc w:val="both"/>
              <w:rPr>
                <w:rFonts w:ascii="Cambria" w:hAnsi="Cambria"/>
                <w:sz w:val="20"/>
                <w:szCs w:val="20"/>
              </w:rPr>
            </w:pPr>
            <w:r w:rsidRPr="00CD62D8">
              <w:rPr>
                <w:rFonts w:ascii="Cambria" w:hAnsi="Cambria"/>
                <w:sz w:val="20"/>
                <w:szCs w:val="20"/>
              </w:rPr>
              <w:t xml:space="preserve">ID3. </w:t>
            </w:r>
            <w:r w:rsidR="00EE5AAA" w:rsidRPr="00CD62D8">
              <w:rPr>
                <w:rFonts w:ascii="Cambria" w:hAnsi="Cambria"/>
                <w:sz w:val="20"/>
                <w:szCs w:val="20"/>
              </w:rPr>
              <w:t>The FAJ will maintain the instruct for Japanese fishermen to submit the data in a timely fashion.</w:t>
            </w:r>
          </w:p>
          <w:p w14:paraId="435F527C" w14:textId="77777777" w:rsidR="00124CC2" w:rsidRPr="00CD62D8" w:rsidRDefault="00124CC2" w:rsidP="00102FBE">
            <w:pPr>
              <w:spacing w:after="0" w:line="240" w:lineRule="auto"/>
              <w:jc w:val="both"/>
              <w:rPr>
                <w:rFonts w:ascii="Cambria" w:hAnsi="Cambria"/>
                <w:sz w:val="20"/>
                <w:szCs w:val="20"/>
              </w:rPr>
            </w:pPr>
          </w:p>
          <w:p w14:paraId="640E08C2" w14:textId="20C9F096" w:rsidR="00D4105A" w:rsidRPr="00CD62D8" w:rsidRDefault="00124CC2" w:rsidP="00102FBE">
            <w:pPr>
              <w:spacing w:after="0" w:line="240" w:lineRule="auto"/>
              <w:jc w:val="both"/>
              <w:rPr>
                <w:rFonts w:ascii="Cambria" w:eastAsia="Times New Roman" w:hAnsi="Cambria" w:cs="Calibri"/>
                <w:color w:val="000000"/>
                <w:sz w:val="20"/>
                <w:szCs w:val="20"/>
              </w:rPr>
            </w:pPr>
            <w:r w:rsidRPr="00CD62D8">
              <w:rPr>
                <w:rFonts w:ascii="Cambria" w:hAnsi="Cambria"/>
                <w:sz w:val="20"/>
                <w:szCs w:val="20"/>
              </w:rPr>
              <w:t xml:space="preserve">ID4. </w:t>
            </w:r>
            <w:r w:rsidR="00EE5AAA" w:rsidRPr="00CD62D8">
              <w:rPr>
                <w:rFonts w:ascii="Cambria" w:hAnsi="Cambria"/>
                <w:sz w:val="20"/>
                <w:szCs w:val="20"/>
              </w:rPr>
              <w:t xml:space="preserve">The FAJ will continue to monitor and control all Japanese tuna longliners operating in the ICCAT Convention </w:t>
            </w:r>
            <w:r w:rsidR="0080341C" w:rsidRPr="00CD62D8">
              <w:rPr>
                <w:rFonts w:ascii="Cambria" w:hAnsi="Cambria"/>
                <w:sz w:val="20"/>
                <w:szCs w:val="20"/>
              </w:rPr>
              <w:t>a</w:t>
            </w:r>
            <w:r w:rsidR="00EE5AAA" w:rsidRPr="00CD62D8">
              <w:rPr>
                <w:rFonts w:ascii="Cambria" w:hAnsi="Cambria"/>
                <w:sz w:val="20"/>
                <w:szCs w:val="20"/>
              </w:rPr>
              <w:t>rea, using the measures mentioned above to ensure compliance with ICCAT regulations.</w:t>
            </w:r>
          </w:p>
        </w:tc>
      </w:tr>
      <w:tr w:rsidR="00140AA1" w:rsidRPr="00CD62D8" w14:paraId="1A711A6B" w14:textId="77777777" w:rsidTr="00140AA1">
        <w:trPr>
          <w:gridAfter w:val="1"/>
          <w:wAfter w:w="236" w:type="dxa"/>
          <w:trHeight w:val="450"/>
        </w:trPr>
        <w:tc>
          <w:tcPr>
            <w:tcW w:w="14029" w:type="dxa"/>
            <w:gridSpan w:val="11"/>
            <w:noWrap/>
            <w:vAlign w:val="center"/>
          </w:tcPr>
          <w:p w14:paraId="59793848" w14:textId="04088AC4" w:rsidR="00140AA1" w:rsidRPr="00CD62D8" w:rsidRDefault="00140AA1"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 xml:space="preserve">* As of August 22, 2025, a total of 147 Japanese vessels </w:t>
            </w:r>
            <w:proofErr w:type="gramStart"/>
            <w:r w:rsidRPr="00CD62D8">
              <w:rPr>
                <w:rFonts w:ascii="Cambria" w:eastAsia="Times New Roman" w:hAnsi="Cambria" w:cs="Calibri"/>
                <w:color w:val="000000"/>
                <w:sz w:val="20"/>
                <w:szCs w:val="20"/>
              </w:rPr>
              <w:t>are</w:t>
            </w:r>
            <w:proofErr w:type="gramEnd"/>
            <w:r w:rsidRPr="00CD62D8">
              <w:rPr>
                <w:rFonts w:ascii="Cambria" w:eastAsia="Times New Roman" w:hAnsi="Cambria" w:cs="Calibri"/>
                <w:color w:val="000000"/>
                <w:sz w:val="20"/>
                <w:szCs w:val="20"/>
              </w:rPr>
              <w:t xml:space="preserve"> registered in ICCAT. Since it could be possible that </w:t>
            </w:r>
            <w:proofErr w:type="gramStart"/>
            <w:r w:rsidRPr="00CD62D8">
              <w:rPr>
                <w:rFonts w:ascii="Cambria" w:eastAsia="Times New Roman" w:hAnsi="Cambria" w:cs="Calibri"/>
                <w:color w:val="000000"/>
                <w:sz w:val="20"/>
                <w:szCs w:val="20"/>
              </w:rPr>
              <w:t>all of</w:t>
            </w:r>
            <w:proofErr w:type="gramEnd"/>
            <w:r w:rsidRPr="00CD62D8">
              <w:rPr>
                <w:rFonts w:ascii="Cambria" w:eastAsia="Times New Roman" w:hAnsi="Cambria" w:cs="Calibri"/>
                <w:color w:val="000000"/>
                <w:sz w:val="20"/>
                <w:szCs w:val="20"/>
              </w:rPr>
              <w:t xml:space="preserve"> those vessels would operate in ICCAT area and catch swordfish as bycatch within TAC limit, the number of 147 and their total capacity were entered as the possible maximum figures.</w:t>
            </w:r>
          </w:p>
        </w:tc>
      </w:tr>
      <w:tr w:rsidR="00D4105A" w:rsidRPr="00CD62D8" w14:paraId="636ECBE1" w14:textId="77777777" w:rsidTr="003471A4">
        <w:trPr>
          <w:gridAfter w:val="1"/>
          <w:wAfter w:w="236" w:type="dxa"/>
          <w:trHeight w:val="5060"/>
        </w:trPr>
        <w:tc>
          <w:tcPr>
            <w:tcW w:w="1164" w:type="dxa"/>
            <w:vMerge w:val="restart"/>
            <w:noWrap/>
            <w:vAlign w:val="center"/>
            <w:hideMark/>
          </w:tcPr>
          <w:p w14:paraId="285EA51F" w14:textId="2D7ED314" w:rsidR="00D4105A" w:rsidRPr="00CD62D8" w:rsidRDefault="00D4105A"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t>Korea</w:t>
            </w:r>
            <w:r w:rsidR="003471A4" w:rsidRPr="00CD62D8">
              <w:rPr>
                <w:rFonts w:ascii="Cambria" w:eastAsia="Times New Roman" w:hAnsi="Cambria" w:cs="Calibri"/>
                <w:b/>
                <w:bCs/>
                <w:color w:val="000000"/>
                <w:sz w:val="18"/>
                <w:szCs w:val="18"/>
              </w:rPr>
              <w:t xml:space="preserve"> (Rep.)</w:t>
            </w:r>
          </w:p>
        </w:tc>
        <w:tc>
          <w:tcPr>
            <w:tcW w:w="914" w:type="dxa"/>
            <w:vMerge w:val="restart"/>
            <w:noWrap/>
            <w:vAlign w:val="center"/>
            <w:hideMark/>
          </w:tcPr>
          <w:p w14:paraId="51F160B4" w14:textId="77777777"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No</w:t>
            </w:r>
          </w:p>
        </w:tc>
        <w:tc>
          <w:tcPr>
            <w:tcW w:w="1026" w:type="dxa"/>
            <w:vMerge w:val="restart"/>
            <w:noWrap/>
            <w:vAlign w:val="center"/>
            <w:hideMark/>
          </w:tcPr>
          <w:p w14:paraId="3417B1B2" w14:textId="77777777"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70</w:t>
            </w:r>
          </w:p>
        </w:tc>
        <w:tc>
          <w:tcPr>
            <w:tcW w:w="841" w:type="dxa"/>
            <w:vMerge w:val="restart"/>
            <w:noWrap/>
            <w:vAlign w:val="center"/>
            <w:hideMark/>
          </w:tcPr>
          <w:p w14:paraId="0C08C2CC" w14:textId="6EA54DAA" w:rsidR="00D4105A" w:rsidRPr="00CD62D8" w:rsidRDefault="00124CC2"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9</w:t>
            </w:r>
          </w:p>
        </w:tc>
        <w:tc>
          <w:tcPr>
            <w:tcW w:w="728" w:type="dxa"/>
            <w:vMerge w:val="restart"/>
            <w:noWrap/>
            <w:vAlign w:val="center"/>
            <w:hideMark/>
          </w:tcPr>
          <w:p w14:paraId="4725CA60" w14:textId="77777777"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tc>
        <w:tc>
          <w:tcPr>
            <w:tcW w:w="851" w:type="dxa"/>
            <w:vMerge w:val="restart"/>
            <w:noWrap/>
            <w:vAlign w:val="center"/>
            <w:hideMark/>
          </w:tcPr>
          <w:p w14:paraId="0FD19C8B" w14:textId="30F1DF0E"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70</w:t>
            </w:r>
          </w:p>
        </w:tc>
        <w:tc>
          <w:tcPr>
            <w:tcW w:w="992" w:type="dxa"/>
            <w:vMerge w:val="restart"/>
            <w:noWrap/>
            <w:vAlign w:val="center"/>
            <w:hideMark/>
          </w:tcPr>
          <w:p w14:paraId="776F47E6" w14:textId="56A17355" w:rsidR="00D4105A" w:rsidRPr="00CD62D8" w:rsidRDefault="00124CC2"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9</w:t>
            </w:r>
          </w:p>
        </w:tc>
        <w:tc>
          <w:tcPr>
            <w:tcW w:w="739" w:type="dxa"/>
            <w:vMerge w:val="restart"/>
            <w:noWrap/>
            <w:vAlign w:val="center"/>
            <w:hideMark/>
          </w:tcPr>
          <w:p w14:paraId="032646BB" w14:textId="77777777"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tc>
        <w:tc>
          <w:tcPr>
            <w:tcW w:w="973" w:type="dxa"/>
            <w:vMerge w:val="restart"/>
            <w:noWrap/>
            <w:vAlign w:val="center"/>
            <w:hideMark/>
          </w:tcPr>
          <w:p w14:paraId="6E74374B" w14:textId="4A06EF2E" w:rsidR="00D4105A" w:rsidRPr="00CD62D8" w:rsidRDefault="00D4105A"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70</w:t>
            </w:r>
          </w:p>
        </w:tc>
        <w:tc>
          <w:tcPr>
            <w:tcW w:w="2966" w:type="dxa"/>
            <w:vMerge w:val="restart"/>
            <w:hideMark/>
          </w:tcPr>
          <w:p w14:paraId="3B435D4A" w14:textId="77777777" w:rsidR="00124CC2" w:rsidRPr="00CD62D8" w:rsidRDefault="00124CC2"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Nine Korean longline fishing vessels are authorized to target bigeye tuna, and these longliners occasionally take northern swordfish as bycatch. In accordance with paragraph 1, Article 13 of the Distant Water Fisheries Development Act of Korea, Korean distant water fishing vessels and operators shall comply with any relevant obligations arising from conservation and management measures of Regional Fisheries Management Organizations. If any provision of the conservation and management measure is breached, it is deemed as “a serious violation” and subject to imprisonment not exceeding 5 years or a fine of at least KRW 500 million.</w:t>
            </w:r>
          </w:p>
          <w:p w14:paraId="7FED4136" w14:textId="77777777" w:rsidR="00124CC2" w:rsidRPr="00CD62D8" w:rsidRDefault="00124CC2" w:rsidP="00102FBE">
            <w:pPr>
              <w:spacing w:after="0" w:line="240" w:lineRule="auto"/>
              <w:jc w:val="both"/>
              <w:rPr>
                <w:rFonts w:ascii="Cambria" w:eastAsia="Times New Roman" w:hAnsi="Cambria" w:cs="Calibri"/>
                <w:color w:val="000000"/>
                <w:sz w:val="20"/>
                <w:szCs w:val="20"/>
              </w:rPr>
            </w:pPr>
          </w:p>
          <w:p w14:paraId="741B6FE5" w14:textId="26AAA2C7" w:rsidR="00690694" w:rsidRPr="00CD62D8" w:rsidRDefault="00124CC2"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t>In accordance with Recommendation 23-04, Korea takes measures to ensure its 50</w:t>
            </w:r>
            <w:r w:rsidR="00E31508">
              <w:rPr>
                <w:rFonts w:ascii="Cambria" w:eastAsia="Times New Roman" w:hAnsi="Cambria" w:cs="Calibri"/>
                <w:color w:val="000000"/>
                <w:sz w:val="20"/>
                <w:szCs w:val="20"/>
              </w:rPr>
              <w:t xml:space="preserve"> </w:t>
            </w:r>
            <w:r w:rsidRPr="00CD62D8">
              <w:rPr>
                <w:rFonts w:ascii="Cambria" w:eastAsia="Times New Roman" w:hAnsi="Cambria" w:cs="Calibri"/>
                <w:color w:val="000000"/>
                <w:sz w:val="20"/>
                <w:szCs w:val="20"/>
              </w:rPr>
              <w:t xml:space="preserve">tons of allocated catch limit or adjusted annual catch limit, as appropriate, is fully respected. If </w:t>
            </w:r>
            <w:r w:rsidRPr="00CD62D8">
              <w:rPr>
                <w:rFonts w:ascii="Cambria" w:eastAsia="Times New Roman" w:hAnsi="Cambria" w:cs="Calibri"/>
                <w:color w:val="000000"/>
                <w:sz w:val="20"/>
                <w:szCs w:val="20"/>
              </w:rPr>
              <w:lastRenderedPageBreak/>
              <w:t xml:space="preserve">overharvest of the annual catch limit occurs, the amount of the overharvest shall be deducted from the catch limit in the following year. According to paragraph 5 of the Recommendation 01-22, catch data from Korean flagged vessels are reported to the Secretariat twice a year (April 1 and September 15). </w:t>
            </w:r>
            <w:proofErr w:type="gramStart"/>
            <w:r w:rsidRPr="00CD62D8">
              <w:rPr>
                <w:rFonts w:ascii="Cambria" w:eastAsia="Times New Roman" w:hAnsi="Cambria" w:cs="Calibri"/>
                <w:color w:val="000000"/>
                <w:sz w:val="20"/>
                <w:szCs w:val="20"/>
              </w:rPr>
              <w:t>In order to</w:t>
            </w:r>
            <w:proofErr w:type="gramEnd"/>
            <w:r w:rsidRPr="00CD62D8">
              <w:rPr>
                <w:rFonts w:ascii="Cambria" w:eastAsia="Times New Roman" w:hAnsi="Cambria" w:cs="Calibri"/>
                <w:color w:val="000000"/>
                <w:sz w:val="20"/>
                <w:szCs w:val="20"/>
              </w:rPr>
              <w:t xml:space="preserve"> protect small swordfish, Korean vessels are required to release any swordfish weighing less than 25kg live weight or 125cm LJF and Korea provides scientific data related to </w:t>
            </w:r>
            <w:r w:rsidR="00E534D7">
              <w:rPr>
                <w:rFonts w:ascii="Cambria" w:eastAsia="Times New Roman" w:hAnsi="Cambria" w:cs="Calibri"/>
                <w:color w:val="000000"/>
                <w:sz w:val="20"/>
                <w:szCs w:val="20"/>
              </w:rPr>
              <w:t>N</w:t>
            </w:r>
            <w:r w:rsidRPr="00CD62D8">
              <w:rPr>
                <w:rFonts w:ascii="Cambria" w:eastAsia="Times New Roman" w:hAnsi="Cambria" w:cs="Calibri"/>
                <w:color w:val="000000"/>
                <w:sz w:val="20"/>
                <w:szCs w:val="20"/>
              </w:rPr>
              <w:t>orth Atlantic swordfish to the SCRS in accordance with paragraphs 15 and 16 of the Recommendation</w:t>
            </w:r>
            <w:r w:rsidR="003471A4" w:rsidRPr="00CD62D8">
              <w:rPr>
                <w:rFonts w:ascii="Cambria" w:eastAsia="Times New Roman" w:hAnsi="Cambria" w:cs="Calibri"/>
                <w:color w:val="000000"/>
                <w:sz w:val="20"/>
                <w:szCs w:val="20"/>
              </w:rPr>
              <w:t> </w:t>
            </w:r>
            <w:r w:rsidRPr="00CD62D8">
              <w:rPr>
                <w:rFonts w:ascii="Cambria" w:eastAsia="Times New Roman" w:hAnsi="Cambria" w:cs="Calibri"/>
                <w:color w:val="000000"/>
                <w:sz w:val="20"/>
                <w:szCs w:val="20"/>
              </w:rPr>
              <w:t>24-10, respectively.</w:t>
            </w:r>
          </w:p>
          <w:p w14:paraId="7B7A1D66" w14:textId="48C3D761" w:rsidR="00D4105A" w:rsidRPr="00CD62D8" w:rsidRDefault="00D4105A" w:rsidP="00102FBE">
            <w:pPr>
              <w:spacing w:after="0" w:line="240" w:lineRule="auto"/>
              <w:jc w:val="both"/>
              <w:rPr>
                <w:rFonts w:ascii="Cambria" w:eastAsia="Times New Roman" w:hAnsi="Cambria" w:cs="Calibri"/>
                <w:color w:val="000000"/>
                <w:sz w:val="20"/>
                <w:szCs w:val="20"/>
              </w:rPr>
            </w:pPr>
          </w:p>
        </w:tc>
        <w:tc>
          <w:tcPr>
            <w:tcW w:w="2835" w:type="dxa"/>
            <w:vMerge w:val="restart"/>
            <w:hideMark/>
          </w:tcPr>
          <w:p w14:paraId="3143E101" w14:textId="3CBD11D2" w:rsidR="00D4105A" w:rsidRPr="00CD62D8" w:rsidRDefault="00CB147B" w:rsidP="00102FBE">
            <w:pPr>
              <w:spacing w:after="0" w:line="240" w:lineRule="auto"/>
              <w:jc w:val="both"/>
              <w:rPr>
                <w:rFonts w:ascii="Cambria" w:eastAsia="Times New Roman" w:hAnsi="Cambria" w:cs="Calibri"/>
                <w:color w:val="000000"/>
                <w:sz w:val="20"/>
                <w:szCs w:val="20"/>
              </w:rPr>
            </w:pPr>
            <w:r w:rsidRPr="00CD62D8">
              <w:rPr>
                <w:rFonts w:ascii="Cambria" w:eastAsia="Times New Roman" w:hAnsi="Cambria" w:cs="Calibri"/>
                <w:color w:val="000000"/>
                <w:sz w:val="20"/>
                <w:szCs w:val="20"/>
              </w:rPr>
              <w:lastRenderedPageBreak/>
              <w:t>Korea does</w:t>
            </w:r>
            <w:r w:rsidR="003471A4" w:rsidRPr="00CD62D8">
              <w:rPr>
                <w:rFonts w:ascii="Cambria" w:eastAsia="Times New Roman" w:hAnsi="Cambria" w:cs="Calibri"/>
                <w:color w:val="000000"/>
                <w:sz w:val="20"/>
                <w:szCs w:val="20"/>
              </w:rPr>
              <w:t xml:space="preserve"> not</w:t>
            </w:r>
            <w:r w:rsidRPr="00CD62D8">
              <w:rPr>
                <w:rFonts w:ascii="Cambria" w:eastAsia="Times New Roman" w:hAnsi="Cambria" w:cs="Calibri"/>
                <w:color w:val="000000"/>
                <w:sz w:val="20"/>
                <w:szCs w:val="20"/>
              </w:rPr>
              <w:t xml:space="preserve"> have any </w:t>
            </w:r>
            <w:proofErr w:type="gramStart"/>
            <w:r w:rsidRPr="00CD62D8">
              <w:rPr>
                <w:rFonts w:ascii="Cambria" w:eastAsia="Times New Roman" w:hAnsi="Cambria" w:cs="Calibri"/>
                <w:color w:val="000000"/>
                <w:sz w:val="20"/>
                <w:szCs w:val="20"/>
              </w:rPr>
              <w:t>plan</w:t>
            </w:r>
            <w:proofErr w:type="gramEnd"/>
            <w:r w:rsidRPr="00CD62D8">
              <w:rPr>
                <w:rFonts w:ascii="Cambria" w:eastAsia="Times New Roman" w:hAnsi="Cambria" w:cs="Calibri"/>
                <w:color w:val="000000"/>
                <w:sz w:val="20"/>
                <w:szCs w:val="20"/>
              </w:rPr>
              <w:t xml:space="preserve"> for SWO</w:t>
            </w:r>
            <w:r w:rsidR="003471A4" w:rsidRPr="00CD62D8">
              <w:rPr>
                <w:rFonts w:ascii="Cambria" w:eastAsia="Times New Roman" w:hAnsi="Cambria" w:cs="Calibri"/>
                <w:color w:val="000000"/>
                <w:sz w:val="20"/>
                <w:szCs w:val="20"/>
              </w:rPr>
              <w:t>-N</w:t>
            </w:r>
            <w:r w:rsidRPr="00CD62D8">
              <w:rPr>
                <w:rFonts w:ascii="Cambria" w:eastAsia="Times New Roman" w:hAnsi="Cambria" w:cs="Calibri"/>
                <w:color w:val="000000"/>
                <w:sz w:val="20"/>
                <w:szCs w:val="20"/>
              </w:rPr>
              <w:t xml:space="preserve"> fishery development </w:t>
            </w:r>
            <w:proofErr w:type="gramStart"/>
            <w:r w:rsidRPr="00CD62D8">
              <w:rPr>
                <w:rFonts w:ascii="Cambria" w:eastAsia="Times New Roman" w:hAnsi="Cambria" w:cs="Calibri"/>
                <w:color w:val="000000"/>
                <w:sz w:val="20"/>
                <w:szCs w:val="20"/>
              </w:rPr>
              <w:t>at the moment</w:t>
            </w:r>
            <w:proofErr w:type="gramEnd"/>
            <w:r w:rsidRPr="00CD62D8">
              <w:rPr>
                <w:rFonts w:ascii="Cambria" w:eastAsia="Times New Roman" w:hAnsi="Cambria" w:cs="Calibri"/>
                <w:color w:val="000000"/>
                <w:sz w:val="20"/>
                <w:szCs w:val="20"/>
              </w:rPr>
              <w:t>.</w:t>
            </w:r>
          </w:p>
          <w:p w14:paraId="16C6CB37" w14:textId="1BEA1E15" w:rsidR="00D4105A" w:rsidRPr="00CD62D8" w:rsidRDefault="00D4105A" w:rsidP="00102FBE">
            <w:pPr>
              <w:spacing w:after="0" w:line="240" w:lineRule="auto"/>
              <w:jc w:val="both"/>
              <w:rPr>
                <w:rFonts w:ascii="Cambria" w:eastAsia="Times New Roman" w:hAnsi="Cambria" w:cs="Calibri"/>
                <w:color w:val="000000"/>
                <w:sz w:val="20"/>
                <w:szCs w:val="20"/>
              </w:rPr>
            </w:pPr>
          </w:p>
        </w:tc>
      </w:tr>
      <w:tr w:rsidR="00D4105A" w:rsidRPr="00CD62D8" w14:paraId="238017D7" w14:textId="77777777" w:rsidTr="00140AA1">
        <w:tc>
          <w:tcPr>
            <w:tcW w:w="1164" w:type="dxa"/>
            <w:vMerge/>
            <w:vAlign w:val="center"/>
            <w:hideMark/>
          </w:tcPr>
          <w:p w14:paraId="2C905AD8" w14:textId="77777777" w:rsidR="00D4105A" w:rsidRPr="00CD62D8" w:rsidRDefault="00D4105A" w:rsidP="00102FBE">
            <w:pPr>
              <w:spacing w:after="0" w:line="240" w:lineRule="auto"/>
              <w:jc w:val="center"/>
              <w:rPr>
                <w:rFonts w:ascii="Cambria" w:eastAsia="Times New Roman" w:hAnsi="Cambria" w:cs="Calibri"/>
                <w:b/>
                <w:bCs/>
                <w:color w:val="000000"/>
                <w:sz w:val="20"/>
                <w:szCs w:val="20"/>
              </w:rPr>
            </w:pPr>
          </w:p>
        </w:tc>
        <w:tc>
          <w:tcPr>
            <w:tcW w:w="914" w:type="dxa"/>
            <w:vMerge/>
            <w:vAlign w:val="center"/>
            <w:hideMark/>
          </w:tcPr>
          <w:p w14:paraId="38F9DDB8" w14:textId="77777777" w:rsidR="00D4105A" w:rsidRPr="00CD62D8" w:rsidRDefault="00D4105A" w:rsidP="00102FBE">
            <w:pPr>
              <w:spacing w:after="0" w:line="240" w:lineRule="auto"/>
              <w:jc w:val="center"/>
              <w:rPr>
                <w:rFonts w:ascii="Cambria" w:eastAsia="Times New Roman" w:hAnsi="Cambria" w:cs="Calibri"/>
                <w:color w:val="000000"/>
                <w:sz w:val="20"/>
                <w:szCs w:val="20"/>
              </w:rPr>
            </w:pPr>
          </w:p>
        </w:tc>
        <w:tc>
          <w:tcPr>
            <w:tcW w:w="1026" w:type="dxa"/>
            <w:vMerge/>
            <w:vAlign w:val="center"/>
            <w:hideMark/>
          </w:tcPr>
          <w:p w14:paraId="64BBC019" w14:textId="77777777" w:rsidR="00D4105A" w:rsidRPr="00CD62D8" w:rsidRDefault="00D4105A" w:rsidP="00102FBE">
            <w:pPr>
              <w:spacing w:after="0" w:line="240" w:lineRule="auto"/>
              <w:jc w:val="center"/>
              <w:rPr>
                <w:rFonts w:ascii="Cambria" w:eastAsia="Times New Roman" w:hAnsi="Cambria" w:cs="Calibri"/>
                <w:color w:val="000000"/>
                <w:sz w:val="20"/>
                <w:szCs w:val="20"/>
              </w:rPr>
            </w:pPr>
          </w:p>
        </w:tc>
        <w:tc>
          <w:tcPr>
            <w:tcW w:w="841" w:type="dxa"/>
            <w:vMerge/>
            <w:vAlign w:val="center"/>
            <w:hideMark/>
          </w:tcPr>
          <w:p w14:paraId="11C55A46" w14:textId="77777777" w:rsidR="00D4105A" w:rsidRPr="00CD62D8" w:rsidRDefault="00D4105A" w:rsidP="00102FBE">
            <w:pPr>
              <w:spacing w:after="0" w:line="240" w:lineRule="auto"/>
              <w:jc w:val="center"/>
              <w:rPr>
                <w:rFonts w:ascii="Cambria" w:eastAsia="Times New Roman" w:hAnsi="Cambria" w:cs="Calibri"/>
                <w:color w:val="000000"/>
                <w:sz w:val="18"/>
                <w:szCs w:val="18"/>
              </w:rPr>
            </w:pPr>
          </w:p>
        </w:tc>
        <w:tc>
          <w:tcPr>
            <w:tcW w:w="728" w:type="dxa"/>
            <w:vMerge/>
            <w:vAlign w:val="center"/>
            <w:hideMark/>
          </w:tcPr>
          <w:p w14:paraId="5B24E514" w14:textId="77777777" w:rsidR="00D4105A" w:rsidRPr="00CD62D8" w:rsidRDefault="00D4105A" w:rsidP="00102FBE">
            <w:pPr>
              <w:spacing w:after="0" w:line="240" w:lineRule="auto"/>
              <w:jc w:val="center"/>
              <w:rPr>
                <w:rFonts w:ascii="Cambria" w:eastAsia="Times New Roman" w:hAnsi="Cambria" w:cs="Calibri"/>
                <w:color w:val="000000"/>
                <w:sz w:val="18"/>
                <w:szCs w:val="18"/>
              </w:rPr>
            </w:pPr>
          </w:p>
        </w:tc>
        <w:tc>
          <w:tcPr>
            <w:tcW w:w="851" w:type="dxa"/>
            <w:vMerge/>
            <w:vAlign w:val="center"/>
            <w:hideMark/>
          </w:tcPr>
          <w:p w14:paraId="31750C34" w14:textId="77777777" w:rsidR="00D4105A" w:rsidRPr="00CD62D8" w:rsidRDefault="00D4105A" w:rsidP="00102FBE">
            <w:pPr>
              <w:spacing w:after="0" w:line="240" w:lineRule="auto"/>
              <w:jc w:val="center"/>
              <w:rPr>
                <w:rFonts w:ascii="Cambria" w:eastAsia="Times New Roman" w:hAnsi="Cambria" w:cs="Calibri"/>
                <w:color w:val="000000"/>
                <w:sz w:val="18"/>
                <w:szCs w:val="18"/>
              </w:rPr>
            </w:pPr>
          </w:p>
        </w:tc>
        <w:tc>
          <w:tcPr>
            <w:tcW w:w="992" w:type="dxa"/>
            <w:vMerge/>
            <w:vAlign w:val="center"/>
            <w:hideMark/>
          </w:tcPr>
          <w:p w14:paraId="7261FBDB" w14:textId="77777777" w:rsidR="00D4105A" w:rsidRPr="00CD62D8" w:rsidRDefault="00D4105A" w:rsidP="00102FBE">
            <w:pPr>
              <w:spacing w:after="0" w:line="240" w:lineRule="auto"/>
              <w:jc w:val="center"/>
              <w:rPr>
                <w:rFonts w:ascii="Cambria" w:eastAsia="Times New Roman" w:hAnsi="Cambria" w:cs="Calibri"/>
                <w:color w:val="000000"/>
                <w:sz w:val="18"/>
                <w:szCs w:val="18"/>
              </w:rPr>
            </w:pPr>
          </w:p>
        </w:tc>
        <w:tc>
          <w:tcPr>
            <w:tcW w:w="739" w:type="dxa"/>
            <w:vMerge/>
            <w:vAlign w:val="center"/>
            <w:hideMark/>
          </w:tcPr>
          <w:p w14:paraId="34080003" w14:textId="77777777" w:rsidR="00D4105A" w:rsidRPr="00CD62D8" w:rsidRDefault="00D4105A" w:rsidP="00102FBE">
            <w:pPr>
              <w:spacing w:after="0" w:line="240" w:lineRule="auto"/>
              <w:jc w:val="center"/>
              <w:rPr>
                <w:rFonts w:ascii="Cambria" w:eastAsia="Times New Roman" w:hAnsi="Cambria" w:cs="Calibri"/>
                <w:color w:val="000000"/>
                <w:sz w:val="18"/>
                <w:szCs w:val="18"/>
              </w:rPr>
            </w:pPr>
          </w:p>
        </w:tc>
        <w:tc>
          <w:tcPr>
            <w:tcW w:w="973" w:type="dxa"/>
            <w:vMerge/>
            <w:vAlign w:val="center"/>
            <w:hideMark/>
          </w:tcPr>
          <w:p w14:paraId="31F54BE2" w14:textId="77777777" w:rsidR="00D4105A" w:rsidRPr="00CD62D8" w:rsidRDefault="00D4105A" w:rsidP="00102FBE">
            <w:pPr>
              <w:spacing w:after="0" w:line="240" w:lineRule="auto"/>
              <w:jc w:val="center"/>
              <w:rPr>
                <w:rFonts w:ascii="Cambria" w:eastAsia="Times New Roman" w:hAnsi="Cambria" w:cs="Calibri"/>
                <w:color w:val="000000"/>
                <w:sz w:val="20"/>
                <w:szCs w:val="20"/>
              </w:rPr>
            </w:pPr>
          </w:p>
        </w:tc>
        <w:tc>
          <w:tcPr>
            <w:tcW w:w="2966" w:type="dxa"/>
            <w:vMerge/>
            <w:hideMark/>
          </w:tcPr>
          <w:p w14:paraId="2A6CD9F2" w14:textId="77777777" w:rsidR="00D4105A" w:rsidRPr="00CD62D8" w:rsidRDefault="00D4105A" w:rsidP="00102FBE">
            <w:pPr>
              <w:spacing w:after="0" w:line="240" w:lineRule="auto"/>
              <w:jc w:val="both"/>
              <w:rPr>
                <w:rFonts w:ascii="Cambria" w:eastAsia="Times New Roman" w:hAnsi="Cambria" w:cs="Calibri"/>
                <w:color w:val="000000"/>
                <w:sz w:val="20"/>
                <w:szCs w:val="20"/>
              </w:rPr>
            </w:pPr>
          </w:p>
        </w:tc>
        <w:tc>
          <w:tcPr>
            <w:tcW w:w="2835" w:type="dxa"/>
            <w:vMerge/>
            <w:tcBorders>
              <w:bottom w:val="single" w:sz="4" w:space="0" w:color="auto"/>
              <w:right w:val="single" w:sz="4" w:space="0" w:color="auto"/>
            </w:tcBorders>
            <w:hideMark/>
          </w:tcPr>
          <w:p w14:paraId="2CF1DF46" w14:textId="77777777" w:rsidR="00D4105A" w:rsidRPr="00CD62D8" w:rsidRDefault="00D4105A" w:rsidP="00102FBE">
            <w:pPr>
              <w:spacing w:after="0" w:line="240" w:lineRule="auto"/>
              <w:jc w:val="both"/>
              <w:rPr>
                <w:rFonts w:ascii="Cambria" w:eastAsia="Times New Roman" w:hAnsi="Cambria" w:cs="Calibri"/>
                <w:color w:val="000000"/>
                <w:sz w:val="20"/>
                <w:szCs w:val="20"/>
              </w:rPr>
            </w:pPr>
          </w:p>
        </w:tc>
        <w:tc>
          <w:tcPr>
            <w:tcW w:w="236" w:type="dxa"/>
            <w:tcBorders>
              <w:top w:val="nil"/>
              <w:left w:val="single" w:sz="4" w:space="0" w:color="auto"/>
              <w:bottom w:val="nil"/>
              <w:right w:val="nil"/>
            </w:tcBorders>
            <w:noWrap/>
            <w:vAlign w:val="bottom"/>
            <w:hideMark/>
          </w:tcPr>
          <w:p w14:paraId="560F4969" w14:textId="77777777" w:rsidR="00D4105A" w:rsidRPr="00CD62D8" w:rsidRDefault="00D4105A" w:rsidP="00102FBE">
            <w:pPr>
              <w:spacing w:after="0" w:line="240" w:lineRule="auto"/>
              <w:jc w:val="both"/>
              <w:rPr>
                <w:rFonts w:ascii="Cambria" w:eastAsia="Times New Roman" w:hAnsi="Cambria" w:cs="Calibri"/>
                <w:color w:val="000000"/>
                <w:sz w:val="20"/>
                <w:szCs w:val="20"/>
              </w:rPr>
            </w:pPr>
          </w:p>
        </w:tc>
      </w:tr>
      <w:tr w:rsidR="00F8000D" w:rsidRPr="00CD62D8" w14:paraId="54865F42" w14:textId="77777777" w:rsidTr="00140AA1">
        <w:tc>
          <w:tcPr>
            <w:tcW w:w="1164" w:type="dxa"/>
            <w:noWrap/>
            <w:vAlign w:val="center"/>
          </w:tcPr>
          <w:p w14:paraId="3E194EA4" w14:textId="649056D6" w:rsidR="00F8000D" w:rsidRPr="00CD62D8" w:rsidRDefault="00F8000D" w:rsidP="00102FBE">
            <w:pPr>
              <w:spacing w:after="0" w:line="240" w:lineRule="auto"/>
              <w:jc w:val="center"/>
              <w:rPr>
                <w:rFonts w:ascii="Cambria" w:eastAsia="Times New Roman" w:hAnsi="Cambria" w:cs="Calibri"/>
                <w:b/>
                <w:bCs/>
                <w:color w:val="000000"/>
                <w:sz w:val="20"/>
                <w:szCs w:val="20"/>
              </w:rPr>
            </w:pPr>
            <w:r w:rsidRPr="00CD62D8">
              <w:rPr>
                <w:rFonts w:ascii="Cambria" w:eastAsia="Times New Roman" w:hAnsi="Cambria" w:cs="Calibri"/>
                <w:b/>
                <w:bCs/>
                <w:color w:val="000000"/>
                <w:sz w:val="20"/>
                <w:szCs w:val="20"/>
              </w:rPr>
              <w:t>Liberia</w:t>
            </w:r>
          </w:p>
        </w:tc>
        <w:tc>
          <w:tcPr>
            <w:tcW w:w="914" w:type="dxa"/>
            <w:noWrap/>
            <w:vAlign w:val="center"/>
          </w:tcPr>
          <w:p w14:paraId="6BEAC9C9" w14:textId="0221CD44" w:rsidR="00F8000D" w:rsidRPr="00CD62D8" w:rsidRDefault="00F8000D" w:rsidP="00102FBE">
            <w:pPr>
              <w:spacing w:after="0" w:line="240" w:lineRule="auto"/>
              <w:jc w:val="center"/>
              <w:rPr>
                <w:rFonts w:ascii="Cambria" w:eastAsia="Times New Roman" w:hAnsi="Cambria" w:cs="Calibri"/>
                <w:color w:val="000000"/>
                <w:sz w:val="20"/>
                <w:szCs w:val="20"/>
              </w:rPr>
            </w:pPr>
            <w:r w:rsidRPr="00CD62D8">
              <w:rPr>
                <w:rFonts w:ascii="Cambria" w:eastAsia="Times New Roman" w:hAnsi="Cambria" w:cs="Calibri"/>
                <w:color w:val="000000"/>
                <w:sz w:val="20"/>
                <w:szCs w:val="20"/>
              </w:rPr>
              <w:t>Yes</w:t>
            </w:r>
          </w:p>
        </w:tc>
        <w:tc>
          <w:tcPr>
            <w:tcW w:w="1026" w:type="dxa"/>
            <w:noWrap/>
            <w:vAlign w:val="center"/>
          </w:tcPr>
          <w:p w14:paraId="294C068D" w14:textId="62D16A6A" w:rsidR="00F8000D" w:rsidRPr="00CD62D8" w:rsidRDefault="00F8000D" w:rsidP="00102FBE">
            <w:pPr>
              <w:spacing w:after="0" w:line="240" w:lineRule="auto"/>
              <w:jc w:val="center"/>
              <w:rPr>
                <w:rFonts w:ascii="Cambria" w:eastAsia="Times New Roman" w:hAnsi="Cambria" w:cs="Calibri"/>
                <w:color w:val="000000"/>
                <w:sz w:val="20"/>
                <w:szCs w:val="20"/>
              </w:rPr>
            </w:pPr>
            <w:r w:rsidRPr="00CD62D8">
              <w:rPr>
                <w:rFonts w:ascii="Cambria" w:eastAsia="Times New Roman" w:hAnsi="Cambria" w:cs="Calibri"/>
                <w:color w:val="000000"/>
                <w:sz w:val="20"/>
                <w:szCs w:val="20"/>
              </w:rPr>
              <w:t>N/A</w:t>
            </w:r>
          </w:p>
        </w:tc>
        <w:tc>
          <w:tcPr>
            <w:tcW w:w="841" w:type="dxa"/>
            <w:noWrap/>
            <w:vAlign w:val="center"/>
          </w:tcPr>
          <w:p w14:paraId="39AD5831"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620</w:t>
            </w:r>
          </w:p>
          <w:p w14:paraId="64A423AA" w14:textId="705B39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10</w:t>
            </w:r>
          </w:p>
        </w:tc>
        <w:tc>
          <w:tcPr>
            <w:tcW w:w="728" w:type="dxa"/>
            <w:noWrap/>
            <w:vAlign w:val="center"/>
          </w:tcPr>
          <w:p w14:paraId="5E0012F3"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GN</w:t>
            </w:r>
          </w:p>
          <w:p w14:paraId="07F925CD" w14:textId="0F0FAB7B"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OTH</w:t>
            </w:r>
          </w:p>
        </w:tc>
        <w:tc>
          <w:tcPr>
            <w:tcW w:w="851" w:type="dxa"/>
            <w:noWrap/>
            <w:vAlign w:val="center"/>
          </w:tcPr>
          <w:p w14:paraId="7C2BD24E" w14:textId="77777777" w:rsidR="00F8000D" w:rsidRPr="00CD62D8" w:rsidRDefault="00F8000D" w:rsidP="00102FBE">
            <w:pPr>
              <w:spacing w:after="0" w:line="240" w:lineRule="auto"/>
              <w:jc w:val="center"/>
              <w:rPr>
                <w:rFonts w:ascii="Cambria" w:eastAsia="Times New Roman" w:hAnsi="Cambria" w:cs="Calibri"/>
                <w:color w:val="000000"/>
                <w:sz w:val="18"/>
                <w:szCs w:val="18"/>
              </w:rPr>
            </w:pPr>
          </w:p>
        </w:tc>
        <w:tc>
          <w:tcPr>
            <w:tcW w:w="992" w:type="dxa"/>
            <w:noWrap/>
            <w:vAlign w:val="center"/>
          </w:tcPr>
          <w:p w14:paraId="0E6EF8A7"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620</w:t>
            </w:r>
          </w:p>
          <w:p w14:paraId="382FFA50" w14:textId="5245D5D0"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10</w:t>
            </w:r>
          </w:p>
        </w:tc>
        <w:tc>
          <w:tcPr>
            <w:tcW w:w="739" w:type="dxa"/>
            <w:noWrap/>
            <w:vAlign w:val="center"/>
          </w:tcPr>
          <w:p w14:paraId="5C2880C6"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GN</w:t>
            </w:r>
          </w:p>
          <w:p w14:paraId="23A2B232" w14:textId="18E12192"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OTH</w:t>
            </w:r>
          </w:p>
        </w:tc>
        <w:tc>
          <w:tcPr>
            <w:tcW w:w="973" w:type="dxa"/>
            <w:noWrap/>
            <w:vAlign w:val="center"/>
          </w:tcPr>
          <w:p w14:paraId="339AE78E" w14:textId="77777777" w:rsidR="00F8000D" w:rsidRPr="00CD62D8" w:rsidRDefault="00F8000D" w:rsidP="00102FBE">
            <w:pPr>
              <w:spacing w:after="0" w:line="240" w:lineRule="auto"/>
              <w:jc w:val="center"/>
              <w:rPr>
                <w:rFonts w:ascii="Cambria" w:eastAsia="Times New Roman" w:hAnsi="Cambria" w:cs="Calibri"/>
                <w:color w:val="000000"/>
                <w:sz w:val="20"/>
                <w:szCs w:val="20"/>
              </w:rPr>
            </w:pPr>
          </w:p>
        </w:tc>
        <w:tc>
          <w:tcPr>
            <w:tcW w:w="2966" w:type="dxa"/>
          </w:tcPr>
          <w:p w14:paraId="2C5FBACB" w14:textId="142D12B3" w:rsidR="00F8000D" w:rsidRPr="00CD62D8" w:rsidRDefault="00F8000D" w:rsidP="00102FBE">
            <w:pPr>
              <w:spacing w:after="0" w:line="240" w:lineRule="auto"/>
              <w:jc w:val="both"/>
              <w:rPr>
                <w:rFonts w:ascii="Cambria" w:hAnsi="Cambria"/>
                <w:sz w:val="20"/>
                <w:szCs w:val="20"/>
                <w:lang w:val="en-GB"/>
              </w:rPr>
            </w:pPr>
            <w:r w:rsidRPr="00CD62D8">
              <w:rPr>
                <w:rFonts w:ascii="Cambria" w:hAnsi="Cambria"/>
                <w:sz w:val="20"/>
                <w:szCs w:val="20"/>
                <w:lang w:val="en-GB"/>
              </w:rPr>
              <w:t>North Atlantic Swordfish (SWO</w:t>
            </w:r>
            <w:r w:rsidR="003471A4" w:rsidRPr="00CD62D8">
              <w:rPr>
                <w:rFonts w:ascii="Cambria" w:hAnsi="Cambria"/>
                <w:sz w:val="20"/>
                <w:szCs w:val="20"/>
                <w:lang w:val="en-GB"/>
              </w:rPr>
              <w:noBreakHyphen/>
              <w:t>N</w:t>
            </w:r>
            <w:r w:rsidRPr="00CD62D8">
              <w:rPr>
                <w:rFonts w:ascii="Cambria" w:hAnsi="Cambria"/>
                <w:sz w:val="20"/>
                <w:szCs w:val="20"/>
                <w:lang w:val="en-GB"/>
              </w:rPr>
              <w:t xml:space="preserve">) is currently harvested in Liberia exclusively as bycatch by approximately 620 artisanal canoes. At present, there are no plans to increase the number of canoes involved in the fishery. The Government of Liberia, through the National Fisheries and Aquaculture Authority (NaFAA), is committed to maintaining sustainable levels of fishing effort within the artisanal sector. Liberia operates an artisanal fisheries </w:t>
            </w:r>
            <w:r w:rsidRPr="00CD62D8">
              <w:rPr>
                <w:rFonts w:ascii="Cambria" w:hAnsi="Cambria"/>
                <w:sz w:val="20"/>
                <w:szCs w:val="20"/>
                <w:lang w:val="en-GB"/>
              </w:rPr>
              <w:lastRenderedPageBreak/>
              <w:t>data collection program, which employs 32 fisheries enumerators stationed across 24 landing sites spanning the nine coastal counties. These enumerators routinely collect data on catch, fishing effort, and size composition of target and bycatch species, including tuna and tuna-like species such as SWO</w:t>
            </w:r>
            <w:r w:rsidR="00E1315C" w:rsidRPr="00CD62D8">
              <w:rPr>
                <w:rFonts w:ascii="Cambria" w:hAnsi="Cambria"/>
                <w:sz w:val="20"/>
                <w:szCs w:val="20"/>
                <w:lang w:val="en-GB"/>
              </w:rPr>
              <w:t>-N</w:t>
            </w:r>
            <w:r w:rsidRPr="00CD62D8">
              <w:rPr>
                <w:rFonts w:ascii="Cambria" w:hAnsi="Cambria"/>
                <w:sz w:val="20"/>
                <w:szCs w:val="20"/>
                <w:lang w:val="en-GB"/>
              </w:rPr>
              <w:t>. In addition to data collection, fisheries inspectors regularly conduct gear inspections to ensure compliance with national and international regulations, particularly those related to gear type and minimum size limits. NaFAA has also engaged in continuous stakeholder consultations with artisanal fishers, focusing on raising awareness around responsible fishing practices, regulatory compliance, and species identification. In 2024, Liberia requested a quota of 15 tons of SWO</w:t>
            </w:r>
            <w:r w:rsidR="00E1315C" w:rsidRPr="00CD62D8">
              <w:rPr>
                <w:rFonts w:ascii="Cambria" w:hAnsi="Cambria"/>
                <w:sz w:val="20"/>
                <w:szCs w:val="20"/>
                <w:lang w:val="en-GB"/>
              </w:rPr>
              <w:t>-N</w:t>
            </w:r>
            <w:r w:rsidRPr="00CD62D8">
              <w:rPr>
                <w:rFonts w:ascii="Cambria" w:hAnsi="Cambria"/>
                <w:sz w:val="20"/>
                <w:szCs w:val="20"/>
                <w:lang w:val="en-GB"/>
              </w:rPr>
              <w:t>. While this species continues to be landed as bycatch, it represents both a valuable protein source and a product of economic importance for coastal communities. In 2024, a total catch of 2.02 t w</w:t>
            </w:r>
            <w:r w:rsidR="00E1315C" w:rsidRPr="00CD62D8">
              <w:rPr>
                <w:rFonts w:ascii="Cambria" w:hAnsi="Cambria"/>
                <w:sz w:val="20"/>
                <w:szCs w:val="20"/>
                <w:lang w:val="en-GB"/>
              </w:rPr>
              <w:t>as</w:t>
            </w:r>
            <w:r w:rsidRPr="00CD62D8">
              <w:rPr>
                <w:rFonts w:ascii="Cambria" w:hAnsi="Cambria"/>
                <w:sz w:val="20"/>
                <w:szCs w:val="20"/>
                <w:lang w:val="en-GB"/>
              </w:rPr>
              <w:t xml:space="preserve"> reported. </w:t>
            </w:r>
          </w:p>
          <w:p w14:paraId="5C3E3048" w14:textId="77777777" w:rsidR="006A642E" w:rsidRPr="00CD62D8" w:rsidRDefault="006A642E" w:rsidP="00102FBE">
            <w:pPr>
              <w:spacing w:after="0" w:line="240" w:lineRule="auto"/>
              <w:jc w:val="both"/>
              <w:rPr>
                <w:rFonts w:ascii="Cambria" w:hAnsi="Cambria"/>
                <w:sz w:val="20"/>
                <w:szCs w:val="20"/>
                <w:lang w:val="en-GB"/>
              </w:rPr>
            </w:pPr>
          </w:p>
          <w:p w14:paraId="58B1FFB0" w14:textId="465626B9" w:rsidR="00140AA1" w:rsidRPr="00CD62D8" w:rsidRDefault="00F8000D" w:rsidP="00EE02C8">
            <w:pPr>
              <w:spacing w:after="0" w:line="240" w:lineRule="auto"/>
              <w:jc w:val="both"/>
              <w:rPr>
                <w:rFonts w:ascii="Cambria" w:hAnsi="Cambria"/>
                <w:sz w:val="20"/>
                <w:szCs w:val="20"/>
                <w:lang w:val="en-GB"/>
              </w:rPr>
            </w:pPr>
            <w:r w:rsidRPr="00CD62D8">
              <w:rPr>
                <w:rFonts w:ascii="Cambria" w:hAnsi="Cambria"/>
                <w:sz w:val="20"/>
                <w:szCs w:val="20"/>
                <w:lang w:val="en-GB"/>
              </w:rPr>
              <w:lastRenderedPageBreak/>
              <w:t>The 620 canoes operate primarily with gillnets (GN), which are the gear type associated with the bycatch of swordfish. The management of this fishery is guided by a combination of international and national legal frameworks, including relevant recommendations and conservation measures by the International Commission for the Conservation of Atlantic Tunas (ICCAT), and the Liberia Fisheries and Aquaculture Management and Development Law of 2019.</w:t>
            </w:r>
          </w:p>
        </w:tc>
        <w:tc>
          <w:tcPr>
            <w:tcW w:w="2835" w:type="dxa"/>
            <w:tcBorders>
              <w:bottom w:val="single" w:sz="4" w:space="0" w:color="auto"/>
              <w:right w:val="single" w:sz="4" w:space="0" w:color="auto"/>
            </w:tcBorders>
            <w:noWrap/>
          </w:tcPr>
          <w:p w14:paraId="3FAAD941" w14:textId="2067D8C1" w:rsidR="00F8000D" w:rsidRPr="00CD62D8" w:rsidRDefault="00F8000D" w:rsidP="00102FBE">
            <w:pPr>
              <w:spacing w:after="0" w:line="240" w:lineRule="auto"/>
              <w:jc w:val="both"/>
              <w:rPr>
                <w:rFonts w:ascii="Cambria" w:hAnsi="Cambria" w:cs="Calibri"/>
                <w:color w:val="000000"/>
                <w:sz w:val="20"/>
                <w:szCs w:val="20"/>
              </w:rPr>
            </w:pPr>
            <w:r w:rsidRPr="00CD62D8">
              <w:rPr>
                <w:rFonts w:ascii="Cambria" w:hAnsi="Cambria" w:cs="Calibri"/>
                <w:color w:val="000000"/>
                <w:sz w:val="20"/>
                <w:szCs w:val="20"/>
              </w:rPr>
              <w:lastRenderedPageBreak/>
              <w:t>Liberia is currently developing measures to address its overharvest of 115.28 tons of SWO</w:t>
            </w:r>
            <w:r w:rsidR="003471A4" w:rsidRPr="00CD62D8">
              <w:rPr>
                <w:rFonts w:ascii="Cambria" w:hAnsi="Cambria" w:cs="Calibri"/>
                <w:color w:val="000000"/>
                <w:sz w:val="20"/>
                <w:szCs w:val="20"/>
              </w:rPr>
              <w:noBreakHyphen/>
              <w:t>N</w:t>
            </w:r>
            <w:r w:rsidRPr="00CD62D8">
              <w:rPr>
                <w:rFonts w:ascii="Cambria" w:hAnsi="Cambria" w:cs="Calibri"/>
                <w:color w:val="000000"/>
                <w:sz w:val="20"/>
                <w:szCs w:val="20"/>
              </w:rPr>
              <w:t>, in line with ICCAT compliance requirements. A key step in addressing this over-harvest is the improvement of species identification capacity. To this end, fisheries enumerators have undergone specialized training to correctly identify SWO</w:t>
            </w:r>
            <w:r w:rsidR="003471A4" w:rsidRPr="00CD62D8">
              <w:rPr>
                <w:rFonts w:ascii="Cambria" w:hAnsi="Cambria" w:cs="Calibri"/>
                <w:color w:val="000000"/>
                <w:sz w:val="20"/>
                <w:szCs w:val="20"/>
              </w:rPr>
              <w:noBreakHyphen/>
              <w:t>N</w:t>
            </w:r>
            <w:r w:rsidRPr="00CD62D8">
              <w:rPr>
                <w:rFonts w:ascii="Cambria" w:hAnsi="Cambria" w:cs="Calibri"/>
                <w:color w:val="000000"/>
                <w:sz w:val="20"/>
                <w:szCs w:val="20"/>
              </w:rPr>
              <w:t xml:space="preserve"> and distinguish it from other tuna and tuna-like species, thereby minimizing </w:t>
            </w:r>
            <w:r w:rsidRPr="00CD62D8">
              <w:rPr>
                <w:rFonts w:ascii="Cambria" w:hAnsi="Cambria" w:cs="Calibri"/>
                <w:color w:val="000000"/>
                <w:sz w:val="20"/>
                <w:szCs w:val="20"/>
              </w:rPr>
              <w:lastRenderedPageBreak/>
              <w:t>the risk of misidentification in catch records. A notable case occurred in 2017, when Liberia reported a catch of 94.69 t, which was later found to be largely the result of species misidentification. This issue highlighted the need for stronger training and quality control in data reporting systems, which NaFAA has since worked to address. Going forward, Liberia remains committed to improving its fisheries governance framework through the following measures: Continued training and capacity building for fisheries data collectors and inspectors; Strengthening monitoring, control, and surveillance (MCS) systems to ensure compliance with both national and international obligations; Enhanced collaboration with stakeholders, particularly in the artisanal sector, to promote sustainable harvesting practices; and Development of species-specific management plans as data quality improves and more precise stock assessments become possible.</w:t>
            </w:r>
            <w:r w:rsidR="003471A4" w:rsidRPr="00CD62D8">
              <w:rPr>
                <w:rFonts w:ascii="Cambria" w:hAnsi="Cambria" w:cs="Calibri"/>
                <w:color w:val="000000"/>
                <w:sz w:val="20"/>
                <w:szCs w:val="20"/>
              </w:rPr>
              <w:t xml:space="preserve"> </w:t>
            </w:r>
            <w:r w:rsidRPr="00CD62D8">
              <w:rPr>
                <w:rFonts w:ascii="Cambria" w:hAnsi="Cambria" w:cs="Calibri"/>
                <w:color w:val="000000"/>
                <w:sz w:val="20"/>
                <w:szCs w:val="20"/>
              </w:rPr>
              <w:t xml:space="preserve">These efforts reflect Liberia’s broader commitment to the </w:t>
            </w:r>
            <w:r w:rsidRPr="00CD62D8">
              <w:rPr>
                <w:rFonts w:ascii="Cambria" w:hAnsi="Cambria" w:cs="Calibri"/>
                <w:color w:val="000000"/>
                <w:sz w:val="20"/>
                <w:szCs w:val="20"/>
              </w:rPr>
              <w:lastRenderedPageBreak/>
              <w:t>sustainable management of highly migratory species, in accordance with the best available science and international best practices.</w:t>
            </w:r>
          </w:p>
        </w:tc>
        <w:tc>
          <w:tcPr>
            <w:tcW w:w="236" w:type="dxa"/>
            <w:tcBorders>
              <w:top w:val="nil"/>
              <w:left w:val="single" w:sz="4" w:space="0" w:color="auto"/>
              <w:bottom w:val="nil"/>
              <w:right w:val="nil"/>
            </w:tcBorders>
            <w:vAlign w:val="center"/>
          </w:tcPr>
          <w:p w14:paraId="185D760C" w14:textId="77777777" w:rsidR="00F8000D" w:rsidRPr="00CD62D8" w:rsidRDefault="00F8000D" w:rsidP="00102FBE">
            <w:pPr>
              <w:spacing w:after="0" w:line="240" w:lineRule="auto"/>
              <w:rPr>
                <w:rFonts w:ascii="Cambria" w:eastAsia="Times New Roman" w:hAnsi="Cambria" w:cs="Times New Roman"/>
                <w:sz w:val="20"/>
                <w:szCs w:val="20"/>
              </w:rPr>
            </w:pPr>
          </w:p>
        </w:tc>
      </w:tr>
      <w:tr w:rsidR="00F8000D" w:rsidRPr="00CD62D8" w14:paraId="1E5106EC" w14:textId="77777777" w:rsidTr="00140AA1">
        <w:tc>
          <w:tcPr>
            <w:tcW w:w="1164" w:type="dxa"/>
            <w:noWrap/>
            <w:vAlign w:val="center"/>
            <w:hideMark/>
          </w:tcPr>
          <w:p w14:paraId="041F4CA8" w14:textId="77777777" w:rsidR="00F8000D" w:rsidRPr="00CD62D8" w:rsidRDefault="00F8000D"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lastRenderedPageBreak/>
              <w:t>Mexico</w:t>
            </w:r>
          </w:p>
        </w:tc>
        <w:tc>
          <w:tcPr>
            <w:tcW w:w="914" w:type="dxa"/>
            <w:noWrap/>
            <w:vAlign w:val="center"/>
            <w:hideMark/>
          </w:tcPr>
          <w:p w14:paraId="3FCC6953" w14:textId="74ED6CD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Yes</w:t>
            </w:r>
          </w:p>
        </w:tc>
        <w:tc>
          <w:tcPr>
            <w:tcW w:w="1026" w:type="dxa"/>
            <w:noWrap/>
            <w:vAlign w:val="center"/>
            <w:hideMark/>
          </w:tcPr>
          <w:p w14:paraId="1FF17A02"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200</w:t>
            </w:r>
          </w:p>
        </w:tc>
        <w:tc>
          <w:tcPr>
            <w:tcW w:w="841" w:type="dxa"/>
            <w:noWrap/>
            <w:vAlign w:val="center"/>
            <w:hideMark/>
          </w:tcPr>
          <w:p w14:paraId="0DE264F0"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4</w:t>
            </w:r>
          </w:p>
        </w:tc>
        <w:tc>
          <w:tcPr>
            <w:tcW w:w="728" w:type="dxa"/>
            <w:noWrap/>
            <w:vAlign w:val="center"/>
            <w:hideMark/>
          </w:tcPr>
          <w:p w14:paraId="4147063B" w14:textId="0B849686"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tc>
        <w:tc>
          <w:tcPr>
            <w:tcW w:w="851" w:type="dxa"/>
            <w:noWrap/>
            <w:vAlign w:val="center"/>
            <w:hideMark/>
          </w:tcPr>
          <w:p w14:paraId="5CC6E45E" w14:textId="0712A26A"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26</w:t>
            </w:r>
          </w:p>
        </w:tc>
        <w:tc>
          <w:tcPr>
            <w:tcW w:w="992" w:type="dxa"/>
            <w:noWrap/>
            <w:vAlign w:val="center"/>
            <w:hideMark/>
          </w:tcPr>
          <w:p w14:paraId="5533C94E" w14:textId="438E1FFA"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0</w:t>
            </w:r>
          </w:p>
        </w:tc>
        <w:tc>
          <w:tcPr>
            <w:tcW w:w="739" w:type="dxa"/>
            <w:noWrap/>
            <w:vAlign w:val="center"/>
            <w:hideMark/>
          </w:tcPr>
          <w:p w14:paraId="3EBEA966" w14:textId="70ED62CB" w:rsidR="00F8000D" w:rsidRPr="00CD62D8" w:rsidRDefault="00F8000D" w:rsidP="00102FBE">
            <w:pPr>
              <w:spacing w:after="0" w:line="240" w:lineRule="auto"/>
              <w:jc w:val="center"/>
              <w:rPr>
                <w:rFonts w:ascii="Cambria" w:eastAsia="Times New Roman" w:hAnsi="Cambria" w:cs="Calibri"/>
                <w:color w:val="000000"/>
                <w:sz w:val="18"/>
                <w:szCs w:val="18"/>
              </w:rPr>
            </w:pPr>
          </w:p>
        </w:tc>
        <w:tc>
          <w:tcPr>
            <w:tcW w:w="973" w:type="dxa"/>
            <w:noWrap/>
            <w:vAlign w:val="center"/>
            <w:hideMark/>
          </w:tcPr>
          <w:p w14:paraId="337595C2" w14:textId="3281CF9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0</w:t>
            </w:r>
          </w:p>
        </w:tc>
        <w:tc>
          <w:tcPr>
            <w:tcW w:w="2966" w:type="dxa"/>
            <w:hideMark/>
          </w:tcPr>
          <w:p w14:paraId="27A0D44C" w14:textId="7B0EEC6C" w:rsidR="00096231" w:rsidRPr="00CD62D8" w:rsidRDefault="00096231" w:rsidP="00096231">
            <w:pPr>
              <w:spacing w:after="0" w:line="240" w:lineRule="auto"/>
              <w:jc w:val="both"/>
              <w:rPr>
                <w:rFonts w:ascii="Cambria" w:hAnsi="Cambria"/>
                <w:sz w:val="20"/>
                <w:szCs w:val="20"/>
              </w:rPr>
            </w:pPr>
            <w:r w:rsidRPr="00CD62D8">
              <w:rPr>
                <w:rFonts w:ascii="Cambria" w:hAnsi="Cambria"/>
                <w:sz w:val="20"/>
                <w:szCs w:val="20"/>
              </w:rPr>
              <w:t>AGREEMENT establishing the minimum commercial catch size for swordfish (</w:t>
            </w:r>
            <w:r w:rsidRPr="00CD62D8">
              <w:rPr>
                <w:rFonts w:ascii="Cambria" w:hAnsi="Cambria"/>
                <w:i/>
                <w:iCs/>
                <w:sz w:val="20"/>
                <w:szCs w:val="20"/>
              </w:rPr>
              <w:t>Xiphias gladius</w:t>
            </w:r>
            <w:r w:rsidRPr="00CD62D8">
              <w:rPr>
                <w:rFonts w:ascii="Cambria" w:hAnsi="Cambria"/>
                <w:sz w:val="20"/>
                <w:szCs w:val="20"/>
              </w:rPr>
              <w:t>) in</w:t>
            </w:r>
            <w:r w:rsidR="00711865" w:rsidRPr="00CD62D8">
              <w:rPr>
                <w:rFonts w:ascii="Cambria" w:hAnsi="Cambria"/>
                <w:sz w:val="20"/>
                <w:szCs w:val="20"/>
              </w:rPr>
              <w:t xml:space="preserve"> marine waters of</w:t>
            </w:r>
            <w:r w:rsidRPr="00CD62D8">
              <w:rPr>
                <w:rFonts w:ascii="Cambria" w:hAnsi="Cambria"/>
                <w:sz w:val="20"/>
                <w:szCs w:val="20"/>
              </w:rPr>
              <w:t xml:space="preserve"> federal </w:t>
            </w:r>
            <w:r w:rsidR="00DF1990" w:rsidRPr="00CD62D8">
              <w:rPr>
                <w:rFonts w:ascii="Cambria" w:hAnsi="Cambria"/>
                <w:sz w:val="20"/>
                <w:szCs w:val="20"/>
              </w:rPr>
              <w:t xml:space="preserve">jurisdiction </w:t>
            </w:r>
            <w:r w:rsidR="0073453F" w:rsidRPr="00CD62D8">
              <w:rPr>
                <w:rFonts w:ascii="Cambria" w:hAnsi="Cambria"/>
                <w:sz w:val="20"/>
                <w:szCs w:val="20"/>
              </w:rPr>
              <w:t>in</w:t>
            </w:r>
            <w:r w:rsidRPr="00CD62D8">
              <w:rPr>
                <w:rFonts w:ascii="Cambria" w:hAnsi="Cambria"/>
                <w:sz w:val="20"/>
                <w:szCs w:val="20"/>
              </w:rPr>
              <w:t xml:space="preserve"> the Gulf of Mexico and Caribbean Sea. Published in the Official Gazette of the Federation (DOF) on 23 May 2019.</w:t>
            </w:r>
          </w:p>
          <w:p w14:paraId="5FFD3383" w14:textId="77777777" w:rsidR="00096231" w:rsidRPr="00CD62D8" w:rsidRDefault="00096231" w:rsidP="00096231">
            <w:pPr>
              <w:spacing w:after="0" w:line="240" w:lineRule="auto"/>
              <w:jc w:val="both"/>
              <w:rPr>
                <w:rFonts w:ascii="Cambria" w:hAnsi="Cambria"/>
                <w:sz w:val="20"/>
                <w:szCs w:val="20"/>
              </w:rPr>
            </w:pPr>
          </w:p>
          <w:p w14:paraId="0FAE0282" w14:textId="754689FA" w:rsidR="00096231" w:rsidRPr="00CD62D8" w:rsidRDefault="00096231" w:rsidP="00096231">
            <w:pPr>
              <w:spacing w:after="0" w:line="240" w:lineRule="auto"/>
              <w:jc w:val="both"/>
              <w:rPr>
                <w:rFonts w:ascii="Cambria" w:hAnsi="Cambria"/>
                <w:sz w:val="20"/>
                <w:szCs w:val="20"/>
              </w:rPr>
            </w:pPr>
            <w:r w:rsidRPr="00CD62D8">
              <w:rPr>
                <w:rFonts w:ascii="Cambria" w:hAnsi="Cambria"/>
                <w:sz w:val="20"/>
                <w:szCs w:val="20"/>
              </w:rPr>
              <w:t>Official Mexican Standard NOM</w:t>
            </w:r>
            <w:r w:rsidRPr="00CD62D8">
              <w:rPr>
                <w:rFonts w:ascii="Cambria" w:hAnsi="Cambria"/>
                <w:sz w:val="20"/>
                <w:szCs w:val="20"/>
              </w:rPr>
              <w:noBreakHyphen/>
              <w:t xml:space="preserve">023-SAG/PESC-2014, regulating the exploitation of tuna species by longline vessels in waters </w:t>
            </w:r>
            <w:r w:rsidR="0073453F" w:rsidRPr="00CD62D8">
              <w:rPr>
                <w:rFonts w:ascii="Cambria" w:hAnsi="Cambria"/>
                <w:sz w:val="20"/>
                <w:szCs w:val="20"/>
              </w:rPr>
              <w:t>of</w:t>
            </w:r>
            <w:r w:rsidRPr="00CD62D8">
              <w:rPr>
                <w:rFonts w:ascii="Cambria" w:hAnsi="Cambria"/>
                <w:sz w:val="20"/>
                <w:szCs w:val="20"/>
              </w:rPr>
              <w:t xml:space="preserve"> federal jurisdiction </w:t>
            </w:r>
            <w:r w:rsidR="0073453F" w:rsidRPr="00CD62D8">
              <w:rPr>
                <w:rFonts w:ascii="Cambria" w:hAnsi="Cambria"/>
                <w:sz w:val="20"/>
                <w:szCs w:val="20"/>
              </w:rPr>
              <w:t>in</w:t>
            </w:r>
            <w:r w:rsidRPr="00CD62D8">
              <w:rPr>
                <w:rFonts w:ascii="Cambria" w:hAnsi="Cambria"/>
                <w:sz w:val="20"/>
                <w:szCs w:val="20"/>
              </w:rPr>
              <w:t xml:space="preserve"> the Gulf of Mexico and Caribbean Sea. Published in the Official Gazette of the Federation (DOF) on 16 April 2014.</w:t>
            </w:r>
          </w:p>
          <w:p w14:paraId="4BBF63DF" w14:textId="14E63F5D" w:rsidR="003471A4" w:rsidRPr="00CD62D8" w:rsidRDefault="00096231" w:rsidP="00096231">
            <w:pPr>
              <w:spacing w:after="0" w:line="240" w:lineRule="auto"/>
              <w:jc w:val="both"/>
              <w:rPr>
                <w:rFonts w:ascii="Cambria" w:hAnsi="Cambria"/>
                <w:sz w:val="20"/>
                <w:szCs w:val="20"/>
              </w:rPr>
            </w:pPr>
            <w:r w:rsidRPr="00CD62D8">
              <w:rPr>
                <w:rFonts w:ascii="Cambria" w:hAnsi="Cambria"/>
                <w:sz w:val="20"/>
                <w:szCs w:val="20"/>
              </w:rPr>
              <w:lastRenderedPageBreak/>
              <w:t>Official Mexican Standard NOM-017-PESC-1994, regulating recreational sport fishing activities in federal waters of the United States of Mexico.</w:t>
            </w:r>
          </w:p>
          <w:p w14:paraId="40FEF5F0" w14:textId="01981523" w:rsidR="00096231" w:rsidRPr="00CD62D8" w:rsidRDefault="00096231" w:rsidP="00096231">
            <w:pPr>
              <w:spacing w:after="0" w:line="240" w:lineRule="auto"/>
              <w:jc w:val="both"/>
              <w:rPr>
                <w:rFonts w:ascii="Cambria" w:eastAsia="Times New Roman" w:hAnsi="Cambria" w:cs="Calibri"/>
                <w:color w:val="000000"/>
                <w:sz w:val="20"/>
                <w:szCs w:val="20"/>
              </w:rPr>
            </w:pPr>
          </w:p>
        </w:tc>
        <w:tc>
          <w:tcPr>
            <w:tcW w:w="2835" w:type="dxa"/>
            <w:tcBorders>
              <w:bottom w:val="single" w:sz="4" w:space="0" w:color="auto"/>
              <w:right w:val="single" w:sz="4" w:space="0" w:color="auto"/>
            </w:tcBorders>
            <w:noWrap/>
            <w:hideMark/>
          </w:tcPr>
          <w:p w14:paraId="102DD673" w14:textId="17987A07" w:rsidR="00F8000D" w:rsidRPr="00CD62D8" w:rsidRDefault="00F8000D" w:rsidP="00102FBE">
            <w:pPr>
              <w:spacing w:after="0" w:line="240" w:lineRule="auto"/>
              <w:jc w:val="both"/>
              <w:rPr>
                <w:rFonts w:ascii="Cambria" w:eastAsia="Times New Roman" w:hAnsi="Cambria" w:cs="Calibri"/>
                <w:color w:val="000000"/>
                <w:sz w:val="20"/>
                <w:szCs w:val="20"/>
              </w:rPr>
            </w:pPr>
          </w:p>
        </w:tc>
        <w:tc>
          <w:tcPr>
            <w:tcW w:w="236" w:type="dxa"/>
            <w:tcBorders>
              <w:top w:val="nil"/>
              <w:left w:val="single" w:sz="4" w:space="0" w:color="auto"/>
              <w:bottom w:val="nil"/>
              <w:right w:val="nil"/>
            </w:tcBorders>
            <w:vAlign w:val="center"/>
            <w:hideMark/>
          </w:tcPr>
          <w:p w14:paraId="4988C096" w14:textId="77777777" w:rsidR="00F8000D" w:rsidRPr="00CD62D8" w:rsidRDefault="00F8000D" w:rsidP="00102FBE">
            <w:pPr>
              <w:spacing w:after="0" w:line="240" w:lineRule="auto"/>
              <w:rPr>
                <w:rFonts w:ascii="Cambria" w:eastAsia="Times New Roman" w:hAnsi="Cambria" w:cs="Times New Roman"/>
                <w:sz w:val="20"/>
                <w:szCs w:val="20"/>
              </w:rPr>
            </w:pPr>
          </w:p>
        </w:tc>
      </w:tr>
      <w:tr w:rsidR="00F8000D" w:rsidRPr="00CD62D8" w14:paraId="0E29AE82" w14:textId="77777777" w:rsidTr="00140AA1">
        <w:tc>
          <w:tcPr>
            <w:tcW w:w="1164" w:type="dxa"/>
            <w:tcBorders>
              <w:bottom w:val="single" w:sz="4" w:space="0" w:color="auto"/>
            </w:tcBorders>
            <w:noWrap/>
            <w:vAlign w:val="center"/>
          </w:tcPr>
          <w:p w14:paraId="43BA9204" w14:textId="578F9DEE" w:rsidR="00F8000D" w:rsidRPr="00CD62D8" w:rsidRDefault="00F8000D" w:rsidP="00102FBE">
            <w:pPr>
              <w:spacing w:after="0" w:line="240" w:lineRule="auto"/>
              <w:jc w:val="center"/>
              <w:rPr>
                <w:rFonts w:ascii="Cambria" w:eastAsia="Times New Roman" w:hAnsi="Cambria" w:cs="Calibri"/>
                <w:b/>
                <w:bCs/>
                <w:color w:val="000000"/>
                <w:sz w:val="18"/>
                <w:szCs w:val="18"/>
              </w:rPr>
            </w:pPr>
            <w:r w:rsidRPr="00CD62D8">
              <w:rPr>
                <w:rFonts w:ascii="Cambria" w:eastAsia="Times New Roman" w:hAnsi="Cambria" w:cs="Calibri"/>
                <w:b/>
                <w:bCs/>
                <w:color w:val="000000"/>
                <w:sz w:val="18"/>
                <w:szCs w:val="18"/>
              </w:rPr>
              <w:t>Morocco</w:t>
            </w:r>
          </w:p>
        </w:tc>
        <w:tc>
          <w:tcPr>
            <w:tcW w:w="914" w:type="dxa"/>
            <w:tcBorders>
              <w:bottom w:val="single" w:sz="4" w:space="0" w:color="auto"/>
            </w:tcBorders>
            <w:noWrap/>
            <w:vAlign w:val="center"/>
          </w:tcPr>
          <w:p w14:paraId="67807FFD" w14:textId="3BAAA20E"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Yes</w:t>
            </w:r>
          </w:p>
        </w:tc>
        <w:tc>
          <w:tcPr>
            <w:tcW w:w="1026" w:type="dxa"/>
            <w:tcBorders>
              <w:bottom w:val="single" w:sz="4" w:space="0" w:color="auto"/>
            </w:tcBorders>
            <w:vAlign w:val="center"/>
          </w:tcPr>
          <w:p w14:paraId="47BAF343" w14:textId="1847BC23" w:rsidR="00F8000D" w:rsidRPr="00CD62D8" w:rsidRDefault="00690694"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 xml:space="preserve">1,186 </w:t>
            </w:r>
            <w:r w:rsidR="00F8000D" w:rsidRPr="00CD62D8">
              <w:rPr>
                <w:rFonts w:ascii="Cambria" w:eastAsia="Times New Roman" w:hAnsi="Cambria" w:cs="Calibri"/>
                <w:color w:val="000000"/>
                <w:sz w:val="18"/>
                <w:szCs w:val="18"/>
              </w:rPr>
              <w:t>(</w:t>
            </w:r>
            <w:r w:rsidRPr="00CD62D8">
              <w:rPr>
                <w:rFonts w:ascii="Cambria" w:eastAsia="Times New Roman" w:hAnsi="Cambria" w:cs="Calibri"/>
                <w:color w:val="000000"/>
                <w:sz w:val="18"/>
                <w:szCs w:val="18"/>
              </w:rPr>
              <w:t xml:space="preserve">1,388.43 </w:t>
            </w:r>
            <w:r w:rsidR="00F8000D" w:rsidRPr="00CD62D8">
              <w:rPr>
                <w:rFonts w:ascii="Cambria" w:eastAsia="Times New Roman" w:hAnsi="Cambria" w:cs="Calibri"/>
                <w:color w:val="000000"/>
                <w:sz w:val="18"/>
                <w:szCs w:val="18"/>
              </w:rPr>
              <w:t>adjusted*)</w:t>
            </w:r>
          </w:p>
        </w:tc>
        <w:tc>
          <w:tcPr>
            <w:tcW w:w="841" w:type="dxa"/>
            <w:tcBorders>
              <w:bottom w:val="single" w:sz="4" w:space="0" w:color="auto"/>
            </w:tcBorders>
            <w:noWrap/>
            <w:vAlign w:val="center"/>
          </w:tcPr>
          <w:p w14:paraId="6E4DE9C7" w14:textId="13095259"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86</w:t>
            </w:r>
            <w:r w:rsidR="00690694" w:rsidRPr="00CD62D8">
              <w:rPr>
                <w:rFonts w:ascii="Cambria" w:eastAsia="Times New Roman" w:hAnsi="Cambria" w:cs="Calibri"/>
                <w:color w:val="000000"/>
                <w:sz w:val="18"/>
                <w:szCs w:val="18"/>
              </w:rPr>
              <w:t>0</w:t>
            </w:r>
          </w:p>
          <w:p w14:paraId="6A132FD2" w14:textId="73D05C80"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530</w:t>
            </w:r>
          </w:p>
        </w:tc>
        <w:tc>
          <w:tcPr>
            <w:tcW w:w="728" w:type="dxa"/>
            <w:tcBorders>
              <w:bottom w:val="single" w:sz="4" w:space="0" w:color="auto"/>
            </w:tcBorders>
            <w:noWrap/>
            <w:vAlign w:val="center"/>
          </w:tcPr>
          <w:p w14:paraId="222E08C7"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p w14:paraId="7D1E8D5C" w14:textId="183818C3"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HL</w:t>
            </w:r>
          </w:p>
        </w:tc>
        <w:tc>
          <w:tcPr>
            <w:tcW w:w="851" w:type="dxa"/>
            <w:tcBorders>
              <w:bottom w:val="single" w:sz="4" w:space="0" w:color="auto"/>
            </w:tcBorders>
            <w:noWrap/>
            <w:vAlign w:val="center"/>
          </w:tcPr>
          <w:p w14:paraId="0791AF70" w14:textId="67A8ECAF" w:rsidR="00F8000D" w:rsidRPr="00CD62D8" w:rsidRDefault="00690694"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738</w:t>
            </w:r>
          </w:p>
          <w:p w14:paraId="18220F37" w14:textId="568CD2EF" w:rsidR="00F8000D" w:rsidRPr="00CD62D8" w:rsidRDefault="00690694"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650</w:t>
            </w:r>
          </w:p>
        </w:tc>
        <w:tc>
          <w:tcPr>
            <w:tcW w:w="992" w:type="dxa"/>
            <w:tcBorders>
              <w:bottom w:val="single" w:sz="4" w:space="0" w:color="auto"/>
            </w:tcBorders>
            <w:noWrap/>
            <w:vAlign w:val="center"/>
          </w:tcPr>
          <w:p w14:paraId="653356CE"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880</w:t>
            </w:r>
          </w:p>
          <w:p w14:paraId="6DAE7024" w14:textId="73850119" w:rsidR="00F8000D" w:rsidRPr="00CD62D8" w:rsidRDefault="00690694"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1000</w:t>
            </w:r>
          </w:p>
        </w:tc>
        <w:tc>
          <w:tcPr>
            <w:tcW w:w="739" w:type="dxa"/>
            <w:tcBorders>
              <w:bottom w:val="single" w:sz="4" w:space="0" w:color="auto"/>
            </w:tcBorders>
            <w:noWrap/>
            <w:vAlign w:val="center"/>
          </w:tcPr>
          <w:p w14:paraId="0107565D" w14:textId="77777777"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LL</w:t>
            </w:r>
          </w:p>
          <w:p w14:paraId="58111A00" w14:textId="4BC372AD"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HL</w:t>
            </w:r>
          </w:p>
        </w:tc>
        <w:tc>
          <w:tcPr>
            <w:tcW w:w="973" w:type="dxa"/>
            <w:tcBorders>
              <w:bottom w:val="single" w:sz="4" w:space="0" w:color="auto"/>
            </w:tcBorders>
            <w:noWrap/>
            <w:vAlign w:val="center"/>
          </w:tcPr>
          <w:p w14:paraId="0F638FF5" w14:textId="508819F6" w:rsidR="00F8000D" w:rsidRPr="00CD62D8" w:rsidRDefault="00690694"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600</w:t>
            </w:r>
          </w:p>
          <w:p w14:paraId="231F54D5" w14:textId="4BCA3A8C" w:rsidR="00F8000D" w:rsidRPr="00CD62D8" w:rsidRDefault="00F8000D" w:rsidP="00102FBE">
            <w:pPr>
              <w:spacing w:after="0" w:line="240" w:lineRule="auto"/>
              <w:jc w:val="center"/>
              <w:rPr>
                <w:rFonts w:ascii="Cambria" w:eastAsia="Times New Roman" w:hAnsi="Cambria" w:cs="Calibri"/>
                <w:color w:val="000000"/>
                <w:sz w:val="18"/>
                <w:szCs w:val="18"/>
              </w:rPr>
            </w:pPr>
            <w:r w:rsidRPr="00CD62D8">
              <w:rPr>
                <w:rFonts w:ascii="Cambria" w:eastAsia="Times New Roman" w:hAnsi="Cambria" w:cs="Calibri"/>
                <w:color w:val="000000"/>
                <w:sz w:val="18"/>
                <w:szCs w:val="18"/>
              </w:rPr>
              <w:t>700</w:t>
            </w:r>
          </w:p>
        </w:tc>
        <w:tc>
          <w:tcPr>
            <w:tcW w:w="2966" w:type="dxa"/>
            <w:tcBorders>
              <w:bottom w:val="single" w:sz="4" w:space="0" w:color="auto"/>
            </w:tcBorders>
          </w:tcPr>
          <w:p w14:paraId="5AE8DE83" w14:textId="5FC8AC09" w:rsidR="00134FA1" w:rsidRPr="00CD62D8" w:rsidRDefault="00134FA1" w:rsidP="00134FA1">
            <w:pPr>
              <w:spacing w:after="0" w:line="240" w:lineRule="auto"/>
              <w:jc w:val="both"/>
              <w:rPr>
                <w:rFonts w:ascii="Cambria" w:hAnsi="Cambria"/>
                <w:sz w:val="20"/>
                <w:szCs w:val="20"/>
              </w:rPr>
            </w:pPr>
            <w:r w:rsidRPr="00CD62D8">
              <w:rPr>
                <w:rFonts w:ascii="Cambria" w:hAnsi="Cambria"/>
                <w:sz w:val="20"/>
                <w:szCs w:val="20"/>
              </w:rPr>
              <w:t>1</w:t>
            </w:r>
            <w:r w:rsidR="00DC21B7" w:rsidRPr="00CD62D8">
              <w:rPr>
                <w:rFonts w:ascii="Cambria" w:hAnsi="Cambria"/>
                <w:sz w:val="20"/>
                <w:szCs w:val="20"/>
              </w:rPr>
              <w:t>.</w:t>
            </w:r>
            <w:r w:rsidRPr="00CD62D8">
              <w:rPr>
                <w:rFonts w:ascii="Cambria" w:hAnsi="Cambria"/>
                <w:sz w:val="20"/>
                <w:szCs w:val="20"/>
              </w:rPr>
              <w:t xml:space="preserve"> Ministerial Decree No. </w:t>
            </w:r>
            <w:proofErr w:type="gramStart"/>
            <w:r w:rsidRPr="00CD62D8">
              <w:rPr>
                <w:rFonts w:ascii="Cambria" w:hAnsi="Cambria"/>
                <w:sz w:val="20"/>
                <w:szCs w:val="20"/>
              </w:rPr>
              <w:t>1112</w:t>
            </w:r>
            <w:r w:rsidR="00922089" w:rsidRPr="00CD62D8">
              <w:rPr>
                <w:rFonts w:ascii="Cambria" w:hAnsi="Cambria"/>
                <w:sz w:val="20"/>
                <w:szCs w:val="20"/>
              </w:rPr>
              <w:noBreakHyphen/>
            </w:r>
            <w:r w:rsidRPr="00CD62D8">
              <w:rPr>
                <w:rFonts w:ascii="Cambria" w:hAnsi="Cambria"/>
                <w:sz w:val="20"/>
                <w:szCs w:val="20"/>
              </w:rPr>
              <w:t>22</w:t>
            </w:r>
            <w:proofErr w:type="gramEnd"/>
            <w:r w:rsidRPr="00CD62D8">
              <w:rPr>
                <w:rFonts w:ascii="Cambria" w:hAnsi="Cambria"/>
                <w:sz w:val="20"/>
                <w:szCs w:val="20"/>
              </w:rPr>
              <w:t xml:space="preserve"> of 14 April 2022 on the management and development plan for swordfish (</w:t>
            </w:r>
            <w:r w:rsidRPr="00CD62D8">
              <w:rPr>
                <w:rFonts w:ascii="Cambria" w:hAnsi="Cambria"/>
                <w:i/>
                <w:iCs/>
                <w:sz w:val="20"/>
                <w:szCs w:val="20"/>
              </w:rPr>
              <w:t>Xiphias gladius</w:t>
            </w:r>
            <w:r w:rsidRPr="00CD62D8">
              <w:rPr>
                <w:rFonts w:ascii="Cambria" w:hAnsi="Cambria"/>
                <w:sz w:val="20"/>
                <w:szCs w:val="20"/>
              </w:rPr>
              <w:t>) fisheries.</w:t>
            </w:r>
          </w:p>
          <w:p w14:paraId="32AD2C4B" w14:textId="77777777" w:rsidR="00134FA1" w:rsidRPr="00CD62D8" w:rsidRDefault="00134FA1" w:rsidP="00134FA1">
            <w:pPr>
              <w:spacing w:after="0" w:line="240" w:lineRule="auto"/>
              <w:jc w:val="both"/>
              <w:rPr>
                <w:rFonts w:ascii="Cambria" w:hAnsi="Cambria"/>
                <w:sz w:val="20"/>
                <w:szCs w:val="20"/>
              </w:rPr>
            </w:pPr>
          </w:p>
          <w:p w14:paraId="388917E2" w14:textId="16ECF9E4"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2</w:t>
            </w:r>
            <w:r w:rsidR="0062579B" w:rsidRPr="00CD62D8">
              <w:rPr>
                <w:rFonts w:ascii="Cambria" w:hAnsi="Cambria"/>
                <w:sz w:val="20"/>
                <w:szCs w:val="20"/>
              </w:rPr>
              <w:t>.</w:t>
            </w:r>
            <w:r w:rsidR="00134FA1" w:rsidRPr="00CD62D8">
              <w:rPr>
                <w:rFonts w:ascii="Cambria" w:hAnsi="Cambria"/>
                <w:sz w:val="20"/>
                <w:szCs w:val="20"/>
              </w:rPr>
              <w:t xml:space="preserve"> Monitoring and management of consumption of the quota allocated to Morocco by ICCAT at the central level via the Maritime Fisheries Delegations responsible for the control and certification of catches and the National Fisheries Office </w:t>
            </w:r>
            <w:r w:rsidR="009B1BBD" w:rsidRPr="00CD62D8">
              <w:rPr>
                <w:rFonts w:ascii="Cambria" w:hAnsi="Cambria"/>
                <w:sz w:val="20"/>
                <w:szCs w:val="20"/>
              </w:rPr>
              <w:t>r</w:t>
            </w:r>
            <w:r w:rsidR="00134FA1" w:rsidRPr="00CD62D8">
              <w:rPr>
                <w:rFonts w:ascii="Cambria" w:hAnsi="Cambria"/>
                <w:sz w:val="20"/>
                <w:szCs w:val="20"/>
              </w:rPr>
              <w:t xml:space="preserve">esponsible for </w:t>
            </w:r>
            <w:r w:rsidR="00367D38">
              <w:rPr>
                <w:rFonts w:ascii="Cambria" w:hAnsi="Cambria"/>
                <w:sz w:val="20"/>
                <w:szCs w:val="20"/>
              </w:rPr>
              <w:t>trade</w:t>
            </w:r>
            <w:r w:rsidR="00134FA1" w:rsidRPr="00CD62D8">
              <w:rPr>
                <w:rFonts w:ascii="Cambria" w:hAnsi="Cambria"/>
                <w:sz w:val="20"/>
                <w:szCs w:val="20"/>
              </w:rPr>
              <w:t>.</w:t>
            </w:r>
          </w:p>
          <w:p w14:paraId="7E65FC62" w14:textId="77777777" w:rsidR="00134FA1" w:rsidRPr="00CD62D8" w:rsidRDefault="00134FA1" w:rsidP="00134FA1">
            <w:pPr>
              <w:spacing w:after="0" w:line="240" w:lineRule="auto"/>
              <w:jc w:val="both"/>
              <w:rPr>
                <w:rFonts w:ascii="Cambria" w:hAnsi="Cambria"/>
                <w:sz w:val="20"/>
                <w:szCs w:val="20"/>
              </w:rPr>
            </w:pPr>
            <w:r w:rsidRPr="00CD62D8">
              <w:rPr>
                <w:rFonts w:ascii="Cambria" w:hAnsi="Cambria"/>
                <w:sz w:val="20"/>
                <w:szCs w:val="20"/>
              </w:rPr>
              <w:tab/>
            </w:r>
          </w:p>
          <w:p w14:paraId="29904027" w14:textId="57E62CCF" w:rsidR="00134FA1" w:rsidRPr="00CD62D8" w:rsidRDefault="00922089" w:rsidP="009B1BBD">
            <w:pPr>
              <w:tabs>
                <w:tab w:val="left" w:pos="307"/>
              </w:tabs>
              <w:spacing w:after="0" w:line="240" w:lineRule="auto"/>
              <w:jc w:val="both"/>
              <w:rPr>
                <w:rFonts w:ascii="Cambria" w:hAnsi="Cambria"/>
                <w:sz w:val="20"/>
                <w:szCs w:val="20"/>
              </w:rPr>
            </w:pPr>
            <w:r w:rsidRPr="00CD62D8">
              <w:rPr>
                <w:rFonts w:ascii="Cambria" w:hAnsi="Cambria"/>
                <w:sz w:val="20"/>
                <w:szCs w:val="20"/>
              </w:rPr>
              <w:t>3</w:t>
            </w:r>
            <w:r w:rsidR="009B1BBD" w:rsidRPr="00CD62D8">
              <w:rPr>
                <w:rFonts w:ascii="Cambria" w:hAnsi="Cambria"/>
                <w:sz w:val="20"/>
                <w:szCs w:val="20"/>
              </w:rPr>
              <w:t xml:space="preserve">. </w:t>
            </w:r>
            <w:r w:rsidR="00134FA1" w:rsidRPr="00CD62D8">
              <w:rPr>
                <w:rFonts w:ascii="Cambria" w:hAnsi="Cambria"/>
                <w:sz w:val="20"/>
                <w:szCs w:val="20"/>
              </w:rPr>
              <w:t xml:space="preserve">Monitoring of </w:t>
            </w:r>
            <w:r w:rsidR="00F87314" w:rsidRPr="00CD62D8">
              <w:rPr>
                <w:rFonts w:ascii="Cambria" w:hAnsi="Cambria"/>
                <w:sz w:val="20"/>
                <w:szCs w:val="20"/>
              </w:rPr>
              <w:t>compliance with</w:t>
            </w:r>
            <w:r w:rsidR="00134FA1" w:rsidRPr="00CD62D8">
              <w:rPr>
                <w:rFonts w:ascii="Cambria" w:hAnsi="Cambria"/>
                <w:sz w:val="20"/>
                <w:szCs w:val="20"/>
              </w:rPr>
              <w:t xml:space="preserve"> ICCAT provisions transposed into Ministerial Decree No. 1112-22 of 14 April 2022 </w:t>
            </w:r>
            <w:r w:rsidR="00A24CDD" w:rsidRPr="00CD62D8">
              <w:rPr>
                <w:rFonts w:ascii="Cambria" w:hAnsi="Cambria"/>
                <w:sz w:val="20"/>
                <w:szCs w:val="20"/>
              </w:rPr>
              <w:t>regulating</w:t>
            </w:r>
            <w:r w:rsidR="00134FA1" w:rsidRPr="00CD62D8">
              <w:rPr>
                <w:rFonts w:ascii="Cambria" w:hAnsi="Cambria"/>
                <w:sz w:val="20"/>
                <w:szCs w:val="20"/>
              </w:rPr>
              <w:t xml:space="preserve"> swordfish fishing in the North Atlantic and the Moroccan Mediterranean.</w:t>
            </w:r>
          </w:p>
          <w:p w14:paraId="2A0D7C6E" w14:textId="77777777" w:rsidR="00922089" w:rsidRPr="00CD62D8" w:rsidRDefault="00922089" w:rsidP="00134FA1">
            <w:pPr>
              <w:spacing w:after="0" w:line="240" w:lineRule="auto"/>
              <w:jc w:val="both"/>
              <w:rPr>
                <w:rFonts w:ascii="Cambria" w:hAnsi="Cambria"/>
                <w:sz w:val="20"/>
                <w:szCs w:val="20"/>
              </w:rPr>
            </w:pPr>
          </w:p>
          <w:p w14:paraId="14E37526" w14:textId="6A3CD1F9"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4</w:t>
            </w:r>
            <w:r w:rsidR="003F51A3" w:rsidRPr="00CD62D8">
              <w:rPr>
                <w:rFonts w:ascii="Cambria" w:hAnsi="Cambria"/>
                <w:sz w:val="20"/>
                <w:szCs w:val="20"/>
              </w:rPr>
              <w:t>.</w:t>
            </w:r>
            <w:r w:rsidR="00134FA1" w:rsidRPr="00CD62D8">
              <w:rPr>
                <w:rFonts w:ascii="Cambria" w:hAnsi="Cambria"/>
                <w:sz w:val="20"/>
                <w:szCs w:val="20"/>
              </w:rPr>
              <w:t xml:space="preserve"> Registration in the ICCAT </w:t>
            </w:r>
            <w:r w:rsidR="00A24CDD" w:rsidRPr="00CD62D8">
              <w:rPr>
                <w:rFonts w:ascii="Cambria" w:hAnsi="Cambria"/>
                <w:sz w:val="20"/>
                <w:szCs w:val="20"/>
              </w:rPr>
              <w:t>Record</w:t>
            </w:r>
            <w:r w:rsidR="00134FA1" w:rsidRPr="00CD62D8">
              <w:rPr>
                <w:rFonts w:ascii="Cambria" w:hAnsi="Cambria"/>
                <w:sz w:val="20"/>
                <w:szCs w:val="20"/>
              </w:rPr>
              <w:t xml:space="preserve"> of vessels </w:t>
            </w:r>
            <w:r w:rsidR="00A24CDD" w:rsidRPr="00CD62D8">
              <w:rPr>
                <w:rFonts w:ascii="Cambria" w:hAnsi="Cambria"/>
                <w:sz w:val="20"/>
                <w:szCs w:val="20"/>
              </w:rPr>
              <w:t>greater than</w:t>
            </w:r>
            <w:r w:rsidR="00134FA1" w:rsidRPr="00CD62D8">
              <w:rPr>
                <w:rFonts w:ascii="Cambria" w:hAnsi="Cambria"/>
                <w:sz w:val="20"/>
                <w:szCs w:val="20"/>
              </w:rPr>
              <w:t xml:space="preserve"> 20 m likely to catch North Atlantic swordfish.</w:t>
            </w:r>
          </w:p>
          <w:p w14:paraId="4B65F4B9" w14:textId="77777777" w:rsidR="00922089" w:rsidRPr="00CD62D8" w:rsidRDefault="00922089" w:rsidP="00134FA1">
            <w:pPr>
              <w:spacing w:after="0" w:line="240" w:lineRule="auto"/>
              <w:jc w:val="both"/>
              <w:rPr>
                <w:rFonts w:ascii="Cambria" w:hAnsi="Cambria"/>
                <w:sz w:val="20"/>
                <w:szCs w:val="20"/>
              </w:rPr>
            </w:pPr>
          </w:p>
          <w:p w14:paraId="3362EDAE" w14:textId="77777777" w:rsidR="00A17A3A" w:rsidRPr="00CD62D8" w:rsidRDefault="00A17A3A" w:rsidP="00134FA1">
            <w:pPr>
              <w:spacing w:after="0" w:line="240" w:lineRule="auto"/>
              <w:jc w:val="both"/>
              <w:rPr>
                <w:rFonts w:ascii="Cambria" w:hAnsi="Cambria"/>
                <w:sz w:val="20"/>
                <w:szCs w:val="20"/>
              </w:rPr>
            </w:pPr>
          </w:p>
          <w:p w14:paraId="721A6882" w14:textId="77777777" w:rsidR="00A17A3A" w:rsidRPr="00CD62D8" w:rsidRDefault="00A17A3A" w:rsidP="00134FA1">
            <w:pPr>
              <w:spacing w:after="0" w:line="240" w:lineRule="auto"/>
              <w:jc w:val="both"/>
              <w:rPr>
                <w:rFonts w:ascii="Cambria" w:hAnsi="Cambria"/>
                <w:sz w:val="20"/>
                <w:szCs w:val="20"/>
              </w:rPr>
            </w:pPr>
          </w:p>
          <w:p w14:paraId="4BA21F7B" w14:textId="0489B2BB"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lastRenderedPageBreak/>
              <w:t>5</w:t>
            </w:r>
            <w:r w:rsidR="00A17A3A" w:rsidRPr="00CD62D8">
              <w:rPr>
                <w:rFonts w:ascii="Cambria" w:hAnsi="Cambria"/>
                <w:sz w:val="20"/>
                <w:szCs w:val="20"/>
              </w:rPr>
              <w:t>.</w:t>
            </w:r>
            <w:r w:rsidR="00134FA1" w:rsidRPr="00CD62D8">
              <w:rPr>
                <w:rFonts w:ascii="Cambria" w:hAnsi="Cambria"/>
                <w:sz w:val="20"/>
                <w:szCs w:val="20"/>
              </w:rPr>
              <w:t xml:space="preserve"> </w:t>
            </w:r>
            <w:r w:rsidR="005F0E69" w:rsidRPr="00CD62D8">
              <w:rPr>
                <w:rFonts w:ascii="Cambria" w:hAnsi="Cambria"/>
                <w:sz w:val="20"/>
                <w:szCs w:val="20"/>
              </w:rPr>
              <w:t xml:space="preserve">Royal </w:t>
            </w:r>
            <w:r w:rsidR="002B4D2F" w:rsidRPr="00CD62D8">
              <w:rPr>
                <w:rFonts w:ascii="Cambria" w:hAnsi="Cambria"/>
                <w:sz w:val="20"/>
                <w:szCs w:val="20"/>
              </w:rPr>
              <w:t>Order</w:t>
            </w:r>
            <w:r w:rsidR="00134FA1" w:rsidRPr="00CD62D8">
              <w:rPr>
                <w:rFonts w:ascii="Cambria" w:hAnsi="Cambria"/>
                <w:sz w:val="20"/>
                <w:szCs w:val="20"/>
              </w:rPr>
              <w:t xml:space="preserve"> </w:t>
            </w:r>
            <w:r w:rsidR="0026010A" w:rsidRPr="00CD62D8">
              <w:rPr>
                <w:rFonts w:ascii="Cambria" w:hAnsi="Cambria"/>
                <w:sz w:val="20"/>
                <w:szCs w:val="20"/>
              </w:rPr>
              <w:t>concerning</w:t>
            </w:r>
            <w:r w:rsidR="00134FA1" w:rsidRPr="00CD62D8">
              <w:rPr>
                <w:rFonts w:ascii="Cambria" w:hAnsi="Cambria"/>
                <w:sz w:val="20"/>
                <w:szCs w:val="20"/>
              </w:rPr>
              <w:t xml:space="preserve"> Law No.</w:t>
            </w:r>
            <w:r w:rsidRPr="00CD62D8">
              <w:rPr>
                <w:rFonts w:ascii="Cambria" w:hAnsi="Cambria"/>
                <w:sz w:val="20"/>
                <w:szCs w:val="20"/>
              </w:rPr>
              <w:t> </w:t>
            </w:r>
            <w:r w:rsidR="00134FA1" w:rsidRPr="00CD62D8">
              <w:rPr>
                <w:rFonts w:ascii="Cambria" w:hAnsi="Cambria"/>
                <w:sz w:val="20"/>
                <w:szCs w:val="20"/>
              </w:rPr>
              <w:t>1</w:t>
            </w:r>
            <w:r w:rsidRPr="00CD62D8">
              <w:rPr>
                <w:rFonts w:ascii="Cambria" w:hAnsi="Cambria"/>
                <w:sz w:val="20"/>
                <w:szCs w:val="20"/>
              </w:rPr>
              <w:noBreakHyphen/>
            </w:r>
            <w:r w:rsidR="00134FA1" w:rsidRPr="00CD62D8">
              <w:rPr>
                <w:rFonts w:ascii="Cambria" w:hAnsi="Cambria"/>
                <w:sz w:val="20"/>
                <w:szCs w:val="20"/>
              </w:rPr>
              <w:t>73</w:t>
            </w:r>
            <w:r w:rsidRPr="00CD62D8">
              <w:rPr>
                <w:rFonts w:ascii="Cambria" w:hAnsi="Cambria"/>
                <w:sz w:val="20"/>
                <w:szCs w:val="20"/>
              </w:rPr>
              <w:noBreakHyphen/>
            </w:r>
            <w:r w:rsidR="00134FA1" w:rsidRPr="00CD62D8">
              <w:rPr>
                <w:rFonts w:ascii="Cambria" w:hAnsi="Cambria"/>
                <w:sz w:val="20"/>
                <w:szCs w:val="20"/>
              </w:rPr>
              <w:t xml:space="preserve">255 of 27 </w:t>
            </w:r>
            <w:proofErr w:type="spellStart"/>
            <w:r w:rsidR="00134FA1" w:rsidRPr="00CD62D8">
              <w:rPr>
                <w:rFonts w:ascii="Cambria" w:hAnsi="Cambria"/>
                <w:sz w:val="20"/>
                <w:szCs w:val="20"/>
              </w:rPr>
              <w:t>Chaoual</w:t>
            </w:r>
            <w:proofErr w:type="spellEnd"/>
            <w:r w:rsidR="00134FA1" w:rsidRPr="00CD62D8">
              <w:rPr>
                <w:rFonts w:ascii="Cambria" w:hAnsi="Cambria"/>
                <w:sz w:val="20"/>
                <w:szCs w:val="20"/>
              </w:rPr>
              <w:t xml:space="preserve"> 1393 (23 November 1973) establishing regulations on </w:t>
            </w:r>
            <w:r w:rsidR="00486FD8" w:rsidRPr="00CD62D8">
              <w:rPr>
                <w:rFonts w:ascii="Cambria" w:hAnsi="Cambria"/>
                <w:sz w:val="20"/>
                <w:szCs w:val="20"/>
              </w:rPr>
              <w:t>mari</w:t>
            </w:r>
            <w:r w:rsidR="00CC3923" w:rsidRPr="00CD62D8">
              <w:rPr>
                <w:rFonts w:ascii="Cambria" w:hAnsi="Cambria"/>
                <w:sz w:val="20"/>
                <w:szCs w:val="20"/>
              </w:rPr>
              <w:t>ne</w:t>
            </w:r>
            <w:r w:rsidR="00134FA1" w:rsidRPr="00CD62D8">
              <w:rPr>
                <w:rFonts w:ascii="Cambria" w:hAnsi="Cambria"/>
                <w:sz w:val="20"/>
                <w:szCs w:val="20"/>
              </w:rPr>
              <w:t xml:space="preserve"> fishing, as amended and supplemented.</w:t>
            </w:r>
          </w:p>
          <w:p w14:paraId="259E9ACF" w14:textId="77777777" w:rsidR="00134FA1" w:rsidRPr="00CD62D8" w:rsidRDefault="00134FA1" w:rsidP="00134FA1">
            <w:pPr>
              <w:spacing w:after="0" w:line="240" w:lineRule="auto"/>
              <w:jc w:val="both"/>
              <w:rPr>
                <w:rFonts w:ascii="Cambria" w:hAnsi="Cambria"/>
                <w:sz w:val="12"/>
                <w:szCs w:val="12"/>
              </w:rPr>
            </w:pPr>
          </w:p>
          <w:p w14:paraId="50A5CAF8" w14:textId="2212BDB6"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6</w:t>
            </w:r>
            <w:r w:rsidR="002B4D2F" w:rsidRPr="00CD62D8">
              <w:rPr>
                <w:rFonts w:ascii="Cambria" w:hAnsi="Cambria"/>
                <w:sz w:val="20"/>
                <w:szCs w:val="20"/>
              </w:rPr>
              <w:t>.</w:t>
            </w:r>
            <w:r w:rsidR="00134FA1" w:rsidRPr="00CD62D8">
              <w:rPr>
                <w:rFonts w:ascii="Cambria" w:hAnsi="Cambria"/>
                <w:sz w:val="20"/>
                <w:szCs w:val="20"/>
              </w:rPr>
              <w:t xml:space="preserve"> </w:t>
            </w:r>
            <w:r w:rsidR="005F0E69" w:rsidRPr="00CD62D8">
              <w:rPr>
                <w:rFonts w:ascii="Cambria" w:hAnsi="Cambria"/>
                <w:sz w:val="20"/>
                <w:szCs w:val="20"/>
              </w:rPr>
              <w:t xml:space="preserve">Royal </w:t>
            </w:r>
            <w:r w:rsidR="002B4D2F" w:rsidRPr="00CD62D8">
              <w:rPr>
                <w:rFonts w:ascii="Cambria" w:hAnsi="Cambria"/>
                <w:sz w:val="20"/>
                <w:szCs w:val="20"/>
              </w:rPr>
              <w:t>Order</w:t>
            </w:r>
            <w:r w:rsidR="00134FA1" w:rsidRPr="00CD62D8">
              <w:rPr>
                <w:rFonts w:ascii="Cambria" w:hAnsi="Cambria"/>
                <w:sz w:val="20"/>
                <w:szCs w:val="20"/>
              </w:rPr>
              <w:t xml:space="preserve"> No. 1-14-95 of 12 May 2014</w:t>
            </w:r>
            <w:r w:rsidR="00BD4008" w:rsidRPr="00CD62D8">
              <w:rPr>
                <w:rFonts w:ascii="Cambria" w:hAnsi="Cambria"/>
                <w:sz w:val="20"/>
                <w:szCs w:val="20"/>
              </w:rPr>
              <w:t xml:space="preserve"> which</w:t>
            </w:r>
            <w:r w:rsidR="00553548" w:rsidRPr="00CD62D8">
              <w:rPr>
                <w:rFonts w:ascii="Cambria" w:hAnsi="Cambria"/>
                <w:sz w:val="20"/>
                <w:szCs w:val="20"/>
              </w:rPr>
              <w:t xml:space="preserve"> concern</w:t>
            </w:r>
            <w:r w:rsidR="00BD4008" w:rsidRPr="00CD62D8">
              <w:rPr>
                <w:rFonts w:ascii="Cambria" w:hAnsi="Cambria"/>
                <w:sz w:val="20"/>
                <w:szCs w:val="20"/>
              </w:rPr>
              <w:t xml:space="preserve">s </w:t>
            </w:r>
            <w:proofErr w:type="gramStart"/>
            <w:r w:rsidR="00BD4008" w:rsidRPr="00CD62D8">
              <w:rPr>
                <w:rFonts w:ascii="Cambria" w:hAnsi="Cambria"/>
                <w:sz w:val="20"/>
                <w:szCs w:val="20"/>
              </w:rPr>
              <w:t xml:space="preserve">the  </w:t>
            </w:r>
            <w:r w:rsidR="00134FA1" w:rsidRPr="00CD62D8">
              <w:rPr>
                <w:rFonts w:ascii="Cambria" w:hAnsi="Cambria"/>
                <w:sz w:val="20"/>
                <w:szCs w:val="20"/>
              </w:rPr>
              <w:t>promulgat</w:t>
            </w:r>
            <w:r w:rsidR="00553548" w:rsidRPr="00CD62D8">
              <w:rPr>
                <w:rFonts w:ascii="Cambria" w:hAnsi="Cambria"/>
                <w:sz w:val="20"/>
                <w:szCs w:val="20"/>
              </w:rPr>
              <w:t>ion</w:t>
            </w:r>
            <w:proofErr w:type="gramEnd"/>
            <w:r w:rsidR="00553548" w:rsidRPr="00CD62D8">
              <w:rPr>
                <w:rFonts w:ascii="Cambria" w:hAnsi="Cambria"/>
                <w:sz w:val="20"/>
                <w:szCs w:val="20"/>
              </w:rPr>
              <w:t xml:space="preserve"> of</w:t>
            </w:r>
            <w:r w:rsidR="00134FA1" w:rsidRPr="00CD62D8">
              <w:rPr>
                <w:rFonts w:ascii="Cambria" w:hAnsi="Cambria"/>
                <w:sz w:val="20"/>
                <w:szCs w:val="20"/>
              </w:rPr>
              <w:t xml:space="preserve"> Law No.</w:t>
            </w:r>
            <w:r w:rsidRPr="00CD62D8">
              <w:rPr>
                <w:rFonts w:ascii="Cambria" w:hAnsi="Cambria"/>
                <w:sz w:val="20"/>
                <w:szCs w:val="20"/>
              </w:rPr>
              <w:t> </w:t>
            </w:r>
            <w:r w:rsidR="00134FA1" w:rsidRPr="00CD62D8">
              <w:rPr>
                <w:rFonts w:ascii="Cambria" w:hAnsi="Cambria"/>
                <w:sz w:val="20"/>
                <w:szCs w:val="20"/>
              </w:rPr>
              <w:t>15</w:t>
            </w:r>
            <w:r w:rsidRPr="00CD62D8">
              <w:rPr>
                <w:rFonts w:ascii="Cambria" w:hAnsi="Cambria"/>
                <w:sz w:val="20"/>
                <w:szCs w:val="20"/>
              </w:rPr>
              <w:noBreakHyphen/>
            </w:r>
            <w:r w:rsidR="00134FA1" w:rsidRPr="00CD62D8">
              <w:rPr>
                <w:rFonts w:ascii="Cambria" w:hAnsi="Cambria"/>
                <w:sz w:val="20"/>
                <w:szCs w:val="20"/>
              </w:rPr>
              <w:t xml:space="preserve">12 on the prevention and </w:t>
            </w:r>
            <w:r w:rsidR="003F7BA3" w:rsidRPr="00CD62D8">
              <w:rPr>
                <w:rFonts w:ascii="Cambria" w:hAnsi="Cambria"/>
                <w:sz w:val="20"/>
                <w:szCs w:val="20"/>
              </w:rPr>
              <w:t>fight against</w:t>
            </w:r>
            <w:r w:rsidR="00134FA1" w:rsidRPr="00CD62D8">
              <w:rPr>
                <w:rFonts w:ascii="Cambria" w:hAnsi="Cambria"/>
                <w:sz w:val="20"/>
                <w:szCs w:val="20"/>
              </w:rPr>
              <w:t xml:space="preserve"> illegal, unreported</w:t>
            </w:r>
            <w:r w:rsidRPr="00CD62D8">
              <w:rPr>
                <w:rFonts w:ascii="Cambria" w:hAnsi="Cambria"/>
                <w:sz w:val="20"/>
                <w:szCs w:val="20"/>
              </w:rPr>
              <w:t>,</w:t>
            </w:r>
            <w:r w:rsidR="00134FA1" w:rsidRPr="00CD62D8">
              <w:rPr>
                <w:rFonts w:ascii="Cambria" w:hAnsi="Cambria"/>
                <w:sz w:val="20"/>
                <w:szCs w:val="20"/>
              </w:rPr>
              <w:t xml:space="preserve"> and unregulated fishing and amend</w:t>
            </w:r>
            <w:r w:rsidR="00BD4008" w:rsidRPr="00CD62D8">
              <w:rPr>
                <w:rFonts w:ascii="Cambria" w:hAnsi="Cambria"/>
                <w:sz w:val="20"/>
                <w:szCs w:val="20"/>
              </w:rPr>
              <w:t>s</w:t>
            </w:r>
            <w:r w:rsidR="00134FA1" w:rsidRPr="00CD62D8">
              <w:rPr>
                <w:rFonts w:ascii="Cambria" w:hAnsi="Cambria"/>
                <w:sz w:val="20"/>
                <w:szCs w:val="20"/>
              </w:rPr>
              <w:t xml:space="preserve"> and suppleme</w:t>
            </w:r>
            <w:r w:rsidR="00BD4008" w:rsidRPr="00CD62D8">
              <w:rPr>
                <w:rFonts w:ascii="Cambria" w:hAnsi="Cambria"/>
                <w:sz w:val="20"/>
                <w:szCs w:val="20"/>
              </w:rPr>
              <w:t>nts</w:t>
            </w:r>
            <w:r w:rsidR="00134FA1" w:rsidRPr="00CD62D8">
              <w:rPr>
                <w:rFonts w:ascii="Cambria" w:hAnsi="Cambria"/>
                <w:sz w:val="20"/>
                <w:szCs w:val="20"/>
              </w:rPr>
              <w:t xml:space="preserve"> </w:t>
            </w:r>
            <w:r w:rsidR="00215736">
              <w:rPr>
                <w:rFonts w:ascii="Cambria" w:hAnsi="Cambria"/>
                <w:sz w:val="20"/>
                <w:szCs w:val="20"/>
              </w:rPr>
              <w:t>Royal Order</w:t>
            </w:r>
            <w:r w:rsidR="00134FA1" w:rsidRPr="00CD62D8">
              <w:rPr>
                <w:rFonts w:ascii="Cambria" w:hAnsi="Cambria"/>
                <w:sz w:val="20"/>
                <w:szCs w:val="20"/>
              </w:rPr>
              <w:t xml:space="preserve"> No. 1-73-255 of 23 November 1973 establishing regulations on </w:t>
            </w:r>
            <w:r w:rsidR="005C2605" w:rsidRPr="00CD62D8">
              <w:rPr>
                <w:rFonts w:ascii="Cambria" w:hAnsi="Cambria"/>
                <w:sz w:val="20"/>
                <w:szCs w:val="20"/>
              </w:rPr>
              <w:t>mari</w:t>
            </w:r>
            <w:r w:rsidR="00CC3923" w:rsidRPr="00CD62D8">
              <w:rPr>
                <w:rFonts w:ascii="Cambria" w:hAnsi="Cambria"/>
                <w:sz w:val="20"/>
                <w:szCs w:val="20"/>
              </w:rPr>
              <w:t>ne</w:t>
            </w:r>
            <w:r w:rsidR="00134FA1" w:rsidRPr="00CD62D8">
              <w:rPr>
                <w:rFonts w:ascii="Cambria" w:hAnsi="Cambria"/>
                <w:sz w:val="20"/>
                <w:szCs w:val="20"/>
              </w:rPr>
              <w:t xml:space="preserve"> fishing.</w:t>
            </w:r>
          </w:p>
          <w:p w14:paraId="036868C9" w14:textId="77777777" w:rsidR="00134FA1" w:rsidRPr="00CD62D8" w:rsidRDefault="00134FA1" w:rsidP="00134FA1">
            <w:pPr>
              <w:spacing w:after="0" w:line="240" w:lineRule="auto"/>
              <w:jc w:val="both"/>
              <w:rPr>
                <w:rFonts w:ascii="Cambria" w:hAnsi="Cambria"/>
                <w:sz w:val="12"/>
                <w:szCs w:val="12"/>
              </w:rPr>
            </w:pPr>
          </w:p>
          <w:p w14:paraId="746044E0" w14:textId="62F664F1" w:rsidR="00140A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7</w:t>
            </w:r>
            <w:r w:rsidR="00CC3923" w:rsidRPr="00CD62D8">
              <w:rPr>
                <w:rFonts w:ascii="Cambria" w:hAnsi="Cambria"/>
                <w:sz w:val="20"/>
                <w:szCs w:val="20"/>
              </w:rPr>
              <w:t>.</w:t>
            </w:r>
            <w:r w:rsidR="00134FA1" w:rsidRPr="00CD62D8">
              <w:rPr>
                <w:rFonts w:ascii="Cambria" w:hAnsi="Cambria"/>
                <w:sz w:val="20"/>
                <w:szCs w:val="20"/>
              </w:rPr>
              <w:t xml:space="preserve"> Decree No. 2.18.104 of 10 December 2018</w:t>
            </w:r>
            <w:r w:rsidR="00B11103" w:rsidRPr="00CD62D8">
              <w:rPr>
                <w:rFonts w:ascii="Cambria" w:hAnsi="Cambria"/>
                <w:sz w:val="20"/>
                <w:szCs w:val="20"/>
              </w:rPr>
              <w:t xml:space="preserve"> which</w:t>
            </w:r>
            <w:r w:rsidR="00134FA1" w:rsidRPr="00CD62D8">
              <w:rPr>
                <w:rFonts w:ascii="Cambria" w:hAnsi="Cambria"/>
                <w:sz w:val="20"/>
                <w:szCs w:val="20"/>
              </w:rPr>
              <w:t xml:space="preserve"> amend</w:t>
            </w:r>
            <w:r w:rsidR="00B11103" w:rsidRPr="00CD62D8">
              <w:rPr>
                <w:rFonts w:ascii="Cambria" w:hAnsi="Cambria"/>
                <w:sz w:val="20"/>
                <w:szCs w:val="20"/>
              </w:rPr>
              <w:t>s</w:t>
            </w:r>
            <w:r w:rsidR="00134FA1" w:rsidRPr="00CD62D8">
              <w:rPr>
                <w:rFonts w:ascii="Cambria" w:hAnsi="Cambria"/>
                <w:sz w:val="20"/>
                <w:szCs w:val="20"/>
              </w:rPr>
              <w:t xml:space="preserve"> and supplement</w:t>
            </w:r>
            <w:r w:rsidR="00B11103" w:rsidRPr="00CD62D8">
              <w:rPr>
                <w:rFonts w:ascii="Cambria" w:hAnsi="Cambria"/>
                <w:sz w:val="20"/>
                <w:szCs w:val="20"/>
              </w:rPr>
              <w:t>s</w:t>
            </w:r>
            <w:r w:rsidR="00134FA1" w:rsidRPr="00CD62D8">
              <w:rPr>
                <w:rFonts w:ascii="Cambria" w:hAnsi="Cambria"/>
                <w:sz w:val="20"/>
                <w:szCs w:val="20"/>
              </w:rPr>
              <w:t xml:space="preserve"> Decree No.</w:t>
            </w:r>
            <w:r w:rsidRPr="00CD62D8">
              <w:rPr>
                <w:rFonts w:ascii="Cambria" w:hAnsi="Cambria"/>
                <w:sz w:val="20"/>
                <w:szCs w:val="20"/>
              </w:rPr>
              <w:t> </w:t>
            </w:r>
            <w:r w:rsidR="00134FA1" w:rsidRPr="00CD62D8">
              <w:rPr>
                <w:rFonts w:ascii="Cambria" w:hAnsi="Cambria"/>
                <w:sz w:val="20"/>
                <w:szCs w:val="20"/>
              </w:rPr>
              <w:t>2</w:t>
            </w:r>
            <w:r w:rsidRPr="00CD62D8">
              <w:rPr>
                <w:rFonts w:ascii="Cambria" w:hAnsi="Cambria"/>
                <w:sz w:val="20"/>
                <w:szCs w:val="20"/>
              </w:rPr>
              <w:noBreakHyphen/>
            </w:r>
            <w:r w:rsidR="00134FA1" w:rsidRPr="00CD62D8">
              <w:rPr>
                <w:rFonts w:ascii="Cambria" w:hAnsi="Cambria"/>
                <w:sz w:val="20"/>
                <w:szCs w:val="20"/>
              </w:rPr>
              <w:t>09</w:t>
            </w:r>
            <w:r w:rsidRPr="00CD62D8">
              <w:rPr>
                <w:rFonts w:ascii="Cambria" w:hAnsi="Cambria"/>
                <w:sz w:val="20"/>
                <w:szCs w:val="20"/>
              </w:rPr>
              <w:noBreakHyphen/>
            </w:r>
            <w:r w:rsidR="00134FA1" w:rsidRPr="00CD62D8">
              <w:rPr>
                <w:rFonts w:ascii="Cambria" w:hAnsi="Cambria"/>
                <w:sz w:val="20"/>
                <w:szCs w:val="20"/>
              </w:rPr>
              <w:t>674 of 17 March 2010</w:t>
            </w:r>
            <w:r w:rsidR="00B11103" w:rsidRPr="00CD62D8">
              <w:rPr>
                <w:rFonts w:ascii="Cambria" w:hAnsi="Cambria"/>
                <w:sz w:val="20"/>
                <w:szCs w:val="20"/>
              </w:rPr>
              <w:t xml:space="preserve"> which establishes</w:t>
            </w:r>
            <w:r w:rsidR="00134FA1" w:rsidRPr="00CD62D8">
              <w:rPr>
                <w:rFonts w:ascii="Cambria" w:hAnsi="Cambria"/>
                <w:sz w:val="20"/>
                <w:szCs w:val="20"/>
              </w:rPr>
              <w:t xml:space="preserve"> the conditions and procedures for the installation and use on board fishing vessels of a continuous positioning and location system using satellite communications for data transmission</w:t>
            </w:r>
            <w:r w:rsidRPr="00CD62D8">
              <w:rPr>
                <w:rFonts w:ascii="Cambria" w:hAnsi="Cambria"/>
                <w:sz w:val="20"/>
                <w:szCs w:val="20"/>
              </w:rPr>
              <w:t>.</w:t>
            </w:r>
          </w:p>
          <w:p w14:paraId="232D7279" w14:textId="77777777" w:rsidR="00134FA1" w:rsidRPr="00CD62D8" w:rsidRDefault="00134FA1" w:rsidP="00134FA1">
            <w:pPr>
              <w:spacing w:after="0" w:line="240" w:lineRule="auto"/>
              <w:jc w:val="both"/>
              <w:rPr>
                <w:rFonts w:ascii="Cambria" w:hAnsi="Cambria"/>
                <w:sz w:val="12"/>
                <w:szCs w:val="12"/>
              </w:rPr>
            </w:pPr>
          </w:p>
          <w:p w14:paraId="218D619A" w14:textId="2CB2C0E8"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8</w:t>
            </w:r>
            <w:r w:rsidR="00933E99" w:rsidRPr="00CD62D8">
              <w:rPr>
                <w:rFonts w:ascii="Cambria" w:hAnsi="Cambria"/>
                <w:sz w:val="20"/>
                <w:szCs w:val="20"/>
              </w:rPr>
              <w:t>.</w:t>
            </w:r>
            <w:r w:rsidR="00134FA1" w:rsidRPr="00CD62D8">
              <w:rPr>
                <w:rFonts w:ascii="Cambria" w:hAnsi="Cambria"/>
                <w:sz w:val="20"/>
                <w:szCs w:val="20"/>
              </w:rPr>
              <w:t xml:space="preserve"> Decree No. 2-17-455 of 26 April 2018</w:t>
            </w:r>
            <w:r w:rsidR="005B7571" w:rsidRPr="00CD62D8">
              <w:rPr>
                <w:rFonts w:ascii="Cambria" w:hAnsi="Cambria"/>
                <w:sz w:val="20"/>
                <w:szCs w:val="20"/>
              </w:rPr>
              <w:t xml:space="preserve"> which</w:t>
            </w:r>
            <w:r w:rsidR="00134FA1" w:rsidRPr="00CD62D8">
              <w:rPr>
                <w:rFonts w:ascii="Cambria" w:hAnsi="Cambria"/>
                <w:sz w:val="20"/>
                <w:szCs w:val="20"/>
              </w:rPr>
              <w:t xml:space="preserve"> implement</w:t>
            </w:r>
            <w:r w:rsidR="005B7571" w:rsidRPr="00CD62D8">
              <w:rPr>
                <w:rFonts w:ascii="Cambria" w:hAnsi="Cambria"/>
                <w:sz w:val="20"/>
                <w:szCs w:val="20"/>
              </w:rPr>
              <w:t>s</w:t>
            </w:r>
            <w:r w:rsidR="00134FA1" w:rsidRPr="00CD62D8">
              <w:rPr>
                <w:rFonts w:ascii="Cambria" w:hAnsi="Cambria"/>
                <w:sz w:val="20"/>
                <w:szCs w:val="20"/>
              </w:rPr>
              <w:t xml:space="preserve"> certain provisions of Title I of Law No. 15-12 on the prevention and </w:t>
            </w:r>
            <w:r w:rsidR="000275CE" w:rsidRPr="00CD62D8">
              <w:rPr>
                <w:rFonts w:ascii="Cambria" w:hAnsi="Cambria"/>
                <w:sz w:val="20"/>
                <w:szCs w:val="20"/>
              </w:rPr>
              <w:t>fight against</w:t>
            </w:r>
            <w:r w:rsidR="00134FA1" w:rsidRPr="00CD62D8">
              <w:rPr>
                <w:rFonts w:ascii="Cambria" w:hAnsi="Cambria"/>
                <w:sz w:val="20"/>
                <w:szCs w:val="20"/>
              </w:rPr>
              <w:t xml:space="preserve"> illegal, unreported and unregulated fishing and amend</w:t>
            </w:r>
            <w:r w:rsidR="005B7571" w:rsidRPr="00CD62D8">
              <w:rPr>
                <w:rFonts w:ascii="Cambria" w:hAnsi="Cambria"/>
                <w:sz w:val="20"/>
                <w:szCs w:val="20"/>
              </w:rPr>
              <w:t>s</w:t>
            </w:r>
            <w:r w:rsidR="00134FA1" w:rsidRPr="00CD62D8">
              <w:rPr>
                <w:rFonts w:ascii="Cambria" w:hAnsi="Cambria"/>
                <w:sz w:val="20"/>
                <w:szCs w:val="20"/>
              </w:rPr>
              <w:t xml:space="preserve"> and supplement</w:t>
            </w:r>
            <w:r w:rsidR="005B7571" w:rsidRPr="00CD62D8">
              <w:rPr>
                <w:rFonts w:ascii="Cambria" w:hAnsi="Cambria"/>
                <w:sz w:val="20"/>
                <w:szCs w:val="20"/>
              </w:rPr>
              <w:t>s Royal Order</w:t>
            </w:r>
            <w:r w:rsidR="00134FA1" w:rsidRPr="00CD62D8">
              <w:rPr>
                <w:rFonts w:ascii="Cambria" w:hAnsi="Cambria"/>
                <w:sz w:val="20"/>
                <w:szCs w:val="20"/>
              </w:rPr>
              <w:t xml:space="preserve"> </w:t>
            </w:r>
            <w:r w:rsidR="00134FA1" w:rsidRPr="00CD62D8">
              <w:rPr>
                <w:rFonts w:ascii="Cambria" w:hAnsi="Cambria"/>
                <w:sz w:val="20"/>
                <w:szCs w:val="20"/>
              </w:rPr>
              <w:lastRenderedPageBreak/>
              <w:t xml:space="preserve">No. 1-73-255 of 23 November 1973 establishing regulations on </w:t>
            </w:r>
            <w:r w:rsidR="005B7571" w:rsidRPr="00CD62D8">
              <w:rPr>
                <w:rFonts w:ascii="Cambria" w:hAnsi="Cambria"/>
                <w:sz w:val="20"/>
                <w:szCs w:val="20"/>
              </w:rPr>
              <w:t>marine</w:t>
            </w:r>
            <w:r w:rsidR="00134FA1" w:rsidRPr="00CD62D8">
              <w:rPr>
                <w:rFonts w:ascii="Cambria" w:hAnsi="Cambria"/>
                <w:sz w:val="20"/>
                <w:szCs w:val="20"/>
              </w:rPr>
              <w:t xml:space="preserve"> fishing.</w:t>
            </w:r>
          </w:p>
          <w:p w14:paraId="61CDEC2B" w14:textId="77777777" w:rsidR="00134FA1" w:rsidRPr="00CD62D8" w:rsidRDefault="00134FA1" w:rsidP="00134FA1">
            <w:pPr>
              <w:spacing w:after="0" w:line="240" w:lineRule="auto"/>
              <w:jc w:val="both"/>
              <w:rPr>
                <w:rFonts w:ascii="Cambria" w:hAnsi="Cambria"/>
                <w:sz w:val="20"/>
                <w:szCs w:val="20"/>
              </w:rPr>
            </w:pPr>
          </w:p>
          <w:p w14:paraId="33EA0D3B" w14:textId="38526AFD" w:rsidR="00134FA1" w:rsidRPr="00CD62D8" w:rsidRDefault="00922089" w:rsidP="00134FA1">
            <w:pPr>
              <w:spacing w:after="0" w:line="240" w:lineRule="auto"/>
              <w:jc w:val="both"/>
              <w:rPr>
                <w:rFonts w:ascii="Cambria" w:hAnsi="Cambria"/>
                <w:sz w:val="20"/>
                <w:szCs w:val="20"/>
              </w:rPr>
            </w:pPr>
            <w:r w:rsidRPr="00CD62D8">
              <w:rPr>
                <w:rFonts w:ascii="Cambria" w:hAnsi="Cambria"/>
                <w:sz w:val="20"/>
                <w:szCs w:val="20"/>
              </w:rPr>
              <w:t>9</w:t>
            </w:r>
            <w:r w:rsidR="00167E4B" w:rsidRPr="00CD62D8">
              <w:rPr>
                <w:rFonts w:ascii="Cambria" w:hAnsi="Cambria"/>
                <w:sz w:val="20"/>
                <w:szCs w:val="20"/>
              </w:rPr>
              <w:t>.</w:t>
            </w:r>
            <w:r w:rsidR="00134FA1" w:rsidRPr="00CD62D8">
              <w:rPr>
                <w:rFonts w:ascii="Cambria" w:hAnsi="Cambria"/>
                <w:sz w:val="20"/>
                <w:szCs w:val="20"/>
              </w:rPr>
              <w:t xml:space="preserve"> Decree No. 2-17-456 of 15 March 2018</w:t>
            </w:r>
            <w:r w:rsidR="008F349F" w:rsidRPr="00CD62D8">
              <w:rPr>
                <w:rFonts w:ascii="Cambria" w:hAnsi="Cambria"/>
                <w:sz w:val="20"/>
                <w:szCs w:val="20"/>
              </w:rPr>
              <w:t xml:space="preserve"> which</w:t>
            </w:r>
            <w:r w:rsidR="00134FA1" w:rsidRPr="00CD62D8">
              <w:rPr>
                <w:rFonts w:ascii="Cambria" w:hAnsi="Cambria"/>
                <w:sz w:val="20"/>
                <w:szCs w:val="20"/>
              </w:rPr>
              <w:t xml:space="preserve"> implement</w:t>
            </w:r>
            <w:r w:rsidR="008F349F" w:rsidRPr="00CD62D8">
              <w:rPr>
                <w:rFonts w:ascii="Cambria" w:hAnsi="Cambria"/>
                <w:sz w:val="20"/>
                <w:szCs w:val="20"/>
              </w:rPr>
              <w:t>s</w:t>
            </w:r>
            <w:r w:rsidR="00134FA1" w:rsidRPr="00CD62D8">
              <w:rPr>
                <w:rFonts w:ascii="Cambria" w:hAnsi="Cambria"/>
                <w:sz w:val="20"/>
                <w:szCs w:val="20"/>
              </w:rPr>
              <w:t xml:space="preserve"> certain provisions of </w:t>
            </w:r>
            <w:r w:rsidR="008F349F" w:rsidRPr="00CD62D8">
              <w:rPr>
                <w:rFonts w:ascii="Cambria" w:hAnsi="Cambria"/>
                <w:sz w:val="20"/>
                <w:szCs w:val="20"/>
              </w:rPr>
              <w:t>Royal Order</w:t>
            </w:r>
            <w:r w:rsidR="00134FA1" w:rsidRPr="00CD62D8">
              <w:rPr>
                <w:rFonts w:ascii="Cambria" w:hAnsi="Cambria"/>
                <w:sz w:val="20"/>
                <w:szCs w:val="20"/>
              </w:rPr>
              <w:t xml:space="preserve"> No. 1-73-255 of 23 November 1973 establishing regulations on </w:t>
            </w:r>
            <w:r w:rsidR="008F349F" w:rsidRPr="00CD62D8">
              <w:rPr>
                <w:rFonts w:ascii="Cambria" w:hAnsi="Cambria"/>
                <w:sz w:val="20"/>
                <w:szCs w:val="20"/>
              </w:rPr>
              <w:t>marine</w:t>
            </w:r>
            <w:r w:rsidR="00134FA1" w:rsidRPr="00CD62D8">
              <w:rPr>
                <w:rFonts w:ascii="Cambria" w:hAnsi="Cambria"/>
                <w:sz w:val="20"/>
                <w:szCs w:val="20"/>
              </w:rPr>
              <w:t xml:space="preserve"> fishing.</w:t>
            </w:r>
          </w:p>
          <w:p w14:paraId="350A6195" w14:textId="77777777" w:rsidR="00134FA1" w:rsidRPr="00CD62D8" w:rsidRDefault="00134FA1" w:rsidP="00134FA1">
            <w:pPr>
              <w:spacing w:after="0" w:line="240" w:lineRule="auto"/>
              <w:jc w:val="both"/>
              <w:rPr>
                <w:rFonts w:ascii="Cambria" w:hAnsi="Cambria"/>
                <w:sz w:val="20"/>
                <w:szCs w:val="20"/>
              </w:rPr>
            </w:pPr>
          </w:p>
          <w:p w14:paraId="04063943" w14:textId="00731057" w:rsidR="00134FA1" w:rsidRPr="00CD62D8" w:rsidRDefault="00134FA1" w:rsidP="00134FA1">
            <w:pPr>
              <w:spacing w:after="0" w:line="240" w:lineRule="auto"/>
              <w:jc w:val="both"/>
              <w:rPr>
                <w:rFonts w:ascii="Cambria" w:hAnsi="Cambria"/>
                <w:sz w:val="20"/>
                <w:szCs w:val="20"/>
              </w:rPr>
            </w:pPr>
            <w:r w:rsidRPr="00CD62D8">
              <w:rPr>
                <w:rFonts w:ascii="Cambria" w:hAnsi="Cambria"/>
                <w:sz w:val="20"/>
                <w:szCs w:val="20"/>
              </w:rPr>
              <w:t>1</w:t>
            </w:r>
            <w:r w:rsidR="00922089" w:rsidRPr="00CD62D8">
              <w:rPr>
                <w:rFonts w:ascii="Cambria" w:hAnsi="Cambria"/>
                <w:sz w:val="20"/>
                <w:szCs w:val="20"/>
              </w:rPr>
              <w:t>0</w:t>
            </w:r>
            <w:r w:rsidR="00167E4B" w:rsidRPr="00CD62D8">
              <w:rPr>
                <w:rFonts w:ascii="Cambria" w:hAnsi="Cambria"/>
                <w:sz w:val="20"/>
                <w:szCs w:val="20"/>
              </w:rPr>
              <w:t>.</w:t>
            </w:r>
            <w:r w:rsidRPr="00CD62D8">
              <w:rPr>
                <w:rFonts w:ascii="Cambria" w:hAnsi="Cambria"/>
                <w:sz w:val="20"/>
                <w:szCs w:val="20"/>
              </w:rPr>
              <w:t xml:space="preserve"> Order No. 574-19 of 29 </w:t>
            </w:r>
            <w:proofErr w:type="spellStart"/>
            <w:r w:rsidRPr="00CD62D8">
              <w:rPr>
                <w:rFonts w:ascii="Cambria" w:hAnsi="Cambria"/>
                <w:sz w:val="20"/>
                <w:szCs w:val="20"/>
              </w:rPr>
              <w:t>Joumada</w:t>
            </w:r>
            <w:proofErr w:type="spellEnd"/>
            <w:r w:rsidRPr="00CD62D8">
              <w:rPr>
                <w:rFonts w:ascii="Cambria" w:hAnsi="Cambria"/>
                <w:sz w:val="20"/>
                <w:szCs w:val="20"/>
              </w:rPr>
              <w:t xml:space="preserve"> II 1440 (7 March 2019) on the continuous positioning and </w:t>
            </w:r>
            <w:r w:rsidR="00B54478" w:rsidRPr="00CD62D8">
              <w:rPr>
                <w:rFonts w:ascii="Cambria" w:hAnsi="Cambria"/>
                <w:sz w:val="20"/>
                <w:szCs w:val="20"/>
              </w:rPr>
              <w:t>location</w:t>
            </w:r>
            <w:r w:rsidRPr="00CD62D8">
              <w:rPr>
                <w:rFonts w:ascii="Cambria" w:hAnsi="Cambria"/>
                <w:sz w:val="20"/>
                <w:szCs w:val="20"/>
              </w:rPr>
              <w:t xml:space="preserve"> system for fishing vessels.</w:t>
            </w:r>
          </w:p>
        </w:tc>
        <w:tc>
          <w:tcPr>
            <w:tcW w:w="2835" w:type="dxa"/>
            <w:tcBorders>
              <w:bottom w:val="single" w:sz="4" w:space="0" w:color="auto"/>
              <w:right w:val="single" w:sz="4" w:space="0" w:color="auto"/>
            </w:tcBorders>
          </w:tcPr>
          <w:p w14:paraId="7DCF768F" w14:textId="598B9562" w:rsidR="00F8000D" w:rsidRPr="00CD62D8" w:rsidRDefault="00134FA1" w:rsidP="00102FBE">
            <w:pPr>
              <w:spacing w:after="0" w:line="240" w:lineRule="auto"/>
              <w:jc w:val="both"/>
              <w:rPr>
                <w:rFonts w:ascii="Cambria" w:hAnsi="Cambria"/>
                <w:sz w:val="20"/>
                <w:szCs w:val="20"/>
              </w:rPr>
            </w:pPr>
            <w:r w:rsidRPr="00CD62D8">
              <w:rPr>
                <w:rFonts w:ascii="Cambria" w:hAnsi="Cambria"/>
                <w:sz w:val="20"/>
                <w:szCs w:val="20"/>
              </w:rPr>
              <w:lastRenderedPageBreak/>
              <w:t>The measures planned by the Kingdom of Morocco for the management of North Atlantic swordfish will be the same as those currently adopted, in accordance with the provisions of Recommendation 24-10 on conservation and management measures, including a management procedure, for North Atlantic swordfish, and with the national regulations in force.</w:t>
            </w:r>
          </w:p>
        </w:tc>
        <w:tc>
          <w:tcPr>
            <w:tcW w:w="236" w:type="dxa"/>
            <w:tcBorders>
              <w:top w:val="nil"/>
              <w:left w:val="single" w:sz="4" w:space="0" w:color="auto"/>
              <w:bottom w:val="nil"/>
              <w:right w:val="nil"/>
            </w:tcBorders>
            <w:vAlign w:val="center"/>
          </w:tcPr>
          <w:p w14:paraId="1B044722" w14:textId="77777777" w:rsidR="00F8000D" w:rsidRPr="00CD62D8" w:rsidRDefault="00F8000D" w:rsidP="00102FBE">
            <w:pPr>
              <w:spacing w:after="0" w:line="240" w:lineRule="auto"/>
              <w:rPr>
                <w:rFonts w:ascii="Cambria" w:eastAsia="Times New Roman" w:hAnsi="Cambria" w:cs="Times New Roman"/>
                <w:sz w:val="20"/>
                <w:szCs w:val="20"/>
              </w:rPr>
            </w:pPr>
          </w:p>
        </w:tc>
      </w:tr>
      <w:tr w:rsidR="00F8000D" w:rsidRPr="00CD62D8" w14:paraId="390B2895" w14:textId="77777777" w:rsidTr="00140AA1">
        <w:tc>
          <w:tcPr>
            <w:tcW w:w="14029" w:type="dxa"/>
            <w:gridSpan w:val="11"/>
            <w:tcBorders>
              <w:right w:val="single" w:sz="4" w:space="0" w:color="auto"/>
            </w:tcBorders>
            <w:noWrap/>
          </w:tcPr>
          <w:p w14:paraId="5FADAEFE" w14:textId="5DCB4881" w:rsidR="00F8000D" w:rsidRPr="00CD62D8" w:rsidRDefault="00134FA1" w:rsidP="00102FBE">
            <w:pPr>
              <w:spacing w:after="0" w:line="240" w:lineRule="auto"/>
              <w:rPr>
                <w:rFonts w:ascii="Cambria" w:hAnsi="Cambria"/>
                <w:sz w:val="20"/>
                <w:szCs w:val="20"/>
              </w:rPr>
            </w:pPr>
            <w:r w:rsidRPr="00CD62D8">
              <w:rPr>
                <w:rFonts w:ascii="Cambria" w:hAnsi="Cambria"/>
                <w:sz w:val="20"/>
                <w:szCs w:val="20"/>
              </w:rPr>
              <w:lastRenderedPageBreak/>
              <w:t xml:space="preserve">* Adjusted quota = Initial quota (1,186 t) + </w:t>
            </w:r>
            <w:r w:rsidR="00922089" w:rsidRPr="00CD62D8">
              <w:rPr>
                <w:rFonts w:ascii="Cambria" w:hAnsi="Cambria"/>
                <w:sz w:val="20"/>
                <w:szCs w:val="20"/>
              </w:rPr>
              <w:t>q</w:t>
            </w:r>
            <w:r w:rsidRPr="00CD62D8">
              <w:rPr>
                <w:rFonts w:ascii="Cambria" w:hAnsi="Cambria"/>
                <w:sz w:val="20"/>
                <w:szCs w:val="20"/>
              </w:rPr>
              <w:t xml:space="preserve">uota transferred from Japan (150 t) + </w:t>
            </w:r>
            <w:r w:rsidR="00922089" w:rsidRPr="00CD62D8">
              <w:rPr>
                <w:rFonts w:ascii="Cambria" w:hAnsi="Cambria"/>
                <w:sz w:val="20"/>
                <w:szCs w:val="20"/>
              </w:rPr>
              <w:t>q</w:t>
            </w:r>
            <w:r w:rsidRPr="00CD62D8">
              <w:rPr>
                <w:rFonts w:ascii="Cambria" w:hAnsi="Cambria"/>
                <w:sz w:val="20"/>
                <w:szCs w:val="20"/>
              </w:rPr>
              <w:t xml:space="preserve">uota transferred from Trinidad and Tobago (25 t) + Remaining </w:t>
            </w:r>
            <w:r w:rsidR="00922089" w:rsidRPr="00CD62D8">
              <w:rPr>
                <w:rFonts w:ascii="Cambria" w:hAnsi="Cambria"/>
                <w:sz w:val="20"/>
                <w:szCs w:val="20"/>
              </w:rPr>
              <w:t>amount</w:t>
            </w:r>
            <w:r w:rsidRPr="00CD62D8">
              <w:rPr>
                <w:rFonts w:ascii="Cambria" w:hAnsi="Cambria"/>
                <w:sz w:val="20"/>
                <w:szCs w:val="20"/>
              </w:rPr>
              <w:t xml:space="preserve"> transferred (27.43 t)</w:t>
            </w:r>
          </w:p>
        </w:tc>
        <w:tc>
          <w:tcPr>
            <w:tcW w:w="236" w:type="dxa"/>
            <w:tcBorders>
              <w:top w:val="nil"/>
              <w:left w:val="single" w:sz="4" w:space="0" w:color="auto"/>
              <w:bottom w:val="nil"/>
              <w:right w:val="nil"/>
            </w:tcBorders>
            <w:vAlign w:val="center"/>
          </w:tcPr>
          <w:p w14:paraId="251F3399" w14:textId="77777777" w:rsidR="00F8000D" w:rsidRPr="00CD62D8" w:rsidRDefault="00F8000D" w:rsidP="00102FBE">
            <w:pPr>
              <w:spacing w:after="0" w:line="240" w:lineRule="auto"/>
              <w:rPr>
                <w:rFonts w:ascii="Cambria" w:eastAsia="Times New Roman" w:hAnsi="Cambria" w:cs="Times New Roman"/>
                <w:sz w:val="20"/>
                <w:szCs w:val="20"/>
              </w:rPr>
            </w:pPr>
          </w:p>
        </w:tc>
      </w:tr>
      <w:tr w:rsidR="00305950" w:rsidRPr="00CD62D8" w14:paraId="1DBF842F" w14:textId="77777777" w:rsidTr="00140AA1">
        <w:tc>
          <w:tcPr>
            <w:tcW w:w="1164" w:type="dxa"/>
            <w:noWrap/>
            <w:vAlign w:val="center"/>
          </w:tcPr>
          <w:p w14:paraId="028EB495" w14:textId="3F1D4708" w:rsidR="00305950" w:rsidRPr="00B62E7C" w:rsidRDefault="00305950" w:rsidP="00102FBE">
            <w:pPr>
              <w:spacing w:after="0" w:line="240" w:lineRule="auto"/>
              <w:jc w:val="center"/>
              <w:rPr>
                <w:rFonts w:ascii="Cambria" w:eastAsia="Times New Roman" w:hAnsi="Cambria" w:cs="Calibri"/>
                <w:b/>
                <w:bCs/>
                <w:color w:val="000000"/>
                <w:sz w:val="18"/>
                <w:szCs w:val="18"/>
                <w:lang w:val="fr-FR"/>
              </w:rPr>
            </w:pPr>
            <w:proofErr w:type="spellStart"/>
            <w:r w:rsidRPr="00B62E7C">
              <w:rPr>
                <w:rFonts w:ascii="Cambria" w:eastAsia="Times New Roman" w:hAnsi="Cambria" w:cs="Calibri"/>
                <w:b/>
                <w:bCs/>
                <w:color w:val="000000"/>
                <w:sz w:val="18"/>
                <w:szCs w:val="18"/>
                <w:lang w:val="fr-FR"/>
              </w:rPr>
              <w:t>Senegal</w:t>
            </w:r>
            <w:proofErr w:type="spellEnd"/>
          </w:p>
        </w:tc>
        <w:tc>
          <w:tcPr>
            <w:tcW w:w="914" w:type="dxa"/>
            <w:noWrap/>
            <w:vAlign w:val="center"/>
          </w:tcPr>
          <w:p w14:paraId="37B27B6A" w14:textId="5D13F7DD"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Y</w:t>
            </w:r>
            <w:r w:rsidR="000F4AA0" w:rsidRPr="00B62E7C">
              <w:rPr>
                <w:rFonts w:ascii="Cambria" w:eastAsia="Times New Roman" w:hAnsi="Cambria" w:cs="Calibri"/>
                <w:color w:val="000000"/>
                <w:sz w:val="18"/>
                <w:szCs w:val="18"/>
                <w:lang w:val="fr-FR"/>
              </w:rPr>
              <w:t>es</w:t>
            </w:r>
          </w:p>
        </w:tc>
        <w:tc>
          <w:tcPr>
            <w:tcW w:w="1026" w:type="dxa"/>
            <w:vAlign w:val="center"/>
          </w:tcPr>
          <w:p w14:paraId="55356FB2" w14:textId="41424441"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250</w:t>
            </w:r>
          </w:p>
        </w:tc>
        <w:tc>
          <w:tcPr>
            <w:tcW w:w="841" w:type="dxa"/>
            <w:noWrap/>
            <w:vAlign w:val="center"/>
          </w:tcPr>
          <w:p w14:paraId="6C518FE7"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1</w:t>
            </w:r>
          </w:p>
          <w:p w14:paraId="12D16068"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7</w:t>
            </w:r>
          </w:p>
          <w:p w14:paraId="7E0AD681" w14:textId="0FF1B404"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5</w:t>
            </w:r>
          </w:p>
        </w:tc>
        <w:tc>
          <w:tcPr>
            <w:tcW w:w="728" w:type="dxa"/>
            <w:noWrap/>
            <w:vAlign w:val="center"/>
          </w:tcPr>
          <w:p w14:paraId="79DA049D"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LL</w:t>
            </w:r>
          </w:p>
          <w:p w14:paraId="78121A99"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PS</w:t>
            </w:r>
          </w:p>
          <w:p w14:paraId="00D400B6" w14:textId="5C247AC2"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BB</w:t>
            </w:r>
          </w:p>
        </w:tc>
        <w:tc>
          <w:tcPr>
            <w:tcW w:w="851" w:type="dxa"/>
            <w:noWrap/>
            <w:vAlign w:val="center"/>
          </w:tcPr>
          <w:p w14:paraId="602C04AE"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3776E5C2" w14:textId="3BCF2D8A"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3</w:t>
            </w:r>
          </w:p>
          <w:p w14:paraId="675904E3" w14:textId="1814D4BA"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10</w:t>
            </w:r>
          </w:p>
          <w:p w14:paraId="13BC7AC1" w14:textId="5D1D6842"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5</w:t>
            </w:r>
          </w:p>
        </w:tc>
        <w:tc>
          <w:tcPr>
            <w:tcW w:w="739" w:type="dxa"/>
            <w:noWrap/>
            <w:vAlign w:val="center"/>
          </w:tcPr>
          <w:p w14:paraId="4C35861D"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LL</w:t>
            </w:r>
          </w:p>
          <w:p w14:paraId="3C66F415"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PS</w:t>
            </w:r>
          </w:p>
          <w:p w14:paraId="40BE0080" w14:textId="54AE9288" w:rsidR="00305950" w:rsidRPr="00B62E7C" w:rsidRDefault="00305950" w:rsidP="00102FBE">
            <w:pPr>
              <w:spacing w:after="0" w:line="240" w:lineRule="auto"/>
              <w:jc w:val="center"/>
              <w:rPr>
                <w:rFonts w:ascii="Cambria" w:eastAsia="Times New Roman" w:hAnsi="Cambria" w:cs="Calibri"/>
                <w:color w:val="000000"/>
                <w:sz w:val="18"/>
                <w:szCs w:val="18"/>
                <w:lang w:val="fr-FR"/>
              </w:rPr>
            </w:pPr>
            <w:r w:rsidRPr="00B62E7C">
              <w:rPr>
                <w:rFonts w:ascii="Cambria" w:eastAsia="Times New Roman" w:hAnsi="Cambria" w:cs="Calibri"/>
                <w:color w:val="000000"/>
                <w:sz w:val="18"/>
                <w:szCs w:val="18"/>
                <w:lang w:val="fr-FR"/>
              </w:rPr>
              <w:t>BB</w:t>
            </w:r>
          </w:p>
        </w:tc>
        <w:tc>
          <w:tcPr>
            <w:tcW w:w="973" w:type="dxa"/>
            <w:noWrap/>
            <w:vAlign w:val="center"/>
          </w:tcPr>
          <w:p w14:paraId="542605CA" w14:textId="77777777" w:rsidR="00305950" w:rsidRPr="00B62E7C" w:rsidRDefault="00305950" w:rsidP="00102FBE">
            <w:pPr>
              <w:spacing w:after="0" w:line="240" w:lineRule="auto"/>
              <w:jc w:val="center"/>
              <w:rPr>
                <w:rFonts w:ascii="Cambria" w:eastAsia="Times New Roman" w:hAnsi="Cambria" w:cs="Calibri"/>
                <w:color w:val="000000"/>
                <w:sz w:val="18"/>
                <w:szCs w:val="18"/>
                <w:lang w:val="fr-FR"/>
              </w:rPr>
            </w:pPr>
          </w:p>
        </w:tc>
        <w:tc>
          <w:tcPr>
            <w:tcW w:w="2966" w:type="dxa"/>
          </w:tcPr>
          <w:p w14:paraId="0A618BF9" w14:textId="5FFC0F7B" w:rsidR="005A2137" w:rsidRPr="00CD62D8" w:rsidRDefault="00B54478" w:rsidP="00B54478">
            <w:pPr>
              <w:pStyle w:val="ListParagraph"/>
              <w:numPr>
                <w:ilvl w:val="0"/>
                <w:numId w:val="7"/>
              </w:numPr>
              <w:spacing w:after="0" w:line="240" w:lineRule="auto"/>
              <w:ind w:left="165" w:hanging="141"/>
              <w:contextualSpacing w:val="0"/>
              <w:jc w:val="both"/>
              <w:rPr>
                <w:rFonts w:ascii="Cambria" w:hAnsi="Cambria"/>
                <w:sz w:val="20"/>
                <w:szCs w:val="20"/>
              </w:rPr>
            </w:pPr>
            <w:r w:rsidRPr="00CD62D8">
              <w:rPr>
                <w:rFonts w:ascii="Cambria" w:hAnsi="Cambria"/>
                <w:sz w:val="20"/>
                <w:szCs w:val="20"/>
              </w:rPr>
              <w:t>Prohibition of</w:t>
            </w:r>
            <w:r w:rsidR="005A2137" w:rsidRPr="00CD62D8">
              <w:rPr>
                <w:rFonts w:ascii="Cambria" w:hAnsi="Cambria"/>
                <w:sz w:val="20"/>
                <w:szCs w:val="20"/>
              </w:rPr>
              <w:t xml:space="preserve"> large pelagic nets.</w:t>
            </w:r>
          </w:p>
          <w:p w14:paraId="75D6A09A" w14:textId="36A8A935" w:rsidR="005A2137" w:rsidRPr="00CD62D8" w:rsidRDefault="005A2137" w:rsidP="00B54478">
            <w:pPr>
              <w:pStyle w:val="ListParagraph"/>
              <w:numPr>
                <w:ilvl w:val="0"/>
                <w:numId w:val="7"/>
              </w:numPr>
              <w:spacing w:after="0" w:line="240" w:lineRule="auto"/>
              <w:ind w:left="165" w:hanging="141"/>
              <w:contextualSpacing w:val="0"/>
              <w:jc w:val="both"/>
              <w:rPr>
                <w:rFonts w:ascii="Cambria" w:hAnsi="Cambria"/>
                <w:sz w:val="20"/>
                <w:szCs w:val="20"/>
                <w:lang w:val="fr-FR"/>
              </w:rPr>
            </w:pPr>
            <w:proofErr w:type="spellStart"/>
            <w:r w:rsidRPr="00CD62D8">
              <w:rPr>
                <w:rFonts w:ascii="Cambria" w:hAnsi="Cambria"/>
                <w:sz w:val="20"/>
                <w:szCs w:val="20"/>
                <w:lang w:val="fr-FR"/>
              </w:rPr>
              <w:t>Selective</w:t>
            </w:r>
            <w:proofErr w:type="spellEnd"/>
            <w:r w:rsidRPr="00CD62D8">
              <w:rPr>
                <w:rFonts w:ascii="Cambria" w:hAnsi="Cambria"/>
                <w:sz w:val="20"/>
                <w:szCs w:val="20"/>
                <w:lang w:val="fr-FR"/>
              </w:rPr>
              <w:t xml:space="preserve"> </w:t>
            </w:r>
            <w:proofErr w:type="spellStart"/>
            <w:r w:rsidRPr="00CD62D8">
              <w:rPr>
                <w:rFonts w:ascii="Cambria" w:hAnsi="Cambria"/>
                <w:sz w:val="20"/>
                <w:szCs w:val="20"/>
                <w:lang w:val="fr-FR"/>
              </w:rPr>
              <w:t>fishing</w:t>
            </w:r>
            <w:proofErr w:type="spellEnd"/>
            <w:r w:rsidRPr="00CD62D8">
              <w:rPr>
                <w:rFonts w:ascii="Cambria" w:hAnsi="Cambria"/>
                <w:sz w:val="20"/>
                <w:szCs w:val="20"/>
                <w:lang w:val="fr-FR"/>
              </w:rPr>
              <w:t>.</w:t>
            </w:r>
          </w:p>
          <w:p w14:paraId="45DC17E7" w14:textId="7F703928" w:rsidR="005A2137" w:rsidRPr="00CD62D8" w:rsidRDefault="005A2137" w:rsidP="00B54478">
            <w:pPr>
              <w:pStyle w:val="ListParagraph"/>
              <w:numPr>
                <w:ilvl w:val="0"/>
                <w:numId w:val="7"/>
              </w:numPr>
              <w:spacing w:after="0" w:line="240" w:lineRule="auto"/>
              <w:ind w:left="165" w:hanging="141"/>
              <w:contextualSpacing w:val="0"/>
              <w:jc w:val="both"/>
              <w:rPr>
                <w:rFonts w:ascii="Cambria" w:hAnsi="Cambria"/>
                <w:sz w:val="20"/>
                <w:szCs w:val="20"/>
              </w:rPr>
            </w:pPr>
            <w:proofErr w:type="spellStart"/>
            <w:r w:rsidRPr="00CD62D8">
              <w:rPr>
                <w:rFonts w:ascii="Cambria" w:hAnsi="Cambria"/>
                <w:sz w:val="20"/>
                <w:szCs w:val="20"/>
              </w:rPr>
              <w:t>Organisation</w:t>
            </w:r>
            <w:proofErr w:type="spellEnd"/>
            <w:r w:rsidRPr="00CD62D8">
              <w:rPr>
                <w:rFonts w:ascii="Cambria" w:hAnsi="Cambria"/>
                <w:sz w:val="20"/>
                <w:szCs w:val="20"/>
              </w:rPr>
              <w:t xml:space="preserve"> of small-scale fishing.</w:t>
            </w:r>
          </w:p>
          <w:p w14:paraId="3F7C0B1B" w14:textId="77777777" w:rsidR="00140AA1" w:rsidRPr="00CD62D8" w:rsidRDefault="005A2137" w:rsidP="00B54478">
            <w:pPr>
              <w:pStyle w:val="ListParagraph"/>
              <w:numPr>
                <w:ilvl w:val="0"/>
                <w:numId w:val="7"/>
              </w:numPr>
              <w:spacing w:after="0" w:line="240" w:lineRule="auto"/>
              <w:ind w:left="165" w:hanging="141"/>
              <w:contextualSpacing w:val="0"/>
              <w:jc w:val="both"/>
              <w:rPr>
                <w:rFonts w:ascii="Cambria" w:hAnsi="Cambria"/>
                <w:sz w:val="20"/>
                <w:szCs w:val="20"/>
                <w:lang w:val="fr-FR"/>
              </w:rPr>
            </w:pPr>
            <w:proofErr w:type="spellStart"/>
            <w:r w:rsidRPr="00CD62D8">
              <w:rPr>
                <w:rFonts w:ascii="Cambria" w:hAnsi="Cambria"/>
                <w:sz w:val="20"/>
                <w:szCs w:val="20"/>
                <w:lang w:val="fr-FR"/>
              </w:rPr>
              <w:t>Special</w:t>
            </w:r>
            <w:proofErr w:type="spellEnd"/>
            <w:r w:rsidRPr="00CD62D8">
              <w:rPr>
                <w:rFonts w:ascii="Cambria" w:hAnsi="Cambria"/>
                <w:sz w:val="20"/>
                <w:szCs w:val="20"/>
                <w:lang w:val="fr-FR"/>
              </w:rPr>
              <w:t xml:space="preserve"> autorisation.</w:t>
            </w:r>
          </w:p>
          <w:p w14:paraId="4B4185B4" w14:textId="77777777" w:rsidR="005A2137" w:rsidRPr="00CD62D8" w:rsidRDefault="005A2137" w:rsidP="005A2137">
            <w:pPr>
              <w:pStyle w:val="ListParagraph"/>
              <w:spacing w:after="0" w:line="240" w:lineRule="auto"/>
              <w:ind w:left="168"/>
              <w:contextualSpacing w:val="0"/>
              <w:jc w:val="both"/>
              <w:rPr>
                <w:rFonts w:ascii="Cambria" w:hAnsi="Cambria"/>
                <w:sz w:val="20"/>
                <w:szCs w:val="20"/>
                <w:lang w:val="fr-FR"/>
              </w:rPr>
            </w:pPr>
          </w:p>
          <w:p w14:paraId="134DD3ED"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2FC64726"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104661FC"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19A950CA"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31DBA31C"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61915E9B"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63B3FE32"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271972D8" w14:textId="77777777"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p w14:paraId="044B7D09" w14:textId="77777777" w:rsidR="00B54478" w:rsidRPr="00CD62D8" w:rsidRDefault="00B54478" w:rsidP="005A2137">
            <w:pPr>
              <w:pStyle w:val="ListParagraph"/>
              <w:spacing w:after="0" w:line="240" w:lineRule="auto"/>
              <w:ind w:left="168"/>
              <w:contextualSpacing w:val="0"/>
              <w:jc w:val="both"/>
              <w:rPr>
                <w:rFonts w:ascii="Cambria" w:hAnsi="Cambria"/>
                <w:sz w:val="20"/>
                <w:szCs w:val="20"/>
                <w:lang w:val="fr-FR"/>
              </w:rPr>
            </w:pPr>
          </w:p>
          <w:p w14:paraId="6437DF6F" w14:textId="77777777" w:rsidR="00B54478" w:rsidRPr="00CD62D8" w:rsidRDefault="00B54478" w:rsidP="005A2137">
            <w:pPr>
              <w:pStyle w:val="ListParagraph"/>
              <w:spacing w:after="0" w:line="240" w:lineRule="auto"/>
              <w:ind w:left="168"/>
              <w:contextualSpacing w:val="0"/>
              <w:jc w:val="both"/>
              <w:rPr>
                <w:rFonts w:ascii="Cambria" w:hAnsi="Cambria"/>
                <w:sz w:val="20"/>
                <w:szCs w:val="20"/>
                <w:lang w:val="fr-FR"/>
              </w:rPr>
            </w:pPr>
          </w:p>
          <w:p w14:paraId="51B907AC" w14:textId="4BCDB479" w:rsidR="00C86C25" w:rsidRPr="00CD62D8" w:rsidRDefault="00C86C25" w:rsidP="005A2137">
            <w:pPr>
              <w:pStyle w:val="ListParagraph"/>
              <w:spacing w:after="0" w:line="240" w:lineRule="auto"/>
              <w:ind w:left="168"/>
              <w:contextualSpacing w:val="0"/>
              <w:jc w:val="both"/>
              <w:rPr>
                <w:rFonts w:ascii="Cambria" w:hAnsi="Cambria"/>
                <w:sz w:val="20"/>
                <w:szCs w:val="20"/>
                <w:lang w:val="fr-FR"/>
              </w:rPr>
            </w:pPr>
          </w:p>
        </w:tc>
        <w:tc>
          <w:tcPr>
            <w:tcW w:w="2835" w:type="dxa"/>
            <w:tcBorders>
              <w:bottom w:val="single" w:sz="4" w:space="0" w:color="auto"/>
              <w:right w:val="single" w:sz="4" w:space="0" w:color="auto"/>
            </w:tcBorders>
          </w:tcPr>
          <w:p w14:paraId="6311D010" w14:textId="2027FFEC" w:rsidR="00305950" w:rsidRPr="00CD62D8" w:rsidRDefault="005A2137" w:rsidP="00335D2D">
            <w:pPr>
              <w:pStyle w:val="ListParagraph"/>
              <w:numPr>
                <w:ilvl w:val="0"/>
                <w:numId w:val="7"/>
              </w:numPr>
              <w:spacing w:after="0" w:line="240" w:lineRule="auto"/>
              <w:ind w:left="165" w:hanging="141"/>
              <w:contextualSpacing w:val="0"/>
              <w:jc w:val="both"/>
              <w:rPr>
                <w:rFonts w:ascii="Cambria" w:hAnsi="Cambria"/>
                <w:sz w:val="20"/>
                <w:szCs w:val="20"/>
              </w:rPr>
            </w:pPr>
            <w:r w:rsidRPr="00CD62D8">
              <w:rPr>
                <w:rFonts w:ascii="Cambria" w:hAnsi="Cambria"/>
                <w:sz w:val="20"/>
                <w:szCs w:val="20"/>
              </w:rPr>
              <w:t>Minimum size of</w:t>
            </w:r>
            <w:r w:rsidR="00305950" w:rsidRPr="00CD62D8">
              <w:rPr>
                <w:rFonts w:ascii="Cambria" w:hAnsi="Cambria"/>
                <w:sz w:val="20"/>
                <w:szCs w:val="20"/>
              </w:rPr>
              <w:t xml:space="preserve"> 115 cm </w:t>
            </w:r>
            <w:r w:rsidRPr="00CD62D8">
              <w:rPr>
                <w:rFonts w:ascii="Cambria" w:hAnsi="Cambria"/>
                <w:sz w:val="20"/>
                <w:szCs w:val="20"/>
              </w:rPr>
              <w:t>or minimum weight of</w:t>
            </w:r>
            <w:r w:rsidR="00305950" w:rsidRPr="00CD62D8">
              <w:rPr>
                <w:rFonts w:ascii="Cambria" w:hAnsi="Cambria"/>
                <w:sz w:val="20"/>
                <w:szCs w:val="20"/>
              </w:rPr>
              <w:t xml:space="preserve"> 25 kg</w:t>
            </w:r>
            <w:r w:rsidR="00134FA1" w:rsidRPr="00CD62D8">
              <w:rPr>
                <w:rFonts w:ascii="Cambria" w:hAnsi="Cambria"/>
                <w:sz w:val="20"/>
                <w:szCs w:val="20"/>
              </w:rPr>
              <w:t>.</w:t>
            </w:r>
          </w:p>
          <w:p w14:paraId="426843E6" w14:textId="10D7AAC8" w:rsidR="00305950" w:rsidRPr="00CD62D8" w:rsidRDefault="005A2137" w:rsidP="00335D2D">
            <w:pPr>
              <w:pStyle w:val="ListParagraph"/>
              <w:numPr>
                <w:ilvl w:val="0"/>
                <w:numId w:val="7"/>
              </w:numPr>
              <w:spacing w:after="0" w:line="240" w:lineRule="auto"/>
              <w:ind w:left="165" w:hanging="141"/>
              <w:contextualSpacing w:val="0"/>
              <w:jc w:val="both"/>
              <w:rPr>
                <w:rFonts w:ascii="Cambria" w:hAnsi="Cambria"/>
                <w:sz w:val="20"/>
                <w:szCs w:val="20"/>
                <w:lang w:val="fr-FR"/>
              </w:rPr>
            </w:pPr>
            <w:proofErr w:type="spellStart"/>
            <w:r w:rsidRPr="00CD62D8">
              <w:rPr>
                <w:rFonts w:ascii="Cambria" w:hAnsi="Cambria"/>
                <w:sz w:val="20"/>
                <w:szCs w:val="20"/>
                <w:lang w:val="fr-FR"/>
              </w:rPr>
              <w:t>Bycatch</w:t>
            </w:r>
            <w:proofErr w:type="spellEnd"/>
            <w:r w:rsidRPr="00CD62D8">
              <w:rPr>
                <w:rFonts w:ascii="Cambria" w:hAnsi="Cambria"/>
                <w:sz w:val="20"/>
                <w:szCs w:val="20"/>
                <w:lang w:val="fr-FR"/>
              </w:rPr>
              <w:t xml:space="preserve"> rate</w:t>
            </w:r>
            <w:r w:rsidR="00134FA1" w:rsidRPr="00CD62D8">
              <w:rPr>
                <w:rFonts w:ascii="Cambria" w:hAnsi="Cambria"/>
                <w:sz w:val="20"/>
                <w:szCs w:val="20"/>
                <w:lang w:val="fr-FR"/>
              </w:rPr>
              <w:t>.</w:t>
            </w:r>
          </w:p>
        </w:tc>
        <w:tc>
          <w:tcPr>
            <w:tcW w:w="236" w:type="dxa"/>
            <w:tcBorders>
              <w:top w:val="nil"/>
              <w:left w:val="single" w:sz="4" w:space="0" w:color="auto"/>
              <w:bottom w:val="nil"/>
              <w:right w:val="nil"/>
            </w:tcBorders>
            <w:vAlign w:val="center"/>
          </w:tcPr>
          <w:p w14:paraId="3501B668" w14:textId="77777777" w:rsidR="00305950" w:rsidRPr="00CD62D8" w:rsidRDefault="00305950" w:rsidP="00102FBE">
            <w:pPr>
              <w:spacing w:after="0" w:line="240" w:lineRule="auto"/>
              <w:rPr>
                <w:rFonts w:ascii="Cambria" w:eastAsia="Times New Roman" w:hAnsi="Cambria" w:cs="Times New Roman"/>
                <w:sz w:val="20"/>
                <w:szCs w:val="20"/>
                <w:lang w:val="fr-FR"/>
              </w:rPr>
            </w:pPr>
          </w:p>
        </w:tc>
      </w:tr>
      <w:tr w:rsidR="00305950" w:rsidRPr="00CD62D8" w14:paraId="6807ACF9" w14:textId="77777777" w:rsidTr="00140AA1">
        <w:tc>
          <w:tcPr>
            <w:tcW w:w="1164" w:type="dxa"/>
            <w:noWrap/>
            <w:vAlign w:val="center"/>
          </w:tcPr>
          <w:p w14:paraId="114C4143" w14:textId="678F22FD" w:rsidR="00305950" w:rsidRPr="00CD62D8" w:rsidRDefault="00305950" w:rsidP="00102FBE">
            <w:pPr>
              <w:spacing w:after="0" w:line="240" w:lineRule="auto"/>
              <w:jc w:val="center"/>
              <w:rPr>
                <w:rFonts w:ascii="Cambria" w:eastAsia="Times New Roman" w:hAnsi="Cambria" w:cs="Calibri"/>
                <w:b/>
                <w:bCs/>
                <w:color w:val="000000"/>
                <w:sz w:val="18"/>
                <w:szCs w:val="18"/>
                <w:lang w:val="fr-FR"/>
              </w:rPr>
            </w:pPr>
            <w:r w:rsidRPr="00CD62D8">
              <w:rPr>
                <w:rFonts w:ascii="Cambria" w:eastAsia="Times New Roman" w:hAnsi="Cambria" w:cs="Calibri"/>
                <w:b/>
                <w:bCs/>
                <w:color w:val="000000"/>
                <w:sz w:val="18"/>
                <w:szCs w:val="18"/>
                <w:lang w:val="fr-FR"/>
              </w:rPr>
              <w:lastRenderedPageBreak/>
              <w:t>USA</w:t>
            </w:r>
          </w:p>
        </w:tc>
        <w:tc>
          <w:tcPr>
            <w:tcW w:w="914" w:type="dxa"/>
            <w:noWrap/>
            <w:vAlign w:val="center"/>
          </w:tcPr>
          <w:p w14:paraId="35705725" w14:textId="011313A1"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Yes</w:t>
            </w:r>
          </w:p>
        </w:tc>
        <w:tc>
          <w:tcPr>
            <w:tcW w:w="1026" w:type="dxa"/>
            <w:vAlign w:val="center"/>
          </w:tcPr>
          <w:p w14:paraId="31CBFBF0" w14:textId="7535ACC2"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3907</w:t>
            </w:r>
          </w:p>
        </w:tc>
        <w:tc>
          <w:tcPr>
            <w:tcW w:w="841" w:type="dxa"/>
            <w:noWrap/>
            <w:vAlign w:val="center"/>
          </w:tcPr>
          <w:p w14:paraId="0F6A984B"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223</w:t>
            </w:r>
          </w:p>
          <w:p w14:paraId="2D142921"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68</w:t>
            </w:r>
          </w:p>
          <w:p w14:paraId="798CE353" w14:textId="5BD95B0F"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1142</w:t>
            </w:r>
          </w:p>
        </w:tc>
        <w:tc>
          <w:tcPr>
            <w:tcW w:w="728" w:type="dxa"/>
            <w:noWrap/>
            <w:vAlign w:val="center"/>
          </w:tcPr>
          <w:p w14:paraId="61299A9B"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LL</w:t>
            </w:r>
          </w:p>
          <w:p w14:paraId="29328445"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TO</w:t>
            </w:r>
          </w:p>
          <w:p w14:paraId="2CF9EFC0" w14:textId="32516DA1"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OT</w:t>
            </w:r>
          </w:p>
        </w:tc>
        <w:tc>
          <w:tcPr>
            <w:tcW w:w="851" w:type="dxa"/>
            <w:noWrap/>
            <w:vAlign w:val="center"/>
          </w:tcPr>
          <w:p w14:paraId="0B6F5153"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368A394D"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223</w:t>
            </w:r>
          </w:p>
          <w:p w14:paraId="6FC513B7"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68</w:t>
            </w:r>
          </w:p>
          <w:p w14:paraId="488F95F3" w14:textId="76923E0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1142</w:t>
            </w:r>
          </w:p>
        </w:tc>
        <w:tc>
          <w:tcPr>
            <w:tcW w:w="739" w:type="dxa"/>
            <w:noWrap/>
            <w:vAlign w:val="center"/>
          </w:tcPr>
          <w:p w14:paraId="636277C5"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LL</w:t>
            </w:r>
          </w:p>
          <w:p w14:paraId="5399A9B1"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TO</w:t>
            </w:r>
          </w:p>
          <w:p w14:paraId="477858FA" w14:textId="490FBF12" w:rsidR="00305950" w:rsidRPr="00CD62D8" w:rsidRDefault="00305950"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OT</w:t>
            </w:r>
          </w:p>
        </w:tc>
        <w:tc>
          <w:tcPr>
            <w:tcW w:w="973" w:type="dxa"/>
            <w:noWrap/>
            <w:vAlign w:val="center"/>
          </w:tcPr>
          <w:p w14:paraId="6EFA5685"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p>
        </w:tc>
        <w:tc>
          <w:tcPr>
            <w:tcW w:w="2966" w:type="dxa"/>
          </w:tcPr>
          <w:p w14:paraId="14D61525" w14:textId="5DA5FD3D" w:rsidR="00140AA1" w:rsidRPr="00CD62D8" w:rsidRDefault="00305950" w:rsidP="00945DE5">
            <w:pPr>
              <w:spacing w:after="0" w:line="240" w:lineRule="auto"/>
              <w:jc w:val="both"/>
              <w:rPr>
                <w:rFonts w:ascii="Cambria" w:hAnsi="Cambria"/>
                <w:sz w:val="20"/>
                <w:szCs w:val="20"/>
                <w:lang w:val="en-GB"/>
              </w:rPr>
            </w:pPr>
            <w:r w:rsidRPr="00CD62D8">
              <w:rPr>
                <w:rFonts w:ascii="Cambria" w:hAnsi="Cambria"/>
                <w:sz w:val="20"/>
                <w:szCs w:val="20"/>
                <w:lang w:val="en-GB"/>
              </w:rPr>
              <w:t>Please see our full fishing/management plan in PA4_801_</w:t>
            </w:r>
            <w:r w:rsidRPr="007D07EA">
              <w:rPr>
                <w:rFonts w:ascii="Cambria" w:hAnsi="Cambria"/>
                <w:sz w:val="20"/>
                <w:szCs w:val="20"/>
                <w:lang w:val="en-GB"/>
              </w:rPr>
              <w:t>Annex 1/2024 (</w:t>
            </w:r>
            <w:hyperlink r:id="rId10" w:history="1">
              <w:r w:rsidRPr="007D07EA">
                <w:rPr>
                  <w:rStyle w:val="Hyperlink"/>
                  <w:rFonts w:ascii="Cambria" w:hAnsi="Cambria"/>
                  <w:sz w:val="20"/>
                  <w:szCs w:val="20"/>
                  <w:u w:val="none"/>
                  <w:lang w:val="en-GB"/>
                </w:rPr>
                <w:t>https://www.iccat.int/com2024/A</w:t>
              </w:r>
              <w:r w:rsidRPr="007D07EA">
                <w:rPr>
                  <w:rStyle w:val="Hyperlink"/>
                  <w:rFonts w:ascii="Cambria" w:hAnsi="Cambria"/>
                  <w:sz w:val="20"/>
                  <w:szCs w:val="20"/>
                  <w:u w:val="none"/>
                  <w:lang w:val="en-GB"/>
                </w:rPr>
                <w:t>n</w:t>
              </w:r>
              <w:r w:rsidRPr="007D07EA">
                <w:rPr>
                  <w:rStyle w:val="Hyperlink"/>
                  <w:rFonts w:ascii="Cambria" w:hAnsi="Cambria"/>
                  <w:sz w:val="20"/>
                  <w:szCs w:val="20"/>
                  <w:u w:val="none"/>
                  <w:lang w:val="en-GB"/>
                </w:rPr>
                <w:t>nex/PA4_801_Annex1.pdf</w:t>
              </w:r>
            </w:hyperlink>
            <w:r w:rsidRPr="007D07EA">
              <w:rPr>
                <w:rFonts w:ascii="Cambria" w:hAnsi="Cambria"/>
                <w:sz w:val="20"/>
                <w:szCs w:val="20"/>
                <w:lang w:val="en-GB"/>
              </w:rPr>
              <w:t>) for more detailed information</w:t>
            </w:r>
            <w:r w:rsidRPr="00CD62D8">
              <w:rPr>
                <w:rFonts w:ascii="Cambria" w:hAnsi="Cambria"/>
                <w:sz w:val="20"/>
                <w:szCs w:val="20"/>
                <w:lang w:val="en-GB"/>
              </w:rPr>
              <w:t xml:space="preserve">. Atlantic swordfish management actions in the United States are developed, coordinated, and implemented through a single Fishery Management Plan (FMP), the 2006 Consolidated Atlantic Highly Migratory Species FMP, which is issued under the jurisdiction of the NOAA National Marine Fisheries Service. Recommendations adopted by ICCAT, including annual quota allocations to the United States, are implemented in the United States by regulation under the authority of the Atlantic Tunas Convention Act. The annual U.S. swordfish quota allocation is divided into equal semi-annual directed fishery quotas (all commercial landings), an annual incidental catch quota for fishermen targeting other species or taking swordfish recreationally, and a reserve category. Domestic legislation, including the Magnuson-Stevens Fishery Conservation and Management Act, the Endangered Species Act, and the Marine Mammal </w:t>
            </w:r>
            <w:r w:rsidRPr="00CD62D8">
              <w:rPr>
                <w:rFonts w:ascii="Cambria" w:hAnsi="Cambria"/>
                <w:sz w:val="20"/>
                <w:szCs w:val="20"/>
                <w:lang w:val="en-GB"/>
              </w:rPr>
              <w:lastRenderedPageBreak/>
              <w:t xml:space="preserve">Protection Act, also result in requirements for conservation and management measures for both recreational and commercial sectors. Management measures as detailed in our full plan </w:t>
            </w:r>
            <w:proofErr w:type="gramStart"/>
            <w:r w:rsidRPr="00CD62D8">
              <w:rPr>
                <w:rFonts w:ascii="Cambria" w:hAnsi="Cambria"/>
                <w:sz w:val="20"/>
                <w:szCs w:val="20"/>
                <w:lang w:val="en-GB"/>
              </w:rPr>
              <w:t>include:</w:t>
            </w:r>
            <w:proofErr w:type="gramEnd"/>
            <w:r w:rsidRPr="00CD62D8">
              <w:rPr>
                <w:rFonts w:ascii="Cambria" w:hAnsi="Cambria"/>
                <w:sz w:val="20"/>
                <w:szCs w:val="20"/>
                <w:lang w:val="en-GB"/>
              </w:rPr>
              <w:t xml:space="preserve"> permitting and effort controls, minimum size and landing requirements, gear authorization, retention limits, time &amp; area closures and gear restricted areas, reporting requirements, monitoring and reporting, bycatch reduction, and enforcement of swordfish regulations.</w:t>
            </w:r>
          </w:p>
        </w:tc>
        <w:tc>
          <w:tcPr>
            <w:tcW w:w="2835" w:type="dxa"/>
            <w:tcBorders>
              <w:bottom w:val="single" w:sz="4" w:space="0" w:color="auto"/>
              <w:right w:val="single" w:sz="4" w:space="0" w:color="auto"/>
            </w:tcBorders>
          </w:tcPr>
          <w:p w14:paraId="73F5E469" w14:textId="5BB9219D" w:rsidR="00305950" w:rsidRPr="00CD62D8" w:rsidRDefault="00305950" w:rsidP="00102FBE">
            <w:pPr>
              <w:spacing w:after="0" w:line="240" w:lineRule="auto"/>
              <w:jc w:val="both"/>
              <w:rPr>
                <w:rFonts w:ascii="Cambria" w:hAnsi="Cambria"/>
                <w:sz w:val="20"/>
                <w:szCs w:val="20"/>
                <w:lang w:val="en-GB"/>
              </w:rPr>
            </w:pPr>
            <w:r w:rsidRPr="00CD62D8">
              <w:rPr>
                <w:rFonts w:ascii="Cambria" w:hAnsi="Cambria"/>
                <w:sz w:val="20"/>
                <w:szCs w:val="20"/>
                <w:lang w:val="en-GB"/>
              </w:rPr>
              <w:lastRenderedPageBreak/>
              <w:t xml:space="preserve">The United States has also demonstrated cooperation with other CPCs for the sustainable use of the stock. In 2024, in accordance with Rec. 23-04, the United States made a one-time transfer of 200 t of its North Atlantic swordfish quota to Morocco. In 2025, in accordance with Rec. 24-10, the United States made a one-time quota transfer of 300 t to Costa Rica. These transfers serve to facilitate cooperative management efforts between ICCAT </w:t>
            </w:r>
            <w:r w:rsidR="00BF5C96" w:rsidRPr="00CD62D8">
              <w:rPr>
                <w:rFonts w:ascii="Cambria" w:hAnsi="Cambria"/>
                <w:sz w:val="20"/>
                <w:szCs w:val="20"/>
                <w:lang w:val="en-GB"/>
              </w:rPr>
              <w:t>C</w:t>
            </w:r>
            <w:r w:rsidRPr="00CD62D8">
              <w:rPr>
                <w:rFonts w:ascii="Cambria" w:hAnsi="Cambria"/>
                <w:sz w:val="20"/>
                <w:szCs w:val="20"/>
                <w:lang w:val="en-GB"/>
              </w:rPr>
              <w:t xml:space="preserve">ontracting </w:t>
            </w:r>
            <w:r w:rsidR="00BF5C96" w:rsidRPr="00CD62D8">
              <w:rPr>
                <w:rFonts w:ascii="Cambria" w:hAnsi="Cambria"/>
                <w:sz w:val="20"/>
                <w:szCs w:val="20"/>
                <w:lang w:val="en-GB"/>
              </w:rPr>
              <w:t>P</w:t>
            </w:r>
            <w:r w:rsidRPr="00CD62D8">
              <w:rPr>
                <w:rFonts w:ascii="Cambria" w:hAnsi="Cambria"/>
                <w:sz w:val="20"/>
                <w:szCs w:val="20"/>
                <w:lang w:val="en-GB"/>
              </w:rPr>
              <w:t>arties. Please see our full fishing/management plan in PA4_801_Annex 1/2024 (</w:t>
            </w:r>
            <w:hyperlink r:id="rId11" w:history="1">
              <w:r w:rsidRPr="004C5245">
                <w:rPr>
                  <w:rStyle w:val="Hyperlink"/>
                  <w:rFonts w:ascii="Cambria" w:hAnsi="Cambria"/>
                  <w:sz w:val="20"/>
                  <w:szCs w:val="20"/>
                  <w:u w:val="none"/>
                  <w:lang w:val="en-GB"/>
                </w:rPr>
                <w:t>https://www.iccat.int/com2024/Annex/PA4_801_Annex1.pdf</w:t>
              </w:r>
            </w:hyperlink>
            <w:r w:rsidRPr="004C5245">
              <w:rPr>
                <w:rFonts w:ascii="Cambria" w:hAnsi="Cambria"/>
                <w:sz w:val="20"/>
                <w:szCs w:val="20"/>
                <w:lang w:val="en-GB"/>
              </w:rPr>
              <w:t>)</w:t>
            </w:r>
            <w:r w:rsidRPr="00CD62D8">
              <w:rPr>
                <w:rFonts w:ascii="Cambria" w:hAnsi="Cambria"/>
                <w:sz w:val="20"/>
                <w:szCs w:val="20"/>
                <w:lang w:val="en-GB"/>
              </w:rPr>
              <w:t xml:space="preserve"> for more detailed information on fishery development and changes to domestic management measures. In recent years, the United States has proposed or implemented management measures intended to benefit the U.S. pelagic longline vessels and commercial </w:t>
            </w:r>
            <w:proofErr w:type="spellStart"/>
            <w:r w:rsidRPr="00CD62D8">
              <w:rPr>
                <w:rFonts w:ascii="Cambria" w:hAnsi="Cambria"/>
                <w:sz w:val="20"/>
                <w:szCs w:val="20"/>
                <w:lang w:val="en-GB"/>
              </w:rPr>
              <w:t>handgear</w:t>
            </w:r>
            <w:proofErr w:type="spellEnd"/>
            <w:r w:rsidRPr="00CD62D8">
              <w:rPr>
                <w:rFonts w:ascii="Cambria" w:hAnsi="Cambria"/>
                <w:sz w:val="20"/>
                <w:szCs w:val="20"/>
                <w:lang w:val="en-GB"/>
              </w:rPr>
              <w:t xml:space="preserve"> vessels that target swordfish. Some of the most substantial changes were implemented in 2023 or have not yet been finalized, so their benefits to the fishery may not </w:t>
            </w:r>
            <w:r w:rsidRPr="00CD62D8">
              <w:rPr>
                <w:rFonts w:ascii="Cambria" w:hAnsi="Cambria"/>
                <w:sz w:val="20"/>
                <w:szCs w:val="20"/>
                <w:lang w:val="en-GB"/>
              </w:rPr>
              <w:lastRenderedPageBreak/>
              <w:t>yet be reflected in catch trends. In addition, the United States is currently developing rulemaking to implement the management procedure under Rec. 24-10, allowing for streamlined implementation of domestic quotas. The United States is further pursuing ways to improve fisheries management and science within the requirements of applicable laws, as required in an Executive Order on Restoring American Seafood Competitiveness.</w:t>
            </w:r>
          </w:p>
        </w:tc>
        <w:tc>
          <w:tcPr>
            <w:tcW w:w="236" w:type="dxa"/>
            <w:tcBorders>
              <w:top w:val="nil"/>
              <w:left w:val="single" w:sz="4" w:space="0" w:color="auto"/>
              <w:bottom w:val="nil"/>
              <w:right w:val="nil"/>
            </w:tcBorders>
            <w:vAlign w:val="center"/>
          </w:tcPr>
          <w:p w14:paraId="3B488449" w14:textId="77777777" w:rsidR="00305950" w:rsidRPr="00CD62D8" w:rsidRDefault="00305950" w:rsidP="00102FBE">
            <w:pPr>
              <w:spacing w:after="0" w:line="240" w:lineRule="auto"/>
              <w:rPr>
                <w:rFonts w:ascii="Cambria" w:eastAsia="Times New Roman" w:hAnsi="Cambria" w:cs="Times New Roman"/>
                <w:sz w:val="20"/>
                <w:szCs w:val="20"/>
                <w:lang w:val="en-GB"/>
              </w:rPr>
            </w:pPr>
          </w:p>
        </w:tc>
      </w:tr>
      <w:tr w:rsidR="00305950" w:rsidRPr="00CD62D8" w14:paraId="3EA537A2" w14:textId="77777777" w:rsidTr="00140AA1">
        <w:tc>
          <w:tcPr>
            <w:tcW w:w="1164" w:type="dxa"/>
            <w:noWrap/>
            <w:vAlign w:val="center"/>
          </w:tcPr>
          <w:p w14:paraId="7A2B8D27" w14:textId="57D2DA04" w:rsidR="00305950" w:rsidRPr="00CD62D8" w:rsidRDefault="00305950" w:rsidP="00102FBE">
            <w:pPr>
              <w:spacing w:after="0" w:line="240" w:lineRule="auto"/>
              <w:jc w:val="center"/>
              <w:rPr>
                <w:rFonts w:ascii="Cambria" w:eastAsia="Times New Roman" w:hAnsi="Cambria" w:cs="Calibri"/>
                <w:b/>
                <w:bCs/>
                <w:color w:val="000000"/>
                <w:sz w:val="18"/>
                <w:szCs w:val="18"/>
                <w:lang w:val="fr-FR"/>
              </w:rPr>
            </w:pPr>
            <w:r w:rsidRPr="00CD62D8">
              <w:rPr>
                <w:rFonts w:ascii="Cambria" w:eastAsia="Times New Roman" w:hAnsi="Cambria" w:cs="Calibri"/>
                <w:b/>
                <w:bCs/>
                <w:color w:val="000000"/>
                <w:sz w:val="18"/>
                <w:szCs w:val="18"/>
                <w:lang w:val="fr-FR"/>
              </w:rPr>
              <w:t>Venezuela</w:t>
            </w:r>
          </w:p>
        </w:tc>
        <w:tc>
          <w:tcPr>
            <w:tcW w:w="914" w:type="dxa"/>
            <w:noWrap/>
            <w:vAlign w:val="center"/>
          </w:tcPr>
          <w:p w14:paraId="73D317F6" w14:textId="00801657" w:rsidR="00305950" w:rsidRPr="00CD62D8" w:rsidRDefault="001A06EC"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No</w:t>
            </w:r>
          </w:p>
        </w:tc>
        <w:tc>
          <w:tcPr>
            <w:tcW w:w="1026" w:type="dxa"/>
            <w:vAlign w:val="center"/>
          </w:tcPr>
          <w:p w14:paraId="044B2FE2" w14:textId="081DDAC6" w:rsidR="00305950" w:rsidRPr="00CD62D8" w:rsidRDefault="001A06EC"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85</w:t>
            </w:r>
          </w:p>
        </w:tc>
        <w:tc>
          <w:tcPr>
            <w:tcW w:w="841" w:type="dxa"/>
            <w:noWrap/>
            <w:vAlign w:val="center"/>
          </w:tcPr>
          <w:p w14:paraId="537899C9" w14:textId="6AB6E9E1" w:rsidR="00305950" w:rsidRPr="00CD62D8" w:rsidRDefault="001A06EC"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30</w:t>
            </w:r>
          </w:p>
        </w:tc>
        <w:tc>
          <w:tcPr>
            <w:tcW w:w="728" w:type="dxa"/>
            <w:noWrap/>
            <w:vAlign w:val="center"/>
          </w:tcPr>
          <w:p w14:paraId="54B0A60F" w14:textId="5BA8954E" w:rsidR="00305950" w:rsidRPr="00CD62D8" w:rsidRDefault="001A06EC" w:rsidP="00102FBE">
            <w:pPr>
              <w:spacing w:after="0" w:line="240" w:lineRule="auto"/>
              <w:jc w:val="center"/>
              <w:rPr>
                <w:rFonts w:ascii="Cambria" w:eastAsia="Times New Roman" w:hAnsi="Cambria" w:cs="Calibri"/>
                <w:color w:val="000000"/>
                <w:sz w:val="18"/>
                <w:szCs w:val="18"/>
                <w:lang w:val="fr-FR"/>
              </w:rPr>
            </w:pPr>
            <w:r w:rsidRPr="00CD62D8">
              <w:rPr>
                <w:rFonts w:ascii="Cambria" w:eastAsia="Times New Roman" w:hAnsi="Cambria" w:cs="Calibri"/>
                <w:color w:val="000000"/>
                <w:sz w:val="18"/>
                <w:szCs w:val="18"/>
                <w:lang w:val="fr-FR"/>
              </w:rPr>
              <w:t>LL</w:t>
            </w:r>
          </w:p>
        </w:tc>
        <w:tc>
          <w:tcPr>
            <w:tcW w:w="851" w:type="dxa"/>
            <w:noWrap/>
            <w:vAlign w:val="center"/>
          </w:tcPr>
          <w:p w14:paraId="17DF78D3"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732AF54A"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p>
        </w:tc>
        <w:tc>
          <w:tcPr>
            <w:tcW w:w="739" w:type="dxa"/>
            <w:noWrap/>
            <w:vAlign w:val="center"/>
          </w:tcPr>
          <w:p w14:paraId="52111264" w14:textId="77777777" w:rsidR="00305950" w:rsidRPr="00CD62D8" w:rsidRDefault="00305950" w:rsidP="00102FBE">
            <w:pPr>
              <w:spacing w:after="0" w:line="240" w:lineRule="auto"/>
              <w:jc w:val="center"/>
              <w:rPr>
                <w:rFonts w:ascii="Cambria" w:eastAsia="Times New Roman" w:hAnsi="Cambria" w:cs="Calibri"/>
                <w:color w:val="000000"/>
                <w:sz w:val="18"/>
                <w:szCs w:val="18"/>
                <w:lang w:val="fr-FR"/>
              </w:rPr>
            </w:pPr>
          </w:p>
        </w:tc>
        <w:tc>
          <w:tcPr>
            <w:tcW w:w="973" w:type="dxa"/>
            <w:noWrap/>
            <w:vAlign w:val="center"/>
          </w:tcPr>
          <w:p w14:paraId="73FB5F91" w14:textId="77777777" w:rsidR="00305950" w:rsidRPr="00CD62D8" w:rsidRDefault="00305950" w:rsidP="00102FBE">
            <w:pPr>
              <w:spacing w:after="0" w:line="240" w:lineRule="auto"/>
              <w:jc w:val="center"/>
              <w:rPr>
                <w:rFonts w:ascii="Cambria" w:eastAsia="Times New Roman" w:hAnsi="Cambria" w:cs="Calibri"/>
                <w:color w:val="000000"/>
                <w:sz w:val="20"/>
                <w:szCs w:val="20"/>
                <w:lang w:val="fr-FR"/>
              </w:rPr>
            </w:pPr>
          </w:p>
        </w:tc>
        <w:tc>
          <w:tcPr>
            <w:tcW w:w="2966" w:type="dxa"/>
          </w:tcPr>
          <w:p w14:paraId="0D8E2455" w14:textId="38D38F3F" w:rsidR="00305950" w:rsidRPr="00CD62D8" w:rsidRDefault="005A2F40" w:rsidP="00102FBE">
            <w:pPr>
              <w:spacing w:after="0" w:line="240" w:lineRule="auto"/>
              <w:jc w:val="both"/>
              <w:rPr>
                <w:rFonts w:ascii="Cambria" w:hAnsi="Cambria"/>
                <w:sz w:val="20"/>
                <w:szCs w:val="20"/>
              </w:rPr>
            </w:pPr>
            <w:r w:rsidRPr="00CD62D8">
              <w:rPr>
                <w:rFonts w:ascii="Cambria" w:hAnsi="Cambria"/>
                <w:sz w:val="20"/>
                <w:szCs w:val="20"/>
              </w:rPr>
              <w:t xml:space="preserve">Internal management measures currently in force: </w:t>
            </w:r>
            <w:r w:rsidR="0009253F" w:rsidRPr="00CD62D8">
              <w:rPr>
                <w:rFonts w:ascii="Cambria" w:hAnsi="Cambria"/>
                <w:sz w:val="20"/>
                <w:szCs w:val="20"/>
              </w:rPr>
              <w:t xml:space="preserve">Article 4 of </w:t>
            </w:r>
            <w:r w:rsidRPr="00CD62D8">
              <w:rPr>
                <w:rFonts w:ascii="Cambria" w:hAnsi="Cambria"/>
                <w:sz w:val="20"/>
                <w:szCs w:val="20"/>
              </w:rPr>
              <w:t>A</w:t>
            </w:r>
            <w:r w:rsidR="003D6305" w:rsidRPr="00CD62D8">
              <w:rPr>
                <w:rFonts w:ascii="Cambria" w:hAnsi="Cambria"/>
                <w:sz w:val="20"/>
                <w:szCs w:val="20"/>
              </w:rPr>
              <w:t>dministrative Ruling</w:t>
            </w:r>
            <w:r w:rsidRPr="00CD62D8">
              <w:rPr>
                <w:rFonts w:ascii="Cambria" w:hAnsi="Cambria"/>
                <w:sz w:val="20"/>
                <w:szCs w:val="20"/>
              </w:rPr>
              <w:t xml:space="preserve"> No. 69/2003 08</w:t>
            </w:r>
            <w:r w:rsidR="003D6305" w:rsidRPr="00CD62D8">
              <w:rPr>
                <w:rFonts w:ascii="Cambria" w:hAnsi="Cambria"/>
                <w:sz w:val="20"/>
                <w:szCs w:val="20"/>
              </w:rPr>
              <w:t>-</w:t>
            </w:r>
            <w:r w:rsidRPr="00CD62D8">
              <w:rPr>
                <w:rFonts w:ascii="Cambria" w:hAnsi="Cambria"/>
                <w:sz w:val="20"/>
                <w:szCs w:val="20"/>
              </w:rPr>
              <w:t>09</w:t>
            </w:r>
            <w:r w:rsidR="003D6305" w:rsidRPr="00CD62D8">
              <w:rPr>
                <w:rFonts w:ascii="Cambria" w:hAnsi="Cambria"/>
                <w:sz w:val="20"/>
                <w:szCs w:val="20"/>
              </w:rPr>
              <w:t>-</w:t>
            </w:r>
            <w:r w:rsidRPr="00CD62D8">
              <w:rPr>
                <w:rFonts w:ascii="Cambria" w:hAnsi="Cambria"/>
                <w:sz w:val="20"/>
                <w:szCs w:val="20"/>
              </w:rPr>
              <w:t xml:space="preserve">2003 published in Official Gazette No. 37,787 dated 1 October 2003, establishes a fishing protection </w:t>
            </w:r>
            <w:r w:rsidR="009006C5" w:rsidRPr="00CD62D8">
              <w:rPr>
                <w:rFonts w:ascii="Cambria" w:hAnsi="Cambria"/>
                <w:sz w:val="20"/>
                <w:szCs w:val="20"/>
              </w:rPr>
              <w:t>area</w:t>
            </w:r>
            <w:r w:rsidRPr="00CD62D8">
              <w:rPr>
                <w:rFonts w:ascii="Cambria" w:hAnsi="Cambria"/>
                <w:sz w:val="20"/>
                <w:szCs w:val="20"/>
              </w:rPr>
              <w:t xml:space="preserve"> where</w:t>
            </w:r>
            <w:r w:rsidR="00FE38A8" w:rsidRPr="00CD62D8">
              <w:rPr>
                <w:rFonts w:ascii="Cambria" w:hAnsi="Cambria"/>
                <w:sz w:val="20"/>
                <w:szCs w:val="20"/>
              </w:rPr>
              <w:t xml:space="preserve"> it is prohibited to catch</w:t>
            </w:r>
            <w:r w:rsidRPr="00CD62D8">
              <w:rPr>
                <w:rFonts w:ascii="Cambria" w:hAnsi="Cambria"/>
                <w:sz w:val="20"/>
                <w:szCs w:val="20"/>
              </w:rPr>
              <w:t xml:space="preserve"> species of the </w:t>
            </w:r>
            <w:proofErr w:type="spellStart"/>
            <w:r w:rsidRPr="00CD62D8">
              <w:rPr>
                <w:rFonts w:ascii="Cambria" w:hAnsi="Cambria"/>
                <w:sz w:val="20"/>
                <w:szCs w:val="20"/>
              </w:rPr>
              <w:t>Xiphidae</w:t>
            </w:r>
            <w:proofErr w:type="spellEnd"/>
            <w:r w:rsidRPr="00CD62D8">
              <w:rPr>
                <w:rFonts w:ascii="Cambria" w:hAnsi="Cambria"/>
                <w:sz w:val="20"/>
                <w:szCs w:val="20"/>
              </w:rPr>
              <w:t xml:space="preserve"> and </w:t>
            </w:r>
            <w:proofErr w:type="spellStart"/>
            <w:r w:rsidRPr="00CD62D8">
              <w:rPr>
                <w:rFonts w:ascii="Cambria" w:hAnsi="Cambria"/>
                <w:sz w:val="20"/>
                <w:szCs w:val="20"/>
              </w:rPr>
              <w:t>Istiophoridae</w:t>
            </w:r>
            <w:proofErr w:type="spellEnd"/>
            <w:r w:rsidRPr="00CD62D8">
              <w:rPr>
                <w:rFonts w:ascii="Cambria" w:hAnsi="Cambria"/>
                <w:sz w:val="20"/>
                <w:szCs w:val="20"/>
              </w:rPr>
              <w:t xml:space="preserve"> families </w:t>
            </w:r>
            <w:r w:rsidR="00A27E1F" w:rsidRPr="00CD62D8">
              <w:rPr>
                <w:rFonts w:ascii="Cambria" w:hAnsi="Cambria"/>
                <w:sz w:val="20"/>
                <w:szCs w:val="20"/>
              </w:rPr>
              <w:t>for</w:t>
            </w:r>
            <w:r w:rsidRPr="00CD62D8">
              <w:rPr>
                <w:rFonts w:ascii="Cambria" w:hAnsi="Cambria"/>
                <w:sz w:val="20"/>
                <w:szCs w:val="20"/>
              </w:rPr>
              <w:t xml:space="preserve"> commercial vessels with a GT of more t</w:t>
            </w:r>
            <w:r w:rsidR="00A27E1F" w:rsidRPr="00CD62D8">
              <w:rPr>
                <w:rFonts w:ascii="Cambria" w:hAnsi="Cambria"/>
                <w:sz w:val="20"/>
                <w:szCs w:val="20"/>
              </w:rPr>
              <w:t>han</w:t>
            </w:r>
            <w:r w:rsidRPr="00CD62D8">
              <w:rPr>
                <w:rFonts w:ascii="Cambria" w:hAnsi="Cambria"/>
                <w:sz w:val="20"/>
                <w:szCs w:val="20"/>
              </w:rPr>
              <w:t xml:space="preserve"> 10 and artisanal vessels, except for a small fleet of 35 artisanal vessels</w:t>
            </w:r>
            <w:r w:rsidR="00734CFC" w:rsidRPr="00CD62D8">
              <w:rPr>
                <w:rFonts w:ascii="Cambria" w:hAnsi="Cambria"/>
                <w:sz w:val="20"/>
                <w:szCs w:val="20"/>
              </w:rPr>
              <w:t xml:space="preserve"> which operates in the</w:t>
            </w:r>
            <w:r w:rsidRPr="00CD62D8">
              <w:rPr>
                <w:rFonts w:ascii="Cambria" w:hAnsi="Cambria"/>
                <w:sz w:val="20"/>
                <w:szCs w:val="20"/>
              </w:rPr>
              <w:t xml:space="preserve"> Playa Verde sector</w:t>
            </w:r>
            <w:r w:rsidR="00734CFC" w:rsidRPr="00CD62D8">
              <w:rPr>
                <w:rFonts w:ascii="Cambria" w:hAnsi="Cambria"/>
                <w:sz w:val="20"/>
                <w:szCs w:val="20"/>
              </w:rPr>
              <w:t>,</w:t>
            </w:r>
            <w:r w:rsidR="0051366A" w:rsidRPr="00CD62D8">
              <w:rPr>
                <w:rFonts w:ascii="Cambria" w:hAnsi="Cambria"/>
                <w:sz w:val="20"/>
                <w:szCs w:val="20"/>
              </w:rPr>
              <w:t xml:space="preserve"> i</w:t>
            </w:r>
            <w:r w:rsidRPr="00CD62D8">
              <w:rPr>
                <w:rFonts w:ascii="Cambria" w:hAnsi="Cambria"/>
                <w:sz w:val="20"/>
                <w:szCs w:val="20"/>
              </w:rPr>
              <w:t>n the State of La Guaira.</w:t>
            </w:r>
          </w:p>
        </w:tc>
        <w:tc>
          <w:tcPr>
            <w:tcW w:w="2835" w:type="dxa"/>
            <w:tcBorders>
              <w:bottom w:val="single" w:sz="4" w:space="0" w:color="auto"/>
              <w:right w:val="single" w:sz="4" w:space="0" w:color="auto"/>
            </w:tcBorders>
          </w:tcPr>
          <w:p w14:paraId="2A022438" w14:textId="54B17CB4" w:rsidR="005A2F40" w:rsidRPr="00CD62D8" w:rsidRDefault="005A2F40" w:rsidP="00102FBE">
            <w:pPr>
              <w:spacing w:after="0" w:line="240" w:lineRule="auto"/>
              <w:jc w:val="both"/>
              <w:rPr>
                <w:rFonts w:ascii="Cambria" w:hAnsi="Cambria"/>
                <w:sz w:val="20"/>
                <w:szCs w:val="20"/>
              </w:rPr>
            </w:pPr>
            <w:r w:rsidRPr="00CD62D8">
              <w:rPr>
                <w:rFonts w:ascii="Cambria" w:hAnsi="Cambria"/>
                <w:sz w:val="20"/>
                <w:szCs w:val="20"/>
              </w:rPr>
              <w:t>Plans to develop the fishery and internal management measures are contemplated. A draft Technical Standard for Fisheries Management was prepared to update the standard</w:t>
            </w:r>
            <w:r w:rsidR="00F83E9B" w:rsidRPr="00CD62D8">
              <w:rPr>
                <w:rFonts w:ascii="Cambria" w:hAnsi="Cambria"/>
                <w:sz w:val="20"/>
                <w:szCs w:val="20"/>
              </w:rPr>
              <w:t xml:space="preserve"> that</w:t>
            </w:r>
            <w:r w:rsidRPr="00CD62D8">
              <w:rPr>
                <w:rFonts w:ascii="Cambria" w:hAnsi="Cambria"/>
                <w:sz w:val="20"/>
                <w:szCs w:val="20"/>
              </w:rPr>
              <w:t xml:space="preserve"> regulat</w:t>
            </w:r>
            <w:r w:rsidR="00F83E9B" w:rsidRPr="00CD62D8">
              <w:rPr>
                <w:rFonts w:ascii="Cambria" w:hAnsi="Cambria"/>
                <w:sz w:val="20"/>
                <w:szCs w:val="20"/>
              </w:rPr>
              <w:t xml:space="preserve">es catching fish </w:t>
            </w:r>
            <w:r w:rsidR="00986A16" w:rsidRPr="00CD62D8">
              <w:rPr>
                <w:rFonts w:ascii="Cambria" w:hAnsi="Cambria"/>
                <w:sz w:val="20"/>
                <w:szCs w:val="20"/>
              </w:rPr>
              <w:t>of</w:t>
            </w:r>
            <w:r w:rsidRPr="00CD62D8">
              <w:rPr>
                <w:rFonts w:ascii="Cambria" w:hAnsi="Cambria"/>
                <w:sz w:val="20"/>
                <w:szCs w:val="20"/>
              </w:rPr>
              <w:t xml:space="preserve"> the </w:t>
            </w:r>
            <w:proofErr w:type="spellStart"/>
            <w:r w:rsidRPr="00CD62D8">
              <w:rPr>
                <w:rFonts w:ascii="Cambria" w:hAnsi="Cambria"/>
                <w:sz w:val="20"/>
                <w:szCs w:val="20"/>
              </w:rPr>
              <w:t>Istiophoridae</w:t>
            </w:r>
            <w:proofErr w:type="spellEnd"/>
            <w:r w:rsidRPr="00CD62D8">
              <w:rPr>
                <w:rFonts w:ascii="Cambria" w:hAnsi="Cambria"/>
                <w:sz w:val="20"/>
                <w:szCs w:val="20"/>
              </w:rPr>
              <w:t xml:space="preserve"> and </w:t>
            </w:r>
            <w:proofErr w:type="spellStart"/>
            <w:r w:rsidRPr="00CD62D8">
              <w:rPr>
                <w:rFonts w:ascii="Cambria" w:hAnsi="Cambria"/>
                <w:sz w:val="20"/>
                <w:szCs w:val="20"/>
              </w:rPr>
              <w:t>Xiphiidae</w:t>
            </w:r>
            <w:proofErr w:type="spellEnd"/>
            <w:r w:rsidRPr="00CD62D8">
              <w:rPr>
                <w:rFonts w:ascii="Cambria" w:hAnsi="Cambria"/>
                <w:sz w:val="20"/>
                <w:szCs w:val="20"/>
              </w:rPr>
              <w:t xml:space="preserve"> families</w:t>
            </w:r>
            <w:r w:rsidR="00900886" w:rsidRPr="00CD62D8">
              <w:rPr>
                <w:rFonts w:ascii="Cambria" w:hAnsi="Cambria"/>
                <w:sz w:val="20"/>
                <w:szCs w:val="20"/>
              </w:rPr>
              <w:t>. The intention is</w:t>
            </w:r>
            <w:r w:rsidRPr="00CD62D8">
              <w:rPr>
                <w:rFonts w:ascii="Cambria" w:hAnsi="Cambria"/>
                <w:sz w:val="20"/>
                <w:szCs w:val="20"/>
              </w:rPr>
              <w:t xml:space="preserve"> to create two new standards separating the regulations for the </w:t>
            </w:r>
            <w:proofErr w:type="spellStart"/>
            <w:r w:rsidRPr="00CD62D8">
              <w:rPr>
                <w:rFonts w:ascii="Cambria" w:hAnsi="Cambria"/>
                <w:sz w:val="20"/>
                <w:szCs w:val="20"/>
              </w:rPr>
              <w:t>Xiphiidae</w:t>
            </w:r>
            <w:proofErr w:type="spellEnd"/>
            <w:r w:rsidRPr="00CD62D8">
              <w:rPr>
                <w:rFonts w:ascii="Cambria" w:hAnsi="Cambria"/>
                <w:sz w:val="20"/>
                <w:szCs w:val="20"/>
              </w:rPr>
              <w:t xml:space="preserve"> and </w:t>
            </w:r>
            <w:proofErr w:type="spellStart"/>
            <w:r w:rsidRPr="00CD62D8">
              <w:rPr>
                <w:rFonts w:ascii="Cambria" w:hAnsi="Cambria"/>
                <w:sz w:val="20"/>
                <w:szCs w:val="20"/>
              </w:rPr>
              <w:t>Istiophoridae</w:t>
            </w:r>
            <w:proofErr w:type="spellEnd"/>
            <w:r w:rsidRPr="00CD62D8">
              <w:rPr>
                <w:rFonts w:ascii="Cambria" w:hAnsi="Cambria"/>
                <w:sz w:val="20"/>
                <w:szCs w:val="20"/>
              </w:rPr>
              <w:t xml:space="preserve"> families in Venezuela into two different instruments. This draft technical standard is in the process of being approved for official publication. In central Venezuela, some communities </w:t>
            </w:r>
            <w:r w:rsidRPr="00CD62D8">
              <w:rPr>
                <w:rFonts w:ascii="Cambria" w:hAnsi="Cambria"/>
                <w:sz w:val="20"/>
                <w:szCs w:val="20"/>
              </w:rPr>
              <w:lastRenderedPageBreak/>
              <w:t>carry out artisanal fishing activities around the ‘Placer de La Guaira</w:t>
            </w:r>
            <w:r w:rsidR="00922089" w:rsidRPr="00CD62D8">
              <w:rPr>
                <w:rFonts w:ascii="Cambria" w:hAnsi="Cambria"/>
                <w:sz w:val="20"/>
                <w:szCs w:val="20"/>
              </w:rPr>
              <w:t>’ bank,</w:t>
            </w:r>
            <w:r w:rsidRPr="00CD62D8">
              <w:rPr>
                <w:rFonts w:ascii="Cambria" w:hAnsi="Cambria"/>
                <w:sz w:val="20"/>
                <w:szCs w:val="20"/>
              </w:rPr>
              <w:t xml:space="preserve"> one of the most renowned hot spots for </w:t>
            </w:r>
            <w:r w:rsidR="00CE43E6" w:rsidRPr="00CD62D8">
              <w:rPr>
                <w:rFonts w:ascii="Cambria" w:hAnsi="Cambria"/>
                <w:sz w:val="20"/>
                <w:szCs w:val="20"/>
              </w:rPr>
              <w:t>billfish</w:t>
            </w:r>
            <w:r w:rsidRPr="00CD62D8">
              <w:rPr>
                <w:rFonts w:ascii="Cambria" w:hAnsi="Cambria"/>
                <w:sz w:val="20"/>
                <w:szCs w:val="20"/>
              </w:rPr>
              <w:t xml:space="preserve"> in the Atlantic Ocean where marlins </w:t>
            </w:r>
            <w:r w:rsidR="00D97F14" w:rsidRPr="00CD62D8">
              <w:rPr>
                <w:rFonts w:ascii="Cambria" w:hAnsi="Cambria"/>
                <w:sz w:val="20"/>
                <w:szCs w:val="20"/>
              </w:rPr>
              <w:t>aggregate</w:t>
            </w:r>
            <w:r w:rsidRPr="00CD62D8">
              <w:rPr>
                <w:rFonts w:ascii="Cambria" w:hAnsi="Cambria"/>
                <w:sz w:val="20"/>
                <w:szCs w:val="20"/>
              </w:rPr>
              <w:t xml:space="preserve">. </w:t>
            </w:r>
            <w:r w:rsidR="006F5521" w:rsidRPr="00CD62D8">
              <w:rPr>
                <w:rFonts w:ascii="Cambria" w:hAnsi="Cambria"/>
                <w:sz w:val="20"/>
                <w:szCs w:val="20"/>
              </w:rPr>
              <w:t xml:space="preserve">Swordfish </w:t>
            </w:r>
            <w:proofErr w:type="gramStart"/>
            <w:r w:rsidR="006F5521" w:rsidRPr="00CD62D8">
              <w:rPr>
                <w:rFonts w:ascii="Cambria" w:hAnsi="Cambria"/>
                <w:sz w:val="20"/>
                <w:szCs w:val="20"/>
              </w:rPr>
              <w:t>is</w:t>
            </w:r>
            <w:proofErr w:type="gramEnd"/>
            <w:r w:rsidR="006F5521" w:rsidRPr="00CD62D8">
              <w:rPr>
                <w:rFonts w:ascii="Cambria" w:hAnsi="Cambria"/>
                <w:sz w:val="20"/>
                <w:szCs w:val="20"/>
              </w:rPr>
              <w:t xml:space="preserve"> one of the </w:t>
            </w:r>
            <w:r w:rsidR="00A948B8" w:rsidRPr="00CD62D8">
              <w:rPr>
                <w:rFonts w:ascii="Cambria" w:hAnsi="Cambria"/>
                <w:sz w:val="20"/>
                <w:szCs w:val="20"/>
              </w:rPr>
              <w:t xml:space="preserve">resources caught, and </w:t>
            </w:r>
            <w:r w:rsidRPr="00CD62D8">
              <w:rPr>
                <w:rFonts w:ascii="Cambria" w:hAnsi="Cambria"/>
                <w:sz w:val="20"/>
                <w:szCs w:val="20"/>
              </w:rPr>
              <w:t xml:space="preserve">at specific times of </w:t>
            </w:r>
            <w:r w:rsidR="00F80A77" w:rsidRPr="00CD62D8">
              <w:rPr>
                <w:rFonts w:ascii="Cambria" w:hAnsi="Cambria"/>
                <w:sz w:val="20"/>
                <w:szCs w:val="20"/>
              </w:rPr>
              <w:t xml:space="preserve">the </w:t>
            </w:r>
            <w:r w:rsidRPr="00CD62D8">
              <w:rPr>
                <w:rFonts w:ascii="Cambria" w:hAnsi="Cambria"/>
                <w:sz w:val="20"/>
                <w:szCs w:val="20"/>
              </w:rPr>
              <w:t>year</w:t>
            </w:r>
            <w:r w:rsidR="00F80A77" w:rsidRPr="00CD62D8">
              <w:rPr>
                <w:rFonts w:ascii="Cambria" w:hAnsi="Cambria"/>
                <w:sz w:val="20"/>
                <w:szCs w:val="20"/>
              </w:rPr>
              <w:t>, it can be targeted</w:t>
            </w:r>
            <w:r w:rsidRPr="00CD62D8">
              <w:rPr>
                <w:rFonts w:ascii="Cambria" w:hAnsi="Cambria"/>
                <w:sz w:val="20"/>
                <w:szCs w:val="20"/>
              </w:rPr>
              <w:t xml:space="preserve">. These communities include La Zorra, Arrecife, Puerto Maya, Puerto Cruz, </w:t>
            </w:r>
            <w:proofErr w:type="spellStart"/>
            <w:r w:rsidRPr="00CD62D8">
              <w:rPr>
                <w:rFonts w:ascii="Cambria" w:hAnsi="Cambria"/>
                <w:sz w:val="20"/>
                <w:szCs w:val="20"/>
              </w:rPr>
              <w:t>Caraballeda</w:t>
            </w:r>
            <w:proofErr w:type="spellEnd"/>
            <w:r w:rsidRPr="00CD62D8">
              <w:rPr>
                <w:rFonts w:ascii="Cambria" w:hAnsi="Cambria"/>
                <w:sz w:val="20"/>
                <w:szCs w:val="20"/>
              </w:rPr>
              <w:t xml:space="preserve">, </w:t>
            </w:r>
            <w:proofErr w:type="spellStart"/>
            <w:r w:rsidRPr="00CD62D8">
              <w:rPr>
                <w:rFonts w:ascii="Cambria" w:hAnsi="Cambria"/>
                <w:sz w:val="20"/>
                <w:szCs w:val="20"/>
              </w:rPr>
              <w:t>Chichiriviche</w:t>
            </w:r>
            <w:proofErr w:type="spellEnd"/>
            <w:r w:rsidRPr="00CD62D8">
              <w:rPr>
                <w:rFonts w:ascii="Cambria" w:hAnsi="Cambria"/>
                <w:sz w:val="20"/>
                <w:szCs w:val="20"/>
              </w:rPr>
              <w:t xml:space="preserve">, </w:t>
            </w:r>
            <w:proofErr w:type="spellStart"/>
            <w:r w:rsidRPr="00CD62D8">
              <w:rPr>
                <w:rFonts w:ascii="Cambria" w:hAnsi="Cambria"/>
                <w:sz w:val="20"/>
                <w:szCs w:val="20"/>
              </w:rPr>
              <w:t>Cuyagua</w:t>
            </w:r>
            <w:proofErr w:type="spellEnd"/>
            <w:r w:rsidRPr="00CD62D8">
              <w:rPr>
                <w:rFonts w:ascii="Cambria" w:hAnsi="Cambria"/>
                <w:sz w:val="20"/>
                <w:szCs w:val="20"/>
              </w:rPr>
              <w:t xml:space="preserve">, </w:t>
            </w:r>
            <w:proofErr w:type="spellStart"/>
            <w:r w:rsidRPr="00CD62D8">
              <w:rPr>
                <w:rFonts w:ascii="Cambria" w:hAnsi="Cambria"/>
                <w:sz w:val="20"/>
                <w:szCs w:val="20"/>
              </w:rPr>
              <w:t>Choroni</w:t>
            </w:r>
            <w:proofErr w:type="spellEnd"/>
            <w:r w:rsidRPr="00CD62D8">
              <w:rPr>
                <w:rFonts w:ascii="Cambria" w:hAnsi="Cambria"/>
                <w:sz w:val="20"/>
                <w:szCs w:val="20"/>
              </w:rPr>
              <w:t xml:space="preserve">, </w:t>
            </w:r>
            <w:proofErr w:type="spellStart"/>
            <w:r w:rsidRPr="00CD62D8">
              <w:rPr>
                <w:rFonts w:ascii="Cambria" w:hAnsi="Cambria"/>
                <w:sz w:val="20"/>
                <w:szCs w:val="20"/>
              </w:rPr>
              <w:t>Cepe</w:t>
            </w:r>
            <w:proofErr w:type="spellEnd"/>
            <w:r w:rsidRPr="00CD62D8">
              <w:rPr>
                <w:rFonts w:ascii="Cambria" w:hAnsi="Cambria"/>
                <w:sz w:val="20"/>
                <w:szCs w:val="20"/>
              </w:rPr>
              <w:t xml:space="preserve">, and </w:t>
            </w:r>
            <w:proofErr w:type="spellStart"/>
            <w:r w:rsidRPr="00CD62D8">
              <w:rPr>
                <w:rFonts w:ascii="Cambria" w:hAnsi="Cambria"/>
                <w:sz w:val="20"/>
                <w:szCs w:val="20"/>
              </w:rPr>
              <w:t>Chuao</w:t>
            </w:r>
            <w:proofErr w:type="spellEnd"/>
            <w:r w:rsidRPr="00CD62D8">
              <w:rPr>
                <w:rFonts w:ascii="Cambria" w:hAnsi="Cambria"/>
                <w:sz w:val="20"/>
                <w:szCs w:val="20"/>
              </w:rPr>
              <w:t>.</w:t>
            </w:r>
          </w:p>
          <w:p w14:paraId="17C82311" w14:textId="77777777" w:rsidR="005A2F40" w:rsidRPr="00CD62D8" w:rsidRDefault="005A2F40" w:rsidP="00102FBE">
            <w:pPr>
              <w:spacing w:after="0" w:line="240" w:lineRule="auto"/>
              <w:jc w:val="both"/>
              <w:rPr>
                <w:rFonts w:ascii="Cambria" w:hAnsi="Cambria"/>
                <w:sz w:val="20"/>
                <w:szCs w:val="20"/>
              </w:rPr>
            </w:pPr>
          </w:p>
          <w:p w14:paraId="42461A26" w14:textId="3253A5E5" w:rsidR="005A2F40" w:rsidRPr="00CD62D8" w:rsidRDefault="005A2F40" w:rsidP="00102FBE">
            <w:pPr>
              <w:spacing w:after="0" w:line="240" w:lineRule="auto"/>
              <w:jc w:val="both"/>
              <w:rPr>
                <w:rFonts w:ascii="Cambria" w:hAnsi="Cambria"/>
                <w:sz w:val="20"/>
                <w:szCs w:val="20"/>
              </w:rPr>
            </w:pPr>
            <w:r w:rsidRPr="00CD62D8">
              <w:rPr>
                <w:rFonts w:ascii="Cambria" w:hAnsi="Cambria"/>
                <w:sz w:val="20"/>
                <w:szCs w:val="20"/>
              </w:rPr>
              <w:t>Venezuela is working on a monitoring plan</w:t>
            </w:r>
            <w:r w:rsidR="00B37FDE" w:rsidRPr="00CD62D8">
              <w:rPr>
                <w:rFonts w:ascii="Cambria" w:hAnsi="Cambria"/>
                <w:sz w:val="20"/>
                <w:szCs w:val="20"/>
              </w:rPr>
              <w:t xml:space="preserve"> which provides for</w:t>
            </w:r>
            <w:r w:rsidRPr="00CD62D8">
              <w:rPr>
                <w:rFonts w:ascii="Cambria" w:hAnsi="Cambria"/>
                <w:sz w:val="20"/>
                <w:szCs w:val="20"/>
              </w:rPr>
              <w:t xml:space="preserve"> </w:t>
            </w:r>
            <w:proofErr w:type="gramStart"/>
            <w:r w:rsidRPr="00CD62D8">
              <w:rPr>
                <w:rFonts w:ascii="Cambria" w:hAnsi="Cambria"/>
                <w:sz w:val="20"/>
                <w:szCs w:val="20"/>
              </w:rPr>
              <w:t>a</w:t>
            </w:r>
            <w:r w:rsidR="00B37FDE" w:rsidRPr="00CD62D8">
              <w:rPr>
                <w:rFonts w:ascii="Cambria" w:hAnsi="Cambria"/>
                <w:sz w:val="20"/>
                <w:szCs w:val="20"/>
              </w:rPr>
              <w:t xml:space="preserve"> number</w:t>
            </w:r>
            <w:r w:rsidRPr="00CD62D8">
              <w:rPr>
                <w:rFonts w:ascii="Cambria" w:hAnsi="Cambria"/>
                <w:sz w:val="20"/>
                <w:szCs w:val="20"/>
              </w:rPr>
              <w:t xml:space="preserve"> of</w:t>
            </w:r>
            <w:proofErr w:type="gramEnd"/>
            <w:r w:rsidRPr="00CD62D8">
              <w:rPr>
                <w:rFonts w:ascii="Cambria" w:hAnsi="Cambria"/>
                <w:sz w:val="20"/>
                <w:szCs w:val="20"/>
              </w:rPr>
              <w:t xml:space="preserve"> actions such </w:t>
            </w:r>
            <w:proofErr w:type="gramStart"/>
            <w:r w:rsidRPr="00CD62D8">
              <w:rPr>
                <w:rFonts w:ascii="Cambria" w:hAnsi="Cambria"/>
                <w:sz w:val="20"/>
                <w:szCs w:val="20"/>
              </w:rPr>
              <w:t xml:space="preserve">as  </w:t>
            </w:r>
            <w:proofErr w:type="spellStart"/>
            <w:r w:rsidRPr="00CD62D8">
              <w:rPr>
                <w:rFonts w:ascii="Cambria" w:hAnsi="Cambria"/>
                <w:sz w:val="20"/>
                <w:szCs w:val="20"/>
              </w:rPr>
              <w:t>characterisation</w:t>
            </w:r>
            <w:proofErr w:type="spellEnd"/>
            <w:proofErr w:type="gramEnd"/>
            <w:r w:rsidRPr="00CD62D8">
              <w:rPr>
                <w:rFonts w:ascii="Cambria" w:hAnsi="Cambria"/>
                <w:sz w:val="20"/>
                <w:szCs w:val="20"/>
              </w:rPr>
              <w:t xml:space="preserve"> of the artisanal fleet catch</w:t>
            </w:r>
            <w:r w:rsidR="00B871A2" w:rsidRPr="00CD62D8">
              <w:rPr>
                <w:rFonts w:ascii="Cambria" w:hAnsi="Cambria"/>
                <w:sz w:val="20"/>
                <w:szCs w:val="20"/>
              </w:rPr>
              <w:t>ing</w:t>
            </w:r>
            <w:r w:rsidRPr="00CD62D8">
              <w:rPr>
                <w:rFonts w:ascii="Cambria" w:hAnsi="Cambria"/>
                <w:sz w:val="20"/>
                <w:szCs w:val="20"/>
              </w:rPr>
              <w:t xml:space="preserve"> ICCAT species, training and awareness</w:t>
            </w:r>
            <w:r w:rsidR="00E75F18" w:rsidRPr="00CD62D8">
              <w:rPr>
                <w:rFonts w:ascii="Cambria" w:hAnsi="Cambria"/>
                <w:sz w:val="20"/>
                <w:szCs w:val="20"/>
              </w:rPr>
              <w:t>-raising</w:t>
            </w:r>
            <w:r w:rsidRPr="00CD62D8">
              <w:rPr>
                <w:rFonts w:ascii="Cambria" w:hAnsi="Cambria"/>
                <w:sz w:val="20"/>
                <w:szCs w:val="20"/>
              </w:rPr>
              <w:t xml:space="preserve"> workshops for fisher</w:t>
            </w:r>
            <w:r w:rsidR="00E75F18" w:rsidRPr="00CD62D8">
              <w:rPr>
                <w:rFonts w:ascii="Cambria" w:hAnsi="Cambria"/>
                <w:sz w:val="20"/>
                <w:szCs w:val="20"/>
              </w:rPr>
              <w:t>s</w:t>
            </w:r>
            <w:r w:rsidRPr="00CD62D8">
              <w:rPr>
                <w:rFonts w:ascii="Cambria" w:hAnsi="Cambria"/>
                <w:sz w:val="20"/>
                <w:szCs w:val="20"/>
              </w:rPr>
              <w:t>, updat</w:t>
            </w:r>
            <w:r w:rsidR="008F454A" w:rsidRPr="00CD62D8">
              <w:rPr>
                <w:rFonts w:ascii="Cambria" w:hAnsi="Cambria"/>
                <w:sz w:val="20"/>
                <w:szCs w:val="20"/>
              </w:rPr>
              <w:t>e</w:t>
            </w:r>
            <w:r w:rsidRPr="00CD62D8">
              <w:rPr>
                <w:rFonts w:ascii="Cambria" w:hAnsi="Cambria"/>
                <w:sz w:val="20"/>
                <w:szCs w:val="20"/>
              </w:rPr>
              <w:t xml:space="preserve"> of relevant legislation, and training of</w:t>
            </w:r>
            <w:r w:rsidR="003424DA" w:rsidRPr="00CD62D8">
              <w:rPr>
                <w:rFonts w:ascii="Cambria" w:hAnsi="Cambria"/>
                <w:sz w:val="20"/>
                <w:szCs w:val="20"/>
              </w:rPr>
              <w:t xml:space="preserve"> artisanal fisheries specialist</w:t>
            </w:r>
            <w:r w:rsidRPr="00CD62D8">
              <w:rPr>
                <w:rFonts w:ascii="Cambria" w:hAnsi="Cambria"/>
                <w:sz w:val="20"/>
                <w:szCs w:val="20"/>
              </w:rPr>
              <w:t xml:space="preserve"> inspectors, which will enable us to establish an effective monitoring plan in the relevant communities.  </w:t>
            </w:r>
          </w:p>
          <w:p w14:paraId="21147EAA" w14:textId="22982813" w:rsidR="00305950" w:rsidRPr="00CD62D8" w:rsidRDefault="005A2F40" w:rsidP="00102FBE">
            <w:pPr>
              <w:spacing w:after="0" w:line="240" w:lineRule="auto"/>
              <w:jc w:val="both"/>
              <w:rPr>
                <w:rFonts w:ascii="Cambria" w:hAnsi="Cambria"/>
                <w:sz w:val="20"/>
                <w:szCs w:val="20"/>
              </w:rPr>
            </w:pPr>
            <w:r w:rsidRPr="00CD62D8">
              <w:rPr>
                <w:rFonts w:ascii="Cambria" w:hAnsi="Cambria"/>
                <w:sz w:val="20"/>
                <w:szCs w:val="20"/>
              </w:rPr>
              <w:t xml:space="preserve">                                                                                                                                                                              </w:t>
            </w:r>
          </w:p>
        </w:tc>
        <w:tc>
          <w:tcPr>
            <w:tcW w:w="236" w:type="dxa"/>
            <w:tcBorders>
              <w:top w:val="nil"/>
              <w:left w:val="single" w:sz="4" w:space="0" w:color="auto"/>
              <w:bottom w:val="nil"/>
              <w:right w:val="nil"/>
            </w:tcBorders>
            <w:vAlign w:val="center"/>
          </w:tcPr>
          <w:p w14:paraId="2A4BF290" w14:textId="77777777" w:rsidR="00305950" w:rsidRPr="00CD62D8" w:rsidRDefault="00305950" w:rsidP="00102FBE">
            <w:pPr>
              <w:spacing w:after="0" w:line="240" w:lineRule="auto"/>
              <w:rPr>
                <w:rFonts w:ascii="Cambria" w:eastAsia="Times New Roman" w:hAnsi="Cambria" w:cs="Times New Roman"/>
                <w:sz w:val="20"/>
                <w:szCs w:val="20"/>
              </w:rPr>
            </w:pPr>
          </w:p>
        </w:tc>
      </w:tr>
    </w:tbl>
    <w:p w14:paraId="028BFB74" w14:textId="77777777" w:rsidR="00647AF6" w:rsidRPr="00CD62D8" w:rsidRDefault="00647AF6" w:rsidP="00102FBE">
      <w:pPr>
        <w:spacing w:after="0" w:line="240" w:lineRule="auto"/>
        <w:rPr>
          <w:rFonts w:ascii="Cambria" w:hAnsi="Cambria"/>
          <w:sz w:val="20"/>
          <w:szCs w:val="20"/>
        </w:rPr>
        <w:sectPr w:rsidR="00647AF6" w:rsidRPr="00CD62D8" w:rsidSect="004D5A8D">
          <w:pgSz w:w="15840" w:h="12240" w:orient="landscape"/>
          <w:pgMar w:top="1440" w:right="1021" w:bottom="1440" w:left="1134" w:header="720" w:footer="720" w:gutter="0"/>
          <w:cols w:space="720"/>
          <w:docGrid w:linePitch="360"/>
        </w:sectPr>
      </w:pPr>
    </w:p>
    <w:p w14:paraId="7EAB42AB" w14:textId="0E4DCF40" w:rsidR="00647AF6" w:rsidRPr="00CD62D8" w:rsidRDefault="00647AF6" w:rsidP="00102FBE">
      <w:pPr>
        <w:spacing w:after="0" w:line="240" w:lineRule="auto"/>
        <w:rPr>
          <w:rFonts w:ascii="Cambria" w:hAnsi="Cambria"/>
          <w:sz w:val="20"/>
          <w:szCs w:val="20"/>
          <w:lang w:val="en-GB"/>
        </w:rPr>
      </w:pPr>
      <w:r w:rsidRPr="00CD62D8">
        <w:rPr>
          <w:rFonts w:ascii="Cambria" w:hAnsi="Cambria" w:cs="Times New Roman"/>
          <w:b/>
          <w:sz w:val="20"/>
          <w:szCs w:val="20"/>
          <w:lang w:val="en-CA"/>
        </w:rPr>
        <w:lastRenderedPageBreak/>
        <w:t>C</w:t>
      </w:r>
      <w:r w:rsidR="00102FBE" w:rsidRPr="00CD62D8">
        <w:rPr>
          <w:rFonts w:ascii="Cambria" w:hAnsi="Cambria" w:cs="Times New Roman"/>
          <w:b/>
          <w:sz w:val="20"/>
          <w:szCs w:val="20"/>
          <w:lang w:val="en-CA"/>
        </w:rPr>
        <w:t>anada</w:t>
      </w:r>
    </w:p>
    <w:p w14:paraId="0B29A26B" w14:textId="77777777" w:rsidR="00647AF6" w:rsidRPr="00CD62D8" w:rsidRDefault="00647AF6" w:rsidP="00102FBE">
      <w:pPr>
        <w:spacing w:after="0" w:line="240" w:lineRule="auto"/>
        <w:rPr>
          <w:rFonts w:ascii="Cambria" w:hAnsi="Cambria" w:cs="Times New Roman"/>
          <w:b/>
          <w:color w:val="000000"/>
          <w:sz w:val="20"/>
          <w:szCs w:val="20"/>
          <w:lang w:val="en-CA" w:eastAsia="en-CA"/>
        </w:rPr>
      </w:pPr>
    </w:p>
    <w:p w14:paraId="5748A5EE" w14:textId="77777777" w:rsidR="00647AF6" w:rsidRPr="00CD62D8" w:rsidRDefault="00647AF6" w:rsidP="00102FBE">
      <w:pPr>
        <w:spacing w:after="0" w:line="240" w:lineRule="auto"/>
        <w:rPr>
          <w:rFonts w:ascii="Cambria" w:hAnsi="Cambria" w:cs="Times New Roman"/>
          <w:color w:val="000000"/>
          <w:sz w:val="20"/>
          <w:szCs w:val="20"/>
          <w:lang w:val="en-CA" w:eastAsia="en-CA"/>
        </w:rPr>
      </w:pPr>
      <w:r w:rsidRPr="00CD62D8">
        <w:rPr>
          <w:rFonts w:ascii="Cambria" w:hAnsi="Cambria" w:cs="Times New Roman"/>
          <w:b/>
          <w:color w:val="000000"/>
          <w:sz w:val="20"/>
          <w:szCs w:val="20"/>
          <w:lang w:val="en-CA" w:eastAsia="en-CA"/>
        </w:rPr>
        <w:t xml:space="preserve">Executive Summary </w:t>
      </w:r>
    </w:p>
    <w:p w14:paraId="19128B1B" w14:textId="77777777" w:rsidR="00647AF6" w:rsidRPr="00CD62D8" w:rsidRDefault="00647AF6" w:rsidP="00102FBE">
      <w:pPr>
        <w:spacing w:after="0" w:line="240" w:lineRule="auto"/>
        <w:rPr>
          <w:rFonts w:ascii="Cambria" w:hAnsi="Cambria" w:cs="Times New Roman"/>
          <w:sz w:val="20"/>
          <w:szCs w:val="20"/>
          <w:lang w:val="en-CA"/>
        </w:rPr>
      </w:pPr>
    </w:p>
    <w:p w14:paraId="67F39835" w14:textId="34BCC6FA"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 xml:space="preserve">ICCAT Recommendation 17-02 requires each Contracting Party, and Cooperating non-Contracting Party, Entity or Fishing Entity to submit modifications to its swordfish development or fishing/management plan to the Secretariat by September 15. This document describes the history, management, socio-economic and future aspirations of the Canadian North Atlantic </w:t>
      </w:r>
      <w:r w:rsidR="00985BDA">
        <w:rPr>
          <w:rFonts w:ascii="Cambria" w:hAnsi="Cambria"/>
          <w:sz w:val="20"/>
          <w:szCs w:val="20"/>
          <w:lang w:val="en-CA"/>
        </w:rPr>
        <w:t>s</w:t>
      </w:r>
      <w:r w:rsidRPr="00CD62D8">
        <w:rPr>
          <w:rFonts w:ascii="Cambria" w:hAnsi="Cambria"/>
          <w:sz w:val="20"/>
          <w:szCs w:val="20"/>
          <w:lang w:val="en-CA"/>
        </w:rPr>
        <w:t xml:space="preserve">wordfish fishery.  </w:t>
      </w:r>
    </w:p>
    <w:p w14:paraId="76CFA169" w14:textId="77777777" w:rsidR="006677AB" w:rsidRPr="00CD62D8" w:rsidRDefault="006677AB" w:rsidP="00102FBE">
      <w:pPr>
        <w:spacing w:after="0" w:line="240" w:lineRule="auto"/>
        <w:jc w:val="both"/>
        <w:rPr>
          <w:rFonts w:ascii="Cambria" w:hAnsi="Cambria"/>
          <w:sz w:val="20"/>
          <w:szCs w:val="20"/>
          <w:lang w:val="en-CA"/>
        </w:rPr>
      </w:pPr>
    </w:p>
    <w:p w14:paraId="07231647"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 xml:space="preserve">Canada’s history of fishing North Atlantic swordfish </w:t>
      </w:r>
      <w:proofErr w:type="gramStart"/>
      <w:r w:rsidRPr="00CD62D8">
        <w:rPr>
          <w:rFonts w:ascii="Cambria" w:hAnsi="Cambria"/>
          <w:sz w:val="20"/>
          <w:szCs w:val="20"/>
          <w:lang w:val="en-CA"/>
        </w:rPr>
        <w:t>dates back to</w:t>
      </w:r>
      <w:proofErr w:type="gramEnd"/>
      <w:r w:rsidRPr="00CD62D8">
        <w:rPr>
          <w:rFonts w:ascii="Cambria" w:hAnsi="Cambria"/>
          <w:sz w:val="20"/>
          <w:szCs w:val="20"/>
          <w:lang w:val="en-CA"/>
        </w:rPr>
        <w:t xml:space="preserve"> the 1880s. Today, this exclusively commercial fishery continues to be socially and economically important to many coastal and Indigenous communities throughout Atlantic Canada.  The annual landings generated over $17.5 million of revenue in 2023 over several Atlantic ports.</w:t>
      </w:r>
    </w:p>
    <w:p w14:paraId="250643A1" w14:textId="77777777" w:rsidR="006677AB" w:rsidRPr="00CD62D8" w:rsidRDefault="006677AB" w:rsidP="00102FBE">
      <w:pPr>
        <w:spacing w:after="0" w:line="240" w:lineRule="auto"/>
        <w:jc w:val="both"/>
        <w:rPr>
          <w:rFonts w:ascii="Cambria" w:hAnsi="Cambria"/>
          <w:sz w:val="20"/>
          <w:szCs w:val="20"/>
          <w:lang w:val="en-CA"/>
        </w:rPr>
      </w:pPr>
    </w:p>
    <w:p w14:paraId="681A6048" w14:textId="2BE4A80F"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Canada’s 2024 initial allocation of North Atlantic swordfish was 1,348 metric tonnes (t)</w:t>
      </w:r>
      <w:r w:rsidR="00E1315C" w:rsidRPr="00CD62D8">
        <w:rPr>
          <w:rFonts w:ascii="Cambria" w:hAnsi="Cambria"/>
          <w:sz w:val="20"/>
          <w:szCs w:val="20"/>
          <w:lang w:val="en-CA"/>
        </w:rPr>
        <w:t>,</w:t>
      </w:r>
      <w:r w:rsidRPr="00CD62D8">
        <w:rPr>
          <w:rFonts w:ascii="Cambria" w:hAnsi="Cambria"/>
          <w:sz w:val="20"/>
          <w:szCs w:val="20"/>
          <w:lang w:val="en-CA"/>
        </w:rPr>
        <w:t xml:space="preserve"> from which 5 t was allocated to Canada’s offshore tuna fleet for swordfish bycatch. The remaining allocation was shared between two fleets targeting North Atlantic swordfish. </w:t>
      </w:r>
      <w:r w:rsidR="00E1315C" w:rsidRPr="00CD62D8">
        <w:rPr>
          <w:rFonts w:ascii="Cambria" w:hAnsi="Cambria"/>
          <w:sz w:val="20"/>
          <w:szCs w:val="20"/>
          <w:lang w:val="en-CA"/>
        </w:rPr>
        <w:t>Ninety</w:t>
      </w:r>
      <w:r w:rsidRPr="00CD62D8">
        <w:rPr>
          <w:rFonts w:ascii="Cambria" w:hAnsi="Cambria"/>
          <w:sz w:val="20"/>
          <w:szCs w:val="20"/>
          <w:lang w:val="en-CA"/>
        </w:rPr>
        <w:t xml:space="preserve"> percent is allocated to the longline fleet and ten percent to the harpoon fleet. Since 2020, Canada has been testing the viability of rod and reel and tended buoy gear in the commercial swordfish fishery. The new gears will be evaluated by Canadian scientists for bycatch rates. </w:t>
      </w:r>
    </w:p>
    <w:p w14:paraId="6CECF88F" w14:textId="77777777" w:rsidR="006677AB" w:rsidRPr="00CD62D8" w:rsidRDefault="006677AB" w:rsidP="00102FBE">
      <w:pPr>
        <w:spacing w:after="0" w:line="240" w:lineRule="auto"/>
        <w:jc w:val="both"/>
        <w:rPr>
          <w:rFonts w:ascii="Cambria" w:hAnsi="Cambria"/>
          <w:sz w:val="20"/>
          <w:szCs w:val="20"/>
          <w:lang w:val="en-CA"/>
        </w:rPr>
      </w:pPr>
    </w:p>
    <w:p w14:paraId="56EC96BA" w14:textId="36C7387C"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From 2020 to 2024, Canada consistently demonstrated its ability to fully utilize its ICCAT quota with average annual landings of 114</w:t>
      </w:r>
      <w:r w:rsidR="00E1315C" w:rsidRPr="00CD62D8">
        <w:rPr>
          <w:rFonts w:ascii="Cambria" w:hAnsi="Cambria"/>
          <w:sz w:val="20"/>
          <w:szCs w:val="20"/>
          <w:lang w:val="en-CA"/>
        </w:rPr>
        <w:t xml:space="preserve">% </w:t>
      </w:r>
      <w:r w:rsidRPr="00CD62D8">
        <w:rPr>
          <w:rFonts w:ascii="Cambria" w:hAnsi="Cambria"/>
          <w:sz w:val="20"/>
          <w:szCs w:val="20"/>
          <w:lang w:val="en-CA"/>
        </w:rPr>
        <w:t>of its initial annual allocations (before quota transfers) during that four-year period. In 2024, Canada landed 124</w:t>
      </w:r>
      <w:r w:rsidR="00E1315C" w:rsidRPr="00CD62D8">
        <w:rPr>
          <w:rFonts w:ascii="Cambria" w:hAnsi="Cambria"/>
          <w:sz w:val="20"/>
          <w:szCs w:val="20"/>
          <w:lang w:val="en-CA"/>
        </w:rPr>
        <w:t xml:space="preserve">% </w:t>
      </w:r>
      <w:r w:rsidRPr="00CD62D8">
        <w:rPr>
          <w:rFonts w:ascii="Cambria" w:hAnsi="Cambria"/>
          <w:sz w:val="20"/>
          <w:szCs w:val="20"/>
          <w:lang w:val="en-CA"/>
        </w:rPr>
        <w:t>of its annual allocations (before quota transfers). Since 2004, Canada has been allocated 1,348 t of the ICCAT quota allocations (or 10.5</w:t>
      </w:r>
      <w:r w:rsidR="00E1315C" w:rsidRPr="00CD62D8">
        <w:rPr>
          <w:rFonts w:ascii="Cambria" w:hAnsi="Cambria"/>
          <w:sz w:val="20"/>
          <w:szCs w:val="20"/>
          <w:lang w:val="en-CA"/>
        </w:rPr>
        <w:t xml:space="preserve">% </w:t>
      </w:r>
      <w:r w:rsidRPr="00CD62D8">
        <w:rPr>
          <w:rFonts w:ascii="Cambria" w:hAnsi="Cambria"/>
          <w:sz w:val="20"/>
          <w:szCs w:val="20"/>
          <w:lang w:val="en-CA"/>
        </w:rPr>
        <w:t>of the catch limits). Nevertheless, Canada has landed approximately 13.2</w:t>
      </w:r>
      <w:r w:rsidR="00E1315C" w:rsidRPr="00CD62D8">
        <w:rPr>
          <w:rFonts w:ascii="Cambria" w:hAnsi="Cambria"/>
          <w:sz w:val="20"/>
          <w:szCs w:val="20"/>
          <w:lang w:val="en-CA"/>
        </w:rPr>
        <w:t xml:space="preserve">% </w:t>
      </w:r>
      <w:r w:rsidRPr="00CD62D8">
        <w:rPr>
          <w:rFonts w:ascii="Cambria" w:hAnsi="Cambria"/>
          <w:sz w:val="20"/>
          <w:szCs w:val="20"/>
          <w:lang w:val="en-CA"/>
        </w:rPr>
        <w:t xml:space="preserve">of the overall catch for North Atlantic swordfish annually over the past ten years (2014 – 2023) due to receiving quota transfers. </w:t>
      </w:r>
    </w:p>
    <w:p w14:paraId="6B5F7933" w14:textId="77777777" w:rsidR="006677AB" w:rsidRPr="00CD62D8" w:rsidRDefault="006677AB" w:rsidP="00102FBE">
      <w:pPr>
        <w:spacing w:after="0" w:line="240" w:lineRule="auto"/>
        <w:jc w:val="both"/>
        <w:rPr>
          <w:rFonts w:ascii="Cambria" w:hAnsi="Cambria"/>
          <w:sz w:val="20"/>
          <w:szCs w:val="20"/>
          <w:lang w:val="en-CA"/>
        </w:rPr>
      </w:pPr>
    </w:p>
    <w:p w14:paraId="4D5F3EFA" w14:textId="7E9CA50A"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As the foundation for reliable research and stock assessments, Canada collects, among other things, catch and effort data for all fishing trips. Beginning in 1996, an industry-funded dockside monitoring program (DMP) was instituted in Atlantic Canada to provide independent third-party verification of logbook submissions. Canada’s DMP is conducted by certified agents who oversee all (100</w:t>
      </w:r>
      <w:r w:rsidR="00E1315C" w:rsidRPr="00CD62D8">
        <w:rPr>
          <w:rFonts w:ascii="Cambria" w:hAnsi="Cambria"/>
          <w:sz w:val="20"/>
          <w:szCs w:val="20"/>
          <w:lang w:val="en-CA"/>
        </w:rPr>
        <w:t>%</w:t>
      </w:r>
      <w:r w:rsidRPr="00CD62D8">
        <w:rPr>
          <w:rFonts w:ascii="Cambria" w:hAnsi="Cambria"/>
          <w:sz w:val="20"/>
          <w:szCs w:val="20"/>
          <w:lang w:val="en-CA"/>
        </w:rPr>
        <w:t xml:space="preserve">) offloads of swordfish in Atlantic Canada as well as enter logbook data into a central database. The DMP ensures that precise and reliable information is collected on the number of fish caught, their weight, effort, environmental conditions, and other vital statistics. This data is available in real-time to fisheries managers, scientists, and enforcement officers.  </w:t>
      </w:r>
    </w:p>
    <w:p w14:paraId="5CD75F50" w14:textId="77777777" w:rsidR="006677AB" w:rsidRPr="00CD62D8" w:rsidRDefault="006677AB" w:rsidP="00102FBE">
      <w:pPr>
        <w:spacing w:after="0" w:line="240" w:lineRule="auto"/>
        <w:jc w:val="both"/>
        <w:rPr>
          <w:rFonts w:ascii="Cambria" w:hAnsi="Cambria"/>
          <w:sz w:val="20"/>
          <w:szCs w:val="20"/>
          <w:lang w:val="en-CA"/>
        </w:rPr>
      </w:pPr>
    </w:p>
    <w:p w14:paraId="59FFDBC1"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 xml:space="preserve">Canada’s comprehensive approach to enforcement also includes the requirement for vessel monitoring systems (VMS) on all longline vessels, despite only two of Canada’s 77 pelagic longline vessels being over 20 metres in length and thus subject to ICCAT’s VMS measure. </w:t>
      </w:r>
    </w:p>
    <w:p w14:paraId="7619C45A" w14:textId="77777777" w:rsidR="006677AB" w:rsidRPr="00CD62D8" w:rsidRDefault="006677AB" w:rsidP="00102FBE">
      <w:pPr>
        <w:spacing w:after="0" w:line="240" w:lineRule="auto"/>
        <w:jc w:val="both"/>
        <w:rPr>
          <w:rFonts w:ascii="Cambria" w:hAnsi="Cambria"/>
          <w:sz w:val="20"/>
          <w:szCs w:val="20"/>
          <w:lang w:val="en-CA"/>
        </w:rPr>
      </w:pPr>
    </w:p>
    <w:p w14:paraId="479E5A46"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 xml:space="preserve">Monitoring and enforcement of Canada's swordfish management measures are key parts of ensuring the sustainability of the swordfish species. Fisheries and Oceans Canada fishery officers utilize a variety of methods to monitor swordfish fishing activity to promote compliance with swordfish fisheries management measures, including aerial surveillance, at-sea and port inspections, at-sea observers, and vessel monitoring systems. In addition to at-sea and in port inspections, fishery officers inspect swordfish buying/ processing facilities and conduct audits of the dock-side monitoring program in this fishery. In 2024, a total of 238.5 fishery officer enforcement hours were expended on the swordfish fishery. </w:t>
      </w:r>
    </w:p>
    <w:p w14:paraId="477DA855" w14:textId="77777777" w:rsidR="006677AB" w:rsidRPr="00CD62D8" w:rsidRDefault="006677AB" w:rsidP="00102FBE">
      <w:pPr>
        <w:spacing w:after="0" w:line="240" w:lineRule="auto"/>
        <w:jc w:val="both"/>
        <w:rPr>
          <w:rFonts w:ascii="Cambria" w:hAnsi="Cambria"/>
          <w:sz w:val="20"/>
          <w:szCs w:val="20"/>
          <w:lang w:val="en-CA"/>
        </w:rPr>
      </w:pPr>
    </w:p>
    <w:p w14:paraId="20F9FD22"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 xml:space="preserve">Since 2012, in recognition of the strong management regime which is in place for these fisheries in Canada, both the longline and harpoon fleets targeting North Atlantic swordfish have been awarded Marine Stewardship Council certification. Canada is the first ICCAT member to obtain this certification for its entire swordfish fleet. </w:t>
      </w:r>
    </w:p>
    <w:p w14:paraId="5F373FE6" w14:textId="77777777" w:rsidR="006677AB" w:rsidRPr="00CD62D8" w:rsidRDefault="006677AB" w:rsidP="00102FBE">
      <w:pPr>
        <w:spacing w:after="0" w:line="240" w:lineRule="auto"/>
        <w:jc w:val="both"/>
        <w:rPr>
          <w:rFonts w:ascii="Cambria" w:hAnsi="Cambria"/>
          <w:sz w:val="20"/>
          <w:szCs w:val="20"/>
          <w:lang w:val="en-CA"/>
        </w:rPr>
      </w:pPr>
    </w:p>
    <w:p w14:paraId="01DFE280" w14:textId="77777777" w:rsidR="001A07F9" w:rsidRPr="00CD62D8" w:rsidRDefault="001A07F9" w:rsidP="00102FBE">
      <w:pPr>
        <w:spacing w:after="0" w:line="240" w:lineRule="auto"/>
        <w:jc w:val="both"/>
        <w:rPr>
          <w:rFonts w:ascii="Cambria" w:hAnsi="Cambria"/>
          <w:sz w:val="20"/>
          <w:szCs w:val="20"/>
          <w:lang w:val="en-CA"/>
        </w:rPr>
      </w:pPr>
    </w:p>
    <w:p w14:paraId="3170C2B1" w14:textId="03C97F2E"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lastRenderedPageBreak/>
        <w:t xml:space="preserve">Canada has been a leader in supporting ICCAT’s scientific investigations of the swordfish resources in the Atlantic for the past several decades. As a result of Canada’s well-recognized ability to collect and maintain fisheries statistics of importance to the stock assessment, Canada contributes the longest series of catch rate information to the North Atlantic stock assessment, commencing in 1963. </w:t>
      </w:r>
    </w:p>
    <w:p w14:paraId="12C98C3F" w14:textId="77777777" w:rsidR="001A07F9" w:rsidRPr="00CD62D8" w:rsidRDefault="001A07F9" w:rsidP="00102FBE">
      <w:pPr>
        <w:spacing w:after="0" w:line="240" w:lineRule="auto"/>
        <w:jc w:val="both"/>
        <w:rPr>
          <w:rFonts w:ascii="Cambria" w:hAnsi="Cambria"/>
          <w:sz w:val="20"/>
          <w:szCs w:val="20"/>
          <w:lang w:val="en-CA"/>
        </w:rPr>
      </w:pPr>
    </w:p>
    <w:p w14:paraId="4DE9C2C3"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Beginning in 2018, Canada led the creation of an ICCAT/European Commission funded international research program for Swordfish in the Atlantic Ocean and Mediterranean Sea. This program aims to improve knowledge of the stock distribution, age and sex of the catch, growth rate, age at maturation, maturation rate, spawning season and location, and diet for each of the three ICCAT swordfish stocks. These data and resulting analyses contribute to ICCAT assessment and MSE work.</w:t>
      </w:r>
    </w:p>
    <w:p w14:paraId="5EAF9051" w14:textId="77777777" w:rsidR="006677AB" w:rsidRPr="00CD62D8" w:rsidRDefault="006677AB" w:rsidP="00102FBE">
      <w:pPr>
        <w:spacing w:after="0" w:line="240" w:lineRule="auto"/>
        <w:jc w:val="both"/>
        <w:rPr>
          <w:rFonts w:ascii="Cambria" w:hAnsi="Cambria"/>
          <w:sz w:val="20"/>
          <w:szCs w:val="20"/>
          <w:lang w:val="en-CA"/>
        </w:rPr>
      </w:pPr>
    </w:p>
    <w:p w14:paraId="1BE1911A" w14:textId="77777777" w:rsidR="006677AB" w:rsidRPr="00CD62D8" w:rsidRDefault="006677AB" w:rsidP="00102FBE">
      <w:pPr>
        <w:spacing w:after="0" w:line="240" w:lineRule="auto"/>
        <w:jc w:val="both"/>
        <w:rPr>
          <w:rFonts w:ascii="Cambria" w:hAnsi="Cambria"/>
          <w:sz w:val="20"/>
          <w:szCs w:val="20"/>
          <w:lang w:val="en-CA"/>
        </w:rPr>
      </w:pPr>
      <w:r w:rsidRPr="00CD62D8">
        <w:rPr>
          <w:rFonts w:ascii="Cambria" w:hAnsi="Cambria"/>
          <w:sz w:val="20"/>
          <w:szCs w:val="20"/>
          <w:lang w:val="en-CA"/>
        </w:rPr>
        <w:t>The Canadian fishing industry is fully engaged in the conservation and management efforts for this species to ensure its sustainability, including participation in scientific research, funding of independent at-sea observers to monitor the fishery and funding independent third-party monitors who observe and record all landings at dockside. The harpoon fleet provides funds or in-kind vessel support for scientific research in lieu of at-sea observer coverage.</w:t>
      </w:r>
    </w:p>
    <w:p w14:paraId="7B74C787" w14:textId="77777777" w:rsidR="006677AB" w:rsidRPr="00CD62D8" w:rsidRDefault="006677AB" w:rsidP="00102FBE">
      <w:pPr>
        <w:spacing w:after="0" w:line="240" w:lineRule="auto"/>
        <w:jc w:val="both"/>
        <w:rPr>
          <w:rFonts w:ascii="Cambria" w:hAnsi="Cambria"/>
          <w:sz w:val="20"/>
          <w:szCs w:val="20"/>
          <w:lang w:val="en-CA"/>
        </w:rPr>
      </w:pPr>
    </w:p>
    <w:p w14:paraId="1AE9723F" w14:textId="11D50099" w:rsidR="00CE1067" w:rsidRPr="00102FBE" w:rsidRDefault="006677AB" w:rsidP="00102FBE">
      <w:pPr>
        <w:autoSpaceDE w:val="0"/>
        <w:autoSpaceDN w:val="0"/>
        <w:adjustRightInd w:val="0"/>
        <w:spacing w:after="0" w:line="240" w:lineRule="auto"/>
        <w:jc w:val="both"/>
        <w:rPr>
          <w:rFonts w:ascii="Cambria" w:hAnsi="Cambria"/>
          <w:sz w:val="20"/>
          <w:szCs w:val="20"/>
          <w:lang w:val="en-CA"/>
        </w:rPr>
      </w:pPr>
      <w:r w:rsidRPr="00CD62D8">
        <w:rPr>
          <w:rFonts w:ascii="Cambria" w:hAnsi="Cambria"/>
          <w:sz w:val="20"/>
          <w:szCs w:val="20"/>
          <w:lang w:val="en-CA"/>
        </w:rPr>
        <w:t>While Canada, like other ICCAT members, accepted significantly lower quotas during the rebuilding period of the fishery, Canada has demonstrated its ability to utilize its entire initial quota plus nearly all the quota transfers received in previous years. Canada continues to seek increased access to this fishery to ensure viability for its coastal communities.</w:t>
      </w:r>
    </w:p>
    <w:sectPr w:rsidR="00CE1067" w:rsidRPr="00102FBE" w:rsidSect="001A07F9">
      <w:pgSz w:w="12240" w:h="15840"/>
      <w:pgMar w:top="1021" w:right="1440" w:bottom="1134"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FD00" w14:textId="77777777" w:rsidR="001A3C60" w:rsidRDefault="001A3C60" w:rsidP="00033B23">
      <w:pPr>
        <w:spacing w:after="0" w:line="240" w:lineRule="auto"/>
      </w:pPr>
      <w:r>
        <w:separator/>
      </w:r>
    </w:p>
  </w:endnote>
  <w:endnote w:type="continuationSeparator" w:id="0">
    <w:p w14:paraId="391B0EA4" w14:textId="77777777" w:rsidR="001A3C60" w:rsidRDefault="001A3C60" w:rsidP="0003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E929" w14:textId="39CD5BA7" w:rsidR="005D4BD1" w:rsidRPr="005D4BD1" w:rsidRDefault="005D4BD1" w:rsidP="005D4BD1">
    <w:pPr>
      <w:tabs>
        <w:tab w:val="center" w:pos="4535"/>
        <w:tab w:val="center" w:pos="4680"/>
        <w:tab w:val="left" w:pos="6150"/>
        <w:tab w:val="right" w:pos="9360"/>
      </w:tabs>
      <w:spacing w:after="0" w:line="240" w:lineRule="auto"/>
      <w:jc w:val="center"/>
      <w:rPr>
        <w:rFonts w:ascii="Cambria" w:eastAsia="Calibri" w:hAnsi="Cambria" w:cs="Calibri"/>
        <w:sz w:val="20"/>
      </w:rPr>
    </w:pPr>
    <w:r w:rsidRPr="003D4EC2">
      <w:rPr>
        <w:rFonts w:ascii="Cambria" w:eastAsia="Calibri" w:hAnsi="Cambria" w:cs="Calibri"/>
        <w:sz w:val="20"/>
        <w:szCs w:val="20"/>
      </w:rPr>
      <w:fldChar w:fldCharType="begin"/>
    </w:r>
    <w:r w:rsidRPr="003D4EC2">
      <w:rPr>
        <w:rFonts w:ascii="Cambria" w:eastAsia="Calibri" w:hAnsi="Cambria" w:cs="Calibri"/>
        <w:sz w:val="20"/>
        <w:szCs w:val="20"/>
      </w:rPr>
      <w:instrText xml:space="preserve"> PAGE </w:instrText>
    </w:r>
    <w:r w:rsidRPr="003D4EC2">
      <w:rPr>
        <w:rFonts w:ascii="Cambria" w:eastAsia="Calibri" w:hAnsi="Cambria" w:cs="Calibri"/>
        <w:sz w:val="20"/>
        <w:szCs w:val="20"/>
      </w:rPr>
      <w:fldChar w:fldCharType="separate"/>
    </w:r>
    <w:r>
      <w:rPr>
        <w:rFonts w:ascii="Cambria" w:eastAsia="Calibri" w:hAnsi="Cambria" w:cs="Calibri"/>
        <w:sz w:val="20"/>
        <w:szCs w:val="20"/>
      </w:rPr>
      <w:t>1</w:t>
    </w:r>
    <w:r w:rsidRPr="003D4EC2">
      <w:rPr>
        <w:rFonts w:ascii="Cambria" w:eastAsia="Calibri" w:hAnsi="Cambria" w:cs="Calibri"/>
        <w:sz w:val="20"/>
        <w:szCs w:val="20"/>
      </w:rPr>
      <w:fldChar w:fldCharType="end"/>
    </w:r>
    <w:r w:rsidRPr="003D4EC2">
      <w:rPr>
        <w:rFonts w:ascii="Cambria" w:eastAsia="Calibri" w:hAnsi="Cambria" w:cs="Calibri"/>
        <w:sz w:val="20"/>
        <w:szCs w:val="20"/>
      </w:rPr>
      <w:t xml:space="preserve"> / </w:t>
    </w:r>
    <w:r w:rsidRPr="003D4EC2">
      <w:rPr>
        <w:rFonts w:ascii="Cambria" w:eastAsia="Calibri" w:hAnsi="Cambria" w:cs="Calibri"/>
        <w:sz w:val="20"/>
        <w:szCs w:val="20"/>
      </w:rPr>
      <w:fldChar w:fldCharType="begin"/>
    </w:r>
    <w:r w:rsidRPr="003D4EC2">
      <w:rPr>
        <w:rFonts w:ascii="Cambria" w:eastAsia="Calibri" w:hAnsi="Cambria" w:cs="Calibri"/>
        <w:sz w:val="20"/>
        <w:szCs w:val="20"/>
      </w:rPr>
      <w:instrText xml:space="preserve"> NUMPAGES  </w:instrText>
    </w:r>
    <w:r w:rsidRPr="003D4EC2">
      <w:rPr>
        <w:rFonts w:ascii="Cambria" w:eastAsia="Calibri" w:hAnsi="Cambria" w:cs="Calibri"/>
        <w:sz w:val="20"/>
        <w:szCs w:val="20"/>
      </w:rPr>
      <w:fldChar w:fldCharType="separate"/>
    </w:r>
    <w:r>
      <w:rPr>
        <w:rFonts w:ascii="Cambria" w:eastAsia="Calibri" w:hAnsi="Cambria" w:cs="Calibri"/>
        <w:sz w:val="20"/>
        <w:szCs w:val="20"/>
      </w:rPr>
      <w:t>2</w:t>
    </w:r>
    <w:r w:rsidRPr="003D4EC2">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E140" w14:textId="77777777" w:rsidR="001A3C60" w:rsidRDefault="001A3C60" w:rsidP="00033B23">
      <w:pPr>
        <w:spacing w:after="0" w:line="240" w:lineRule="auto"/>
      </w:pPr>
      <w:r>
        <w:separator/>
      </w:r>
    </w:p>
  </w:footnote>
  <w:footnote w:type="continuationSeparator" w:id="0">
    <w:p w14:paraId="4579BAEB" w14:textId="77777777" w:rsidR="001A3C60" w:rsidRDefault="001A3C60" w:rsidP="0003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87EB" w14:textId="3384955F" w:rsidR="00033B23" w:rsidRPr="00033B23" w:rsidRDefault="00033B23" w:rsidP="00033B23">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cs="Times New Roman"/>
        <w:b/>
        <w:bCs/>
        <w:sz w:val="20"/>
        <w:szCs w:val="20"/>
      </w:rPr>
      <w:t>PA4</w:t>
    </w:r>
    <w:r w:rsidRPr="00033B23">
      <w:rPr>
        <w:rFonts w:ascii="Cambria" w:eastAsia="Calibri" w:hAnsi="Cambria" w:cs="Times New Roman"/>
        <w:b/>
        <w:bCs/>
        <w:sz w:val="20"/>
        <w:szCs w:val="20"/>
      </w:rPr>
      <w:t>_</w:t>
    </w:r>
    <w:r>
      <w:rPr>
        <w:rFonts w:ascii="Cambria" w:eastAsia="Calibri" w:hAnsi="Cambria" w:cs="Times New Roman"/>
        <w:b/>
        <w:bCs/>
        <w:sz w:val="20"/>
        <w:szCs w:val="20"/>
      </w:rPr>
      <w:t>801</w:t>
    </w:r>
    <w:r w:rsidRPr="00033B23">
      <w:rPr>
        <w:rFonts w:ascii="Cambria" w:eastAsia="Calibri" w:hAnsi="Cambria" w:cs="Times New Roman"/>
        <w:b/>
        <w:bCs/>
        <w:sz w:val="20"/>
        <w:szCs w:val="20"/>
      </w:rPr>
      <w:t>/202</w:t>
    </w:r>
    <w:r w:rsidR="006677AB">
      <w:rPr>
        <w:rFonts w:ascii="Cambria" w:eastAsia="Calibri" w:hAnsi="Cambria" w:cs="Times New Roman"/>
        <w:b/>
        <w:bCs/>
        <w:sz w:val="20"/>
        <w:szCs w:val="20"/>
      </w:rPr>
      <w:t>5</w:t>
    </w:r>
  </w:p>
  <w:p w14:paraId="78370D4C" w14:textId="35E53ECC" w:rsidR="00033B23" w:rsidRPr="00033B23" w:rsidRDefault="00033B23" w:rsidP="00033B23">
    <w:pPr>
      <w:widowControl w:val="0"/>
      <w:tabs>
        <w:tab w:val="left" w:pos="7320"/>
      </w:tabs>
      <w:spacing w:after="0" w:line="240" w:lineRule="exact"/>
      <w:jc w:val="right"/>
      <w:rPr>
        <w:rFonts w:ascii="Cambria" w:eastAsia="Calibri" w:hAnsi="Cambria" w:cs="Times New Roman"/>
        <w:b/>
        <w:bCs/>
        <w:sz w:val="16"/>
        <w:szCs w:val="16"/>
        <w:lang w:val="es-ES_tradnl"/>
      </w:rPr>
    </w:pPr>
    <w:r w:rsidRPr="00033B23">
      <w:rPr>
        <w:rFonts w:ascii="Cambria" w:eastAsia="Calibri" w:hAnsi="Cambria" w:cs="Times New Roman"/>
        <w:b/>
        <w:bCs/>
        <w:sz w:val="16"/>
        <w:szCs w:val="16"/>
        <w:lang w:val="es-ES_tradnl"/>
      </w:rPr>
      <w:fldChar w:fldCharType="begin"/>
    </w:r>
    <w:r w:rsidRPr="00033B23">
      <w:rPr>
        <w:rFonts w:ascii="Cambria" w:eastAsia="Calibri" w:hAnsi="Cambria" w:cs="Times New Roman"/>
        <w:b/>
        <w:bCs/>
        <w:sz w:val="16"/>
        <w:szCs w:val="16"/>
        <w:lang w:val="es-ES_tradnl"/>
      </w:rPr>
      <w:instrText xml:space="preserve"> TIME \@ "dd/MM/yyyy H:mm" </w:instrText>
    </w:r>
    <w:r w:rsidRPr="00033B23">
      <w:rPr>
        <w:rFonts w:ascii="Cambria" w:eastAsia="Calibri" w:hAnsi="Cambria" w:cs="Times New Roman"/>
        <w:b/>
        <w:bCs/>
        <w:sz w:val="16"/>
        <w:szCs w:val="16"/>
        <w:lang w:val="es-ES_tradnl"/>
      </w:rPr>
      <w:fldChar w:fldCharType="separate"/>
    </w:r>
    <w:r w:rsidR="004D2524">
      <w:rPr>
        <w:rFonts w:ascii="Cambria" w:eastAsia="Calibri" w:hAnsi="Cambria" w:cs="Times New Roman"/>
        <w:b/>
        <w:bCs/>
        <w:noProof/>
        <w:sz w:val="16"/>
        <w:szCs w:val="16"/>
        <w:lang w:val="es-ES_tradnl"/>
      </w:rPr>
      <w:t>16/11/2025 15:26</w:t>
    </w:r>
    <w:r w:rsidRPr="00033B23">
      <w:rPr>
        <w:rFonts w:ascii="Cambria" w:eastAsia="Calibri" w:hAnsi="Cambria" w:cs="Times New Roman"/>
        <w:b/>
        <w:bCs/>
        <w:sz w:val="16"/>
        <w:szCs w:val="16"/>
        <w:lang w:val="es-ES_tradnl"/>
      </w:rPr>
      <w:fldChar w:fldCharType="end"/>
    </w:r>
    <w:bookmarkEnd w:id="2"/>
    <w:bookmarkEnd w:id="3"/>
    <w:bookmarkEnd w:id="4"/>
    <w:bookmarkEnd w:id="5"/>
    <w:bookmarkEnd w:id="6"/>
    <w:bookmarkEnd w:id="7"/>
  </w:p>
  <w:p w14:paraId="2EC79B9D" w14:textId="11BE2921" w:rsidR="00033B23" w:rsidRDefault="00033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1D1"/>
    <w:multiLevelType w:val="hybridMultilevel"/>
    <w:tmpl w:val="3E6E7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91F58"/>
    <w:multiLevelType w:val="hybridMultilevel"/>
    <w:tmpl w:val="5AE2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7472A"/>
    <w:multiLevelType w:val="hybridMultilevel"/>
    <w:tmpl w:val="D402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52629"/>
    <w:multiLevelType w:val="hybridMultilevel"/>
    <w:tmpl w:val="A6849E62"/>
    <w:lvl w:ilvl="0" w:tplc="8D0217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192EB3"/>
    <w:multiLevelType w:val="hybridMultilevel"/>
    <w:tmpl w:val="FF588E00"/>
    <w:lvl w:ilvl="0" w:tplc="8D021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371DE"/>
    <w:multiLevelType w:val="hybridMultilevel"/>
    <w:tmpl w:val="EAF4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90C5D"/>
    <w:multiLevelType w:val="hybridMultilevel"/>
    <w:tmpl w:val="B31E165E"/>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783951"/>
    <w:multiLevelType w:val="hybridMultilevel"/>
    <w:tmpl w:val="2542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1F1575"/>
    <w:multiLevelType w:val="hybridMultilevel"/>
    <w:tmpl w:val="DEFE56AE"/>
    <w:lvl w:ilvl="0" w:tplc="8D0217D6">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9" w15:restartNumberingAfterBreak="0">
    <w:nsid w:val="69041879"/>
    <w:multiLevelType w:val="hybridMultilevel"/>
    <w:tmpl w:val="12A83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1652190">
    <w:abstractNumId w:val="5"/>
  </w:num>
  <w:num w:numId="2" w16cid:durableId="1967344592">
    <w:abstractNumId w:val="0"/>
  </w:num>
  <w:num w:numId="3" w16cid:durableId="1105613849">
    <w:abstractNumId w:val="1"/>
  </w:num>
  <w:num w:numId="4" w16cid:durableId="558134239">
    <w:abstractNumId w:val="2"/>
  </w:num>
  <w:num w:numId="5" w16cid:durableId="335545576">
    <w:abstractNumId w:val="9"/>
  </w:num>
  <w:num w:numId="6" w16cid:durableId="825975749">
    <w:abstractNumId w:val="7"/>
  </w:num>
  <w:num w:numId="7" w16cid:durableId="39398584">
    <w:abstractNumId w:val="6"/>
  </w:num>
  <w:num w:numId="8" w16cid:durableId="717583561">
    <w:abstractNumId w:val="4"/>
  </w:num>
  <w:num w:numId="9" w16cid:durableId="1281452558">
    <w:abstractNumId w:val="8"/>
  </w:num>
  <w:num w:numId="10" w16cid:durableId="65611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80"/>
    <w:rsid w:val="000275CE"/>
    <w:rsid w:val="00033B23"/>
    <w:rsid w:val="00062080"/>
    <w:rsid w:val="0009253F"/>
    <w:rsid w:val="00096231"/>
    <w:rsid w:val="000C53D2"/>
    <w:rsid w:val="000D1E4A"/>
    <w:rsid w:val="000D23EC"/>
    <w:rsid w:val="000F4AA0"/>
    <w:rsid w:val="00102FBE"/>
    <w:rsid w:val="00124CC2"/>
    <w:rsid w:val="00134FA1"/>
    <w:rsid w:val="00140AA1"/>
    <w:rsid w:val="00156A34"/>
    <w:rsid w:val="00166BF5"/>
    <w:rsid w:val="00167E4B"/>
    <w:rsid w:val="001A06EC"/>
    <w:rsid w:val="001A07F9"/>
    <w:rsid w:val="001A3C60"/>
    <w:rsid w:val="001E2A88"/>
    <w:rsid w:val="00215736"/>
    <w:rsid w:val="0026010A"/>
    <w:rsid w:val="00275DF7"/>
    <w:rsid w:val="002A1E8A"/>
    <w:rsid w:val="002B4D2F"/>
    <w:rsid w:val="002E7B5F"/>
    <w:rsid w:val="00305950"/>
    <w:rsid w:val="00335D2D"/>
    <w:rsid w:val="003402C1"/>
    <w:rsid w:val="003424DA"/>
    <w:rsid w:val="003471A4"/>
    <w:rsid w:val="00353AFF"/>
    <w:rsid w:val="00367D38"/>
    <w:rsid w:val="003703DD"/>
    <w:rsid w:val="003B2F3A"/>
    <w:rsid w:val="003C20C6"/>
    <w:rsid w:val="003D6305"/>
    <w:rsid w:val="003D7854"/>
    <w:rsid w:val="003F51A3"/>
    <w:rsid w:val="003F7BA3"/>
    <w:rsid w:val="00402F99"/>
    <w:rsid w:val="00432195"/>
    <w:rsid w:val="0047224C"/>
    <w:rsid w:val="00486FD8"/>
    <w:rsid w:val="004A4D64"/>
    <w:rsid w:val="004A6D10"/>
    <w:rsid w:val="004C5245"/>
    <w:rsid w:val="004D01BF"/>
    <w:rsid w:val="004D2524"/>
    <w:rsid w:val="004D5A8D"/>
    <w:rsid w:val="004E5FD3"/>
    <w:rsid w:val="004F4748"/>
    <w:rsid w:val="004F7836"/>
    <w:rsid w:val="005005A6"/>
    <w:rsid w:val="005078CA"/>
    <w:rsid w:val="00510C48"/>
    <w:rsid w:val="0051366A"/>
    <w:rsid w:val="005439A5"/>
    <w:rsid w:val="00553548"/>
    <w:rsid w:val="00554468"/>
    <w:rsid w:val="005A2137"/>
    <w:rsid w:val="005A2F40"/>
    <w:rsid w:val="005A4D10"/>
    <w:rsid w:val="005B7571"/>
    <w:rsid w:val="005C2605"/>
    <w:rsid w:val="005D4BD1"/>
    <w:rsid w:val="005F0E69"/>
    <w:rsid w:val="0062579B"/>
    <w:rsid w:val="00636DC9"/>
    <w:rsid w:val="00647AF6"/>
    <w:rsid w:val="006610FC"/>
    <w:rsid w:val="006677AB"/>
    <w:rsid w:val="00670D28"/>
    <w:rsid w:val="00690694"/>
    <w:rsid w:val="006A642E"/>
    <w:rsid w:val="006B74FF"/>
    <w:rsid w:val="006E3179"/>
    <w:rsid w:val="006F5521"/>
    <w:rsid w:val="00711865"/>
    <w:rsid w:val="0073453F"/>
    <w:rsid w:val="00734CFC"/>
    <w:rsid w:val="00746080"/>
    <w:rsid w:val="00757FB4"/>
    <w:rsid w:val="007C4687"/>
    <w:rsid w:val="007C7C4B"/>
    <w:rsid w:val="007D07EA"/>
    <w:rsid w:val="0080341C"/>
    <w:rsid w:val="008048A7"/>
    <w:rsid w:val="00834001"/>
    <w:rsid w:val="008515F6"/>
    <w:rsid w:val="00851B72"/>
    <w:rsid w:val="00864BA2"/>
    <w:rsid w:val="008A608A"/>
    <w:rsid w:val="008D1448"/>
    <w:rsid w:val="008D7B2E"/>
    <w:rsid w:val="008E2186"/>
    <w:rsid w:val="008F349F"/>
    <w:rsid w:val="008F454A"/>
    <w:rsid w:val="009006C5"/>
    <w:rsid w:val="00900886"/>
    <w:rsid w:val="00917C7B"/>
    <w:rsid w:val="00922089"/>
    <w:rsid w:val="00926456"/>
    <w:rsid w:val="00933E99"/>
    <w:rsid w:val="00945DE5"/>
    <w:rsid w:val="00985BDA"/>
    <w:rsid w:val="00986A16"/>
    <w:rsid w:val="00997B98"/>
    <w:rsid w:val="009B1BBD"/>
    <w:rsid w:val="009B238F"/>
    <w:rsid w:val="009B36CD"/>
    <w:rsid w:val="00A17A3A"/>
    <w:rsid w:val="00A24CDD"/>
    <w:rsid w:val="00A27E1F"/>
    <w:rsid w:val="00A46EEC"/>
    <w:rsid w:val="00A751FE"/>
    <w:rsid w:val="00A81819"/>
    <w:rsid w:val="00A87105"/>
    <w:rsid w:val="00A948B8"/>
    <w:rsid w:val="00AE2AFD"/>
    <w:rsid w:val="00AF6F2C"/>
    <w:rsid w:val="00B07839"/>
    <w:rsid w:val="00B11103"/>
    <w:rsid w:val="00B11CA2"/>
    <w:rsid w:val="00B26D82"/>
    <w:rsid w:val="00B335AD"/>
    <w:rsid w:val="00B37FDE"/>
    <w:rsid w:val="00B54478"/>
    <w:rsid w:val="00B62687"/>
    <w:rsid w:val="00B62E7C"/>
    <w:rsid w:val="00B871A2"/>
    <w:rsid w:val="00BA5E77"/>
    <w:rsid w:val="00BC2E67"/>
    <w:rsid w:val="00BC4169"/>
    <w:rsid w:val="00BD4008"/>
    <w:rsid w:val="00BE0200"/>
    <w:rsid w:val="00BE0796"/>
    <w:rsid w:val="00BF5C96"/>
    <w:rsid w:val="00C04DFF"/>
    <w:rsid w:val="00C059D9"/>
    <w:rsid w:val="00C678AF"/>
    <w:rsid w:val="00C71D5E"/>
    <w:rsid w:val="00C86C25"/>
    <w:rsid w:val="00C87618"/>
    <w:rsid w:val="00C97C90"/>
    <w:rsid w:val="00CB147B"/>
    <w:rsid w:val="00CC3923"/>
    <w:rsid w:val="00CC5095"/>
    <w:rsid w:val="00CC6225"/>
    <w:rsid w:val="00CC7385"/>
    <w:rsid w:val="00CD62D8"/>
    <w:rsid w:val="00CE1067"/>
    <w:rsid w:val="00CE43E6"/>
    <w:rsid w:val="00D4105A"/>
    <w:rsid w:val="00D5390F"/>
    <w:rsid w:val="00D605D3"/>
    <w:rsid w:val="00D97F14"/>
    <w:rsid w:val="00DC21B7"/>
    <w:rsid w:val="00DD7C67"/>
    <w:rsid w:val="00DF1990"/>
    <w:rsid w:val="00E1315C"/>
    <w:rsid w:val="00E31508"/>
    <w:rsid w:val="00E534D7"/>
    <w:rsid w:val="00E55E62"/>
    <w:rsid w:val="00E60D3A"/>
    <w:rsid w:val="00E742B2"/>
    <w:rsid w:val="00E75F18"/>
    <w:rsid w:val="00E90BEB"/>
    <w:rsid w:val="00ED79FF"/>
    <w:rsid w:val="00EE02C8"/>
    <w:rsid w:val="00EE5AAA"/>
    <w:rsid w:val="00F44947"/>
    <w:rsid w:val="00F50E8F"/>
    <w:rsid w:val="00F65870"/>
    <w:rsid w:val="00F67F10"/>
    <w:rsid w:val="00F8000D"/>
    <w:rsid w:val="00F80A77"/>
    <w:rsid w:val="00F83E9B"/>
    <w:rsid w:val="00F87314"/>
    <w:rsid w:val="00FB1E4B"/>
    <w:rsid w:val="00FC6D3C"/>
    <w:rsid w:val="00FE0F9F"/>
    <w:rsid w:val="00FE38A8"/>
    <w:rsid w:val="00FE5935"/>
    <w:rsid w:val="00FF4979"/>
    <w:rsid w:val="00FF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D2A1"/>
  <w15:chartTrackingRefBased/>
  <w15:docId w15:val="{A4BBCD6A-7AE4-43C4-969F-9B4376F7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23"/>
  </w:style>
  <w:style w:type="paragraph" w:styleId="Footer">
    <w:name w:val="footer"/>
    <w:basedOn w:val="Normal"/>
    <w:link w:val="FooterChar"/>
    <w:uiPriority w:val="99"/>
    <w:unhideWhenUsed/>
    <w:rsid w:val="0003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23"/>
  </w:style>
  <w:style w:type="paragraph" w:styleId="ListParagraph">
    <w:name w:val="List Paragraph"/>
    <w:basedOn w:val="Normal"/>
    <w:uiPriority w:val="34"/>
    <w:qFormat/>
    <w:rsid w:val="003703DD"/>
    <w:pPr>
      <w:ind w:left="720"/>
      <w:contextualSpacing/>
    </w:pPr>
  </w:style>
  <w:style w:type="paragraph" w:styleId="HTMLPreformatted">
    <w:name w:val="HTML Preformatted"/>
    <w:basedOn w:val="Normal"/>
    <w:link w:val="HTMLPreformattedChar"/>
    <w:uiPriority w:val="99"/>
    <w:semiHidden/>
    <w:unhideWhenUsed/>
    <w:rsid w:val="00A8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819"/>
    <w:rPr>
      <w:rFonts w:ascii="Courier New" w:eastAsia="Times New Roman" w:hAnsi="Courier New" w:cs="Courier New"/>
      <w:sz w:val="20"/>
      <w:szCs w:val="20"/>
    </w:rPr>
  </w:style>
  <w:style w:type="character" w:customStyle="1" w:styleId="y2iqfc">
    <w:name w:val="y2iqfc"/>
    <w:basedOn w:val="DefaultParagraphFont"/>
    <w:rsid w:val="00A81819"/>
  </w:style>
  <w:style w:type="paragraph" w:styleId="Revision">
    <w:name w:val="Revision"/>
    <w:hidden/>
    <w:uiPriority w:val="99"/>
    <w:semiHidden/>
    <w:rsid w:val="00166BF5"/>
    <w:pPr>
      <w:spacing w:after="0" w:line="240" w:lineRule="auto"/>
    </w:pPr>
  </w:style>
  <w:style w:type="character" w:styleId="Hyperlink">
    <w:name w:val="Hyperlink"/>
    <w:basedOn w:val="DefaultParagraphFont"/>
    <w:uiPriority w:val="99"/>
    <w:unhideWhenUsed/>
    <w:rsid w:val="00402F99"/>
    <w:rPr>
      <w:color w:val="0563C1" w:themeColor="hyperlink"/>
      <w:u w:val="single"/>
    </w:rPr>
  </w:style>
  <w:style w:type="character" w:styleId="UnresolvedMention">
    <w:name w:val="Unresolved Mention"/>
    <w:basedOn w:val="DefaultParagraphFont"/>
    <w:uiPriority w:val="99"/>
    <w:semiHidden/>
    <w:unhideWhenUsed/>
    <w:rsid w:val="00402F99"/>
    <w:rPr>
      <w:color w:val="605E5C"/>
      <w:shd w:val="clear" w:color="auto" w:fill="E1DFDD"/>
    </w:rPr>
  </w:style>
  <w:style w:type="character" w:styleId="FollowedHyperlink">
    <w:name w:val="FollowedHyperlink"/>
    <w:basedOn w:val="DefaultParagraphFont"/>
    <w:uiPriority w:val="99"/>
    <w:semiHidden/>
    <w:unhideWhenUsed/>
    <w:rsid w:val="00402F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6922">
      <w:bodyDiv w:val="1"/>
      <w:marLeft w:val="0"/>
      <w:marRight w:val="0"/>
      <w:marTop w:val="0"/>
      <w:marBottom w:val="0"/>
      <w:divBdr>
        <w:top w:val="none" w:sz="0" w:space="0" w:color="auto"/>
        <w:left w:val="none" w:sz="0" w:space="0" w:color="auto"/>
        <w:bottom w:val="none" w:sz="0" w:space="0" w:color="auto"/>
        <w:right w:val="none" w:sz="0" w:space="0" w:color="auto"/>
      </w:divBdr>
    </w:div>
    <w:div w:id="417946003">
      <w:bodyDiv w:val="1"/>
      <w:marLeft w:val="0"/>
      <w:marRight w:val="0"/>
      <w:marTop w:val="0"/>
      <w:marBottom w:val="0"/>
      <w:divBdr>
        <w:top w:val="none" w:sz="0" w:space="0" w:color="auto"/>
        <w:left w:val="none" w:sz="0" w:space="0" w:color="auto"/>
        <w:bottom w:val="none" w:sz="0" w:space="0" w:color="auto"/>
        <w:right w:val="none" w:sz="0" w:space="0" w:color="auto"/>
      </w:divBdr>
    </w:div>
    <w:div w:id="781462757">
      <w:bodyDiv w:val="1"/>
      <w:marLeft w:val="0"/>
      <w:marRight w:val="0"/>
      <w:marTop w:val="0"/>
      <w:marBottom w:val="0"/>
      <w:divBdr>
        <w:top w:val="none" w:sz="0" w:space="0" w:color="auto"/>
        <w:left w:val="none" w:sz="0" w:space="0" w:color="auto"/>
        <w:bottom w:val="none" w:sz="0" w:space="0" w:color="auto"/>
        <w:right w:val="none" w:sz="0" w:space="0" w:color="auto"/>
      </w:divBdr>
    </w:div>
    <w:div w:id="817646060">
      <w:bodyDiv w:val="1"/>
      <w:marLeft w:val="0"/>
      <w:marRight w:val="0"/>
      <w:marTop w:val="0"/>
      <w:marBottom w:val="0"/>
      <w:divBdr>
        <w:top w:val="none" w:sz="0" w:space="0" w:color="auto"/>
        <w:left w:val="none" w:sz="0" w:space="0" w:color="auto"/>
        <w:bottom w:val="none" w:sz="0" w:space="0" w:color="auto"/>
        <w:right w:val="none" w:sz="0" w:space="0" w:color="auto"/>
      </w:divBdr>
    </w:div>
    <w:div w:id="934751350">
      <w:bodyDiv w:val="1"/>
      <w:marLeft w:val="0"/>
      <w:marRight w:val="0"/>
      <w:marTop w:val="0"/>
      <w:marBottom w:val="0"/>
      <w:divBdr>
        <w:top w:val="none" w:sz="0" w:space="0" w:color="auto"/>
        <w:left w:val="none" w:sz="0" w:space="0" w:color="auto"/>
        <w:bottom w:val="none" w:sz="0" w:space="0" w:color="auto"/>
        <w:right w:val="none" w:sz="0" w:space="0" w:color="auto"/>
      </w:divBdr>
    </w:div>
    <w:div w:id="17182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com2024/Annex/PA4_801_Annex1.pdf" TargetMode="External"/><Relationship Id="rId5" Type="http://schemas.openxmlformats.org/officeDocument/2006/relationships/webSettings" Target="webSettings.xml"/><Relationship Id="rId10" Type="http://schemas.openxmlformats.org/officeDocument/2006/relationships/hyperlink" Target="https://www.iccat.int/com2024/Annex/PA4_801_Annex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7F5D-C473-4A86-B353-978DFC52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17</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Karen Donovan</cp:lastModifiedBy>
  <cp:revision>116</cp:revision>
  <cp:lastPrinted>2022-11-20T19:01:00Z</cp:lastPrinted>
  <dcterms:created xsi:type="dcterms:W3CDTF">2023-09-20T08:33:00Z</dcterms:created>
  <dcterms:modified xsi:type="dcterms:W3CDTF">2025-11-16T16:15:00Z</dcterms:modified>
</cp:coreProperties>
</file>