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F3D92" w14:textId="77777777" w:rsidR="00E900E3" w:rsidRPr="004E6129" w:rsidRDefault="00E900E3" w:rsidP="00E900E3">
      <w:pPr>
        <w:jc w:val="right"/>
        <w:rPr>
          <w:rFonts w:ascii="Cambria" w:hAnsi="Cambria"/>
          <w:b/>
          <w:sz w:val="20"/>
          <w:szCs w:val="20"/>
        </w:rPr>
      </w:pPr>
      <w:bookmarkStart w:id="0" w:name="_Hlk119855707"/>
      <w:r w:rsidRPr="004E6129">
        <w:rPr>
          <w:rFonts w:ascii="Cambria" w:hAnsi="Cambria"/>
          <w:b/>
          <w:sz w:val="20"/>
          <w:szCs w:val="20"/>
        </w:rPr>
        <w:t xml:space="preserve">Original : </w:t>
      </w:r>
      <w:r w:rsidRPr="004E6129">
        <w:rPr>
          <w:rFonts w:ascii="Cambria" w:hAnsi="Cambria"/>
          <w:b/>
          <w:bCs/>
          <w:sz w:val="20"/>
          <w:szCs w:val="20"/>
        </w:rPr>
        <w:t>anglais</w:t>
      </w:r>
    </w:p>
    <w:p w14:paraId="79FA9B9A" w14:textId="77777777" w:rsidR="00F51AFC" w:rsidRPr="004E6129" w:rsidRDefault="00F51AFC">
      <w:pPr>
        <w:tabs>
          <w:tab w:val="left" w:pos="426"/>
          <w:tab w:val="center" w:pos="4680"/>
          <w:tab w:val="left" w:pos="6430"/>
        </w:tabs>
        <w:jc w:val="center"/>
        <w:rPr>
          <w:rFonts w:ascii="Cambria" w:eastAsia="Cambria" w:hAnsi="Cambria" w:cs="Cambria"/>
          <w:b/>
          <w:sz w:val="20"/>
          <w:szCs w:val="20"/>
        </w:rPr>
      </w:pPr>
    </w:p>
    <w:p w14:paraId="11BA9C8A" w14:textId="18C44BC2" w:rsidR="005B4604" w:rsidRPr="005B4604" w:rsidRDefault="00E45765" w:rsidP="00E45765">
      <w:pPr>
        <w:tabs>
          <w:tab w:val="left" w:pos="426"/>
          <w:tab w:val="center" w:pos="4680"/>
          <w:tab w:val="left" w:pos="6430"/>
        </w:tabs>
        <w:jc w:val="center"/>
        <w:rPr>
          <w:rFonts w:ascii="Cambria" w:eastAsia="Cambria" w:hAnsi="Cambria" w:cs="Cambria"/>
          <w:b/>
          <w:sz w:val="20"/>
          <w:szCs w:val="20"/>
        </w:rPr>
      </w:pPr>
      <w:bookmarkStart w:id="1" w:name="_Hlk118984081"/>
      <w:bookmarkEnd w:id="0"/>
      <w:r w:rsidRPr="004E6129">
        <w:rPr>
          <w:rFonts w:ascii="Cambria" w:eastAsia="Cambria" w:hAnsi="Cambria" w:cs="Cambria"/>
          <w:b/>
          <w:sz w:val="20"/>
          <w:szCs w:val="20"/>
        </w:rPr>
        <w:t>Projet de R</w:t>
      </w:r>
      <w:r w:rsidR="00826960" w:rsidRPr="004E6129">
        <w:rPr>
          <w:rFonts w:ascii="Cambria" w:eastAsia="Cambria" w:hAnsi="Cambria" w:cs="Cambria"/>
          <w:b/>
          <w:sz w:val="20"/>
          <w:szCs w:val="20"/>
        </w:rPr>
        <w:t>ecommandation de l’</w:t>
      </w:r>
      <w:r w:rsidRPr="004E6129">
        <w:rPr>
          <w:rFonts w:ascii="Cambria" w:eastAsia="Cambria" w:hAnsi="Cambria" w:cs="Cambria"/>
          <w:b/>
          <w:sz w:val="20"/>
          <w:szCs w:val="20"/>
        </w:rPr>
        <w:t>ICCAT</w:t>
      </w:r>
      <w:r w:rsidR="00826960" w:rsidRPr="004E6129">
        <w:rPr>
          <w:rFonts w:ascii="Cambria" w:eastAsia="Cambria" w:hAnsi="Cambria" w:cs="Cambria"/>
          <w:b/>
          <w:sz w:val="20"/>
          <w:szCs w:val="20"/>
        </w:rPr>
        <w:t xml:space="preserve"> </w:t>
      </w:r>
      <w:r w:rsidR="00160D71" w:rsidRPr="004E6129">
        <w:rPr>
          <w:rFonts w:ascii="Cambria" w:eastAsia="Cambria" w:hAnsi="Cambria" w:cs="Cambria"/>
          <w:b/>
          <w:sz w:val="20"/>
          <w:szCs w:val="20"/>
          <w:u w:val="single"/>
        </w:rPr>
        <w:t>amendant la Recommandation 22-10</w:t>
      </w:r>
      <w:r w:rsidR="00160D71" w:rsidRPr="004E6129">
        <w:rPr>
          <w:rFonts w:ascii="Cambria" w:eastAsia="Cambria" w:hAnsi="Cambria" w:cs="Cambria"/>
          <w:b/>
          <w:sz w:val="20"/>
          <w:szCs w:val="20"/>
        </w:rPr>
        <w:t xml:space="preserve"> </w:t>
      </w:r>
      <w:r w:rsidR="00826960" w:rsidRPr="004E6129">
        <w:rPr>
          <w:rFonts w:ascii="Cambria" w:eastAsia="Cambria" w:hAnsi="Cambria" w:cs="Cambria"/>
          <w:b/>
          <w:sz w:val="20"/>
          <w:szCs w:val="20"/>
        </w:rPr>
        <w:t>concernant un plan de conservation et de gestion du thon rouge de l’</w:t>
      </w:r>
      <w:r w:rsidRPr="004E6129">
        <w:rPr>
          <w:rFonts w:ascii="Cambria" w:eastAsia="Cambria" w:hAnsi="Cambria" w:cs="Cambria"/>
          <w:b/>
          <w:sz w:val="20"/>
          <w:szCs w:val="20"/>
        </w:rPr>
        <w:t>A</w:t>
      </w:r>
      <w:r w:rsidR="00826960" w:rsidRPr="004E6129">
        <w:rPr>
          <w:rFonts w:ascii="Cambria" w:eastAsia="Cambria" w:hAnsi="Cambria" w:cs="Cambria"/>
          <w:b/>
          <w:sz w:val="20"/>
          <w:szCs w:val="20"/>
        </w:rPr>
        <w:t xml:space="preserve">tlantique </w:t>
      </w:r>
      <w:r w:rsidRPr="004E6129">
        <w:rPr>
          <w:rFonts w:ascii="Cambria" w:eastAsia="Cambria" w:hAnsi="Cambria" w:cs="Cambria"/>
          <w:b/>
          <w:sz w:val="20"/>
          <w:szCs w:val="20"/>
        </w:rPr>
        <w:t>Ouest</w:t>
      </w:r>
    </w:p>
    <w:bookmarkEnd w:id="1"/>
    <w:p w14:paraId="687C83EB" w14:textId="77777777" w:rsidR="005B4604" w:rsidRPr="004E6129" w:rsidRDefault="005B4604">
      <w:pPr>
        <w:tabs>
          <w:tab w:val="left" w:pos="426"/>
          <w:tab w:val="center" w:pos="4680"/>
          <w:tab w:val="left" w:pos="6430"/>
        </w:tabs>
        <w:rPr>
          <w:rFonts w:ascii="Cambria" w:eastAsia="Cambria" w:hAnsi="Cambria" w:cs="Cambria"/>
          <w:sz w:val="20"/>
          <w:szCs w:val="20"/>
        </w:rPr>
      </w:pPr>
    </w:p>
    <w:p w14:paraId="30BE8DAF" w14:textId="0F1D3D25" w:rsidR="005B4604" w:rsidRPr="004E6129" w:rsidRDefault="00E45765" w:rsidP="00E45765">
      <w:pPr>
        <w:tabs>
          <w:tab w:val="left" w:pos="426"/>
          <w:tab w:val="center" w:pos="4680"/>
          <w:tab w:val="left" w:pos="6430"/>
        </w:tabs>
        <w:jc w:val="center"/>
        <w:rPr>
          <w:rFonts w:ascii="Cambria" w:eastAsia="Cambria" w:hAnsi="Cambria" w:cs="Cambria"/>
          <w:i/>
          <w:iCs/>
          <w:sz w:val="20"/>
          <w:szCs w:val="20"/>
        </w:rPr>
      </w:pPr>
      <w:r w:rsidRPr="004E6129">
        <w:rPr>
          <w:rFonts w:ascii="Cambria" w:eastAsia="Cambria" w:hAnsi="Cambria" w:cs="Cambria"/>
          <w:i/>
          <w:iCs/>
          <w:sz w:val="20"/>
          <w:szCs w:val="20"/>
        </w:rPr>
        <w:t>(proposition du Président de la Sous-commission 2)</w:t>
      </w:r>
    </w:p>
    <w:p w14:paraId="3B1A1B73" w14:textId="77777777" w:rsidR="00E45765" w:rsidRPr="004E6129" w:rsidRDefault="00E45765">
      <w:pPr>
        <w:tabs>
          <w:tab w:val="left" w:pos="426"/>
          <w:tab w:val="center" w:pos="4680"/>
          <w:tab w:val="left" w:pos="6430"/>
        </w:tabs>
        <w:rPr>
          <w:rFonts w:ascii="Cambria" w:eastAsia="Cambria" w:hAnsi="Cambria" w:cs="Cambria"/>
          <w:sz w:val="20"/>
          <w:szCs w:val="20"/>
        </w:rPr>
      </w:pPr>
    </w:p>
    <w:p w14:paraId="746841FC" w14:textId="77777777" w:rsidR="00F51AFC" w:rsidRPr="004E6129" w:rsidRDefault="00416E35" w:rsidP="0055404F">
      <w:pPr>
        <w:tabs>
          <w:tab w:val="center" w:pos="4680"/>
          <w:tab w:val="left" w:pos="6430"/>
        </w:tabs>
        <w:ind w:firstLine="426"/>
        <w:jc w:val="both"/>
        <w:rPr>
          <w:rFonts w:ascii="Cambria" w:eastAsia="Cambria" w:hAnsi="Cambria" w:cs="Cambria"/>
          <w:i/>
          <w:sz w:val="20"/>
          <w:szCs w:val="20"/>
        </w:rPr>
      </w:pPr>
      <w:r w:rsidRPr="004E6129">
        <w:rPr>
          <w:rFonts w:ascii="Cambria" w:hAnsi="Cambria"/>
          <w:i/>
          <w:color w:val="231F20"/>
          <w:sz w:val="20"/>
          <w:szCs w:val="20"/>
        </w:rPr>
        <w:tab/>
      </w:r>
      <w:r w:rsidRPr="004E6129">
        <w:rPr>
          <w:rFonts w:ascii="Cambria" w:hAnsi="Cambria"/>
          <w:i/>
          <w:sz w:val="20"/>
          <w:szCs w:val="20"/>
        </w:rPr>
        <w:t>NOTANT</w:t>
      </w:r>
      <w:r w:rsidRPr="004E6129">
        <w:rPr>
          <w:rFonts w:ascii="Cambria" w:hAnsi="Cambria"/>
          <w:sz w:val="20"/>
          <w:szCs w:val="20"/>
        </w:rPr>
        <w:t xml:space="preserve"> que l’objectif de la Convention est de maintenir les populations de thonidés et d’espèces apparentées à des niveaux qui permettront la prise maximale équilibrée (dénommée généralement « production maximale équilibrée » (PME)) ;</w:t>
      </w:r>
    </w:p>
    <w:p w14:paraId="5EB86505" w14:textId="77777777" w:rsidR="00F51AFC" w:rsidRPr="004E6129" w:rsidRDefault="00F51AFC" w:rsidP="00A168A4">
      <w:pPr>
        <w:tabs>
          <w:tab w:val="left" w:pos="426"/>
          <w:tab w:val="center" w:pos="4680"/>
          <w:tab w:val="left" w:pos="6430"/>
        </w:tabs>
        <w:jc w:val="both"/>
        <w:rPr>
          <w:rFonts w:ascii="Cambria" w:eastAsia="Cambria" w:hAnsi="Cambria" w:cs="Cambria"/>
          <w:i/>
          <w:sz w:val="20"/>
          <w:szCs w:val="20"/>
        </w:rPr>
      </w:pPr>
    </w:p>
    <w:p w14:paraId="6308500C" w14:textId="476BFE08" w:rsidR="00F51AFC" w:rsidRPr="004E6129" w:rsidRDefault="00416E35" w:rsidP="00CA6385">
      <w:pPr>
        <w:tabs>
          <w:tab w:val="left" w:pos="426"/>
          <w:tab w:val="center" w:pos="4680"/>
          <w:tab w:val="left" w:pos="6430"/>
        </w:tabs>
        <w:ind w:firstLine="426"/>
        <w:jc w:val="both"/>
        <w:rPr>
          <w:rFonts w:ascii="Cambria" w:eastAsia="Cambria" w:hAnsi="Cambria" w:cs="Cambria"/>
          <w:sz w:val="20"/>
          <w:szCs w:val="20"/>
        </w:rPr>
      </w:pPr>
      <w:r w:rsidRPr="004E6129">
        <w:rPr>
          <w:rFonts w:ascii="Cambria" w:hAnsi="Cambria"/>
          <w:i/>
          <w:sz w:val="20"/>
          <w:szCs w:val="20"/>
        </w:rPr>
        <w:t>CONSCIENTE</w:t>
      </w:r>
      <w:r w:rsidRPr="004E6129">
        <w:rPr>
          <w:rFonts w:ascii="Cambria" w:hAnsi="Cambria"/>
          <w:sz w:val="20"/>
          <w:szCs w:val="20"/>
        </w:rPr>
        <w:t xml:space="preserve"> qu’en prévision de l’achèvement d’un programme de rétablissement sur 20 ans en 2018, la Commission a adopté la </w:t>
      </w:r>
      <w:r w:rsidRPr="004E6129">
        <w:rPr>
          <w:rFonts w:ascii="Cambria" w:hAnsi="Cambria"/>
          <w:i/>
          <w:sz w:val="20"/>
          <w:szCs w:val="20"/>
        </w:rPr>
        <w:t xml:space="preserve">Recommandation de l’ICCAT concernant un plan provisoire de conservation et de gestion du thon rouge de l’Atlantique Ouest </w:t>
      </w:r>
      <w:r w:rsidRPr="004E6129">
        <w:rPr>
          <w:rFonts w:ascii="Cambria" w:hAnsi="Cambria"/>
          <w:sz w:val="20"/>
          <w:szCs w:val="20"/>
        </w:rPr>
        <w:t>(Rec. 17-06) ;</w:t>
      </w:r>
    </w:p>
    <w:p w14:paraId="50F3D764" w14:textId="77777777" w:rsidR="00F51AFC" w:rsidRPr="004E6129" w:rsidRDefault="00F51AFC" w:rsidP="00A168A4">
      <w:pPr>
        <w:tabs>
          <w:tab w:val="left" w:pos="426"/>
          <w:tab w:val="center" w:pos="4680"/>
          <w:tab w:val="left" w:pos="6430"/>
        </w:tabs>
        <w:jc w:val="both"/>
        <w:rPr>
          <w:rFonts w:ascii="Cambria" w:eastAsia="Cambria" w:hAnsi="Cambria" w:cs="Cambria"/>
          <w:i/>
          <w:sz w:val="20"/>
          <w:szCs w:val="20"/>
        </w:rPr>
      </w:pPr>
    </w:p>
    <w:p w14:paraId="359AFAE9" w14:textId="09EA54CA" w:rsidR="00F51AFC" w:rsidRPr="004E6129" w:rsidRDefault="00701029" w:rsidP="00CA6385">
      <w:pPr>
        <w:tabs>
          <w:tab w:val="left" w:pos="426"/>
          <w:tab w:val="center" w:pos="4680"/>
          <w:tab w:val="left" w:pos="6430"/>
        </w:tabs>
        <w:ind w:firstLine="426"/>
        <w:jc w:val="both"/>
        <w:rPr>
          <w:rFonts w:ascii="Cambria" w:eastAsia="Cambria" w:hAnsi="Cambria" w:cs="Cambria"/>
          <w:iCs/>
          <w:sz w:val="20"/>
          <w:szCs w:val="20"/>
        </w:rPr>
      </w:pPr>
      <w:r w:rsidRPr="004E6129">
        <w:rPr>
          <w:rFonts w:ascii="Cambria" w:hAnsi="Cambria"/>
          <w:iCs/>
          <w:sz w:val="20"/>
          <w:szCs w:val="20"/>
        </w:rPr>
        <w:t>[…]</w:t>
      </w:r>
    </w:p>
    <w:p w14:paraId="68C17E67" w14:textId="77777777" w:rsidR="00701029" w:rsidRPr="004E6129" w:rsidRDefault="00701029" w:rsidP="00701029">
      <w:pPr>
        <w:tabs>
          <w:tab w:val="left" w:pos="426"/>
          <w:tab w:val="center" w:pos="4680"/>
          <w:tab w:val="left" w:pos="6430"/>
        </w:tabs>
        <w:ind w:firstLine="426"/>
        <w:jc w:val="both"/>
        <w:rPr>
          <w:rFonts w:ascii="Cambria" w:eastAsia="Cambria" w:hAnsi="Cambria" w:cs="Cambria"/>
          <w:iCs/>
          <w:sz w:val="20"/>
          <w:szCs w:val="20"/>
        </w:rPr>
      </w:pPr>
      <w:r w:rsidRPr="004E6129">
        <w:rPr>
          <w:rFonts w:ascii="Cambria" w:hAnsi="Cambria"/>
          <w:iCs/>
          <w:sz w:val="20"/>
          <w:szCs w:val="20"/>
        </w:rPr>
        <w:t>[…]</w:t>
      </w:r>
    </w:p>
    <w:p w14:paraId="474BFAC4" w14:textId="77777777" w:rsidR="00701029" w:rsidRPr="004E6129" w:rsidRDefault="00701029" w:rsidP="00701029">
      <w:pPr>
        <w:tabs>
          <w:tab w:val="left" w:pos="426"/>
          <w:tab w:val="center" w:pos="4680"/>
          <w:tab w:val="left" w:pos="6430"/>
        </w:tabs>
        <w:ind w:firstLine="426"/>
        <w:jc w:val="both"/>
        <w:rPr>
          <w:rFonts w:ascii="Cambria" w:eastAsia="Cambria" w:hAnsi="Cambria" w:cs="Cambria"/>
          <w:iCs/>
          <w:sz w:val="20"/>
          <w:szCs w:val="20"/>
        </w:rPr>
      </w:pPr>
      <w:r w:rsidRPr="004E6129">
        <w:rPr>
          <w:rFonts w:ascii="Cambria" w:hAnsi="Cambria"/>
          <w:iCs/>
          <w:sz w:val="20"/>
          <w:szCs w:val="20"/>
        </w:rPr>
        <w:t>[…]</w:t>
      </w:r>
    </w:p>
    <w:p w14:paraId="26880AF0" w14:textId="77777777" w:rsidR="00F51AFC" w:rsidRPr="004E6129" w:rsidRDefault="00F51AFC" w:rsidP="00A168A4">
      <w:pPr>
        <w:tabs>
          <w:tab w:val="left" w:pos="426"/>
          <w:tab w:val="center" w:pos="4680"/>
          <w:tab w:val="left" w:pos="6430"/>
        </w:tabs>
        <w:jc w:val="both"/>
        <w:rPr>
          <w:rFonts w:ascii="Cambria" w:eastAsia="Cambria" w:hAnsi="Cambria" w:cs="Cambria"/>
          <w:i/>
          <w:sz w:val="20"/>
          <w:szCs w:val="20"/>
        </w:rPr>
      </w:pPr>
    </w:p>
    <w:p w14:paraId="4C186A2F" w14:textId="41D899CB" w:rsidR="00F51AFC" w:rsidRPr="004E6129" w:rsidRDefault="00416E35" w:rsidP="00CA6385">
      <w:pPr>
        <w:tabs>
          <w:tab w:val="center" w:pos="4680"/>
          <w:tab w:val="left" w:pos="6430"/>
        </w:tabs>
        <w:ind w:firstLine="426"/>
        <w:jc w:val="both"/>
        <w:rPr>
          <w:rFonts w:ascii="Cambria" w:eastAsia="Cambria" w:hAnsi="Cambria" w:cs="Cambria"/>
          <w:sz w:val="20"/>
          <w:szCs w:val="20"/>
        </w:rPr>
      </w:pPr>
      <w:r w:rsidRPr="004E6129">
        <w:rPr>
          <w:rFonts w:ascii="Cambria" w:hAnsi="Cambria"/>
          <w:i/>
          <w:sz w:val="20"/>
          <w:szCs w:val="20"/>
        </w:rPr>
        <w:tab/>
      </w:r>
      <w:r w:rsidR="009D6349" w:rsidRPr="004E6129">
        <w:rPr>
          <w:rFonts w:ascii="Cambria" w:hAnsi="Cambria"/>
          <w:i/>
          <w:sz w:val="20"/>
          <w:szCs w:val="20"/>
        </w:rPr>
        <w:t xml:space="preserve">RECONNAISSANT </w:t>
      </w:r>
      <w:r w:rsidR="009D6349" w:rsidRPr="004E6129">
        <w:rPr>
          <w:rFonts w:ascii="Cambria" w:hAnsi="Cambria"/>
          <w:sz w:val="20"/>
          <w:szCs w:val="20"/>
        </w:rPr>
        <w:t xml:space="preserve">le cadre complet de MSE, développé par le SCRS, qui a été utilisé pour tester les </w:t>
      </w:r>
      <w:r w:rsidR="00C103E8" w:rsidRPr="004E6129">
        <w:rPr>
          <w:rFonts w:ascii="Cambria" w:hAnsi="Cambria"/>
          <w:sz w:val="20"/>
          <w:szCs w:val="20"/>
          <w:u w:val="single"/>
        </w:rPr>
        <w:t>procédures de gestion</w:t>
      </w:r>
      <w:r w:rsidR="009D6349" w:rsidRPr="004E6129">
        <w:rPr>
          <w:rFonts w:ascii="Cambria" w:hAnsi="Cambria"/>
          <w:sz w:val="20"/>
          <w:szCs w:val="20"/>
        </w:rPr>
        <w:t xml:space="preserve"> potentielles</w:t>
      </w:r>
      <w:r w:rsidR="009D6349" w:rsidRPr="004E6129">
        <w:rPr>
          <w:rFonts w:ascii="Cambria" w:hAnsi="Cambria"/>
          <w:sz w:val="20"/>
          <w:szCs w:val="20"/>
          <w:u w:val="single"/>
        </w:rPr>
        <w:t xml:space="preserve"> </w:t>
      </w:r>
      <w:r w:rsidR="00C103E8" w:rsidRPr="004E6129">
        <w:rPr>
          <w:rFonts w:ascii="Cambria" w:hAnsi="Cambria"/>
          <w:sz w:val="20"/>
          <w:szCs w:val="20"/>
          <w:u w:val="single"/>
        </w:rPr>
        <w:t xml:space="preserve">(CMP) </w:t>
      </w:r>
      <w:r w:rsidR="009D6349" w:rsidRPr="004E6129">
        <w:rPr>
          <w:rFonts w:ascii="Cambria" w:hAnsi="Cambria"/>
          <w:sz w:val="20"/>
          <w:szCs w:val="20"/>
        </w:rPr>
        <w:t xml:space="preserve">afin de démontrer les compromis entre les objectifs de gestion identifiés par la Sous-commission 2 en ce qui concerne l’état du stock, la sécurité, la stabilité et la production et l’examen du résultat de ces tests, incluant également l’étude de cycles de gestion de 2 et 3 ans et l’éventuel établissement d’un seuil minimum de changement du </w:t>
      </w:r>
      <w:r w:rsidR="00960180" w:rsidRPr="004E6129">
        <w:rPr>
          <w:rFonts w:ascii="Cambria" w:hAnsi="Cambria"/>
          <w:sz w:val="20"/>
          <w:szCs w:val="20"/>
          <w:u w:val="single"/>
        </w:rPr>
        <w:t>total admissible de captures (</w:t>
      </w:r>
      <w:r w:rsidR="009D6349" w:rsidRPr="004E6129">
        <w:rPr>
          <w:rFonts w:ascii="Cambria" w:hAnsi="Cambria"/>
          <w:sz w:val="20"/>
          <w:szCs w:val="20"/>
        </w:rPr>
        <w:t>TAC</w:t>
      </w:r>
      <w:r w:rsidR="00960180" w:rsidRPr="004E6129">
        <w:rPr>
          <w:rFonts w:ascii="Cambria" w:hAnsi="Cambria"/>
          <w:sz w:val="20"/>
          <w:szCs w:val="20"/>
          <w:u w:val="single"/>
        </w:rPr>
        <w:t>)</w:t>
      </w:r>
      <w:r w:rsidR="004358E1" w:rsidRPr="004E6129">
        <w:rPr>
          <w:rFonts w:ascii="Cambria" w:hAnsi="Cambria"/>
          <w:sz w:val="20"/>
          <w:szCs w:val="20"/>
        </w:rPr>
        <w:t> ;</w:t>
      </w:r>
    </w:p>
    <w:p w14:paraId="5FAE7479" w14:textId="77777777" w:rsidR="00F51AFC" w:rsidRPr="004E6129" w:rsidRDefault="00F51AFC" w:rsidP="00A168A4">
      <w:pPr>
        <w:tabs>
          <w:tab w:val="left" w:pos="426"/>
          <w:tab w:val="center" w:pos="4680"/>
          <w:tab w:val="left" w:pos="6430"/>
        </w:tabs>
        <w:jc w:val="both"/>
        <w:rPr>
          <w:rFonts w:ascii="Cambria" w:eastAsia="Cambria" w:hAnsi="Cambria" w:cs="Cambria"/>
          <w:i/>
          <w:sz w:val="20"/>
          <w:szCs w:val="20"/>
        </w:rPr>
      </w:pPr>
    </w:p>
    <w:p w14:paraId="42B73946" w14:textId="69B75DCC" w:rsidR="00F51AFC" w:rsidRPr="004E6129" w:rsidRDefault="00416E35" w:rsidP="00CA6385">
      <w:pPr>
        <w:tabs>
          <w:tab w:val="center" w:pos="4680"/>
          <w:tab w:val="left" w:pos="6430"/>
        </w:tabs>
        <w:ind w:firstLine="426"/>
        <w:jc w:val="both"/>
        <w:rPr>
          <w:rFonts w:ascii="Cambria" w:eastAsia="Cambria" w:hAnsi="Cambria" w:cs="Cambria"/>
          <w:sz w:val="20"/>
          <w:szCs w:val="20"/>
        </w:rPr>
      </w:pPr>
      <w:r w:rsidRPr="004E6129">
        <w:rPr>
          <w:rFonts w:ascii="Cambria" w:hAnsi="Cambria"/>
          <w:i/>
          <w:sz w:val="20"/>
          <w:szCs w:val="20"/>
        </w:rPr>
        <w:tab/>
      </w:r>
      <w:r w:rsidR="00C6243A" w:rsidRPr="004E6129">
        <w:rPr>
          <w:rFonts w:ascii="Cambria" w:hAnsi="Cambria"/>
          <w:i/>
          <w:sz w:val="20"/>
          <w:szCs w:val="20"/>
          <w:u w:val="single"/>
        </w:rPr>
        <w:t xml:space="preserve">RECONNAISSANT </w:t>
      </w:r>
      <w:r w:rsidR="00C6243A" w:rsidRPr="004E6129">
        <w:rPr>
          <w:rFonts w:ascii="Cambria" w:hAnsi="Cambria"/>
          <w:i/>
          <w:sz w:val="20"/>
          <w:szCs w:val="20"/>
          <w:u w:val="single"/>
        </w:rPr>
        <w:t>ÉGALEMENT</w:t>
      </w:r>
      <w:r w:rsidRPr="004E6129">
        <w:rPr>
          <w:rFonts w:ascii="Cambria" w:hAnsi="Cambria"/>
          <w:sz w:val="20"/>
          <w:szCs w:val="20"/>
        </w:rPr>
        <w:t xml:space="preserve"> l’adoption d’une MP en 2022 visant à établir les TAC tant pour les </w:t>
      </w:r>
      <w:r w:rsidR="001F1FF2" w:rsidRPr="004E6129">
        <w:rPr>
          <w:rFonts w:ascii="Cambria" w:hAnsi="Cambria"/>
          <w:sz w:val="20"/>
          <w:szCs w:val="20"/>
        </w:rPr>
        <w:t>zones</w:t>
      </w:r>
      <w:r w:rsidRPr="004E6129">
        <w:rPr>
          <w:rFonts w:ascii="Cambria" w:hAnsi="Cambria"/>
          <w:sz w:val="20"/>
          <w:szCs w:val="20"/>
        </w:rPr>
        <w:t xml:space="preserve"> de gestion du thon rouge de l’Atlantique Est et de la Méditerranée que de l’Atlantique Ouest à compter de 2023 ;</w:t>
      </w:r>
    </w:p>
    <w:p w14:paraId="5B1EEA3B" w14:textId="1D47248B" w:rsidR="00CA6385" w:rsidRPr="004E6129" w:rsidRDefault="00CA6385" w:rsidP="00CA6385">
      <w:pPr>
        <w:tabs>
          <w:tab w:val="center" w:pos="4680"/>
          <w:tab w:val="left" w:pos="6430"/>
        </w:tabs>
        <w:ind w:firstLine="426"/>
        <w:jc w:val="both"/>
        <w:rPr>
          <w:rFonts w:ascii="Cambria" w:hAnsi="Cambria"/>
          <w:i/>
          <w:color w:val="231F20"/>
          <w:sz w:val="20"/>
          <w:szCs w:val="20"/>
        </w:rPr>
      </w:pPr>
    </w:p>
    <w:p w14:paraId="53430479" w14:textId="03D3E0BA" w:rsidR="00737D95" w:rsidRPr="004E6129" w:rsidRDefault="00B72114" w:rsidP="00737D95">
      <w:pPr>
        <w:tabs>
          <w:tab w:val="center" w:pos="4680"/>
          <w:tab w:val="left" w:pos="6430"/>
        </w:tabs>
        <w:ind w:firstLine="426"/>
        <w:jc w:val="both"/>
        <w:rPr>
          <w:rFonts w:ascii="Cambria" w:hAnsi="Cambria"/>
          <w:sz w:val="20"/>
          <w:szCs w:val="20"/>
          <w:u w:val="single"/>
        </w:rPr>
      </w:pPr>
      <w:r w:rsidRPr="004E6129">
        <w:rPr>
          <w:rFonts w:ascii="Cambria" w:hAnsi="Cambria"/>
          <w:sz w:val="20"/>
          <w:szCs w:val="20"/>
        </w:rPr>
        <w:tab/>
      </w:r>
      <w:r w:rsidR="00737D95" w:rsidRPr="004E6129">
        <w:rPr>
          <w:rFonts w:ascii="Cambria" w:hAnsi="Cambria"/>
          <w:i/>
          <w:iCs/>
          <w:sz w:val="20"/>
          <w:szCs w:val="20"/>
          <w:u w:val="single"/>
        </w:rPr>
        <w:t>CONSCIENTE</w:t>
      </w:r>
      <w:r w:rsidR="00737D95" w:rsidRPr="004E6129">
        <w:rPr>
          <w:rFonts w:ascii="Cambria" w:hAnsi="Cambria"/>
          <w:sz w:val="20"/>
          <w:szCs w:val="20"/>
          <w:u w:val="single"/>
        </w:rPr>
        <w:t xml:space="preserve"> qu'en 2025, le SCRS a évalué la survenance de circonstances exceptionnelles, mais n'a pas été en mesure de parvenir à un consensus sur l’existence des circonstances exceptionnelles ;</w:t>
      </w:r>
    </w:p>
    <w:p w14:paraId="0D222A5B" w14:textId="17BB14A8" w:rsidR="00737D95" w:rsidRPr="004E6129" w:rsidRDefault="00737D95" w:rsidP="00737D95">
      <w:pPr>
        <w:tabs>
          <w:tab w:val="center" w:pos="4680"/>
          <w:tab w:val="left" w:pos="6430"/>
        </w:tabs>
        <w:ind w:firstLine="426"/>
        <w:jc w:val="both"/>
        <w:rPr>
          <w:rFonts w:ascii="Cambria" w:hAnsi="Cambria"/>
          <w:sz w:val="20"/>
          <w:szCs w:val="20"/>
          <w:u w:val="single"/>
        </w:rPr>
      </w:pPr>
    </w:p>
    <w:p w14:paraId="4D0F6767" w14:textId="13B53276" w:rsidR="00737D95" w:rsidRPr="004E6129" w:rsidRDefault="00737D95" w:rsidP="00737D95">
      <w:pPr>
        <w:tabs>
          <w:tab w:val="center" w:pos="4680"/>
          <w:tab w:val="left" w:pos="6430"/>
        </w:tabs>
        <w:ind w:firstLine="426"/>
        <w:jc w:val="both"/>
        <w:rPr>
          <w:rFonts w:ascii="Cambria" w:hAnsi="Cambria"/>
          <w:sz w:val="20"/>
          <w:szCs w:val="20"/>
          <w:u w:val="single"/>
        </w:rPr>
      </w:pPr>
      <w:r w:rsidRPr="004E6129">
        <w:rPr>
          <w:rFonts w:ascii="Cambria" w:hAnsi="Cambria"/>
          <w:i/>
          <w:iCs/>
          <w:sz w:val="20"/>
          <w:szCs w:val="20"/>
          <w:u w:val="single"/>
        </w:rPr>
        <w:t>CONSTATANT</w:t>
      </w:r>
      <w:r w:rsidRPr="004E6129">
        <w:rPr>
          <w:rFonts w:ascii="Cambria" w:hAnsi="Cambria"/>
          <w:sz w:val="20"/>
          <w:szCs w:val="20"/>
          <w:u w:val="single"/>
        </w:rPr>
        <w:t xml:space="preserve"> que</w:t>
      </w:r>
      <w:r w:rsidR="002764D7" w:rsidRPr="004E6129">
        <w:rPr>
          <w:rFonts w:ascii="Cambria" w:hAnsi="Cambria"/>
          <w:sz w:val="20"/>
          <w:szCs w:val="20"/>
          <w:u w:val="single"/>
        </w:rPr>
        <w:t xml:space="preserve">, </w:t>
      </w:r>
      <w:r w:rsidR="002764D7" w:rsidRPr="004E6129">
        <w:rPr>
          <w:rFonts w:ascii="Cambria" w:hAnsi="Cambria"/>
          <w:sz w:val="20"/>
          <w:szCs w:val="20"/>
          <w:u w:val="single"/>
        </w:rPr>
        <w:t>lorsque la survenance de circonstances exceptionnelles n'a pas été confirmée</w:t>
      </w:r>
      <w:r w:rsidR="002764D7" w:rsidRPr="004E6129">
        <w:rPr>
          <w:rFonts w:ascii="Cambria" w:hAnsi="Cambria"/>
          <w:sz w:val="20"/>
          <w:szCs w:val="20"/>
          <w:u w:val="single"/>
        </w:rPr>
        <w:t xml:space="preserve">, </w:t>
      </w:r>
      <w:r w:rsidRPr="004E6129">
        <w:rPr>
          <w:rFonts w:ascii="Cambria" w:hAnsi="Cambria"/>
          <w:sz w:val="20"/>
          <w:szCs w:val="20"/>
          <w:u w:val="single"/>
        </w:rPr>
        <w:t>le TAC calculé sur la base d</w:t>
      </w:r>
      <w:r w:rsidR="009F2C64" w:rsidRPr="004E6129">
        <w:rPr>
          <w:rFonts w:ascii="Cambria" w:hAnsi="Cambria"/>
          <w:sz w:val="20"/>
          <w:szCs w:val="20"/>
          <w:u w:val="single"/>
        </w:rPr>
        <w:t>e la</w:t>
      </w:r>
      <w:r w:rsidRPr="004E6129">
        <w:rPr>
          <w:rFonts w:ascii="Cambria" w:hAnsi="Cambria"/>
          <w:sz w:val="20"/>
          <w:szCs w:val="20"/>
          <w:u w:val="single"/>
        </w:rPr>
        <w:t xml:space="preserve"> BR devra être utilisé, </w:t>
      </w:r>
      <w:r w:rsidR="006265C4" w:rsidRPr="004E6129">
        <w:rPr>
          <w:rFonts w:ascii="Cambria" w:hAnsi="Cambria"/>
          <w:sz w:val="20"/>
          <w:szCs w:val="20"/>
          <w:u w:val="single"/>
        </w:rPr>
        <w:t>qui est établi à hauteur de</w:t>
      </w:r>
      <w:r w:rsidRPr="004E6129">
        <w:rPr>
          <w:rFonts w:ascii="Cambria" w:hAnsi="Cambria"/>
          <w:sz w:val="20"/>
          <w:szCs w:val="20"/>
          <w:u w:val="single"/>
        </w:rPr>
        <w:t xml:space="preserve"> 2.568 t</w:t>
      </w:r>
      <w:r w:rsidR="00C72DE9" w:rsidRPr="004E6129">
        <w:rPr>
          <w:rFonts w:ascii="Cambria" w:hAnsi="Cambria"/>
          <w:sz w:val="20"/>
          <w:szCs w:val="20"/>
          <w:u w:val="single"/>
        </w:rPr>
        <w:t> ;</w:t>
      </w:r>
    </w:p>
    <w:p w14:paraId="39E28396" w14:textId="1162D611" w:rsidR="00737D95" w:rsidRPr="004E6129" w:rsidRDefault="00737D95" w:rsidP="00737D95">
      <w:pPr>
        <w:tabs>
          <w:tab w:val="center" w:pos="4680"/>
          <w:tab w:val="left" w:pos="6430"/>
        </w:tabs>
        <w:ind w:firstLine="426"/>
        <w:jc w:val="both"/>
        <w:rPr>
          <w:rFonts w:ascii="Cambria" w:hAnsi="Cambria"/>
          <w:sz w:val="20"/>
          <w:szCs w:val="20"/>
          <w:u w:val="single"/>
        </w:rPr>
      </w:pPr>
    </w:p>
    <w:p w14:paraId="62FEC544" w14:textId="0F8D2D10" w:rsidR="00737D95" w:rsidRPr="004E6129" w:rsidRDefault="00462B01" w:rsidP="00737D95">
      <w:pPr>
        <w:tabs>
          <w:tab w:val="center" w:pos="4680"/>
          <w:tab w:val="left" w:pos="6430"/>
        </w:tabs>
        <w:ind w:firstLine="426"/>
        <w:jc w:val="both"/>
        <w:rPr>
          <w:rFonts w:ascii="Cambria" w:hAnsi="Cambria"/>
          <w:sz w:val="20"/>
          <w:szCs w:val="20"/>
          <w:u w:val="single"/>
        </w:rPr>
      </w:pPr>
      <w:r w:rsidRPr="004E6129">
        <w:rPr>
          <w:rFonts w:ascii="Cambria" w:hAnsi="Cambria"/>
          <w:i/>
          <w:iCs/>
          <w:sz w:val="20"/>
          <w:szCs w:val="20"/>
          <w:u w:val="single"/>
        </w:rPr>
        <w:t>NOTANT</w:t>
      </w:r>
      <w:r w:rsidR="00737D95" w:rsidRPr="004E6129">
        <w:rPr>
          <w:rFonts w:ascii="Cambria" w:hAnsi="Cambria"/>
          <w:i/>
          <w:iCs/>
          <w:sz w:val="20"/>
          <w:szCs w:val="20"/>
          <w:u w:val="single"/>
        </w:rPr>
        <w:t xml:space="preserve"> ÉGALEMENT</w:t>
      </w:r>
      <w:r w:rsidR="00737D95" w:rsidRPr="004E6129">
        <w:rPr>
          <w:rFonts w:ascii="Cambria" w:hAnsi="Cambria"/>
          <w:sz w:val="20"/>
          <w:szCs w:val="20"/>
          <w:u w:val="single"/>
        </w:rPr>
        <w:t xml:space="preserve"> que 120% du TAC ne devra pas constituer une circonstance exceptionnelle en vertu du protocole de circonstances exceptionnelles (annexe 4 de la Rec. 23-07)</w:t>
      </w:r>
      <w:r w:rsidR="003E4B35" w:rsidRPr="004E6129">
        <w:rPr>
          <w:rFonts w:ascii="Cambria" w:hAnsi="Cambria"/>
          <w:sz w:val="20"/>
          <w:szCs w:val="20"/>
          <w:u w:val="single"/>
        </w:rPr>
        <w:t> ;</w:t>
      </w:r>
    </w:p>
    <w:p w14:paraId="3DF0B79D" w14:textId="62E29C4A" w:rsidR="00D61874" w:rsidRPr="004E6129" w:rsidRDefault="00D61874" w:rsidP="00737D95">
      <w:pPr>
        <w:tabs>
          <w:tab w:val="center" w:pos="4680"/>
          <w:tab w:val="left" w:pos="6430"/>
        </w:tabs>
        <w:ind w:firstLine="426"/>
        <w:jc w:val="both"/>
        <w:rPr>
          <w:rFonts w:ascii="Cambria" w:hAnsi="Cambria"/>
          <w:i/>
          <w:color w:val="231F20"/>
          <w:sz w:val="20"/>
          <w:szCs w:val="20"/>
          <w:u w:val="single"/>
        </w:rPr>
      </w:pPr>
    </w:p>
    <w:p w14:paraId="1AD75790" w14:textId="1734CAEC" w:rsidR="00CA6385" w:rsidRPr="004E6129" w:rsidRDefault="003E2C69" w:rsidP="00CA6385">
      <w:pPr>
        <w:tabs>
          <w:tab w:val="center" w:pos="4680"/>
          <w:tab w:val="left" w:pos="6430"/>
        </w:tabs>
        <w:ind w:firstLine="426"/>
        <w:jc w:val="both"/>
        <w:rPr>
          <w:rFonts w:ascii="Cambria" w:hAnsi="Cambria"/>
          <w:color w:val="231F20"/>
          <w:sz w:val="20"/>
          <w:szCs w:val="20"/>
        </w:rPr>
      </w:pPr>
      <w:r w:rsidRPr="004E6129">
        <w:rPr>
          <w:rFonts w:ascii="Cambria" w:hAnsi="Cambria"/>
          <w:i/>
          <w:color w:val="231F20"/>
          <w:sz w:val="20"/>
          <w:szCs w:val="20"/>
        </w:rPr>
        <w:t xml:space="preserve">RECONNAISSANT </w:t>
      </w:r>
      <w:r w:rsidRPr="004E6129">
        <w:rPr>
          <w:rFonts w:ascii="Cambria" w:hAnsi="Cambria"/>
          <w:color w:val="231F20"/>
          <w:sz w:val="20"/>
          <w:szCs w:val="20"/>
        </w:rPr>
        <w:t xml:space="preserve">qu’un élément important de la MP est sa révision et que le SCRS a recommandé que la première révision soit achevée d’ici 2028 </w:t>
      </w:r>
      <w:r w:rsidR="00EF58DC" w:rsidRPr="004E6129">
        <w:rPr>
          <w:rFonts w:ascii="Cambria" w:hAnsi="Cambria"/>
          <w:color w:val="231F20"/>
          <w:sz w:val="20"/>
          <w:szCs w:val="20"/>
          <w:u w:val="single"/>
        </w:rPr>
        <w:t>au plus tard</w:t>
      </w:r>
      <w:r w:rsidR="00305F89" w:rsidRPr="004E6129">
        <w:rPr>
          <w:rFonts w:ascii="Cambria" w:hAnsi="Cambria"/>
          <w:color w:val="231F20"/>
          <w:sz w:val="20"/>
          <w:szCs w:val="20"/>
          <w:u w:val="single"/>
        </w:rPr>
        <w:t xml:space="preserve"> </w:t>
      </w:r>
      <w:r w:rsidRPr="004E6129">
        <w:rPr>
          <w:rFonts w:ascii="Cambria" w:hAnsi="Cambria"/>
          <w:color w:val="231F20"/>
          <w:sz w:val="20"/>
          <w:szCs w:val="20"/>
        </w:rPr>
        <w:t xml:space="preserve">afin de s'assurer que la MP fonctionne comme prévu et de déterminer s'il existe des conditions qui justifient le reconditionnement des modèles opérationnels </w:t>
      </w:r>
      <w:r w:rsidR="00305F89" w:rsidRPr="004E6129">
        <w:rPr>
          <w:rFonts w:ascii="Cambria" w:hAnsi="Cambria"/>
          <w:color w:val="231F20"/>
          <w:sz w:val="20"/>
          <w:szCs w:val="20"/>
        </w:rPr>
        <w:t xml:space="preserve">(OM) </w:t>
      </w:r>
      <w:r w:rsidRPr="004E6129">
        <w:rPr>
          <w:rFonts w:ascii="Cambria" w:hAnsi="Cambria"/>
          <w:color w:val="231F20"/>
          <w:sz w:val="20"/>
          <w:szCs w:val="20"/>
        </w:rPr>
        <w:t>de la MSE, le recalibrage de la MP actuelle et/ou l'examen d’éventuelles procédures de gestion alternatives ou d’une nouvelle MSE complète</w:t>
      </w:r>
      <w:r w:rsidR="00DB436E" w:rsidRPr="004E6129">
        <w:rPr>
          <w:rFonts w:ascii="Cambria" w:hAnsi="Cambria"/>
          <w:color w:val="231F20"/>
          <w:sz w:val="20"/>
          <w:szCs w:val="20"/>
        </w:rPr>
        <w:t> ;</w:t>
      </w:r>
      <w:r w:rsidR="00416E35" w:rsidRPr="004E6129">
        <w:rPr>
          <w:rFonts w:ascii="Cambria" w:hAnsi="Cambria"/>
          <w:color w:val="231F20"/>
          <w:sz w:val="20"/>
          <w:szCs w:val="20"/>
        </w:rPr>
        <w:t xml:space="preserve"> </w:t>
      </w:r>
    </w:p>
    <w:p w14:paraId="05D8C127" w14:textId="31BD8DA7" w:rsidR="00CA6385" w:rsidRPr="004E6129" w:rsidRDefault="00CA6385">
      <w:pPr>
        <w:rPr>
          <w:rFonts w:ascii="Cambria" w:hAnsi="Cambria"/>
          <w:color w:val="231F20"/>
          <w:sz w:val="20"/>
          <w:szCs w:val="20"/>
        </w:rPr>
      </w:pPr>
    </w:p>
    <w:p w14:paraId="14CEC2E0" w14:textId="334E8D1E" w:rsidR="00F51AFC" w:rsidRPr="004E6129" w:rsidRDefault="00416E35" w:rsidP="00CA6385">
      <w:pPr>
        <w:tabs>
          <w:tab w:val="center" w:pos="4680"/>
          <w:tab w:val="left" w:pos="6430"/>
        </w:tabs>
        <w:ind w:firstLine="425"/>
        <w:contextualSpacing/>
        <w:jc w:val="both"/>
        <w:rPr>
          <w:rFonts w:ascii="Cambria" w:hAnsi="Cambria"/>
          <w:color w:val="231F20"/>
          <w:sz w:val="20"/>
          <w:szCs w:val="20"/>
        </w:rPr>
      </w:pPr>
      <w:r w:rsidRPr="004E6129">
        <w:rPr>
          <w:rFonts w:ascii="Cambria" w:hAnsi="Cambria"/>
          <w:i/>
          <w:color w:val="231F20"/>
          <w:sz w:val="20"/>
          <w:szCs w:val="20"/>
        </w:rPr>
        <w:t>SOULIGNANT</w:t>
      </w:r>
      <w:r w:rsidRPr="004E6129">
        <w:rPr>
          <w:rFonts w:ascii="Cambria" w:hAnsi="Cambria"/>
          <w:color w:val="231F20"/>
          <w:sz w:val="20"/>
          <w:szCs w:val="20"/>
        </w:rPr>
        <w:t xml:space="preserve"> l’importance de la poursuite des projets de recherche sur le stock, y compris l’augmentation de </w:t>
      </w:r>
      <w:r w:rsidR="0080205D" w:rsidRPr="004E6129">
        <w:rPr>
          <w:rFonts w:ascii="Cambria" w:hAnsi="Cambria"/>
          <w:color w:val="231F20"/>
          <w:sz w:val="20"/>
          <w:szCs w:val="20"/>
        </w:rPr>
        <w:t>l’</w:t>
      </w:r>
      <w:r w:rsidRPr="004E6129">
        <w:rPr>
          <w:rFonts w:ascii="Cambria" w:hAnsi="Cambria"/>
          <w:color w:val="231F20"/>
          <w:sz w:val="20"/>
          <w:szCs w:val="20"/>
        </w:rPr>
        <w:t>échantillonnage biologique et des pêches, afin de fournie un appui complémentaire pour résoudre certaines incertitudes majeures dans l’évaluation du stock et la MSE, incluant la structure des tailles de</w:t>
      </w:r>
      <w:r w:rsidR="0080205D" w:rsidRPr="004E6129">
        <w:rPr>
          <w:rFonts w:ascii="Cambria" w:hAnsi="Cambria"/>
          <w:color w:val="231F20"/>
          <w:sz w:val="20"/>
          <w:szCs w:val="20"/>
        </w:rPr>
        <w:t>s</w:t>
      </w:r>
      <w:r w:rsidRPr="004E6129">
        <w:rPr>
          <w:rFonts w:ascii="Cambria" w:hAnsi="Cambria"/>
          <w:color w:val="231F20"/>
          <w:sz w:val="20"/>
          <w:szCs w:val="20"/>
        </w:rPr>
        <w:t xml:space="preserve"> captures et des remises à l’eau, les échantillons génétiques pour l’identification du stock et les études génétiques de marquage-récupération, l’estimation de l’âge et de la croissance, et le marquage électronique aux fins du suivi des migrations du stock et des taux de mélange ;</w:t>
      </w:r>
    </w:p>
    <w:p w14:paraId="678890C3" w14:textId="77777777" w:rsidR="00CA6385" w:rsidRPr="004E6129" w:rsidRDefault="00CA6385" w:rsidP="00CA6385">
      <w:pPr>
        <w:tabs>
          <w:tab w:val="center" w:pos="4680"/>
          <w:tab w:val="left" w:pos="6430"/>
        </w:tabs>
        <w:ind w:firstLine="425"/>
        <w:contextualSpacing/>
        <w:jc w:val="both"/>
        <w:rPr>
          <w:rFonts w:ascii="Cambria" w:eastAsia="Cambria" w:hAnsi="Cambria" w:cs="Cambria"/>
          <w:color w:val="231F20"/>
          <w:sz w:val="20"/>
          <w:szCs w:val="20"/>
        </w:rPr>
      </w:pPr>
    </w:p>
    <w:p w14:paraId="5B16BF86" w14:textId="7D267303" w:rsidR="00F51AFC" w:rsidRPr="004E6129" w:rsidRDefault="003F3D45" w:rsidP="00CA6385">
      <w:pPr>
        <w:tabs>
          <w:tab w:val="center" w:pos="4680"/>
          <w:tab w:val="left" w:pos="6430"/>
        </w:tabs>
        <w:ind w:firstLine="425"/>
        <w:contextualSpacing/>
        <w:jc w:val="both"/>
        <w:rPr>
          <w:rFonts w:ascii="Cambria" w:hAnsi="Cambria"/>
          <w:color w:val="231F20"/>
          <w:sz w:val="20"/>
          <w:szCs w:val="20"/>
        </w:rPr>
      </w:pPr>
      <w:r w:rsidRPr="004E6129">
        <w:rPr>
          <w:rFonts w:ascii="Cambria" w:hAnsi="Cambria"/>
          <w:i/>
          <w:color w:val="231F20"/>
          <w:sz w:val="20"/>
          <w:szCs w:val="20"/>
        </w:rPr>
        <w:t xml:space="preserve">RECONNAISSANT </w:t>
      </w:r>
      <w:r w:rsidRPr="004E6129">
        <w:rPr>
          <w:rFonts w:ascii="Cambria" w:hAnsi="Cambria"/>
          <w:iCs/>
          <w:color w:val="231F20"/>
          <w:sz w:val="20"/>
          <w:szCs w:val="20"/>
        </w:rPr>
        <w:t>la</w:t>
      </w:r>
      <w:r w:rsidRPr="004E6129">
        <w:rPr>
          <w:rFonts w:ascii="Cambria" w:hAnsi="Cambria"/>
          <w:i/>
          <w:color w:val="231F20"/>
          <w:sz w:val="20"/>
          <w:szCs w:val="20"/>
        </w:rPr>
        <w:t xml:space="preserve"> Résolution de l’ICCAT portant sur les critères pour l’allocation de possibilités de pêche </w:t>
      </w:r>
      <w:r w:rsidRPr="004E6129">
        <w:rPr>
          <w:rFonts w:ascii="Cambria" w:hAnsi="Cambria"/>
          <w:color w:val="231F20"/>
          <w:sz w:val="20"/>
          <w:szCs w:val="20"/>
        </w:rPr>
        <w:t>(Rés. 15-13) ;</w:t>
      </w:r>
    </w:p>
    <w:p w14:paraId="494BBF2F" w14:textId="4ADAB86A" w:rsidR="00CF5E2D" w:rsidRPr="004E6129" w:rsidRDefault="00CF5E2D">
      <w:pPr>
        <w:rPr>
          <w:rFonts w:ascii="Cambria" w:hAnsi="Cambria"/>
          <w:i/>
          <w:color w:val="231F20"/>
          <w:sz w:val="20"/>
          <w:szCs w:val="20"/>
        </w:rPr>
      </w:pPr>
    </w:p>
    <w:p w14:paraId="12BE61B5" w14:textId="4FF01B14" w:rsidR="00F51AFC" w:rsidRPr="004E6129" w:rsidRDefault="00416E35" w:rsidP="00CA6385">
      <w:pPr>
        <w:tabs>
          <w:tab w:val="center" w:pos="4680"/>
          <w:tab w:val="left" w:pos="6430"/>
        </w:tabs>
        <w:ind w:firstLine="425"/>
        <w:contextualSpacing/>
        <w:jc w:val="both"/>
        <w:rPr>
          <w:rFonts w:ascii="Cambria" w:eastAsia="Cambria" w:hAnsi="Cambria" w:cs="Cambria"/>
          <w:color w:val="231F20"/>
          <w:sz w:val="20"/>
          <w:szCs w:val="20"/>
        </w:rPr>
      </w:pPr>
      <w:r w:rsidRPr="004E6129">
        <w:rPr>
          <w:rFonts w:ascii="Cambria" w:hAnsi="Cambria"/>
          <w:i/>
          <w:color w:val="231F20"/>
          <w:sz w:val="20"/>
          <w:szCs w:val="20"/>
        </w:rPr>
        <w:t>RENOUVELANT</w:t>
      </w:r>
      <w:r w:rsidRPr="004E6129">
        <w:rPr>
          <w:rFonts w:ascii="Cambria" w:hAnsi="Cambria"/>
          <w:color w:val="231F20"/>
          <w:sz w:val="20"/>
          <w:szCs w:val="20"/>
        </w:rPr>
        <w:t xml:space="preserve"> l'engagement envers la mise en œuvre intégrale des obligations de déclaration existantes, notamment celles stipulées dans la </w:t>
      </w:r>
      <w:r w:rsidRPr="004E6129">
        <w:rPr>
          <w:rFonts w:ascii="Cambria" w:hAnsi="Cambria"/>
          <w:i/>
          <w:color w:val="231F20"/>
          <w:sz w:val="20"/>
          <w:szCs w:val="20"/>
        </w:rPr>
        <w:t>Recommandation de l’ICCAT relative à l’enregistrement des captures par les navires de pêche dans la zone de la Convention ICCAT</w:t>
      </w:r>
      <w:r w:rsidR="006D7D4E" w:rsidRPr="004E6129">
        <w:rPr>
          <w:rFonts w:ascii="Cambria" w:hAnsi="Cambria"/>
          <w:color w:val="231F20"/>
          <w:sz w:val="20"/>
          <w:szCs w:val="20"/>
        </w:rPr>
        <w:t xml:space="preserve"> (Rec.</w:t>
      </w:r>
      <w:r w:rsidRPr="004E6129">
        <w:rPr>
          <w:rFonts w:ascii="Cambria" w:hAnsi="Cambria"/>
          <w:color w:val="231F20"/>
          <w:sz w:val="20"/>
          <w:szCs w:val="20"/>
        </w:rPr>
        <w:t xml:space="preserve"> 03-13) ;</w:t>
      </w:r>
    </w:p>
    <w:p w14:paraId="491543C4" w14:textId="77777777" w:rsidR="00A90E3B" w:rsidRDefault="00A90E3B">
      <w:pPr>
        <w:rPr>
          <w:rFonts w:ascii="Cambria" w:hAnsi="Cambria"/>
          <w:color w:val="231F20"/>
          <w:sz w:val="20"/>
          <w:szCs w:val="20"/>
        </w:rPr>
      </w:pPr>
      <w:r>
        <w:rPr>
          <w:rFonts w:ascii="Cambria" w:hAnsi="Cambria"/>
          <w:color w:val="231F20"/>
          <w:sz w:val="20"/>
          <w:szCs w:val="20"/>
        </w:rPr>
        <w:br w:type="page"/>
      </w:r>
    </w:p>
    <w:p w14:paraId="6B8FF238" w14:textId="75F4BD76" w:rsidR="00570BE5" w:rsidRPr="004E6129" w:rsidRDefault="00416E35" w:rsidP="00CA6385">
      <w:pPr>
        <w:tabs>
          <w:tab w:val="center" w:pos="4680"/>
          <w:tab w:val="left" w:pos="6430"/>
        </w:tabs>
        <w:ind w:firstLine="425"/>
        <w:contextualSpacing/>
        <w:jc w:val="center"/>
        <w:rPr>
          <w:rFonts w:ascii="Cambria" w:hAnsi="Cambria"/>
          <w:color w:val="231F20"/>
          <w:sz w:val="20"/>
          <w:szCs w:val="20"/>
        </w:rPr>
      </w:pPr>
      <w:r w:rsidRPr="004E6129">
        <w:rPr>
          <w:rFonts w:ascii="Cambria" w:hAnsi="Cambria"/>
          <w:color w:val="231F20"/>
          <w:sz w:val="20"/>
          <w:szCs w:val="20"/>
        </w:rPr>
        <w:lastRenderedPageBreak/>
        <w:t>LA COMMISSION INTERNATIONALE POUR LA CONSERVATION</w:t>
      </w:r>
    </w:p>
    <w:p w14:paraId="061617B0" w14:textId="450F006B" w:rsidR="00F51AFC" w:rsidRPr="004E6129" w:rsidRDefault="00416E35" w:rsidP="00CA6385">
      <w:pPr>
        <w:tabs>
          <w:tab w:val="center" w:pos="4680"/>
          <w:tab w:val="left" w:pos="6430"/>
        </w:tabs>
        <w:ind w:firstLine="425"/>
        <w:contextualSpacing/>
        <w:jc w:val="center"/>
        <w:rPr>
          <w:rFonts w:ascii="Cambria" w:hAnsi="Cambria"/>
          <w:color w:val="231F20"/>
          <w:sz w:val="20"/>
          <w:szCs w:val="20"/>
        </w:rPr>
      </w:pPr>
      <w:r w:rsidRPr="004E6129">
        <w:rPr>
          <w:rFonts w:ascii="Cambria" w:hAnsi="Cambria"/>
          <w:color w:val="231F20"/>
          <w:sz w:val="20"/>
          <w:szCs w:val="20"/>
        </w:rPr>
        <w:t>DES THONIDÉS DE L’ATLANTIQUE (ICCAT) RECOMMANDE CE QUI SUIT :</w:t>
      </w:r>
    </w:p>
    <w:p w14:paraId="18976700" w14:textId="77777777" w:rsidR="00F51AFC" w:rsidRPr="004E6129" w:rsidRDefault="00F51AFC">
      <w:pPr>
        <w:rPr>
          <w:rFonts w:ascii="Cambria" w:eastAsia="Cambria" w:hAnsi="Cambria" w:cs="Cambria"/>
          <w:sz w:val="20"/>
          <w:szCs w:val="20"/>
        </w:rPr>
      </w:pPr>
    </w:p>
    <w:p w14:paraId="035716FD" w14:textId="0D67580D" w:rsidR="00F51AFC" w:rsidRPr="004E6129" w:rsidRDefault="00416E35" w:rsidP="00CA6385">
      <w:pPr>
        <w:numPr>
          <w:ilvl w:val="0"/>
          <w:numId w:val="5"/>
        </w:numPr>
        <w:ind w:left="426" w:hanging="426"/>
        <w:jc w:val="both"/>
        <w:rPr>
          <w:rFonts w:ascii="Cambria" w:eastAsia="Cambria" w:hAnsi="Cambria" w:cs="Cambria"/>
          <w:strike/>
          <w:sz w:val="20"/>
          <w:szCs w:val="20"/>
          <w:u w:val="single"/>
        </w:rPr>
      </w:pPr>
      <w:r w:rsidRPr="004E6129">
        <w:rPr>
          <w:rFonts w:ascii="Cambria" w:hAnsi="Cambria"/>
          <w:color w:val="231F20"/>
          <w:sz w:val="20"/>
          <w:szCs w:val="20"/>
        </w:rPr>
        <w:t>Les Parties contractantes et les Parties, Entités ou Entités de pêche n</w:t>
      </w:r>
      <w:r w:rsidR="008F481B" w:rsidRPr="004E6129">
        <w:rPr>
          <w:rFonts w:ascii="Cambria" w:hAnsi="Cambria"/>
          <w:color w:val="231F20"/>
          <w:sz w:val="20"/>
          <w:szCs w:val="20"/>
        </w:rPr>
        <w:t>on contractantes coopérantes (« </w:t>
      </w:r>
      <w:r w:rsidRPr="004E6129">
        <w:rPr>
          <w:rFonts w:ascii="Cambria" w:hAnsi="Cambria"/>
          <w:color w:val="231F20"/>
          <w:sz w:val="20"/>
          <w:szCs w:val="20"/>
        </w:rPr>
        <w:t>CPC</w:t>
      </w:r>
      <w:r w:rsidR="008F481B" w:rsidRPr="004E6129">
        <w:rPr>
          <w:rFonts w:ascii="Cambria" w:hAnsi="Cambria"/>
          <w:color w:val="231F20"/>
          <w:sz w:val="20"/>
          <w:szCs w:val="20"/>
        </w:rPr>
        <w:t> »</w:t>
      </w:r>
      <w:r w:rsidRPr="004E6129">
        <w:rPr>
          <w:rFonts w:ascii="Cambria" w:hAnsi="Cambria"/>
          <w:color w:val="231F20"/>
          <w:sz w:val="20"/>
          <w:szCs w:val="20"/>
        </w:rPr>
        <w:t xml:space="preserve">) dont les navires pêchent activement du thon rouge dans l’Atlantique Ouest devront mettre en œuvre le plan de conservation et de gestion ci-après à compter de 2023, incluant l’établissement de TAC basés sur l’application de la procédure de gestion (MP) pour le thon rouge adoptée dans la </w:t>
      </w:r>
      <w:r w:rsidR="00754873" w:rsidRPr="004E6129">
        <w:rPr>
          <w:rFonts w:ascii="Cambria" w:hAnsi="Cambria"/>
          <w:i/>
          <w:iCs/>
          <w:sz w:val="20"/>
          <w:szCs w:val="20"/>
          <w:u w:val="single"/>
          <w:lang w:eastAsia="fr-FR" w:bidi="fr-FR"/>
        </w:rPr>
        <w:t>Recommandation de l'ICCAT amendant la Recommandation 22-09 établissant une procédure de gestion pour le thon rouge de l'Atlantique à appliquer dans les zones de gestion de l'Atlantique Ouest et de l'Atlantique Est et de la Méditerranée</w:t>
      </w:r>
      <w:r w:rsidRPr="004E6129">
        <w:rPr>
          <w:rFonts w:ascii="Cambria" w:hAnsi="Cambria"/>
          <w:color w:val="231F20"/>
          <w:sz w:val="20"/>
          <w:szCs w:val="20"/>
          <w:u w:val="single"/>
        </w:rPr>
        <w:t xml:space="preserve"> (Rec. </w:t>
      </w:r>
      <w:r w:rsidR="00890747" w:rsidRPr="004E6129">
        <w:rPr>
          <w:rFonts w:ascii="Cambria" w:hAnsi="Cambria"/>
          <w:color w:val="231F20"/>
          <w:sz w:val="20"/>
          <w:szCs w:val="20"/>
          <w:u w:val="single"/>
        </w:rPr>
        <w:t>23-07</w:t>
      </w:r>
      <w:r w:rsidRPr="004E6129">
        <w:rPr>
          <w:rFonts w:ascii="Cambria" w:hAnsi="Cambria"/>
          <w:color w:val="231F20"/>
          <w:sz w:val="20"/>
          <w:szCs w:val="20"/>
          <w:u w:val="single"/>
        </w:rPr>
        <w:t>).</w:t>
      </w:r>
      <w:r w:rsidR="00A57C19" w:rsidRPr="004E6129">
        <w:rPr>
          <w:rFonts w:ascii="Cambria" w:hAnsi="Cambria"/>
          <w:color w:val="231F20"/>
          <w:sz w:val="20"/>
          <w:szCs w:val="20"/>
          <w:u w:val="single"/>
        </w:rPr>
        <w:t xml:space="preserve"> </w:t>
      </w:r>
    </w:p>
    <w:p w14:paraId="3F198CED" w14:textId="77777777" w:rsidR="00F51AFC" w:rsidRPr="004E6129" w:rsidRDefault="00F51AFC">
      <w:pPr>
        <w:pStyle w:val="Heading1"/>
        <w:ind w:left="0"/>
        <w:rPr>
          <w:rFonts w:ascii="Cambria" w:eastAsia="Cambria" w:hAnsi="Cambria" w:cs="Cambria"/>
          <w:color w:val="231F20"/>
          <w:sz w:val="20"/>
          <w:szCs w:val="20"/>
        </w:rPr>
      </w:pPr>
    </w:p>
    <w:p w14:paraId="52402F99" w14:textId="77777777" w:rsidR="00F51AFC" w:rsidRPr="004E6129" w:rsidRDefault="00416E35">
      <w:pPr>
        <w:pStyle w:val="Heading1"/>
        <w:ind w:left="0"/>
        <w:rPr>
          <w:rFonts w:ascii="Cambria" w:eastAsia="Cambria" w:hAnsi="Cambria" w:cs="Cambria"/>
          <w:b w:val="0"/>
          <w:i w:val="0"/>
          <w:iCs/>
          <w:sz w:val="20"/>
          <w:szCs w:val="20"/>
        </w:rPr>
      </w:pPr>
      <w:r w:rsidRPr="004E6129">
        <w:rPr>
          <w:rFonts w:ascii="Cambria" w:hAnsi="Cambria"/>
          <w:i w:val="0"/>
          <w:iCs/>
          <w:color w:val="231F20"/>
          <w:sz w:val="20"/>
          <w:szCs w:val="20"/>
        </w:rPr>
        <w:t>Limites de l’effort et de la capacité</w:t>
      </w:r>
    </w:p>
    <w:p w14:paraId="036ECFB6" w14:textId="77777777" w:rsidR="00F51AFC" w:rsidRPr="004E6129" w:rsidRDefault="00F51AFC">
      <w:pPr>
        <w:rPr>
          <w:rFonts w:ascii="Cambria" w:eastAsia="Cambria" w:hAnsi="Cambria" w:cs="Cambria"/>
          <w:b/>
          <w:i/>
          <w:sz w:val="20"/>
          <w:szCs w:val="20"/>
        </w:rPr>
      </w:pPr>
    </w:p>
    <w:p w14:paraId="4D232566" w14:textId="77777777" w:rsidR="00F51AFC" w:rsidRPr="004E6129" w:rsidRDefault="00416E35" w:rsidP="00CA6385">
      <w:pPr>
        <w:numPr>
          <w:ilvl w:val="0"/>
          <w:numId w:val="5"/>
        </w:numPr>
        <w:ind w:left="426" w:hanging="426"/>
        <w:jc w:val="both"/>
        <w:rPr>
          <w:rFonts w:ascii="Cambria" w:eastAsia="Cambria" w:hAnsi="Cambria" w:cs="Cambria"/>
          <w:sz w:val="20"/>
          <w:szCs w:val="20"/>
        </w:rPr>
      </w:pPr>
      <w:r w:rsidRPr="004E6129">
        <w:rPr>
          <w:rFonts w:ascii="Cambria" w:hAnsi="Cambria"/>
          <w:color w:val="231F20"/>
          <w:sz w:val="20"/>
          <w:szCs w:val="20"/>
        </w:rPr>
        <w:t>Afin d’éviter l’augmentation de la mortalité par pêche du thon rouge dans l’Atlantique Est ou Ouest, les CPC devront continuer à prendre des mesures visant à interdire tout transfert de l’effort de pêche de l’Atlantique Ouest à l’Atlantique Est et la Méditerranée et vice-versa.</w:t>
      </w:r>
    </w:p>
    <w:p w14:paraId="585EA14E" w14:textId="77777777" w:rsidR="00F51AFC" w:rsidRPr="007E6C45" w:rsidRDefault="00F51AFC">
      <w:pPr>
        <w:rPr>
          <w:rFonts w:ascii="Cambria" w:eastAsia="Cambria" w:hAnsi="Cambria" w:cs="Cambria"/>
          <w:sz w:val="8"/>
          <w:szCs w:val="8"/>
        </w:rPr>
      </w:pPr>
    </w:p>
    <w:p w14:paraId="415F12B7" w14:textId="77777777" w:rsidR="00F51AFC" w:rsidRPr="004E6129" w:rsidRDefault="00416E35">
      <w:pPr>
        <w:pStyle w:val="Heading1"/>
        <w:ind w:left="0"/>
        <w:rPr>
          <w:rFonts w:ascii="Cambria" w:eastAsia="Cambria" w:hAnsi="Cambria" w:cs="Cambria"/>
          <w:b w:val="0"/>
          <w:i w:val="0"/>
          <w:iCs/>
          <w:sz w:val="20"/>
          <w:szCs w:val="20"/>
        </w:rPr>
      </w:pPr>
      <w:r w:rsidRPr="004E6129">
        <w:rPr>
          <w:rFonts w:ascii="Cambria" w:hAnsi="Cambria"/>
          <w:i w:val="0"/>
          <w:iCs/>
          <w:color w:val="231F20"/>
          <w:sz w:val="20"/>
          <w:szCs w:val="20"/>
        </w:rPr>
        <w:t>TAC, allocations de TAC et limites de capture</w:t>
      </w:r>
    </w:p>
    <w:p w14:paraId="775DC71A" w14:textId="77777777" w:rsidR="00F51AFC" w:rsidRPr="007E6C45" w:rsidRDefault="00F51AFC">
      <w:pPr>
        <w:rPr>
          <w:rFonts w:ascii="Cambria" w:eastAsia="Cambria" w:hAnsi="Cambria" w:cs="Cambria"/>
          <w:b/>
          <w:i/>
          <w:sz w:val="8"/>
          <w:szCs w:val="8"/>
        </w:rPr>
      </w:pPr>
    </w:p>
    <w:p w14:paraId="5EBFAF1B" w14:textId="14FF1879" w:rsidR="004D0A0F" w:rsidRPr="004E6129" w:rsidRDefault="004D0A0F" w:rsidP="00F07415">
      <w:pPr>
        <w:numPr>
          <w:ilvl w:val="0"/>
          <w:numId w:val="5"/>
        </w:numPr>
        <w:ind w:left="426" w:hanging="426"/>
        <w:jc w:val="both"/>
        <w:rPr>
          <w:rFonts w:ascii="Cambria" w:eastAsia="Cambria" w:hAnsi="Cambria" w:cs="Cambria"/>
          <w:sz w:val="20"/>
          <w:szCs w:val="20"/>
        </w:rPr>
      </w:pPr>
      <w:r w:rsidRPr="004E6129">
        <w:rPr>
          <w:rFonts w:ascii="Cambria" w:hAnsi="Cambria"/>
          <w:color w:val="231F20"/>
          <w:sz w:val="20"/>
          <w:szCs w:val="20"/>
          <w:u w:val="single"/>
        </w:rPr>
        <w:t>U</w:t>
      </w:r>
      <w:r w:rsidRPr="004E6129">
        <w:rPr>
          <w:rFonts w:ascii="Cambria" w:hAnsi="Cambria"/>
          <w:color w:val="231F20"/>
          <w:sz w:val="20"/>
          <w:szCs w:val="20"/>
        </w:rPr>
        <w:t>n TAC annuel, rejets morts</w:t>
      </w:r>
      <w:r w:rsidRPr="004E6129">
        <w:rPr>
          <w:rFonts w:ascii="Cambria" w:hAnsi="Cambria"/>
          <w:color w:val="231F20"/>
          <w:sz w:val="20"/>
          <w:szCs w:val="20"/>
        </w:rPr>
        <w:t xml:space="preserve"> y compris</w:t>
      </w:r>
      <w:r w:rsidRPr="004E6129">
        <w:rPr>
          <w:rFonts w:ascii="Cambria" w:hAnsi="Cambria"/>
          <w:color w:val="231F20"/>
          <w:sz w:val="20"/>
          <w:szCs w:val="20"/>
        </w:rPr>
        <w:t xml:space="preserve">, </w:t>
      </w:r>
      <w:r w:rsidRPr="004E6129">
        <w:rPr>
          <w:rFonts w:ascii="Cambria" w:hAnsi="Cambria"/>
          <w:color w:val="231F20"/>
          <w:sz w:val="20"/>
          <w:szCs w:val="20"/>
        </w:rPr>
        <w:t xml:space="preserve">à hauteur </w:t>
      </w:r>
      <w:r w:rsidRPr="004E6129">
        <w:rPr>
          <w:rFonts w:ascii="Cambria" w:hAnsi="Cambria"/>
          <w:color w:val="231F20"/>
          <w:sz w:val="20"/>
          <w:szCs w:val="20"/>
        </w:rPr>
        <w:t xml:space="preserve">de </w:t>
      </w:r>
      <w:r w:rsidRPr="004E6129">
        <w:rPr>
          <w:rFonts w:ascii="Cambria" w:hAnsi="Cambria"/>
          <w:color w:val="231F20"/>
          <w:sz w:val="20"/>
          <w:szCs w:val="20"/>
          <w:u w:val="single"/>
        </w:rPr>
        <w:t>3.081</w:t>
      </w:r>
      <w:r w:rsidR="005F4EB2" w:rsidRPr="004E6129">
        <w:rPr>
          <w:rFonts w:ascii="Cambria" w:hAnsi="Cambria"/>
          <w:color w:val="231F20"/>
          <w:sz w:val="20"/>
          <w:szCs w:val="20"/>
          <w:u w:val="single"/>
        </w:rPr>
        <w:t>,6</w:t>
      </w:r>
      <w:r w:rsidRPr="004E6129">
        <w:rPr>
          <w:rFonts w:ascii="Cambria" w:hAnsi="Cambria"/>
          <w:color w:val="231F20"/>
          <w:sz w:val="20"/>
          <w:szCs w:val="20"/>
          <w:u w:val="single"/>
        </w:rPr>
        <w:t> t</w:t>
      </w:r>
      <w:r w:rsidRPr="004E6129">
        <w:rPr>
          <w:rFonts w:ascii="Cambria" w:hAnsi="Cambria"/>
          <w:color w:val="231F20"/>
          <w:sz w:val="20"/>
          <w:szCs w:val="20"/>
        </w:rPr>
        <w:t xml:space="preserve"> est établi </w:t>
      </w:r>
      <w:r w:rsidRPr="004E6129">
        <w:rPr>
          <w:rFonts w:ascii="Cambria" w:hAnsi="Cambria"/>
          <w:color w:val="231F20"/>
          <w:sz w:val="20"/>
          <w:szCs w:val="20"/>
        </w:rPr>
        <w:t>au titre de</w:t>
      </w:r>
      <w:r w:rsidRPr="004E6129">
        <w:rPr>
          <w:rFonts w:ascii="Cambria" w:hAnsi="Cambria"/>
          <w:color w:val="231F20"/>
          <w:sz w:val="20"/>
          <w:szCs w:val="20"/>
        </w:rPr>
        <w:t xml:space="preserve"> </w:t>
      </w:r>
      <w:r w:rsidRPr="004E6129">
        <w:rPr>
          <w:rFonts w:ascii="Cambria" w:hAnsi="Cambria"/>
          <w:color w:val="231F20"/>
          <w:sz w:val="20"/>
          <w:szCs w:val="20"/>
          <w:u w:val="single"/>
        </w:rPr>
        <w:t>2026, 2027 et 2028</w:t>
      </w:r>
      <w:r w:rsidRPr="004E6129">
        <w:rPr>
          <w:rFonts w:ascii="Cambria" w:hAnsi="Cambria"/>
          <w:color w:val="231F20"/>
          <w:sz w:val="20"/>
          <w:szCs w:val="20"/>
        </w:rPr>
        <w:t xml:space="preserve">. Les TAC pour la période </w:t>
      </w:r>
      <w:r w:rsidRPr="004E6129">
        <w:rPr>
          <w:rFonts w:ascii="Cambria" w:hAnsi="Cambria"/>
          <w:color w:val="231F20"/>
          <w:sz w:val="20"/>
          <w:szCs w:val="20"/>
          <w:u w:val="single"/>
        </w:rPr>
        <w:t xml:space="preserve">2029-2031 </w:t>
      </w:r>
      <w:r w:rsidRPr="004E6129">
        <w:rPr>
          <w:rFonts w:ascii="Cambria" w:hAnsi="Cambria"/>
          <w:color w:val="231F20"/>
          <w:sz w:val="20"/>
          <w:szCs w:val="20"/>
        </w:rPr>
        <w:t xml:space="preserve">devront être établis à la réunion annuelle de l’ICCAT de </w:t>
      </w:r>
      <w:r w:rsidRPr="004E6129">
        <w:rPr>
          <w:rFonts w:ascii="Cambria" w:hAnsi="Cambria"/>
          <w:color w:val="231F20"/>
          <w:sz w:val="20"/>
          <w:szCs w:val="20"/>
          <w:u w:val="single"/>
        </w:rPr>
        <w:t>2028</w:t>
      </w:r>
      <w:r w:rsidRPr="004E6129">
        <w:rPr>
          <w:rFonts w:ascii="Cambria" w:hAnsi="Cambria"/>
          <w:color w:val="231F20"/>
          <w:sz w:val="20"/>
          <w:szCs w:val="20"/>
        </w:rPr>
        <w:t xml:space="preserve">, </w:t>
      </w:r>
      <w:r w:rsidRPr="004E6129">
        <w:rPr>
          <w:rFonts w:ascii="Cambria" w:hAnsi="Cambria"/>
          <w:color w:val="231F20"/>
          <w:sz w:val="20"/>
          <w:szCs w:val="20"/>
          <w:u w:val="single"/>
        </w:rPr>
        <w:t>en stricte conformité avec l’application de la MP, qui est soumise à examen et pourra être révisée en 2028, compte tenu des nouvelles informations scientifiques. Si le total des captures dans la zone occidentale dépasse 3.081,6 t au cours d'une année donnée, il devra s'agir d'une circonstance exceptionnelle. La Commission et le SCRS devront agir conformément au protocole de circonstances exceptionnelles (annexe 4 de la Rec. 23-07).</w:t>
      </w:r>
    </w:p>
    <w:p w14:paraId="7D5C7349" w14:textId="77777777" w:rsidR="004D0A0F" w:rsidRPr="007E6C45" w:rsidRDefault="004D0A0F" w:rsidP="00CA6385">
      <w:pPr>
        <w:ind w:left="426" w:hanging="426"/>
        <w:jc w:val="both"/>
        <w:rPr>
          <w:rFonts w:ascii="Cambria" w:eastAsia="Cambria" w:hAnsi="Cambria" w:cs="Cambria"/>
          <w:color w:val="231F20"/>
          <w:sz w:val="8"/>
          <w:szCs w:val="8"/>
        </w:rPr>
      </w:pPr>
    </w:p>
    <w:p w14:paraId="6BB0B421" w14:textId="454D4608" w:rsidR="00F51AFC" w:rsidRPr="004E6129" w:rsidRDefault="00416E35" w:rsidP="00CA6385">
      <w:pPr>
        <w:numPr>
          <w:ilvl w:val="0"/>
          <w:numId w:val="5"/>
        </w:numPr>
        <w:ind w:left="426" w:hanging="426"/>
        <w:jc w:val="both"/>
        <w:rPr>
          <w:rFonts w:ascii="Cambria" w:eastAsia="Cambria" w:hAnsi="Cambria" w:cs="Cambria"/>
          <w:sz w:val="20"/>
          <w:szCs w:val="20"/>
        </w:rPr>
      </w:pPr>
      <w:r w:rsidRPr="004E6129">
        <w:rPr>
          <w:rFonts w:ascii="Cambria" w:hAnsi="Cambria"/>
          <w:color w:val="231F20"/>
          <w:sz w:val="20"/>
          <w:szCs w:val="20"/>
        </w:rPr>
        <w:t xml:space="preserve">Les CPC devront actualiser, tous les ans, les indices d’abondance et les indicateurs des pêcheries et les communiquer au SCRS, sur demande et à l’appui de l’évaluation annuelle du SCRS de la survenue de circonstances exceptionnelles, tel que spécifié dans la Rec. </w:t>
      </w:r>
      <w:r w:rsidR="00BA6461" w:rsidRPr="004E6129">
        <w:rPr>
          <w:rFonts w:ascii="Cambria" w:hAnsi="Cambria"/>
          <w:color w:val="231F20"/>
          <w:sz w:val="20"/>
          <w:szCs w:val="20"/>
          <w:u w:val="single"/>
        </w:rPr>
        <w:t>23-07</w:t>
      </w:r>
      <w:r w:rsidRPr="004E6129">
        <w:rPr>
          <w:rFonts w:ascii="Cambria" w:hAnsi="Cambria"/>
          <w:color w:val="231F20"/>
          <w:sz w:val="20"/>
          <w:szCs w:val="20"/>
        </w:rPr>
        <w:t>, et à d’autres fins scientifiques perti</w:t>
      </w:r>
      <w:r w:rsidR="00B0256B" w:rsidRPr="004E6129">
        <w:rPr>
          <w:rFonts w:ascii="Cambria" w:hAnsi="Cambria"/>
          <w:color w:val="231F20"/>
          <w:sz w:val="20"/>
          <w:szCs w:val="20"/>
        </w:rPr>
        <w:t>nentes que le SCRS déterminera.</w:t>
      </w:r>
    </w:p>
    <w:p w14:paraId="74FB4F25" w14:textId="77777777" w:rsidR="00F51AFC" w:rsidRPr="007E6C45" w:rsidRDefault="00F51AFC">
      <w:pPr>
        <w:rPr>
          <w:rFonts w:ascii="Cambria" w:eastAsia="Cambria" w:hAnsi="Cambria" w:cs="Cambria"/>
          <w:sz w:val="8"/>
          <w:szCs w:val="8"/>
        </w:rPr>
      </w:pPr>
    </w:p>
    <w:p w14:paraId="681833B4" w14:textId="77777777" w:rsidR="00F51AFC" w:rsidRPr="004E6129" w:rsidRDefault="00416E35" w:rsidP="00CA6385">
      <w:pPr>
        <w:numPr>
          <w:ilvl w:val="0"/>
          <w:numId w:val="5"/>
        </w:numPr>
        <w:ind w:left="426" w:hanging="426"/>
        <w:jc w:val="both"/>
        <w:rPr>
          <w:rFonts w:ascii="Cambria" w:eastAsia="Cambria" w:hAnsi="Cambria" w:cs="Cambria"/>
          <w:sz w:val="20"/>
          <w:szCs w:val="20"/>
        </w:rPr>
      </w:pPr>
      <w:r w:rsidRPr="004E6129">
        <w:rPr>
          <w:rFonts w:ascii="Cambria" w:hAnsi="Cambria"/>
          <w:color w:val="231F20"/>
          <w:sz w:val="20"/>
          <w:szCs w:val="20"/>
        </w:rPr>
        <w:t>L’allocation</w:t>
      </w:r>
      <w:r w:rsidRPr="004E6129">
        <w:rPr>
          <w:rFonts w:ascii="Cambria" w:hAnsi="Cambria"/>
          <w:sz w:val="20"/>
          <w:szCs w:val="20"/>
        </w:rPr>
        <w:t xml:space="preserve"> du TAC annuel, rejets morts y compris, devra être comme suit :</w:t>
      </w:r>
    </w:p>
    <w:p w14:paraId="03846493" w14:textId="77777777" w:rsidR="00F51AFC" w:rsidRPr="007E6C45" w:rsidRDefault="00F51AFC">
      <w:pPr>
        <w:pBdr>
          <w:top w:val="nil"/>
          <w:left w:val="nil"/>
          <w:bottom w:val="nil"/>
          <w:right w:val="nil"/>
          <w:between w:val="nil"/>
        </w:pBdr>
        <w:ind w:left="720"/>
        <w:rPr>
          <w:rFonts w:ascii="Cambria" w:eastAsia="Cambria" w:hAnsi="Cambria" w:cs="Cambria"/>
          <w:color w:val="000000"/>
          <w:sz w:val="8"/>
          <w:szCs w:val="8"/>
        </w:rPr>
      </w:pPr>
    </w:p>
    <w:p w14:paraId="09130943" w14:textId="77D4A669" w:rsidR="00F51AFC" w:rsidRPr="004E6129" w:rsidRDefault="00416E35" w:rsidP="00AF3268">
      <w:pPr>
        <w:pStyle w:val="ListParagraph"/>
        <w:numPr>
          <w:ilvl w:val="0"/>
          <w:numId w:val="8"/>
        </w:numPr>
        <w:ind w:left="851" w:hanging="425"/>
        <w:jc w:val="both"/>
        <w:rPr>
          <w:rFonts w:ascii="Cambria" w:eastAsia="Cambria" w:hAnsi="Cambria" w:cs="Cambria"/>
          <w:sz w:val="20"/>
          <w:szCs w:val="20"/>
        </w:rPr>
      </w:pPr>
      <w:r w:rsidRPr="004E6129">
        <w:rPr>
          <w:rFonts w:ascii="Cambria" w:hAnsi="Cambria"/>
          <w:color w:val="231F20"/>
          <w:sz w:val="20"/>
          <w:szCs w:val="20"/>
        </w:rPr>
        <w:t xml:space="preserve">Le TAC </w:t>
      </w:r>
      <w:r w:rsidRPr="004E6129">
        <w:rPr>
          <w:rFonts w:ascii="Cambria" w:eastAsia="Cambria" w:hAnsi="Cambria" w:cs="Cambria"/>
          <w:color w:val="231F20"/>
          <w:sz w:val="20"/>
          <w:szCs w:val="20"/>
        </w:rPr>
        <w:t>annuel</w:t>
      </w:r>
      <w:r w:rsidRPr="004E6129">
        <w:rPr>
          <w:rFonts w:ascii="Cambria" w:hAnsi="Cambria"/>
          <w:color w:val="231F20"/>
          <w:sz w:val="20"/>
          <w:szCs w:val="20"/>
        </w:rPr>
        <w:t xml:space="preserve"> devra inclure les allocations suivantes :</w:t>
      </w:r>
    </w:p>
    <w:p w14:paraId="7498AA46" w14:textId="77777777" w:rsidR="00F51AFC" w:rsidRPr="007E6C45" w:rsidRDefault="00F51AFC">
      <w:pPr>
        <w:spacing w:before="11"/>
        <w:rPr>
          <w:rFonts w:ascii="Cambria" w:eastAsia="Cambria" w:hAnsi="Cambria" w:cs="Cambria"/>
          <w:sz w:val="8"/>
          <w:szCs w:val="8"/>
        </w:rPr>
      </w:pPr>
    </w:p>
    <w:tbl>
      <w:tblPr>
        <w:tblStyle w:val="a"/>
        <w:tblW w:w="8784" w:type="dxa"/>
        <w:tblInd w:w="425" w:type="dxa"/>
        <w:tblLayout w:type="fixed"/>
        <w:tblLook w:val="0000" w:firstRow="0" w:lastRow="0" w:firstColumn="0" w:lastColumn="0" w:noHBand="0" w:noVBand="0"/>
      </w:tblPr>
      <w:tblGrid>
        <w:gridCol w:w="7650"/>
        <w:gridCol w:w="1134"/>
      </w:tblGrid>
      <w:tr w:rsidR="00F51AFC" w:rsidRPr="004E6129" w14:paraId="2760E2B7" w14:textId="77777777">
        <w:trPr>
          <w:trHeight w:val="380"/>
        </w:trPr>
        <w:tc>
          <w:tcPr>
            <w:tcW w:w="7650" w:type="dxa"/>
            <w:tcBorders>
              <w:top w:val="single" w:sz="4" w:space="0" w:color="231F20"/>
              <w:left w:val="single" w:sz="4" w:space="0" w:color="231F20"/>
              <w:bottom w:val="single" w:sz="4" w:space="0" w:color="231F20"/>
              <w:right w:val="single" w:sz="4" w:space="0" w:color="231F20"/>
            </w:tcBorders>
          </w:tcPr>
          <w:p w14:paraId="380552BC" w14:textId="77777777" w:rsidR="00F51AFC" w:rsidRPr="004E6129" w:rsidRDefault="00416E35">
            <w:pPr>
              <w:spacing w:before="72"/>
              <w:ind w:left="396"/>
              <w:jc w:val="center"/>
              <w:rPr>
                <w:rFonts w:ascii="Cambria" w:eastAsia="Cambria" w:hAnsi="Cambria" w:cs="Cambria"/>
                <w:sz w:val="20"/>
                <w:szCs w:val="20"/>
              </w:rPr>
            </w:pPr>
            <w:r w:rsidRPr="004E6129">
              <w:rPr>
                <w:rFonts w:ascii="Cambria" w:hAnsi="Cambria"/>
                <w:i/>
                <w:color w:val="231F20"/>
                <w:sz w:val="20"/>
                <w:szCs w:val="20"/>
              </w:rPr>
              <w:t>CPC</w:t>
            </w:r>
          </w:p>
        </w:tc>
        <w:tc>
          <w:tcPr>
            <w:tcW w:w="1134" w:type="dxa"/>
            <w:tcBorders>
              <w:top w:val="single" w:sz="4" w:space="0" w:color="231F20"/>
              <w:left w:val="single" w:sz="4" w:space="0" w:color="231F20"/>
              <w:bottom w:val="single" w:sz="4" w:space="0" w:color="231F20"/>
              <w:right w:val="single" w:sz="4" w:space="0" w:color="231F20"/>
            </w:tcBorders>
          </w:tcPr>
          <w:p w14:paraId="3F43CECA" w14:textId="77777777" w:rsidR="00F51AFC" w:rsidRPr="004E6129" w:rsidRDefault="00416E35">
            <w:pPr>
              <w:spacing w:before="72"/>
              <w:ind w:left="145"/>
              <w:rPr>
                <w:rFonts w:ascii="Cambria" w:eastAsia="Cambria" w:hAnsi="Cambria" w:cs="Cambria"/>
                <w:sz w:val="20"/>
                <w:szCs w:val="20"/>
              </w:rPr>
            </w:pPr>
            <w:r w:rsidRPr="004E6129">
              <w:rPr>
                <w:rFonts w:ascii="Cambria" w:hAnsi="Cambria"/>
                <w:i/>
                <w:color w:val="231F20"/>
                <w:sz w:val="20"/>
                <w:szCs w:val="20"/>
              </w:rPr>
              <w:t>Allocation</w:t>
            </w:r>
          </w:p>
        </w:tc>
      </w:tr>
      <w:tr w:rsidR="00F51AFC" w:rsidRPr="004E6129" w14:paraId="76002BA1" w14:textId="77777777">
        <w:trPr>
          <w:trHeight w:val="380"/>
        </w:trPr>
        <w:tc>
          <w:tcPr>
            <w:tcW w:w="7650" w:type="dxa"/>
            <w:tcBorders>
              <w:top w:val="single" w:sz="4" w:space="0" w:color="231F20"/>
              <w:left w:val="single" w:sz="4" w:space="0" w:color="231F20"/>
              <w:bottom w:val="single" w:sz="4" w:space="0" w:color="231F20"/>
              <w:right w:val="single" w:sz="4" w:space="0" w:color="231F20"/>
            </w:tcBorders>
          </w:tcPr>
          <w:p w14:paraId="4AE65D52" w14:textId="77777777" w:rsidR="00F51AFC" w:rsidRPr="004E6129" w:rsidRDefault="00416E35">
            <w:pPr>
              <w:spacing w:before="151"/>
              <w:ind w:left="94"/>
              <w:rPr>
                <w:rFonts w:ascii="Cambria" w:eastAsia="Cambria" w:hAnsi="Cambria" w:cs="Cambria"/>
                <w:sz w:val="20"/>
                <w:szCs w:val="20"/>
              </w:rPr>
            </w:pPr>
            <w:r w:rsidRPr="004E6129">
              <w:rPr>
                <w:rFonts w:ascii="Cambria" w:hAnsi="Cambria"/>
                <w:color w:val="231F20"/>
                <w:sz w:val="20"/>
                <w:szCs w:val="20"/>
              </w:rPr>
              <w:t>États-Unis (prises accessoires liées aux pêcheries palangrières dans les environs de la délimitation de l’unité de gestion)</w:t>
            </w:r>
          </w:p>
        </w:tc>
        <w:tc>
          <w:tcPr>
            <w:tcW w:w="1134" w:type="dxa"/>
            <w:tcBorders>
              <w:top w:val="single" w:sz="4" w:space="0" w:color="231F20"/>
              <w:left w:val="single" w:sz="4" w:space="0" w:color="231F20"/>
              <w:bottom w:val="single" w:sz="4" w:space="0" w:color="231F20"/>
              <w:right w:val="single" w:sz="4" w:space="0" w:color="231F20"/>
            </w:tcBorders>
          </w:tcPr>
          <w:p w14:paraId="029700A3" w14:textId="77777777" w:rsidR="00F51AFC" w:rsidRPr="004E6129" w:rsidRDefault="00416E35">
            <w:pPr>
              <w:spacing w:before="151"/>
              <w:jc w:val="center"/>
              <w:rPr>
                <w:rFonts w:ascii="Cambria" w:eastAsia="Cambria" w:hAnsi="Cambria" w:cs="Cambria"/>
                <w:sz w:val="20"/>
                <w:szCs w:val="20"/>
              </w:rPr>
            </w:pPr>
            <w:r w:rsidRPr="004E6129">
              <w:rPr>
                <w:rFonts w:ascii="Cambria" w:hAnsi="Cambria"/>
                <w:color w:val="231F20"/>
                <w:sz w:val="20"/>
                <w:szCs w:val="20"/>
              </w:rPr>
              <w:t>25 t</w:t>
            </w:r>
          </w:p>
        </w:tc>
      </w:tr>
      <w:tr w:rsidR="00F51AFC" w:rsidRPr="004E6129" w14:paraId="60963CE7" w14:textId="77777777">
        <w:trPr>
          <w:trHeight w:val="380"/>
        </w:trPr>
        <w:tc>
          <w:tcPr>
            <w:tcW w:w="7650" w:type="dxa"/>
            <w:tcBorders>
              <w:top w:val="single" w:sz="4" w:space="0" w:color="231F20"/>
              <w:left w:val="single" w:sz="4" w:space="0" w:color="231F20"/>
              <w:bottom w:val="single" w:sz="4" w:space="0" w:color="231F20"/>
              <w:right w:val="single" w:sz="4" w:space="0" w:color="231F20"/>
            </w:tcBorders>
          </w:tcPr>
          <w:p w14:paraId="7F96A517" w14:textId="77777777" w:rsidR="00F51AFC" w:rsidRPr="004E6129" w:rsidRDefault="00416E35">
            <w:pPr>
              <w:spacing w:before="151"/>
              <w:ind w:left="94"/>
              <w:rPr>
                <w:rFonts w:ascii="Cambria" w:eastAsia="Cambria" w:hAnsi="Cambria" w:cs="Cambria"/>
                <w:sz w:val="20"/>
                <w:szCs w:val="20"/>
              </w:rPr>
            </w:pPr>
            <w:r w:rsidRPr="004E6129">
              <w:rPr>
                <w:rFonts w:ascii="Cambria" w:hAnsi="Cambria"/>
                <w:color w:val="231F20"/>
                <w:sz w:val="20"/>
                <w:szCs w:val="20"/>
              </w:rPr>
              <w:t>Canada (prises accessoires liées aux pêcheries palangrières dans les environs de la délimitation de l’unité de gestion)</w:t>
            </w:r>
          </w:p>
        </w:tc>
        <w:tc>
          <w:tcPr>
            <w:tcW w:w="1134" w:type="dxa"/>
            <w:tcBorders>
              <w:top w:val="single" w:sz="4" w:space="0" w:color="231F20"/>
              <w:left w:val="single" w:sz="4" w:space="0" w:color="231F20"/>
              <w:bottom w:val="single" w:sz="4" w:space="0" w:color="231F20"/>
              <w:right w:val="single" w:sz="4" w:space="0" w:color="231F20"/>
            </w:tcBorders>
          </w:tcPr>
          <w:p w14:paraId="51485FF6" w14:textId="77777777" w:rsidR="00F51AFC" w:rsidRPr="004E6129" w:rsidRDefault="00416E35">
            <w:pPr>
              <w:spacing w:before="151"/>
              <w:jc w:val="center"/>
              <w:rPr>
                <w:rFonts w:ascii="Cambria" w:eastAsia="Cambria" w:hAnsi="Cambria" w:cs="Cambria"/>
                <w:sz w:val="20"/>
                <w:szCs w:val="20"/>
              </w:rPr>
            </w:pPr>
            <w:r w:rsidRPr="004E6129">
              <w:rPr>
                <w:rFonts w:ascii="Cambria" w:hAnsi="Cambria"/>
                <w:color w:val="231F20"/>
                <w:sz w:val="20"/>
                <w:szCs w:val="20"/>
              </w:rPr>
              <w:t>15 t</w:t>
            </w:r>
          </w:p>
        </w:tc>
      </w:tr>
    </w:tbl>
    <w:p w14:paraId="7EAB5044" w14:textId="4CFBC2EC" w:rsidR="00DA0817" w:rsidRPr="007E6C45" w:rsidRDefault="00DA0817">
      <w:pPr>
        <w:tabs>
          <w:tab w:val="left" w:pos="798"/>
        </w:tabs>
        <w:ind w:right="135"/>
        <w:rPr>
          <w:rFonts w:ascii="Cambria" w:eastAsia="Cambria" w:hAnsi="Cambria" w:cs="Cambria"/>
          <w:color w:val="231F20"/>
          <w:sz w:val="8"/>
          <w:szCs w:val="8"/>
        </w:rPr>
      </w:pPr>
    </w:p>
    <w:p w14:paraId="0D33458E" w14:textId="31B324F2" w:rsidR="00F51AFC" w:rsidRPr="004E6129" w:rsidRDefault="00416E35" w:rsidP="00AF3268">
      <w:pPr>
        <w:pStyle w:val="ListParagraph"/>
        <w:numPr>
          <w:ilvl w:val="0"/>
          <w:numId w:val="8"/>
        </w:numPr>
        <w:ind w:left="851" w:hanging="425"/>
        <w:jc w:val="both"/>
        <w:rPr>
          <w:rFonts w:ascii="Cambria" w:eastAsia="Cambria" w:hAnsi="Cambria" w:cs="Cambria"/>
          <w:color w:val="231F20"/>
          <w:sz w:val="20"/>
          <w:szCs w:val="20"/>
        </w:rPr>
      </w:pPr>
      <w:r w:rsidRPr="004E6129">
        <w:rPr>
          <w:rFonts w:ascii="Cambria" w:hAnsi="Cambria"/>
          <w:color w:val="231F20"/>
          <w:sz w:val="20"/>
          <w:szCs w:val="20"/>
        </w:rPr>
        <w:t xml:space="preserve">Après </w:t>
      </w:r>
      <w:r w:rsidRPr="004E6129">
        <w:rPr>
          <w:rFonts w:ascii="Cambria" w:eastAsia="Cambria" w:hAnsi="Cambria" w:cs="Cambria"/>
          <w:color w:val="231F20"/>
          <w:sz w:val="20"/>
          <w:szCs w:val="20"/>
        </w:rPr>
        <w:t>déduction</w:t>
      </w:r>
      <w:r w:rsidRPr="004E6129">
        <w:rPr>
          <w:rFonts w:ascii="Cambria" w:hAnsi="Cambria"/>
          <w:color w:val="231F20"/>
          <w:sz w:val="20"/>
          <w:szCs w:val="20"/>
        </w:rPr>
        <w:t xml:space="preserve"> de</w:t>
      </w:r>
      <w:r w:rsidR="00AC3854" w:rsidRPr="004E6129">
        <w:rPr>
          <w:rFonts w:ascii="Cambria" w:hAnsi="Cambria"/>
          <w:color w:val="231F20"/>
          <w:sz w:val="20"/>
          <w:szCs w:val="20"/>
        </w:rPr>
        <w:t>s volumes visés au paragraphe 5</w:t>
      </w:r>
      <w:r w:rsidR="004C2645" w:rsidRPr="004E6129">
        <w:rPr>
          <w:rFonts w:ascii="Cambria" w:hAnsi="Cambria"/>
          <w:color w:val="231F20"/>
          <w:sz w:val="20"/>
          <w:szCs w:val="20"/>
        </w:rPr>
        <w:t xml:space="preserve"> </w:t>
      </w:r>
      <w:r w:rsidRPr="004E6129">
        <w:rPr>
          <w:rFonts w:ascii="Cambria" w:hAnsi="Cambria"/>
          <w:color w:val="231F20"/>
          <w:sz w:val="20"/>
          <w:szCs w:val="20"/>
        </w:rPr>
        <w:t xml:space="preserve">a), le solde du TAC annuel sera alloué </w:t>
      </w:r>
      <w:r w:rsidRPr="004E6129">
        <w:rPr>
          <w:rFonts w:ascii="Cambria" w:eastAsia="Cambria" w:hAnsi="Cambria" w:cs="Cambria"/>
          <w:color w:val="231F20"/>
          <w:sz w:val="20"/>
          <w:szCs w:val="20"/>
        </w:rPr>
        <w:t>comme</w:t>
      </w:r>
      <w:r w:rsidRPr="004E6129">
        <w:rPr>
          <w:rFonts w:ascii="Cambria" w:hAnsi="Cambria"/>
          <w:color w:val="231F20"/>
          <w:sz w:val="20"/>
          <w:szCs w:val="20"/>
        </w:rPr>
        <w:t xml:space="preserve"> suit :</w:t>
      </w:r>
    </w:p>
    <w:p w14:paraId="03000E04" w14:textId="77777777" w:rsidR="00F51AFC" w:rsidRPr="007E6C45" w:rsidRDefault="00F51AFC">
      <w:pPr>
        <w:spacing w:before="11"/>
        <w:rPr>
          <w:rFonts w:ascii="Cambria" w:eastAsia="Cambria" w:hAnsi="Cambria" w:cs="Cambria"/>
          <w:sz w:val="8"/>
          <w:szCs w:val="8"/>
        </w:rPr>
      </w:pPr>
    </w:p>
    <w:tbl>
      <w:tblPr>
        <w:tblStyle w:val="a0"/>
        <w:tblW w:w="9066" w:type="dxa"/>
        <w:tblInd w:w="285" w:type="dxa"/>
        <w:tblLayout w:type="fixed"/>
        <w:tblLook w:val="0000" w:firstRow="0" w:lastRow="0" w:firstColumn="0" w:lastColumn="0" w:noHBand="0" w:noVBand="0"/>
      </w:tblPr>
      <w:tblGrid>
        <w:gridCol w:w="2042"/>
        <w:gridCol w:w="1779"/>
        <w:gridCol w:w="1559"/>
        <w:gridCol w:w="2127"/>
        <w:gridCol w:w="1559"/>
      </w:tblGrid>
      <w:tr w:rsidR="00F51AFC" w:rsidRPr="004E6129" w14:paraId="758A342F" w14:textId="77777777">
        <w:trPr>
          <w:trHeight w:val="260"/>
        </w:trPr>
        <w:tc>
          <w:tcPr>
            <w:tcW w:w="2042" w:type="dxa"/>
            <w:tcBorders>
              <w:top w:val="single" w:sz="4" w:space="0" w:color="231F20"/>
              <w:left w:val="single" w:sz="4" w:space="0" w:color="231F20"/>
              <w:bottom w:val="single" w:sz="4" w:space="0" w:color="231F20"/>
              <w:right w:val="single" w:sz="4" w:space="0" w:color="231F20"/>
            </w:tcBorders>
          </w:tcPr>
          <w:p w14:paraId="3426501F" w14:textId="77777777" w:rsidR="00F51AFC" w:rsidRPr="004E6129" w:rsidRDefault="00F51AFC">
            <w:pPr>
              <w:rPr>
                <w:rFonts w:ascii="Cambria" w:eastAsia="Cambria" w:hAnsi="Cambria" w:cs="Cambria"/>
                <w:sz w:val="20"/>
                <w:szCs w:val="20"/>
              </w:rPr>
            </w:pPr>
          </w:p>
        </w:tc>
        <w:tc>
          <w:tcPr>
            <w:tcW w:w="7024" w:type="dxa"/>
            <w:gridSpan w:val="4"/>
            <w:tcBorders>
              <w:top w:val="single" w:sz="4" w:space="0" w:color="231F20"/>
              <w:left w:val="single" w:sz="4" w:space="0" w:color="231F20"/>
              <w:bottom w:val="single" w:sz="4" w:space="0" w:color="231F20"/>
              <w:right w:val="single" w:sz="4" w:space="0" w:color="231F20"/>
            </w:tcBorders>
          </w:tcPr>
          <w:p w14:paraId="3CDC9699" w14:textId="77777777" w:rsidR="00F51AFC" w:rsidRPr="004E6129" w:rsidRDefault="00416E35">
            <w:pPr>
              <w:spacing w:line="213" w:lineRule="auto"/>
              <w:ind w:left="1636"/>
              <w:rPr>
                <w:rFonts w:ascii="Cambria" w:eastAsia="Cambria" w:hAnsi="Cambria" w:cs="Cambria"/>
                <w:sz w:val="20"/>
                <w:szCs w:val="20"/>
              </w:rPr>
            </w:pPr>
            <w:r w:rsidRPr="004E6129">
              <w:rPr>
                <w:rFonts w:ascii="Cambria" w:hAnsi="Cambria"/>
                <w:i/>
                <w:color w:val="231F20"/>
                <w:sz w:val="20"/>
                <w:szCs w:val="20"/>
              </w:rPr>
              <w:t>Si le solde du TAC annuel est :</w:t>
            </w:r>
          </w:p>
        </w:tc>
      </w:tr>
      <w:tr w:rsidR="00F51AFC" w:rsidRPr="004E6129" w14:paraId="0B35CC24" w14:textId="77777777">
        <w:trPr>
          <w:trHeight w:val="440"/>
        </w:trPr>
        <w:tc>
          <w:tcPr>
            <w:tcW w:w="2042" w:type="dxa"/>
            <w:tcBorders>
              <w:top w:val="single" w:sz="4" w:space="0" w:color="231F20"/>
              <w:left w:val="single" w:sz="4" w:space="0" w:color="231F20"/>
              <w:bottom w:val="single" w:sz="4" w:space="0" w:color="231F20"/>
              <w:right w:val="single" w:sz="4" w:space="0" w:color="231F20"/>
            </w:tcBorders>
            <w:vAlign w:val="center"/>
          </w:tcPr>
          <w:p w14:paraId="5200EFA6" w14:textId="77777777" w:rsidR="00F51AFC" w:rsidRPr="004E6129" w:rsidRDefault="00416E35">
            <w:pPr>
              <w:spacing w:line="215" w:lineRule="auto"/>
              <w:ind w:left="96"/>
              <w:rPr>
                <w:rFonts w:ascii="Cambria" w:eastAsia="Cambria" w:hAnsi="Cambria" w:cs="Cambria"/>
                <w:sz w:val="20"/>
                <w:szCs w:val="20"/>
              </w:rPr>
            </w:pPr>
            <w:r w:rsidRPr="004E6129">
              <w:rPr>
                <w:rFonts w:ascii="Cambria" w:hAnsi="Cambria"/>
                <w:color w:val="231F20"/>
                <w:sz w:val="20"/>
                <w:szCs w:val="20"/>
              </w:rPr>
              <w:t>CPC</w:t>
            </w:r>
          </w:p>
        </w:tc>
        <w:tc>
          <w:tcPr>
            <w:tcW w:w="1779" w:type="dxa"/>
            <w:tcBorders>
              <w:top w:val="single" w:sz="4" w:space="0" w:color="231F20"/>
              <w:left w:val="single" w:sz="4" w:space="0" w:color="231F20"/>
              <w:bottom w:val="single" w:sz="4" w:space="0" w:color="231F20"/>
              <w:right w:val="single" w:sz="4" w:space="0" w:color="231F20"/>
            </w:tcBorders>
            <w:vAlign w:val="center"/>
          </w:tcPr>
          <w:p w14:paraId="08F6A7D2" w14:textId="77777777" w:rsidR="00F51AFC" w:rsidRPr="004E6129" w:rsidRDefault="00416E35">
            <w:pPr>
              <w:spacing w:before="1" w:line="216" w:lineRule="auto"/>
              <w:ind w:left="662" w:right="472" w:hanging="190"/>
              <w:rPr>
                <w:rFonts w:ascii="Cambria" w:eastAsia="Cambria" w:hAnsi="Cambria" w:cs="Cambria"/>
                <w:sz w:val="20"/>
                <w:szCs w:val="20"/>
              </w:rPr>
            </w:pPr>
            <w:r w:rsidRPr="004E6129">
              <w:rPr>
                <w:rFonts w:ascii="Cambria" w:hAnsi="Cambria"/>
                <w:color w:val="231F20"/>
                <w:sz w:val="20"/>
                <w:szCs w:val="20"/>
              </w:rPr>
              <w:t>&lt;2.413 t (A)</w:t>
            </w:r>
          </w:p>
        </w:tc>
        <w:tc>
          <w:tcPr>
            <w:tcW w:w="1559" w:type="dxa"/>
            <w:tcBorders>
              <w:top w:val="single" w:sz="4" w:space="0" w:color="231F20"/>
              <w:left w:val="single" w:sz="4" w:space="0" w:color="231F20"/>
              <w:bottom w:val="single" w:sz="4" w:space="0" w:color="231F20"/>
              <w:right w:val="single" w:sz="4" w:space="0" w:color="231F20"/>
            </w:tcBorders>
            <w:vAlign w:val="center"/>
          </w:tcPr>
          <w:p w14:paraId="7990E812" w14:textId="77777777" w:rsidR="00F51AFC" w:rsidRPr="004E6129" w:rsidRDefault="00416E35">
            <w:pPr>
              <w:spacing w:before="1" w:line="216" w:lineRule="auto"/>
              <w:ind w:left="589" w:right="446" w:hanging="141"/>
              <w:rPr>
                <w:rFonts w:ascii="Cambria" w:eastAsia="Cambria" w:hAnsi="Cambria" w:cs="Cambria"/>
                <w:sz w:val="20"/>
                <w:szCs w:val="20"/>
              </w:rPr>
            </w:pPr>
            <w:r w:rsidRPr="004E6129">
              <w:rPr>
                <w:rFonts w:ascii="Cambria" w:hAnsi="Cambria"/>
                <w:color w:val="231F20"/>
                <w:sz w:val="20"/>
                <w:szCs w:val="20"/>
              </w:rPr>
              <w:t>2.413 t (B)</w:t>
            </w:r>
          </w:p>
        </w:tc>
        <w:tc>
          <w:tcPr>
            <w:tcW w:w="2127" w:type="dxa"/>
            <w:tcBorders>
              <w:top w:val="single" w:sz="4" w:space="0" w:color="231F20"/>
              <w:left w:val="single" w:sz="4" w:space="0" w:color="231F20"/>
              <w:bottom w:val="single" w:sz="4" w:space="0" w:color="231F20"/>
              <w:right w:val="single" w:sz="4" w:space="0" w:color="231F20"/>
            </w:tcBorders>
            <w:vAlign w:val="center"/>
          </w:tcPr>
          <w:p w14:paraId="4723F100" w14:textId="77777777" w:rsidR="00F51AFC" w:rsidRPr="004E6129" w:rsidRDefault="00416E35" w:rsidP="004C2645">
            <w:pPr>
              <w:spacing w:before="1" w:line="216" w:lineRule="auto"/>
              <w:ind w:left="294" w:right="330" w:firstLine="37"/>
              <w:rPr>
                <w:rFonts w:ascii="Cambria" w:eastAsia="Cambria" w:hAnsi="Cambria" w:cs="Cambria"/>
                <w:sz w:val="20"/>
                <w:szCs w:val="20"/>
              </w:rPr>
            </w:pPr>
            <w:r w:rsidRPr="004E6129">
              <w:rPr>
                <w:rFonts w:ascii="Cambria" w:hAnsi="Cambria"/>
                <w:color w:val="231F20"/>
                <w:sz w:val="20"/>
                <w:szCs w:val="20"/>
              </w:rPr>
              <w:t>&gt;2.413-2.660 t (C)</w:t>
            </w:r>
          </w:p>
        </w:tc>
        <w:tc>
          <w:tcPr>
            <w:tcW w:w="1559" w:type="dxa"/>
            <w:tcBorders>
              <w:top w:val="single" w:sz="4" w:space="0" w:color="231F20"/>
              <w:left w:val="single" w:sz="4" w:space="0" w:color="231F20"/>
              <w:bottom w:val="single" w:sz="4" w:space="0" w:color="231F20"/>
              <w:right w:val="single" w:sz="4" w:space="0" w:color="231F20"/>
            </w:tcBorders>
            <w:vAlign w:val="center"/>
          </w:tcPr>
          <w:p w14:paraId="48E16D95" w14:textId="77777777" w:rsidR="00F51AFC" w:rsidRPr="004E6129" w:rsidRDefault="00416E35">
            <w:pPr>
              <w:spacing w:before="1" w:line="216" w:lineRule="auto"/>
              <w:ind w:left="530" w:right="339" w:hanging="190"/>
              <w:rPr>
                <w:rFonts w:ascii="Cambria" w:eastAsia="Cambria" w:hAnsi="Cambria" w:cs="Cambria"/>
                <w:sz w:val="20"/>
                <w:szCs w:val="20"/>
              </w:rPr>
            </w:pPr>
            <w:r w:rsidRPr="004E6129">
              <w:rPr>
                <w:rFonts w:ascii="Cambria" w:hAnsi="Cambria"/>
                <w:color w:val="231F20"/>
                <w:sz w:val="20"/>
                <w:szCs w:val="20"/>
              </w:rPr>
              <w:t>&gt;2.660 t (D)</w:t>
            </w:r>
          </w:p>
        </w:tc>
      </w:tr>
      <w:tr w:rsidR="00F51AFC" w:rsidRPr="004E6129" w14:paraId="212CC120" w14:textId="77777777">
        <w:trPr>
          <w:trHeight w:val="220"/>
        </w:trPr>
        <w:tc>
          <w:tcPr>
            <w:tcW w:w="2042" w:type="dxa"/>
            <w:tcBorders>
              <w:top w:val="single" w:sz="4" w:space="0" w:color="231F20"/>
              <w:left w:val="single" w:sz="4" w:space="0" w:color="231F20"/>
              <w:bottom w:val="single" w:sz="4" w:space="0" w:color="231F20"/>
              <w:right w:val="single" w:sz="4" w:space="0" w:color="231F20"/>
            </w:tcBorders>
          </w:tcPr>
          <w:p w14:paraId="29E540D8" w14:textId="77777777" w:rsidR="00F51AFC" w:rsidRPr="004E6129" w:rsidRDefault="00416E35" w:rsidP="004C2645">
            <w:pPr>
              <w:spacing w:line="214" w:lineRule="auto"/>
              <w:ind w:left="96"/>
              <w:jc w:val="both"/>
              <w:rPr>
                <w:rFonts w:ascii="Cambria" w:eastAsia="Cambria" w:hAnsi="Cambria" w:cs="Cambria"/>
                <w:sz w:val="20"/>
                <w:szCs w:val="20"/>
              </w:rPr>
            </w:pPr>
            <w:r w:rsidRPr="004E6129">
              <w:rPr>
                <w:rFonts w:ascii="Cambria" w:hAnsi="Cambria"/>
                <w:color w:val="231F20"/>
                <w:sz w:val="20"/>
                <w:szCs w:val="20"/>
              </w:rPr>
              <w:t>États-Unis</w:t>
            </w:r>
          </w:p>
        </w:tc>
        <w:tc>
          <w:tcPr>
            <w:tcW w:w="1779" w:type="dxa"/>
            <w:tcBorders>
              <w:top w:val="single" w:sz="4" w:space="0" w:color="231F20"/>
              <w:left w:val="single" w:sz="4" w:space="0" w:color="231F20"/>
              <w:bottom w:val="single" w:sz="4" w:space="0" w:color="231F20"/>
              <w:right w:val="single" w:sz="4" w:space="0" w:color="231F20"/>
            </w:tcBorders>
          </w:tcPr>
          <w:p w14:paraId="5AF5680C" w14:textId="77777777" w:rsidR="00F51AFC" w:rsidRPr="004E6129" w:rsidRDefault="00416E35">
            <w:pPr>
              <w:spacing w:line="214" w:lineRule="auto"/>
              <w:ind w:left="502"/>
              <w:rPr>
                <w:rFonts w:ascii="Cambria" w:eastAsia="Cambria" w:hAnsi="Cambria" w:cs="Cambria"/>
                <w:sz w:val="20"/>
                <w:szCs w:val="20"/>
              </w:rPr>
            </w:pPr>
            <w:r w:rsidRPr="004E6129">
              <w:rPr>
                <w:rFonts w:ascii="Cambria" w:hAnsi="Cambria"/>
                <w:color w:val="231F20"/>
                <w:sz w:val="20"/>
                <w:szCs w:val="20"/>
              </w:rPr>
              <w:t>54,02%</w:t>
            </w:r>
          </w:p>
        </w:tc>
        <w:tc>
          <w:tcPr>
            <w:tcW w:w="1559" w:type="dxa"/>
            <w:tcBorders>
              <w:top w:val="single" w:sz="4" w:space="0" w:color="231F20"/>
              <w:left w:val="single" w:sz="4" w:space="0" w:color="231F20"/>
              <w:bottom w:val="single" w:sz="4" w:space="0" w:color="231F20"/>
              <w:right w:val="single" w:sz="4" w:space="0" w:color="231F20"/>
            </w:tcBorders>
          </w:tcPr>
          <w:p w14:paraId="13A57C70" w14:textId="77777777" w:rsidR="00F51AFC" w:rsidRPr="004E6129" w:rsidRDefault="00416E35">
            <w:pPr>
              <w:spacing w:line="214" w:lineRule="auto"/>
              <w:ind w:left="452"/>
              <w:rPr>
                <w:rFonts w:ascii="Cambria" w:eastAsia="Cambria" w:hAnsi="Cambria" w:cs="Cambria"/>
                <w:sz w:val="20"/>
                <w:szCs w:val="20"/>
              </w:rPr>
            </w:pPr>
            <w:r w:rsidRPr="004E6129">
              <w:rPr>
                <w:rFonts w:ascii="Cambria" w:hAnsi="Cambria"/>
                <w:color w:val="231F20"/>
                <w:sz w:val="20"/>
                <w:szCs w:val="20"/>
              </w:rPr>
              <w:t>1.303 t</w:t>
            </w:r>
          </w:p>
        </w:tc>
        <w:tc>
          <w:tcPr>
            <w:tcW w:w="2127" w:type="dxa"/>
            <w:tcBorders>
              <w:top w:val="single" w:sz="4" w:space="0" w:color="231F20"/>
              <w:left w:val="single" w:sz="4" w:space="0" w:color="231F20"/>
              <w:bottom w:val="single" w:sz="4" w:space="0" w:color="231F20"/>
              <w:right w:val="single" w:sz="4" w:space="0" w:color="231F20"/>
            </w:tcBorders>
          </w:tcPr>
          <w:p w14:paraId="4EA393A0" w14:textId="77777777" w:rsidR="00F51AFC" w:rsidRPr="004E6129" w:rsidRDefault="00416E35">
            <w:pPr>
              <w:spacing w:line="214" w:lineRule="auto"/>
              <w:jc w:val="center"/>
              <w:rPr>
                <w:rFonts w:ascii="Cambria" w:eastAsia="Cambria" w:hAnsi="Cambria" w:cs="Cambria"/>
                <w:sz w:val="20"/>
                <w:szCs w:val="20"/>
              </w:rPr>
            </w:pPr>
            <w:r w:rsidRPr="004E6129">
              <w:rPr>
                <w:rFonts w:ascii="Cambria" w:hAnsi="Cambria"/>
                <w:color w:val="231F20"/>
                <w:sz w:val="20"/>
                <w:szCs w:val="20"/>
              </w:rPr>
              <w:t>1.303 t</w:t>
            </w:r>
          </w:p>
        </w:tc>
        <w:tc>
          <w:tcPr>
            <w:tcW w:w="1559" w:type="dxa"/>
            <w:tcBorders>
              <w:top w:val="single" w:sz="4" w:space="0" w:color="231F20"/>
              <w:left w:val="single" w:sz="4" w:space="0" w:color="231F20"/>
              <w:bottom w:val="single" w:sz="4" w:space="0" w:color="231F20"/>
              <w:right w:val="single" w:sz="4" w:space="0" w:color="231F20"/>
            </w:tcBorders>
          </w:tcPr>
          <w:p w14:paraId="74635124" w14:textId="77777777" w:rsidR="00F51AFC" w:rsidRPr="004E6129" w:rsidRDefault="00416E35">
            <w:pPr>
              <w:spacing w:line="214" w:lineRule="auto"/>
              <w:ind w:left="370"/>
              <w:rPr>
                <w:rFonts w:ascii="Cambria" w:eastAsia="Cambria" w:hAnsi="Cambria" w:cs="Cambria"/>
                <w:sz w:val="20"/>
                <w:szCs w:val="20"/>
              </w:rPr>
            </w:pPr>
            <w:r w:rsidRPr="004E6129">
              <w:rPr>
                <w:rFonts w:ascii="Cambria" w:hAnsi="Cambria"/>
                <w:color w:val="231F20"/>
                <w:sz w:val="20"/>
                <w:szCs w:val="20"/>
              </w:rPr>
              <w:t>49,00%</w:t>
            </w:r>
          </w:p>
        </w:tc>
      </w:tr>
      <w:tr w:rsidR="00F51AFC" w:rsidRPr="004E6129" w14:paraId="6AB2B3B7" w14:textId="77777777">
        <w:trPr>
          <w:trHeight w:val="220"/>
        </w:trPr>
        <w:tc>
          <w:tcPr>
            <w:tcW w:w="2042" w:type="dxa"/>
            <w:tcBorders>
              <w:top w:val="single" w:sz="4" w:space="0" w:color="231F20"/>
              <w:left w:val="single" w:sz="4" w:space="0" w:color="231F20"/>
              <w:bottom w:val="single" w:sz="4" w:space="0" w:color="231F20"/>
              <w:right w:val="single" w:sz="4" w:space="0" w:color="231F20"/>
            </w:tcBorders>
          </w:tcPr>
          <w:p w14:paraId="4CF9A398" w14:textId="77777777" w:rsidR="00F51AFC" w:rsidRPr="004E6129" w:rsidRDefault="00416E35" w:rsidP="004C2645">
            <w:pPr>
              <w:spacing w:line="214" w:lineRule="auto"/>
              <w:ind w:left="96"/>
              <w:jc w:val="both"/>
              <w:rPr>
                <w:rFonts w:ascii="Cambria" w:eastAsia="Cambria" w:hAnsi="Cambria" w:cs="Cambria"/>
                <w:sz w:val="20"/>
                <w:szCs w:val="20"/>
              </w:rPr>
            </w:pPr>
            <w:r w:rsidRPr="004E6129">
              <w:rPr>
                <w:rFonts w:ascii="Cambria" w:hAnsi="Cambria"/>
                <w:color w:val="231F20"/>
                <w:sz w:val="20"/>
                <w:szCs w:val="20"/>
              </w:rPr>
              <w:t>Canada</w:t>
            </w:r>
          </w:p>
        </w:tc>
        <w:tc>
          <w:tcPr>
            <w:tcW w:w="1779" w:type="dxa"/>
            <w:tcBorders>
              <w:top w:val="single" w:sz="4" w:space="0" w:color="231F20"/>
              <w:left w:val="single" w:sz="4" w:space="0" w:color="231F20"/>
              <w:bottom w:val="single" w:sz="4" w:space="0" w:color="231F20"/>
              <w:right w:val="single" w:sz="4" w:space="0" w:color="231F20"/>
            </w:tcBorders>
          </w:tcPr>
          <w:p w14:paraId="2005D630" w14:textId="77777777" w:rsidR="00F51AFC" w:rsidRPr="004E6129" w:rsidRDefault="00416E35">
            <w:pPr>
              <w:spacing w:line="214" w:lineRule="auto"/>
              <w:ind w:left="502"/>
              <w:rPr>
                <w:rFonts w:ascii="Cambria" w:eastAsia="Cambria" w:hAnsi="Cambria" w:cs="Cambria"/>
                <w:sz w:val="20"/>
                <w:szCs w:val="20"/>
              </w:rPr>
            </w:pPr>
            <w:r w:rsidRPr="004E6129">
              <w:rPr>
                <w:rFonts w:ascii="Cambria" w:hAnsi="Cambria"/>
                <w:color w:val="231F20"/>
                <w:sz w:val="20"/>
                <w:szCs w:val="20"/>
              </w:rPr>
              <w:t>22,32%</w:t>
            </w:r>
          </w:p>
        </w:tc>
        <w:tc>
          <w:tcPr>
            <w:tcW w:w="1559" w:type="dxa"/>
            <w:tcBorders>
              <w:top w:val="single" w:sz="4" w:space="0" w:color="231F20"/>
              <w:left w:val="single" w:sz="4" w:space="0" w:color="231F20"/>
              <w:bottom w:val="single" w:sz="4" w:space="0" w:color="231F20"/>
              <w:right w:val="single" w:sz="4" w:space="0" w:color="231F20"/>
            </w:tcBorders>
          </w:tcPr>
          <w:p w14:paraId="1AF6AC5B" w14:textId="77777777" w:rsidR="00F51AFC" w:rsidRPr="004E6129" w:rsidRDefault="00416E35">
            <w:pPr>
              <w:spacing w:line="214" w:lineRule="auto"/>
              <w:ind w:left="1"/>
              <w:jc w:val="center"/>
              <w:rPr>
                <w:rFonts w:ascii="Cambria" w:eastAsia="Cambria" w:hAnsi="Cambria" w:cs="Cambria"/>
                <w:sz w:val="20"/>
                <w:szCs w:val="20"/>
              </w:rPr>
            </w:pPr>
            <w:r w:rsidRPr="004E6129">
              <w:rPr>
                <w:rFonts w:ascii="Cambria" w:hAnsi="Cambria"/>
                <w:color w:val="231F20"/>
                <w:sz w:val="20"/>
                <w:szCs w:val="20"/>
              </w:rPr>
              <w:t>539 t</w:t>
            </w:r>
          </w:p>
        </w:tc>
        <w:tc>
          <w:tcPr>
            <w:tcW w:w="2127" w:type="dxa"/>
            <w:tcBorders>
              <w:top w:val="single" w:sz="4" w:space="0" w:color="231F20"/>
              <w:left w:val="single" w:sz="4" w:space="0" w:color="231F20"/>
              <w:bottom w:val="single" w:sz="4" w:space="0" w:color="231F20"/>
              <w:right w:val="single" w:sz="4" w:space="0" w:color="231F20"/>
            </w:tcBorders>
          </w:tcPr>
          <w:p w14:paraId="043EEC63" w14:textId="77777777" w:rsidR="00F51AFC" w:rsidRPr="004E6129" w:rsidRDefault="00416E35">
            <w:pPr>
              <w:spacing w:line="214" w:lineRule="auto"/>
              <w:ind w:left="1"/>
              <w:jc w:val="center"/>
              <w:rPr>
                <w:rFonts w:ascii="Cambria" w:eastAsia="Cambria" w:hAnsi="Cambria" w:cs="Cambria"/>
                <w:sz w:val="20"/>
                <w:szCs w:val="20"/>
              </w:rPr>
            </w:pPr>
            <w:r w:rsidRPr="004E6129">
              <w:rPr>
                <w:rFonts w:ascii="Cambria" w:hAnsi="Cambria"/>
                <w:color w:val="231F20"/>
                <w:sz w:val="20"/>
                <w:szCs w:val="20"/>
              </w:rPr>
              <w:t>539 t</w:t>
            </w:r>
          </w:p>
        </w:tc>
        <w:tc>
          <w:tcPr>
            <w:tcW w:w="1559" w:type="dxa"/>
            <w:tcBorders>
              <w:top w:val="single" w:sz="4" w:space="0" w:color="231F20"/>
              <w:left w:val="single" w:sz="4" w:space="0" w:color="231F20"/>
              <w:bottom w:val="single" w:sz="4" w:space="0" w:color="231F20"/>
              <w:right w:val="single" w:sz="4" w:space="0" w:color="231F20"/>
            </w:tcBorders>
          </w:tcPr>
          <w:p w14:paraId="7CFF56D2" w14:textId="77777777" w:rsidR="00F51AFC" w:rsidRPr="004E6129" w:rsidRDefault="00416E35">
            <w:pPr>
              <w:spacing w:line="214" w:lineRule="auto"/>
              <w:ind w:left="370"/>
              <w:rPr>
                <w:rFonts w:ascii="Cambria" w:eastAsia="Cambria" w:hAnsi="Cambria" w:cs="Cambria"/>
                <w:sz w:val="20"/>
                <w:szCs w:val="20"/>
              </w:rPr>
            </w:pPr>
            <w:r w:rsidRPr="004E6129">
              <w:rPr>
                <w:rFonts w:ascii="Cambria" w:hAnsi="Cambria"/>
                <w:color w:val="231F20"/>
                <w:sz w:val="20"/>
                <w:szCs w:val="20"/>
              </w:rPr>
              <w:t>20,24%</w:t>
            </w:r>
          </w:p>
        </w:tc>
      </w:tr>
      <w:tr w:rsidR="00F51AFC" w:rsidRPr="004E6129" w14:paraId="2AB6BF86" w14:textId="77777777" w:rsidTr="004C2645">
        <w:trPr>
          <w:trHeight w:val="800"/>
        </w:trPr>
        <w:tc>
          <w:tcPr>
            <w:tcW w:w="2042" w:type="dxa"/>
            <w:tcBorders>
              <w:top w:val="single" w:sz="4" w:space="0" w:color="231F20"/>
              <w:left w:val="single" w:sz="4" w:space="0" w:color="231F20"/>
              <w:bottom w:val="single" w:sz="4" w:space="0" w:color="231F20"/>
              <w:right w:val="single" w:sz="4" w:space="0" w:color="231F20"/>
            </w:tcBorders>
            <w:vAlign w:val="center"/>
          </w:tcPr>
          <w:p w14:paraId="3ABB4D97" w14:textId="77777777" w:rsidR="00F51AFC" w:rsidRPr="004E6129" w:rsidRDefault="00416E35" w:rsidP="004C2645">
            <w:pPr>
              <w:ind w:left="96"/>
              <w:jc w:val="both"/>
              <w:rPr>
                <w:rFonts w:ascii="Cambria" w:eastAsia="Cambria" w:hAnsi="Cambria" w:cs="Cambria"/>
                <w:sz w:val="20"/>
                <w:szCs w:val="20"/>
              </w:rPr>
            </w:pPr>
            <w:r w:rsidRPr="004E6129">
              <w:rPr>
                <w:rFonts w:ascii="Cambria" w:hAnsi="Cambria"/>
                <w:color w:val="231F20"/>
                <w:sz w:val="20"/>
                <w:szCs w:val="20"/>
              </w:rPr>
              <w:t>Japon</w:t>
            </w:r>
          </w:p>
        </w:tc>
        <w:tc>
          <w:tcPr>
            <w:tcW w:w="1779" w:type="dxa"/>
            <w:tcBorders>
              <w:top w:val="single" w:sz="4" w:space="0" w:color="231F20"/>
              <w:left w:val="single" w:sz="4" w:space="0" w:color="231F20"/>
              <w:bottom w:val="single" w:sz="4" w:space="0" w:color="231F20"/>
              <w:right w:val="single" w:sz="4" w:space="0" w:color="231F20"/>
            </w:tcBorders>
          </w:tcPr>
          <w:p w14:paraId="13C17D52" w14:textId="77777777" w:rsidR="00F51AFC" w:rsidRPr="004E6129" w:rsidRDefault="00416E35">
            <w:pPr>
              <w:ind w:left="502"/>
              <w:rPr>
                <w:rFonts w:ascii="Cambria" w:eastAsia="Cambria" w:hAnsi="Cambria" w:cs="Cambria"/>
                <w:sz w:val="20"/>
                <w:szCs w:val="20"/>
              </w:rPr>
            </w:pPr>
            <w:r w:rsidRPr="004E6129">
              <w:rPr>
                <w:rFonts w:ascii="Cambria" w:hAnsi="Cambria"/>
                <w:color w:val="231F20"/>
                <w:sz w:val="20"/>
                <w:szCs w:val="20"/>
              </w:rPr>
              <w:t>17,64%</w:t>
            </w:r>
          </w:p>
        </w:tc>
        <w:tc>
          <w:tcPr>
            <w:tcW w:w="1559" w:type="dxa"/>
            <w:tcBorders>
              <w:top w:val="single" w:sz="4" w:space="0" w:color="231F20"/>
              <w:left w:val="single" w:sz="4" w:space="0" w:color="231F20"/>
              <w:bottom w:val="single" w:sz="4" w:space="0" w:color="231F20"/>
              <w:right w:val="single" w:sz="4" w:space="0" w:color="231F20"/>
            </w:tcBorders>
          </w:tcPr>
          <w:p w14:paraId="49CFFAA6" w14:textId="77777777" w:rsidR="00F51AFC" w:rsidRPr="004E6129" w:rsidRDefault="00416E35">
            <w:pPr>
              <w:ind w:left="1"/>
              <w:jc w:val="center"/>
              <w:rPr>
                <w:rFonts w:ascii="Cambria" w:eastAsia="Cambria" w:hAnsi="Cambria" w:cs="Cambria"/>
                <w:sz w:val="20"/>
                <w:szCs w:val="20"/>
              </w:rPr>
            </w:pPr>
            <w:r w:rsidRPr="004E6129">
              <w:rPr>
                <w:rFonts w:ascii="Cambria" w:hAnsi="Cambria"/>
                <w:color w:val="231F20"/>
                <w:sz w:val="20"/>
                <w:szCs w:val="20"/>
              </w:rPr>
              <w:t>426 t</w:t>
            </w:r>
          </w:p>
        </w:tc>
        <w:tc>
          <w:tcPr>
            <w:tcW w:w="2127" w:type="dxa"/>
            <w:tcBorders>
              <w:top w:val="single" w:sz="4" w:space="0" w:color="231F20"/>
              <w:left w:val="single" w:sz="4" w:space="0" w:color="231F20"/>
              <w:bottom w:val="single" w:sz="4" w:space="0" w:color="231F20"/>
              <w:right w:val="single" w:sz="4" w:space="0" w:color="231F20"/>
            </w:tcBorders>
          </w:tcPr>
          <w:p w14:paraId="4ACF89E6" w14:textId="77777777" w:rsidR="00F51AFC" w:rsidRPr="004E6129" w:rsidRDefault="00416E35">
            <w:pPr>
              <w:spacing w:line="237" w:lineRule="auto"/>
              <w:ind w:left="136" w:right="135"/>
              <w:jc w:val="center"/>
              <w:rPr>
                <w:rFonts w:ascii="Cambria" w:eastAsia="Cambria" w:hAnsi="Cambria" w:cs="Cambria"/>
                <w:color w:val="231F20"/>
                <w:sz w:val="20"/>
                <w:szCs w:val="20"/>
              </w:rPr>
            </w:pPr>
            <w:r w:rsidRPr="004E6129">
              <w:rPr>
                <w:rFonts w:ascii="Cambria" w:hAnsi="Cambria"/>
                <w:color w:val="231F20"/>
                <w:sz w:val="20"/>
                <w:szCs w:val="20"/>
              </w:rPr>
              <w:t xml:space="preserve">426 t + </w:t>
            </w:r>
          </w:p>
          <w:p w14:paraId="16EA0876" w14:textId="77777777" w:rsidR="00F51AFC" w:rsidRPr="004E6129" w:rsidRDefault="00416E35">
            <w:pPr>
              <w:spacing w:line="237" w:lineRule="auto"/>
              <w:ind w:left="136" w:right="135"/>
              <w:jc w:val="center"/>
              <w:rPr>
                <w:rFonts w:ascii="Cambria" w:eastAsia="Cambria" w:hAnsi="Cambria" w:cs="Cambria"/>
                <w:color w:val="231F20"/>
                <w:sz w:val="20"/>
                <w:szCs w:val="20"/>
              </w:rPr>
            </w:pPr>
            <w:r w:rsidRPr="004E6129">
              <w:rPr>
                <w:rFonts w:ascii="Cambria" w:hAnsi="Cambria"/>
                <w:color w:val="231F20"/>
                <w:sz w:val="20"/>
                <w:szCs w:val="20"/>
              </w:rPr>
              <w:t xml:space="preserve">toute augmentation entre </w:t>
            </w:r>
          </w:p>
          <w:p w14:paraId="2B534A6B" w14:textId="77777777" w:rsidR="00F51AFC" w:rsidRPr="004E6129" w:rsidRDefault="00416E35">
            <w:pPr>
              <w:spacing w:line="237" w:lineRule="auto"/>
              <w:ind w:left="136" w:right="135"/>
              <w:jc w:val="center"/>
              <w:rPr>
                <w:rFonts w:ascii="Cambria" w:eastAsia="Cambria" w:hAnsi="Cambria" w:cs="Cambria"/>
                <w:sz w:val="20"/>
                <w:szCs w:val="20"/>
              </w:rPr>
            </w:pPr>
            <w:r w:rsidRPr="004E6129">
              <w:rPr>
                <w:rFonts w:ascii="Cambria" w:hAnsi="Cambria"/>
                <w:color w:val="231F20"/>
                <w:sz w:val="20"/>
                <w:szCs w:val="20"/>
              </w:rPr>
              <w:t>2.413 t et 2.660 t</w:t>
            </w:r>
          </w:p>
        </w:tc>
        <w:tc>
          <w:tcPr>
            <w:tcW w:w="1559" w:type="dxa"/>
            <w:tcBorders>
              <w:top w:val="single" w:sz="4" w:space="0" w:color="231F20"/>
              <w:left w:val="single" w:sz="4" w:space="0" w:color="231F20"/>
              <w:bottom w:val="single" w:sz="4" w:space="0" w:color="231F20"/>
              <w:right w:val="single" w:sz="4" w:space="0" w:color="231F20"/>
            </w:tcBorders>
            <w:vAlign w:val="center"/>
          </w:tcPr>
          <w:p w14:paraId="760B4DDB" w14:textId="77777777" w:rsidR="00F51AFC" w:rsidRPr="004E6129" w:rsidRDefault="00416E35" w:rsidP="004C2645">
            <w:pPr>
              <w:ind w:left="150" w:hanging="150"/>
              <w:jc w:val="center"/>
              <w:rPr>
                <w:rFonts w:ascii="Cambria" w:eastAsia="Cambria" w:hAnsi="Cambria" w:cs="Cambria"/>
                <w:sz w:val="20"/>
                <w:szCs w:val="20"/>
              </w:rPr>
            </w:pPr>
            <w:r w:rsidRPr="004E6129">
              <w:rPr>
                <w:rFonts w:ascii="Cambria" w:hAnsi="Cambria"/>
                <w:color w:val="231F20"/>
                <w:sz w:val="20"/>
                <w:szCs w:val="20"/>
              </w:rPr>
              <w:t>24,74%</w:t>
            </w:r>
          </w:p>
        </w:tc>
      </w:tr>
      <w:tr w:rsidR="00F51AFC" w:rsidRPr="004E6129" w14:paraId="41F7F107" w14:textId="77777777" w:rsidTr="004C2645">
        <w:trPr>
          <w:trHeight w:val="700"/>
        </w:trPr>
        <w:tc>
          <w:tcPr>
            <w:tcW w:w="2042" w:type="dxa"/>
            <w:tcBorders>
              <w:top w:val="single" w:sz="4" w:space="0" w:color="231F20"/>
              <w:left w:val="single" w:sz="4" w:space="0" w:color="231F20"/>
              <w:bottom w:val="single" w:sz="4" w:space="0" w:color="231F20"/>
              <w:right w:val="single" w:sz="4" w:space="0" w:color="231F20"/>
            </w:tcBorders>
            <w:vAlign w:val="center"/>
          </w:tcPr>
          <w:p w14:paraId="3FDE3FFC" w14:textId="77777777" w:rsidR="00F51AFC" w:rsidRPr="004E6129" w:rsidRDefault="00416E35" w:rsidP="004C2645">
            <w:pPr>
              <w:spacing w:line="238" w:lineRule="auto"/>
              <w:ind w:left="96" w:right="397"/>
              <w:jc w:val="both"/>
              <w:rPr>
                <w:rFonts w:ascii="Cambria" w:eastAsia="Cambria" w:hAnsi="Cambria" w:cs="Cambria"/>
                <w:sz w:val="20"/>
                <w:szCs w:val="20"/>
              </w:rPr>
            </w:pPr>
            <w:r w:rsidRPr="004E6129">
              <w:rPr>
                <w:rFonts w:ascii="Cambria" w:hAnsi="Cambria"/>
                <w:color w:val="231F20"/>
                <w:sz w:val="20"/>
                <w:szCs w:val="20"/>
              </w:rPr>
              <w:t>Royaume-Uni (au titre des Bermudes)</w:t>
            </w:r>
          </w:p>
        </w:tc>
        <w:tc>
          <w:tcPr>
            <w:tcW w:w="1779" w:type="dxa"/>
            <w:tcBorders>
              <w:top w:val="single" w:sz="4" w:space="0" w:color="231F20"/>
              <w:left w:val="single" w:sz="4" w:space="0" w:color="231F20"/>
              <w:bottom w:val="single" w:sz="4" w:space="0" w:color="231F20"/>
              <w:right w:val="single" w:sz="4" w:space="0" w:color="231F20"/>
            </w:tcBorders>
            <w:vAlign w:val="center"/>
          </w:tcPr>
          <w:p w14:paraId="4C498B40" w14:textId="77777777" w:rsidR="00F51AFC" w:rsidRPr="004E6129" w:rsidRDefault="00416E35" w:rsidP="004C2645">
            <w:pPr>
              <w:spacing w:before="102"/>
              <w:jc w:val="center"/>
              <w:rPr>
                <w:rFonts w:ascii="Cambria" w:hAnsi="Cambria"/>
                <w:color w:val="231F20"/>
                <w:sz w:val="20"/>
                <w:szCs w:val="20"/>
              </w:rPr>
            </w:pPr>
            <w:r w:rsidRPr="004E6129">
              <w:rPr>
                <w:rFonts w:ascii="Cambria" w:hAnsi="Cambria"/>
                <w:color w:val="231F20"/>
                <w:sz w:val="20"/>
                <w:szCs w:val="20"/>
              </w:rPr>
              <w:t>0,23%</w:t>
            </w:r>
          </w:p>
        </w:tc>
        <w:tc>
          <w:tcPr>
            <w:tcW w:w="1559" w:type="dxa"/>
            <w:tcBorders>
              <w:top w:val="single" w:sz="4" w:space="0" w:color="231F20"/>
              <w:left w:val="single" w:sz="4" w:space="0" w:color="231F20"/>
              <w:bottom w:val="single" w:sz="4" w:space="0" w:color="231F20"/>
              <w:right w:val="single" w:sz="4" w:space="0" w:color="231F20"/>
            </w:tcBorders>
            <w:vAlign w:val="center"/>
          </w:tcPr>
          <w:p w14:paraId="3C6FF4E3" w14:textId="77777777" w:rsidR="00F51AFC" w:rsidRPr="004E6129" w:rsidRDefault="00416E35" w:rsidP="004C2645">
            <w:pPr>
              <w:spacing w:before="102"/>
              <w:ind w:left="547" w:hanging="259"/>
              <w:jc w:val="center"/>
              <w:rPr>
                <w:rFonts w:ascii="Cambria" w:hAnsi="Cambria"/>
                <w:color w:val="231F20"/>
                <w:sz w:val="20"/>
                <w:szCs w:val="20"/>
              </w:rPr>
            </w:pPr>
            <w:r w:rsidRPr="004E6129">
              <w:rPr>
                <w:rFonts w:ascii="Cambria" w:hAnsi="Cambria"/>
                <w:color w:val="231F20"/>
                <w:sz w:val="20"/>
                <w:szCs w:val="20"/>
              </w:rPr>
              <w:t>5,5 t</w:t>
            </w:r>
          </w:p>
        </w:tc>
        <w:tc>
          <w:tcPr>
            <w:tcW w:w="2127" w:type="dxa"/>
            <w:tcBorders>
              <w:top w:val="single" w:sz="4" w:space="0" w:color="231F20"/>
              <w:left w:val="single" w:sz="4" w:space="0" w:color="231F20"/>
              <w:bottom w:val="single" w:sz="4" w:space="0" w:color="231F20"/>
              <w:right w:val="single" w:sz="4" w:space="0" w:color="231F20"/>
            </w:tcBorders>
            <w:vAlign w:val="center"/>
          </w:tcPr>
          <w:p w14:paraId="2E126BC0" w14:textId="77777777" w:rsidR="00F51AFC" w:rsidRPr="004E6129" w:rsidRDefault="00416E35" w:rsidP="004C2645">
            <w:pPr>
              <w:spacing w:before="102"/>
              <w:ind w:left="294" w:hanging="425"/>
              <w:jc w:val="center"/>
              <w:rPr>
                <w:rFonts w:ascii="Cambria" w:hAnsi="Cambria"/>
                <w:color w:val="231F20"/>
                <w:sz w:val="20"/>
                <w:szCs w:val="20"/>
              </w:rPr>
            </w:pPr>
            <w:r w:rsidRPr="004E6129">
              <w:rPr>
                <w:rFonts w:ascii="Cambria" w:hAnsi="Cambria"/>
                <w:color w:val="231F20"/>
                <w:sz w:val="20"/>
                <w:szCs w:val="20"/>
              </w:rPr>
              <w:t>5,5 t</w:t>
            </w:r>
          </w:p>
        </w:tc>
        <w:tc>
          <w:tcPr>
            <w:tcW w:w="1559" w:type="dxa"/>
            <w:tcBorders>
              <w:top w:val="single" w:sz="4" w:space="0" w:color="231F20"/>
              <w:left w:val="single" w:sz="4" w:space="0" w:color="231F20"/>
              <w:bottom w:val="single" w:sz="4" w:space="0" w:color="231F20"/>
              <w:right w:val="single" w:sz="4" w:space="0" w:color="231F20"/>
            </w:tcBorders>
            <w:vAlign w:val="center"/>
          </w:tcPr>
          <w:p w14:paraId="13BC82F0" w14:textId="77777777" w:rsidR="00F51AFC" w:rsidRPr="004E6129" w:rsidRDefault="00416E35" w:rsidP="004C2645">
            <w:pPr>
              <w:spacing w:before="102"/>
              <w:ind w:left="150" w:hanging="141"/>
              <w:jc w:val="center"/>
              <w:rPr>
                <w:rFonts w:ascii="Cambria" w:hAnsi="Cambria"/>
                <w:color w:val="231F20"/>
                <w:sz w:val="20"/>
                <w:szCs w:val="20"/>
              </w:rPr>
            </w:pPr>
            <w:r w:rsidRPr="004E6129">
              <w:rPr>
                <w:rFonts w:ascii="Cambria" w:hAnsi="Cambria"/>
                <w:color w:val="231F20"/>
                <w:sz w:val="20"/>
                <w:szCs w:val="20"/>
              </w:rPr>
              <w:t>0,23%</w:t>
            </w:r>
          </w:p>
        </w:tc>
      </w:tr>
      <w:tr w:rsidR="00F51AFC" w:rsidRPr="004E6129" w14:paraId="1F845656" w14:textId="77777777" w:rsidTr="004C2645">
        <w:trPr>
          <w:trHeight w:val="700"/>
        </w:trPr>
        <w:tc>
          <w:tcPr>
            <w:tcW w:w="2042" w:type="dxa"/>
            <w:tcBorders>
              <w:top w:val="single" w:sz="4" w:space="0" w:color="231F20"/>
              <w:left w:val="single" w:sz="4" w:space="0" w:color="231F20"/>
              <w:bottom w:val="single" w:sz="4" w:space="0" w:color="231F20"/>
              <w:right w:val="single" w:sz="4" w:space="0" w:color="231F20"/>
            </w:tcBorders>
            <w:vAlign w:val="center"/>
          </w:tcPr>
          <w:p w14:paraId="5FE66A17" w14:textId="77777777" w:rsidR="00F51AFC" w:rsidRPr="004E6129" w:rsidRDefault="00416E35" w:rsidP="004C2645">
            <w:pPr>
              <w:spacing w:line="216" w:lineRule="auto"/>
              <w:ind w:left="96" w:right="128"/>
              <w:jc w:val="both"/>
              <w:rPr>
                <w:rFonts w:ascii="Cambria" w:eastAsia="Cambria" w:hAnsi="Cambria" w:cs="Cambria"/>
                <w:sz w:val="20"/>
                <w:szCs w:val="20"/>
              </w:rPr>
            </w:pPr>
            <w:r w:rsidRPr="004E6129">
              <w:rPr>
                <w:rFonts w:ascii="Cambria" w:hAnsi="Cambria"/>
                <w:color w:val="231F20"/>
                <w:sz w:val="20"/>
                <w:szCs w:val="20"/>
              </w:rPr>
              <w:t>France (au titre de Saint-Pierre-et-Miquelon)</w:t>
            </w:r>
          </w:p>
        </w:tc>
        <w:tc>
          <w:tcPr>
            <w:tcW w:w="1779" w:type="dxa"/>
            <w:tcBorders>
              <w:top w:val="single" w:sz="4" w:space="0" w:color="231F20"/>
              <w:left w:val="single" w:sz="4" w:space="0" w:color="231F20"/>
              <w:bottom w:val="single" w:sz="4" w:space="0" w:color="231F20"/>
              <w:right w:val="single" w:sz="4" w:space="0" w:color="231F20"/>
            </w:tcBorders>
            <w:vAlign w:val="center"/>
          </w:tcPr>
          <w:p w14:paraId="2580D850" w14:textId="77777777" w:rsidR="00F51AFC" w:rsidRPr="004E6129" w:rsidRDefault="00416E35" w:rsidP="004C2645">
            <w:pPr>
              <w:spacing w:before="102"/>
              <w:jc w:val="center"/>
              <w:rPr>
                <w:rFonts w:ascii="Cambria" w:hAnsi="Cambria"/>
                <w:color w:val="231F20"/>
                <w:sz w:val="20"/>
                <w:szCs w:val="20"/>
              </w:rPr>
            </w:pPr>
            <w:r w:rsidRPr="004E6129">
              <w:rPr>
                <w:rFonts w:ascii="Cambria" w:hAnsi="Cambria"/>
                <w:color w:val="231F20"/>
                <w:sz w:val="20"/>
                <w:szCs w:val="20"/>
              </w:rPr>
              <w:t>0,23%</w:t>
            </w:r>
          </w:p>
        </w:tc>
        <w:tc>
          <w:tcPr>
            <w:tcW w:w="1559" w:type="dxa"/>
            <w:tcBorders>
              <w:top w:val="single" w:sz="4" w:space="0" w:color="231F20"/>
              <w:left w:val="single" w:sz="4" w:space="0" w:color="231F20"/>
              <w:bottom w:val="single" w:sz="4" w:space="0" w:color="231F20"/>
              <w:right w:val="single" w:sz="4" w:space="0" w:color="231F20"/>
            </w:tcBorders>
            <w:vAlign w:val="center"/>
          </w:tcPr>
          <w:p w14:paraId="5AF73460" w14:textId="77777777" w:rsidR="00F51AFC" w:rsidRPr="004E6129" w:rsidRDefault="00416E35" w:rsidP="004C2645">
            <w:pPr>
              <w:spacing w:before="102"/>
              <w:ind w:left="547" w:hanging="401"/>
              <w:jc w:val="center"/>
              <w:rPr>
                <w:rFonts w:ascii="Cambria" w:hAnsi="Cambria"/>
                <w:color w:val="231F20"/>
                <w:sz w:val="20"/>
                <w:szCs w:val="20"/>
              </w:rPr>
            </w:pPr>
            <w:r w:rsidRPr="004E6129">
              <w:rPr>
                <w:rFonts w:ascii="Cambria" w:hAnsi="Cambria"/>
                <w:color w:val="231F20"/>
                <w:sz w:val="20"/>
                <w:szCs w:val="20"/>
              </w:rPr>
              <w:t>5,5 t</w:t>
            </w:r>
          </w:p>
        </w:tc>
        <w:tc>
          <w:tcPr>
            <w:tcW w:w="2127" w:type="dxa"/>
            <w:tcBorders>
              <w:top w:val="single" w:sz="4" w:space="0" w:color="231F20"/>
              <w:left w:val="single" w:sz="4" w:space="0" w:color="231F20"/>
              <w:bottom w:val="single" w:sz="4" w:space="0" w:color="231F20"/>
              <w:right w:val="single" w:sz="4" w:space="0" w:color="231F20"/>
            </w:tcBorders>
            <w:vAlign w:val="center"/>
          </w:tcPr>
          <w:p w14:paraId="58A1335F" w14:textId="77777777" w:rsidR="00F51AFC" w:rsidRPr="004E6129" w:rsidRDefault="00416E35" w:rsidP="004C2645">
            <w:pPr>
              <w:spacing w:before="102"/>
              <w:ind w:left="728" w:hanging="728"/>
              <w:jc w:val="center"/>
              <w:rPr>
                <w:rFonts w:ascii="Cambria" w:hAnsi="Cambria"/>
                <w:color w:val="231F20"/>
                <w:sz w:val="20"/>
                <w:szCs w:val="20"/>
              </w:rPr>
            </w:pPr>
            <w:r w:rsidRPr="004E6129">
              <w:rPr>
                <w:rFonts w:ascii="Cambria" w:hAnsi="Cambria"/>
                <w:color w:val="231F20"/>
                <w:sz w:val="20"/>
                <w:szCs w:val="20"/>
              </w:rPr>
              <w:t>5,5 t</w:t>
            </w:r>
          </w:p>
        </w:tc>
        <w:tc>
          <w:tcPr>
            <w:tcW w:w="1559" w:type="dxa"/>
            <w:tcBorders>
              <w:top w:val="single" w:sz="4" w:space="0" w:color="231F20"/>
              <w:left w:val="single" w:sz="4" w:space="0" w:color="231F20"/>
              <w:bottom w:val="single" w:sz="4" w:space="0" w:color="231F20"/>
              <w:right w:val="single" w:sz="4" w:space="0" w:color="231F20"/>
            </w:tcBorders>
            <w:vAlign w:val="center"/>
          </w:tcPr>
          <w:p w14:paraId="3B3C9DF3" w14:textId="77777777" w:rsidR="00F51AFC" w:rsidRPr="004E6129" w:rsidRDefault="00416E35" w:rsidP="004C2645">
            <w:pPr>
              <w:spacing w:before="102"/>
              <w:ind w:firstLine="9"/>
              <w:jc w:val="center"/>
              <w:rPr>
                <w:rFonts w:ascii="Cambria" w:hAnsi="Cambria"/>
                <w:color w:val="231F20"/>
                <w:sz w:val="20"/>
                <w:szCs w:val="20"/>
              </w:rPr>
            </w:pPr>
            <w:r w:rsidRPr="004E6129">
              <w:rPr>
                <w:rFonts w:ascii="Cambria" w:hAnsi="Cambria"/>
                <w:color w:val="231F20"/>
                <w:sz w:val="20"/>
                <w:szCs w:val="20"/>
              </w:rPr>
              <w:t>0,23%</w:t>
            </w:r>
          </w:p>
        </w:tc>
      </w:tr>
      <w:tr w:rsidR="00F51AFC" w:rsidRPr="004E6129" w14:paraId="59F5432C" w14:textId="77777777" w:rsidTr="004C2645">
        <w:trPr>
          <w:trHeight w:val="426"/>
        </w:trPr>
        <w:tc>
          <w:tcPr>
            <w:tcW w:w="2042" w:type="dxa"/>
            <w:tcBorders>
              <w:top w:val="single" w:sz="4" w:space="0" w:color="231F20"/>
              <w:left w:val="single" w:sz="4" w:space="0" w:color="231F20"/>
              <w:bottom w:val="single" w:sz="4" w:space="0" w:color="231F20"/>
              <w:right w:val="single" w:sz="4" w:space="0" w:color="231F20"/>
            </w:tcBorders>
            <w:vAlign w:val="center"/>
          </w:tcPr>
          <w:p w14:paraId="32F0D9AA" w14:textId="77777777" w:rsidR="00F51AFC" w:rsidRPr="004E6129" w:rsidRDefault="00416E35" w:rsidP="004C2645">
            <w:pPr>
              <w:spacing w:line="213" w:lineRule="auto"/>
              <w:ind w:left="96"/>
              <w:jc w:val="both"/>
              <w:rPr>
                <w:rFonts w:ascii="Cambria" w:eastAsia="Cambria" w:hAnsi="Cambria" w:cs="Cambria"/>
                <w:sz w:val="20"/>
                <w:szCs w:val="20"/>
              </w:rPr>
            </w:pPr>
            <w:r w:rsidRPr="004E6129">
              <w:rPr>
                <w:rFonts w:ascii="Cambria" w:hAnsi="Cambria"/>
                <w:color w:val="231F20"/>
                <w:sz w:val="20"/>
                <w:szCs w:val="20"/>
              </w:rPr>
              <w:t>Mexique</w:t>
            </w:r>
          </w:p>
        </w:tc>
        <w:tc>
          <w:tcPr>
            <w:tcW w:w="1779" w:type="dxa"/>
            <w:tcBorders>
              <w:top w:val="single" w:sz="4" w:space="0" w:color="231F20"/>
              <w:left w:val="single" w:sz="4" w:space="0" w:color="231F20"/>
              <w:bottom w:val="single" w:sz="4" w:space="0" w:color="231F20"/>
              <w:right w:val="single" w:sz="4" w:space="0" w:color="231F20"/>
            </w:tcBorders>
            <w:vAlign w:val="center"/>
          </w:tcPr>
          <w:p w14:paraId="5CDB1FFB" w14:textId="77777777" w:rsidR="00F51AFC" w:rsidRPr="004E6129" w:rsidRDefault="00416E35" w:rsidP="004C2645">
            <w:pPr>
              <w:spacing w:before="102"/>
              <w:jc w:val="center"/>
              <w:rPr>
                <w:rFonts w:ascii="Cambria" w:hAnsi="Cambria"/>
                <w:color w:val="231F20"/>
                <w:sz w:val="20"/>
                <w:szCs w:val="20"/>
              </w:rPr>
            </w:pPr>
            <w:r w:rsidRPr="004E6129">
              <w:rPr>
                <w:rFonts w:ascii="Cambria" w:hAnsi="Cambria"/>
                <w:color w:val="231F20"/>
                <w:sz w:val="20"/>
                <w:szCs w:val="20"/>
              </w:rPr>
              <w:t>5,56%</w:t>
            </w:r>
          </w:p>
        </w:tc>
        <w:tc>
          <w:tcPr>
            <w:tcW w:w="1559" w:type="dxa"/>
            <w:tcBorders>
              <w:top w:val="single" w:sz="4" w:space="0" w:color="231F20"/>
              <w:left w:val="single" w:sz="4" w:space="0" w:color="231F20"/>
              <w:bottom w:val="single" w:sz="4" w:space="0" w:color="231F20"/>
              <w:right w:val="single" w:sz="4" w:space="0" w:color="231F20"/>
            </w:tcBorders>
            <w:vAlign w:val="center"/>
          </w:tcPr>
          <w:p w14:paraId="5D66B620" w14:textId="77777777" w:rsidR="00F51AFC" w:rsidRPr="004E6129" w:rsidRDefault="00416E35" w:rsidP="004C2645">
            <w:pPr>
              <w:spacing w:before="102"/>
              <w:ind w:left="1"/>
              <w:jc w:val="center"/>
              <w:rPr>
                <w:rFonts w:ascii="Cambria" w:hAnsi="Cambria"/>
                <w:color w:val="231F20"/>
                <w:sz w:val="20"/>
                <w:szCs w:val="20"/>
              </w:rPr>
            </w:pPr>
            <w:r w:rsidRPr="004E6129">
              <w:rPr>
                <w:rFonts w:ascii="Cambria" w:hAnsi="Cambria"/>
                <w:color w:val="231F20"/>
                <w:sz w:val="20"/>
                <w:szCs w:val="20"/>
              </w:rPr>
              <w:t>134 t</w:t>
            </w:r>
          </w:p>
        </w:tc>
        <w:tc>
          <w:tcPr>
            <w:tcW w:w="2127" w:type="dxa"/>
            <w:tcBorders>
              <w:top w:val="single" w:sz="4" w:space="0" w:color="231F20"/>
              <w:left w:val="single" w:sz="4" w:space="0" w:color="231F20"/>
              <w:bottom w:val="single" w:sz="4" w:space="0" w:color="231F20"/>
              <w:right w:val="single" w:sz="4" w:space="0" w:color="231F20"/>
            </w:tcBorders>
            <w:vAlign w:val="center"/>
          </w:tcPr>
          <w:p w14:paraId="4865D094" w14:textId="77777777" w:rsidR="00F51AFC" w:rsidRPr="004E6129" w:rsidRDefault="00416E35" w:rsidP="004C2645">
            <w:pPr>
              <w:spacing w:before="102"/>
              <w:ind w:left="1"/>
              <w:jc w:val="center"/>
              <w:rPr>
                <w:rFonts w:ascii="Cambria" w:hAnsi="Cambria"/>
                <w:color w:val="231F20"/>
                <w:sz w:val="20"/>
                <w:szCs w:val="20"/>
              </w:rPr>
            </w:pPr>
            <w:r w:rsidRPr="004E6129">
              <w:rPr>
                <w:rFonts w:ascii="Cambria" w:hAnsi="Cambria"/>
                <w:color w:val="231F20"/>
                <w:sz w:val="20"/>
                <w:szCs w:val="20"/>
              </w:rPr>
              <w:t>134 t</w:t>
            </w:r>
          </w:p>
        </w:tc>
        <w:tc>
          <w:tcPr>
            <w:tcW w:w="1559" w:type="dxa"/>
            <w:tcBorders>
              <w:top w:val="single" w:sz="4" w:space="0" w:color="231F20"/>
              <w:left w:val="single" w:sz="4" w:space="0" w:color="231F20"/>
              <w:bottom w:val="single" w:sz="4" w:space="0" w:color="231F20"/>
              <w:right w:val="single" w:sz="4" w:space="0" w:color="231F20"/>
            </w:tcBorders>
            <w:vAlign w:val="center"/>
          </w:tcPr>
          <w:p w14:paraId="04FF8746" w14:textId="77777777" w:rsidR="00F51AFC" w:rsidRPr="004E6129" w:rsidRDefault="00416E35" w:rsidP="004C2645">
            <w:pPr>
              <w:spacing w:before="102"/>
              <w:ind w:left="292" w:hanging="283"/>
              <w:jc w:val="center"/>
              <w:rPr>
                <w:rFonts w:ascii="Cambria" w:hAnsi="Cambria"/>
                <w:color w:val="231F20"/>
                <w:sz w:val="20"/>
                <w:szCs w:val="20"/>
              </w:rPr>
            </w:pPr>
            <w:r w:rsidRPr="004E6129">
              <w:rPr>
                <w:rFonts w:ascii="Cambria" w:hAnsi="Cambria"/>
                <w:color w:val="231F20"/>
                <w:sz w:val="20"/>
                <w:szCs w:val="20"/>
              </w:rPr>
              <w:t>5,56%</w:t>
            </w:r>
          </w:p>
        </w:tc>
      </w:tr>
    </w:tbl>
    <w:p w14:paraId="0760FD6E" w14:textId="50794311" w:rsidR="00F51AFC" w:rsidRPr="007E6C45" w:rsidRDefault="00416E35" w:rsidP="00AF3268">
      <w:pPr>
        <w:pStyle w:val="ListParagraph"/>
        <w:numPr>
          <w:ilvl w:val="0"/>
          <w:numId w:val="8"/>
        </w:numPr>
        <w:ind w:left="851" w:hanging="425"/>
        <w:jc w:val="both"/>
        <w:rPr>
          <w:rFonts w:ascii="Cambria" w:eastAsia="Cambria" w:hAnsi="Cambria" w:cs="Cambria"/>
          <w:sz w:val="20"/>
          <w:szCs w:val="20"/>
        </w:rPr>
      </w:pPr>
      <w:r w:rsidRPr="004E6129">
        <w:rPr>
          <w:rFonts w:ascii="Cambria" w:eastAsia="Cambria" w:hAnsi="Cambria" w:cs="Cambria"/>
          <w:color w:val="231F20"/>
          <w:sz w:val="20"/>
          <w:szCs w:val="20"/>
        </w:rPr>
        <w:lastRenderedPageBreak/>
        <w:t>Conformément</w:t>
      </w:r>
      <w:r w:rsidRPr="004E6129">
        <w:rPr>
          <w:rFonts w:ascii="Cambria" w:hAnsi="Cambria"/>
          <w:color w:val="231F20"/>
          <w:sz w:val="20"/>
          <w:szCs w:val="20"/>
        </w:rPr>
        <w:t xml:space="preserve"> aux paragraphes 1, 3 et 5</w:t>
      </w:r>
      <w:r w:rsidR="004C2645" w:rsidRPr="004E6129">
        <w:rPr>
          <w:rFonts w:ascii="Cambria" w:hAnsi="Cambria"/>
          <w:color w:val="231F20"/>
          <w:sz w:val="20"/>
          <w:szCs w:val="20"/>
        </w:rPr>
        <w:t xml:space="preserve"> </w:t>
      </w:r>
      <w:r w:rsidR="00324140" w:rsidRPr="004E6129">
        <w:rPr>
          <w:rFonts w:ascii="Cambria" w:hAnsi="Cambria"/>
          <w:color w:val="231F20"/>
          <w:sz w:val="20"/>
          <w:szCs w:val="20"/>
        </w:rPr>
        <w:t xml:space="preserve">b), les TAC annuels pour </w:t>
      </w:r>
      <w:r w:rsidR="00D17DE6" w:rsidRPr="004E6129">
        <w:rPr>
          <w:rFonts w:ascii="Cambria" w:hAnsi="Cambria"/>
          <w:color w:val="231F20"/>
          <w:sz w:val="20"/>
          <w:szCs w:val="20"/>
          <w:u w:val="single"/>
        </w:rPr>
        <w:t>2026</w:t>
      </w:r>
      <w:r w:rsidR="00324140" w:rsidRPr="004E6129">
        <w:rPr>
          <w:rFonts w:ascii="Cambria" w:hAnsi="Cambria"/>
          <w:color w:val="231F20"/>
          <w:sz w:val="20"/>
          <w:szCs w:val="20"/>
          <w:u w:val="single"/>
        </w:rPr>
        <w:t>-202</w:t>
      </w:r>
      <w:r w:rsidR="00D17DE6" w:rsidRPr="004E6129">
        <w:rPr>
          <w:rFonts w:ascii="Cambria" w:hAnsi="Cambria"/>
          <w:color w:val="231F20"/>
          <w:sz w:val="20"/>
          <w:szCs w:val="20"/>
          <w:u w:val="single"/>
        </w:rPr>
        <w:t>8</w:t>
      </w:r>
      <w:r w:rsidRPr="004E6129">
        <w:rPr>
          <w:rFonts w:ascii="Cambria" w:hAnsi="Cambria"/>
          <w:color w:val="231F20"/>
          <w:sz w:val="20"/>
          <w:szCs w:val="20"/>
        </w:rPr>
        <w:t xml:space="preserve"> donnent lieu aux allocations de </w:t>
      </w:r>
      <w:r w:rsidRPr="004E6129">
        <w:rPr>
          <w:rFonts w:ascii="Cambria" w:eastAsia="Cambria" w:hAnsi="Cambria" w:cs="Cambria"/>
          <w:color w:val="231F20"/>
          <w:sz w:val="20"/>
          <w:szCs w:val="20"/>
        </w:rPr>
        <w:t>quota</w:t>
      </w:r>
      <w:r w:rsidRPr="004E6129">
        <w:rPr>
          <w:rFonts w:ascii="Cambria" w:hAnsi="Cambria"/>
          <w:color w:val="231F20"/>
          <w:sz w:val="20"/>
          <w:szCs w:val="20"/>
        </w:rPr>
        <w:t xml:space="preserve"> suivantes spécifiques aux CPC</w:t>
      </w:r>
      <w:r w:rsidR="004C2645" w:rsidRPr="004E6129">
        <w:rPr>
          <w:rFonts w:ascii="Cambria" w:hAnsi="Cambria"/>
          <w:color w:val="231F20"/>
          <w:sz w:val="20"/>
          <w:szCs w:val="20"/>
        </w:rPr>
        <w:t xml:space="preserve">, </w:t>
      </w:r>
      <w:r w:rsidRPr="004E6129">
        <w:rPr>
          <w:rFonts w:ascii="Cambria" w:hAnsi="Cambria"/>
          <w:color w:val="231F20"/>
          <w:sz w:val="20"/>
          <w:szCs w:val="20"/>
        </w:rPr>
        <w:t>n’incluant pas les tolérances des prises accessoires visées au paragraphe 5</w:t>
      </w:r>
      <w:r w:rsidR="004C2645" w:rsidRPr="004E6129">
        <w:rPr>
          <w:rFonts w:ascii="Cambria" w:hAnsi="Cambria"/>
          <w:color w:val="231F20"/>
          <w:sz w:val="20"/>
          <w:szCs w:val="20"/>
        </w:rPr>
        <w:t xml:space="preserve"> </w:t>
      </w:r>
      <w:r w:rsidRPr="004E6129">
        <w:rPr>
          <w:rFonts w:ascii="Cambria" w:hAnsi="Cambria"/>
          <w:color w:val="231F20"/>
          <w:sz w:val="20"/>
          <w:szCs w:val="20"/>
        </w:rPr>
        <w:t>a) :</w:t>
      </w:r>
    </w:p>
    <w:p w14:paraId="63A08FA1" w14:textId="77777777" w:rsidR="007E6C45" w:rsidRPr="004E6129" w:rsidRDefault="007E6C45" w:rsidP="007E6C45">
      <w:pPr>
        <w:pStyle w:val="ListParagraph"/>
        <w:ind w:left="851"/>
        <w:jc w:val="both"/>
        <w:rPr>
          <w:rFonts w:ascii="Cambria" w:eastAsia="Cambria" w:hAnsi="Cambria" w:cs="Cambria"/>
          <w:sz w:val="20"/>
          <w:szCs w:val="20"/>
        </w:rPr>
      </w:pPr>
    </w:p>
    <w:p w14:paraId="709629E5" w14:textId="18828F0B" w:rsidR="00F51AFC" w:rsidRPr="004E6129" w:rsidRDefault="00416E35" w:rsidP="007E6C45">
      <w:pPr>
        <w:ind w:left="1722"/>
        <w:rPr>
          <w:rFonts w:ascii="Cambria" w:eastAsia="Cambria" w:hAnsi="Cambria" w:cs="Cambria"/>
          <w:i/>
          <w:color w:val="231F20"/>
          <w:sz w:val="20"/>
          <w:szCs w:val="20"/>
          <w:u w:val="single"/>
        </w:rPr>
      </w:pPr>
      <w:r w:rsidRPr="004E6129">
        <w:rPr>
          <w:rFonts w:ascii="Cambria" w:hAnsi="Cambria"/>
          <w:i/>
          <w:color w:val="231F20"/>
          <w:sz w:val="20"/>
          <w:szCs w:val="20"/>
        </w:rPr>
        <w:t xml:space="preserve">TAC annuel pour </w:t>
      </w:r>
      <w:r w:rsidR="009B59DC" w:rsidRPr="004E6129">
        <w:rPr>
          <w:rFonts w:ascii="Cambria" w:hAnsi="Cambria"/>
          <w:i/>
          <w:color w:val="231F20"/>
          <w:sz w:val="20"/>
          <w:szCs w:val="20"/>
          <w:u w:val="single"/>
        </w:rPr>
        <w:t>2026-2028 :</w:t>
      </w:r>
      <w:r w:rsidR="009A7EA1" w:rsidRPr="004E6129">
        <w:rPr>
          <w:rFonts w:ascii="Cambria" w:hAnsi="Cambria"/>
          <w:i/>
          <w:color w:val="231F20"/>
          <w:sz w:val="20"/>
          <w:szCs w:val="20"/>
          <w:u w:val="single"/>
        </w:rPr>
        <w:t xml:space="preserve"> </w:t>
      </w:r>
      <w:r w:rsidR="00FB3BFD" w:rsidRPr="004E6129">
        <w:rPr>
          <w:rFonts w:ascii="Cambria" w:hAnsi="Cambria"/>
          <w:i/>
          <w:color w:val="231F20"/>
          <w:sz w:val="20"/>
          <w:szCs w:val="20"/>
          <w:u w:val="single"/>
        </w:rPr>
        <w:t>3.081,6</w:t>
      </w:r>
      <w:r w:rsidR="009A7EA1" w:rsidRPr="004E6129">
        <w:rPr>
          <w:rFonts w:ascii="Cambria" w:hAnsi="Cambria"/>
          <w:i/>
          <w:color w:val="231F20"/>
          <w:sz w:val="20"/>
          <w:szCs w:val="20"/>
          <w:u w:val="single"/>
        </w:rPr>
        <w:t xml:space="preserve"> t</w:t>
      </w:r>
    </w:p>
    <w:p w14:paraId="5D9AF932" w14:textId="77777777" w:rsidR="00A10CC7" w:rsidRPr="004E6129" w:rsidRDefault="00A10CC7">
      <w:pPr>
        <w:ind w:left="1722"/>
        <w:rPr>
          <w:rFonts w:ascii="Cambria" w:eastAsia="Cambria" w:hAnsi="Cambria" w:cs="Cambria"/>
          <w:sz w:val="20"/>
          <w:szCs w:val="20"/>
        </w:rPr>
      </w:pPr>
    </w:p>
    <w:tbl>
      <w:tblPr>
        <w:tblStyle w:val="TableGrid"/>
        <w:tblW w:w="0" w:type="auto"/>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8"/>
        <w:gridCol w:w="3767"/>
      </w:tblGrid>
      <w:tr w:rsidR="00A10CC7" w:rsidRPr="004E6129" w14:paraId="4FA4B4C5" w14:textId="77777777" w:rsidTr="00E76FD8">
        <w:tc>
          <w:tcPr>
            <w:tcW w:w="4278" w:type="dxa"/>
          </w:tcPr>
          <w:p w14:paraId="791807AE" w14:textId="4955719F" w:rsidR="00A10CC7" w:rsidRPr="004E6129" w:rsidRDefault="00A10CC7">
            <w:pPr>
              <w:rPr>
                <w:rFonts w:ascii="Cambria" w:eastAsia="Cambria" w:hAnsi="Cambria" w:cs="Cambria"/>
                <w:sz w:val="20"/>
                <w:szCs w:val="20"/>
              </w:rPr>
            </w:pPr>
            <w:r w:rsidRPr="004E6129">
              <w:rPr>
                <w:rFonts w:ascii="Cambria" w:hAnsi="Cambria"/>
                <w:color w:val="231F20"/>
                <w:sz w:val="20"/>
                <w:szCs w:val="20"/>
              </w:rPr>
              <w:t>États-Unis</w:t>
            </w:r>
          </w:p>
        </w:tc>
        <w:tc>
          <w:tcPr>
            <w:tcW w:w="3767" w:type="dxa"/>
          </w:tcPr>
          <w:p w14:paraId="29EBA1A3" w14:textId="55DD3FFE" w:rsidR="00A10CC7" w:rsidRPr="004E6129" w:rsidRDefault="002155E3">
            <w:pPr>
              <w:rPr>
                <w:rFonts w:ascii="Cambria" w:eastAsia="Cambria" w:hAnsi="Cambria" w:cs="Cambria"/>
                <w:sz w:val="20"/>
                <w:szCs w:val="20"/>
                <w:u w:val="single"/>
              </w:rPr>
            </w:pPr>
            <w:r w:rsidRPr="004E6129">
              <w:rPr>
                <w:rFonts w:ascii="Cambria" w:hAnsi="Cambria" w:cs="Cambria" w:hint="eastAsia"/>
                <w:color w:val="231F20"/>
                <w:sz w:val="20"/>
                <w:szCs w:val="20"/>
                <w:u w:val="single"/>
                <w:lang w:eastAsia="ja-JP"/>
              </w:rPr>
              <w:t>1</w:t>
            </w:r>
            <w:r w:rsidR="00150619" w:rsidRPr="004E6129">
              <w:rPr>
                <w:rFonts w:ascii="Cambria" w:hAnsi="Cambria" w:cs="Cambria"/>
                <w:color w:val="231F20"/>
                <w:sz w:val="20"/>
                <w:szCs w:val="20"/>
                <w:u w:val="single"/>
                <w:lang w:eastAsia="ja-JP"/>
              </w:rPr>
              <w:t>.</w:t>
            </w:r>
            <w:r w:rsidRPr="004E6129">
              <w:rPr>
                <w:rFonts w:ascii="Cambria" w:hAnsi="Cambria" w:cs="Cambria" w:hint="eastAsia"/>
                <w:color w:val="231F20"/>
                <w:sz w:val="20"/>
                <w:szCs w:val="20"/>
                <w:u w:val="single"/>
                <w:lang w:eastAsia="ja-JP"/>
              </w:rPr>
              <w:t>490</w:t>
            </w:r>
            <w:r w:rsidR="00150619" w:rsidRPr="004E6129">
              <w:rPr>
                <w:rFonts w:ascii="Cambria" w:hAnsi="Cambria" w:cs="Cambria"/>
                <w:color w:val="231F20"/>
                <w:sz w:val="20"/>
                <w:szCs w:val="20"/>
                <w:u w:val="single"/>
                <w:lang w:eastAsia="ja-JP"/>
              </w:rPr>
              <w:t>,</w:t>
            </w:r>
            <w:r w:rsidRPr="004E6129">
              <w:rPr>
                <w:rFonts w:ascii="Cambria" w:hAnsi="Cambria" w:cs="Cambria" w:hint="eastAsia"/>
                <w:color w:val="231F20"/>
                <w:sz w:val="20"/>
                <w:szCs w:val="20"/>
                <w:u w:val="single"/>
                <w:lang w:eastAsia="ja-JP"/>
              </w:rPr>
              <w:t>38</w:t>
            </w:r>
            <w:r w:rsidR="00B017E5" w:rsidRPr="004E6129">
              <w:rPr>
                <w:rFonts w:ascii="Cambria" w:hAnsi="Cambria" w:cs="Cambria"/>
                <w:color w:val="231F20"/>
                <w:sz w:val="20"/>
                <w:szCs w:val="20"/>
                <w:u w:val="single"/>
                <w:lang w:eastAsia="ja-JP"/>
              </w:rPr>
              <w:t xml:space="preserve"> t</w:t>
            </w:r>
          </w:p>
        </w:tc>
      </w:tr>
      <w:tr w:rsidR="00A10CC7" w:rsidRPr="004E6129" w14:paraId="3C4A1696" w14:textId="77777777" w:rsidTr="00E76FD8">
        <w:tc>
          <w:tcPr>
            <w:tcW w:w="4278" w:type="dxa"/>
          </w:tcPr>
          <w:p w14:paraId="7CB7B923" w14:textId="54496A6A" w:rsidR="00A10CC7" w:rsidRPr="004E6129" w:rsidRDefault="00A10CC7">
            <w:pPr>
              <w:rPr>
                <w:rFonts w:ascii="Cambria" w:eastAsia="Cambria" w:hAnsi="Cambria" w:cs="Cambria"/>
                <w:sz w:val="20"/>
                <w:szCs w:val="20"/>
              </w:rPr>
            </w:pPr>
            <w:r w:rsidRPr="004E6129">
              <w:rPr>
                <w:rFonts w:ascii="Cambria" w:hAnsi="Cambria"/>
                <w:color w:val="231F20"/>
                <w:sz w:val="20"/>
                <w:szCs w:val="20"/>
              </w:rPr>
              <w:t>Canada</w:t>
            </w:r>
          </w:p>
        </w:tc>
        <w:tc>
          <w:tcPr>
            <w:tcW w:w="3767" w:type="dxa"/>
          </w:tcPr>
          <w:p w14:paraId="2F46702C" w14:textId="4D57D0C9" w:rsidR="00A10CC7" w:rsidRPr="004E6129" w:rsidRDefault="005B3BCD">
            <w:pPr>
              <w:rPr>
                <w:rFonts w:ascii="Cambria" w:eastAsia="Cambria" w:hAnsi="Cambria" w:cs="Cambria"/>
                <w:sz w:val="20"/>
                <w:szCs w:val="20"/>
                <w:u w:val="single"/>
              </w:rPr>
            </w:pPr>
            <w:r w:rsidRPr="004E6129">
              <w:rPr>
                <w:rFonts w:ascii="Cambria" w:hAnsi="Cambria" w:cs="Cambria" w:hint="eastAsia"/>
                <w:color w:val="231F20"/>
                <w:sz w:val="20"/>
                <w:szCs w:val="20"/>
                <w:u w:val="single"/>
                <w:lang w:eastAsia="ja-JP"/>
              </w:rPr>
              <w:t>615</w:t>
            </w:r>
            <w:r w:rsidR="00150619" w:rsidRPr="004E6129">
              <w:rPr>
                <w:rFonts w:ascii="Cambria" w:hAnsi="Cambria" w:cs="Cambria"/>
                <w:color w:val="231F20"/>
                <w:sz w:val="20"/>
                <w:szCs w:val="20"/>
                <w:u w:val="single"/>
                <w:lang w:eastAsia="ja-JP"/>
              </w:rPr>
              <w:t>,</w:t>
            </w:r>
            <w:r w:rsidRPr="004E6129">
              <w:rPr>
                <w:rFonts w:ascii="Cambria" w:hAnsi="Cambria" w:cs="Cambria" w:hint="eastAsia"/>
                <w:color w:val="231F20"/>
                <w:sz w:val="20"/>
                <w:szCs w:val="20"/>
                <w:u w:val="single"/>
                <w:lang w:eastAsia="ja-JP"/>
              </w:rPr>
              <w:t>62</w:t>
            </w:r>
            <w:r w:rsidR="00B017E5" w:rsidRPr="004E6129">
              <w:rPr>
                <w:rFonts w:ascii="Cambria" w:hAnsi="Cambria" w:cs="Cambria"/>
                <w:color w:val="231F20"/>
                <w:sz w:val="20"/>
                <w:szCs w:val="20"/>
                <w:u w:val="single"/>
                <w:lang w:eastAsia="ja-JP"/>
              </w:rPr>
              <w:t xml:space="preserve"> t</w:t>
            </w:r>
          </w:p>
        </w:tc>
      </w:tr>
      <w:tr w:rsidR="00A10CC7" w:rsidRPr="004E6129" w14:paraId="443EBE4F" w14:textId="77777777" w:rsidTr="00E76FD8">
        <w:tc>
          <w:tcPr>
            <w:tcW w:w="4278" w:type="dxa"/>
          </w:tcPr>
          <w:p w14:paraId="015140BA" w14:textId="01FF5E2E" w:rsidR="00A10CC7" w:rsidRPr="004E6129" w:rsidRDefault="00A10CC7">
            <w:pPr>
              <w:rPr>
                <w:rFonts w:ascii="Cambria" w:eastAsia="Cambria" w:hAnsi="Cambria" w:cs="Cambria"/>
                <w:sz w:val="20"/>
                <w:szCs w:val="20"/>
              </w:rPr>
            </w:pPr>
            <w:r w:rsidRPr="004E6129">
              <w:rPr>
                <w:rFonts w:ascii="Cambria" w:hAnsi="Cambria"/>
                <w:color w:val="231F20"/>
                <w:sz w:val="20"/>
                <w:szCs w:val="20"/>
              </w:rPr>
              <w:t>Japon</w:t>
            </w:r>
          </w:p>
        </w:tc>
        <w:tc>
          <w:tcPr>
            <w:tcW w:w="3767" w:type="dxa"/>
          </w:tcPr>
          <w:p w14:paraId="252CD6F2" w14:textId="1AA5FFE1" w:rsidR="00A10CC7" w:rsidRPr="004E6129" w:rsidRDefault="00B03AE4">
            <w:pPr>
              <w:rPr>
                <w:rFonts w:ascii="Cambria" w:eastAsia="Cambria" w:hAnsi="Cambria" w:cs="Cambria"/>
                <w:sz w:val="20"/>
                <w:szCs w:val="20"/>
                <w:u w:val="single"/>
              </w:rPr>
            </w:pPr>
            <w:r w:rsidRPr="004E6129">
              <w:rPr>
                <w:rFonts w:ascii="Cambria" w:hAnsi="Cambria" w:hint="eastAsia"/>
                <w:color w:val="231F20"/>
                <w:sz w:val="20"/>
                <w:szCs w:val="20"/>
                <w:u w:val="single"/>
                <w:lang w:eastAsia="ja-JP"/>
              </w:rPr>
              <w:t>752</w:t>
            </w:r>
            <w:r w:rsidR="00150619" w:rsidRPr="004E6129">
              <w:rPr>
                <w:rFonts w:ascii="Cambria" w:hAnsi="Cambria"/>
                <w:color w:val="231F20"/>
                <w:sz w:val="20"/>
                <w:szCs w:val="20"/>
                <w:u w:val="single"/>
                <w:lang w:eastAsia="ja-JP"/>
              </w:rPr>
              <w:t>,</w:t>
            </w:r>
            <w:r w:rsidRPr="004E6129">
              <w:rPr>
                <w:rFonts w:ascii="Cambria" w:hAnsi="Cambria" w:hint="eastAsia"/>
                <w:color w:val="231F20"/>
                <w:sz w:val="20"/>
                <w:szCs w:val="20"/>
                <w:u w:val="single"/>
                <w:lang w:eastAsia="ja-JP"/>
              </w:rPr>
              <w:t>49</w:t>
            </w:r>
            <w:r w:rsidR="00B017E5" w:rsidRPr="004E6129">
              <w:rPr>
                <w:rFonts w:ascii="Cambria" w:hAnsi="Cambria"/>
                <w:color w:val="231F20"/>
                <w:sz w:val="20"/>
                <w:szCs w:val="20"/>
                <w:u w:val="single"/>
                <w:lang w:eastAsia="ja-JP"/>
              </w:rPr>
              <w:t xml:space="preserve"> t</w:t>
            </w:r>
          </w:p>
        </w:tc>
      </w:tr>
      <w:tr w:rsidR="00A10CC7" w:rsidRPr="004E6129" w14:paraId="023C1CD7" w14:textId="77777777" w:rsidTr="00E76FD8">
        <w:tc>
          <w:tcPr>
            <w:tcW w:w="4278" w:type="dxa"/>
          </w:tcPr>
          <w:p w14:paraId="3617AB1D" w14:textId="516D4F55" w:rsidR="00A10CC7" w:rsidRPr="004E6129" w:rsidRDefault="00A10CC7">
            <w:pPr>
              <w:rPr>
                <w:rFonts w:ascii="Cambria" w:eastAsia="Cambria" w:hAnsi="Cambria" w:cs="Cambria"/>
                <w:sz w:val="20"/>
                <w:szCs w:val="20"/>
              </w:rPr>
            </w:pPr>
            <w:r w:rsidRPr="004E6129">
              <w:rPr>
                <w:rFonts w:ascii="Cambria" w:hAnsi="Cambria"/>
                <w:color w:val="231F20"/>
                <w:sz w:val="20"/>
                <w:szCs w:val="20"/>
              </w:rPr>
              <w:t>Royaume-Uni (au titre des Bermudes)</w:t>
            </w:r>
          </w:p>
        </w:tc>
        <w:tc>
          <w:tcPr>
            <w:tcW w:w="3767" w:type="dxa"/>
          </w:tcPr>
          <w:p w14:paraId="450C4190" w14:textId="0AEACFF6" w:rsidR="00A10CC7" w:rsidRPr="004E6129" w:rsidRDefault="00BC1FF7">
            <w:pPr>
              <w:rPr>
                <w:rFonts w:ascii="Cambria" w:eastAsia="Cambria" w:hAnsi="Cambria" w:cs="Cambria"/>
                <w:sz w:val="20"/>
                <w:szCs w:val="20"/>
                <w:u w:val="single"/>
              </w:rPr>
            </w:pPr>
            <w:r w:rsidRPr="004E6129">
              <w:rPr>
                <w:rFonts w:ascii="Cambria" w:hAnsi="Cambria" w:hint="eastAsia"/>
                <w:color w:val="231F20"/>
                <w:sz w:val="20"/>
                <w:szCs w:val="20"/>
                <w:u w:val="single"/>
                <w:lang w:eastAsia="ja-JP"/>
              </w:rPr>
              <w:t>7</w:t>
            </w:r>
            <w:r w:rsidRPr="004E6129">
              <w:rPr>
                <w:rFonts w:ascii="Cambria" w:hAnsi="Cambria"/>
                <w:color w:val="231F20"/>
                <w:sz w:val="20"/>
                <w:szCs w:val="20"/>
                <w:u w:val="single"/>
              </w:rPr>
              <w:t xml:space="preserve"> t</w:t>
            </w:r>
          </w:p>
        </w:tc>
      </w:tr>
      <w:tr w:rsidR="00A10CC7" w:rsidRPr="004E6129" w14:paraId="598EF237" w14:textId="77777777" w:rsidTr="00E76FD8">
        <w:trPr>
          <w:trHeight w:val="201"/>
        </w:trPr>
        <w:tc>
          <w:tcPr>
            <w:tcW w:w="4278" w:type="dxa"/>
          </w:tcPr>
          <w:p w14:paraId="572B0A51" w14:textId="671469C7" w:rsidR="00A10CC7" w:rsidRPr="004E6129" w:rsidRDefault="00A10CC7">
            <w:pPr>
              <w:rPr>
                <w:rFonts w:ascii="Cambria" w:eastAsia="Cambria" w:hAnsi="Cambria" w:cs="Cambria"/>
                <w:sz w:val="20"/>
                <w:szCs w:val="20"/>
              </w:rPr>
            </w:pPr>
            <w:r w:rsidRPr="004E6129">
              <w:rPr>
                <w:rFonts w:ascii="Cambria" w:hAnsi="Cambria"/>
                <w:color w:val="231F20"/>
                <w:sz w:val="20"/>
                <w:szCs w:val="20"/>
              </w:rPr>
              <w:t>France (au titre de Saint-Pierre-et-Miquelon)</w:t>
            </w:r>
          </w:p>
        </w:tc>
        <w:tc>
          <w:tcPr>
            <w:tcW w:w="3767" w:type="dxa"/>
          </w:tcPr>
          <w:p w14:paraId="2937B7B2" w14:textId="4C4709E8" w:rsidR="00A10CC7" w:rsidRPr="004E6129" w:rsidRDefault="00A26BF5" w:rsidP="00150619">
            <w:pPr>
              <w:spacing w:before="48"/>
              <w:rPr>
                <w:rFonts w:ascii="Cambria" w:eastAsia="Cambria" w:hAnsi="Cambria" w:cs="Cambria"/>
                <w:sz w:val="20"/>
                <w:szCs w:val="20"/>
                <w:u w:val="single"/>
              </w:rPr>
            </w:pPr>
            <w:r w:rsidRPr="004E6129">
              <w:rPr>
                <w:rFonts w:ascii="Cambria" w:hAnsi="Cambria" w:hint="eastAsia"/>
                <w:color w:val="231F20"/>
                <w:sz w:val="20"/>
                <w:szCs w:val="20"/>
                <w:u w:val="single"/>
                <w:lang w:eastAsia="ja-JP"/>
              </w:rPr>
              <w:t>7</w:t>
            </w:r>
            <w:r w:rsidRPr="004E6129">
              <w:rPr>
                <w:rFonts w:ascii="Cambria" w:hAnsi="Cambria"/>
                <w:color w:val="231F20"/>
                <w:sz w:val="20"/>
                <w:szCs w:val="20"/>
                <w:u w:val="single"/>
              </w:rPr>
              <w:t xml:space="preserve"> t</w:t>
            </w:r>
          </w:p>
        </w:tc>
      </w:tr>
      <w:tr w:rsidR="00A10CC7" w:rsidRPr="004E6129" w14:paraId="77A821C1" w14:textId="77777777" w:rsidTr="00E76FD8">
        <w:tc>
          <w:tcPr>
            <w:tcW w:w="4278" w:type="dxa"/>
          </w:tcPr>
          <w:p w14:paraId="5BEF1DEB" w14:textId="177E3FC9" w:rsidR="00A10CC7" w:rsidRPr="004E6129" w:rsidRDefault="00A10CC7">
            <w:pPr>
              <w:rPr>
                <w:rFonts w:ascii="Cambria" w:eastAsia="Cambria" w:hAnsi="Cambria" w:cs="Cambria"/>
                <w:sz w:val="20"/>
                <w:szCs w:val="20"/>
              </w:rPr>
            </w:pPr>
            <w:r w:rsidRPr="004E6129">
              <w:rPr>
                <w:rFonts w:ascii="Cambria" w:hAnsi="Cambria"/>
                <w:color w:val="231F20"/>
                <w:sz w:val="20"/>
                <w:szCs w:val="20"/>
              </w:rPr>
              <w:t>Mexique</w:t>
            </w:r>
          </w:p>
        </w:tc>
        <w:tc>
          <w:tcPr>
            <w:tcW w:w="3767" w:type="dxa"/>
          </w:tcPr>
          <w:p w14:paraId="7F5B9676" w14:textId="26E247F4" w:rsidR="00A10CC7" w:rsidRPr="004E6129" w:rsidRDefault="00150619" w:rsidP="00150619">
            <w:pPr>
              <w:spacing w:before="49"/>
              <w:ind w:right="9"/>
              <w:rPr>
                <w:rFonts w:ascii="Cambria" w:eastAsia="Cambria" w:hAnsi="Cambria" w:cs="Cambria"/>
                <w:sz w:val="20"/>
                <w:szCs w:val="20"/>
                <w:u w:val="single"/>
              </w:rPr>
            </w:pPr>
            <w:r w:rsidRPr="004E6129">
              <w:rPr>
                <w:rFonts w:ascii="Cambria" w:hAnsi="Cambria" w:hint="eastAsia"/>
                <w:color w:val="231F20"/>
                <w:sz w:val="20"/>
                <w:szCs w:val="20"/>
                <w:u w:val="single"/>
                <w:lang w:eastAsia="ja-JP"/>
              </w:rPr>
              <w:t>169</w:t>
            </w:r>
            <w:r w:rsidRPr="004E6129">
              <w:rPr>
                <w:rFonts w:ascii="Cambria" w:hAnsi="Cambria"/>
                <w:color w:val="231F20"/>
                <w:sz w:val="20"/>
                <w:szCs w:val="20"/>
                <w:u w:val="single"/>
                <w:lang w:eastAsia="ja-JP"/>
              </w:rPr>
              <w:t>,</w:t>
            </w:r>
            <w:r w:rsidRPr="004E6129">
              <w:rPr>
                <w:rFonts w:ascii="Cambria" w:hAnsi="Cambria" w:hint="eastAsia"/>
                <w:color w:val="231F20"/>
                <w:sz w:val="20"/>
                <w:szCs w:val="20"/>
                <w:u w:val="single"/>
                <w:lang w:eastAsia="ja-JP"/>
              </w:rPr>
              <w:t>11</w:t>
            </w:r>
            <w:r w:rsidRPr="004E6129">
              <w:rPr>
                <w:rFonts w:ascii="Cambria" w:hAnsi="Cambria"/>
                <w:color w:val="231F20"/>
                <w:sz w:val="20"/>
                <w:szCs w:val="20"/>
                <w:u w:val="single"/>
              </w:rPr>
              <w:t xml:space="preserve"> t</w:t>
            </w:r>
          </w:p>
        </w:tc>
      </w:tr>
    </w:tbl>
    <w:p w14:paraId="2A0882BD" w14:textId="77777777" w:rsidR="00A10CC7" w:rsidRPr="004E6129" w:rsidRDefault="00A10CC7">
      <w:pPr>
        <w:ind w:left="1722"/>
        <w:rPr>
          <w:rFonts w:ascii="Cambria" w:eastAsia="Cambria" w:hAnsi="Cambria" w:cs="Cambria"/>
          <w:sz w:val="20"/>
          <w:szCs w:val="20"/>
        </w:rPr>
      </w:pPr>
    </w:p>
    <w:p w14:paraId="51A9911C" w14:textId="736ED8E0" w:rsidR="00F51AFC" w:rsidRPr="004E6129" w:rsidRDefault="00DA1364" w:rsidP="00AF3268">
      <w:pPr>
        <w:ind w:left="851"/>
        <w:jc w:val="both"/>
        <w:rPr>
          <w:rFonts w:ascii="Cambria" w:eastAsia="Cambria" w:hAnsi="Cambria" w:cs="Cambria"/>
          <w:color w:val="231F20"/>
          <w:sz w:val="20"/>
          <w:szCs w:val="20"/>
        </w:rPr>
      </w:pPr>
      <w:r w:rsidRPr="004E6129">
        <w:rPr>
          <w:rFonts w:ascii="Cambria" w:eastAsia="Cambria" w:hAnsi="Cambria" w:cs="Cambria"/>
          <w:color w:val="231F20"/>
          <w:sz w:val="20"/>
          <w:szCs w:val="20"/>
        </w:rPr>
        <w:t xml:space="preserve">En aucun cas, l’allocation de la France (au titre de Saint-Pierre-et-Miquelon) et du Royaume-Uni (au titre </w:t>
      </w:r>
      <w:r w:rsidRPr="004E6129">
        <w:rPr>
          <w:rFonts w:ascii="Cambria" w:hAnsi="Cambria"/>
          <w:color w:val="231F20"/>
          <w:sz w:val="20"/>
          <w:szCs w:val="20"/>
        </w:rPr>
        <w:t>des</w:t>
      </w:r>
      <w:r w:rsidRPr="004E6129">
        <w:rPr>
          <w:rFonts w:ascii="Cambria" w:eastAsia="Cambria" w:hAnsi="Cambria" w:cs="Cambria"/>
          <w:color w:val="231F20"/>
          <w:sz w:val="20"/>
          <w:szCs w:val="20"/>
        </w:rPr>
        <w:t xml:space="preserve"> Bermudes) ne devra être inférieure à 4 t au cours d'une année donnée à moins que la pêcherie ne soit fermée.</w:t>
      </w:r>
    </w:p>
    <w:p w14:paraId="7130C3B9" w14:textId="77777777" w:rsidR="00F51AFC" w:rsidRPr="004E6129" w:rsidRDefault="00F51AFC" w:rsidP="005B66C1">
      <w:pPr>
        <w:ind w:left="993" w:hanging="425"/>
        <w:jc w:val="both"/>
        <w:rPr>
          <w:rFonts w:ascii="Cambria" w:eastAsia="Cambria" w:hAnsi="Cambria" w:cs="Cambria"/>
          <w:sz w:val="20"/>
          <w:szCs w:val="20"/>
        </w:rPr>
      </w:pPr>
    </w:p>
    <w:p w14:paraId="76D18744" w14:textId="62D69439" w:rsidR="00F51AFC" w:rsidRPr="004E6129" w:rsidRDefault="00316E06" w:rsidP="00AF3268">
      <w:pPr>
        <w:pStyle w:val="ListParagraph"/>
        <w:numPr>
          <w:ilvl w:val="0"/>
          <w:numId w:val="8"/>
        </w:numPr>
        <w:ind w:left="851" w:hanging="425"/>
        <w:jc w:val="both"/>
        <w:rPr>
          <w:rFonts w:ascii="Cambria" w:eastAsia="Cambria" w:hAnsi="Cambria" w:cs="Cambria"/>
          <w:color w:val="231F20"/>
          <w:sz w:val="20"/>
          <w:szCs w:val="20"/>
        </w:rPr>
      </w:pPr>
      <w:r w:rsidRPr="004E6129">
        <w:rPr>
          <w:rFonts w:ascii="Cambria" w:eastAsia="Cambria" w:hAnsi="Cambria" w:cs="Cambria"/>
          <w:color w:val="231F20"/>
          <w:sz w:val="20"/>
          <w:szCs w:val="20"/>
          <w:u w:val="single"/>
        </w:rPr>
        <w:t>[</w:t>
      </w:r>
      <w:r w:rsidR="00DA1364" w:rsidRPr="004E6129">
        <w:rPr>
          <w:rFonts w:ascii="Cambria" w:eastAsia="Cambria" w:hAnsi="Cambria" w:cs="Cambria"/>
          <w:color w:val="231F20"/>
          <w:sz w:val="20"/>
          <w:szCs w:val="20"/>
          <w:u w:val="single"/>
        </w:rPr>
        <w:t>E</w:t>
      </w:r>
      <w:r w:rsidR="00DA1364" w:rsidRPr="004E6129">
        <w:rPr>
          <w:rFonts w:ascii="Cambria" w:eastAsia="Cambria" w:hAnsi="Cambria" w:cs="Cambria"/>
          <w:color w:val="231F20"/>
          <w:sz w:val="20"/>
          <w:szCs w:val="20"/>
        </w:rPr>
        <w:t xml:space="preserve">n fonction de la disponibilité, le Mexique peut transférer au Canada jusqu’à </w:t>
      </w:r>
      <w:r w:rsidR="00B2168F" w:rsidRPr="004E6129">
        <w:rPr>
          <w:rFonts w:ascii="Cambria" w:hAnsi="Cambria" w:hint="eastAsia"/>
          <w:color w:val="231F20"/>
          <w:sz w:val="20"/>
          <w:szCs w:val="20"/>
          <w:u w:val="single"/>
          <w:lang w:eastAsia="ja-JP"/>
        </w:rPr>
        <w:t>169</w:t>
      </w:r>
      <w:r w:rsidR="00B2168F" w:rsidRPr="004E6129">
        <w:rPr>
          <w:rFonts w:ascii="Cambria" w:hAnsi="Cambria"/>
          <w:color w:val="231F20"/>
          <w:sz w:val="20"/>
          <w:szCs w:val="20"/>
          <w:u w:val="single"/>
          <w:lang w:eastAsia="ja-JP"/>
        </w:rPr>
        <w:t>,</w:t>
      </w:r>
      <w:r w:rsidR="00B2168F" w:rsidRPr="004E6129">
        <w:rPr>
          <w:rFonts w:ascii="Cambria" w:hAnsi="Cambria" w:hint="eastAsia"/>
          <w:color w:val="231F20"/>
          <w:sz w:val="20"/>
          <w:szCs w:val="20"/>
          <w:u w:val="single"/>
          <w:lang w:eastAsia="ja-JP"/>
        </w:rPr>
        <w:t>11</w:t>
      </w:r>
      <w:r w:rsidR="009A7EA1" w:rsidRPr="004E6129">
        <w:rPr>
          <w:rFonts w:ascii="Cambria" w:eastAsia="Cambria" w:hAnsi="Cambria" w:cs="Cambria"/>
          <w:color w:val="231F20"/>
          <w:sz w:val="20"/>
          <w:szCs w:val="20"/>
          <w:u w:val="single"/>
        </w:rPr>
        <w:t xml:space="preserve"> </w:t>
      </w:r>
      <w:r w:rsidR="00DA1364" w:rsidRPr="004E6129">
        <w:rPr>
          <w:rFonts w:ascii="Cambria" w:eastAsia="Cambria" w:hAnsi="Cambria" w:cs="Cambria"/>
          <w:color w:val="231F20"/>
          <w:sz w:val="20"/>
          <w:szCs w:val="20"/>
          <w:u w:val="single"/>
        </w:rPr>
        <w:t>t</w:t>
      </w:r>
      <w:r w:rsidR="00DA1364" w:rsidRPr="004E6129">
        <w:rPr>
          <w:rFonts w:ascii="Cambria" w:eastAsia="Cambria" w:hAnsi="Cambria" w:cs="Cambria"/>
          <w:color w:val="231F20"/>
          <w:sz w:val="20"/>
          <w:szCs w:val="20"/>
        </w:rPr>
        <w:t xml:space="preserve"> de son quota ajusté au cours de </w:t>
      </w:r>
      <w:r w:rsidR="00BF7780" w:rsidRPr="004E6129">
        <w:rPr>
          <w:rFonts w:ascii="Cambria" w:eastAsia="Cambria" w:hAnsi="Cambria" w:cs="Cambria"/>
          <w:color w:val="231F20"/>
          <w:sz w:val="20"/>
          <w:szCs w:val="20"/>
        </w:rPr>
        <w:t xml:space="preserve">chaque </w:t>
      </w:r>
      <w:r w:rsidR="00DA1364" w:rsidRPr="004E6129">
        <w:rPr>
          <w:rFonts w:ascii="Cambria" w:eastAsia="Cambria" w:hAnsi="Cambria" w:cs="Cambria"/>
          <w:color w:val="231F20"/>
          <w:sz w:val="20"/>
          <w:szCs w:val="20"/>
        </w:rPr>
        <w:t xml:space="preserve">année </w:t>
      </w:r>
      <w:r w:rsidR="00605BA7" w:rsidRPr="004E6129">
        <w:rPr>
          <w:rFonts w:ascii="Cambria" w:eastAsia="Cambria" w:hAnsi="Cambria" w:cs="Cambria"/>
          <w:color w:val="231F20"/>
          <w:sz w:val="20"/>
          <w:szCs w:val="20"/>
        </w:rPr>
        <w:t xml:space="preserve">de la période </w:t>
      </w:r>
      <w:r w:rsidR="008B05B4" w:rsidRPr="004E6129">
        <w:rPr>
          <w:rFonts w:ascii="Cambria" w:hAnsi="Cambria"/>
          <w:color w:val="231F20"/>
          <w:sz w:val="20"/>
          <w:szCs w:val="20"/>
          <w:u w:val="single"/>
        </w:rPr>
        <w:t>2026-2028</w:t>
      </w:r>
      <w:r w:rsidR="00DA1364" w:rsidRPr="004E6129">
        <w:rPr>
          <w:rFonts w:ascii="Cambria" w:eastAsia="Cambria" w:hAnsi="Cambria" w:cs="Cambria"/>
          <w:color w:val="231F20"/>
          <w:sz w:val="20"/>
          <w:szCs w:val="20"/>
        </w:rPr>
        <w:t>, afin d’étayer les travaux de recherche en coopération, tel que le spécifie le paragraphe 1</w:t>
      </w:r>
      <w:r w:rsidR="00F07264" w:rsidRPr="004E6129">
        <w:rPr>
          <w:rFonts w:ascii="Cambria" w:eastAsia="Cambria" w:hAnsi="Cambria" w:cs="Cambria"/>
          <w:color w:val="231F20"/>
          <w:sz w:val="20"/>
          <w:szCs w:val="20"/>
        </w:rPr>
        <w:t>4</w:t>
      </w:r>
      <w:r w:rsidR="00DA1364" w:rsidRPr="004E6129">
        <w:rPr>
          <w:rFonts w:ascii="Cambria" w:eastAsia="Cambria" w:hAnsi="Cambria" w:cs="Cambria"/>
          <w:color w:val="231F20"/>
          <w:sz w:val="20"/>
          <w:szCs w:val="20"/>
          <w:u w:val="single"/>
        </w:rPr>
        <w:t>.</w:t>
      </w:r>
      <w:r w:rsidR="007042E4" w:rsidRPr="004E6129">
        <w:rPr>
          <w:rFonts w:ascii="Cambria" w:eastAsia="Cambria" w:hAnsi="Cambria" w:cs="Cambria"/>
          <w:color w:val="231F20"/>
          <w:sz w:val="20"/>
          <w:szCs w:val="20"/>
          <w:u w:val="single"/>
        </w:rPr>
        <w:t>]</w:t>
      </w:r>
    </w:p>
    <w:p w14:paraId="5F3F2DAB" w14:textId="77777777" w:rsidR="00F51AFC" w:rsidRPr="004E6129" w:rsidRDefault="00F51AFC" w:rsidP="005B66C1">
      <w:pPr>
        <w:ind w:left="851" w:right="135" w:hanging="425"/>
        <w:jc w:val="both"/>
        <w:rPr>
          <w:rFonts w:ascii="Cambria" w:eastAsia="Cambria" w:hAnsi="Cambria" w:cs="Cambria"/>
          <w:color w:val="231F20"/>
          <w:sz w:val="20"/>
          <w:szCs w:val="20"/>
        </w:rPr>
      </w:pPr>
    </w:p>
    <w:p w14:paraId="15C7DD9A" w14:textId="77524E7F" w:rsidR="00F51AFC" w:rsidRPr="004E6129" w:rsidRDefault="007042E4" w:rsidP="00AF3268">
      <w:pPr>
        <w:pStyle w:val="ListParagraph"/>
        <w:numPr>
          <w:ilvl w:val="0"/>
          <w:numId w:val="8"/>
        </w:numPr>
        <w:ind w:left="851" w:hanging="425"/>
        <w:jc w:val="both"/>
        <w:rPr>
          <w:rFonts w:ascii="Cambria" w:eastAsia="Cambria" w:hAnsi="Cambria" w:cs="Cambria"/>
          <w:color w:val="231F20"/>
          <w:sz w:val="20"/>
          <w:szCs w:val="20"/>
        </w:rPr>
      </w:pPr>
      <w:r w:rsidRPr="004E6129">
        <w:rPr>
          <w:rFonts w:ascii="Cambria" w:eastAsia="Cambria" w:hAnsi="Cambria" w:cs="Cambria"/>
          <w:color w:val="231F20"/>
          <w:sz w:val="20"/>
          <w:szCs w:val="20"/>
          <w:u w:val="single"/>
        </w:rPr>
        <w:t>[</w:t>
      </w:r>
      <w:r w:rsidR="00DA1364" w:rsidRPr="004E6129">
        <w:rPr>
          <w:rFonts w:ascii="Cambria" w:eastAsia="Cambria" w:hAnsi="Cambria" w:cs="Cambria"/>
          <w:color w:val="231F20"/>
          <w:sz w:val="20"/>
          <w:szCs w:val="20"/>
        </w:rPr>
        <w:t xml:space="preserve">En fonction de la disponibilité, le Royaume-Uni (au titre des Bermudes) peut transférer aux États-Unis jusqu’au montant de son quota ajusté au cours de chaque année </w:t>
      </w:r>
      <w:r w:rsidR="00605BA7" w:rsidRPr="004E6129">
        <w:rPr>
          <w:rFonts w:ascii="Cambria" w:eastAsia="Cambria" w:hAnsi="Cambria" w:cs="Cambria"/>
          <w:color w:val="231F20"/>
          <w:sz w:val="20"/>
          <w:szCs w:val="20"/>
        </w:rPr>
        <w:t xml:space="preserve">de la période </w:t>
      </w:r>
      <w:r w:rsidR="009A17D9" w:rsidRPr="004E6129">
        <w:rPr>
          <w:rFonts w:ascii="Cambria" w:hAnsi="Cambria"/>
          <w:color w:val="231F20"/>
          <w:sz w:val="20"/>
          <w:szCs w:val="20"/>
          <w:u w:val="single"/>
        </w:rPr>
        <w:t>2026-2028</w:t>
      </w:r>
      <w:r w:rsidR="00DA1364" w:rsidRPr="004E6129">
        <w:rPr>
          <w:rFonts w:ascii="Cambria" w:eastAsia="Cambria" w:hAnsi="Cambria" w:cs="Cambria"/>
          <w:color w:val="231F20"/>
          <w:sz w:val="20"/>
          <w:szCs w:val="20"/>
        </w:rPr>
        <w:t>, afin de venir étayer les travaux de recherche en coopération, tel que le spécifie le paragraphe 1</w:t>
      </w:r>
      <w:r w:rsidR="009C3423" w:rsidRPr="004E6129">
        <w:rPr>
          <w:rFonts w:ascii="Cambria" w:eastAsia="Cambria" w:hAnsi="Cambria" w:cs="Cambria"/>
          <w:color w:val="231F20"/>
          <w:sz w:val="20"/>
          <w:szCs w:val="20"/>
        </w:rPr>
        <w:t>4</w:t>
      </w:r>
      <w:r w:rsidR="00DA1364" w:rsidRPr="004E6129">
        <w:rPr>
          <w:rFonts w:ascii="Cambria" w:eastAsia="Cambria" w:hAnsi="Cambria" w:cs="Cambria"/>
          <w:color w:val="231F20"/>
          <w:sz w:val="20"/>
          <w:szCs w:val="20"/>
        </w:rPr>
        <w:t>.</w:t>
      </w:r>
      <w:r w:rsidRPr="004E6129">
        <w:rPr>
          <w:rFonts w:ascii="Cambria" w:eastAsia="Cambria" w:hAnsi="Cambria" w:cs="Cambria"/>
          <w:color w:val="231F20"/>
          <w:sz w:val="20"/>
          <w:szCs w:val="20"/>
          <w:u w:val="single"/>
        </w:rPr>
        <w:t>]</w:t>
      </w:r>
    </w:p>
    <w:p w14:paraId="2F8D26AD" w14:textId="77777777" w:rsidR="00F51AFC" w:rsidRPr="004E6129" w:rsidRDefault="00F51AFC" w:rsidP="00AF3268">
      <w:pPr>
        <w:pStyle w:val="ListParagraph"/>
        <w:ind w:left="851"/>
        <w:jc w:val="both"/>
        <w:rPr>
          <w:rFonts w:ascii="Cambria" w:eastAsia="Cambria" w:hAnsi="Cambria" w:cs="Cambria"/>
          <w:color w:val="231F20"/>
          <w:sz w:val="20"/>
          <w:szCs w:val="20"/>
        </w:rPr>
      </w:pPr>
    </w:p>
    <w:p w14:paraId="55118A7F" w14:textId="7018A9EC" w:rsidR="00F51AFC" w:rsidRPr="004E6129" w:rsidRDefault="007042E4" w:rsidP="00AF3268">
      <w:pPr>
        <w:pStyle w:val="ListParagraph"/>
        <w:numPr>
          <w:ilvl w:val="0"/>
          <w:numId w:val="8"/>
        </w:numPr>
        <w:ind w:left="851" w:hanging="425"/>
        <w:jc w:val="both"/>
        <w:rPr>
          <w:rFonts w:ascii="Cambria" w:eastAsia="Cambria" w:hAnsi="Cambria" w:cs="Cambria"/>
          <w:color w:val="231F20"/>
          <w:sz w:val="20"/>
          <w:szCs w:val="20"/>
        </w:rPr>
      </w:pPr>
      <w:r w:rsidRPr="004E6129">
        <w:rPr>
          <w:rFonts w:ascii="Cambria" w:eastAsia="Cambria" w:hAnsi="Cambria" w:cs="Cambria"/>
          <w:color w:val="231F20"/>
          <w:sz w:val="20"/>
          <w:szCs w:val="20"/>
          <w:u w:val="single"/>
        </w:rPr>
        <w:t>[</w:t>
      </w:r>
      <w:r w:rsidR="00DA1364" w:rsidRPr="004E6129">
        <w:rPr>
          <w:rFonts w:ascii="Cambria" w:eastAsia="Cambria" w:hAnsi="Cambria" w:cs="Cambria"/>
          <w:color w:val="231F20"/>
          <w:sz w:val="20"/>
          <w:szCs w:val="20"/>
        </w:rPr>
        <w:t xml:space="preserve">En fonction de la disponibilité, la France (au titre de Saint-Pierre-et-Miquelon) peut transférer au Canada jusqu’au montant de son quota ajusté au cours de chaque année </w:t>
      </w:r>
      <w:r w:rsidR="00605BA7" w:rsidRPr="004E6129">
        <w:rPr>
          <w:rFonts w:ascii="Cambria" w:eastAsia="Cambria" w:hAnsi="Cambria" w:cs="Cambria"/>
          <w:color w:val="231F20"/>
          <w:sz w:val="20"/>
          <w:szCs w:val="20"/>
        </w:rPr>
        <w:t xml:space="preserve">de la période </w:t>
      </w:r>
      <w:r w:rsidR="009A17D9" w:rsidRPr="004E6129">
        <w:rPr>
          <w:rFonts w:ascii="Cambria" w:hAnsi="Cambria"/>
          <w:color w:val="231F20"/>
          <w:sz w:val="20"/>
          <w:szCs w:val="20"/>
          <w:u w:val="single"/>
        </w:rPr>
        <w:t>2026-2028</w:t>
      </w:r>
      <w:r w:rsidR="00DA1364" w:rsidRPr="004E6129">
        <w:rPr>
          <w:rFonts w:ascii="Cambria" w:eastAsia="Cambria" w:hAnsi="Cambria" w:cs="Cambria"/>
          <w:color w:val="231F20"/>
          <w:sz w:val="20"/>
          <w:szCs w:val="20"/>
        </w:rPr>
        <w:t>, afin de venir étayer les travaux de recherche en coopération, tel que le spécifie le paragraphe 1</w:t>
      </w:r>
      <w:r w:rsidR="001904ED" w:rsidRPr="004E6129">
        <w:rPr>
          <w:rFonts w:ascii="Cambria" w:eastAsia="Cambria" w:hAnsi="Cambria" w:cs="Cambria"/>
          <w:color w:val="231F20"/>
          <w:sz w:val="20"/>
          <w:szCs w:val="20"/>
        </w:rPr>
        <w:t>4</w:t>
      </w:r>
      <w:r w:rsidRPr="004E6129">
        <w:rPr>
          <w:rFonts w:ascii="Cambria" w:eastAsia="Cambria" w:hAnsi="Cambria" w:cs="Cambria"/>
          <w:color w:val="231F20"/>
          <w:sz w:val="20"/>
          <w:szCs w:val="20"/>
          <w:u w:val="single"/>
        </w:rPr>
        <w:t>.]</w:t>
      </w:r>
    </w:p>
    <w:p w14:paraId="1CFB0733" w14:textId="77777777" w:rsidR="00F51AFC" w:rsidRPr="004E6129" w:rsidRDefault="00F51AFC" w:rsidP="00AF3268">
      <w:pPr>
        <w:pStyle w:val="ListParagraph"/>
        <w:ind w:left="851"/>
        <w:jc w:val="both"/>
        <w:rPr>
          <w:rFonts w:ascii="Cambria" w:eastAsia="Cambria" w:hAnsi="Cambria" w:cs="Cambria"/>
          <w:color w:val="231F20"/>
          <w:sz w:val="20"/>
          <w:szCs w:val="20"/>
        </w:rPr>
      </w:pPr>
    </w:p>
    <w:p w14:paraId="654FF9EE" w14:textId="56DF0B3C" w:rsidR="00F51AFC" w:rsidRPr="004E6129" w:rsidRDefault="00A609F5" w:rsidP="00AF3268">
      <w:pPr>
        <w:pStyle w:val="ListParagraph"/>
        <w:numPr>
          <w:ilvl w:val="0"/>
          <w:numId w:val="8"/>
        </w:numPr>
        <w:ind w:left="851" w:hanging="425"/>
        <w:jc w:val="both"/>
        <w:rPr>
          <w:rFonts w:ascii="Cambria" w:eastAsia="Cambria" w:hAnsi="Cambria" w:cs="Cambria"/>
          <w:color w:val="231F20"/>
          <w:sz w:val="20"/>
          <w:szCs w:val="20"/>
        </w:rPr>
      </w:pPr>
      <w:r w:rsidRPr="004E6129">
        <w:rPr>
          <w:rFonts w:ascii="Cambria" w:eastAsia="Cambria" w:hAnsi="Cambria" w:cs="Cambria"/>
          <w:color w:val="231F20"/>
          <w:sz w:val="20"/>
          <w:szCs w:val="20"/>
          <w:u w:val="single"/>
        </w:rPr>
        <w:t>[</w:t>
      </w:r>
      <w:r w:rsidR="00DA1364" w:rsidRPr="004E6129">
        <w:rPr>
          <w:rFonts w:ascii="Cambria" w:eastAsia="Cambria" w:hAnsi="Cambria" w:cs="Cambria"/>
          <w:color w:val="231F20"/>
          <w:sz w:val="20"/>
          <w:szCs w:val="20"/>
        </w:rPr>
        <w:t>Les CPC ayant l'intention de participer aux travaux de recherche en coopération spécifiés aux paragraphes 5</w:t>
      </w:r>
      <w:r w:rsidR="008C5B6B" w:rsidRPr="004E6129">
        <w:rPr>
          <w:rFonts w:ascii="Cambria" w:eastAsia="Cambria" w:hAnsi="Cambria" w:cs="Cambria"/>
          <w:color w:val="231F20"/>
          <w:sz w:val="20"/>
          <w:szCs w:val="20"/>
        </w:rPr>
        <w:t xml:space="preserve"> </w:t>
      </w:r>
      <w:r w:rsidR="00DA1364" w:rsidRPr="004E6129">
        <w:rPr>
          <w:rFonts w:ascii="Cambria" w:eastAsia="Cambria" w:hAnsi="Cambria" w:cs="Cambria"/>
          <w:color w:val="231F20"/>
          <w:sz w:val="20"/>
          <w:szCs w:val="20"/>
        </w:rPr>
        <w:t>d), 5</w:t>
      </w:r>
      <w:r w:rsidR="008C5B6B" w:rsidRPr="004E6129">
        <w:rPr>
          <w:rFonts w:ascii="Cambria" w:eastAsia="Cambria" w:hAnsi="Cambria" w:cs="Cambria"/>
          <w:color w:val="231F20"/>
          <w:sz w:val="20"/>
          <w:szCs w:val="20"/>
        </w:rPr>
        <w:t xml:space="preserve"> </w:t>
      </w:r>
      <w:r w:rsidR="00DA1364" w:rsidRPr="004E6129">
        <w:rPr>
          <w:rFonts w:ascii="Cambria" w:eastAsia="Cambria" w:hAnsi="Cambria" w:cs="Cambria"/>
          <w:color w:val="231F20"/>
          <w:sz w:val="20"/>
          <w:szCs w:val="20"/>
        </w:rPr>
        <w:t>e) et 5</w:t>
      </w:r>
      <w:r w:rsidR="008C5B6B" w:rsidRPr="004E6129">
        <w:rPr>
          <w:rFonts w:ascii="Cambria" w:eastAsia="Cambria" w:hAnsi="Cambria" w:cs="Cambria"/>
          <w:color w:val="231F20"/>
          <w:sz w:val="20"/>
          <w:szCs w:val="20"/>
        </w:rPr>
        <w:t xml:space="preserve"> </w:t>
      </w:r>
      <w:r w:rsidR="00DA1364" w:rsidRPr="004E6129">
        <w:rPr>
          <w:rFonts w:ascii="Cambria" w:eastAsia="Cambria" w:hAnsi="Cambria" w:cs="Cambria"/>
          <w:color w:val="231F20"/>
          <w:sz w:val="20"/>
          <w:szCs w:val="20"/>
        </w:rPr>
        <w:t>f) ci-dessus devront communiquer à la Commission et au SCRS les détails de leurs programmes de recherche à réaliser, avant qu'ils ne soient lancés, et devront présenter les résultats de la recherche au SCRS</w:t>
      </w:r>
      <w:r w:rsidRPr="004E6129">
        <w:rPr>
          <w:rFonts w:ascii="Cambria" w:eastAsia="Cambria" w:hAnsi="Cambria" w:cs="Cambria"/>
          <w:color w:val="231F20"/>
          <w:sz w:val="20"/>
          <w:szCs w:val="20"/>
          <w:u w:val="single"/>
        </w:rPr>
        <w:t>.]</w:t>
      </w:r>
    </w:p>
    <w:p w14:paraId="1642D753" w14:textId="03B407DF" w:rsidR="000E5B9F" w:rsidRPr="004E6129" w:rsidRDefault="000E5B9F">
      <w:pPr>
        <w:rPr>
          <w:rFonts w:ascii="Cambria" w:eastAsia="Cambria" w:hAnsi="Cambria" w:cs="Cambria"/>
          <w:color w:val="231F20"/>
          <w:sz w:val="20"/>
          <w:szCs w:val="20"/>
        </w:rPr>
      </w:pPr>
    </w:p>
    <w:p w14:paraId="0F0F1835" w14:textId="1F54E0DA" w:rsidR="00F51AFC" w:rsidRPr="004E6129" w:rsidRDefault="00DA1364" w:rsidP="00CA6385">
      <w:pPr>
        <w:numPr>
          <w:ilvl w:val="0"/>
          <w:numId w:val="5"/>
        </w:numPr>
        <w:ind w:left="426" w:hanging="426"/>
        <w:jc w:val="both"/>
        <w:rPr>
          <w:rFonts w:ascii="Cambria" w:eastAsia="Cambria" w:hAnsi="Cambria" w:cs="Cambria"/>
          <w:sz w:val="20"/>
          <w:szCs w:val="20"/>
        </w:rPr>
      </w:pPr>
      <w:r w:rsidRPr="004E6129">
        <w:rPr>
          <w:rFonts w:ascii="Cambria" w:eastAsia="Cambria" w:hAnsi="Cambria" w:cs="Cambria"/>
          <w:color w:val="231F20"/>
          <w:sz w:val="20"/>
          <w:szCs w:val="20"/>
        </w:rPr>
        <w:t>Le quota total d’une CPC devra inclure ses allocations prévues au paragraphe 5, ajustées pour les sous-consommations ou les surconsommations conformément au reste de ce paragraphe. Chaque année devra être considérée comme une période de gestion indépendante pour le reste de ce paragraphe.</w:t>
      </w:r>
    </w:p>
    <w:p w14:paraId="5CAFEA76" w14:textId="5D81744A" w:rsidR="00DA0817" w:rsidRPr="004E6129" w:rsidRDefault="00DA0817" w:rsidP="00DA0817">
      <w:pPr>
        <w:tabs>
          <w:tab w:val="left" w:pos="529"/>
        </w:tabs>
        <w:ind w:left="528"/>
        <w:jc w:val="both"/>
        <w:rPr>
          <w:rFonts w:ascii="Cambria" w:eastAsia="Cambria" w:hAnsi="Cambria" w:cs="Cambria"/>
          <w:color w:val="231F20"/>
          <w:sz w:val="8"/>
          <w:szCs w:val="8"/>
        </w:rPr>
      </w:pPr>
    </w:p>
    <w:p w14:paraId="5FC3786D" w14:textId="5ACEDDE0" w:rsidR="00F51AFC" w:rsidRPr="004E6129" w:rsidRDefault="00DA1364" w:rsidP="005B66C1">
      <w:pPr>
        <w:pStyle w:val="ListParagraph"/>
        <w:numPr>
          <w:ilvl w:val="0"/>
          <w:numId w:val="9"/>
        </w:numPr>
        <w:ind w:left="851" w:hanging="425"/>
        <w:jc w:val="both"/>
        <w:rPr>
          <w:rFonts w:ascii="Cambria" w:eastAsia="Cambria" w:hAnsi="Cambria" w:cs="Cambria"/>
          <w:color w:val="231F20"/>
          <w:sz w:val="20"/>
          <w:szCs w:val="20"/>
        </w:rPr>
      </w:pPr>
      <w:r w:rsidRPr="004E6129">
        <w:rPr>
          <w:rFonts w:ascii="Cambria" w:eastAsia="Cambria" w:hAnsi="Cambria" w:cs="Cambria"/>
          <w:color w:val="231F20"/>
          <w:sz w:val="20"/>
          <w:szCs w:val="20"/>
        </w:rPr>
        <w:t xml:space="preserve">Toute sous-consommation du quota total d'une CPC au cours d’une année donnée </w:t>
      </w:r>
      <w:r w:rsidR="008C5B6B" w:rsidRPr="004E6129">
        <w:rPr>
          <w:rFonts w:ascii="Cambria" w:eastAsia="Cambria" w:hAnsi="Cambria" w:cs="Cambria"/>
          <w:color w:val="231F20"/>
          <w:sz w:val="20"/>
          <w:szCs w:val="20"/>
        </w:rPr>
        <w:t>peut</w:t>
      </w:r>
      <w:r w:rsidRPr="004E6129">
        <w:rPr>
          <w:rFonts w:ascii="Cambria" w:eastAsia="Cambria" w:hAnsi="Cambria" w:cs="Cambria"/>
          <w:color w:val="231F20"/>
          <w:sz w:val="20"/>
          <w:szCs w:val="20"/>
        </w:rPr>
        <w:t xml:space="preserve"> être reportée à l’année suivante</w:t>
      </w:r>
      <w:r w:rsidR="00416E35" w:rsidRPr="004E6129">
        <w:rPr>
          <w:rFonts w:ascii="Cambria" w:eastAsia="Cambria" w:hAnsi="Cambria" w:cs="Cambria"/>
          <w:color w:val="231F20"/>
          <w:sz w:val="20"/>
          <w:szCs w:val="20"/>
        </w:rPr>
        <w:t xml:space="preserve">. </w:t>
      </w:r>
      <w:r w:rsidRPr="004E6129">
        <w:rPr>
          <w:rFonts w:ascii="Cambria" w:eastAsia="Cambria" w:hAnsi="Cambria" w:cs="Cambria"/>
          <w:color w:val="231F20"/>
          <w:sz w:val="20"/>
          <w:szCs w:val="20"/>
        </w:rPr>
        <w:t>Toutefois, la sous-consommation reportée ne pourra en aucun cas dépasser 10 % de l’allocation de quota initiale de la CPC visée au paragraphe 5, exception faite du Royaume-Uni (au titre des Bermudes), de la France (au titre de S</w:t>
      </w:r>
      <w:r w:rsidR="008C5B6B" w:rsidRPr="004E6129">
        <w:rPr>
          <w:rFonts w:ascii="Cambria" w:eastAsia="Cambria" w:hAnsi="Cambria" w:cs="Cambria"/>
          <w:color w:val="231F20"/>
          <w:sz w:val="20"/>
          <w:szCs w:val="20"/>
        </w:rPr>
        <w:t>aint-</w:t>
      </w:r>
      <w:r w:rsidRPr="004E6129">
        <w:rPr>
          <w:rFonts w:ascii="Cambria" w:eastAsia="Cambria" w:hAnsi="Cambria" w:cs="Cambria"/>
          <w:color w:val="231F20"/>
          <w:sz w:val="20"/>
          <w:szCs w:val="20"/>
        </w:rPr>
        <w:t>Pierre</w:t>
      </w:r>
      <w:r w:rsidR="008C5B6B" w:rsidRPr="004E6129">
        <w:rPr>
          <w:rFonts w:ascii="Cambria" w:eastAsia="Cambria" w:hAnsi="Cambria" w:cs="Cambria"/>
          <w:color w:val="231F20"/>
          <w:sz w:val="20"/>
          <w:szCs w:val="20"/>
        </w:rPr>
        <w:t>-</w:t>
      </w:r>
      <w:r w:rsidRPr="004E6129">
        <w:rPr>
          <w:rFonts w:ascii="Cambria" w:eastAsia="Cambria" w:hAnsi="Cambria" w:cs="Cambria"/>
          <w:color w:val="231F20"/>
          <w:sz w:val="20"/>
          <w:szCs w:val="20"/>
        </w:rPr>
        <w:t>et</w:t>
      </w:r>
      <w:r w:rsidR="008C5B6B" w:rsidRPr="004E6129">
        <w:rPr>
          <w:rFonts w:ascii="Cambria" w:eastAsia="Cambria" w:hAnsi="Cambria" w:cs="Cambria"/>
          <w:color w:val="231F20"/>
          <w:sz w:val="20"/>
          <w:szCs w:val="20"/>
        </w:rPr>
        <w:t>-</w:t>
      </w:r>
      <w:r w:rsidRPr="004E6129">
        <w:rPr>
          <w:rFonts w:ascii="Cambria" w:eastAsia="Cambria" w:hAnsi="Cambria" w:cs="Cambria"/>
          <w:color w:val="231F20"/>
          <w:sz w:val="20"/>
          <w:szCs w:val="20"/>
        </w:rPr>
        <w:t xml:space="preserve">Miquelon) et du Mexique (c’est-à-dire les Parties contractantes dotées d’allocations initiales de </w:t>
      </w:r>
      <w:r w:rsidR="00A609F5" w:rsidRPr="004E6129">
        <w:rPr>
          <w:rFonts w:ascii="Cambria" w:eastAsia="Cambria" w:hAnsi="Cambria" w:cs="Cambria"/>
          <w:color w:val="231F20"/>
          <w:sz w:val="20"/>
          <w:szCs w:val="20"/>
          <w:u w:val="single"/>
        </w:rPr>
        <w:t>169,11</w:t>
      </w:r>
      <w:r w:rsidR="00DA1928" w:rsidRPr="004E6129">
        <w:rPr>
          <w:rFonts w:ascii="Cambria" w:eastAsia="Cambria" w:hAnsi="Cambria" w:cs="Cambria"/>
          <w:color w:val="231F20"/>
          <w:sz w:val="20"/>
          <w:szCs w:val="20"/>
        </w:rPr>
        <w:t xml:space="preserve"> t</w:t>
      </w:r>
      <w:r w:rsidRPr="004E6129">
        <w:rPr>
          <w:rFonts w:ascii="Cambria" w:eastAsia="Cambria" w:hAnsi="Cambria" w:cs="Cambria"/>
          <w:color w:val="231F20"/>
          <w:sz w:val="20"/>
          <w:szCs w:val="20"/>
        </w:rPr>
        <w:t xml:space="preserve"> ou moins), pour lesquelles la sous-consommation reportée ne pourra en aucun cas dépasser 100</w:t>
      </w:r>
      <w:r w:rsidR="008C5B6B" w:rsidRPr="004E6129">
        <w:rPr>
          <w:rFonts w:ascii="Cambria" w:eastAsia="Cambria" w:hAnsi="Cambria" w:cs="Cambria"/>
          <w:color w:val="231F20"/>
          <w:sz w:val="20"/>
          <w:szCs w:val="20"/>
        </w:rPr>
        <w:t> </w:t>
      </w:r>
      <w:r w:rsidRPr="004E6129">
        <w:rPr>
          <w:rFonts w:ascii="Cambria" w:eastAsia="Cambria" w:hAnsi="Cambria" w:cs="Cambria"/>
          <w:color w:val="231F20"/>
          <w:sz w:val="20"/>
          <w:szCs w:val="20"/>
        </w:rPr>
        <w:t>% de l’allocation initiale prévue au paragraphe 5 (c'est-à-dire que le quota total de cette CPC ne devra pas dépasser le double de son quota annuel au cours de toute année donnée).</w:t>
      </w:r>
    </w:p>
    <w:p w14:paraId="68EFD24D" w14:textId="77777777" w:rsidR="00F51AFC" w:rsidRPr="004E6129" w:rsidRDefault="00F51AFC" w:rsidP="005B66C1">
      <w:pPr>
        <w:tabs>
          <w:tab w:val="left" w:pos="798"/>
        </w:tabs>
        <w:ind w:left="851" w:right="130" w:hanging="425"/>
        <w:jc w:val="both"/>
        <w:rPr>
          <w:rFonts w:ascii="Cambria" w:eastAsia="Cambria" w:hAnsi="Cambria" w:cs="Cambria"/>
          <w:color w:val="231F20"/>
          <w:sz w:val="20"/>
          <w:szCs w:val="20"/>
        </w:rPr>
      </w:pPr>
    </w:p>
    <w:p w14:paraId="5363B29B" w14:textId="0F5A35B5" w:rsidR="00F51AFC" w:rsidRPr="004E6129" w:rsidRDefault="00DA1364" w:rsidP="005B66C1">
      <w:pPr>
        <w:pStyle w:val="ListParagraph"/>
        <w:numPr>
          <w:ilvl w:val="0"/>
          <w:numId w:val="9"/>
        </w:numPr>
        <w:ind w:left="851" w:hanging="425"/>
        <w:jc w:val="both"/>
        <w:rPr>
          <w:rFonts w:ascii="Cambria" w:eastAsia="Cambria" w:hAnsi="Cambria" w:cs="Cambria"/>
          <w:color w:val="231F20"/>
          <w:sz w:val="20"/>
          <w:szCs w:val="20"/>
        </w:rPr>
      </w:pPr>
      <w:r w:rsidRPr="004E6129">
        <w:rPr>
          <w:rFonts w:ascii="Cambria" w:eastAsia="Cambria" w:hAnsi="Cambria" w:cs="Cambria"/>
          <w:color w:val="231F20"/>
          <w:sz w:val="20"/>
          <w:szCs w:val="20"/>
        </w:rPr>
        <w:t>Si, au cours de la période de gestion applicable et au cours de chaque période de gestion ultérieure, une CPC dégage une surconsommation de son quota total, son quota initial pour la période de gestion suivante sera déduit d’un montant équivalant à 100 % de sa surconsommation dudit quota total et l’ICCAT pourra autoriser d’autres mesures appropriées.</w:t>
      </w:r>
    </w:p>
    <w:p w14:paraId="32C7CDF5" w14:textId="77777777" w:rsidR="00F51AFC" w:rsidRPr="004E6129" w:rsidRDefault="00F51AFC" w:rsidP="005B66C1">
      <w:pPr>
        <w:tabs>
          <w:tab w:val="left" w:pos="798"/>
        </w:tabs>
        <w:ind w:left="851" w:right="130" w:hanging="425"/>
        <w:jc w:val="both"/>
        <w:rPr>
          <w:rFonts w:ascii="Cambria" w:eastAsia="Cambria" w:hAnsi="Cambria" w:cs="Cambria"/>
          <w:color w:val="231F20"/>
          <w:sz w:val="20"/>
          <w:szCs w:val="20"/>
        </w:rPr>
      </w:pPr>
    </w:p>
    <w:p w14:paraId="36350E31" w14:textId="7CEB0DC8" w:rsidR="00F51AFC" w:rsidRPr="004E6129" w:rsidRDefault="00DA1364" w:rsidP="005B66C1">
      <w:pPr>
        <w:pStyle w:val="ListParagraph"/>
        <w:numPr>
          <w:ilvl w:val="0"/>
          <w:numId w:val="9"/>
        </w:numPr>
        <w:ind w:left="851" w:hanging="425"/>
        <w:jc w:val="both"/>
        <w:rPr>
          <w:rFonts w:ascii="Cambria" w:eastAsia="Cambria" w:hAnsi="Cambria" w:cs="Cambria"/>
          <w:color w:val="231F20"/>
          <w:sz w:val="20"/>
          <w:szCs w:val="20"/>
        </w:rPr>
      </w:pPr>
      <w:r w:rsidRPr="004E6129">
        <w:rPr>
          <w:rFonts w:ascii="Cambria" w:eastAsia="Cambria" w:hAnsi="Cambria" w:cs="Cambria"/>
          <w:color w:val="231F20"/>
          <w:sz w:val="20"/>
          <w:szCs w:val="20"/>
        </w:rPr>
        <w:t xml:space="preserve">Nonobstant les dispositions du paragraphe 6(b), si une CPC dégage une surconsommation de son quota total au cours de deux périodes de gestion consécutives, la Commission recommandera des mesures appropriées, qui pourraient inclure, sans s’y limiter, une réduction du quota total de la CPC équivalant au minimum à 125 % du volume surconsommé, et, si </w:t>
      </w:r>
      <w:r w:rsidRPr="004E6129">
        <w:rPr>
          <w:rFonts w:ascii="Cambria" w:eastAsia="Cambria" w:hAnsi="Cambria" w:cs="Cambria"/>
          <w:color w:val="231F20"/>
          <w:sz w:val="20"/>
          <w:szCs w:val="20"/>
        </w:rPr>
        <w:lastRenderedPageBreak/>
        <w:t>nécessaire, des mesures de restriction commerciale.</w:t>
      </w:r>
      <w:r w:rsidRPr="004E6129">
        <w:t xml:space="preserve"> </w:t>
      </w:r>
      <w:r w:rsidRPr="004E6129">
        <w:rPr>
          <w:rFonts w:ascii="Cambria" w:eastAsia="Cambria" w:hAnsi="Cambria" w:cs="Cambria"/>
          <w:color w:val="231F20"/>
          <w:sz w:val="20"/>
          <w:szCs w:val="20"/>
        </w:rPr>
        <w:t>Les mesures commerciales visées dans le présent paragraphe seront des restrictions d’importation de l’espèce en question qui seront conformes aux obligations internationales de chaque CPC.</w:t>
      </w:r>
      <w:r w:rsidRPr="004E6129">
        <w:t xml:space="preserve"> </w:t>
      </w:r>
      <w:r w:rsidRPr="004E6129">
        <w:rPr>
          <w:rFonts w:ascii="Cambria" w:eastAsia="Cambria" w:hAnsi="Cambria" w:cs="Cambria"/>
          <w:color w:val="231F20"/>
          <w:sz w:val="20"/>
          <w:szCs w:val="20"/>
        </w:rPr>
        <w:t>La durée et les modalités des mesures commerciales seront déterminées par la Commission.</w:t>
      </w:r>
    </w:p>
    <w:p w14:paraId="2C6E2DA4" w14:textId="77777777" w:rsidR="00F51AFC" w:rsidRPr="004E6129" w:rsidRDefault="00F51AFC">
      <w:pPr>
        <w:pStyle w:val="Heading1"/>
        <w:ind w:left="0"/>
        <w:jc w:val="both"/>
        <w:rPr>
          <w:rFonts w:ascii="Cambria" w:eastAsia="Cambria" w:hAnsi="Cambria" w:cs="Cambria"/>
          <w:color w:val="231F20"/>
          <w:sz w:val="20"/>
          <w:szCs w:val="20"/>
        </w:rPr>
      </w:pPr>
    </w:p>
    <w:p w14:paraId="19D9BD21" w14:textId="526C03B1" w:rsidR="00F51AFC" w:rsidRPr="004E6129" w:rsidRDefault="00DA1364">
      <w:pPr>
        <w:pStyle w:val="Heading1"/>
        <w:ind w:left="0"/>
        <w:jc w:val="both"/>
        <w:rPr>
          <w:rFonts w:ascii="Cambria" w:eastAsia="Cambria" w:hAnsi="Cambria" w:cs="Cambria"/>
          <w:b w:val="0"/>
          <w:i w:val="0"/>
          <w:iCs/>
          <w:sz w:val="20"/>
          <w:szCs w:val="20"/>
        </w:rPr>
      </w:pPr>
      <w:r w:rsidRPr="004E6129">
        <w:rPr>
          <w:rFonts w:ascii="Cambria" w:eastAsia="Cambria" w:hAnsi="Cambria" w:cs="Cambria"/>
          <w:i w:val="0"/>
          <w:iCs/>
          <w:color w:val="231F20"/>
          <w:sz w:val="20"/>
          <w:szCs w:val="20"/>
        </w:rPr>
        <w:t>Exigences de taille minimale des poissons et protection des petits poissons</w:t>
      </w:r>
    </w:p>
    <w:p w14:paraId="51395894" w14:textId="77777777" w:rsidR="00F51AFC" w:rsidRPr="004E6129" w:rsidRDefault="00F51AFC">
      <w:pPr>
        <w:rPr>
          <w:rFonts w:ascii="Cambria" w:eastAsia="Cambria" w:hAnsi="Cambria" w:cs="Cambria"/>
          <w:b/>
          <w:i/>
          <w:sz w:val="20"/>
          <w:szCs w:val="20"/>
        </w:rPr>
      </w:pPr>
    </w:p>
    <w:p w14:paraId="20080B72" w14:textId="4147589D" w:rsidR="00F51AFC" w:rsidRPr="004E6129" w:rsidRDefault="00DA1364" w:rsidP="00CA6385">
      <w:pPr>
        <w:numPr>
          <w:ilvl w:val="0"/>
          <w:numId w:val="5"/>
        </w:numPr>
        <w:ind w:left="426" w:hanging="426"/>
        <w:jc w:val="both"/>
        <w:rPr>
          <w:rFonts w:ascii="Cambria" w:eastAsia="Cambria" w:hAnsi="Cambria" w:cs="Cambria"/>
          <w:sz w:val="20"/>
          <w:szCs w:val="20"/>
        </w:rPr>
      </w:pPr>
      <w:r w:rsidRPr="004E6129">
        <w:rPr>
          <w:rFonts w:ascii="Cambria" w:eastAsia="Cambria" w:hAnsi="Cambria" w:cs="Cambria"/>
          <w:color w:val="231F20"/>
          <w:sz w:val="20"/>
          <w:szCs w:val="20"/>
        </w:rPr>
        <w:t xml:space="preserve">Les CPC devront interdire la capture et </w:t>
      </w:r>
      <w:r w:rsidRPr="004E6129">
        <w:rPr>
          <w:rFonts w:ascii="Cambria" w:hAnsi="Cambria"/>
          <w:sz w:val="20"/>
          <w:szCs w:val="20"/>
        </w:rPr>
        <w:t>le</w:t>
      </w:r>
      <w:r w:rsidRPr="004E6129">
        <w:rPr>
          <w:rFonts w:ascii="Cambria" w:eastAsia="Cambria" w:hAnsi="Cambria" w:cs="Cambria"/>
          <w:color w:val="231F20"/>
          <w:sz w:val="20"/>
          <w:szCs w:val="20"/>
        </w:rPr>
        <w:t xml:space="preserve"> débarquement de thon rouge de l'Atlantique Ouest pesant moins de 30 kg ou, à titre subsidiaire, ayant une longueur à la fourche de moins de 115 cm</w:t>
      </w:r>
      <w:r w:rsidR="00416E35" w:rsidRPr="004E6129">
        <w:rPr>
          <w:rFonts w:ascii="Cambria" w:eastAsia="Cambria" w:hAnsi="Cambria" w:cs="Cambria"/>
          <w:color w:val="231F20"/>
          <w:sz w:val="20"/>
          <w:szCs w:val="20"/>
        </w:rPr>
        <w:t>.</w:t>
      </w:r>
    </w:p>
    <w:p w14:paraId="6FABDA8B" w14:textId="77777777" w:rsidR="00F51AFC" w:rsidRPr="004E6129" w:rsidRDefault="00F51AFC" w:rsidP="00CA6385">
      <w:pPr>
        <w:ind w:left="426" w:hanging="426"/>
        <w:rPr>
          <w:rFonts w:ascii="Cambria" w:eastAsia="Cambria" w:hAnsi="Cambria" w:cs="Cambria"/>
          <w:sz w:val="20"/>
          <w:szCs w:val="20"/>
        </w:rPr>
      </w:pPr>
    </w:p>
    <w:p w14:paraId="2EEC074D" w14:textId="3CF5E156" w:rsidR="00F51AFC" w:rsidRPr="004E6129" w:rsidRDefault="00DA1364" w:rsidP="00CA6385">
      <w:pPr>
        <w:numPr>
          <w:ilvl w:val="0"/>
          <w:numId w:val="5"/>
        </w:numPr>
        <w:ind w:left="426" w:hanging="426"/>
        <w:jc w:val="both"/>
        <w:rPr>
          <w:rFonts w:ascii="Cambria" w:eastAsia="Cambria" w:hAnsi="Cambria" w:cs="Cambria"/>
          <w:sz w:val="20"/>
          <w:szCs w:val="20"/>
        </w:rPr>
      </w:pPr>
      <w:r w:rsidRPr="004E6129">
        <w:rPr>
          <w:rFonts w:ascii="Cambria" w:eastAsia="Cambria" w:hAnsi="Cambria" w:cs="Cambria"/>
          <w:color w:val="231F20"/>
          <w:sz w:val="20"/>
          <w:szCs w:val="20"/>
        </w:rPr>
        <w:t xml:space="preserve">Indépendamment des mesures susmentionnées, les CPC pourront </w:t>
      </w:r>
      <w:r w:rsidRPr="004E6129">
        <w:rPr>
          <w:rFonts w:ascii="Cambria" w:hAnsi="Cambria"/>
          <w:sz w:val="20"/>
          <w:szCs w:val="20"/>
        </w:rPr>
        <w:t>concéder</w:t>
      </w:r>
      <w:r w:rsidRPr="004E6129">
        <w:rPr>
          <w:rFonts w:ascii="Cambria" w:eastAsia="Cambria" w:hAnsi="Cambria" w:cs="Cambria"/>
          <w:color w:val="231F20"/>
          <w:sz w:val="20"/>
          <w:szCs w:val="20"/>
        </w:rPr>
        <w:t xml:space="preserve"> des tolérances pour capturer du thon rouge de l'Atlantique Ouest pesant moins de 30 kg ou, à titre subsidiaire, mesurant moins de 115 cm de longueur </w:t>
      </w:r>
      <w:r w:rsidR="00A57C19" w:rsidRPr="004E6129">
        <w:rPr>
          <w:rFonts w:ascii="Cambria" w:eastAsia="Cambria" w:hAnsi="Cambria" w:cs="Cambria"/>
          <w:color w:val="231F20"/>
          <w:sz w:val="20"/>
          <w:szCs w:val="20"/>
        </w:rPr>
        <w:t xml:space="preserve">à la </w:t>
      </w:r>
      <w:r w:rsidRPr="004E6129">
        <w:rPr>
          <w:rFonts w:ascii="Cambria" w:eastAsia="Cambria" w:hAnsi="Cambria" w:cs="Cambria"/>
          <w:color w:val="231F20"/>
          <w:sz w:val="20"/>
          <w:szCs w:val="20"/>
        </w:rPr>
        <w:t>fourche, à condition qu'elles limitent la capture de ces poissons à 10 %</w:t>
      </w:r>
      <w:r w:rsidR="00225377" w:rsidRPr="004E6129">
        <w:rPr>
          <w:rFonts w:ascii="Cambria" w:eastAsia="Cambria" w:hAnsi="Cambria" w:cs="Cambria"/>
          <w:color w:val="231F20"/>
          <w:sz w:val="20"/>
          <w:szCs w:val="20"/>
        </w:rPr>
        <w:t xml:space="preserve"> </w:t>
      </w:r>
      <w:r w:rsidRPr="004E6129">
        <w:rPr>
          <w:rFonts w:ascii="Cambria" w:eastAsia="Cambria" w:hAnsi="Cambria" w:cs="Cambria"/>
          <w:color w:val="231F20"/>
          <w:sz w:val="20"/>
          <w:szCs w:val="20"/>
        </w:rPr>
        <w:t>maximum en poids du quota total de thon rouge pour chaque CPC, et instaurent des mesures pour empêcher que les pêcheurs ne tirent un avantage économique de ce poisson. Toute surconsommation de cette limite de tolérance d'une année doit être déduite l'année suivante, ou l'année ultérieure à celle-ci, de la limite de tolérance applicable. Les CPC octroyant cette tolérance interdiront la capture et le débarquement d</w:t>
      </w:r>
      <w:r w:rsidR="00AF3268" w:rsidRPr="004E6129">
        <w:rPr>
          <w:rFonts w:ascii="Cambria" w:eastAsia="Cambria" w:hAnsi="Cambria" w:cs="Cambria"/>
          <w:color w:val="231F20"/>
          <w:sz w:val="20"/>
          <w:szCs w:val="20"/>
        </w:rPr>
        <w:t>u</w:t>
      </w:r>
      <w:r w:rsidRPr="004E6129">
        <w:rPr>
          <w:rFonts w:ascii="Cambria" w:eastAsia="Cambria" w:hAnsi="Cambria" w:cs="Cambria"/>
          <w:color w:val="231F20"/>
          <w:sz w:val="20"/>
          <w:szCs w:val="20"/>
        </w:rPr>
        <w:t xml:space="preserve"> thon rouge de l'Atlantique Ouest ayant une longueur à la fourche de moins de 67 cm, à moins qu’il ne fasse l’objet d’un programme de recherche notifié au SCRS, mis au point en tenant compte des priorités de recherche recommandées par le SCRS et mené à bien par des personnes dûment autorisées par les CPC à réaliser cette recherche.</w:t>
      </w:r>
    </w:p>
    <w:p w14:paraId="2FE0D1BE" w14:textId="77777777" w:rsidR="00F51AFC" w:rsidRPr="004E6129" w:rsidRDefault="00F51AFC" w:rsidP="00CA6385">
      <w:pPr>
        <w:ind w:left="426" w:hanging="426"/>
        <w:rPr>
          <w:rFonts w:ascii="Cambria" w:eastAsia="Cambria" w:hAnsi="Cambria" w:cs="Cambria"/>
          <w:color w:val="231F20"/>
          <w:sz w:val="20"/>
          <w:szCs w:val="20"/>
        </w:rPr>
      </w:pPr>
    </w:p>
    <w:p w14:paraId="5EDB2569" w14:textId="1FD00614" w:rsidR="00F51AFC" w:rsidRPr="004E6129" w:rsidRDefault="00DA1364" w:rsidP="00CA6385">
      <w:pPr>
        <w:numPr>
          <w:ilvl w:val="0"/>
          <w:numId w:val="5"/>
        </w:numPr>
        <w:ind w:left="426" w:hanging="426"/>
        <w:jc w:val="both"/>
        <w:rPr>
          <w:rFonts w:ascii="Cambria" w:eastAsia="Cambria" w:hAnsi="Cambria" w:cs="Cambria"/>
          <w:sz w:val="20"/>
          <w:szCs w:val="20"/>
        </w:rPr>
      </w:pPr>
      <w:r w:rsidRPr="004E6129">
        <w:rPr>
          <w:rFonts w:ascii="Cambria" w:eastAsia="Cambria" w:hAnsi="Cambria" w:cs="Cambria"/>
          <w:color w:val="231F20"/>
          <w:sz w:val="20"/>
          <w:szCs w:val="20"/>
        </w:rPr>
        <w:t>Les CPC devront interdire aux pêcheurs de vendre ou d’offrir à la vente les poissons capturés dans le cadre de pêcheries récréatives, de quelconque taille.</w:t>
      </w:r>
    </w:p>
    <w:p w14:paraId="1837209D" w14:textId="77777777" w:rsidR="00F51AFC" w:rsidRPr="004E6129" w:rsidRDefault="00F51AFC" w:rsidP="00CA6385">
      <w:pPr>
        <w:ind w:left="426" w:hanging="426"/>
        <w:rPr>
          <w:rFonts w:ascii="Cambria" w:eastAsia="Cambria" w:hAnsi="Cambria" w:cs="Cambria"/>
          <w:sz w:val="20"/>
          <w:szCs w:val="20"/>
        </w:rPr>
      </w:pPr>
    </w:p>
    <w:p w14:paraId="15EAD6FE" w14:textId="00F026A5" w:rsidR="00F51AFC" w:rsidRPr="004E6129" w:rsidRDefault="00DA1364" w:rsidP="00CA6385">
      <w:pPr>
        <w:numPr>
          <w:ilvl w:val="0"/>
          <w:numId w:val="5"/>
        </w:numPr>
        <w:ind w:left="426" w:hanging="426"/>
        <w:jc w:val="both"/>
        <w:rPr>
          <w:rFonts w:ascii="Cambria" w:eastAsia="Cambria" w:hAnsi="Cambria" w:cs="Cambria"/>
          <w:sz w:val="20"/>
          <w:szCs w:val="20"/>
        </w:rPr>
      </w:pPr>
      <w:r w:rsidRPr="004E6129">
        <w:rPr>
          <w:rFonts w:ascii="Cambria" w:eastAsia="Cambria" w:hAnsi="Cambria" w:cs="Cambria"/>
          <w:color w:val="231F20"/>
          <w:sz w:val="20"/>
          <w:szCs w:val="20"/>
        </w:rPr>
        <w:t>Les CPC encourageront leurs pêcheurs pratiquant la pêche commerciale et récréative à marquer et à remettre à l’eau tous les poissons pesant moins de 30 kg ou, à titre subsidiaire, mesurant moins de 115 cm de longueur à la fourche et devront consigner dans leur rapport annuel les mesures prises à cet égard.</w:t>
      </w:r>
    </w:p>
    <w:p w14:paraId="6D468B56" w14:textId="77777777" w:rsidR="00F51AFC" w:rsidRPr="004E6129" w:rsidRDefault="00F51AFC">
      <w:pPr>
        <w:rPr>
          <w:rFonts w:ascii="Cambria" w:eastAsia="Cambria" w:hAnsi="Cambria" w:cs="Cambria"/>
          <w:sz w:val="20"/>
          <w:szCs w:val="20"/>
        </w:rPr>
      </w:pPr>
    </w:p>
    <w:p w14:paraId="61701EC7" w14:textId="5E69A4C4" w:rsidR="00F51AFC" w:rsidRPr="004E6129" w:rsidRDefault="00DA1364">
      <w:pPr>
        <w:rPr>
          <w:rFonts w:ascii="Cambria" w:eastAsia="Cambria" w:hAnsi="Cambria" w:cs="Cambria"/>
          <w:b/>
          <w:iCs/>
          <w:color w:val="231F20"/>
          <w:sz w:val="20"/>
          <w:szCs w:val="20"/>
        </w:rPr>
      </w:pPr>
      <w:r w:rsidRPr="004E6129">
        <w:rPr>
          <w:rFonts w:ascii="Cambria" w:eastAsia="Cambria" w:hAnsi="Cambria" w:cs="Cambria"/>
          <w:b/>
          <w:iCs/>
          <w:color w:val="231F20"/>
          <w:sz w:val="20"/>
          <w:szCs w:val="20"/>
        </w:rPr>
        <w:t>Restrictions spatio-temporelles</w:t>
      </w:r>
    </w:p>
    <w:p w14:paraId="15E2CAB9" w14:textId="77777777" w:rsidR="00DA1364" w:rsidRPr="004E6129" w:rsidRDefault="00DA1364">
      <w:pPr>
        <w:rPr>
          <w:rFonts w:ascii="Cambria" w:eastAsia="Cambria" w:hAnsi="Cambria" w:cs="Cambria"/>
          <w:b/>
          <w:i/>
          <w:sz w:val="20"/>
          <w:szCs w:val="20"/>
        </w:rPr>
      </w:pPr>
    </w:p>
    <w:p w14:paraId="38F6DFA9" w14:textId="4DC8B3DC" w:rsidR="00CA6385" w:rsidRPr="004E6129" w:rsidRDefault="00DA1364" w:rsidP="00CA6385">
      <w:pPr>
        <w:numPr>
          <w:ilvl w:val="0"/>
          <w:numId w:val="5"/>
        </w:numPr>
        <w:ind w:left="426" w:hanging="426"/>
        <w:jc w:val="both"/>
        <w:rPr>
          <w:rFonts w:ascii="Cambria" w:eastAsia="Cambria" w:hAnsi="Cambria" w:cs="Cambria"/>
          <w:b/>
          <w:i/>
          <w:color w:val="231F20"/>
          <w:sz w:val="20"/>
          <w:szCs w:val="20"/>
        </w:rPr>
      </w:pPr>
      <w:r w:rsidRPr="004E6129">
        <w:rPr>
          <w:rFonts w:ascii="Cambria" w:eastAsia="Cambria" w:hAnsi="Cambria" w:cs="Cambria"/>
          <w:color w:val="231F20"/>
          <w:sz w:val="20"/>
          <w:szCs w:val="20"/>
        </w:rPr>
        <w:t>Il n'y aura pas de pêcherie dirigée sur le stock reproducteur de thon rouge dans les zones de reproduction de l'Atlantique Ouest (golfe du Mexique). Sur la base de l’avis soumis par le SCRS en vertu du paragraphe 1</w:t>
      </w:r>
      <w:r w:rsidR="00BD112E" w:rsidRPr="004E6129">
        <w:rPr>
          <w:rFonts w:ascii="Cambria" w:eastAsia="Cambria" w:hAnsi="Cambria" w:cs="Cambria"/>
          <w:color w:val="231F20"/>
          <w:sz w:val="20"/>
          <w:szCs w:val="20"/>
        </w:rPr>
        <w:t>8</w:t>
      </w:r>
      <w:r w:rsidRPr="004E6129">
        <w:rPr>
          <w:rFonts w:ascii="Cambria" w:eastAsia="Cambria" w:hAnsi="Cambria" w:cs="Cambria"/>
          <w:color w:val="231F20"/>
          <w:sz w:val="20"/>
          <w:szCs w:val="20"/>
        </w:rPr>
        <w:t>, la Commission devra envisager de réviser la présente mesure</w:t>
      </w:r>
      <w:r w:rsidR="00D72EF2" w:rsidRPr="004E6129">
        <w:t xml:space="preserve"> </w:t>
      </w:r>
      <w:r w:rsidR="00D72EF2" w:rsidRPr="004E6129">
        <w:rPr>
          <w:rFonts w:ascii="Cambria" w:eastAsia="Cambria" w:hAnsi="Cambria" w:cs="Cambria"/>
          <w:color w:val="231F20"/>
          <w:sz w:val="20"/>
          <w:szCs w:val="20"/>
          <w:u w:val="single"/>
        </w:rPr>
        <w:t xml:space="preserve">en attendant l'évaluation de la zone de reproduction de </w:t>
      </w:r>
      <w:r w:rsidR="00197D0F" w:rsidRPr="004E6129">
        <w:rPr>
          <w:rFonts w:ascii="Cambria" w:eastAsia="Cambria" w:hAnsi="Cambria" w:cs="Cambria"/>
          <w:color w:val="231F20"/>
          <w:sz w:val="20"/>
          <w:szCs w:val="20"/>
          <w:u w:val="single"/>
        </w:rPr>
        <w:t xml:space="preserve">la </w:t>
      </w:r>
      <w:r w:rsidR="00D72EF2" w:rsidRPr="004E6129">
        <w:rPr>
          <w:rFonts w:ascii="Cambria" w:eastAsia="Cambria" w:hAnsi="Cambria" w:cs="Cambria"/>
          <w:color w:val="231F20"/>
          <w:sz w:val="20"/>
          <w:szCs w:val="20"/>
          <w:u w:val="single"/>
        </w:rPr>
        <w:t>Slope Sea en rapport avec la productivité globale du stock occidental</w:t>
      </w:r>
      <w:r w:rsidR="00B4388C" w:rsidRPr="004E6129">
        <w:rPr>
          <w:rFonts w:ascii="Cambria" w:hAnsi="Cambria" w:hint="eastAsia"/>
          <w:color w:val="231F20"/>
          <w:sz w:val="20"/>
          <w:szCs w:val="20"/>
          <w:lang w:eastAsia="ja-JP"/>
        </w:rPr>
        <w:t xml:space="preserve"> </w:t>
      </w:r>
      <w:r w:rsidRPr="004E6129">
        <w:rPr>
          <w:rFonts w:ascii="Cambria" w:eastAsia="Cambria" w:hAnsi="Cambria" w:cs="Cambria"/>
          <w:color w:val="231F20"/>
          <w:sz w:val="20"/>
          <w:szCs w:val="20"/>
        </w:rPr>
        <w:t xml:space="preserve">et d’adopter des mesures </w:t>
      </w:r>
      <w:r w:rsidR="007D78EC" w:rsidRPr="004E6129">
        <w:rPr>
          <w:rFonts w:ascii="Cambria" w:eastAsia="Cambria" w:hAnsi="Cambria" w:cs="Cambria"/>
          <w:color w:val="231F20"/>
          <w:sz w:val="20"/>
          <w:szCs w:val="20"/>
        </w:rPr>
        <w:t>de gestion</w:t>
      </w:r>
      <w:r w:rsidR="007D78EC" w:rsidRPr="004E6129">
        <w:rPr>
          <w:rFonts w:ascii="Cambria" w:eastAsia="Cambria" w:hAnsi="Cambria" w:cs="Cambria"/>
          <w:color w:val="231F20"/>
          <w:sz w:val="20"/>
          <w:szCs w:val="20"/>
          <w:u w:val="single"/>
        </w:rPr>
        <w:t xml:space="preserve"> </w:t>
      </w:r>
      <w:r w:rsidR="00DE472C" w:rsidRPr="004E6129">
        <w:rPr>
          <w:rFonts w:ascii="Cambria" w:eastAsia="Cambria" w:hAnsi="Cambria" w:cs="Cambria"/>
          <w:color w:val="231F20"/>
          <w:sz w:val="20"/>
          <w:szCs w:val="20"/>
          <w:u w:val="single"/>
        </w:rPr>
        <w:t>supplémentaires</w:t>
      </w:r>
      <w:r w:rsidR="00905434" w:rsidRPr="004E6129">
        <w:rPr>
          <w:rFonts w:ascii="Cambria" w:eastAsia="Cambria" w:hAnsi="Cambria" w:cs="Cambria"/>
          <w:color w:val="231F20"/>
          <w:sz w:val="20"/>
          <w:szCs w:val="20"/>
        </w:rPr>
        <w:t xml:space="preserve"> </w:t>
      </w:r>
      <w:r w:rsidR="00905434" w:rsidRPr="004E6129">
        <w:rPr>
          <w:rFonts w:ascii="Cambria" w:eastAsia="Cambria" w:hAnsi="Cambria" w:cs="Cambria"/>
          <w:color w:val="231F20"/>
          <w:sz w:val="20"/>
          <w:szCs w:val="20"/>
          <w:u w:val="single"/>
        </w:rPr>
        <w:t xml:space="preserve">dans le golfe du </w:t>
      </w:r>
      <w:r w:rsidR="00BB78CC" w:rsidRPr="004E6129">
        <w:rPr>
          <w:rFonts w:ascii="Cambria" w:eastAsia="Cambria" w:hAnsi="Cambria" w:cs="Cambria"/>
          <w:color w:val="231F20"/>
          <w:sz w:val="20"/>
          <w:szCs w:val="20"/>
          <w:u w:val="single"/>
        </w:rPr>
        <w:t>Mexique tout</w:t>
      </w:r>
      <w:r w:rsidR="00BB78CC" w:rsidRPr="004E6129">
        <w:rPr>
          <w:rFonts w:ascii="Cambria" w:eastAsia="Cambria" w:hAnsi="Cambria" w:cs="Cambria"/>
          <w:color w:val="231F20"/>
          <w:sz w:val="20"/>
          <w:szCs w:val="20"/>
        </w:rPr>
        <w:t xml:space="preserve"> </w:t>
      </w:r>
      <w:r w:rsidRPr="004E6129">
        <w:rPr>
          <w:rFonts w:ascii="Cambria" w:eastAsia="Cambria" w:hAnsi="Cambria" w:cs="Cambria"/>
          <w:color w:val="231F20"/>
          <w:sz w:val="20"/>
          <w:szCs w:val="20"/>
        </w:rPr>
        <w:t>en tenant compte des efforts déployés par le Mexique et d’autres CPC pour conserver le thon rouge de l’Atlantique Ouest, y compris en réduisant les prises accessoires.</w:t>
      </w:r>
    </w:p>
    <w:p w14:paraId="3C56492D" w14:textId="77777777" w:rsidR="00BB78CC" w:rsidRPr="004E6129" w:rsidRDefault="00BB78CC" w:rsidP="00BB78CC">
      <w:pPr>
        <w:ind w:left="426"/>
        <w:jc w:val="both"/>
        <w:rPr>
          <w:rFonts w:ascii="Cambria" w:eastAsia="Cambria" w:hAnsi="Cambria" w:cs="Cambria"/>
          <w:b/>
          <w:i/>
          <w:color w:val="231F20"/>
          <w:sz w:val="20"/>
          <w:szCs w:val="20"/>
        </w:rPr>
      </w:pPr>
    </w:p>
    <w:p w14:paraId="21837682" w14:textId="08C2EC7B" w:rsidR="00F51AFC" w:rsidRPr="004E6129" w:rsidRDefault="00DA1364">
      <w:pPr>
        <w:jc w:val="both"/>
        <w:rPr>
          <w:rFonts w:ascii="Cambria" w:eastAsia="Cambria" w:hAnsi="Cambria" w:cs="Cambria"/>
          <w:b/>
          <w:iCs/>
          <w:color w:val="231F20"/>
          <w:sz w:val="20"/>
          <w:szCs w:val="20"/>
        </w:rPr>
      </w:pPr>
      <w:r w:rsidRPr="004E6129">
        <w:rPr>
          <w:rFonts w:ascii="Cambria" w:eastAsia="Cambria" w:hAnsi="Cambria" w:cs="Cambria"/>
          <w:b/>
          <w:iCs/>
          <w:color w:val="231F20"/>
          <w:sz w:val="20"/>
          <w:szCs w:val="20"/>
        </w:rPr>
        <w:t>Transbordement</w:t>
      </w:r>
    </w:p>
    <w:p w14:paraId="1CC9A632" w14:textId="77777777" w:rsidR="00DA1364" w:rsidRPr="004E6129" w:rsidRDefault="00DA1364">
      <w:pPr>
        <w:jc w:val="both"/>
        <w:rPr>
          <w:rFonts w:ascii="Cambria" w:eastAsia="Cambria" w:hAnsi="Cambria" w:cs="Cambria"/>
          <w:b/>
          <w:i/>
          <w:sz w:val="20"/>
          <w:szCs w:val="20"/>
        </w:rPr>
      </w:pPr>
    </w:p>
    <w:p w14:paraId="4B660E33" w14:textId="72271EED" w:rsidR="00F51AFC" w:rsidRPr="004E6129" w:rsidRDefault="00DA1364" w:rsidP="00CA6385">
      <w:pPr>
        <w:numPr>
          <w:ilvl w:val="0"/>
          <w:numId w:val="5"/>
        </w:numPr>
        <w:ind w:left="426" w:hanging="426"/>
        <w:jc w:val="both"/>
        <w:rPr>
          <w:rFonts w:ascii="Cambria" w:eastAsia="Cambria" w:hAnsi="Cambria" w:cs="Cambria"/>
          <w:color w:val="231F20"/>
          <w:sz w:val="20"/>
          <w:szCs w:val="20"/>
        </w:rPr>
      </w:pPr>
      <w:r w:rsidRPr="004E6129">
        <w:rPr>
          <w:rFonts w:ascii="Cambria" w:eastAsia="Cambria" w:hAnsi="Cambria" w:cs="Cambria"/>
          <w:color w:val="231F20"/>
          <w:sz w:val="20"/>
          <w:szCs w:val="20"/>
        </w:rPr>
        <w:t>Le transbordement en mer devra être interdit</w:t>
      </w:r>
      <w:r w:rsidR="00416E35" w:rsidRPr="004E6129">
        <w:rPr>
          <w:rFonts w:ascii="Cambria" w:eastAsia="Cambria" w:hAnsi="Cambria" w:cs="Cambria"/>
          <w:color w:val="231F20"/>
          <w:sz w:val="20"/>
          <w:szCs w:val="20"/>
        </w:rPr>
        <w:t>.</w:t>
      </w:r>
    </w:p>
    <w:p w14:paraId="253BA47A" w14:textId="77777777" w:rsidR="00F51AFC" w:rsidRPr="004E6129" w:rsidRDefault="00F51AFC">
      <w:pPr>
        <w:pStyle w:val="Heading1"/>
        <w:ind w:left="0"/>
        <w:rPr>
          <w:rFonts w:ascii="Cambria" w:eastAsia="Cambria" w:hAnsi="Cambria" w:cs="Cambria"/>
          <w:color w:val="231F20"/>
          <w:sz w:val="20"/>
          <w:szCs w:val="20"/>
        </w:rPr>
      </w:pPr>
      <w:bookmarkStart w:id="2" w:name="_30j0zll" w:colFirst="0" w:colLast="0"/>
      <w:bookmarkEnd w:id="2"/>
    </w:p>
    <w:p w14:paraId="336A5F2C" w14:textId="5571AE50" w:rsidR="00F51AFC" w:rsidRPr="004E6129" w:rsidRDefault="00DA1364">
      <w:pPr>
        <w:rPr>
          <w:rFonts w:ascii="Cambria" w:eastAsia="Cambria" w:hAnsi="Cambria" w:cs="Cambria"/>
          <w:b/>
          <w:iCs/>
          <w:color w:val="231F20"/>
          <w:sz w:val="20"/>
          <w:szCs w:val="20"/>
        </w:rPr>
      </w:pPr>
      <w:bookmarkStart w:id="3" w:name="_1fob9te" w:colFirst="0" w:colLast="0"/>
      <w:bookmarkEnd w:id="3"/>
      <w:r w:rsidRPr="004E6129">
        <w:rPr>
          <w:rFonts w:ascii="Cambria" w:eastAsia="Cambria" w:hAnsi="Cambria" w:cs="Cambria"/>
          <w:b/>
          <w:iCs/>
          <w:color w:val="231F20"/>
          <w:sz w:val="20"/>
          <w:szCs w:val="20"/>
        </w:rPr>
        <w:t>Recherche scientifique et exigences en matière de données et de déclaration</w:t>
      </w:r>
    </w:p>
    <w:p w14:paraId="053921BC" w14:textId="77777777" w:rsidR="00DA1364" w:rsidRPr="004E6129" w:rsidRDefault="00DA1364">
      <w:pPr>
        <w:rPr>
          <w:rFonts w:ascii="Cambria" w:eastAsia="Cambria" w:hAnsi="Cambria" w:cs="Cambria"/>
          <w:b/>
          <w:i/>
          <w:sz w:val="20"/>
          <w:szCs w:val="20"/>
        </w:rPr>
      </w:pPr>
    </w:p>
    <w:p w14:paraId="1A3F88EA" w14:textId="1959B336" w:rsidR="00F51AFC" w:rsidRPr="004E6129" w:rsidRDefault="00A7753C" w:rsidP="00CA6385">
      <w:pPr>
        <w:numPr>
          <w:ilvl w:val="0"/>
          <w:numId w:val="5"/>
        </w:numPr>
        <w:ind w:left="426" w:hanging="426"/>
        <w:jc w:val="both"/>
        <w:rPr>
          <w:rFonts w:ascii="Cambria" w:eastAsia="Cambria" w:hAnsi="Cambria" w:cs="Cambria"/>
          <w:sz w:val="20"/>
          <w:szCs w:val="20"/>
        </w:rPr>
      </w:pPr>
      <w:r w:rsidRPr="004E6129">
        <w:rPr>
          <w:rFonts w:ascii="Cambria" w:eastAsia="Cambria" w:hAnsi="Cambria" w:cs="Cambria"/>
          <w:color w:val="231F20"/>
          <w:sz w:val="20"/>
          <w:szCs w:val="20"/>
        </w:rPr>
        <w:t>Le Canada, les États-Unis, le Japon, le Mexique et, le cas échéant, d’autres CPC capturant du thon rouge de l’Atlantique Ouest devront continuer à collaborer en vue de l’amélioration des indices d’abondance existants et du développement de nouveaux indices combinés.</w:t>
      </w:r>
      <w:r w:rsidR="00416E35" w:rsidRPr="004E6129">
        <w:rPr>
          <w:rFonts w:ascii="Cambria" w:eastAsia="Cambria" w:hAnsi="Cambria" w:cs="Cambria"/>
          <w:color w:val="231F20"/>
          <w:sz w:val="20"/>
          <w:szCs w:val="20"/>
        </w:rPr>
        <w:t xml:space="preserve"> </w:t>
      </w:r>
    </w:p>
    <w:p w14:paraId="127446A3" w14:textId="77777777" w:rsidR="00F51AFC" w:rsidRPr="004E6129" w:rsidRDefault="00F51AFC" w:rsidP="00CA6385">
      <w:pPr>
        <w:ind w:left="426" w:hanging="426"/>
        <w:rPr>
          <w:rFonts w:ascii="Cambria" w:eastAsia="Cambria" w:hAnsi="Cambria" w:cs="Cambria"/>
          <w:sz w:val="20"/>
          <w:szCs w:val="20"/>
        </w:rPr>
      </w:pPr>
    </w:p>
    <w:p w14:paraId="6E7050C9" w14:textId="460A3211" w:rsidR="00F51AFC" w:rsidRPr="004E6129" w:rsidRDefault="00A7753C" w:rsidP="00CA6385">
      <w:pPr>
        <w:numPr>
          <w:ilvl w:val="0"/>
          <w:numId w:val="5"/>
        </w:numPr>
        <w:ind w:left="426" w:hanging="426"/>
        <w:jc w:val="both"/>
        <w:rPr>
          <w:rFonts w:ascii="Cambria" w:eastAsia="Cambria" w:hAnsi="Cambria" w:cs="Cambria"/>
          <w:strike/>
          <w:sz w:val="20"/>
          <w:szCs w:val="20"/>
        </w:rPr>
      </w:pPr>
      <w:r w:rsidRPr="004E6129">
        <w:rPr>
          <w:rFonts w:ascii="Cambria" w:eastAsia="Cambria" w:hAnsi="Cambria" w:cs="Cambria"/>
          <w:color w:val="231F20"/>
          <w:sz w:val="20"/>
          <w:szCs w:val="20"/>
        </w:rPr>
        <w:t xml:space="preserve">Les CPC qui capturent du thon rouge de l’Atlantique </w:t>
      </w:r>
      <w:r w:rsidR="00DF308D" w:rsidRPr="004E6129">
        <w:rPr>
          <w:rFonts w:ascii="Cambria" w:eastAsia="Cambria" w:hAnsi="Cambria" w:cs="Cambria"/>
          <w:color w:val="231F20"/>
          <w:sz w:val="20"/>
          <w:szCs w:val="20"/>
        </w:rPr>
        <w:t xml:space="preserve">dans l’Atlantique </w:t>
      </w:r>
      <w:r w:rsidR="00AF3268" w:rsidRPr="004E6129">
        <w:rPr>
          <w:rFonts w:ascii="Cambria" w:eastAsia="Cambria" w:hAnsi="Cambria" w:cs="Cambria"/>
          <w:color w:val="231F20"/>
          <w:sz w:val="20"/>
          <w:szCs w:val="20"/>
        </w:rPr>
        <w:t xml:space="preserve">Ouest </w:t>
      </w:r>
      <w:r w:rsidRPr="004E6129">
        <w:rPr>
          <w:rFonts w:ascii="Cambria" w:eastAsia="Cambria" w:hAnsi="Cambria" w:cs="Cambria"/>
          <w:color w:val="231F20"/>
          <w:sz w:val="20"/>
          <w:szCs w:val="20"/>
        </w:rPr>
        <w:t>devraient faire tout leur possible pour contribuer aux travaux de recherche prioritaires et à d'autres activités scientifiques, y compris ceux menés dans le cadre du GBYP de l’ICCAT, ou en collaboration avec celui-ci.</w:t>
      </w:r>
      <w:r w:rsidR="00BA57B5" w:rsidRPr="004E6129">
        <w:rPr>
          <w:rFonts w:ascii="Cambria" w:eastAsia="Cambria" w:hAnsi="Cambria" w:cs="Cambria"/>
          <w:color w:val="231F20"/>
          <w:sz w:val="20"/>
          <w:szCs w:val="20"/>
        </w:rPr>
        <w:t xml:space="preserve"> </w:t>
      </w:r>
      <w:r w:rsidR="00B67BEE" w:rsidRPr="004E6129">
        <w:rPr>
          <w:rFonts w:ascii="Cambria" w:eastAsia="Cambria" w:hAnsi="Cambria" w:cs="Cambria"/>
          <w:color w:val="231F20"/>
          <w:sz w:val="20"/>
          <w:szCs w:val="20"/>
        </w:rPr>
        <w:t xml:space="preserve">Afin de faciliter </w:t>
      </w:r>
      <w:r w:rsidR="007A3801" w:rsidRPr="004E6129">
        <w:rPr>
          <w:rFonts w:ascii="Cambria" w:eastAsia="Cambria" w:hAnsi="Cambria" w:cs="Cambria"/>
          <w:color w:val="231F20"/>
          <w:sz w:val="20"/>
          <w:szCs w:val="20"/>
          <w:u w:val="single"/>
        </w:rPr>
        <w:t xml:space="preserve">les </w:t>
      </w:r>
      <w:r w:rsidR="007A3801" w:rsidRPr="004E6129">
        <w:rPr>
          <w:rFonts w:ascii="Cambria" w:hAnsi="Cambria" w:cs="Cambria"/>
          <w:color w:val="231F20"/>
          <w:sz w:val="20"/>
          <w:szCs w:val="20"/>
          <w:u w:val="single"/>
          <w:lang w:eastAsia="ja-JP"/>
        </w:rPr>
        <w:t>évaluations de circonstances exceptionnelles</w:t>
      </w:r>
      <w:r w:rsidR="007A3801" w:rsidRPr="004E6129">
        <w:rPr>
          <w:rFonts w:ascii="Cambria" w:eastAsia="Cambria" w:hAnsi="Cambria" w:cs="Cambria"/>
          <w:color w:val="231F20"/>
          <w:sz w:val="20"/>
          <w:szCs w:val="20"/>
        </w:rPr>
        <w:t xml:space="preserve"> </w:t>
      </w:r>
      <w:r w:rsidR="00EC51F8" w:rsidRPr="004E6129">
        <w:rPr>
          <w:rFonts w:ascii="Cambria" w:eastAsia="Cambria" w:hAnsi="Cambria" w:cs="Cambria"/>
          <w:color w:val="231F20"/>
          <w:sz w:val="20"/>
          <w:szCs w:val="20"/>
        </w:rPr>
        <w:t>et</w:t>
      </w:r>
      <w:r w:rsidR="007A3801" w:rsidRPr="004E6129">
        <w:rPr>
          <w:rFonts w:ascii="Cambria" w:eastAsia="Cambria" w:hAnsi="Cambria" w:cs="Cambria"/>
          <w:color w:val="231F20"/>
          <w:sz w:val="20"/>
          <w:szCs w:val="20"/>
        </w:rPr>
        <w:t xml:space="preserve"> </w:t>
      </w:r>
      <w:r w:rsidR="00B67BEE" w:rsidRPr="004E6129">
        <w:rPr>
          <w:rFonts w:ascii="Cambria" w:eastAsia="Cambria" w:hAnsi="Cambria" w:cs="Cambria"/>
          <w:color w:val="231F20"/>
          <w:sz w:val="20"/>
          <w:szCs w:val="20"/>
        </w:rPr>
        <w:t xml:space="preserve">le reconditionnement des </w:t>
      </w:r>
      <w:r w:rsidR="002865A6" w:rsidRPr="004E6129">
        <w:rPr>
          <w:rFonts w:ascii="Cambria" w:eastAsia="Cambria" w:hAnsi="Cambria" w:cs="Cambria"/>
          <w:color w:val="231F20"/>
          <w:sz w:val="20"/>
          <w:szCs w:val="20"/>
        </w:rPr>
        <w:t>OM</w:t>
      </w:r>
      <w:r w:rsidR="00B67BEE" w:rsidRPr="004E6129">
        <w:rPr>
          <w:rFonts w:ascii="Cambria" w:eastAsia="Cambria" w:hAnsi="Cambria" w:cs="Cambria"/>
          <w:color w:val="231F20"/>
          <w:sz w:val="20"/>
          <w:szCs w:val="20"/>
        </w:rPr>
        <w:t xml:space="preserve"> de la MSE et </w:t>
      </w:r>
      <w:r w:rsidR="00D5222F" w:rsidRPr="004E6129">
        <w:rPr>
          <w:rFonts w:ascii="Cambria" w:eastAsia="Cambria" w:hAnsi="Cambria" w:cs="Cambria"/>
          <w:color w:val="231F20"/>
          <w:sz w:val="20"/>
          <w:szCs w:val="20"/>
        </w:rPr>
        <w:t xml:space="preserve">afin </w:t>
      </w:r>
      <w:r w:rsidR="00B67BEE" w:rsidRPr="004E6129">
        <w:rPr>
          <w:rFonts w:ascii="Cambria" w:eastAsia="Cambria" w:hAnsi="Cambria" w:cs="Cambria"/>
          <w:color w:val="231F20"/>
          <w:sz w:val="20"/>
          <w:szCs w:val="20"/>
        </w:rPr>
        <w:t>de soutenir la révision de la MP d’ici 2028,</w:t>
      </w:r>
      <w:r w:rsidR="008B4373" w:rsidRPr="004E6129">
        <w:rPr>
          <w:rFonts w:ascii="Cambria" w:eastAsia="Cambria" w:hAnsi="Cambria" w:cs="Cambria"/>
          <w:color w:val="231F20"/>
          <w:sz w:val="20"/>
          <w:szCs w:val="20"/>
        </w:rPr>
        <w:t xml:space="preserve"> les CP</w:t>
      </w:r>
      <w:r w:rsidR="00AC1551" w:rsidRPr="004E6129">
        <w:rPr>
          <w:rFonts w:ascii="Cambria" w:eastAsia="Cambria" w:hAnsi="Cambria" w:cs="Cambria"/>
          <w:color w:val="231F20"/>
          <w:sz w:val="20"/>
          <w:szCs w:val="20"/>
        </w:rPr>
        <w:t>C</w:t>
      </w:r>
      <w:r w:rsidR="008B4373" w:rsidRPr="004E6129">
        <w:rPr>
          <w:rFonts w:ascii="Cambria" w:eastAsia="Cambria" w:hAnsi="Cambria" w:cs="Cambria"/>
          <w:color w:val="231F20"/>
          <w:sz w:val="20"/>
          <w:szCs w:val="20"/>
        </w:rPr>
        <w:t xml:space="preserve"> devraient soutenir le SCRS dans la réalisation des </w:t>
      </w:r>
      <w:r w:rsidR="00D5222F" w:rsidRPr="004E6129">
        <w:rPr>
          <w:rFonts w:ascii="Cambria" w:eastAsia="Cambria" w:hAnsi="Cambria" w:cs="Cambria"/>
          <w:color w:val="231F20"/>
          <w:sz w:val="20"/>
          <w:szCs w:val="20"/>
          <w:u w:val="single"/>
        </w:rPr>
        <w:t>cinq</w:t>
      </w:r>
      <w:r w:rsidR="008B4373" w:rsidRPr="004E6129">
        <w:rPr>
          <w:rFonts w:ascii="Cambria" w:eastAsia="Cambria" w:hAnsi="Cambria" w:cs="Cambria"/>
          <w:color w:val="231F20"/>
          <w:sz w:val="20"/>
          <w:szCs w:val="20"/>
        </w:rPr>
        <w:t xml:space="preserve"> initiatives stratégiques identifiées dans le rapport du SCRS</w:t>
      </w:r>
      <w:r w:rsidR="00A045AB" w:rsidRPr="004E6129">
        <w:rPr>
          <w:rFonts w:ascii="Cambria" w:eastAsia="Cambria" w:hAnsi="Cambria" w:cs="Cambria"/>
          <w:color w:val="231F20"/>
          <w:sz w:val="20"/>
          <w:szCs w:val="20"/>
        </w:rPr>
        <w:t> :</w:t>
      </w:r>
    </w:p>
    <w:p w14:paraId="2603909D" w14:textId="77777777" w:rsidR="00312E1C" w:rsidRPr="004E6129" w:rsidRDefault="00312E1C" w:rsidP="00312E1C">
      <w:pPr>
        <w:tabs>
          <w:tab w:val="left" w:pos="528"/>
        </w:tabs>
        <w:ind w:left="528"/>
        <w:jc w:val="both"/>
        <w:rPr>
          <w:rFonts w:ascii="Cambria" w:eastAsia="Cambria" w:hAnsi="Cambria" w:cs="Cambria"/>
          <w:sz w:val="20"/>
          <w:szCs w:val="20"/>
        </w:rPr>
      </w:pPr>
    </w:p>
    <w:p w14:paraId="577713E2" w14:textId="17BBC285" w:rsidR="00312E1C" w:rsidRPr="004E6129" w:rsidRDefault="00A045AB" w:rsidP="00E72664">
      <w:pPr>
        <w:pStyle w:val="ListParagraph"/>
        <w:numPr>
          <w:ilvl w:val="0"/>
          <w:numId w:val="7"/>
        </w:numPr>
        <w:ind w:left="851" w:hanging="425"/>
        <w:rPr>
          <w:rFonts w:ascii="Cambria" w:eastAsia="Cambria" w:hAnsi="Cambria" w:cs="Cambria"/>
          <w:sz w:val="20"/>
          <w:szCs w:val="20"/>
        </w:rPr>
      </w:pPr>
      <w:r w:rsidRPr="004E6129">
        <w:rPr>
          <w:rFonts w:ascii="Cambria" w:eastAsia="Cambria" w:hAnsi="Cambria" w:cs="Cambria"/>
          <w:sz w:val="20"/>
          <w:szCs w:val="20"/>
        </w:rPr>
        <w:t xml:space="preserve">coordination </w:t>
      </w:r>
      <w:r w:rsidR="00312E1C" w:rsidRPr="004E6129">
        <w:rPr>
          <w:rFonts w:ascii="Cambria" w:eastAsia="Cambria" w:hAnsi="Cambria" w:cs="Cambria"/>
          <w:sz w:val="20"/>
          <w:szCs w:val="20"/>
        </w:rPr>
        <w:t>du marquage du thon rouge</w:t>
      </w:r>
      <w:r w:rsidRPr="004E6129">
        <w:rPr>
          <w:rFonts w:ascii="Cambria" w:eastAsia="Cambria" w:hAnsi="Cambria" w:cs="Cambria"/>
          <w:sz w:val="20"/>
          <w:szCs w:val="20"/>
        </w:rPr>
        <w:t>,</w:t>
      </w:r>
    </w:p>
    <w:p w14:paraId="0E429CD9" w14:textId="25F4FAE6" w:rsidR="00312E1C" w:rsidRPr="004E6129" w:rsidRDefault="00A045AB" w:rsidP="00CA6385">
      <w:pPr>
        <w:pStyle w:val="ListParagraph"/>
        <w:numPr>
          <w:ilvl w:val="0"/>
          <w:numId w:val="7"/>
        </w:numPr>
        <w:ind w:left="851" w:hanging="425"/>
        <w:jc w:val="both"/>
        <w:rPr>
          <w:rFonts w:ascii="Cambria" w:eastAsia="Cambria" w:hAnsi="Cambria" w:cs="Cambria"/>
          <w:sz w:val="20"/>
          <w:szCs w:val="20"/>
        </w:rPr>
      </w:pPr>
      <w:r w:rsidRPr="004E6129">
        <w:rPr>
          <w:rFonts w:ascii="Cambria" w:eastAsia="Cambria" w:hAnsi="Cambria" w:cs="Cambria"/>
          <w:sz w:val="20"/>
          <w:szCs w:val="20"/>
        </w:rPr>
        <w:t xml:space="preserve">coordination </w:t>
      </w:r>
      <w:r w:rsidR="00312E1C" w:rsidRPr="004E6129">
        <w:rPr>
          <w:rFonts w:ascii="Cambria" w:eastAsia="Cambria" w:hAnsi="Cambria" w:cs="Cambria"/>
          <w:sz w:val="20"/>
          <w:szCs w:val="20"/>
        </w:rPr>
        <w:t>des prospections larvaires</w:t>
      </w:r>
      <w:r w:rsidRPr="004E6129">
        <w:rPr>
          <w:rFonts w:ascii="Cambria" w:eastAsia="Cambria" w:hAnsi="Cambria" w:cs="Cambria"/>
          <w:sz w:val="20"/>
          <w:szCs w:val="20"/>
        </w:rPr>
        <w:t>,</w:t>
      </w:r>
    </w:p>
    <w:p w14:paraId="7296B028" w14:textId="5F1D022F" w:rsidR="00312E1C" w:rsidRPr="004E6129" w:rsidRDefault="00A045AB" w:rsidP="00CA6385">
      <w:pPr>
        <w:pStyle w:val="ListParagraph"/>
        <w:numPr>
          <w:ilvl w:val="0"/>
          <w:numId w:val="7"/>
        </w:numPr>
        <w:ind w:left="851" w:hanging="425"/>
        <w:jc w:val="both"/>
        <w:rPr>
          <w:rFonts w:ascii="Cambria" w:eastAsia="Cambria" w:hAnsi="Cambria" w:cs="Cambria"/>
          <w:sz w:val="20"/>
          <w:szCs w:val="20"/>
        </w:rPr>
      </w:pPr>
      <w:r w:rsidRPr="004E6129">
        <w:rPr>
          <w:rFonts w:ascii="Cambria" w:eastAsia="Cambria" w:hAnsi="Cambria" w:cs="Cambria"/>
          <w:sz w:val="20"/>
          <w:szCs w:val="20"/>
        </w:rPr>
        <w:lastRenderedPageBreak/>
        <w:t xml:space="preserve">coordination </w:t>
      </w:r>
      <w:r w:rsidR="00312E1C" w:rsidRPr="004E6129">
        <w:rPr>
          <w:rFonts w:ascii="Cambria" w:eastAsia="Cambria" w:hAnsi="Cambria" w:cs="Cambria"/>
          <w:sz w:val="20"/>
          <w:szCs w:val="20"/>
        </w:rPr>
        <w:t>de l’échantillonnage biologique du thon rouge</w:t>
      </w:r>
      <w:r w:rsidR="00A83DC6" w:rsidRPr="004E6129">
        <w:rPr>
          <w:rFonts w:ascii="Cambria" w:eastAsia="Cambria" w:hAnsi="Cambria" w:cs="Cambria"/>
          <w:sz w:val="20"/>
          <w:szCs w:val="20"/>
        </w:rPr>
        <w:t xml:space="preserve">, </w:t>
      </w:r>
    </w:p>
    <w:p w14:paraId="429FF62C" w14:textId="572962C5" w:rsidR="00312E1C" w:rsidRPr="004E6129" w:rsidRDefault="00EC51F8" w:rsidP="00CA6385">
      <w:pPr>
        <w:pStyle w:val="ListParagraph"/>
        <w:numPr>
          <w:ilvl w:val="0"/>
          <w:numId w:val="7"/>
        </w:numPr>
        <w:ind w:left="851" w:hanging="425"/>
        <w:jc w:val="both"/>
        <w:rPr>
          <w:rFonts w:ascii="Cambria" w:eastAsia="Cambria" w:hAnsi="Cambria" w:cs="Cambria"/>
          <w:sz w:val="20"/>
          <w:szCs w:val="20"/>
          <w:u w:val="single"/>
        </w:rPr>
      </w:pPr>
      <w:r w:rsidRPr="004E6129">
        <w:rPr>
          <w:rFonts w:ascii="Cambria" w:eastAsia="Cambria" w:hAnsi="Cambria" w:cs="Cambria"/>
          <w:sz w:val="20"/>
          <w:szCs w:val="20"/>
          <w:u w:val="single"/>
        </w:rPr>
        <w:t>coordination de</w:t>
      </w:r>
      <w:r w:rsidRPr="004E6129">
        <w:rPr>
          <w:rFonts w:ascii="Cambria" w:eastAsia="Cambria" w:hAnsi="Cambria" w:cs="Cambria"/>
          <w:sz w:val="20"/>
          <w:szCs w:val="20"/>
          <w:u w:val="single"/>
        </w:rPr>
        <w:t xml:space="preserve"> </w:t>
      </w:r>
      <w:r w:rsidR="00312E1C" w:rsidRPr="004E6129">
        <w:rPr>
          <w:rFonts w:ascii="Cambria" w:eastAsia="Cambria" w:hAnsi="Cambria" w:cs="Cambria"/>
          <w:sz w:val="20"/>
          <w:szCs w:val="20"/>
        </w:rPr>
        <w:t>l’estimation de la tail</w:t>
      </w:r>
      <w:r w:rsidR="008A3868" w:rsidRPr="004E6129">
        <w:rPr>
          <w:rFonts w:ascii="Cambria" w:eastAsia="Cambria" w:hAnsi="Cambria" w:cs="Cambria"/>
          <w:sz w:val="20"/>
          <w:szCs w:val="20"/>
        </w:rPr>
        <w:t xml:space="preserve">le </w:t>
      </w:r>
      <w:r w:rsidR="00BC62DB" w:rsidRPr="004E6129">
        <w:rPr>
          <w:rFonts w:ascii="Cambria" w:eastAsia="Cambria" w:hAnsi="Cambria" w:cs="Cambria"/>
          <w:sz w:val="20"/>
          <w:szCs w:val="20"/>
          <w:u w:val="single"/>
        </w:rPr>
        <w:t>et du mélange</w:t>
      </w:r>
      <w:r w:rsidR="00BC62DB" w:rsidRPr="004E6129">
        <w:rPr>
          <w:rFonts w:ascii="Cambria" w:eastAsia="Cambria" w:hAnsi="Cambria" w:cs="Cambria"/>
          <w:sz w:val="20"/>
          <w:szCs w:val="20"/>
        </w:rPr>
        <w:t xml:space="preserve"> </w:t>
      </w:r>
      <w:r w:rsidR="008105C3" w:rsidRPr="004E6129">
        <w:rPr>
          <w:rFonts w:ascii="Cambria" w:eastAsia="Cambria" w:hAnsi="Cambria" w:cs="Cambria"/>
          <w:sz w:val="20"/>
          <w:szCs w:val="20"/>
        </w:rPr>
        <w:t xml:space="preserve">des populations </w:t>
      </w:r>
      <w:r w:rsidR="008A3868" w:rsidRPr="004E6129">
        <w:rPr>
          <w:rFonts w:ascii="Cambria" w:eastAsia="Cambria" w:hAnsi="Cambria" w:cs="Cambria"/>
          <w:sz w:val="20"/>
          <w:szCs w:val="20"/>
        </w:rPr>
        <w:t>(</w:t>
      </w:r>
      <w:r w:rsidR="00F11C7A" w:rsidRPr="004E6129">
        <w:rPr>
          <w:rFonts w:ascii="Cambria" w:eastAsia="Cambria" w:hAnsi="Cambria" w:cs="Cambria"/>
          <w:sz w:val="20"/>
          <w:szCs w:val="20"/>
        </w:rPr>
        <w:t>marquage-recapture de spécimens étroitement apparentés</w:t>
      </w:r>
      <w:r w:rsidR="00F11C7A" w:rsidRPr="004E6129">
        <w:rPr>
          <w:rFonts w:ascii="Cambria" w:eastAsia="Cambria" w:hAnsi="Cambria" w:cs="Cambria"/>
          <w:sz w:val="20"/>
          <w:szCs w:val="20"/>
        </w:rPr>
        <w:t xml:space="preserve">, </w:t>
      </w:r>
      <w:r w:rsidR="00F11C7A" w:rsidRPr="004E6129">
        <w:rPr>
          <w:rFonts w:ascii="Cambria" w:eastAsia="Cambria" w:hAnsi="Cambria" w:cs="Cambria"/>
          <w:sz w:val="20"/>
          <w:szCs w:val="20"/>
        </w:rPr>
        <w:t>CKMR</w:t>
      </w:r>
      <w:r w:rsidR="00F11C7A" w:rsidRPr="004E6129">
        <w:rPr>
          <w:rFonts w:ascii="Cambria" w:eastAsia="Cambria" w:hAnsi="Cambria" w:cs="Cambria"/>
          <w:sz w:val="20"/>
          <w:szCs w:val="20"/>
          <w:u w:val="single"/>
        </w:rPr>
        <w:t>)</w:t>
      </w:r>
      <w:r w:rsidR="00F11C7A" w:rsidRPr="004E6129">
        <w:rPr>
          <w:rFonts w:ascii="Cambria" w:eastAsia="Cambria" w:hAnsi="Cambria" w:cs="Cambria"/>
          <w:sz w:val="20"/>
          <w:szCs w:val="20"/>
          <w:u w:val="single"/>
        </w:rPr>
        <w:t>,</w:t>
      </w:r>
    </w:p>
    <w:p w14:paraId="2FAD3191" w14:textId="378D3E65" w:rsidR="00E72664" w:rsidRPr="004E6129" w:rsidRDefault="00F57B75" w:rsidP="00CD105D">
      <w:pPr>
        <w:pStyle w:val="ListParagraph"/>
        <w:numPr>
          <w:ilvl w:val="0"/>
          <w:numId w:val="7"/>
        </w:numPr>
        <w:ind w:left="851" w:hanging="425"/>
        <w:jc w:val="both"/>
        <w:rPr>
          <w:rFonts w:ascii="Cambria" w:eastAsia="Cambria" w:hAnsi="Cambria" w:cs="Cambria"/>
          <w:sz w:val="20"/>
          <w:szCs w:val="20"/>
          <w:u w:val="single"/>
        </w:rPr>
      </w:pPr>
      <w:r w:rsidRPr="004E6129">
        <w:rPr>
          <w:rFonts w:ascii="Cambria" w:eastAsia="Cambria" w:hAnsi="Cambria" w:cs="Cambria"/>
          <w:sz w:val="20"/>
          <w:szCs w:val="20"/>
          <w:u w:val="single"/>
        </w:rPr>
        <w:t xml:space="preserve">coordination </w:t>
      </w:r>
      <w:r w:rsidRPr="004E6129">
        <w:rPr>
          <w:rFonts w:ascii="Cambria" w:eastAsia="Cambria" w:hAnsi="Cambria" w:cs="Cambria"/>
          <w:sz w:val="20"/>
          <w:szCs w:val="20"/>
          <w:u w:val="single"/>
        </w:rPr>
        <w:t>de l'identification des sources de variabilité environnementale qui affectent la productivité des stocks.</w:t>
      </w:r>
    </w:p>
    <w:p w14:paraId="2F341F77" w14:textId="77777777" w:rsidR="00173C70" w:rsidRPr="004E6129" w:rsidRDefault="00173C70" w:rsidP="00173C70">
      <w:pPr>
        <w:ind w:left="426"/>
        <w:jc w:val="both"/>
        <w:rPr>
          <w:rFonts w:ascii="Cambria" w:eastAsia="Cambria" w:hAnsi="Cambria" w:cs="Cambria"/>
          <w:sz w:val="20"/>
          <w:szCs w:val="20"/>
        </w:rPr>
      </w:pPr>
    </w:p>
    <w:p w14:paraId="7BCE2A27" w14:textId="1D454763" w:rsidR="00173C70" w:rsidRPr="004E6129" w:rsidRDefault="00B2399F" w:rsidP="00CA6385">
      <w:pPr>
        <w:numPr>
          <w:ilvl w:val="0"/>
          <w:numId w:val="5"/>
        </w:numPr>
        <w:ind w:left="426" w:hanging="426"/>
        <w:jc w:val="both"/>
        <w:rPr>
          <w:rFonts w:ascii="Cambria" w:eastAsia="Cambria" w:hAnsi="Cambria" w:cs="Cambria"/>
          <w:color w:val="231F20"/>
          <w:sz w:val="20"/>
          <w:szCs w:val="20"/>
        </w:rPr>
      </w:pPr>
      <w:r w:rsidRPr="004E6129">
        <w:rPr>
          <w:rFonts w:ascii="Cambria" w:eastAsia="Cambria" w:hAnsi="Cambria" w:cs="Cambria"/>
          <w:color w:val="231F20"/>
          <w:sz w:val="20"/>
          <w:szCs w:val="20"/>
        </w:rPr>
        <w:t>Lors</w:t>
      </w:r>
      <w:r w:rsidR="00173C70" w:rsidRPr="004E6129">
        <w:rPr>
          <w:rFonts w:ascii="Cambria" w:eastAsia="Cambria" w:hAnsi="Cambria" w:cs="Cambria"/>
          <w:color w:val="231F20"/>
          <w:sz w:val="20"/>
          <w:szCs w:val="20"/>
        </w:rPr>
        <w:t xml:space="preserve"> de la réalisation des travaux visés au paragraphe 14, </w:t>
      </w:r>
      <w:r w:rsidR="001F7F27" w:rsidRPr="004E6129">
        <w:rPr>
          <w:rFonts w:ascii="Cambria" w:eastAsia="Cambria" w:hAnsi="Cambria" w:cs="Cambria"/>
          <w:color w:val="231F20"/>
          <w:sz w:val="20"/>
          <w:szCs w:val="20"/>
        </w:rPr>
        <w:t>en tant que</w:t>
      </w:r>
      <w:r w:rsidR="00173C70" w:rsidRPr="004E6129">
        <w:rPr>
          <w:rFonts w:ascii="Cambria" w:eastAsia="Cambria" w:hAnsi="Cambria" w:cs="Cambria"/>
          <w:color w:val="231F20"/>
          <w:sz w:val="20"/>
          <w:szCs w:val="20"/>
        </w:rPr>
        <w:t xml:space="preserve"> contribution aux projets de recherche du SCRS, les CPC devraient déployer ou poursuivre les efforts spéciaux visant à </w:t>
      </w:r>
      <w:r w:rsidR="009C1C59" w:rsidRPr="004E6129">
        <w:rPr>
          <w:rFonts w:ascii="Cambria" w:eastAsia="Cambria" w:hAnsi="Cambria" w:cs="Cambria"/>
          <w:color w:val="231F20"/>
          <w:sz w:val="20"/>
          <w:szCs w:val="20"/>
        </w:rPr>
        <w:t xml:space="preserve">intensifier </w:t>
      </w:r>
      <w:r w:rsidR="00173C70" w:rsidRPr="004E6129">
        <w:rPr>
          <w:rFonts w:ascii="Cambria" w:eastAsia="Cambria" w:hAnsi="Cambria" w:cs="Cambria"/>
          <w:color w:val="231F20"/>
          <w:sz w:val="20"/>
          <w:szCs w:val="20"/>
        </w:rPr>
        <w:t>l’échantillonnage des pêcheries de thon rouge de l’Atlantique, y compris</w:t>
      </w:r>
      <w:r w:rsidR="005A2E06" w:rsidRPr="004E6129">
        <w:rPr>
          <w:rFonts w:ascii="Cambria" w:eastAsia="Cambria" w:hAnsi="Cambria" w:cs="Cambria"/>
          <w:color w:val="231F20"/>
          <w:sz w:val="20"/>
          <w:szCs w:val="20"/>
        </w:rPr>
        <w:t> :</w:t>
      </w:r>
      <w:r w:rsidR="00173C70" w:rsidRPr="004E6129">
        <w:rPr>
          <w:rFonts w:ascii="Cambria" w:eastAsia="Cambria" w:hAnsi="Cambria" w:cs="Cambria"/>
          <w:color w:val="231F20"/>
          <w:sz w:val="20"/>
          <w:szCs w:val="20"/>
        </w:rPr>
        <w:t xml:space="preserve"> en fournissant des données sur les longueurs et/ou poids des poissons par flottille, mois et zone ; et la collecte d’échantillons biologiques, y compris des tissus et des otolithes qui sont essentiels pour l</w:t>
      </w:r>
      <w:r w:rsidR="009E4171" w:rsidRPr="004E6129">
        <w:rPr>
          <w:rFonts w:ascii="Cambria" w:eastAsia="Cambria" w:hAnsi="Cambria" w:cs="Cambria"/>
          <w:color w:val="231F20"/>
          <w:sz w:val="20"/>
          <w:szCs w:val="20"/>
        </w:rPr>
        <w:t xml:space="preserve">es analyses génétiques </w:t>
      </w:r>
      <w:r w:rsidR="00173C70" w:rsidRPr="004E6129">
        <w:rPr>
          <w:rFonts w:ascii="Cambria" w:eastAsia="Cambria" w:hAnsi="Cambria" w:cs="Cambria"/>
          <w:color w:val="231F20"/>
          <w:sz w:val="20"/>
          <w:szCs w:val="20"/>
        </w:rPr>
        <w:t xml:space="preserve">de récupération de marques de spécimens étroitement apparentés et </w:t>
      </w:r>
      <w:r w:rsidR="00471436" w:rsidRPr="004E6129">
        <w:rPr>
          <w:rFonts w:ascii="Cambria" w:eastAsia="Cambria" w:hAnsi="Cambria" w:cs="Cambria"/>
          <w:color w:val="231F20"/>
          <w:sz w:val="20"/>
          <w:szCs w:val="20"/>
        </w:rPr>
        <w:t xml:space="preserve">les analyses de l’origine du </w:t>
      </w:r>
      <w:r w:rsidR="00173C70" w:rsidRPr="004E6129">
        <w:rPr>
          <w:rFonts w:ascii="Cambria" w:eastAsia="Cambria" w:hAnsi="Cambria" w:cs="Cambria"/>
          <w:color w:val="231F20"/>
          <w:sz w:val="20"/>
          <w:szCs w:val="20"/>
        </w:rPr>
        <w:t>stock.</w:t>
      </w:r>
    </w:p>
    <w:p w14:paraId="4A44009C" w14:textId="77777777" w:rsidR="00680079" w:rsidRPr="004E6129" w:rsidRDefault="00680079" w:rsidP="00CA6385">
      <w:pPr>
        <w:tabs>
          <w:tab w:val="left" w:pos="528"/>
        </w:tabs>
        <w:ind w:left="426" w:hanging="426"/>
        <w:jc w:val="both"/>
        <w:rPr>
          <w:rFonts w:ascii="Cambria" w:eastAsia="Cambria" w:hAnsi="Cambria" w:cs="Cambria"/>
          <w:sz w:val="20"/>
          <w:szCs w:val="20"/>
        </w:rPr>
      </w:pPr>
    </w:p>
    <w:p w14:paraId="4064A5DA" w14:textId="59F0ACCC" w:rsidR="00F51AFC" w:rsidRPr="004E6129" w:rsidRDefault="00B67BEE" w:rsidP="00CA6385">
      <w:pPr>
        <w:numPr>
          <w:ilvl w:val="0"/>
          <w:numId w:val="5"/>
        </w:numPr>
        <w:ind w:left="426" w:hanging="426"/>
        <w:jc w:val="both"/>
        <w:rPr>
          <w:rFonts w:ascii="Cambria" w:eastAsia="Cambria" w:hAnsi="Cambria" w:cs="Cambria"/>
          <w:color w:val="231F20"/>
          <w:sz w:val="20"/>
          <w:szCs w:val="20"/>
        </w:rPr>
      </w:pPr>
      <w:r w:rsidRPr="004E6129">
        <w:rPr>
          <w:rFonts w:ascii="Cambria" w:eastAsia="Cambria" w:hAnsi="Cambria" w:cs="Cambria"/>
          <w:color w:val="231F20"/>
          <w:sz w:val="20"/>
          <w:szCs w:val="20"/>
        </w:rPr>
        <w:t>Toutes les CPC devront assurer le suivi et déclarer toutes les causes de mortalité par pêche, y compris les rejets de poissons morts, et devront réduire les rejets de poissons morts dans la mesure du possible.</w:t>
      </w:r>
    </w:p>
    <w:p w14:paraId="703B6F23" w14:textId="77777777" w:rsidR="00F51AFC" w:rsidRPr="004E6129" w:rsidRDefault="00F51AFC" w:rsidP="00CA6385">
      <w:pPr>
        <w:ind w:left="426" w:hanging="426"/>
        <w:jc w:val="both"/>
        <w:rPr>
          <w:rFonts w:ascii="Cambria" w:eastAsia="Cambria" w:hAnsi="Cambria" w:cs="Cambria"/>
          <w:color w:val="231F20"/>
          <w:sz w:val="20"/>
          <w:szCs w:val="20"/>
        </w:rPr>
      </w:pPr>
    </w:p>
    <w:p w14:paraId="332394D7" w14:textId="1EF99C6B" w:rsidR="00F51AFC" w:rsidRPr="004E6129" w:rsidRDefault="00861CE4" w:rsidP="00CA6385">
      <w:pPr>
        <w:numPr>
          <w:ilvl w:val="0"/>
          <w:numId w:val="5"/>
        </w:numPr>
        <w:ind w:left="426" w:hanging="426"/>
        <w:jc w:val="both"/>
        <w:rPr>
          <w:rFonts w:ascii="Cambria" w:eastAsia="Cambria" w:hAnsi="Cambria" w:cs="Cambria"/>
          <w:color w:val="231F20"/>
          <w:sz w:val="20"/>
          <w:szCs w:val="20"/>
        </w:rPr>
      </w:pPr>
      <w:r w:rsidRPr="004E6129">
        <w:rPr>
          <w:rFonts w:ascii="Cambria" w:eastAsia="Cambria" w:hAnsi="Cambria" w:cs="Cambria"/>
          <w:color w:val="231F20"/>
          <w:sz w:val="20"/>
          <w:szCs w:val="20"/>
        </w:rPr>
        <w:t xml:space="preserve">Chaque CPC devra s'assurer que ses navires de pêche débarquant du thon rouge sont soumis à un système d'enregistrement de données, conformément à la </w:t>
      </w:r>
      <w:r w:rsidRPr="004E6129">
        <w:rPr>
          <w:rFonts w:ascii="Cambria" w:eastAsia="Cambria" w:hAnsi="Cambria" w:cs="Cambria"/>
          <w:i/>
          <w:color w:val="231F20"/>
          <w:sz w:val="20"/>
          <w:szCs w:val="20"/>
        </w:rPr>
        <w:t>Recommandation de l’ICCAT relative à l’enregistrement des captures par les navires de pêche dans la zone de la Convention ICCAT</w:t>
      </w:r>
      <w:r w:rsidRPr="004E6129">
        <w:rPr>
          <w:rFonts w:ascii="Cambria" w:eastAsia="Cambria" w:hAnsi="Cambria" w:cs="Cambria"/>
          <w:color w:val="231F20"/>
          <w:sz w:val="20"/>
          <w:szCs w:val="20"/>
        </w:rPr>
        <w:t xml:space="preserve"> (Rec. </w:t>
      </w:r>
      <w:r w:rsidR="00416E35" w:rsidRPr="004E6129">
        <w:rPr>
          <w:rFonts w:ascii="Cambria" w:eastAsia="Cambria" w:hAnsi="Cambria" w:cs="Cambria"/>
          <w:color w:val="231F20"/>
          <w:sz w:val="20"/>
          <w:szCs w:val="20"/>
        </w:rPr>
        <w:t>03-13)</w:t>
      </w:r>
      <w:r w:rsidR="00416E35" w:rsidRPr="004E6129">
        <w:rPr>
          <w:rFonts w:ascii="Cambria" w:eastAsia="Cambria" w:hAnsi="Cambria" w:cs="Cambria"/>
          <w:i/>
          <w:color w:val="231F20"/>
          <w:sz w:val="20"/>
          <w:szCs w:val="20"/>
        </w:rPr>
        <w:t>.</w:t>
      </w:r>
    </w:p>
    <w:p w14:paraId="4FDDA269" w14:textId="1D530E00" w:rsidR="004B4CE7" w:rsidRPr="004E6129" w:rsidRDefault="004B4CE7" w:rsidP="00CA6385">
      <w:pPr>
        <w:ind w:left="426" w:hanging="426"/>
        <w:rPr>
          <w:rFonts w:ascii="Cambria" w:eastAsia="Cambria" w:hAnsi="Cambria" w:cs="Cambria"/>
          <w:color w:val="231F20"/>
          <w:sz w:val="20"/>
          <w:szCs w:val="20"/>
        </w:rPr>
      </w:pPr>
    </w:p>
    <w:p w14:paraId="01917EDE" w14:textId="48042337" w:rsidR="00F51AFC" w:rsidRPr="004E6129" w:rsidRDefault="00A81C84" w:rsidP="00CA6385">
      <w:pPr>
        <w:numPr>
          <w:ilvl w:val="0"/>
          <w:numId w:val="5"/>
        </w:numPr>
        <w:ind w:left="426" w:hanging="426"/>
        <w:jc w:val="both"/>
        <w:rPr>
          <w:rFonts w:ascii="Cambria" w:eastAsia="Cambria" w:hAnsi="Cambria" w:cs="Cambria"/>
          <w:color w:val="231F20"/>
          <w:sz w:val="20"/>
          <w:szCs w:val="20"/>
        </w:rPr>
      </w:pPr>
      <w:proofErr w:type="gramStart"/>
      <w:r w:rsidRPr="004E6129">
        <w:rPr>
          <w:rFonts w:ascii="Cambria" w:eastAsia="Cambria" w:hAnsi="Cambria" w:cs="Cambria"/>
          <w:color w:val="231F20"/>
          <w:sz w:val="20"/>
          <w:szCs w:val="20"/>
        </w:rPr>
        <w:t>S</w:t>
      </w:r>
      <w:r w:rsidR="00861CE4" w:rsidRPr="004E6129">
        <w:rPr>
          <w:rFonts w:ascii="Cambria" w:eastAsia="Cambria" w:hAnsi="Cambria" w:cs="Cambria"/>
          <w:color w:val="231F20"/>
          <w:sz w:val="20"/>
          <w:szCs w:val="20"/>
        </w:rPr>
        <w:t>uite au</w:t>
      </w:r>
      <w:proofErr w:type="gramEnd"/>
      <w:r w:rsidR="00861CE4" w:rsidRPr="004E6129">
        <w:rPr>
          <w:rFonts w:ascii="Cambria" w:eastAsia="Cambria" w:hAnsi="Cambria" w:cs="Cambria"/>
          <w:color w:val="231F20"/>
          <w:sz w:val="20"/>
          <w:szCs w:val="20"/>
        </w:rPr>
        <w:t xml:space="preserve"> </w:t>
      </w:r>
      <w:r w:rsidR="004B4CE7" w:rsidRPr="004E6129">
        <w:rPr>
          <w:rFonts w:ascii="Cambria" w:eastAsia="Cambria" w:hAnsi="Cambria" w:cs="Cambria"/>
          <w:color w:val="231F20"/>
          <w:sz w:val="20"/>
          <w:szCs w:val="20"/>
        </w:rPr>
        <w:t>p</w:t>
      </w:r>
      <w:r w:rsidR="00861CE4" w:rsidRPr="004E6129">
        <w:rPr>
          <w:rFonts w:ascii="Cambria" w:eastAsia="Cambria" w:hAnsi="Cambria" w:cs="Cambria"/>
          <w:color w:val="231F20"/>
          <w:sz w:val="20"/>
          <w:szCs w:val="20"/>
        </w:rPr>
        <w:t>aragraphe 11, le SCRS devra examiner les nouvelles informations disponibles relatives à l’identification de</w:t>
      </w:r>
      <w:r w:rsidR="00A045AB" w:rsidRPr="004E6129">
        <w:rPr>
          <w:rFonts w:ascii="Cambria" w:eastAsia="Cambria" w:hAnsi="Cambria" w:cs="Cambria"/>
          <w:color w:val="231F20"/>
          <w:sz w:val="20"/>
          <w:szCs w:val="20"/>
        </w:rPr>
        <w:t>s</w:t>
      </w:r>
      <w:r w:rsidR="00861CE4" w:rsidRPr="004E6129">
        <w:rPr>
          <w:rFonts w:ascii="Cambria" w:eastAsia="Cambria" w:hAnsi="Cambria" w:cs="Cambria"/>
          <w:color w:val="231F20"/>
          <w:sz w:val="20"/>
          <w:szCs w:val="20"/>
        </w:rPr>
        <w:t xml:space="preserve"> périodes et de</w:t>
      </w:r>
      <w:r w:rsidR="00A045AB" w:rsidRPr="004E6129">
        <w:rPr>
          <w:rFonts w:ascii="Cambria" w:eastAsia="Cambria" w:hAnsi="Cambria" w:cs="Cambria"/>
          <w:color w:val="231F20"/>
          <w:sz w:val="20"/>
          <w:szCs w:val="20"/>
        </w:rPr>
        <w:t>s</w:t>
      </w:r>
      <w:r w:rsidR="00861CE4" w:rsidRPr="004E6129">
        <w:rPr>
          <w:rFonts w:ascii="Cambria" w:eastAsia="Cambria" w:hAnsi="Cambria" w:cs="Cambria"/>
          <w:color w:val="231F20"/>
          <w:sz w:val="20"/>
          <w:szCs w:val="20"/>
        </w:rPr>
        <w:t xml:space="preserve"> zones </w:t>
      </w:r>
      <w:r w:rsidR="00A045AB" w:rsidRPr="004E6129">
        <w:rPr>
          <w:rFonts w:ascii="Cambria" w:eastAsia="Cambria" w:hAnsi="Cambria" w:cs="Cambria"/>
          <w:color w:val="231F20"/>
          <w:sz w:val="20"/>
          <w:szCs w:val="20"/>
        </w:rPr>
        <w:t xml:space="preserve">spécifiques </w:t>
      </w:r>
      <w:r w:rsidR="00861CE4" w:rsidRPr="004E6129">
        <w:rPr>
          <w:rFonts w:ascii="Cambria" w:eastAsia="Cambria" w:hAnsi="Cambria" w:cs="Cambria"/>
          <w:color w:val="231F20"/>
          <w:sz w:val="20"/>
          <w:szCs w:val="20"/>
        </w:rPr>
        <w:t xml:space="preserve">de reproduction </w:t>
      </w:r>
      <w:r w:rsidR="00A045AB" w:rsidRPr="004E6129">
        <w:rPr>
          <w:rFonts w:ascii="Cambria" w:eastAsia="Cambria" w:hAnsi="Cambria" w:cs="Cambria"/>
          <w:color w:val="231F20"/>
          <w:sz w:val="20"/>
          <w:szCs w:val="20"/>
        </w:rPr>
        <w:t xml:space="preserve">du </w:t>
      </w:r>
      <w:r w:rsidR="00861CE4" w:rsidRPr="004E6129">
        <w:rPr>
          <w:rFonts w:ascii="Cambria" w:eastAsia="Cambria" w:hAnsi="Cambria" w:cs="Cambria"/>
          <w:color w:val="231F20"/>
          <w:sz w:val="20"/>
          <w:szCs w:val="20"/>
        </w:rPr>
        <w:t xml:space="preserve">thon rouge dans l’océan Atlantique Ouest, y compris </w:t>
      </w:r>
      <w:r w:rsidR="00A045AB" w:rsidRPr="004E6129">
        <w:rPr>
          <w:rFonts w:ascii="Cambria" w:eastAsia="Cambria" w:hAnsi="Cambria" w:cs="Cambria"/>
          <w:color w:val="231F20"/>
          <w:sz w:val="20"/>
          <w:szCs w:val="20"/>
        </w:rPr>
        <w:t xml:space="preserve">les informations provenant </w:t>
      </w:r>
      <w:r w:rsidR="00861CE4" w:rsidRPr="004E6129">
        <w:rPr>
          <w:rFonts w:ascii="Cambria" w:eastAsia="Cambria" w:hAnsi="Cambria" w:cs="Cambria"/>
          <w:color w:val="231F20"/>
          <w:sz w:val="20"/>
          <w:szCs w:val="20"/>
        </w:rPr>
        <w:t>des CPC qui capturent le thon rouge de l’Atlantique Ouest, et communiquer à la Commission les résultats de cet examen à des fins de considération.</w:t>
      </w:r>
      <w:r w:rsidR="00416E35" w:rsidRPr="004E6129">
        <w:rPr>
          <w:rFonts w:ascii="Cambria" w:eastAsia="Cambria" w:hAnsi="Cambria" w:cs="Cambria"/>
          <w:color w:val="231F20"/>
          <w:sz w:val="20"/>
          <w:szCs w:val="20"/>
        </w:rPr>
        <w:t xml:space="preserve"> </w:t>
      </w:r>
      <w:r w:rsidR="00861CE4" w:rsidRPr="004E6129">
        <w:rPr>
          <w:rFonts w:ascii="Cambria" w:eastAsia="Cambria" w:hAnsi="Cambria" w:cs="Cambria"/>
          <w:color w:val="231F20"/>
          <w:sz w:val="20"/>
          <w:szCs w:val="20"/>
        </w:rPr>
        <w:t>Les CPC concernées sont encouragées à travailler par l’intermédiaire du SCRS pour formuler un avis afin de gérer toute période identifiée et toute zone spécifique selon une approche de précaution</w:t>
      </w:r>
      <w:r w:rsidR="00861CE4" w:rsidRPr="004E6129">
        <w:rPr>
          <w:rFonts w:ascii="Cambria" w:eastAsia="Cambria" w:hAnsi="Cambria" w:cs="Cambria"/>
          <w:color w:val="231F20"/>
          <w:sz w:val="20"/>
          <w:szCs w:val="20"/>
          <w:u w:val="single"/>
        </w:rPr>
        <w:t>.</w:t>
      </w:r>
      <w:r w:rsidR="00D23F12" w:rsidRPr="004E6129">
        <w:rPr>
          <w:rFonts w:ascii="Cambria" w:eastAsia="Cambria" w:hAnsi="Cambria" w:cs="Cambria"/>
          <w:color w:val="231F20"/>
          <w:sz w:val="20"/>
          <w:szCs w:val="20"/>
          <w:u w:val="single"/>
        </w:rPr>
        <w:t xml:space="preserve"> L</w:t>
      </w:r>
      <w:r w:rsidR="00861CE4" w:rsidRPr="004E6129">
        <w:rPr>
          <w:rFonts w:ascii="Cambria" w:eastAsia="Cambria" w:hAnsi="Cambria" w:cs="Cambria"/>
          <w:color w:val="231F20"/>
          <w:sz w:val="20"/>
          <w:szCs w:val="20"/>
        </w:rPr>
        <w:t>e SCRS devra donner un avis sur l’efficacité de la restriction de la pêcherie dirigée dans le golfe du Mexique en vue de réduire la mortalité du thon rouge en âge de se reproduire</w:t>
      </w:r>
      <w:r w:rsidR="00416E35" w:rsidRPr="004E6129">
        <w:rPr>
          <w:rFonts w:ascii="Cambria" w:eastAsia="Cambria" w:hAnsi="Cambria" w:cs="Cambria"/>
          <w:color w:val="231F20"/>
          <w:sz w:val="20"/>
          <w:szCs w:val="20"/>
        </w:rPr>
        <w:t>.</w:t>
      </w:r>
    </w:p>
    <w:p w14:paraId="11284F14" w14:textId="77777777" w:rsidR="003F3D45" w:rsidRPr="004E6129" w:rsidRDefault="003F3D45" w:rsidP="00CA6385">
      <w:pPr>
        <w:ind w:left="426" w:hanging="426"/>
        <w:rPr>
          <w:rFonts w:ascii="Cambria" w:eastAsia="Cambria" w:hAnsi="Cambria" w:cs="Cambria"/>
          <w:sz w:val="20"/>
          <w:szCs w:val="20"/>
        </w:rPr>
      </w:pPr>
    </w:p>
    <w:p w14:paraId="74132C17" w14:textId="1C5D667E" w:rsidR="00F51AFC" w:rsidRPr="004E6129" w:rsidRDefault="00861CE4" w:rsidP="00CA6385">
      <w:pPr>
        <w:numPr>
          <w:ilvl w:val="0"/>
          <w:numId w:val="5"/>
        </w:numPr>
        <w:ind w:left="426" w:hanging="426"/>
        <w:jc w:val="both"/>
        <w:rPr>
          <w:rFonts w:ascii="Cambria" w:eastAsia="Cambria" w:hAnsi="Cambria" w:cs="Cambria"/>
          <w:sz w:val="20"/>
          <w:szCs w:val="20"/>
        </w:rPr>
      </w:pPr>
      <w:r w:rsidRPr="004E6129">
        <w:rPr>
          <w:rFonts w:ascii="Cambria" w:eastAsia="Cambria" w:hAnsi="Cambria" w:cs="Cambria"/>
          <w:color w:val="231F20"/>
          <w:sz w:val="20"/>
          <w:szCs w:val="20"/>
        </w:rPr>
        <w:t>Chaque CPC devra communiquer ses prises mensuelles provisoires de thon rouge. Ce rapport devra être adressé au Secrétariat de l’ICCAT dans les 30 jours suivant la fin du mois civil au cours duquel les prises ont été effectuées.</w:t>
      </w:r>
    </w:p>
    <w:p w14:paraId="1E8F5EE6" w14:textId="77777777" w:rsidR="00F51AFC" w:rsidRPr="004E6129" w:rsidRDefault="00F51AFC" w:rsidP="00CA6385">
      <w:pPr>
        <w:ind w:left="426" w:hanging="426"/>
        <w:rPr>
          <w:rFonts w:ascii="Cambria" w:eastAsia="Cambria" w:hAnsi="Cambria" w:cs="Cambria"/>
          <w:sz w:val="20"/>
          <w:szCs w:val="20"/>
        </w:rPr>
      </w:pPr>
    </w:p>
    <w:p w14:paraId="0DB55967" w14:textId="3FE0BE4F" w:rsidR="00C20723" w:rsidRPr="004E6129" w:rsidRDefault="00861CE4" w:rsidP="00B05700">
      <w:pPr>
        <w:numPr>
          <w:ilvl w:val="0"/>
          <w:numId w:val="5"/>
        </w:numPr>
        <w:ind w:left="426" w:hanging="426"/>
        <w:jc w:val="both"/>
        <w:rPr>
          <w:rFonts w:ascii="Cambria" w:eastAsia="Cambria" w:hAnsi="Cambria" w:cs="Cambria"/>
          <w:color w:val="231F20"/>
          <w:sz w:val="20"/>
          <w:szCs w:val="20"/>
        </w:rPr>
      </w:pPr>
      <w:r w:rsidRPr="004E6129">
        <w:rPr>
          <w:rFonts w:ascii="Cambria" w:eastAsia="Cambria" w:hAnsi="Cambria" w:cs="Cambria"/>
          <w:color w:val="231F20"/>
          <w:sz w:val="20"/>
          <w:szCs w:val="20"/>
        </w:rPr>
        <w:t>Le Secrétariat de l’ICCAT devra, dans les 10 jours suivant la date limite mensuelle pour la réception des statistiques de capture provisoires, recueillir les informations reçues et les diffuser aux CPC avec les statistiques de capture agrégées.</w:t>
      </w:r>
    </w:p>
    <w:p w14:paraId="70653B4A" w14:textId="77777777" w:rsidR="003707FE" w:rsidRPr="004E6129" w:rsidRDefault="003707FE" w:rsidP="003707FE">
      <w:pPr>
        <w:ind w:left="426"/>
        <w:jc w:val="both"/>
        <w:rPr>
          <w:rFonts w:ascii="Cambria" w:eastAsia="Cambria" w:hAnsi="Cambria" w:cs="Cambria"/>
          <w:color w:val="231F20"/>
          <w:sz w:val="20"/>
          <w:szCs w:val="20"/>
        </w:rPr>
      </w:pPr>
    </w:p>
    <w:p w14:paraId="7226945B" w14:textId="2D5AAB93" w:rsidR="00CA6385" w:rsidRPr="004E6129" w:rsidRDefault="00861CE4" w:rsidP="00CA6385">
      <w:pPr>
        <w:numPr>
          <w:ilvl w:val="0"/>
          <w:numId w:val="5"/>
        </w:numPr>
        <w:ind w:left="426" w:hanging="426"/>
        <w:jc w:val="both"/>
        <w:rPr>
          <w:rFonts w:ascii="Cambria" w:eastAsia="Cambria" w:hAnsi="Cambria" w:cs="Cambria"/>
          <w:color w:val="231F20"/>
          <w:sz w:val="20"/>
          <w:szCs w:val="20"/>
        </w:rPr>
      </w:pPr>
      <w:r w:rsidRPr="004E6129">
        <w:rPr>
          <w:rFonts w:ascii="Cambria" w:eastAsia="Cambria" w:hAnsi="Cambria" w:cs="Cambria"/>
          <w:color w:val="231F20"/>
          <w:sz w:val="20"/>
          <w:szCs w:val="20"/>
        </w:rPr>
        <w:t>Toutes les CPC devront fournir les meilleures données disponibles pour l'évaluation du stock réalisée par le SCRS, y compris l'information sur les captures de la gamme la plus large possible de toutes les classes d'âge présentes dans leurs pêcheries, en tenant compte des restrictions de taille minimale.</w:t>
      </w:r>
    </w:p>
    <w:p w14:paraId="0A74E845" w14:textId="77777777" w:rsidR="00C20723" w:rsidRPr="004E6129" w:rsidRDefault="00C20723" w:rsidP="00C20723">
      <w:pPr>
        <w:ind w:left="426"/>
        <w:jc w:val="both"/>
        <w:rPr>
          <w:rFonts w:ascii="Cambria" w:eastAsia="Cambria" w:hAnsi="Cambria" w:cs="Cambria"/>
          <w:color w:val="231F20"/>
          <w:sz w:val="20"/>
          <w:szCs w:val="20"/>
        </w:rPr>
      </w:pPr>
    </w:p>
    <w:p w14:paraId="3FDD1669" w14:textId="68903D06" w:rsidR="00F51AFC" w:rsidRPr="004E6129" w:rsidRDefault="00861CE4" w:rsidP="004B4CE7">
      <w:pPr>
        <w:numPr>
          <w:ilvl w:val="0"/>
          <w:numId w:val="5"/>
        </w:numPr>
        <w:ind w:left="426" w:hanging="426"/>
        <w:jc w:val="both"/>
        <w:rPr>
          <w:rFonts w:ascii="Cambria" w:eastAsia="Cambria" w:hAnsi="Cambria" w:cs="Cambria"/>
          <w:sz w:val="20"/>
          <w:szCs w:val="20"/>
        </w:rPr>
      </w:pPr>
      <w:r w:rsidRPr="004E6129">
        <w:rPr>
          <w:rFonts w:ascii="Cambria" w:eastAsia="Cambria" w:hAnsi="Cambria" w:cs="Cambria"/>
          <w:color w:val="231F20"/>
          <w:sz w:val="20"/>
          <w:szCs w:val="20"/>
        </w:rPr>
        <w:t xml:space="preserve">Le SCRS devrait fournir une orientation sur une gamme de mesures de gestion </w:t>
      </w:r>
      <w:r w:rsidR="00AD2B69" w:rsidRPr="004E6129">
        <w:rPr>
          <w:rFonts w:ascii="Cambria" w:eastAsia="Cambria" w:hAnsi="Cambria" w:cs="Cambria"/>
          <w:color w:val="231F20"/>
          <w:sz w:val="20"/>
          <w:szCs w:val="20"/>
        </w:rPr>
        <w:t>relative</w:t>
      </w:r>
      <w:r w:rsidR="00A57C19" w:rsidRPr="004E6129">
        <w:rPr>
          <w:rFonts w:ascii="Cambria" w:eastAsia="Cambria" w:hAnsi="Cambria" w:cs="Cambria"/>
          <w:color w:val="231F20"/>
          <w:sz w:val="20"/>
          <w:szCs w:val="20"/>
        </w:rPr>
        <w:t>s</w:t>
      </w:r>
      <w:r w:rsidR="00AD2B69" w:rsidRPr="004E6129">
        <w:rPr>
          <w:rFonts w:ascii="Cambria" w:eastAsia="Cambria" w:hAnsi="Cambria" w:cs="Cambria"/>
          <w:color w:val="231F20"/>
          <w:sz w:val="20"/>
          <w:szCs w:val="20"/>
        </w:rPr>
        <w:t xml:space="preserve"> à</w:t>
      </w:r>
      <w:r w:rsidRPr="004E6129">
        <w:rPr>
          <w:rFonts w:ascii="Cambria" w:eastAsia="Cambria" w:hAnsi="Cambria" w:cs="Cambria"/>
          <w:color w:val="231F20"/>
          <w:sz w:val="20"/>
          <w:szCs w:val="20"/>
        </w:rPr>
        <w:t xml:space="preserve"> la taille des poissons en ce qui concerne le thon rouge de l’Atlantique Ouest et sur leur impact sur les considérations de production par recrue et de reproduction par recrue.</w:t>
      </w:r>
      <w:r w:rsidRPr="004E6129">
        <w:t xml:space="preserve"> </w:t>
      </w:r>
      <w:r w:rsidRPr="004E6129">
        <w:rPr>
          <w:rFonts w:ascii="Cambria" w:eastAsia="Cambria" w:hAnsi="Cambria" w:cs="Cambria"/>
          <w:color w:val="231F20"/>
          <w:sz w:val="20"/>
          <w:szCs w:val="20"/>
        </w:rPr>
        <w:t xml:space="preserve">Le SCRS devrait également formuler des observations sur l’effet des mesures de gestion </w:t>
      </w:r>
      <w:r w:rsidR="00AD2B69" w:rsidRPr="004E6129">
        <w:rPr>
          <w:rFonts w:ascii="Cambria" w:eastAsia="Cambria" w:hAnsi="Cambria" w:cs="Cambria"/>
          <w:color w:val="231F20"/>
          <w:sz w:val="20"/>
          <w:szCs w:val="20"/>
        </w:rPr>
        <w:t>relative</w:t>
      </w:r>
      <w:r w:rsidR="00A57C19" w:rsidRPr="004E6129">
        <w:rPr>
          <w:rFonts w:ascii="Cambria" w:eastAsia="Cambria" w:hAnsi="Cambria" w:cs="Cambria"/>
          <w:color w:val="231F20"/>
          <w:sz w:val="20"/>
          <w:szCs w:val="20"/>
        </w:rPr>
        <w:t>s</w:t>
      </w:r>
      <w:r w:rsidR="00AD2B69" w:rsidRPr="004E6129">
        <w:rPr>
          <w:rFonts w:ascii="Cambria" w:eastAsia="Cambria" w:hAnsi="Cambria" w:cs="Cambria"/>
          <w:color w:val="231F20"/>
          <w:sz w:val="20"/>
          <w:szCs w:val="20"/>
        </w:rPr>
        <w:t xml:space="preserve"> à</w:t>
      </w:r>
      <w:r w:rsidRPr="004E6129">
        <w:rPr>
          <w:rFonts w:ascii="Cambria" w:eastAsia="Cambria" w:hAnsi="Cambria" w:cs="Cambria"/>
          <w:color w:val="231F20"/>
          <w:sz w:val="20"/>
          <w:szCs w:val="20"/>
        </w:rPr>
        <w:t xml:space="preserve"> la taille des poissons sur </w:t>
      </w:r>
      <w:r w:rsidR="00E1220B" w:rsidRPr="004E6129">
        <w:rPr>
          <w:rFonts w:ascii="Cambria" w:eastAsia="Cambria" w:hAnsi="Cambria" w:cs="Cambria"/>
          <w:color w:val="231F20"/>
          <w:sz w:val="20"/>
          <w:szCs w:val="20"/>
        </w:rPr>
        <w:t>sa</w:t>
      </w:r>
      <w:r w:rsidRPr="004E6129">
        <w:rPr>
          <w:rFonts w:ascii="Cambria" w:eastAsia="Cambria" w:hAnsi="Cambria" w:cs="Cambria"/>
          <w:color w:val="231F20"/>
          <w:sz w:val="20"/>
          <w:szCs w:val="20"/>
        </w:rPr>
        <w:t xml:space="preserve"> capacité à contrôler l’état du stock.</w:t>
      </w:r>
    </w:p>
    <w:p w14:paraId="1FB193E9" w14:textId="77777777" w:rsidR="00F51AFC" w:rsidRPr="004E6129" w:rsidRDefault="00F51AFC" w:rsidP="004B4CE7">
      <w:pPr>
        <w:ind w:left="426" w:right="129" w:hanging="426"/>
        <w:jc w:val="both"/>
        <w:rPr>
          <w:rFonts w:ascii="Cambria" w:eastAsia="Cambria" w:hAnsi="Cambria" w:cs="Cambria"/>
          <w:sz w:val="20"/>
          <w:szCs w:val="20"/>
        </w:rPr>
      </w:pPr>
    </w:p>
    <w:p w14:paraId="7A841C58" w14:textId="3A15E68F" w:rsidR="00F51AFC" w:rsidRPr="00C57CC3" w:rsidRDefault="00861CE4" w:rsidP="004B4CE7">
      <w:pPr>
        <w:numPr>
          <w:ilvl w:val="0"/>
          <w:numId w:val="5"/>
        </w:numPr>
        <w:ind w:left="426" w:hanging="426"/>
        <w:jc w:val="both"/>
        <w:rPr>
          <w:rFonts w:ascii="Cambria" w:eastAsia="Cambria" w:hAnsi="Cambria" w:cs="Cambria"/>
          <w:sz w:val="20"/>
          <w:szCs w:val="20"/>
        </w:rPr>
      </w:pPr>
      <w:r w:rsidRPr="004E6129">
        <w:rPr>
          <w:rFonts w:ascii="Cambria" w:eastAsia="Cambria" w:hAnsi="Cambria" w:cs="Cambria"/>
          <w:color w:val="231F20"/>
          <w:sz w:val="20"/>
          <w:szCs w:val="20"/>
        </w:rPr>
        <w:t>La présente Recommandation abroge et remplace la</w:t>
      </w:r>
      <w:r w:rsidRPr="004E6129">
        <w:rPr>
          <w:rFonts w:ascii="Cambria" w:eastAsia="Cambria" w:hAnsi="Cambria" w:cs="Cambria"/>
          <w:i/>
          <w:iCs/>
          <w:color w:val="231F20"/>
          <w:sz w:val="20"/>
          <w:szCs w:val="20"/>
        </w:rPr>
        <w:t xml:space="preserve"> </w:t>
      </w:r>
      <w:r w:rsidR="003B38BA" w:rsidRPr="004E6129">
        <w:rPr>
          <w:rFonts w:ascii="Cambria" w:eastAsia="Cambria" w:hAnsi="Cambria" w:cs="Cambria"/>
          <w:i/>
          <w:iCs/>
          <w:color w:val="231F20"/>
          <w:sz w:val="20"/>
          <w:szCs w:val="20"/>
          <w:u w:val="single"/>
        </w:rPr>
        <w:t>Recommandation de l’ICCAT concernant un plan de conservation et de gestion du thon rouge de l’Atlantique Ouest</w:t>
      </w:r>
      <w:r w:rsidR="003B38BA" w:rsidRPr="004E6129">
        <w:rPr>
          <w:rFonts w:ascii="Cambria" w:eastAsia="Cambria" w:hAnsi="Cambria" w:cs="Cambria"/>
          <w:i/>
          <w:iCs/>
          <w:color w:val="231F20"/>
          <w:sz w:val="20"/>
          <w:szCs w:val="20"/>
          <w:u w:val="single"/>
        </w:rPr>
        <w:t xml:space="preserve"> </w:t>
      </w:r>
      <w:r w:rsidRPr="004E6129">
        <w:rPr>
          <w:rFonts w:ascii="Cambria" w:eastAsia="Cambria" w:hAnsi="Cambria" w:cs="Cambria"/>
          <w:color w:val="231F20"/>
          <w:sz w:val="20"/>
          <w:szCs w:val="20"/>
          <w:u w:val="single"/>
        </w:rPr>
        <w:t>(Rec.</w:t>
      </w:r>
      <w:r w:rsidRPr="004E6129">
        <w:rPr>
          <w:u w:val="single"/>
        </w:rPr>
        <w:t xml:space="preserve"> </w:t>
      </w:r>
      <w:r w:rsidRPr="004E6129">
        <w:rPr>
          <w:rFonts w:ascii="Cambria" w:eastAsia="Cambria" w:hAnsi="Cambria" w:cs="Cambria"/>
          <w:color w:val="231F20"/>
          <w:sz w:val="20"/>
          <w:szCs w:val="20"/>
          <w:u w:val="single"/>
        </w:rPr>
        <w:t>2</w:t>
      </w:r>
      <w:r w:rsidR="00B05700" w:rsidRPr="004E6129">
        <w:rPr>
          <w:rFonts w:ascii="Cambria" w:eastAsia="Cambria" w:hAnsi="Cambria" w:cs="Cambria"/>
          <w:color w:val="231F20"/>
          <w:sz w:val="20"/>
          <w:szCs w:val="20"/>
          <w:u w:val="single"/>
        </w:rPr>
        <w:t>2</w:t>
      </w:r>
      <w:r w:rsidRPr="004E6129">
        <w:rPr>
          <w:rFonts w:ascii="Cambria" w:eastAsia="Cambria" w:hAnsi="Cambria" w:cs="Cambria"/>
          <w:color w:val="231F20"/>
          <w:sz w:val="20"/>
          <w:szCs w:val="20"/>
          <w:u w:val="single"/>
        </w:rPr>
        <w:t>-</w:t>
      </w:r>
      <w:r w:rsidR="00B05700" w:rsidRPr="004E6129">
        <w:rPr>
          <w:rFonts w:ascii="Cambria" w:eastAsia="Cambria" w:hAnsi="Cambria" w:cs="Cambria"/>
          <w:color w:val="231F20"/>
          <w:sz w:val="20"/>
          <w:szCs w:val="20"/>
          <w:u w:val="single"/>
        </w:rPr>
        <w:t>10</w:t>
      </w:r>
      <w:r w:rsidRPr="004E6129">
        <w:rPr>
          <w:rFonts w:ascii="Cambria" w:eastAsia="Cambria" w:hAnsi="Cambria" w:cs="Cambria"/>
          <w:color w:val="231F20"/>
          <w:sz w:val="20"/>
          <w:szCs w:val="20"/>
          <w:u w:val="single"/>
        </w:rPr>
        <w:t>).</w:t>
      </w:r>
    </w:p>
    <w:p w14:paraId="47317CDC" w14:textId="77777777" w:rsidR="00C57CC3" w:rsidRDefault="00C57CC3" w:rsidP="00C57CC3">
      <w:pPr>
        <w:pStyle w:val="ListParagraph"/>
        <w:rPr>
          <w:rFonts w:ascii="Cambria" w:eastAsia="Cambria" w:hAnsi="Cambria" w:cs="Cambria"/>
          <w:sz w:val="20"/>
          <w:szCs w:val="20"/>
        </w:rPr>
      </w:pPr>
    </w:p>
    <w:p w14:paraId="71C25486" w14:textId="77777777" w:rsidR="00C57CC3" w:rsidRPr="004E6129" w:rsidRDefault="00C57CC3" w:rsidP="00C57CC3">
      <w:pPr>
        <w:ind w:left="426"/>
        <w:jc w:val="both"/>
        <w:rPr>
          <w:rFonts w:ascii="Cambria" w:eastAsia="Cambria" w:hAnsi="Cambria" w:cs="Cambria"/>
          <w:sz w:val="20"/>
          <w:szCs w:val="20"/>
        </w:rPr>
      </w:pPr>
    </w:p>
    <w:sectPr w:rsidR="00C57CC3" w:rsidRPr="004E6129">
      <w:headerReference w:type="default" r:id="rId7"/>
      <w:footerReference w:type="default" r:id="rId8"/>
      <w:pgSz w:w="11907" w:h="16840"/>
      <w:pgMar w:top="1418" w:right="1418" w:bottom="1418" w:left="1418" w:header="851"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3A2E1" w14:textId="77777777" w:rsidR="00A32C42" w:rsidRDefault="00A32C42">
      <w:r>
        <w:separator/>
      </w:r>
    </w:p>
  </w:endnote>
  <w:endnote w:type="continuationSeparator" w:id="0">
    <w:p w14:paraId="261AB3E8" w14:textId="77777777" w:rsidR="00A32C42" w:rsidRDefault="00A32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3326387"/>
      <w:docPartObj>
        <w:docPartGallery w:val="Page Numbers (Bottom of Page)"/>
        <w:docPartUnique/>
      </w:docPartObj>
    </w:sdtPr>
    <w:sdtEndPr>
      <w:rPr>
        <w:rFonts w:asciiTheme="minorHAnsi" w:hAnsiTheme="minorHAnsi"/>
        <w:noProof/>
        <w:sz w:val="20"/>
        <w:szCs w:val="20"/>
      </w:rPr>
    </w:sdtEndPr>
    <w:sdtContent>
      <w:p w14:paraId="78F8395C" w14:textId="11D233EF" w:rsidR="00F51AFC" w:rsidRPr="004358E1" w:rsidRDefault="004358E1" w:rsidP="004358E1">
        <w:pPr>
          <w:pStyle w:val="Footer"/>
          <w:jc w:val="center"/>
          <w:rPr>
            <w:rFonts w:asciiTheme="minorHAnsi" w:hAnsiTheme="minorHAnsi"/>
            <w:sz w:val="20"/>
            <w:szCs w:val="20"/>
          </w:rPr>
        </w:pPr>
        <w:r w:rsidRPr="004358E1">
          <w:rPr>
            <w:rFonts w:asciiTheme="minorHAnsi" w:hAnsiTheme="minorHAnsi"/>
            <w:sz w:val="20"/>
            <w:szCs w:val="20"/>
          </w:rPr>
          <w:fldChar w:fldCharType="begin"/>
        </w:r>
        <w:r w:rsidRPr="004358E1">
          <w:rPr>
            <w:rFonts w:asciiTheme="minorHAnsi" w:hAnsiTheme="minorHAnsi"/>
            <w:sz w:val="20"/>
            <w:szCs w:val="20"/>
          </w:rPr>
          <w:instrText xml:space="preserve"> PAGE   \* MERGEFORMAT </w:instrText>
        </w:r>
        <w:r w:rsidRPr="004358E1">
          <w:rPr>
            <w:rFonts w:asciiTheme="minorHAnsi" w:hAnsiTheme="minorHAnsi"/>
            <w:sz w:val="20"/>
            <w:szCs w:val="20"/>
          </w:rPr>
          <w:fldChar w:fldCharType="separate"/>
        </w:r>
        <w:r w:rsidRPr="004358E1">
          <w:rPr>
            <w:rFonts w:asciiTheme="minorHAnsi" w:hAnsiTheme="minorHAnsi"/>
            <w:noProof/>
            <w:sz w:val="20"/>
            <w:szCs w:val="20"/>
          </w:rPr>
          <w:t>2</w:t>
        </w:r>
        <w:r w:rsidRPr="004358E1">
          <w:rPr>
            <w:rFonts w:asciiTheme="minorHAnsi" w:hAnsiTheme="minorHAnsi"/>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31A51" w14:textId="77777777" w:rsidR="00A32C42" w:rsidRDefault="00A32C42">
      <w:r>
        <w:separator/>
      </w:r>
    </w:p>
  </w:footnote>
  <w:footnote w:type="continuationSeparator" w:id="0">
    <w:p w14:paraId="74BFBFFE" w14:textId="77777777" w:rsidR="00A32C42" w:rsidRDefault="00A32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BCB75" w14:textId="7BEA3BA0" w:rsidR="00E83392" w:rsidRPr="00793F38" w:rsidRDefault="00E83392" w:rsidP="00E83392">
    <w:pPr>
      <w:tabs>
        <w:tab w:val="center" w:pos="4680"/>
        <w:tab w:val="left" w:pos="6520"/>
        <w:tab w:val="right" w:pos="9360"/>
        <w:tab w:val="right" w:pos="14240"/>
      </w:tabs>
      <w:jc w:val="right"/>
      <w:rPr>
        <w:rFonts w:ascii="Cambria" w:hAnsi="Cambria"/>
        <w:b/>
        <w:bCs/>
        <w:sz w:val="20"/>
        <w:szCs w:val="20"/>
      </w:rPr>
    </w:pPr>
    <w:bookmarkStart w:id="4" w:name="_Hlk107908354"/>
    <w:bookmarkStart w:id="5" w:name="_Hlk107908355"/>
    <w:bookmarkStart w:id="6" w:name="_Hlk107908359"/>
    <w:bookmarkStart w:id="7" w:name="_Hlk107908360"/>
    <w:bookmarkStart w:id="8" w:name="_Hlk107908361"/>
    <w:bookmarkStart w:id="9" w:name="_Hlk107908362"/>
    <w:r>
      <w:rPr>
        <w:rFonts w:ascii="Cambria" w:hAnsi="Cambria"/>
        <w:b/>
        <w:sz w:val="20"/>
      </w:rPr>
      <w:t>PA2_</w:t>
    </w:r>
    <w:r>
      <w:rPr>
        <w:rFonts w:ascii="Cambria" w:hAnsi="Cambria"/>
        <w:b/>
        <w:sz w:val="20"/>
      </w:rPr>
      <w:t>631</w:t>
    </w:r>
    <w:r>
      <w:rPr>
        <w:rFonts w:ascii="Cambria" w:hAnsi="Cambria"/>
        <w:b/>
        <w:sz w:val="20"/>
      </w:rPr>
      <w:t>/2025</w:t>
    </w:r>
  </w:p>
  <w:p w14:paraId="11B94B3B" w14:textId="77777777" w:rsidR="00E83392" w:rsidRPr="00793F38" w:rsidRDefault="00E83392" w:rsidP="00E83392">
    <w:pPr>
      <w:tabs>
        <w:tab w:val="left" w:pos="7320"/>
      </w:tabs>
      <w:spacing w:line="240" w:lineRule="exact"/>
      <w:jc w:val="right"/>
      <w:rPr>
        <w:rFonts w:ascii="Cambria" w:hAnsi="Cambria"/>
        <w:b/>
        <w:bCs/>
        <w:sz w:val="16"/>
        <w:szCs w:val="16"/>
      </w:rPr>
    </w:pPr>
    <w:r w:rsidRPr="00793F38">
      <w:rPr>
        <w:rFonts w:ascii="Cambria" w:hAnsi="Cambria"/>
        <w:b/>
        <w:sz w:val="16"/>
        <w:szCs w:val="24"/>
      </w:rPr>
      <w:fldChar w:fldCharType="begin"/>
    </w:r>
    <w:r w:rsidRPr="00793F38">
      <w:rPr>
        <w:rFonts w:ascii="Cambria" w:hAnsi="Cambria"/>
        <w:b/>
        <w:sz w:val="16"/>
      </w:rPr>
      <w:instrText xml:space="preserve"> TIME \@ "dd/MM/yyyy H:mm" </w:instrText>
    </w:r>
    <w:r w:rsidRPr="00793F38">
      <w:rPr>
        <w:rFonts w:ascii="Cambria" w:hAnsi="Cambria"/>
        <w:b/>
        <w:sz w:val="16"/>
        <w:szCs w:val="24"/>
      </w:rPr>
      <w:fldChar w:fldCharType="separate"/>
    </w:r>
    <w:r>
      <w:rPr>
        <w:rFonts w:ascii="Cambria" w:hAnsi="Cambria"/>
        <w:b/>
        <w:noProof/>
        <w:sz w:val="16"/>
      </w:rPr>
      <w:t>21/11/2025 15:29</w:t>
    </w:r>
    <w:r w:rsidRPr="00793F38">
      <w:rPr>
        <w:rFonts w:ascii="Cambria" w:hAnsi="Cambria"/>
        <w:b/>
        <w:bCs/>
        <w:sz w:val="16"/>
        <w:szCs w:val="16"/>
        <w:lang w:val="es-ES_tradnl"/>
      </w:rPr>
      <w:fldChar w:fldCharType="end"/>
    </w:r>
    <w:bookmarkEnd w:id="4"/>
    <w:bookmarkEnd w:id="5"/>
    <w:bookmarkEnd w:id="6"/>
    <w:bookmarkEnd w:id="7"/>
    <w:bookmarkEnd w:id="8"/>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11760"/>
    <w:multiLevelType w:val="multilevel"/>
    <w:tmpl w:val="C818CD58"/>
    <w:lvl w:ilvl="0">
      <w:start w:val="6"/>
      <w:numFmt w:val="decimal"/>
      <w:lvlText w:val="%1."/>
      <w:lvlJc w:val="left"/>
      <w:pPr>
        <w:ind w:left="534" w:hanging="401"/>
      </w:pPr>
      <w:rPr>
        <w:rFonts w:ascii="Cambria" w:eastAsia="Cambria" w:hAnsi="Cambria" w:cs="Cambria"/>
        <w:color w:val="231F20"/>
        <w:sz w:val="20"/>
        <w:szCs w:val="20"/>
      </w:rPr>
    </w:lvl>
    <w:lvl w:ilvl="1">
      <w:start w:val="3"/>
      <w:numFmt w:val="lowerLetter"/>
      <w:lvlText w:val="(%2)"/>
      <w:lvlJc w:val="left"/>
      <w:pPr>
        <w:ind w:left="797" w:hanging="268"/>
      </w:pPr>
      <w:rPr>
        <w:rFonts w:ascii="Cambria" w:eastAsia="Cambria" w:hAnsi="Cambria" w:cs="Cambria"/>
        <w:color w:val="231F20"/>
        <w:sz w:val="20"/>
        <w:szCs w:val="20"/>
        <w:u w:val="none"/>
      </w:r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1" w15:restartNumberingAfterBreak="0">
    <w:nsid w:val="08AE3E57"/>
    <w:multiLevelType w:val="multilevel"/>
    <w:tmpl w:val="9976E2E6"/>
    <w:lvl w:ilvl="0">
      <w:start w:val="6"/>
      <w:numFmt w:val="decimal"/>
      <w:lvlText w:val="%1."/>
      <w:lvlJc w:val="left"/>
      <w:pPr>
        <w:ind w:left="534" w:hanging="401"/>
      </w:pPr>
      <w:rPr>
        <w:rFonts w:ascii="Cambria" w:eastAsia="Cambria" w:hAnsi="Cambria" w:cs="Cambria"/>
        <w:color w:val="231F20"/>
        <w:sz w:val="20"/>
        <w:szCs w:val="20"/>
      </w:rPr>
    </w:lvl>
    <w:lvl w:ilvl="1">
      <w:start w:val="1"/>
      <w:numFmt w:val="lowerLetter"/>
      <w:lvlText w:val="(%2)"/>
      <w:lvlJc w:val="left"/>
      <w:pPr>
        <w:ind w:left="797" w:hanging="268"/>
      </w:pPr>
      <w:rPr>
        <w:rFonts w:ascii="Cambria" w:eastAsia="Cambria" w:hAnsi="Cambria" w:cs="Cambria"/>
        <w:color w:val="231F20"/>
        <w:sz w:val="20"/>
        <w:szCs w:val="20"/>
        <w:u w:val="none"/>
      </w:r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2" w15:restartNumberingAfterBreak="0">
    <w:nsid w:val="0AF63789"/>
    <w:multiLevelType w:val="multilevel"/>
    <w:tmpl w:val="6E0431C2"/>
    <w:lvl w:ilvl="0">
      <w:start w:val="19"/>
      <w:numFmt w:val="decimal"/>
      <w:lvlText w:val="%1."/>
      <w:lvlJc w:val="left"/>
      <w:pPr>
        <w:ind w:left="7347" w:hanging="401"/>
      </w:pPr>
      <w:rPr>
        <w:rFonts w:ascii="Cambria" w:eastAsia="Cambria" w:hAnsi="Cambria" w:cs="Cambria"/>
        <w:strike w:val="0"/>
        <w:color w:val="231F20"/>
        <w:sz w:val="20"/>
        <w:szCs w:val="20"/>
      </w:rPr>
    </w:lvl>
    <w:lvl w:ilvl="1">
      <w:start w:val="1"/>
      <w:numFmt w:val="lowerLetter"/>
      <w:lvlText w:val="(%2)"/>
      <w:lvlJc w:val="left"/>
      <w:pPr>
        <w:ind w:left="797" w:hanging="268"/>
      </w:pPr>
      <w:rPr>
        <w:rFonts w:ascii="Cambria" w:eastAsia="Cambria" w:hAnsi="Cambria" w:cs="Cambria"/>
        <w:color w:val="231F20"/>
        <w:sz w:val="20"/>
        <w:szCs w:val="20"/>
        <w:u w:val="none"/>
      </w:r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3" w15:restartNumberingAfterBreak="0">
    <w:nsid w:val="34252C8A"/>
    <w:multiLevelType w:val="hybridMultilevel"/>
    <w:tmpl w:val="FDA430DA"/>
    <w:lvl w:ilvl="0" w:tplc="BF92E7B8">
      <w:start w:val="1"/>
      <w:numFmt w:val="lowerLetter"/>
      <w:lvlText w:val="%1)"/>
      <w:lvlJc w:val="left"/>
      <w:pPr>
        <w:ind w:left="720" w:hanging="360"/>
      </w:pPr>
      <w:rPr>
        <w:rFonts w:eastAsia="Calibri" w:cs="Calibri"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7112AF"/>
    <w:multiLevelType w:val="multilevel"/>
    <w:tmpl w:val="82104060"/>
    <w:lvl w:ilvl="0">
      <w:start w:val="1"/>
      <w:numFmt w:val="decimal"/>
      <w:lvlText w:val="%1."/>
      <w:lvlJc w:val="left"/>
      <w:pPr>
        <w:ind w:left="7347" w:hanging="401"/>
      </w:pPr>
      <w:rPr>
        <w:rFonts w:ascii="Cambria" w:eastAsia="Cambria" w:hAnsi="Cambria" w:cs="Cambria"/>
        <w:b w:val="0"/>
        <w:bCs/>
        <w:i w:val="0"/>
        <w:strike w:val="0"/>
        <w:color w:val="231F20"/>
        <w:sz w:val="20"/>
        <w:szCs w:val="20"/>
      </w:rPr>
    </w:lvl>
    <w:lvl w:ilvl="1">
      <w:start w:val="1"/>
      <w:numFmt w:val="lowerLetter"/>
      <w:lvlText w:val="(%2)"/>
      <w:lvlJc w:val="left"/>
      <w:pPr>
        <w:ind w:left="797" w:hanging="268"/>
      </w:pPr>
      <w:rPr>
        <w:rFonts w:ascii="Cambria" w:eastAsia="Cambria" w:hAnsi="Cambria" w:cs="Cambria"/>
        <w:color w:val="231F20"/>
        <w:sz w:val="20"/>
        <w:szCs w:val="20"/>
        <w:u w:val="none"/>
      </w:r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5" w15:restartNumberingAfterBreak="0">
    <w:nsid w:val="35316726"/>
    <w:multiLevelType w:val="hybridMultilevel"/>
    <w:tmpl w:val="FDA430DA"/>
    <w:lvl w:ilvl="0" w:tplc="FFFFFFFF">
      <w:start w:val="1"/>
      <w:numFmt w:val="lowerLetter"/>
      <w:lvlText w:val="%1)"/>
      <w:lvlJc w:val="left"/>
      <w:pPr>
        <w:ind w:left="720" w:hanging="360"/>
      </w:pPr>
      <w:rPr>
        <w:rFonts w:eastAsia="Calibri" w:cs="Calibri" w:hint="default"/>
        <w:color w:val="231F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DE17F30"/>
    <w:multiLevelType w:val="multilevel"/>
    <w:tmpl w:val="E2E05CBE"/>
    <w:lvl w:ilvl="0">
      <w:start w:val="15"/>
      <w:numFmt w:val="decimal"/>
      <w:lvlText w:val="%1."/>
      <w:lvlJc w:val="left"/>
      <w:pPr>
        <w:ind w:left="7347" w:hanging="401"/>
      </w:pPr>
      <w:rPr>
        <w:rFonts w:ascii="Cambria" w:eastAsia="Cambria" w:hAnsi="Cambria" w:cs="Cambria"/>
        <w:strike w:val="0"/>
        <w:color w:val="231F20"/>
        <w:sz w:val="20"/>
        <w:szCs w:val="20"/>
      </w:rPr>
    </w:lvl>
    <w:lvl w:ilvl="1">
      <w:start w:val="1"/>
      <w:numFmt w:val="lowerLetter"/>
      <w:lvlText w:val="(%2)"/>
      <w:lvlJc w:val="left"/>
      <w:pPr>
        <w:ind w:left="797" w:hanging="268"/>
      </w:pPr>
      <w:rPr>
        <w:rFonts w:ascii="Cambria" w:eastAsia="Cambria" w:hAnsi="Cambria" w:cs="Cambria"/>
        <w:color w:val="231F20"/>
        <w:sz w:val="20"/>
        <w:szCs w:val="20"/>
        <w:u w:val="none"/>
      </w:r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7" w15:restartNumberingAfterBreak="0">
    <w:nsid w:val="75A45626"/>
    <w:multiLevelType w:val="hybridMultilevel"/>
    <w:tmpl w:val="7C483D68"/>
    <w:lvl w:ilvl="0" w:tplc="92008ECE">
      <w:start w:val="1"/>
      <w:numFmt w:val="bullet"/>
      <w:lvlText w:val="-"/>
      <w:lvlJc w:val="center"/>
      <w:pPr>
        <w:ind w:left="1248" w:hanging="360"/>
      </w:pPr>
      <w:rPr>
        <w:rFonts w:ascii="Cambria" w:hAnsi="Cambria" w:hint="default"/>
      </w:rPr>
    </w:lvl>
    <w:lvl w:ilvl="1" w:tplc="040C0003" w:tentative="1">
      <w:start w:val="1"/>
      <w:numFmt w:val="bullet"/>
      <w:lvlText w:val="o"/>
      <w:lvlJc w:val="left"/>
      <w:pPr>
        <w:ind w:left="1968" w:hanging="360"/>
      </w:pPr>
      <w:rPr>
        <w:rFonts w:ascii="Courier New" w:hAnsi="Courier New" w:cs="Courier New" w:hint="default"/>
      </w:rPr>
    </w:lvl>
    <w:lvl w:ilvl="2" w:tplc="040C0005" w:tentative="1">
      <w:start w:val="1"/>
      <w:numFmt w:val="bullet"/>
      <w:lvlText w:val=""/>
      <w:lvlJc w:val="left"/>
      <w:pPr>
        <w:ind w:left="2688" w:hanging="360"/>
      </w:pPr>
      <w:rPr>
        <w:rFonts w:ascii="Wingdings" w:hAnsi="Wingdings" w:hint="default"/>
      </w:rPr>
    </w:lvl>
    <w:lvl w:ilvl="3" w:tplc="040C0001" w:tentative="1">
      <w:start w:val="1"/>
      <w:numFmt w:val="bullet"/>
      <w:lvlText w:val=""/>
      <w:lvlJc w:val="left"/>
      <w:pPr>
        <w:ind w:left="3408" w:hanging="360"/>
      </w:pPr>
      <w:rPr>
        <w:rFonts w:ascii="Symbol" w:hAnsi="Symbol" w:hint="default"/>
      </w:rPr>
    </w:lvl>
    <w:lvl w:ilvl="4" w:tplc="040C0003" w:tentative="1">
      <w:start w:val="1"/>
      <w:numFmt w:val="bullet"/>
      <w:lvlText w:val="o"/>
      <w:lvlJc w:val="left"/>
      <w:pPr>
        <w:ind w:left="4128" w:hanging="360"/>
      </w:pPr>
      <w:rPr>
        <w:rFonts w:ascii="Courier New" w:hAnsi="Courier New" w:cs="Courier New" w:hint="default"/>
      </w:rPr>
    </w:lvl>
    <w:lvl w:ilvl="5" w:tplc="040C0005" w:tentative="1">
      <w:start w:val="1"/>
      <w:numFmt w:val="bullet"/>
      <w:lvlText w:val=""/>
      <w:lvlJc w:val="left"/>
      <w:pPr>
        <w:ind w:left="4848" w:hanging="360"/>
      </w:pPr>
      <w:rPr>
        <w:rFonts w:ascii="Wingdings" w:hAnsi="Wingdings" w:hint="default"/>
      </w:rPr>
    </w:lvl>
    <w:lvl w:ilvl="6" w:tplc="040C0001" w:tentative="1">
      <w:start w:val="1"/>
      <w:numFmt w:val="bullet"/>
      <w:lvlText w:val=""/>
      <w:lvlJc w:val="left"/>
      <w:pPr>
        <w:ind w:left="5568" w:hanging="360"/>
      </w:pPr>
      <w:rPr>
        <w:rFonts w:ascii="Symbol" w:hAnsi="Symbol" w:hint="default"/>
      </w:rPr>
    </w:lvl>
    <w:lvl w:ilvl="7" w:tplc="040C0003" w:tentative="1">
      <w:start w:val="1"/>
      <w:numFmt w:val="bullet"/>
      <w:lvlText w:val="o"/>
      <w:lvlJc w:val="left"/>
      <w:pPr>
        <w:ind w:left="6288" w:hanging="360"/>
      </w:pPr>
      <w:rPr>
        <w:rFonts w:ascii="Courier New" w:hAnsi="Courier New" w:cs="Courier New" w:hint="default"/>
      </w:rPr>
    </w:lvl>
    <w:lvl w:ilvl="8" w:tplc="040C0005" w:tentative="1">
      <w:start w:val="1"/>
      <w:numFmt w:val="bullet"/>
      <w:lvlText w:val=""/>
      <w:lvlJc w:val="left"/>
      <w:pPr>
        <w:ind w:left="7008" w:hanging="360"/>
      </w:pPr>
      <w:rPr>
        <w:rFonts w:ascii="Wingdings" w:hAnsi="Wingdings" w:hint="default"/>
      </w:rPr>
    </w:lvl>
  </w:abstractNum>
  <w:abstractNum w:abstractNumId="8" w15:restartNumberingAfterBreak="0">
    <w:nsid w:val="788D79E2"/>
    <w:multiLevelType w:val="multilevel"/>
    <w:tmpl w:val="3440FE3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1724911494">
    <w:abstractNumId w:val="8"/>
  </w:num>
  <w:num w:numId="2" w16cid:durableId="1438058686">
    <w:abstractNumId w:val="6"/>
  </w:num>
  <w:num w:numId="3" w16cid:durableId="1842500077">
    <w:abstractNumId w:val="1"/>
  </w:num>
  <w:num w:numId="4" w16cid:durableId="393747884">
    <w:abstractNumId w:val="2"/>
  </w:num>
  <w:num w:numId="5" w16cid:durableId="897474727">
    <w:abstractNumId w:val="4"/>
  </w:num>
  <w:num w:numId="6" w16cid:durableId="1815491468">
    <w:abstractNumId w:val="0"/>
  </w:num>
  <w:num w:numId="7" w16cid:durableId="328366885">
    <w:abstractNumId w:val="7"/>
  </w:num>
  <w:num w:numId="8" w16cid:durableId="1185443289">
    <w:abstractNumId w:val="3"/>
  </w:num>
  <w:num w:numId="9" w16cid:durableId="1598056429">
    <w:abstractNumId w:val="5"/>
  </w:num>
  <w:num w:numId="10" w16cid:durableId="1612472205">
    <w:abstractNumId w:val="4"/>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1AFC"/>
    <w:rsid w:val="00002461"/>
    <w:rsid w:val="00004570"/>
    <w:rsid w:val="00007989"/>
    <w:rsid w:val="00017436"/>
    <w:rsid w:val="000343DA"/>
    <w:rsid w:val="00057035"/>
    <w:rsid w:val="00070ED2"/>
    <w:rsid w:val="00085CAE"/>
    <w:rsid w:val="000B1E75"/>
    <w:rsid w:val="000E5B9F"/>
    <w:rsid w:val="000F2482"/>
    <w:rsid w:val="000F44C9"/>
    <w:rsid w:val="00113CA6"/>
    <w:rsid w:val="00122489"/>
    <w:rsid w:val="00150619"/>
    <w:rsid w:val="00150AB3"/>
    <w:rsid w:val="0015719C"/>
    <w:rsid w:val="00160D71"/>
    <w:rsid w:val="00161FCA"/>
    <w:rsid w:val="001621AF"/>
    <w:rsid w:val="00173C70"/>
    <w:rsid w:val="001904ED"/>
    <w:rsid w:val="001911DE"/>
    <w:rsid w:val="00191374"/>
    <w:rsid w:val="00197D0F"/>
    <w:rsid w:val="001B06E2"/>
    <w:rsid w:val="001B3286"/>
    <w:rsid w:val="001F1FF2"/>
    <w:rsid w:val="001F7F27"/>
    <w:rsid w:val="002155E3"/>
    <w:rsid w:val="00220726"/>
    <w:rsid w:val="00225377"/>
    <w:rsid w:val="0026310B"/>
    <w:rsid w:val="0026494C"/>
    <w:rsid w:val="00271212"/>
    <w:rsid w:val="00275FAE"/>
    <w:rsid w:val="002764D7"/>
    <w:rsid w:val="00276950"/>
    <w:rsid w:val="0028194D"/>
    <w:rsid w:val="002865A6"/>
    <w:rsid w:val="002979C6"/>
    <w:rsid w:val="002D1F7B"/>
    <w:rsid w:val="002D46AC"/>
    <w:rsid w:val="002E7F17"/>
    <w:rsid w:val="00305F89"/>
    <w:rsid w:val="00312E1C"/>
    <w:rsid w:val="00316E06"/>
    <w:rsid w:val="00324140"/>
    <w:rsid w:val="003707FE"/>
    <w:rsid w:val="0037468B"/>
    <w:rsid w:val="0039053B"/>
    <w:rsid w:val="0039055E"/>
    <w:rsid w:val="003B03FA"/>
    <w:rsid w:val="003B38BA"/>
    <w:rsid w:val="003C63DE"/>
    <w:rsid w:val="003E2C69"/>
    <w:rsid w:val="003E2E56"/>
    <w:rsid w:val="003E4B35"/>
    <w:rsid w:val="003E5FFF"/>
    <w:rsid w:val="003F3D45"/>
    <w:rsid w:val="004033A2"/>
    <w:rsid w:val="00414847"/>
    <w:rsid w:val="00416E35"/>
    <w:rsid w:val="004358E1"/>
    <w:rsid w:val="00462B01"/>
    <w:rsid w:val="00471436"/>
    <w:rsid w:val="0048328E"/>
    <w:rsid w:val="004964F0"/>
    <w:rsid w:val="004B4CE7"/>
    <w:rsid w:val="004C2645"/>
    <w:rsid w:val="004D0A0F"/>
    <w:rsid w:val="004E6129"/>
    <w:rsid w:val="004F789E"/>
    <w:rsid w:val="00510ED7"/>
    <w:rsid w:val="00514E43"/>
    <w:rsid w:val="00520770"/>
    <w:rsid w:val="0055404F"/>
    <w:rsid w:val="005639E4"/>
    <w:rsid w:val="00570BE5"/>
    <w:rsid w:val="00575C4F"/>
    <w:rsid w:val="005814D5"/>
    <w:rsid w:val="005924F0"/>
    <w:rsid w:val="00592C09"/>
    <w:rsid w:val="00595393"/>
    <w:rsid w:val="005A2E06"/>
    <w:rsid w:val="005B05C3"/>
    <w:rsid w:val="005B3BCD"/>
    <w:rsid w:val="005B4604"/>
    <w:rsid w:val="005B66C1"/>
    <w:rsid w:val="005B695E"/>
    <w:rsid w:val="005F238C"/>
    <w:rsid w:val="005F4EB2"/>
    <w:rsid w:val="00600BC3"/>
    <w:rsid w:val="00605BA7"/>
    <w:rsid w:val="006243C7"/>
    <w:rsid w:val="006265C4"/>
    <w:rsid w:val="00680079"/>
    <w:rsid w:val="00682C25"/>
    <w:rsid w:val="006B4D3C"/>
    <w:rsid w:val="006C4B64"/>
    <w:rsid w:val="006D4E33"/>
    <w:rsid w:val="006D5532"/>
    <w:rsid w:val="006D7D4E"/>
    <w:rsid w:val="00701029"/>
    <w:rsid w:val="007042E4"/>
    <w:rsid w:val="007057A8"/>
    <w:rsid w:val="00737D95"/>
    <w:rsid w:val="007451E3"/>
    <w:rsid w:val="00752139"/>
    <w:rsid w:val="00754873"/>
    <w:rsid w:val="0076490B"/>
    <w:rsid w:val="00782999"/>
    <w:rsid w:val="00784DF4"/>
    <w:rsid w:val="007A3801"/>
    <w:rsid w:val="007D78EC"/>
    <w:rsid w:val="007E6C45"/>
    <w:rsid w:val="007F3417"/>
    <w:rsid w:val="0080205D"/>
    <w:rsid w:val="008105C3"/>
    <w:rsid w:val="00810AE1"/>
    <w:rsid w:val="00820920"/>
    <w:rsid w:val="00826960"/>
    <w:rsid w:val="00826E7A"/>
    <w:rsid w:val="00843582"/>
    <w:rsid w:val="008441F9"/>
    <w:rsid w:val="00861CE4"/>
    <w:rsid w:val="00886458"/>
    <w:rsid w:val="00890747"/>
    <w:rsid w:val="008A3868"/>
    <w:rsid w:val="008B05B4"/>
    <w:rsid w:val="008B4373"/>
    <w:rsid w:val="008C5B6B"/>
    <w:rsid w:val="008C6D7E"/>
    <w:rsid w:val="008D0E83"/>
    <w:rsid w:val="008F481B"/>
    <w:rsid w:val="00901710"/>
    <w:rsid w:val="00905434"/>
    <w:rsid w:val="00952A65"/>
    <w:rsid w:val="00960180"/>
    <w:rsid w:val="00961FCC"/>
    <w:rsid w:val="00992B73"/>
    <w:rsid w:val="009967C6"/>
    <w:rsid w:val="009A17D9"/>
    <w:rsid w:val="009A1B4E"/>
    <w:rsid w:val="009A5DB5"/>
    <w:rsid w:val="009A7EA1"/>
    <w:rsid w:val="009B59DC"/>
    <w:rsid w:val="009C1C59"/>
    <w:rsid w:val="009C3423"/>
    <w:rsid w:val="009D1852"/>
    <w:rsid w:val="009D3F12"/>
    <w:rsid w:val="009D6349"/>
    <w:rsid w:val="009E219F"/>
    <w:rsid w:val="009E4171"/>
    <w:rsid w:val="009F2C64"/>
    <w:rsid w:val="00A045AB"/>
    <w:rsid w:val="00A10CC7"/>
    <w:rsid w:val="00A168A4"/>
    <w:rsid w:val="00A26BF5"/>
    <w:rsid w:val="00A315A3"/>
    <w:rsid w:val="00A32C42"/>
    <w:rsid w:val="00A57C19"/>
    <w:rsid w:val="00A609F5"/>
    <w:rsid w:val="00A65C20"/>
    <w:rsid w:val="00A76DBC"/>
    <w:rsid w:val="00A7753C"/>
    <w:rsid w:val="00A81C84"/>
    <w:rsid w:val="00A83DC6"/>
    <w:rsid w:val="00A85856"/>
    <w:rsid w:val="00A90E3B"/>
    <w:rsid w:val="00A93739"/>
    <w:rsid w:val="00AA5339"/>
    <w:rsid w:val="00AB574E"/>
    <w:rsid w:val="00AC1551"/>
    <w:rsid w:val="00AC3854"/>
    <w:rsid w:val="00AC6310"/>
    <w:rsid w:val="00AD2B69"/>
    <w:rsid w:val="00AD6E7D"/>
    <w:rsid w:val="00AD7557"/>
    <w:rsid w:val="00AF2428"/>
    <w:rsid w:val="00AF3268"/>
    <w:rsid w:val="00B017E5"/>
    <w:rsid w:val="00B0256B"/>
    <w:rsid w:val="00B03AE4"/>
    <w:rsid w:val="00B05700"/>
    <w:rsid w:val="00B068B0"/>
    <w:rsid w:val="00B11106"/>
    <w:rsid w:val="00B2168F"/>
    <w:rsid w:val="00B229C7"/>
    <w:rsid w:val="00B2399F"/>
    <w:rsid w:val="00B4388C"/>
    <w:rsid w:val="00B57FAB"/>
    <w:rsid w:val="00B67BEE"/>
    <w:rsid w:val="00B72114"/>
    <w:rsid w:val="00B82271"/>
    <w:rsid w:val="00B8458C"/>
    <w:rsid w:val="00B86037"/>
    <w:rsid w:val="00B90C15"/>
    <w:rsid w:val="00B91892"/>
    <w:rsid w:val="00BA57B5"/>
    <w:rsid w:val="00BA6461"/>
    <w:rsid w:val="00BB709E"/>
    <w:rsid w:val="00BB78CC"/>
    <w:rsid w:val="00BC1FF7"/>
    <w:rsid w:val="00BC62DB"/>
    <w:rsid w:val="00BD112E"/>
    <w:rsid w:val="00BD4947"/>
    <w:rsid w:val="00BD75E5"/>
    <w:rsid w:val="00BF7780"/>
    <w:rsid w:val="00C103E8"/>
    <w:rsid w:val="00C1368B"/>
    <w:rsid w:val="00C20723"/>
    <w:rsid w:val="00C23920"/>
    <w:rsid w:val="00C57CC3"/>
    <w:rsid w:val="00C6243A"/>
    <w:rsid w:val="00C72DE9"/>
    <w:rsid w:val="00C95149"/>
    <w:rsid w:val="00C97089"/>
    <w:rsid w:val="00C970F0"/>
    <w:rsid w:val="00CA34C1"/>
    <w:rsid w:val="00CA6385"/>
    <w:rsid w:val="00CA7619"/>
    <w:rsid w:val="00CD105D"/>
    <w:rsid w:val="00CD28E0"/>
    <w:rsid w:val="00CD344F"/>
    <w:rsid w:val="00CF5E2D"/>
    <w:rsid w:val="00CF6CCF"/>
    <w:rsid w:val="00D039A8"/>
    <w:rsid w:val="00D0426E"/>
    <w:rsid w:val="00D17DE6"/>
    <w:rsid w:val="00D23F12"/>
    <w:rsid w:val="00D5222F"/>
    <w:rsid w:val="00D55931"/>
    <w:rsid w:val="00D57518"/>
    <w:rsid w:val="00D57890"/>
    <w:rsid w:val="00D61874"/>
    <w:rsid w:val="00D70053"/>
    <w:rsid w:val="00D72EF2"/>
    <w:rsid w:val="00D7482E"/>
    <w:rsid w:val="00D952AD"/>
    <w:rsid w:val="00DA0817"/>
    <w:rsid w:val="00DA1364"/>
    <w:rsid w:val="00DA1928"/>
    <w:rsid w:val="00DB436E"/>
    <w:rsid w:val="00DC079F"/>
    <w:rsid w:val="00DD0249"/>
    <w:rsid w:val="00DD7553"/>
    <w:rsid w:val="00DE472C"/>
    <w:rsid w:val="00DF040E"/>
    <w:rsid w:val="00DF308D"/>
    <w:rsid w:val="00E021F2"/>
    <w:rsid w:val="00E05E1F"/>
    <w:rsid w:val="00E06D6F"/>
    <w:rsid w:val="00E1220B"/>
    <w:rsid w:val="00E30342"/>
    <w:rsid w:val="00E45765"/>
    <w:rsid w:val="00E473B1"/>
    <w:rsid w:val="00E72664"/>
    <w:rsid w:val="00E73F93"/>
    <w:rsid w:val="00E751C8"/>
    <w:rsid w:val="00E76FD8"/>
    <w:rsid w:val="00E83392"/>
    <w:rsid w:val="00E85425"/>
    <w:rsid w:val="00E900E3"/>
    <w:rsid w:val="00E91D07"/>
    <w:rsid w:val="00EB50CC"/>
    <w:rsid w:val="00EC0A9D"/>
    <w:rsid w:val="00EC51F8"/>
    <w:rsid w:val="00EE7C61"/>
    <w:rsid w:val="00EF58DC"/>
    <w:rsid w:val="00F0667A"/>
    <w:rsid w:val="00F07264"/>
    <w:rsid w:val="00F07415"/>
    <w:rsid w:val="00F11C7A"/>
    <w:rsid w:val="00F132C2"/>
    <w:rsid w:val="00F1736F"/>
    <w:rsid w:val="00F50C5C"/>
    <w:rsid w:val="00F51AFC"/>
    <w:rsid w:val="00F57B75"/>
    <w:rsid w:val="00F62A8D"/>
    <w:rsid w:val="00F64DE6"/>
    <w:rsid w:val="00F72120"/>
    <w:rsid w:val="00FB3BFD"/>
    <w:rsid w:val="00FD7389"/>
    <w:rsid w:val="00FF5826"/>
    <w:rsid w:val="00FF7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4D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FR"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ind w:left="133"/>
      <w:outlineLvl w:val="0"/>
    </w:pPr>
    <w:rPr>
      <w:rFonts w:ascii="Times New Roman" w:eastAsia="Times New Roman" w:hAnsi="Times New Roman" w:cs="Times New Roman"/>
      <w:b/>
      <w:i/>
      <w:sz w:val="19"/>
      <w:szCs w:val="19"/>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paragraph" w:styleId="ListParagraph">
    <w:name w:val="List Paragraph"/>
    <w:basedOn w:val="Normal"/>
    <w:uiPriority w:val="34"/>
    <w:qFormat/>
    <w:rsid w:val="00416E35"/>
    <w:pPr>
      <w:ind w:left="720"/>
      <w:contextualSpacing/>
    </w:pPr>
  </w:style>
  <w:style w:type="paragraph" w:styleId="BalloonText">
    <w:name w:val="Balloon Text"/>
    <w:basedOn w:val="Normal"/>
    <w:link w:val="BalloonTextChar"/>
    <w:uiPriority w:val="99"/>
    <w:semiHidden/>
    <w:unhideWhenUsed/>
    <w:rsid w:val="00EB50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50CC"/>
    <w:rPr>
      <w:rFonts w:ascii="Segoe UI" w:hAnsi="Segoe UI" w:cs="Segoe UI"/>
      <w:sz w:val="18"/>
      <w:szCs w:val="18"/>
    </w:rPr>
  </w:style>
  <w:style w:type="paragraph" w:styleId="Revision">
    <w:name w:val="Revision"/>
    <w:hidden/>
    <w:uiPriority w:val="99"/>
    <w:semiHidden/>
    <w:rsid w:val="00070ED2"/>
    <w:pPr>
      <w:widowControl/>
    </w:pPr>
  </w:style>
  <w:style w:type="paragraph" w:styleId="Header">
    <w:name w:val="header"/>
    <w:basedOn w:val="Normal"/>
    <w:link w:val="HeaderChar"/>
    <w:uiPriority w:val="99"/>
    <w:unhideWhenUsed/>
    <w:rsid w:val="007057A8"/>
    <w:pPr>
      <w:tabs>
        <w:tab w:val="center" w:pos="4680"/>
        <w:tab w:val="right" w:pos="9360"/>
      </w:tabs>
    </w:pPr>
  </w:style>
  <w:style w:type="character" w:customStyle="1" w:styleId="HeaderChar">
    <w:name w:val="Header Char"/>
    <w:basedOn w:val="DefaultParagraphFont"/>
    <w:link w:val="Header"/>
    <w:uiPriority w:val="99"/>
    <w:rsid w:val="007057A8"/>
  </w:style>
  <w:style w:type="paragraph" w:styleId="Footer">
    <w:name w:val="footer"/>
    <w:basedOn w:val="Normal"/>
    <w:link w:val="FooterChar"/>
    <w:uiPriority w:val="99"/>
    <w:unhideWhenUsed/>
    <w:rsid w:val="007057A8"/>
    <w:pPr>
      <w:tabs>
        <w:tab w:val="center" w:pos="4680"/>
        <w:tab w:val="right" w:pos="9360"/>
      </w:tabs>
    </w:pPr>
  </w:style>
  <w:style w:type="character" w:customStyle="1" w:styleId="FooterChar">
    <w:name w:val="Footer Char"/>
    <w:basedOn w:val="DefaultParagraphFont"/>
    <w:link w:val="Footer"/>
    <w:uiPriority w:val="99"/>
    <w:rsid w:val="007057A8"/>
  </w:style>
  <w:style w:type="table" w:styleId="TableGrid">
    <w:name w:val="Table Grid"/>
    <w:basedOn w:val="TableNormal"/>
    <w:uiPriority w:val="39"/>
    <w:rsid w:val="00A10C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2620</Words>
  <Characters>14939</Characters>
  <Application>Microsoft Office Word</Application>
  <DocSecurity>0</DocSecurity>
  <Lines>124</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17524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2022-11-08T08:42:00Z</dcterms:created>
  <dcterms:modified xsi:type="dcterms:W3CDTF">2025-11-21T16:04:00Z</dcterms:modified>
</cp:coreProperties>
</file>