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BCE00" w14:textId="7752198B" w:rsidR="000C45CD" w:rsidRPr="00C256BB" w:rsidRDefault="000C45CD" w:rsidP="000C45CD">
      <w:pPr>
        <w:pStyle w:val="Heading7"/>
      </w:pPr>
      <w:r w:rsidRPr="00C256BB">
        <w:t>Original: inglés</w:t>
      </w:r>
    </w:p>
    <w:p w14:paraId="30B05B4F" w14:textId="77777777" w:rsidR="000C45CD" w:rsidRPr="00C256BB" w:rsidRDefault="000C45CD" w:rsidP="000C45CD">
      <w:pPr>
        <w:pStyle w:val="Heading8"/>
      </w:pPr>
    </w:p>
    <w:p w14:paraId="0DB1C408" w14:textId="77777777" w:rsidR="00BE0152" w:rsidRPr="00C256BB" w:rsidRDefault="000C45CD" w:rsidP="004E5F69">
      <w:pPr>
        <w:pStyle w:val="Heading8"/>
        <w:rPr>
          <w:i w:val="0"/>
          <w:iCs/>
        </w:rPr>
      </w:pPr>
      <w:r w:rsidRPr="00C256BB">
        <w:rPr>
          <w:i w:val="0"/>
          <w:iCs/>
        </w:rPr>
        <w:t>Proyecto de Recomendación de ICCAT que enmienda la Recomendación</w:t>
      </w:r>
      <w:r w:rsidR="004E5F69" w:rsidRPr="00C256BB">
        <w:rPr>
          <w:i w:val="0"/>
          <w:iCs/>
        </w:rPr>
        <w:t xml:space="preserve"> 22-10 </w:t>
      </w:r>
    </w:p>
    <w:p w14:paraId="7250A1F8" w14:textId="381B6300" w:rsidR="005D5654" w:rsidRPr="00C256BB" w:rsidRDefault="000C45CD" w:rsidP="004E5F69">
      <w:pPr>
        <w:pStyle w:val="Heading8"/>
        <w:rPr>
          <w:i w:val="0"/>
          <w:iCs/>
        </w:rPr>
      </w:pPr>
      <w:r w:rsidRPr="00C256BB">
        <w:rPr>
          <w:i w:val="0"/>
          <w:iCs/>
        </w:rPr>
        <w:t>para un plan de conservación</w:t>
      </w:r>
      <w:r w:rsidR="004E5F69" w:rsidRPr="00C256BB">
        <w:rPr>
          <w:i w:val="0"/>
          <w:iCs/>
        </w:rPr>
        <w:t xml:space="preserve"> </w:t>
      </w:r>
      <w:r w:rsidRPr="00C256BB">
        <w:rPr>
          <w:i w:val="0"/>
          <w:iCs/>
        </w:rPr>
        <w:t xml:space="preserve">y ordenación para el atún rojo del </w:t>
      </w:r>
      <w:r w:rsidR="004E5F69" w:rsidRPr="00C256BB">
        <w:rPr>
          <w:i w:val="0"/>
          <w:iCs/>
        </w:rPr>
        <w:t xml:space="preserve">Atlántico </w:t>
      </w:r>
      <w:r w:rsidRPr="00C256BB">
        <w:rPr>
          <w:i w:val="0"/>
          <w:iCs/>
        </w:rPr>
        <w:t>oeste</w:t>
      </w:r>
    </w:p>
    <w:p w14:paraId="30A34A6B" w14:textId="77777777" w:rsidR="000C45CD" w:rsidRPr="00C256BB" w:rsidRDefault="000C45CD" w:rsidP="000C45CD">
      <w:pPr>
        <w:tabs>
          <w:tab w:val="left" w:pos="426"/>
          <w:tab w:val="center" w:pos="4680"/>
          <w:tab w:val="left" w:pos="6430"/>
        </w:tabs>
        <w:jc w:val="center"/>
        <w:rPr>
          <w:rFonts w:ascii="Cambria" w:hAnsi="Cambria"/>
          <w:iCs/>
          <w:color w:val="231F20"/>
          <w:sz w:val="20"/>
          <w:szCs w:val="20"/>
        </w:rPr>
      </w:pPr>
    </w:p>
    <w:p w14:paraId="36B1BB48" w14:textId="7370275F" w:rsidR="000C45CD" w:rsidRPr="00C256BB" w:rsidRDefault="000C45CD" w:rsidP="000C45CD">
      <w:pPr>
        <w:tabs>
          <w:tab w:val="left" w:pos="426"/>
          <w:tab w:val="center" w:pos="4680"/>
          <w:tab w:val="left" w:pos="6430"/>
        </w:tabs>
        <w:jc w:val="center"/>
        <w:rPr>
          <w:rFonts w:ascii="Cambria" w:hAnsi="Cambria"/>
          <w:i/>
          <w:color w:val="231F20"/>
          <w:sz w:val="20"/>
          <w:szCs w:val="20"/>
        </w:rPr>
      </w:pPr>
      <w:r w:rsidRPr="00C256BB">
        <w:rPr>
          <w:rFonts w:ascii="Cambria" w:hAnsi="Cambria"/>
          <w:i/>
          <w:color w:val="231F20"/>
          <w:sz w:val="20"/>
          <w:szCs w:val="20"/>
        </w:rPr>
        <w:t>(presentado por el presidente de la Subcomisión 2)</w:t>
      </w:r>
    </w:p>
    <w:p w14:paraId="22A75189" w14:textId="77777777" w:rsidR="000C45CD" w:rsidRPr="00C256BB" w:rsidRDefault="000C45CD" w:rsidP="000C45CD">
      <w:pPr>
        <w:tabs>
          <w:tab w:val="left" w:pos="426"/>
          <w:tab w:val="center" w:pos="4680"/>
          <w:tab w:val="left" w:pos="6430"/>
        </w:tabs>
        <w:jc w:val="center"/>
        <w:rPr>
          <w:rFonts w:ascii="Cambria" w:hAnsi="Cambria"/>
          <w:b/>
          <w:bCs/>
          <w:i/>
          <w:color w:val="231F20"/>
          <w:sz w:val="20"/>
          <w:szCs w:val="20"/>
        </w:rPr>
      </w:pPr>
    </w:p>
    <w:p w14:paraId="1A62AA98" w14:textId="77777777" w:rsidR="005D5654" w:rsidRPr="00C256BB" w:rsidRDefault="005D5654" w:rsidP="005D5654">
      <w:pPr>
        <w:tabs>
          <w:tab w:val="left" w:pos="426"/>
          <w:tab w:val="center" w:pos="4680"/>
          <w:tab w:val="left" w:pos="6430"/>
        </w:tabs>
        <w:jc w:val="both"/>
        <w:rPr>
          <w:rFonts w:ascii="Cambria" w:eastAsia="Cambria" w:hAnsi="Cambria" w:cs="Cambria"/>
          <w:i/>
          <w:sz w:val="20"/>
          <w:szCs w:val="20"/>
        </w:rPr>
      </w:pPr>
      <w:r w:rsidRPr="00C256BB">
        <w:rPr>
          <w:rFonts w:ascii="Cambria" w:hAnsi="Cambria"/>
          <w:i/>
          <w:color w:val="231F20"/>
          <w:sz w:val="20"/>
          <w:szCs w:val="20"/>
        </w:rPr>
        <w:tab/>
      </w:r>
      <w:r w:rsidRPr="00C256BB">
        <w:rPr>
          <w:rFonts w:ascii="Cambria" w:hAnsi="Cambria"/>
          <w:i/>
          <w:iCs/>
          <w:sz w:val="20"/>
          <w:szCs w:val="20"/>
        </w:rPr>
        <w:t>CONSTATANDO</w:t>
      </w:r>
      <w:r w:rsidRPr="00C256BB">
        <w:rPr>
          <w:rFonts w:ascii="Cambria" w:hAnsi="Cambria"/>
          <w:sz w:val="20"/>
          <w:szCs w:val="20"/>
        </w:rPr>
        <w:t xml:space="preserve"> que el objetivo del Convenio es mantener las poblaciones de túnidos y especies afines en niveles que permitan el rendimiento máximo sostenible (RMS);</w:t>
      </w:r>
    </w:p>
    <w:p w14:paraId="56375AAA" w14:textId="77777777" w:rsidR="005D5654" w:rsidRPr="00C256BB" w:rsidRDefault="005D5654" w:rsidP="005D5654">
      <w:pPr>
        <w:tabs>
          <w:tab w:val="left" w:pos="426"/>
          <w:tab w:val="center" w:pos="4680"/>
          <w:tab w:val="left" w:pos="6430"/>
        </w:tabs>
        <w:jc w:val="both"/>
        <w:rPr>
          <w:rFonts w:ascii="Cambria" w:eastAsia="Cambria" w:hAnsi="Cambria" w:cs="Cambria"/>
          <w:i/>
          <w:sz w:val="20"/>
          <w:szCs w:val="20"/>
        </w:rPr>
      </w:pPr>
    </w:p>
    <w:p w14:paraId="249E169C" w14:textId="77777777" w:rsidR="005D5654" w:rsidRPr="00C256BB" w:rsidRDefault="005D5654" w:rsidP="005D5654">
      <w:pPr>
        <w:tabs>
          <w:tab w:val="left" w:pos="426"/>
          <w:tab w:val="center" w:pos="4680"/>
          <w:tab w:val="left" w:pos="6430"/>
        </w:tabs>
        <w:jc w:val="both"/>
        <w:rPr>
          <w:rFonts w:ascii="Cambria" w:eastAsia="Cambria" w:hAnsi="Cambria" w:cs="Cambria"/>
          <w:sz w:val="20"/>
          <w:szCs w:val="20"/>
        </w:rPr>
      </w:pPr>
      <w:r w:rsidRPr="00C256BB">
        <w:rPr>
          <w:rFonts w:ascii="Cambria" w:hAnsi="Cambria"/>
          <w:i/>
          <w:sz w:val="20"/>
          <w:szCs w:val="20"/>
        </w:rPr>
        <w:tab/>
      </w:r>
      <w:r w:rsidRPr="00C256BB">
        <w:rPr>
          <w:rFonts w:ascii="Cambria" w:hAnsi="Cambria"/>
          <w:i/>
          <w:iCs/>
          <w:sz w:val="20"/>
          <w:szCs w:val="20"/>
        </w:rPr>
        <w:t>TENIENDO EN CUENTA</w:t>
      </w:r>
      <w:r w:rsidRPr="00C256BB">
        <w:rPr>
          <w:rFonts w:ascii="Cambria" w:hAnsi="Cambria"/>
          <w:sz w:val="20"/>
          <w:szCs w:val="20"/>
        </w:rPr>
        <w:t xml:space="preserve"> que, en previsión de la finalización de un programa de recuperación de 20 años en 2018, la Comisión adoptó la </w:t>
      </w:r>
      <w:r w:rsidRPr="00C256BB">
        <w:rPr>
          <w:rFonts w:ascii="Cambria" w:hAnsi="Cambria"/>
          <w:i/>
          <w:iCs/>
          <w:sz w:val="20"/>
          <w:szCs w:val="20"/>
        </w:rPr>
        <w:t xml:space="preserve">Recomendación de ICCAT para un plan provisional de conservación y ordenación para el atún rojo del Atlántico oeste </w:t>
      </w:r>
      <w:r w:rsidRPr="00C256BB">
        <w:rPr>
          <w:rFonts w:ascii="Cambria" w:hAnsi="Cambria"/>
          <w:sz w:val="20"/>
          <w:szCs w:val="20"/>
        </w:rPr>
        <w:t>(Rec.</w:t>
      </w:r>
      <w:r w:rsidRPr="00C256BB">
        <w:rPr>
          <w:rFonts w:ascii="Cambria" w:hAnsi="Cambria"/>
          <w:i/>
          <w:iCs/>
          <w:sz w:val="20"/>
          <w:szCs w:val="20"/>
        </w:rPr>
        <w:t xml:space="preserve"> </w:t>
      </w:r>
      <w:r w:rsidRPr="00C256BB">
        <w:rPr>
          <w:rFonts w:ascii="Cambria" w:hAnsi="Cambria"/>
          <w:sz w:val="20"/>
          <w:szCs w:val="20"/>
        </w:rPr>
        <w:t>17-06);</w:t>
      </w:r>
    </w:p>
    <w:p w14:paraId="5FD612E5" w14:textId="77777777" w:rsidR="005D5654" w:rsidRPr="00C256BB" w:rsidRDefault="005D5654" w:rsidP="005D5654">
      <w:pPr>
        <w:tabs>
          <w:tab w:val="left" w:pos="426"/>
          <w:tab w:val="center" w:pos="4680"/>
          <w:tab w:val="left" w:pos="6430"/>
        </w:tabs>
        <w:jc w:val="both"/>
        <w:rPr>
          <w:rFonts w:ascii="Cambria" w:eastAsia="Cambria" w:hAnsi="Cambria" w:cs="Cambria"/>
          <w:i/>
          <w:sz w:val="20"/>
          <w:szCs w:val="20"/>
        </w:rPr>
      </w:pPr>
    </w:p>
    <w:p w14:paraId="55297DBA" w14:textId="15D816B0" w:rsidR="005D5654" w:rsidRPr="00C256BB" w:rsidRDefault="005D5654" w:rsidP="005D5654">
      <w:pPr>
        <w:tabs>
          <w:tab w:val="left" w:pos="426"/>
          <w:tab w:val="center" w:pos="4680"/>
          <w:tab w:val="left" w:pos="6430"/>
        </w:tabs>
        <w:jc w:val="both"/>
        <w:rPr>
          <w:rFonts w:ascii="Cambria" w:eastAsia="Cambria" w:hAnsi="Cambria" w:cs="Cambria"/>
          <w:sz w:val="20"/>
          <w:szCs w:val="20"/>
        </w:rPr>
      </w:pPr>
      <w:r w:rsidRPr="00C256BB">
        <w:rPr>
          <w:rFonts w:ascii="Cambria" w:hAnsi="Cambria"/>
          <w:i/>
          <w:sz w:val="20"/>
          <w:szCs w:val="20"/>
        </w:rPr>
        <w:tab/>
      </w:r>
      <w:r w:rsidRPr="00C256BB">
        <w:rPr>
          <w:rFonts w:ascii="Cambria" w:hAnsi="Cambria"/>
          <w:i/>
          <w:iCs/>
          <w:sz w:val="20"/>
          <w:szCs w:val="20"/>
        </w:rPr>
        <w:t>RECONOCIENDO</w:t>
      </w:r>
      <w:r w:rsidRPr="00C256BB">
        <w:rPr>
          <w:rFonts w:ascii="Cambria" w:hAnsi="Cambria"/>
          <w:sz w:val="20"/>
          <w:szCs w:val="20"/>
        </w:rPr>
        <w:t xml:space="preserve"> el marco de MSE completo desarrollado por el SCRS que se ha utilizado para poner a prueba los </w:t>
      </w:r>
      <w:r w:rsidR="004E5F69" w:rsidRPr="00C256BB">
        <w:rPr>
          <w:rFonts w:ascii="Cambria" w:hAnsi="Cambria"/>
          <w:sz w:val="20"/>
          <w:szCs w:val="20"/>
        </w:rPr>
        <w:t xml:space="preserve">procedimientos de ordenación </w:t>
      </w:r>
      <w:r w:rsidRPr="00C256BB">
        <w:rPr>
          <w:rFonts w:ascii="Cambria" w:hAnsi="Cambria"/>
          <w:sz w:val="20"/>
          <w:szCs w:val="20"/>
        </w:rPr>
        <w:t xml:space="preserve">candidatos </w:t>
      </w:r>
      <w:r w:rsidR="004E5F69" w:rsidRPr="00C256BB">
        <w:rPr>
          <w:rFonts w:ascii="Cambria" w:hAnsi="Cambria"/>
          <w:sz w:val="20"/>
          <w:szCs w:val="20"/>
        </w:rPr>
        <w:t xml:space="preserve">(CMP) </w:t>
      </w:r>
      <w:r w:rsidRPr="00C256BB">
        <w:rPr>
          <w:rFonts w:ascii="Cambria" w:hAnsi="Cambria"/>
          <w:sz w:val="20"/>
          <w:szCs w:val="20"/>
        </w:rPr>
        <w:t>con el fin de demostrar las compensaciones de factores entre los objetivos de ordenación identificados por la Subcomisión 2 con respecto al estado del stock, la seguridad, la estabilidad y el rendimiento, y considerando el resultado de dichas pruebas, que también incluían el examen de los ciclos de ordenación de dos y tres años y el posible establecimiento de un umbral mínimo de cambio de</w:t>
      </w:r>
      <w:r w:rsidR="004E5F69" w:rsidRPr="00C256BB">
        <w:rPr>
          <w:rFonts w:ascii="Cambria" w:hAnsi="Cambria"/>
          <w:sz w:val="20"/>
          <w:szCs w:val="20"/>
        </w:rPr>
        <w:t>l total admisible de capturas (</w:t>
      </w:r>
      <w:r w:rsidRPr="00C256BB">
        <w:rPr>
          <w:rFonts w:ascii="Cambria" w:hAnsi="Cambria"/>
          <w:sz w:val="20"/>
          <w:szCs w:val="20"/>
        </w:rPr>
        <w:t>TAC</w:t>
      </w:r>
      <w:r w:rsidR="004E5F69" w:rsidRPr="00C256BB">
        <w:rPr>
          <w:rFonts w:ascii="Cambria" w:hAnsi="Cambria"/>
          <w:sz w:val="20"/>
          <w:szCs w:val="20"/>
        </w:rPr>
        <w:t>)</w:t>
      </w:r>
      <w:r w:rsidRPr="00C256BB">
        <w:rPr>
          <w:rFonts w:ascii="Cambria" w:hAnsi="Cambria"/>
          <w:sz w:val="20"/>
          <w:szCs w:val="20"/>
        </w:rPr>
        <w:t>;</w:t>
      </w:r>
    </w:p>
    <w:p w14:paraId="33C91C44" w14:textId="77777777" w:rsidR="005D5654" w:rsidRPr="00C256BB" w:rsidRDefault="005D5654" w:rsidP="005D5654">
      <w:pPr>
        <w:tabs>
          <w:tab w:val="left" w:pos="426"/>
          <w:tab w:val="center" w:pos="4680"/>
          <w:tab w:val="left" w:pos="6430"/>
        </w:tabs>
        <w:jc w:val="both"/>
        <w:rPr>
          <w:rFonts w:ascii="Cambria" w:eastAsia="Cambria" w:hAnsi="Cambria" w:cs="Cambria"/>
          <w:i/>
          <w:sz w:val="20"/>
          <w:szCs w:val="20"/>
        </w:rPr>
      </w:pPr>
    </w:p>
    <w:p w14:paraId="454E326C" w14:textId="3896C5D9" w:rsidR="005D5654" w:rsidRPr="00C256BB" w:rsidRDefault="005D5654" w:rsidP="005D5654">
      <w:pPr>
        <w:tabs>
          <w:tab w:val="left" w:pos="426"/>
          <w:tab w:val="center" w:pos="4680"/>
          <w:tab w:val="left" w:pos="6430"/>
        </w:tabs>
        <w:jc w:val="both"/>
        <w:rPr>
          <w:rFonts w:ascii="Cambria" w:eastAsia="Cambria" w:hAnsi="Cambria" w:cs="Cambria"/>
          <w:sz w:val="20"/>
          <w:szCs w:val="20"/>
        </w:rPr>
      </w:pPr>
      <w:r w:rsidRPr="00C256BB">
        <w:rPr>
          <w:rFonts w:ascii="Cambria" w:hAnsi="Cambria"/>
          <w:i/>
          <w:sz w:val="20"/>
          <w:szCs w:val="20"/>
        </w:rPr>
        <w:tab/>
      </w:r>
      <w:r w:rsidR="00AF3CA7" w:rsidRPr="00C256BB">
        <w:rPr>
          <w:rFonts w:ascii="Cambria" w:hAnsi="Cambria"/>
          <w:i/>
          <w:iCs/>
          <w:sz w:val="20"/>
          <w:szCs w:val="20"/>
        </w:rPr>
        <w:t>RECONOCIENDO</w:t>
      </w:r>
      <w:r w:rsidR="004E5F69" w:rsidRPr="00C256BB">
        <w:rPr>
          <w:rFonts w:ascii="Cambria" w:hAnsi="Cambria"/>
          <w:i/>
          <w:iCs/>
          <w:sz w:val="20"/>
          <w:szCs w:val="20"/>
        </w:rPr>
        <w:t xml:space="preserve"> ADEMÁS</w:t>
      </w:r>
      <w:r w:rsidRPr="00C256BB">
        <w:rPr>
          <w:rFonts w:ascii="Cambria" w:hAnsi="Cambria"/>
          <w:i/>
          <w:iCs/>
          <w:sz w:val="20"/>
          <w:szCs w:val="20"/>
        </w:rPr>
        <w:t xml:space="preserve"> </w:t>
      </w:r>
      <w:r w:rsidRPr="00C256BB">
        <w:rPr>
          <w:rFonts w:ascii="Cambria" w:hAnsi="Cambria"/>
          <w:sz w:val="20"/>
          <w:szCs w:val="20"/>
        </w:rPr>
        <w:t>la adopción de un MP en 2022 para establecer los TAC tanto para las zonas de ordenación del atún rojo del Atlántico este y Mediterráneo como del Atlántico occidental, a partir de 2023;</w:t>
      </w:r>
    </w:p>
    <w:p w14:paraId="7740BDEE" w14:textId="1CD4CE03" w:rsidR="00AF3CA7" w:rsidRPr="00C256BB" w:rsidRDefault="00AF3CA7" w:rsidP="00AF3CA7">
      <w:pPr>
        <w:widowControl/>
        <w:tabs>
          <w:tab w:val="left" w:pos="426"/>
          <w:tab w:val="center" w:pos="4680"/>
          <w:tab w:val="left" w:pos="6430"/>
        </w:tabs>
        <w:spacing w:before="240" w:after="240"/>
        <w:jc w:val="both"/>
        <w:rPr>
          <w:rFonts w:ascii="Cambria" w:eastAsia="Malgun Gothic" w:hAnsi="Cambria" w:cs="Cambria"/>
          <w:iCs/>
          <w:color w:val="231F20"/>
          <w:sz w:val="20"/>
          <w:szCs w:val="20"/>
        </w:rPr>
      </w:pPr>
      <w:r w:rsidRPr="00C256BB">
        <w:rPr>
          <w:rFonts w:ascii="Cambria" w:eastAsia="Malgun Gothic" w:hAnsi="Cambria" w:cs="Times New Roman"/>
          <w:i/>
          <w:iCs/>
          <w:color w:val="231F20"/>
          <w:sz w:val="20"/>
          <w:szCs w:val="24"/>
        </w:rPr>
        <w:tab/>
        <w:t>CONSCIENTE</w:t>
      </w:r>
      <w:r w:rsidRPr="00C256BB">
        <w:rPr>
          <w:rFonts w:ascii="Cambria" w:eastAsia="Malgun Gothic" w:hAnsi="Cambria" w:cs="Times New Roman"/>
          <w:color w:val="231F20"/>
          <w:sz w:val="20"/>
          <w:szCs w:val="24"/>
        </w:rPr>
        <w:t xml:space="preserve"> de que en 2025 el SCRS evaluó la existencia de circunstancias excepcionales, pero no pudo llegar a un consenso sobre la existencia de circunstancias excepcionales;</w:t>
      </w:r>
    </w:p>
    <w:p w14:paraId="09C34C79" w14:textId="6642CA5F" w:rsidR="00AF3CA7" w:rsidRPr="00C256BB" w:rsidRDefault="00AF3CA7" w:rsidP="00AF3CA7">
      <w:pPr>
        <w:widowControl/>
        <w:tabs>
          <w:tab w:val="left" w:pos="426"/>
          <w:tab w:val="center" w:pos="4680"/>
          <w:tab w:val="left" w:pos="6430"/>
        </w:tabs>
        <w:spacing w:before="240" w:after="240"/>
        <w:jc w:val="both"/>
        <w:rPr>
          <w:rFonts w:ascii="Cambria" w:eastAsia="Cambria" w:hAnsi="Cambria" w:cs="Cambria"/>
          <w:iCs/>
          <w:color w:val="231F20"/>
          <w:sz w:val="20"/>
          <w:szCs w:val="20"/>
        </w:rPr>
      </w:pPr>
      <w:r w:rsidRPr="00C256BB">
        <w:rPr>
          <w:rFonts w:ascii="Cambria" w:eastAsia="Malgun Gothic" w:hAnsi="Cambria" w:cs="Times New Roman"/>
          <w:color w:val="231F20"/>
          <w:sz w:val="20"/>
          <w:szCs w:val="24"/>
        </w:rPr>
        <w:tab/>
      </w:r>
      <w:r w:rsidRPr="00C256BB">
        <w:rPr>
          <w:rFonts w:ascii="Cambria" w:eastAsia="Malgun Gothic" w:hAnsi="Cambria" w:cs="Times New Roman"/>
          <w:i/>
          <w:iCs/>
          <w:color w:val="231F20"/>
          <w:sz w:val="20"/>
          <w:szCs w:val="24"/>
        </w:rPr>
        <w:t>CONSIDERANDO</w:t>
      </w:r>
      <w:r w:rsidRPr="00C256BB">
        <w:rPr>
          <w:rFonts w:ascii="Cambria" w:eastAsia="Malgun Gothic" w:hAnsi="Cambria" w:cs="Times New Roman"/>
          <w:color w:val="231F20"/>
          <w:sz w:val="20"/>
          <w:szCs w:val="24"/>
        </w:rPr>
        <w:t xml:space="preserve"> que, cuando no se haya confirmado la existencia de circunstancias excepcionales, se utilizará el TAC calculado sobre la base del BR, que fija un TAC de 2</w:t>
      </w:r>
      <w:r w:rsidR="004E5F69" w:rsidRPr="00C256BB">
        <w:rPr>
          <w:rFonts w:ascii="Cambria" w:eastAsia="Malgun Gothic" w:hAnsi="Cambria" w:cs="Times New Roman"/>
          <w:color w:val="231F20"/>
          <w:sz w:val="20"/>
          <w:szCs w:val="24"/>
        </w:rPr>
        <w:t>.</w:t>
      </w:r>
      <w:r w:rsidRPr="00C256BB">
        <w:rPr>
          <w:rFonts w:ascii="Cambria" w:eastAsia="Malgun Gothic" w:hAnsi="Cambria" w:cs="Times New Roman"/>
          <w:color w:val="231F20"/>
          <w:sz w:val="20"/>
          <w:szCs w:val="24"/>
        </w:rPr>
        <w:t>568 t;</w:t>
      </w:r>
    </w:p>
    <w:p w14:paraId="24597EEC" w14:textId="682471C6" w:rsidR="00AF3CA7" w:rsidRPr="00C256BB" w:rsidRDefault="00AF3CA7" w:rsidP="00AF3CA7">
      <w:pPr>
        <w:widowControl/>
        <w:tabs>
          <w:tab w:val="left" w:pos="426"/>
          <w:tab w:val="center" w:pos="4680"/>
          <w:tab w:val="left" w:pos="6430"/>
        </w:tabs>
        <w:spacing w:before="240" w:after="240"/>
        <w:jc w:val="both"/>
        <w:rPr>
          <w:rFonts w:ascii="Cambria" w:eastAsia="Malgun Gothic" w:hAnsi="Cambria" w:cs="Cambria"/>
          <w:iCs/>
          <w:color w:val="231F20"/>
          <w:sz w:val="20"/>
          <w:szCs w:val="20"/>
        </w:rPr>
      </w:pPr>
      <w:r w:rsidRPr="00C256BB">
        <w:rPr>
          <w:rFonts w:ascii="Cambria" w:eastAsia="Malgun Gothic" w:hAnsi="Cambria" w:cs="Times New Roman"/>
          <w:color w:val="231F20"/>
          <w:sz w:val="20"/>
          <w:szCs w:val="24"/>
        </w:rPr>
        <w:tab/>
      </w:r>
      <w:r w:rsidRPr="00C256BB">
        <w:rPr>
          <w:rFonts w:ascii="Cambria" w:eastAsia="Malgun Gothic" w:hAnsi="Cambria" w:cs="Times New Roman"/>
          <w:color w:val="231F20"/>
          <w:sz w:val="20"/>
          <w:szCs w:val="24"/>
        </w:rPr>
        <w:tab/>
      </w:r>
      <w:r w:rsidRPr="00C256BB">
        <w:rPr>
          <w:rFonts w:ascii="Cambria" w:eastAsia="Malgun Gothic" w:hAnsi="Cambria" w:cs="Times New Roman"/>
          <w:i/>
          <w:iCs/>
          <w:color w:val="231F20"/>
          <w:sz w:val="20"/>
          <w:szCs w:val="24"/>
        </w:rPr>
        <w:t xml:space="preserve">OBSERVANDO TAMBIÉN </w:t>
      </w:r>
      <w:r w:rsidRPr="00C256BB">
        <w:rPr>
          <w:rFonts w:ascii="Cambria" w:eastAsia="Malgun Gothic" w:hAnsi="Cambria" w:cs="Times New Roman"/>
          <w:color w:val="231F20"/>
          <w:sz w:val="20"/>
          <w:szCs w:val="24"/>
        </w:rPr>
        <w:t xml:space="preserve">que el 120 % del TAC no constituirá una circunstancia excepcional en virtud del protocolo </w:t>
      </w:r>
      <w:r w:rsidR="004E5F69" w:rsidRPr="00C256BB">
        <w:rPr>
          <w:rFonts w:ascii="Cambria" w:eastAsia="Malgun Gothic" w:hAnsi="Cambria" w:cs="Times New Roman"/>
          <w:color w:val="231F20"/>
          <w:sz w:val="20"/>
          <w:szCs w:val="24"/>
        </w:rPr>
        <w:t>de</w:t>
      </w:r>
      <w:r w:rsidRPr="00C256BB">
        <w:rPr>
          <w:rFonts w:ascii="Cambria" w:eastAsia="Malgun Gothic" w:hAnsi="Cambria" w:cs="Times New Roman"/>
          <w:color w:val="231F20"/>
          <w:sz w:val="20"/>
          <w:szCs w:val="24"/>
        </w:rPr>
        <w:t xml:space="preserve"> circunstancias excepcionales (Anexo 4 de la Rec. 23-07); </w:t>
      </w:r>
    </w:p>
    <w:p w14:paraId="63F12B47" w14:textId="2FC325B7" w:rsidR="005D5654" w:rsidRPr="00C256BB" w:rsidRDefault="005D5654" w:rsidP="005D5654">
      <w:pPr>
        <w:tabs>
          <w:tab w:val="left" w:pos="426"/>
          <w:tab w:val="center" w:pos="4680"/>
          <w:tab w:val="left" w:pos="6430"/>
        </w:tabs>
        <w:spacing w:before="240" w:after="240"/>
        <w:jc w:val="both"/>
        <w:rPr>
          <w:rFonts w:ascii="Cambria" w:hAnsi="Cambria"/>
          <w:i/>
          <w:color w:val="231F20"/>
          <w:sz w:val="20"/>
          <w:szCs w:val="20"/>
        </w:rPr>
      </w:pPr>
      <w:r w:rsidRPr="00C256BB">
        <w:rPr>
          <w:rFonts w:ascii="Cambria" w:hAnsi="Cambria"/>
          <w:i/>
          <w:color w:val="231F20"/>
          <w:sz w:val="20"/>
          <w:szCs w:val="20"/>
        </w:rPr>
        <w:tab/>
      </w:r>
      <w:r w:rsidRPr="00C256BB">
        <w:rPr>
          <w:rFonts w:ascii="Cambria" w:hAnsi="Cambria"/>
          <w:i/>
          <w:color w:val="231F20"/>
          <w:sz w:val="20"/>
          <w:szCs w:val="20"/>
        </w:rPr>
        <w:tab/>
      </w:r>
      <w:r w:rsidRPr="00C256BB">
        <w:rPr>
          <w:rFonts w:ascii="Cambria" w:hAnsi="Cambria"/>
          <w:i/>
          <w:iCs/>
          <w:color w:val="231F20"/>
          <w:sz w:val="20"/>
          <w:szCs w:val="20"/>
        </w:rPr>
        <w:t>RECONOCIENDO</w:t>
      </w:r>
      <w:r w:rsidRPr="00C256BB">
        <w:rPr>
          <w:rFonts w:ascii="Cambria" w:hAnsi="Cambria"/>
          <w:color w:val="231F20"/>
          <w:sz w:val="20"/>
          <w:szCs w:val="20"/>
        </w:rPr>
        <w:t xml:space="preserve"> que un elemento importante del MP es su revisión y que el SCRS ha recomendado que la primera revisión se realice </w:t>
      </w:r>
      <w:r w:rsidR="00AF3CA7" w:rsidRPr="00C256BB">
        <w:rPr>
          <w:rFonts w:ascii="Cambria" w:hAnsi="Cambria"/>
          <w:color w:val="231F20"/>
          <w:sz w:val="20"/>
          <w:szCs w:val="20"/>
        </w:rPr>
        <w:t xml:space="preserve">a más tardar en </w:t>
      </w:r>
      <w:r w:rsidRPr="00C256BB">
        <w:rPr>
          <w:rFonts w:ascii="Cambria" w:hAnsi="Cambria"/>
          <w:color w:val="231F20"/>
          <w:sz w:val="20"/>
          <w:szCs w:val="20"/>
        </w:rPr>
        <w:t xml:space="preserve">2028 para garantizar que el MP tiene el desempeño previsto y para determinar si existen condiciones que justifiquen: el recondicionamiento de los modelos operativos </w:t>
      </w:r>
      <w:r w:rsidR="00FE68B9" w:rsidRPr="00C256BB">
        <w:rPr>
          <w:rFonts w:ascii="Cambria" w:hAnsi="Cambria"/>
          <w:color w:val="231F20"/>
          <w:sz w:val="20"/>
          <w:szCs w:val="20"/>
        </w:rPr>
        <w:t xml:space="preserve">(OM) </w:t>
      </w:r>
      <w:r w:rsidRPr="00C256BB">
        <w:rPr>
          <w:rFonts w:ascii="Cambria" w:hAnsi="Cambria"/>
          <w:color w:val="231F20"/>
          <w:sz w:val="20"/>
          <w:szCs w:val="20"/>
        </w:rPr>
        <w:t xml:space="preserve">de la MSE; la recalibración del MP existente; y/o la consideración de procedimientos de ordenación candidatos alternativos o de una nueva MSE completa; </w:t>
      </w:r>
      <w:r w:rsidRPr="00C256BB">
        <w:rPr>
          <w:rFonts w:ascii="Cambria" w:hAnsi="Cambria"/>
          <w:i/>
          <w:color w:val="231F20"/>
          <w:sz w:val="20"/>
          <w:szCs w:val="20"/>
        </w:rPr>
        <w:tab/>
      </w:r>
    </w:p>
    <w:p w14:paraId="0E7CA92B" w14:textId="59BECB84" w:rsidR="005D5654" w:rsidRPr="00C256BB" w:rsidRDefault="005D5654" w:rsidP="005D5654">
      <w:pPr>
        <w:tabs>
          <w:tab w:val="left" w:pos="426"/>
          <w:tab w:val="center" w:pos="4680"/>
          <w:tab w:val="left" w:pos="6430"/>
        </w:tabs>
        <w:spacing w:before="240" w:after="240"/>
        <w:ind w:firstLine="340"/>
        <w:jc w:val="both"/>
        <w:rPr>
          <w:rFonts w:ascii="Cambria" w:eastAsia="Cambria" w:hAnsi="Cambria" w:cs="Cambria"/>
          <w:color w:val="231F20"/>
          <w:sz w:val="20"/>
          <w:szCs w:val="20"/>
        </w:rPr>
      </w:pPr>
      <w:r w:rsidRPr="00C256BB">
        <w:rPr>
          <w:rFonts w:ascii="Cambria" w:hAnsi="Cambria"/>
          <w:i/>
          <w:iCs/>
          <w:color w:val="231F20"/>
          <w:sz w:val="20"/>
          <w:szCs w:val="20"/>
        </w:rPr>
        <w:t>DESTACANDO</w:t>
      </w:r>
      <w:r w:rsidRPr="00C256BB">
        <w:rPr>
          <w:rFonts w:ascii="Cambria" w:hAnsi="Cambria"/>
          <w:color w:val="231F20"/>
          <w:sz w:val="20"/>
          <w:szCs w:val="20"/>
        </w:rPr>
        <w:t xml:space="preserve"> el valor de la investigación continuada sobre el stock, lo que incluye el aumento del muestreo biológico y de las pesquerías, para proporcionar apoyo adicional para abordar algunas incertidumbres clave en la evaluación de stock y en la MSE, incluyendo la estructura de tallas de las capturas y liberaciones, las muestras genéticas para la identificación del stock y los estudios genéticos de marcado-recaptura, la estimación de la edad y el crecimiento, y el marcado electrónico para el seguimiento de las migraciones del stock y las tasas de mezcla;</w:t>
      </w:r>
    </w:p>
    <w:p w14:paraId="5F727DE2" w14:textId="77777777" w:rsidR="005D5654" w:rsidRPr="00C256BB" w:rsidRDefault="005D5654" w:rsidP="005D5654">
      <w:pPr>
        <w:tabs>
          <w:tab w:val="left" w:pos="426"/>
          <w:tab w:val="center" w:pos="4680"/>
          <w:tab w:val="left" w:pos="6430"/>
        </w:tabs>
        <w:spacing w:before="240" w:after="240"/>
        <w:jc w:val="both"/>
        <w:rPr>
          <w:rFonts w:ascii="Cambria" w:eastAsia="Cambria" w:hAnsi="Cambria" w:cs="Cambria"/>
          <w:color w:val="231F20"/>
          <w:sz w:val="20"/>
          <w:szCs w:val="20"/>
        </w:rPr>
      </w:pPr>
      <w:r w:rsidRPr="00C256BB">
        <w:rPr>
          <w:rFonts w:ascii="Cambria" w:hAnsi="Cambria"/>
          <w:i/>
          <w:color w:val="231F20"/>
          <w:sz w:val="20"/>
          <w:szCs w:val="20"/>
        </w:rPr>
        <w:tab/>
      </w:r>
      <w:r w:rsidRPr="00C256BB">
        <w:rPr>
          <w:rFonts w:ascii="Cambria" w:hAnsi="Cambria"/>
          <w:i/>
          <w:color w:val="231F20"/>
          <w:sz w:val="20"/>
          <w:szCs w:val="20"/>
        </w:rPr>
        <w:tab/>
      </w:r>
      <w:r w:rsidRPr="00C256BB">
        <w:rPr>
          <w:rFonts w:ascii="Cambria" w:hAnsi="Cambria"/>
          <w:i/>
          <w:iCs/>
          <w:color w:val="231F20"/>
          <w:sz w:val="20"/>
          <w:szCs w:val="20"/>
        </w:rPr>
        <w:t xml:space="preserve">RECONOCIENDO </w:t>
      </w:r>
      <w:r w:rsidRPr="00C256BB">
        <w:rPr>
          <w:rFonts w:ascii="Cambria" w:hAnsi="Cambria"/>
          <w:color w:val="231F20"/>
          <w:sz w:val="20"/>
          <w:szCs w:val="20"/>
        </w:rPr>
        <w:t xml:space="preserve">la </w:t>
      </w:r>
      <w:r w:rsidRPr="00C256BB">
        <w:rPr>
          <w:rFonts w:ascii="Cambria" w:hAnsi="Cambria"/>
          <w:i/>
          <w:iCs/>
          <w:color w:val="231F20"/>
          <w:sz w:val="20"/>
          <w:szCs w:val="20"/>
        </w:rPr>
        <w:t>Resolución de ICCAT sobre los criterios de ICCAT para la asignación de posibilidades de pesca</w:t>
      </w:r>
      <w:r w:rsidRPr="00C256BB">
        <w:rPr>
          <w:rFonts w:ascii="Cambria" w:hAnsi="Cambria"/>
          <w:color w:val="231F20"/>
          <w:sz w:val="20"/>
          <w:szCs w:val="20"/>
        </w:rPr>
        <w:t xml:space="preserve"> (Res. 15-13);</w:t>
      </w:r>
    </w:p>
    <w:p w14:paraId="465427D5" w14:textId="77777777" w:rsidR="005D5654" w:rsidRPr="00C256BB" w:rsidRDefault="005D5654" w:rsidP="005D5654">
      <w:pPr>
        <w:tabs>
          <w:tab w:val="left" w:pos="426"/>
          <w:tab w:val="center" w:pos="4680"/>
          <w:tab w:val="left" w:pos="6430"/>
        </w:tabs>
        <w:spacing w:before="240" w:after="240"/>
        <w:jc w:val="both"/>
        <w:rPr>
          <w:rFonts w:ascii="Cambria" w:eastAsia="Cambria" w:hAnsi="Cambria" w:cs="Cambria"/>
          <w:color w:val="231F20"/>
          <w:sz w:val="20"/>
          <w:szCs w:val="20"/>
        </w:rPr>
      </w:pPr>
      <w:r w:rsidRPr="00C256BB">
        <w:rPr>
          <w:rFonts w:ascii="Cambria" w:hAnsi="Cambria"/>
          <w:i/>
          <w:color w:val="231F20"/>
          <w:sz w:val="20"/>
          <w:szCs w:val="20"/>
        </w:rPr>
        <w:tab/>
        <w:t>RENOVANDO</w:t>
      </w:r>
      <w:r w:rsidRPr="00C256BB">
        <w:rPr>
          <w:rFonts w:ascii="Cambria" w:hAnsi="Cambria"/>
          <w:color w:val="231F20"/>
          <w:sz w:val="20"/>
          <w:szCs w:val="20"/>
        </w:rPr>
        <w:t xml:space="preserve"> el compromiso con la plena implementación de las obligaciones de comunicación existentes, incluyendo las establecidas en la </w:t>
      </w:r>
      <w:r w:rsidRPr="00C256BB">
        <w:rPr>
          <w:rFonts w:ascii="Cambria" w:hAnsi="Cambria"/>
          <w:i/>
          <w:iCs/>
          <w:color w:val="231F20"/>
          <w:sz w:val="20"/>
          <w:szCs w:val="20"/>
        </w:rPr>
        <w:t>Recomendación de ICCAT sobre el registro de capturas realizadas por barcos en la zona del Convenio ICCAT</w:t>
      </w:r>
      <w:r w:rsidRPr="00C256BB">
        <w:rPr>
          <w:rFonts w:ascii="Cambria" w:hAnsi="Cambria"/>
          <w:color w:val="231F20"/>
          <w:sz w:val="20"/>
          <w:szCs w:val="20"/>
        </w:rPr>
        <w:t xml:space="preserve"> (Rec. 03-13);</w:t>
      </w:r>
    </w:p>
    <w:p w14:paraId="2DA07AE9" w14:textId="77777777" w:rsidR="004434B0" w:rsidRPr="00C256BB" w:rsidRDefault="004434B0">
      <w:pPr>
        <w:rPr>
          <w:rFonts w:ascii="Cambria" w:hAnsi="Cambria"/>
          <w:color w:val="231F20"/>
          <w:sz w:val="20"/>
          <w:szCs w:val="20"/>
        </w:rPr>
      </w:pPr>
      <w:r w:rsidRPr="00C256BB">
        <w:rPr>
          <w:rFonts w:ascii="Cambria" w:hAnsi="Cambria"/>
          <w:color w:val="231F20"/>
          <w:sz w:val="20"/>
          <w:szCs w:val="20"/>
        </w:rPr>
        <w:br w:type="page"/>
      </w:r>
    </w:p>
    <w:p w14:paraId="25890354" w14:textId="6F410D19" w:rsidR="005D5654" w:rsidRPr="00C256BB" w:rsidRDefault="005D5654" w:rsidP="005D5654">
      <w:pPr>
        <w:ind w:left="2092" w:right="1457" w:hanging="455"/>
        <w:jc w:val="center"/>
        <w:rPr>
          <w:rFonts w:ascii="Cambria" w:hAnsi="Cambria"/>
          <w:color w:val="231F20"/>
          <w:sz w:val="20"/>
          <w:szCs w:val="20"/>
        </w:rPr>
      </w:pPr>
      <w:r w:rsidRPr="00C256BB">
        <w:rPr>
          <w:rFonts w:ascii="Cambria" w:hAnsi="Cambria"/>
          <w:color w:val="231F20"/>
          <w:sz w:val="20"/>
          <w:szCs w:val="20"/>
        </w:rPr>
        <w:lastRenderedPageBreak/>
        <w:t xml:space="preserve">LA COMISIÓN INTERNACIONAL PARA LA CONSERVACIÓN </w:t>
      </w:r>
    </w:p>
    <w:p w14:paraId="1451650A" w14:textId="77777777" w:rsidR="005D5654" w:rsidRPr="00C256BB" w:rsidRDefault="005D5654" w:rsidP="005D5654">
      <w:pPr>
        <w:ind w:left="2092" w:right="1457" w:hanging="455"/>
        <w:jc w:val="center"/>
        <w:rPr>
          <w:rFonts w:ascii="Cambria" w:hAnsi="Cambria"/>
          <w:color w:val="231F20"/>
          <w:sz w:val="20"/>
          <w:szCs w:val="20"/>
        </w:rPr>
      </w:pPr>
      <w:r w:rsidRPr="00C256BB">
        <w:rPr>
          <w:rFonts w:ascii="Cambria" w:hAnsi="Cambria"/>
          <w:color w:val="231F20"/>
          <w:sz w:val="20"/>
          <w:szCs w:val="20"/>
        </w:rPr>
        <w:t>DEL ATÚN ATLÁNTICO (ICCAT) RECOMIENDA LO SIGUIENTE:</w:t>
      </w:r>
    </w:p>
    <w:p w14:paraId="119DFAF7" w14:textId="77777777" w:rsidR="005D5654" w:rsidRPr="00C256BB" w:rsidRDefault="005D5654" w:rsidP="005D5654">
      <w:pPr>
        <w:rPr>
          <w:rFonts w:ascii="Cambria" w:eastAsia="Cambria" w:hAnsi="Cambria" w:cs="Cambria"/>
          <w:sz w:val="20"/>
          <w:szCs w:val="20"/>
        </w:rPr>
      </w:pPr>
    </w:p>
    <w:p w14:paraId="74B19065" w14:textId="43223091" w:rsidR="005D5654" w:rsidRPr="00C256BB" w:rsidRDefault="005D5654" w:rsidP="005D5654">
      <w:pPr>
        <w:widowControl/>
        <w:numPr>
          <w:ilvl w:val="0"/>
          <w:numId w:val="5"/>
        </w:numPr>
        <w:ind w:left="426" w:hanging="426"/>
        <w:jc w:val="both"/>
        <w:rPr>
          <w:rFonts w:ascii="Cambria" w:eastAsia="Cambria" w:hAnsi="Cambria" w:cs="Cambria"/>
          <w:strike/>
          <w:sz w:val="20"/>
          <w:szCs w:val="20"/>
        </w:rPr>
      </w:pPr>
      <w:r w:rsidRPr="00C256BB">
        <w:rPr>
          <w:rFonts w:ascii="Cambria" w:hAnsi="Cambria"/>
          <w:color w:val="231F20"/>
          <w:sz w:val="20"/>
          <w:szCs w:val="20"/>
        </w:rPr>
        <w:t xml:space="preserve">Las Partes contratantes y las Partes, Entidades o Entidades pesqueras no contratantes colaboradoras (CPC) cuyos buques hayan estado pescando activamente atún rojo en el Atlántico occidental implementarán el siguiente plan de conservación y ordenación a partir de 2023, lo que incluye el establecimiento de TAC basados en la aplicación del procedimiento de ordenación (MP) para el atún rojo adoptado en la </w:t>
      </w:r>
      <w:r w:rsidR="00FE68B9" w:rsidRPr="00C256BB">
        <w:rPr>
          <w:rFonts w:ascii="Cambria" w:hAnsi="Cambria"/>
          <w:i/>
          <w:iCs/>
          <w:color w:val="231F20"/>
          <w:sz w:val="20"/>
          <w:szCs w:val="20"/>
        </w:rPr>
        <w:t xml:space="preserve">Recomendación de ICCAT que modifica la Recomendación 22-09 que establece un procedimiento de ordenación para el atún rojo del Atlántico  que se utilizará para las zonas de ordenación del Atlántico occidental y del Atlántico oriental y Mediterráneo </w:t>
      </w:r>
      <w:r w:rsidR="00FE68B9" w:rsidRPr="00C256BB">
        <w:rPr>
          <w:rFonts w:ascii="Cambria" w:hAnsi="Cambria"/>
          <w:color w:val="231F20"/>
          <w:sz w:val="20"/>
          <w:szCs w:val="20"/>
        </w:rPr>
        <w:t xml:space="preserve"> </w:t>
      </w:r>
      <w:r w:rsidRPr="00C256BB">
        <w:rPr>
          <w:rFonts w:ascii="Cambria" w:hAnsi="Cambria"/>
          <w:color w:val="231F20"/>
          <w:sz w:val="20"/>
          <w:szCs w:val="20"/>
        </w:rPr>
        <w:t xml:space="preserve">(Rec. </w:t>
      </w:r>
      <w:r w:rsidR="00FE68B9" w:rsidRPr="00C256BB">
        <w:rPr>
          <w:rFonts w:ascii="Cambria" w:hAnsi="Cambria"/>
          <w:color w:val="231F20"/>
          <w:sz w:val="20"/>
          <w:szCs w:val="20"/>
        </w:rPr>
        <w:t>23-07</w:t>
      </w:r>
      <w:r w:rsidRPr="00C256BB">
        <w:rPr>
          <w:rFonts w:ascii="Cambria" w:hAnsi="Cambria"/>
          <w:color w:val="231F20"/>
          <w:sz w:val="20"/>
          <w:szCs w:val="20"/>
        </w:rPr>
        <w:t xml:space="preserve">). </w:t>
      </w:r>
    </w:p>
    <w:p w14:paraId="5AFD7B82" w14:textId="77777777" w:rsidR="005D5654" w:rsidRPr="00C256BB" w:rsidRDefault="005D5654" w:rsidP="005D5654">
      <w:pPr>
        <w:tabs>
          <w:tab w:val="left" w:pos="535"/>
        </w:tabs>
        <w:jc w:val="both"/>
        <w:rPr>
          <w:rFonts w:ascii="Cambria" w:eastAsia="Cambria" w:hAnsi="Cambria" w:cs="Cambria"/>
          <w:strike/>
          <w:sz w:val="20"/>
          <w:szCs w:val="20"/>
        </w:rPr>
      </w:pPr>
    </w:p>
    <w:p w14:paraId="49781E24" w14:textId="77777777" w:rsidR="005D5654" w:rsidRPr="00C256BB" w:rsidRDefault="005D5654" w:rsidP="005D5654">
      <w:pPr>
        <w:outlineLvl w:val="0"/>
        <w:rPr>
          <w:rFonts w:ascii="Cambria" w:eastAsia="Cambria" w:hAnsi="Cambria" w:cs="Cambria"/>
          <w:iCs/>
          <w:sz w:val="20"/>
          <w:szCs w:val="20"/>
        </w:rPr>
      </w:pPr>
      <w:r w:rsidRPr="00C256BB">
        <w:rPr>
          <w:rFonts w:ascii="Cambria" w:eastAsia="Times New Roman" w:hAnsi="Cambria" w:cs="Times New Roman"/>
          <w:b/>
          <w:iCs/>
          <w:color w:val="231F20"/>
          <w:sz w:val="20"/>
          <w:szCs w:val="20"/>
        </w:rPr>
        <w:t>Límites de capacidad y esfuerzo</w:t>
      </w:r>
    </w:p>
    <w:p w14:paraId="202924D8" w14:textId="77777777" w:rsidR="005D5654" w:rsidRPr="00C256BB" w:rsidRDefault="005D5654" w:rsidP="005D5654">
      <w:pPr>
        <w:rPr>
          <w:rFonts w:ascii="Cambria" w:eastAsia="Cambria" w:hAnsi="Cambria" w:cs="Cambria"/>
          <w:b/>
          <w:i/>
          <w:sz w:val="20"/>
          <w:szCs w:val="20"/>
        </w:rPr>
      </w:pPr>
    </w:p>
    <w:p w14:paraId="65773D2C" w14:textId="77777777" w:rsidR="005D5654" w:rsidRPr="00C256BB" w:rsidRDefault="005D5654" w:rsidP="005D5654">
      <w:pPr>
        <w:widowControl/>
        <w:numPr>
          <w:ilvl w:val="0"/>
          <w:numId w:val="5"/>
        </w:numPr>
        <w:ind w:left="425" w:hanging="425"/>
        <w:jc w:val="both"/>
        <w:rPr>
          <w:rFonts w:ascii="Cambria" w:eastAsia="Cambria" w:hAnsi="Cambria" w:cs="Cambria"/>
          <w:sz w:val="20"/>
          <w:szCs w:val="20"/>
        </w:rPr>
      </w:pPr>
      <w:r w:rsidRPr="00C256BB">
        <w:rPr>
          <w:rFonts w:ascii="Cambria" w:hAnsi="Cambria"/>
          <w:color w:val="231F20"/>
          <w:sz w:val="20"/>
          <w:szCs w:val="20"/>
        </w:rPr>
        <w:t>Con el fin de evitar el aumento de la mortalidad por pesca del atún rojo en el Atlántico este u oeste, las CPC continuarán tomando medidas para prohibir cualquier transferencia del esfuerzo de pesca desde el Atlántico occidental hacia el Atlántico oriental y Mediterráneo, y desde el Atlántico oriental y Mediterráneo hacia el Atlántico occidental.</w:t>
      </w:r>
    </w:p>
    <w:p w14:paraId="2A729E7F" w14:textId="77777777" w:rsidR="005D5654" w:rsidRPr="00C256BB" w:rsidRDefault="005D5654" w:rsidP="005D5654">
      <w:pPr>
        <w:jc w:val="both"/>
        <w:rPr>
          <w:rFonts w:ascii="Cambria" w:eastAsia="Cambria" w:hAnsi="Cambria" w:cs="Cambria"/>
          <w:sz w:val="20"/>
          <w:szCs w:val="20"/>
        </w:rPr>
      </w:pPr>
    </w:p>
    <w:p w14:paraId="0A373BFE" w14:textId="77777777" w:rsidR="005D5654" w:rsidRPr="00C256BB" w:rsidRDefault="005D5654" w:rsidP="005D5654">
      <w:pPr>
        <w:jc w:val="both"/>
        <w:outlineLvl w:val="0"/>
        <w:rPr>
          <w:rFonts w:ascii="Cambria" w:eastAsia="Cambria" w:hAnsi="Cambria" w:cs="Cambria"/>
          <w:iCs/>
          <w:sz w:val="20"/>
          <w:szCs w:val="20"/>
        </w:rPr>
      </w:pPr>
      <w:r w:rsidRPr="00C256BB">
        <w:rPr>
          <w:rFonts w:ascii="Cambria" w:eastAsia="Times New Roman" w:hAnsi="Cambria" w:cs="Times New Roman"/>
          <w:b/>
          <w:iCs/>
          <w:color w:val="231F20"/>
          <w:sz w:val="20"/>
          <w:szCs w:val="20"/>
        </w:rPr>
        <w:t>TAC, asignaciones de TAC y límites de captura</w:t>
      </w:r>
    </w:p>
    <w:p w14:paraId="04052830" w14:textId="77777777" w:rsidR="005D5654" w:rsidRPr="00C256BB" w:rsidRDefault="005D5654" w:rsidP="005D5654">
      <w:pPr>
        <w:jc w:val="both"/>
        <w:rPr>
          <w:rFonts w:ascii="Cambria" w:eastAsia="Cambria" w:hAnsi="Cambria" w:cs="Cambria"/>
          <w:b/>
          <w:i/>
          <w:sz w:val="20"/>
          <w:szCs w:val="20"/>
        </w:rPr>
      </w:pPr>
    </w:p>
    <w:p w14:paraId="67B5911A" w14:textId="787EE848" w:rsidR="000C45CD" w:rsidRPr="00C256BB" w:rsidRDefault="00AF3CA7" w:rsidP="005D5654">
      <w:pPr>
        <w:widowControl/>
        <w:numPr>
          <w:ilvl w:val="0"/>
          <w:numId w:val="5"/>
        </w:numPr>
        <w:ind w:left="425" w:hanging="425"/>
        <w:jc w:val="both"/>
        <w:rPr>
          <w:rFonts w:ascii="Cambria" w:eastAsia="Cambria" w:hAnsi="Cambria" w:cs="Cambria"/>
          <w:sz w:val="20"/>
          <w:szCs w:val="20"/>
        </w:rPr>
      </w:pPr>
      <w:r w:rsidRPr="00C256BB">
        <w:rPr>
          <w:rFonts w:ascii="Cambria" w:hAnsi="Cambria"/>
          <w:color w:val="231F20"/>
          <w:sz w:val="20"/>
          <w:szCs w:val="20"/>
        </w:rPr>
        <w:t xml:space="preserve">Se establece </w:t>
      </w:r>
      <w:r w:rsidR="000C45CD" w:rsidRPr="00C256BB">
        <w:rPr>
          <w:rFonts w:ascii="Cambria" w:hAnsi="Cambria"/>
          <w:color w:val="231F20"/>
          <w:sz w:val="20"/>
          <w:szCs w:val="20"/>
        </w:rPr>
        <w:t>un TAC anual, incluidos los descartes de peces muertos, de</w:t>
      </w:r>
      <w:r w:rsidRPr="00C256BB">
        <w:rPr>
          <w:rFonts w:ascii="Cambria" w:hAnsi="Cambria"/>
          <w:color w:val="231F20"/>
          <w:sz w:val="20"/>
          <w:szCs w:val="20"/>
        </w:rPr>
        <w:t xml:space="preserve"> 3.081,6</w:t>
      </w:r>
      <w:r w:rsidR="000C45CD" w:rsidRPr="00C256BB">
        <w:rPr>
          <w:rFonts w:ascii="Cambria" w:hAnsi="Cambria"/>
          <w:color w:val="231F20"/>
          <w:sz w:val="20"/>
          <w:szCs w:val="20"/>
        </w:rPr>
        <w:t> t</w:t>
      </w:r>
      <w:r w:rsidRPr="00C256BB">
        <w:rPr>
          <w:rFonts w:ascii="Cambria" w:hAnsi="Cambria"/>
          <w:color w:val="231F20"/>
          <w:sz w:val="20"/>
          <w:szCs w:val="20"/>
        </w:rPr>
        <w:t xml:space="preserve"> para 2026, 2027 y 2028. Los TAC para el período 2029-2031 se establecerán en la reunión anual de ICCAT de 2028, en estricta conformidad con la aplicación del MP, que está sujeto a revisión y puede revisarse en 2028, teniendo en cuenta la nueva información científica. Si la captura total en la zona occidental supera las 3.081,6 t en cualquier año, se considerará una circunstancia excepcional. La Comisión y el SCRS actuarán de conformidad con el protocolo de circunstancias excepcionales (Anexo 4 de la Rec. 23-07).</w:t>
      </w:r>
    </w:p>
    <w:p w14:paraId="34D8D30B" w14:textId="77777777" w:rsidR="005D5654" w:rsidRPr="00C256BB" w:rsidRDefault="005D5654" w:rsidP="000C45CD">
      <w:pPr>
        <w:tabs>
          <w:tab w:val="left" w:pos="530"/>
        </w:tabs>
        <w:jc w:val="both"/>
        <w:rPr>
          <w:rFonts w:ascii="Cambria" w:eastAsia="Cambria" w:hAnsi="Cambria" w:cs="Cambria"/>
          <w:color w:val="231F20"/>
          <w:sz w:val="20"/>
          <w:szCs w:val="20"/>
        </w:rPr>
      </w:pPr>
    </w:p>
    <w:p w14:paraId="7D250CC2" w14:textId="2A4CD193" w:rsidR="005D5654" w:rsidRPr="00C256BB" w:rsidRDefault="005D5654" w:rsidP="005D5654">
      <w:pPr>
        <w:widowControl/>
        <w:numPr>
          <w:ilvl w:val="0"/>
          <w:numId w:val="5"/>
        </w:numPr>
        <w:ind w:left="425" w:hanging="425"/>
        <w:jc w:val="both"/>
        <w:rPr>
          <w:rFonts w:ascii="Cambria" w:eastAsia="Cambria" w:hAnsi="Cambria" w:cs="Cambria"/>
          <w:sz w:val="20"/>
          <w:szCs w:val="20"/>
        </w:rPr>
      </w:pPr>
      <w:r w:rsidRPr="00C256BB">
        <w:rPr>
          <w:rFonts w:ascii="Cambria" w:hAnsi="Cambria"/>
          <w:color w:val="231F20"/>
          <w:sz w:val="20"/>
          <w:szCs w:val="20"/>
        </w:rPr>
        <w:t xml:space="preserve">Las CPC actualizarán anualmente los índices de abundancia y los indicadores de la pesquería y los proporcionarán al SCRS cuando se les solicite para apoyar la evaluación anual del SCRS sobre la aparición de circunstancias excepcionales, tal y como se especifica en la Rec. </w:t>
      </w:r>
      <w:r w:rsidR="00AF3CA7" w:rsidRPr="00C256BB">
        <w:rPr>
          <w:rFonts w:ascii="Cambria" w:hAnsi="Cambria"/>
          <w:color w:val="231F20"/>
          <w:sz w:val="20"/>
          <w:szCs w:val="20"/>
        </w:rPr>
        <w:t>23-07</w:t>
      </w:r>
      <w:r w:rsidRPr="00C256BB">
        <w:rPr>
          <w:rFonts w:ascii="Cambria" w:hAnsi="Cambria"/>
          <w:color w:val="231F20"/>
          <w:sz w:val="20"/>
          <w:szCs w:val="20"/>
        </w:rPr>
        <w:t xml:space="preserve">, y para otros fines científicos pertinentes que determine el SCRS. </w:t>
      </w:r>
    </w:p>
    <w:p w14:paraId="11675E6C" w14:textId="77777777" w:rsidR="005D5654" w:rsidRPr="00C256BB" w:rsidRDefault="005D5654" w:rsidP="005D5654">
      <w:pPr>
        <w:jc w:val="both"/>
        <w:rPr>
          <w:rFonts w:ascii="Cambria" w:eastAsia="Cambria" w:hAnsi="Cambria" w:cs="Cambria"/>
          <w:sz w:val="20"/>
          <w:szCs w:val="20"/>
        </w:rPr>
      </w:pPr>
    </w:p>
    <w:p w14:paraId="584FBE16" w14:textId="4D7109EC" w:rsidR="005D5654" w:rsidRPr="00C256BB" w:rsidRDefault="00176A22" w:rsidP="00176A22">
      <w:pPr>
        <w:widowControl/>
        <w:numPr>
          <w:ilvl w:val="0"/>
          <w:numId w:val="5"/>
        </w:numPr>
        <w:ind w:left="425" w:hanging="425"/>
        <w:jc w:val="both"/>
        <w:rPr>
          <w:rFonts w:ascii="Cambria" w:eastAsia="Cambria" w:hAnsi="Cambria" w:cs="Cambria"/>
          <w:sz w:val="20"/>
          <w:szCs w:val="20"/>
        </w:rPr>
      </w:pPr>
      <w:r w:rsidRPr="00C256BB">
        <w:rPr>
          <w:rFonts w:ascii="Cambria" w:hAnsi="Cambria"/>
          <w:sz w:val="20"/>
          <w:szCs w:val="20"/>
          <w:u w:val="single"/>
        </w:rPr>
        <w:t>[Las siguientes asignaciones, incluida la captura fortuita relacionada con las pesquerías de palangre, se derivarán del TAC de atún rojo del Atlántico este y Mediterráneo</w:t>
      </w:r>
      <w:r w:rsidR="005D5654" w:rsidRPr="00C256BB">
        <w:rPr>
          <w:rFonts w:ascii="Cambria" w:hAnsi="Cambria"/>
          <w:sz w:val="20"/>
          <w:szCs w:val="20"/>
        </w:rPr>
        <w:t>:</w:t>
      </w:r>
    </w:p>
    <w:p w14:paraId="473FA355" w14:textId="77777777" w:rsidR="00176A22" w:rsidRPr="00C256BB" w:rsidRDefault="00176A22" w:rsidP="00176A22">
      <w:pPr>
        <w:pStyle w:val="ListParagraph"/>
        <w:rPr>
          <w:rFonts w:ascii="Cambria" w:eastAsia="Cambria" w:hAnsi="Cambria" w:cs="Cambria"/>
          <w:sz w:val="20"/>
          <w:szCs w:val="20"/>
        </w:rPr>
      </w:pPr>
    </w:p>
    <w:p w14:paraId="1A5B9A6A" w14:textId="1648087A" w:rsidR="00176A22" w:rsidRPr="00C256BB" w:rsidRDefault="00176A22" w:rsidP="00176A22">
      <w:pPr>
        <w:widowControl/>
        <w:ind w:left="425"/>
        <w:jc w:val="both"/>
        <w:rPr>
          <w:rFonts w:ascii="Cambria" w:eastAsia="Cambria" w:hAnsi="Cambria" w:cs="Cambria"/>
          <w:sz w:val="20"/>
          <w:szCs w:val="20"/>
        </w:rPr>
      </w:pPr>
      <w:r w:rsidRPr="00C256BB">
        <w:rPr>
          <w:rFonts w:ascii="Cambria" w:eastAsia="Cambria" w:hAnsi="Cambria" w:cs="Cambria"/>
          <w:sz w:val="20"/>
          <w:szCs w:val="20"/>
        </w:rPr>
        <w:t>[…]</w:t>
      </w:r>
    </w:p>
    <w:p w14:paraId="3715CD64" w14:textId="77777777" w:rsidR="00176A22" w:rsidRPr="00C256BB" w:rsidRDefault="00176A22" w:rsidP="00176A22">
      <w:pPr>
        <w:widowControl/>
        <w:ind w:left="425"/>
        <w:jc w:val="both"/>
        <w:rPr>
          <w:rFonts w:ascii="Cambria" w:eastAsia="Cambria" w:hAnsi="Cambria" w:cs="Cambria"/>
          <w:sz w:val="20"/>
          <w:szCs w:val="20"/>
        </w:rPr>
      </w:pPr>
    </w:p>
    <w:tbl>
      <w:tblPr>
        <w:tblW w:w="8784" w:type="dxa"/>
        <w:tblInd w:w="425" w:type="dxa"/>
        <w:tblLayout w:type="fixed"/>
        <w:tblLook w:val="0000" w:firstRow="0" w:lastRow="0" w:firstColumn="0" w:lastColumn="0" w:noHBand="0" w:noVBand="0"/>
      </w:tblPr>
      <w:tblGrid>
        <w:gridCol w:w="7650"/>
        <w:gridCol w:w="1134"/>
      </w:tblGrid>
      <w:tr w:rsidR="005D5654" w:rsidRPr="00C256BB" w14:paraId="3D73DFAD" w14:textId="77777777" w:rsidTr="00885113">
        <w:trPr>
          <w:trHeight w:val="380"/>
        </w:trPr>
        <w:tc>
          <w:tcPr>
            <w:tcW w:w="7650" w:type="dxa"/>
            <w:tcBorders>
              <w:top w:val="single" w:sz="4" w:space="0" w:color="231F20"/>
              <w:left w:val="single" w:sz="4" w:space="0" w:color="231F20"/>
              <w:bottom w:val="single" w:sz="4" w:space="0" w:color="231F20"/>
              <w:right w:val="single" w:sz="4" w:space="0" w:color="231F20"/>
            </w:tcBorders>
          </w:tcPr>
          <w:p w14:paraId="063C2C23" w14:textId="77777777" w:rsidR="005D5654" w:rsidRPr="00C256BB" w:rsidRDefault="005D5654" w:rsidP="005D5654">
            <w:pPr>
              <w:spacing w:before="72"/>
              <w:ind w:left="396"/>
              <w:jc w:val="center"/>
              <w:rPr>
                <w:rFonts w:ascii="Cambria" w:eastAsia="Cambria" w:hAnsi="Cambria" w:cs="Cambria"/>
                <w:sz w:val="20"/>
                <w:szCs w:val="20"/>
              </w:rPr>
            </w:pPr>
            <w:r w:rsidRPr="00C256BB">
              <w:rPr>
                <w:rFonts w:ascii="Cambria" w:hAnsi="Cambria"/>
                <w:i/>
                <w:color w:val="231F20"/>
                <w:sz w:val="20"/>
                <w:szCs w:val="20"/>
              </w:rPr>
              <w:t>CPC</w:t>
            </w:r>
          </w:p>
        </w:tc>
        <w:tc>
          <w:tcPr>
            <w:tcW w:w="1134" w:type="dxa"/>
            <w:tcBorders>
              <w:top w:val="single" w:sz="4" w:space="0" w:color="231F20"/>
              <w:left w:val="single" w:sz="4" w:space="0" w:color="231F20"/>
              <w:bottom w:val="single" w:sz="4" w:space="0" w:color="231F20"/>
              <w:right w:val="single" w:sz="4" w:space="0" w:color="231F20"/>
            </w:tcBorders>
          </w:tcPr>
          <w:p w14:paraId="4D75DB88" w14:textId="77777777" w:rsidR="005D5654" w:rsidRPr="00C256BB" w:rsidRDefault="005D5654" w:rsidP="005D5654">
            <w:pPr>
              <w:spacing w:before="72"/>
              <w:ind w:left="-2"/>
              <w:rPr>
                <w:rFonts w:ascii="Cambria" w:eastAsia="Cambria" w:hAnsi="Cambria" w:cs="Cambria"/>
                <w:sz w:val="20"/>
                <w:szCs w:val="20"/>
              </w:rPr>
            </w:pPr>
            <w:r w:rsidRPr="00C256BB">
              <w:rPr>
                <w:rFonts w:ascii="Cambria" w:hAnsi="Cambria"/>
                <w:i/>
                <w:color w:val="231F20"/>
                <w:sz w:val="20"/>
                <w:szCs w:val="20"/>
              </w:rPr>
              <w:t>Asignación</w:t>
            </w:r>
          </w:p>
        </w:tc>
      </w:tr>
      <w:tr w:rsidR="00176A22" w:rsidRPr="00C256BB" w14:paraId="54A000D2" w14:textId="77777777" w:rsidTr="00C256BB">
        <w:trPr>
          <w:trHeight w:val="141"/>
        </w:trPr>
        <w:tc>
          <w:tcPr>
            <w:tcW w:w="7650" w:type="dxa"/>
            <w:tcBorders>
              <w:top w:val="single" w:sz="4" w:space="0" w:color="231F20"/>
              <w:left w:val="single" w:sz="4" w:space="0" w:color="231F20"/>
              <w:bottom w:val="single" w:sz="4" w:space="0" w:color="231F20"/>
              <w:right w:val="single" w:sz="4" w:space="0" w:color="231F20"/>
            </w:tcBorders>
          </w:tcPr>
          <w:p w14:paraId="2158BF93" w14:textId="5D4C05C1" w:rsidR="00176A22" w:rsidRPr="00C256BB" w:rsidRDefault="00176A22" w:rsidP="00C256BB">
            <w:pPr>
              <w:spacing w:before="151"/>
              <w:ind w:left="94"/>
              <w:rPr>
                <w:rFonts w:ascii="Cambria" w:eastAsia="Cambria" w:hAnsi="Cambria" w:cs="Cambria"/>
                <w:sz w:val="20"/>
                <w:szCs w:val="20"/>
              </w:rPr>
            </w:pPr>
            <w:r w:rsidRPr="00C256BB">
              <w:rPr>
                <w:rFonts w:ascii="Cambria" w:hAnsi="Cambria"/>
                <w:color w:val="231F20"/>
                <w:sz w:val="20"/>
                <w:szCs w:val="20"/>
              </w:rPr>
              <w:t>Estados Unid</w:t>
            </w:r>
            <w:r w:rsidRPr="00C256BB">
              <w:rPr>
                <w:rFonts w:ascii="Cambria" w:hAnsi="Cambria"/>
                <w:color w:val="231F20"/>
                <w:sz w:val="20"/>
                <w:szCs w:val="20"/>
                <w:u w:val="single"/>
              </w:rPr>
              <w:t>os</w:t>
            </w:r>
          </w:p>
        </w:tc>
        <w:tc>
          <w:tcPr>
            <w:tcW w:w="1134" w:type="dxa"/>
            <w:tcBorders>
              <w:top w:val="single" w:sz="4" w:space="0" w:color="231F20"/>
              <w:left w:val="single" w:sz="4" w:space="0" w:color="231F20"/>
              <w:bottom w:val="single" w:sz="4" w:space="0" w:color="231F20"/>
              <w:right w:val="single" w:sz="4" w:space="0" w:color="231F20"/>
            </w:tcBorders>
            <w:vAlign w:val="center"/>
          </w:tcPr>
          <w:p w14:paraId="64BA2811" w14:textId="6CBF1028" w:rsidR="00176A22" w:rsidRPr="00C256BB" w:rsidRDefault="00176A22" w:rsidP="00176A22">
            <w:pPr>
              <w:spacing w:before="151"/>
              <w:jc w:val="center"/>
              <w:rPr>
                <w:rFonts w:ascii="Cambria" w:hAnsi="Cambria"/>
                <w:color w:val="231F20"/>
                <w:sz w:val="20"/>
                <w:szCs w:val="20"/>
                <w:u w:val="single"/>
              </w:rPr>
            </w:pPr>
            <w:r w:rsidRPr="00C256BB">
              <w:rPr>
                <w:rFonts w:ascii="Cambria" w:hAnsi="Cambria" w:hint="eastAsia"/>
                <w:color w:val="231F20"/>
                <w:sz w:val="20"/>
                <w:szCs w:val="20"/>
                <w:u w:val="single"/>
              </w:rPr>
              <w:t>62</w:t>
            </w:r>
            <w:r w:rsidRPr="00C256BB">
              <w:rPr>
                <w:rFonts w:ascii="Cambria" w:hAnsi="Cambria"/>
                <w:color w:val="231F20"/>
                <w:sz w:val="20"/>
                <w:szCs w:val="20"/>
                <w:u w:val="single"/>
              </w:rPr>
              <w:t>,</w:t>
            </w:r>
            <w:r w:rsidRPr="00C256BB">
              <w:rPr>
                <w:rFonts w:ascii="Cambria" w:hAnsi="Cambria" w:hint="eastAsia"/>
                <w:color w:val="231F20"/>
                <w:sz w:val="20"/>
                <w:szCs w:val="20"/>
                <w:u w:val="single"/>
              </w:rPr>
              <w:t>5</w:t>
            </w:r>
            <w:r w:rsidRPr="00C256BB">
              <w:rPr>
                <w:rFonts w:ascii="Cambria" w:hAnsi="Cambria"/>
                <w:color w:val="231F20"/>
                <w:sz w:val="20"/>
                <w:szCs w:val="20"/>
                <w:u w:val="single"/>
              </w:rPr>
              <w:t> t</w:t>
            </w:r>
          </w:p>
        </w:tc>
      </w:tr>
      <w:tr w:rsidR="00176A22" w:rsidRPr="00C256BB" w14:paraId="085EA494" w14:textId="77777777" w:rsidTr="00C256BB">
        <w:trPr>
          <w:trHeight w:val="380"/>
        </w:trPr>
        <w:tc>
          <w:tcPr>
            <w:tcW w:w="7650" w:type="dxa"/>
            <w:tcBorders>
              <w:top w:val="single" w:sz="4" w:space="0" w:color="231F20"/>
              <w:left w:val="single" w:sz="4" w:space="0" w:color="231F20"/>
              <w:bottom w:val="single" w:sz="4" w:space="0" w:color="231F20"/>
              <w:right w:val="single" w:sz="4" w:space="0" w:color="231F20"/>
            </w:tcBorders>
          </w:tcPr>
          <w:p w14:paraId="194C60AB" w14:textId="4A5B6506" w:rsidR="00176A22" w:rsidRPr="00C256BB" w:rsidRDefault="00176A22" w:rsidP="00C256BB">
            <w:pPr>
              <w:spacing w:before="151"/>
              <w:ind w:left="94"/>
              <w:rPr>
                <w:rFonts w:ascii="Cambria" w:eastAsia="Cambria" w:hAnsi="Cambria" w:cs="Cambria"/>
                <w:sz w:val="20"/>
                <w:szCs w:val="20"/>
              </w:rPr>
            </w:pPr>
            <w:r w:rsidRPr="00C256BB">
              <w:rPr>
                <w:rFonts w:ascii="Cambria" w:hAnsi="Cambria"/>
                <w:color w:val="231F20"/>
                <w:sz w:val="20"/>
                <w:szCs w:val="20"/>
              </w:rPr>
              <w:t>Cana</w:t>
            </w:r>
            <w:r w:rsidRPr="00C256BB">
              <w:rPr>
                <w:rFonts w:ascii="Cambria" w:hAnsi="Cambria"/>
                <w:color w:val="231F20"/>
                <w:sz w:val="20"/>
                <w:szCs w:val="20"/>
                <w:u w:val="single"/>
              </w:rPr>
              <w:t>dá</w:t>
            </w:r>
          </w:p>
        </w:tc>
        <w:tc>
          <w:tcPr>
            <w:tcW w:w="1134" w:type="dxa"/>
            <w:tcBorders>
              <w:top w:val="single" w:sz="4" w:space="0" w:color="231F20"/>
              <w:left w:val="single" w:sz="4" w:space="0" w:color="231F20"/>
              <w:bottom w:val="single" w:sz="4" w:space="0" w:color="231F20"/>
              <w:right w:val="single" w:sz="4" w:space="0" w:color="231F20"/>
            </w:tcBorders>
            <w:vAlign w:val="center"/>
          </w:tcPr>
          <w:p w14:paraId="22253493" w14:textId="2885B981" w:rsidR="00176A22" w:rsidRPr="00C256BB" w:rsidRDefault="00176A22" w:rsidP="00176A22">
            <w:pPr>
              <w:spacing w:before="151"/>
              <w:jc w:val="center"/>
              <w:rPr>
                <w:rFonts w:ascii="Cambria" w:hAnsi="Cambria"/>
                <w:color w:val="231F20"/>
                <w:sz w:val="20"/>
                <w:szCs w:val="20"/>
                <w:u w:val="single"/>
              </w:rPr>
            </w:pPr>
            <w:r w:rsidRPr="00C256BB">
              <w:rPr>
                <w:rFonts w:ascii="Cambria" w:hAnsi="Cambria" w:hint="eastAsia"/>
                <w:color w:val="231F20"/>
                <w:sz w:val="20"/>
                <w:szCs w:val="20"/>
                <w:u w:val="single"/>
              </w:rPr>
              <w:t>37</w:t>
            </w:r>
            <w:r w:rsidRPr="00C256BB">
              <w:rPr>
                <w:rFonts w:ascii="Cambria" w:hAnsi="Cambria"/>
                <w:color w:val="231F20"/>
                <w:sz w:val="20"/>
                <w:szCs w:val="20"/>
                <w:u w:val="single"/>
              </w:rPr>
              <w:t>,</w:t>
            </w:r>
            <w:r w:rsidRPr="00C256BB">
              <w:rPr>
                <w:rFonts w:ascii="Cambria" w:hAnsi="Cambria" w:hint="eastAsia"/>
                <w:color w:val="231F20"/>
                <w:sz w:val="20"/>
                <w:szCs w:val="20"/>
                <w:u w:val="single"/>
              </w:rPr>
              <w:t>5</w:t>
            </w:r>
            <w:r w:rsidRPr="00C256BB">
              <w:rPr>
                <w:rFonts w:ascii="Cambria" w:hAnsi="Cambria"/>
                <w:color w:val="231F20"/>
                <w:sz w:val="20"/>
                <w:szCs w:val="20"/>
                <w:u w:val="single"/>
              </w:rPr>
              <w:t> t</w:t>
            </w:r>
            <w:r w:rsidRPr="00C256BB">
              <w:rPr>
                <w:rFonts w:ascii="Cambria" w:hAnsi="Cambria" w:hint="eastAsia"/>
                <w:color w:val="231F20"/>
                <w:sz w:val="20"/>
                <w:szCs w:val="20"/>
                <w:u w:val="single"/>
              </w:rPr>
              <w:t>]</w:t>
            </w:r>
          </w:p>
        </w:tc>
      </w:tr>
    </w:tbl>
    <w:p w14:paraId="15058404" w14:textId="77777777" w:rsidR="00E627E1" w:rsidRPr="00C256BB" w:rsidRDefault="00E627E1" w:rsidP="00FB7BE2">
      <w:pPr>
        <w:widowControl/>
        <w:tabs>
          <w:tab w:val="left" w:pos="993"/>
        </w:tabs>
        <w:spacing w:line="259" w:lineRule="auto"/>
        <w:ind w:left="992"/>
        <w:jc w:val="both"/>
        <w:rPr>
          <w:rFonts w:ascii="Cambria" w:hAnsi="Cambria"/>
          <w:color w:val="231F20"/>
          <w:sz w:val="20"/>
          <w:szCs w:val="20"/>
        </w:rPr>
      </w:pPr>
    </w:p>
    <w:p w14:paraId="31DC6595" w14:textId="16003D16" w:rsidR="005D5654" w:rsidRPr="00C256BB" w:rsidRDefault="005D5654" w:rsidP="00176A22">
      <w:pPr>
        <w:pStyle w:val="ListParagraph"/>
        <w:widowControl/>
        <w:numPr>
          <w:ilvl w:val="0"/>
          <w:numId w:val="5"/>
        </w:numPr>
        <w:tabs>
          <w:tab w:val="left" w:pos="993"/>
        </w:tabs>
        <w:spacing w:after="160" w:line="259" w:lineRule="auto"/>
        <w:ind w:left="426" w:hanging="426"/>
        <w:jc w:val="both"/>
        <w:rPr>
          <w:rFonts w:ascii="Cambria" w:hAnsi="Cambria"/>
          <w:color w:val="231F20"/>
          <w:sz w:val="20"/>
          <w:szCs w:val="20"/>
        </w:rPr>
      </w:pPr>
      <w:r w:rsidRPr="00C256BB">
        <w:rPr>
          <w:rFonts w:ascii="Cambria" w:hAnsi="Cambria"/>
          <w:color w:val="231F20"/>
          <w:sz w:val="20"/>
          <w:szCs w:val="20"/>
          <w:u w:val="single"/>
        </w:rPr>
        <w:t>a)</w:t>
      </w:r>
      <w:r w:rsidR="00176A22" w:rsidRPr="00C256BB">
        <w:rPr>
          <w:rFonts w:ascii="Cambria" w:hAnsi="Cambria"/>
          <w:color w:val="231F20"/>
          <w:sz w:val="20"/>
          <w:szCs w:val="20"/>
          <w:u w:val="single"/>
        </w:rPr>
        <w:t xml:space="preserve"> El</w:t>
      </w:r>
      <w:r w:rsidR="00176A22" w:rsidRPr="00C256BB">
        <w:rPr>
          <w:rFonts w:ascii="Cambria" w:hAnsi="Cambria"/>
          <w:color w:val="231F20"/>
          <w:sz w:val="20"/>
          <w:szCs w:val="20"/>
        </w:rPr>
        <w:t xml:space="preserve"> </w:t>
      </w:r>
      <w:r w:rsidRPr="00C256BB">
        <w:rPr>
          <w:rFonts w:ascii="Cambria" w:hAnsi="Cambria"/>
          <w:color w:val="231F20"/>
          <w:sz w:val="20"/>
          <w:szCs w:val="20"/>
        </w:rPr>
        <w:t>TAC anual se asignará del siguiente modo:</w:t>
      </w:r>
    </w:p>
    <w:tbl>
      <w:tblPr>
        <w:tblW w:w="9066" w:type="dxa"/>
        <w:tblInd w:w="285" w:type="dxa"/>
        <w:tblLayout w:type="fixed"/>
        <w:tblLook w:val="0000" w:firstRow="0" w:lastRow="0" w:firstColumn="0" w:lastColumn="0" w:noHBand="0" w:noVBand="0"/>
      </w:tblPr>
      <w:tblGrid>
        <w:gridCol w:w="2262"/>
        <w:gridCol w:w="1559"/>
        <w:gridCol w:w="1559"/>
        <w:gridCol w:w="2127"/>
        <w:gridCol w:w="1559"/>
      </w:tblGrid>
      <w:tr w:rsidR="005D5654" w:rsidRPr="00C256BB" w14:paraId="63E07B6E" w14:textId="77777777" w:rsidTr="00FB7BE2">
        <w:trPr>
          <w:trHeight w:val="260"/>
        </w:trPr>
        <w:tc>
          <w:tcPr>
            <w:tcW w:w="2262" w:type="dxa"/>
            <w:tcBorders>
              <w:top w:val="single" w:sz="4" w:space="0" w:color="231F20"/>
              <w:left w:val="single" w:sz="4" w:space="0" w:color="231F20"/>
              <w:bottom w:val="single" w:sz="4" w:space="0" w:color="231F20"/>
              <w:right w:val="single" w:sz="4" w:space="0" w:color="231F20"/>
            </w:tcBorders>
          </w:tcPr>
          <w:p w14:paraId="6F31D839" w14:textId="77777777" w:rsidR="005D5654" w:rsidRPr="00C256BB" w:rsidRDefault="005D5654" w:rsidP="005D5654">
            <w:pPr>
              <w:rPr>
                <w:rFonts w:ascii="Cambria" w:eastAsia="Cambria" w:hAnsi="Cambria" w:cs="Cambria"/>
                <w:sz w:val="18"/>
                <w:szCs w:val="18"/>
              </w:rPr>
            </w:pPr>
          </w:p>
        </w:tc>
        <w:tc>
          <w:tcPr>
            <w:tcW w:w="6804" w:type="dxa"/>
            <w:gridSpan w:val="4"/>
            <w:tcBorders>
              <w:top w:val="single" w:sz="4" w:space="0" w:color="231F20"/>
              <w:left w:val="single" w:sz="4" w:space="0" w:color="231F20"/>
              <w:bottom w:val="single" w:sz="4" w:space="0" w:color="231F20"/>
              <w:right w:val="single" w:sz="4" w:space="0" w:color="231F20"/>
            </w:tcBorders>
          </w:tcPr>
          <w:p w14:paraId="6640ED67" w14:textId="27CD2E2D" w:rsidR="005D5654" w:rsidRPr="00C256BB" w:rsidRDefault="00176A22" w:rsidP="00176A22">
            <w:pPr>
              <w:spacing w:line="213" w:lineRule="auto"/>
              <w:jc w:val="center"/>
              <w:rPr>
                <w:rFonts w:ascii="Cambria" w:eastAsia="Cambria" w:hAnsi="Cambria" w:cs="Cambria"/>
                <w:iCs/>
                <w:sz w:val="18"/>
                <w:szCs w:val="18"/>
              </w:rPr>
            </w:pPr>
            <w:r w:rsidRPr="00C256BB">
              <w:rPr>
                <w:rFonts w:ascii="Cambria" w:hAnsi="Cambria"/>
                <w:iCs/>
                <w:color w:val="231F20"/>
                <w:sz w:val="18"/>
                <w:szCs w:val="18"/>
              </w:rPr>
              <w:t>[…]</w:t>
            </w:r>
          </w:p>
        </w:tc>
      </w:tr>
      <w:tr w:rsidR="005D5654" w:rsidRPr="00C256BB" w14:paraId="6C1B5475" w14:textId="77777777" w:rsidTr="00FB7BE2">
        <w:trPr>
          <w:trHeight w:val="440"/>
        </w:trPr>
        <w:tc>
          <w:tcPr>
            <w:tcW w:w="2262" w:type="dxa"/>
            <w:tcBorders>
              <w:top w:val="single" w:sz="4" w:space="0" w:color="231F20"/>
              <w:left w:val="single" w:sz="4" w:space="0" w:color="231F20"/>
              <w:bottom w:val="single" w:sz="4" w:space="0" w:color="231F20"/>
              <w:right w:val="single" w:sz="4" w:space="0" w:color="231F20"/>
            </w:tcBorders>
            <w:vAlign w:val="center"/>
          </w:tcPr>
          <w:p w14:paraId="35EC2432" w14:textId="77777777" w:rsidR="005D5654" w:rsidRPr="00C256BB" w:rsidRDefault="005D5654" w:rsidP="005D5654">
            <w:pPr>
              <w:spacing w:line="215" w:lineRule="auto"/>
              <w:ind w:left="96"/>
              <w:rPr>
                <w:rFonts w:ascii="Cambria" w:eastAsia="Cambria" w:hAnsi="Cambria" w:cs="Cambria"/>
                <w:sz w:val="18"/>
                <w:szCs w:val="18"/>
              </w:rPr>
            </w:pPr>
            <w:r w:rsidRPr="00C256BB">
              <w:rPr>
                <w:rFonts w:ascii="Cambria" w:hAnsi="Cambria"/>
                <w:color w:val="231F20"/>
                <w:sz w:val="18"/>
                <w:szCs w:val="18"/>
              </w:rPr>
              <w:t>CPC</w:t>
            </w:r>
          </w:p>
        </w:tc>
        <w:tc>
          <w:tcPr>
            <w:tcW w:w="1559" w:type="dxa"/>
            <w:tcBorders>
              <w:top w:val="single" w:sz="4" w:space="0" w:color="231F20"/>
              <w:left w:val="single" w:sz="4" w:space="0" w:color="231F20"/>
              <w:bottom w:val="single" w:sz="4" w:space="0" w:color="231F20"/>
              <w:right w:val="single" w:sz="4" w:space="0" w:color="231F20"/>
            </w:tcBorders>
            <w:vAlign w:val="center"/>
          </w:tcPr>
          <w:p w14:paraId="3F3567F5" w14:textId="77777777" w:rsidR="005D5654" w:rsidRPr="00C256BB" w:rsidRDefault="005D5654" w:rsidP="00FB7BE2">
            <w:pPr>
              <w:spacing w:before="1" w:line="216" w:lineRule="auto"/>
              <w:ind w:left="173" w:hanging="190"/>
              <w:jc w:val="center"/>
              <w:rPr>
                <w:rFonts w:ascii="Cambria" w:eastAsia="Cambria" w:hAnsi="Cambria" w:cs="Cambria"/>
                <w:sz w:val="18"/>
                <w:szCs w:val="18"/>
              </w:rPr>
            </w:pPr>
            <w:r w:rsidRPr="00C256BB">
              <w:rPr>
                <w:rFonts w:ascii="Cambria" w:hAnsi="Cambria"/>
                <w:color w:val="231F20"/>
                <w:sz w:val="18"/>
                <w:szCs w:val="18"/>
              </w:rPr>
              <w:t>&lt;2.413 t (A)</w:t>
            </w:r>
          </w:p>
        </w:tc>
        <w:tc>
          <w:tcPr>
            <w:tcW w:w="1559" w:type="dxa"/>
            <w:tcBorders>
              <w:top w:val="single" w:sz="4" w:space="0" w:color="231F20"/>
              <w:left w:val="single" w:sz="4" w:space="0" w:color="231F20"/>
              <w:bottom w:val="single" w:sz="4" w:space="0" w:color="231F20"/>
              <w:right w:val="single" w:sz="4" w:space="0" w:color="231F20"/>
            </w:tcBorders>
            <w:vAlign w:val="center"/>
          </w:tcPr>
          <w:p w14:paraId="7EE1FB04" w14:textId="77777777" w:rsidR="005D5654" w:rsidRPr="00C256BB" w:rsidRDefault="005D5654" w:rsidP="00FB7BE2">
            <w:pPr>
              <w:spacing w:before="1" w:line="216" w:lineRule="auto"/>
              <w:ind w:left="35" w:hanging="141"/>
              <w:jc w:val="center"/>
              <w:rPr>
                <w:rFonts w:ascii="Cambria" w:eastAsia="Cambria" w:hAnsi="Cambria" w:cs="Cambria"/>
                <w:sz w:val="18"/>
                <w:szCs w:val="18"/>
              </w:rPr>
            </w:pPr>
            <w:r w:rsidRPr="00C256BB">
              <w:rPr>
                <w:rFonts w:ascii="Cambria" w:hAnsi="Cambria"/>
                <w:color w:val="231F20"/>
                <w:sz w:val="18"/>
                <w:szCs w:val="18"/>
              </w:rPr>
              <w:t>2.413 t (B)</w:t>
            </w:r>
          </w:p>
        </w:tc>
        <w:tc>
          <w:tcPr>
            <w:tcW w:w="2127" w:type="dxa"/>
            <w:tcBorders>
              <w:top w:val="single" w:sz="4" w:space="0" w:color="231F20"/>
              <w:left w:val="single" w:sz="4" w:space="0" w:color="231F20"/>
              <w:bottom w:val="single" w:sz="4" w:space="0" w:color="231F20"/>
              <w:right w:val="single" w:sz="4" w:space="0" w:color="231F20"/>
            </w:tcBorders>
            <w:vAlign w:val="center"/>
          </w:tcPr>
          <w:p w14:paraId="3E67C090" w14:textId="77777777" w:rsidR="005D5654" w:rsidRPr="00C256BB" w:rsidRDefault="005D5654" w:rsidP="00FB7BE2">
            <w:pPr>
              <w:spacing w:before="1" w:line="216" w:lineRule="auto"/>
              <w:ind w:left="318" w:right="-105" w:hanging="433"/>
              <w:jc w:val="center"/>
              <w:rPr>
                <w:rFonts w:ascii="Cambria" w:eastAsia="Cambria" w:hAnsi="Cambria" w:cs="Cambria"/>
                <w:sz w:val="18"/>
                <w:szCs w:val="18"/>
              </w:rPr>
            </w:pPr>
            <w:r w:rsidRPr="00C256BB">
              <w:rPr>
                <w:rFonts w:ascii="Cambria" w:hAnsi="Cambria"/>
                <w:color w:val="231F20"/>
                <w:sz w:val="18"/>
                <w:szCs w:val="18"/>
              </w:rPr>
              <w:t>&gt;2.413-2.660 t (C)</w:t>
            </w:r>
          </w:p>
        </w:tc>
        <w:tc>
          <w:tcPr>
            <w:tcW w:w="1559" w:type="dxa"/>
            <w:tcBorders>
              <w:top w:val="single" w:sz="4" w:space="0" w:color="231F20"/>
              <w:left w:val="single" w:sz="4" w:space="0" w:color="231F20"/>
              <w:bottom w:val="single" w:sz="4" w:space="0" w:color="231F20"/>
              <w:right w:val="single" w:sz="4" w:space="0" w:color="231F20"/>
            </w:tcBorders>
            <w:vAlign w:val="center"/>
          </w:tcPr>
          <w:p w14:paraId="2D5334BF" w14:textId="77777777" w:rsidR="005D5654" w:rsidRPr="00C256BB" w:rsidRDefault="005D5654" w:rsidP="00FB7BE2">
            <w:pPr>
              <w:spacing w:before="1" w:line="216" w:lineRule="auto"/>
              <w:ind w:left="176" w:hanging="142"/>
              <w:jc w:val="center"/>
              <w:rPr>
                <w:rFonts w:ascii="Cambria" w:eastAsia="Cambria" w:hAnsi="Cambria" w:cs="Cambria"/>
                <w:sz w:val="18"/>
                <w:szCs w:val="18"/>
              </w:rPr>
            </w:pPr>
            <w:r w:rsidRPr="00C256BB">
              <w:rPr>
                <w:rFonts w:ascii="Cambria" w:hAnsi="Cambria"/>
                <w:color w:val="231F20"/>
                <w:sz w:val="18"/>
                <w:szCs w:val="18"/>
              </w:rPr>
              <w:t>&gt;2.660 t (D)</w:t>
            </w:r>
          </w:p>
        </w:tc>
      </w:tr>
      <w:tr w:rsidR="005D5654" w:rsidRPr="00C256BB" w14:paraId="66D19869" w14:textId="77777777" w:rsidTr="00FB7BE2">
        <w:trPr>
          <w:trHeight w:val="220"/>
        </w:trPr>
        <w:tc>
          <w:tcPr>
            <w:tcW w:w="2262" w:type="dxa"/>
            <w:tcBorders>
              <w:top w:val="single" w:sz="4" w:space="0" w:color="231F20"/>
              <w:left w:val="single" w:sz="4" w:space="0" w:color="231F20"/>
              <w:bottom w:val="single" w:sz="4" w:space="0" w:color="231F20"/>
              <w:right w:val="single" w:sz="4" w:space="0" w:color="231F20"/>
            </w:tcBorders>
          </w:tcPr>
          <w:p w14:paraId="6F83FADF" w14:textId="77777777" w:rsidR="005D5654" w:rsidRPr="00C256BB" w:rsidRDefault="005D5654" w:rsidP="005D5654">
            <w:pPr>
              <w:spacing w:line="214" w:lineRule="auto"/>
              <w:ind w:left="96"/>
              <w:rPr>
                <w:rFonts w:ascii="Cambria" w:eastAsia="Cambria" w:hAnsi="Cambria" w:cs="Cambria"/>
                <w:sz w:val="18"/>
                <w:szCs w:val="18"/>
              </w:rPr>
            </w:pPr>
            <w:r w:rsidRPr="00C256BB">
              <w:rPr>
                <w:rFonts w:ascii="Cambria" w:hAnsi="Cambria"/>
                <w:color w:val="231F20"/>
                <w:sz w:val="18"/>
                <w:szCs w:val="18"/>
              </w:rPr>
              <w:t>Estados Unidos</w:t>
            </w:r>
          </w:p>
        </w:tc>
        <w:tc>
          <w:tcPr>
            <w:tcW w:w="1559" w:type="dxa"/>
            <w:tcBorders>
              <w:top w:val="single" w:sz="4" w:space="0" w:color="231F20"/>
              <w:left w:val="single" w:sz="4" w:space="0" w:color="231F20"/>
              <w:bottom w:val="single" w:sz="4" w:space="0" w:color="231F20"/>
              <w:right w:val="single" w:sz="4" w:space="0" w:color="231F20"/>
            </w:tcBorders>
            <w:vAlign w:val="center"/>
          </w:tcPr>
          <w:p w14:paraId="353C2C48" w14:textId="77777777" w:rsidR="005D5654" w:rsidRPr="00C256BB" w:rsidRDefault="005D5654" w:rsidP="00FB7BE2">
            <w:pPr>
              <w:spacing w:line="214" w:lineRule="auto"/>
              <w:ind w:left="173" w:hanging="190"/>
              <w:jc w:val="center"/>
              <w:rPr>
                <w:rFonts w:ascii="Cambria" w:eastAsia="Cambria" w:hAnsi="Cambria" w:cs="Cambria"/>
                <w:sz w:val="18"/>
                <w:szCs w:val="18"/>
              </w:rPr>
            </w:pPr>
            <w:r w:rsidRPr="00C256BB">
              <w:rPr>
                <w:rFonts w:ascii="Cambria" w:hAnsi="Cambria"/>
                <w:color w:val="231F20"/>
                <w:sz w:val="18"/>
                <w:szCs w:val="18"/>
              </w:rPr>
              <w:t>54,02 %</w:t>
            </w:r>
          </w:p>
        </w:tc>
        <w:tc>
          <w:tcPr>
            <w:tcW w:w="1559" w:type="dxa"/>
            <w:tcBorders>
              <w:top w:val="single" w:sz="4" w:space="0" w:color="231F20"/>
              <w:left w:val="single" w:sz="4" w:space="0" w:color="231F20"/>
              <w:bottom w:val="single" w:sz="4" w:space="0" w:color="231F20"/>
              <w:right w:val="single" w:sz="4" w:space="0" w:color="231F20"/>
            </w:tcBorders>
            <w:vAlign w:val="center"/>
          </w:tcPr>
          <w:p w14:paraId="607B95F4" w14:textId="77777777" w:rsidR="005D5654" w:rsidRPr="00C256BB" w:rsidRDefault="005D5654" w:rsidP="00FB7BE2">
            <w:pPr>
              <w:spacing w:line="214" w:lineRule="auto"/>
              <w:ind w:left="35" w:hanging="141"/>
              <w:jc w:val="center"/>
              <w:rPr>
                <w:rFonts w:ascii="Cambria" w:eastAsia="Cambria" w:hAnsi="Cambria" w:cs="Cambria"/>
                <w:sz w:val="18"/>
                <w:szCs w:val="18"/>
              </w:rPr>
            </w:pPr>
            <w:r w:rsidRPr="00C256BB">
              <w:rPr>
                <w:rFonts w:ascii="Cambria" w:hAnsi="Cambria"/>
                <w:color w:val="231F20"/>
                <w:sz w:val="18"/>
                <w:szCs w:val="18"/>
              </w:rPr>
              <w:t>1.303 t</w:t>
            </w:r>
          </w:p>
        </w:tc>
        <w:tc>
          <w:tcPr>
            <w:tcW w:w="2127" w:type="dxa"/>
            <w:tcBorders>
              <w:top w:val="single" w:sz="4" w:space="0" w:color="231F20"/>
              <w:left w:val="single" w:sz="4" w:space="0" w:color="231F20"/>
              <w:bottom w:val="single" w:sz="4" w:space="0" w:color="231F20"/>
              <w:right w:val="single" w:sz="4" w:space="0" w:color="231F20"/>
            </w:tcBorders>
            <w:vAlign w:val="center"/>
          </w:tcPr>
          <w:p w14:paraId="00349CA4" w14:textId="77777777" w:rsidR="005D5654" w:rsidRPr="00C256BB" w:rsidRDefault="005D5654" w:rsidP="00FB7BE2">
            <w:pPr>
              <w:spacing w:line="214" w:lineRule="auto"/>
              <w:ind w:left="318" w:right="-105" w:hanging="433"/>
              <w:jc w:val="center"/>
              <w:rPr>
                <w:rFonts w:ascii="Cambria" w:eastAsia="Cambria" w:hAnsi="Cambria" w:cs="Cambria"/>
                <w:sz w:val="18"/>
                <w:szCs w:val="18"/>
              </w:rPr>
            </w:pPr>
            <w:r w:rsidRPr="00C256BB">
              <w:rPr>
                <w:rFonts w:ascii="Cambria" w:hAnsi="Cambria"/>
                <w:color w:val="231F20"/>
                <w:sz w:val="18"/>
                <w:szCs w:val="18"/>
              </w:rPr>
              <w:t>1.303 t</w:t>
            </w:r>
          </w:p>
        </w:tc>
        <w:tc>
          <w:tcPr>
            <w:tcW w:w="1559" w:type="dxa"/>
            <w:tcBorders>
              <w:top w:val="single" w:sz="4" w:space="0" w:color="231F20"/>
              <w:left w:val="single" w:sz="4" w:space="0" w:color="231F20"/>
              <w:bottom w:val="single" w:sz="4" w:space="0" w:color="231F20"/>
              <w:right w:val="single" w:sz="4" w:space="0" w:color="231F20"/>
            </w:tcBorders>
            <w:vAlign w:val="center"/>
          </w:tcPr>
          <w:p w14:paraId="7D6A01BD" w14:textId="77777777" w:rsidR="005D5654" w:rsidRPr="00C256BB" w:rsidRDefault="005D5654" w:rsidP="00FB7BE2">
            <w:pPr>
              <w:spacing w:line="214" w:lineRule="auto"/>
              <w:ind w:left="176" w:hanging="142"/>
              <w:jc w:val="center"/>
              <w:rPr>
                <w:rFonts w:ascii="Cambria" w:eastAsia="Cambria" w:hAnsi="Cambria" w:cs="Cambria"/>
                <w:sz w:val="18"/>
                <w:szCs w:val="18"/>
              </w:rPr>
            </w:pPr>
            <w:r w:rsidRPr="00C256BB">
              <w:rPr>
                <w:rFonts w:ascii="Cambria" w:hAnsi="Cambria"/>
                <w:color w:val="231F20"/>
                <w:sz w:val="18"/>
                <w:szCs w:val="18"/>
              </w:rPr>
              <w:t>49,00 %</w:t>
            </w:r>
          </w:p>
        </w:tc>
      </w:tr>
      <w:tr w:rsidR="005D5654" w:rsidRPr="00C256BB" w14:paraId="5F550298" w14:textId="77777777" w:rsidTr="00FB7BE2">
        <w:trPr>
          <w:trHeight w:val="220"/>
        </w:trPr>
        <w:tc>
          <w:tcPr>
            <w:tcW w:w="2262" w:type="dxa"/>
            <w:tcBorders>
              <w:top w:val="single" w:sz="4" w:space="0" w:color="231F20"/>
              <w:left w:val="single" w:sz="4" w:space="0" w:color="231F20"/>
              <w:bottom w:val="single" w:sz="4" w:space="0" w:color="231F20"/>
              <w:right w:val="single" w:sz="4" w:space="0" w:color="231F20"/>
            </w:tcBorders>
          </w:tcPr>
          <w:p w14:paraId="11D0D9D3" w14:textId="77777777" w:rsidR="005D5654" w:rsidRPr="00C256BB" w:rsidRDefault="005D5654" w:rsidP="005D5654">
            <w:pPr>
              <w:spacing w:line="214" w:lineRule="auto"/>
              <w:ind w:left="96"/>
              <w:rPr>
                <w:rFonts w:ascii="Cambria" w:eastAsia="Cambria" w:hAnsi="Cambria" w:cs="Cambria"/>
                <w:sz w:val="18"/>
                <w:szCs w:val="18"/>
              </w:rPr>
            </w:pPr>
            <w:r w:rsidRPr="00C256BB">
              <w:rPr>
                <w:rFonts w:ascii="Cambria" w:hAnsi="Cambria"/>
                <w:color w:val="231F20"/>
                <w:sz w:val="18"/>
                <w:szCs w:val="18"/>
              </w:rPr>
              <w:t>Canadá</w:t>
            </w:r>
          </w:p>
        </w:tc>
        <w:tc>
          <w:tcPr>
            <w:tcW w:w="1559" w:type="dxa"/>
            <w:tcBorders>
              <w:top w:val="single" w:sz="4" w:space="0" w:color="231F20"/>
              <w:left w:val="single" w:sz="4" w:space="0" w:color="231F20"/>
              <w:bottom w:val="single" w:sz="4" w:space="0" w:color="231F20"/>
              <w:right w:val="single" w:sz="4" w:space="0" w:color="231F20"/>
            </w:tcBorders>
            <w:vAlign w:val="center"/>
          </w:tcPr>
          <w:p w14:paraId="144139CA" w14:textId="77777777" w:rsidR="005D5654" w:rsidRPr="00C256BB" w:rsidRDefault="005D5654" w:rsidP="00FB7BE2">
            <w:pPr>
              <w:spacing w:line="214" w:lineRule="auto"/>
              <w:ind w:left="173" w:hanging="190"/>
              <w:jc w:val="center"/>
              <w:rPr>
                <w:rFonts w:ascii="Cambria" w:eastAsia="Cambria" w:hAnsi="Cambria" w:cs="Cambria"/>
                <w:sz w:val="18"/>
                <w:szCs w:val="18"/>
              </w:rPr>
            </w:pPr>
            <w:r w:rsidRPr="00C256BB">
              <w:rPr>
                <w:rFonts w:ascii="Cambria" w:hAnsi="Cambria"/>
                <w:color w:val="231F20"/>
                <w:sz w:val="18"/>
                <w:szCs w:val="18"/>
              </w:rPr>
              <w:t>22,32 %</w:t>
            </w:r>
          </w:p>
        </w:tc>
        <w:tc>
          <w:tcPr>
            <w:tcW w:w="1559" w:type="dxa"/>
            <w:tcBorders>
              <w:top w:val="single" w:sz="4" w:space="0" w:color="231F20"/>
              <w:left w:val="single" w:sz="4" w:space="0" w:color="231F20"/>
              <w:bottom w:val="single" w:sz="4" w:space="0" w:color="231F20"/>
              <w:right w:val="single" w:sz="4" w:space="0" w:color="231F20"/>
            </w:tcBorders>
            <w:vAlign w:val="center"/>
          </w:tcPr>
          <w:p w14:paraId="2552AE76" w14:textId="77777777" w:rsidR="005D5654" w:rsidRPr="00C256BB" w:rsidRDefault="005D5654" w:rsidP="00FB7BE2">
            <w:pPr>
              <w:spacing w:line="214" w:lineRule="auto"/>
              <w:ind w:left="35" w:hanging="141"/>
              <w:jc w:val="center"/>
              <w:rPr>
                <w:rFonts w:ascii="Cambria" w:eastAsia="Cambria" w:hAnsi="Cambria" w:cs="Cambria"/>
                <w:sz w:val="18"/>
                <w:szCs w:val="18"/>
              </w:rPr>
            </w:pPr>
            <w:r w:rsidRPr="00C256BB">
              <w:rPr>
                <w:rFonts w:ascii="Cambria" w:hAnsi="Cambria"/>
                <w:color w:val="231F20"/>
                <w:sz w:val="18"/>
                <w:szCs w:val="18"/>
              </w:rPr>
              <w:t>539 t</w:t>
            </w:r>
          </w:p>
        </w:tc>
        <w:tc>
          <w:tcPr>
            <w:tcW w:w="2127" w:type="dxa"/>
            <w:tcBorders>
              <w:top w:val="single" w:sz="4" w:space="0" w:color="231F20"/>
              <w:left w:val="single" w:sz="4" w:space="0" w:color="231F20"/>
              <w:bottom w:val="single" w:sz="4" w:space="0" w:color="231F20"/>
              <w:right w:val="single" w:sz="4" w:space="0" w:color="231F20"/>
            </w:tcBorders>
            <w:vAlign w:val="center"/>
          </w:tcPr>
          <w:p w14:paraId="6FFBA18E" w14:textId="77777777" w:rsidR="005D5654" w:rsidRPr="00C256BB" w:rsidRDefault="005D5654" w:rsidP="00FB7BE2">
            <w:pPr>
              <w:spacing w:line="214" w:lineRule="auto"/>
              <w:ind w:left="318" w:right="-105" w:hanging="433"/>
              <w:jc w:val="center"/>
              <w:rPr>
                <w:rFonts w:ascii="Cambria" w:eastAsia="Cambria" w:hAnsi="Cambria" w:cs="Cambria"/>
                <w:sz w:val="18"/>
                <w:szCs w:val="18"/>
              </w:rPr>
            </w:pPr>
            <w:r w:rsidRPr="00C256BB">
              <w:rPr>
                <w:rFonts w:ascii="Cambria" w:hAnsi="Cambria"/>
                <w:color w:val="231F20"/>
                <w:sz w:val="18"/>
                <w:szCs w:val="18"/>
              </w:rPr>
              <w:t>539 t</w:t>
            </w:r>
          </w:p>
        </w:tc>
        <w:tc>
          <w:tcPr>
            <w:tcW w:w="1559" w:type="dxa"/>
            <w:tcBorders>
              <w:top w:val="single" w:sz="4" w:space="0" w:color="231F20"/>
              <w:left w:val="single" w:sz="4" w:space="0" w:color="231F20"/>
              <w:bottom w:val="single" w:sz="4" w:space="0" w:color="231F20"/>
              <w:right w:val="single" w:sz="4" w:space="0" w:color="231F20"/>
            </w:tcBorders>
            <w:vAlign w:val="center"/>
          </w:tcPr>
          <w:p w14:paraId="2371C9BC" w14:textId="77777777" w:rsidR="005D5654" w:rsidRPr="00C256BB" w:rsidRDefault="005D5654" w:rsidP="00FB7BE2">
            <w:pPr>
              <w:spacing w:line="214" w:lineRule="auto"/>
              <w:ind w:left="176" w:hanging="142"/>
              <w:jc w:val="center"/>
              <w:rPr>
                <w:rFonts w:ascii="Cambria" w:eastAsia="Cambria" w:hAnsi="Cambria" w:cs="Cambria"/>
                <w:sz w:val="18"/>
                <w:szCs w:val="18"/>
              </w:rPr>
            </w:pPr>
            <w:r w:rsidRPr="00C256BB">
              <w:rPr>
                <w:rFonts w:ascii="Cambria" w:hAnsi="Cambria"/>
                <w:color w:val="231F20"/>
                <w:sz w:val="18"/>
                <w:szCs w:val="18"/>
              </w:rPr>
              <w:t>20,24 %</w:t>
            </w:r>
          </w:p>
        </w:tc>
      </w:tr>
      <w:tr w:rsidR="005D5654" w:rsidRPr="00C256BB" w14:paraId="165FBC7A" w14:textId="77777777" w:rsidTr="00FB7BE2">
        <w:trPr>
          <w:trHeight w:val="347"/>
        </w:trPr>
        <w:tc>
          <w:tcPr>
            <w:tcW w:w="2262" w:type="dxa"/>
            <w:tcBorders>
              <w:top w:val="single" w:sz="4" w:space="0" w:color="231F20"/>
              <w:left w:val="single" w:sz="4" w:space="0" w:color="231F20"/>
              <w:bottom w:val="single" w:sz="4" w:space="0" w:color="231F20"/>
              <w:right w:val="single" w:sz="4" w:space="0" w:color="231F20"/>
            </w:tcBorders>
            <w:vAlign w:val="center"/>
          </w:tcPr>
          <w:p w14:paraId="5B94FAD1" w14:textId="77777777" w:rsidR="005D5654" w:rsidRPr="00C256BB" w:rsidRDefault="005D5654" w:rsidP="00FB7BE2">
            <w:pPr>
              <w:ind w:left="96"/>
              <w:rPr>
                <w:rFonts w:ascii="Cambria" w:eastAsia="Cambria" w:hAnsi="Cambria" w:cs="Cambria"/>
                <w:sz w:val="18"/>
                <w:szCs w:val="18"/>
              </w:rPr>
            </w:pPr>
            <w:r w:rsidRPr="00C256BB">
              <w:rPr>
                <w:rFonts w:ascii="Cambria" w:hAnsi="Cambria"/>
                <w:color w:val="231F20"/>
                <w:sz w:val="18"/>
                <w:szCs w:val="18"/>
              </w:rPr>
              <w:t>Japón</w:t>
            </w:r>
          </w:p>
        </w:tc>
        <w:tc>
          <w:tcPr>
            <w:tcW w:w="1559" w:type="dxa"/>
            <w:tcBorders>
              <w:top w:val="single" w:sz="4" w:space="0" w:color="231F20"/>
              <w:left w:val="single" w:sz="4" w:space="0" w:color="231F20"/>
              <w:bottom w:val="single" w:sz="4" w:space="0" w:color="231F20"/>
              <w:right w:val="single" w:sz="4" w:space="0" w:color="231F20"/>
            </w:tcBorders>
            <w:vAlign w:val="center"/>
          </w:tcPr>
          <w:p w14:paraId="767D9334" w14:textId="77777777" w:rsidR="005D5654" w:rsidRPr="00C256BB" w:rsidRDefault="005D5654" w:rsidP="00FB7BE2">
            <w:pPr>
              <w:ind w:left="173" w:hanging="190"/>
              <w:jc w:val="center"/>
              <w:rPr>
                <w:rFonts w:ascii="Cambria" w:eastAsia="Cambria" w:hAnsi="Cambria" w:cs="Cambria"/>
                <w:sz w:val="18"/>
                <w:szCs w:val="18"/>
              </w:rPr>
            </w:pPr>
            <w:r w:rsidRPr="00C256BB">
              <w:rPr>
                <w:rFonts w:ascii="Cambria" w:hAnsi="Cambria"/>
                <w:color w:val="231F20"/>
                <w:sz w:val="18"/>
                <w:szCs w:val="18"/>
              </w:rPr>
              <w:t>17,64 %</w:t>
            </w:r>
          </w:p>
        </w:tc>
        <w:tc>
          <w:tcPr>
            <w:tcW w:w="1559" w:type="dxa"/>
            <w:tcBorders>
              <w:top w:val="single" w:sz="4" w:space="0" w:color="231F20"/>
              <w:left w:val="single" w:sz="4" w:space="0" w:color="231F20"/>
              <w:bottom w:val="single" w:sz="4" w:space="0" w:color="231F20"/>
              <w:right w:val="single" w:sz="4" w:space="0" w:color="231F20"/>
            </w:tcBorders>
            <w:vAlign w:val="center"/>
          </w:tcPr>
          <w:p w14:paraId="7221DD00" w14:textId="77777777" w:rsidR="005D5654" w:rsidRPr="00C256BB" w:rsidRDefault="005D5654" w:rsidP="00FB7BE2">
            <w:pPr>
              <w:ind w:left="35" w:hanging="141"/>
              <w:jc w:val="center"/>
              <w:rPr>
                <w:rFonts w:ascii="Cambria" w:eastAsia="Cambria" w:hAnsi="Cambria" w:cs="Cambria"/>
                <w:sz w:val="18"/>
                <w:szCs w:val="18"/>
              </w:rPr>
            </w:pPr>
            <w:r w:rsidRPr="00C256BB">
              <w:rPr>
                <w:rFonts w:ascii="Cambria" w:hAnsi="Cambria"/>
                <w:color w:val="231F20"/>
                <w:sz w:val="18"/>
                <w:szCs w:val="18"/>
              </w:rPr>
              <w:t>426 t</w:t>
            </w:r>
          </w:p>
        </w:tc>
        <w:tc>
          <w:tcPr>
            <w:tcW w:w="2127" w:type="dxa"/>
            <w:tcBorders>
              <w:top w:val="single" w:sz="4" w:space="0" w:color="231F20"/>
              <w:left w:val="single" w:sz="4" w:space="0" w:color="231F20"/>
              <w:bottom w:val="single" w:sz="4" w:space="0" w:color="231F20"/>
              <w:right w:val="single" w:sz="4" w:space="0" w:color="231F20"/>
            </w:tcBorders>
            <w:vAlign w:val="center"/>
          </w:tcPr>
          <w:p w14:paraId="6B0EA623" w14:textId="237D13A0" w:rsidR="005D5654" w:rsidRPr="00C256BB" w:rsidRDefault="005D5654" w:rsidP="00FB7BE2">
            <w:pPr>
              <w:spacing w:line="237" w:lineRule="auto"/>
              <w:ind w:right="-105"/>
              <w:jc w:val="center"/>
              <w:rPr>
                <w:rFonts w:ascii="Cambria" w:eastAsia="Cambria" w:hAnsi="Cambria" w:cs="Cambria"/>
                <w:sz w:val="18"/>
                <w:szCs w:val="18"/>
              </w:rPr>
            </w:pPr>
            <w:r w:rsidRPr="00C256BB">
              <w:rPr>
                <w:rFonts w:asciiTheme="minorHAnsi" w:hAnsiTheme="minorHAnsi"/>
                <w:color w:val="231F20"/>
                <w:sz w:val="18"/>
                <w:szCs w:val="18"/>
              </w:rPr>
              <w:t xml:space="preserve">426 t + </w:t>
            </w:r>
            <w:r w:rsidRPr="00C256BB">
              <w:rPr>
                <w:rFonts w:asciiTheme="minorHAnsi" w:hAnsiTheme="minorHAnsi"/>
                <w:sz w:val="18"/>
                <w:szCs w:val="18"/>
              </w:rPr>
              <w:t>todo incremento entre</w:t>
            </w:r>
            <w:r w:rsidR="00FB7BE2" w:rsidRPr="00C256BB">
              <w:rPr>
                <w:rFonts w:asciiTheme="minorHAnsi" w:hAnsiTheme="minorHAnsi"/>
                <w:sz w:val="18"/>
                <w:szCs w:val="18"/>
              </w:rPr>
              <w:t xml:space="preserve"> </w:t>
            </w:r>
            <w:r w:rsidRPr="00C256BB">
              <w:rPr>
                <w:rFonts w:asciiTheme="minorHAnsi" w:hAnsiTheme="minorHAnsi"/>
                <w:color w:val="231F20"/>
                <w:sz w:val="18"/>
                <w:szCs w:val="18"/>
              </w:rPr>
              <w:t>2.413 t y 2.660 t</w:t>
            </w:r>
          </w:p>
        </w:tc>
        <w:tc>
          <w:tcPr>
            <w:tcW w:w="1559" w:type="dxa"/>
            <w:tcBorders>
              <w:top w:val="single" w:sz="4" w:space="0" w:color="231F20"/>
              <w:left w:val="single" w:sz="4" w:space="0" w:color="231F20"/>
              <w:bottom w:val="single" w:sz="4" w:space="0" w:color="231F20"/>
              <w:right w:val="single" w:sz="4" w:space="0" w:color="231F20"/>
            </w:tcBorders>
            <w:vAlign w:val="center"/>
          </w:tcPr>
          <w:p w14:paraId="5F0D2560" w14:textId="77777777" w:rsidR="005D5654" w:rsidRPr="00C256BB" w:rsidRDefault="005D5654" w:rsidP="00FB7BE2">
            <w:pPr>
              <w:ind w:left="176" w:hanging="142"/>
              <w:jc w:val="center"/>
              <w:rPr>
                <w:rFonts w:ascii="Cambria" w:eastAsia="Cambria" w:hAnsi="Cambria" w:cs="Cambria"/>
                <w:sz w:val="18"/>
                <w:szCs w:val="18"/>
              </w:rPr>
            </w:pPr>
            <w:r w:rsidRPr="00C256BB">
              <w:rPr>
                <w:rFonts w:ascii="Cambria" w:hAnsi="Cambria"/>
                <w:color w:val="231F20"/>
                <w:sz w:val="18"/>
                <w:szCs w:val="18"/>
              </w:rPr>
              <w:t>24,74 %</w:t>
            </w:r>
          </w:p>
        </w:tc>
      </w:tr>
      <w:tr w:rsidR="005D5654" w:rsidRPr="00C256BB" w14:paraId="69F32DF3" w14:textId="77777777" w:rsidTr="00FB7BE2">
        <w:trPr>
          <w:trHeight w:val="407"/>
        </w:trPr>
        <w:tc>
          <w:tcPr>
            <w:tcW w:w="2262" w:type="dxa"/>
            <w:tcBorders>
              <w:top w:val="single" w:sz="4" w:space="0" w:color="231F20"/>
              <w:left w:val="single" w:sz="4" w:space="0" w:color="231F20"/>
              <w:bottom w:val="single" w:sz="4" w:space="0" w:color="231F20"/>
              <w:right w:val="single" w:sz="4" w:space="0" w:color="231F20"/>
            </w:tcBorders>
          </w:tcPr>
          <w:p w14:paraId="71CE5DAC" w14:textId="77777777" w:rsidR="005D5654" w:rsidRPr="00C256BB" w:rsidRDefault="005D5654" w:rsidP="00FB7BE2">
            <w:pPr>
              <w:spacing w:line="238" w:lineRule="auto"/>
              <w:ind w:left="96" w:right="-107"/>
              <w:rPr>
                <w:rFonts w:ascii="Cambria" w:eastAsia="Cambria" w:hAnsi="Cambria" w:cs="Cambria"/>
                <w:sz w:val="18"/>
                <w:szCs w:val="18"/>
              </w:rPr>
            </w:pPr>
            <w:r w:rsidRPr="00C256BB">
              <w:rPr>
                <w:rFonts w:ascii="Cambria" w:hAnsi="Cambria"/>
                <w:color w:val="231F20"/>
                <w:sz w:val="18"/>
                <w:szCs w:val="18"/>
              </w:rPr>
              <w:t>Reino Unido (por Bermudas)</w:t>
            </w:r>
          </w:p>
        </w:tc>
        <w:tc>
          <w:tcPr>
            <w:tcW w:w="1559" w:type="dxa"/>
            <w:tcBorders>
              <w:top w:val="single" w:sz="4" w:space="0" w:color="231F20"/>
              <w:left w:val="single" w:sz="4" w:space="0" w:color="231F20"/>
              <w:bottom w:val="single" w:sz="4" w:space="0" w:color="231F20"/>
              <w:right w:val="single" w:sz="4" w:space="0" w:color="231F20"/>
            </w:tcBorders>
            <w:vAlign w:val="center"/>
          </w:tcPr>
          <w:p w14:paraId="14EC8905" w14:textId="77777777" w:rsidR="005D5654" w:rsidRPr="00C256BB" w:rsidRDefault="005D5654" w:rsidP="00FB7BE2">
            <w:pPr>
              <w:spacing w:before="102"/>
              <w:ind w:left="173" w:hanging="190"/>
              <w:jc w:val="center"/>
              <w:rPr>
                <w:rFonts w:ascii="Cambria" w:eastAsia="Cambria" w:hAnsi="Cambria" w:cs="Cambria"/>
                <w:sz w:val="18"/>
                <w:szCs w:val="18"/>
              </w:rPr>
            </w:pPr>
            <w:r w:rsidRPr="00C256BB">
              <w:rPr>
                <w:rFonts w:ascii="Cambria" w:hAnsi="Cambria"/>
                <w:color w:val="231F20"/>
                <w:sz w:val="18"/>
                <w:szCs w:val="18"/>
              </w:rPr>
              <w:t>0,23 %</w:t>
            </w:r>
          </w:p>
        </w:tc>
        <w:tc>
          <w:tcPr>
            <w:tcW w:w="1559" w:type="dxa"/>
            <w:tcBorders>
              <w:top w:val="single" w:sz="4" w:space="0" w:color="231F20"/>
              <w:left w:val="single" w:sz="4" w:space="0" w:color="231F20"/>
              <w:bottom w:val="single" w:sz="4" w:space="0" w:color="231F20"/>
              <w:right w:val="single" w:sz="4" w:space="0" w:color="231F20"/>
            </w:tcBorders>
            <w:vAlign w:val="center"/>
          </w:tcPr>
          <w:p w14:paraId="51515045" w14:textId="77777777" w:rsidR="005D5654" w:rsidRPr="00C256BB" w:rsidRDefault="005D5654" w:rsidP="00FB7BE2">
            <w:pPr>
              <w:spacing w:before="102"/>
              <w:ind w:left="35" w:hanging="141"/>
              <w:jc w:val="center"/>
              <w:rPr>
                <w:rFonts w:ascii="Cambria" w:eastAsia="Cambria" w:hAnsi="Cambria" w:cs="Cambria"/>
                <w:sz w:val="18"/>
                <w:szCs w:val="18"/>
              </w:rPr>
            </w:pPr>
            <w:r w:rsidRPr="00C256BB">
              <w:rPr>
                <w:rFonts w:ascii="Cambria" w:hAnsi="Cambria"/>
                <w:color w:val="231F20"/>
                <w:sz w:val="18"/>
                <w:szCs w:val="18"/>
              </w:rPr>
              <w:t>5,5 t</w:t>
            </w:r>
          </w:p>
        </w:tc>
        <w:tc>
          <w:tcPr>
            <w:tcW w:w="2127" w:type="dxa"/>
            <w:tcBorders>
              <w:top w:val="single" w:sz="4" w:space="0" w:color="231F20"/>
              <w:left w:val="single" w:sz="4" w:space="0" w:color="231F20"/>
              <w:bottom w:val="single" w:sz="4" w:space="0" w:color="231F20"/>
              <w:right w:val="single" w:sz="4" w:space="0" w:color="231F20"/>
            </w:tcBorders>
            <w:vAlign w:val="center"/>
          </w:tcPr>
          <w:p w14:paraId="37813D89" w14:textId="77777777" w:rsidR="005D5654" w:rsidRPr="00C256BB" w:rsidRDefault="005D5654" w:rsidP="00FB7BE2">
            <w:pPr>
              <w:spacing w:before="102"/>
              <w:ind w:left="318" w:right="-105" w:hanging="433"/>
              <w:jc w:val="center"/>
              <w:rPr>
                <w:rFonts w:ascii="Cambria" w:eastAsia="Cambria" w:hAnsi="Cambria" w:cs="Cambria"/>
                <w:sz w:val="18"/>
                <w:szCs w:val="18"/>
              </w:rPr>
            </w:pPr>
            <w:r w:rsidRPr="00C256BB">
              <w:rPr>
                <w:rFonts w:ascii="Cambria" w:hAnsi="Cambria"/>
                <w:color w:val="231F20"/>
                <w:sz w:val="18"/>
                <w:szCs w:val="18"/>
              </w:rPr>
              <w:t>5,5 t</w:t>
            </w:r>
          </w:p>
        </w:tc>
        <w:tc>
          <w:tcPr>
            <w:tcW w:w="1559" w:type="dxa"/>
            <w:tcBorders>
              <w:top w:val="single" w:sz="4" w:space="0" w:color="231F20"/>
              <w:left w:val="single" w:sz="4" w:space="0" w:color="231F20"/>
              <w:bottom w:val="single" w:sz="4" w:space="0" w:color="231F20"/>
              <w:right w:val="single" w:sz="4" w:space="0" w:color="231F20"/>
            </w:tcBorders>
            <w:vAlign w:val="center"/>
          </w:tcPr>
          <w:p w14:paraId="74227BC5" w14:textId="77777777" w:rsidR="005D5654" w:rsidRPr="00C256BB" w:rsidRDefault="005D5654" w:rsidP="00FB7BE2">
            <w:pPr>
              <w:spacing w:before="102"/>
              <w:ind w:left="176" w:hanging="142"/>
              <w:jc w:val="center"/>
              <w:rPr>
                <w:rFonts w:ascii="Cambria" w:eastAsia="Cambria" w:hAnsi="Cambria" w:cs="Cambria"/>
                <w:sz w:val="18"/>
                <w:szCs w:val="18"/>
              </w:rPr>
            </w:pPr>
            <w:r w:rsidRPr="00C256BB">
              <w:rPr>
                <w:rFonts w:ascii="Cambria" w:hAnsi="Cambria"/>
                <w:color w:val="231F20"/>
                <w:sz w:val="18"/>
                <w:szCs w:val="18"/>
              </w:rPr>
              <w:t>0,23 %</w:t>
            </w:r>
          </w:p>
        </w:tc>
      </w:tr>
      <w:tr w:rsidR="005D5654" w:rsidRPr="00C256BB" w14:paraId="456BF16E" w14:textId="77777777" w:rsidTr="00FB7BE2">
        <w:trPr>
          <w:trHeight w:val="546"/>
        </w:trPr>
        <w:tc>
          <w:tcPr>
            <w:tcW w:w="2262" w:type="dxa"/>
            <w:tcBorders>
              <w:top w:val="single" w:sz="4" w:space="0" w:color="231F20"/>
              <w:left w:val="single" w:sz="4" w:space="0" w:color="231F20"/>
              <w:bottom w:val="single" w:sz="4" w:space="0" w:color="231F20"/>
              <w:right w:val="single" w:sz="4" w:space="0" w:color="231F20"/>
            </w:tcBorders>
          </w:tcPr>
          <w:p w14:paraId="3136A702" w14:textId="77777777" w:rsidR="005D5654" w:rsidRPr="00C256BB" w:rsidRDefault="005D5654" w:rsidP="005D5654">
            <w:pPr>
              <w:spacing w:line="216" w:lineRule="auto"/>
              <w:ind w:left="96" w:right="128"/>
              <w:rPr>
                <w:rFonts w:ascii="Cambria" w:eastAsia="Cambria" w:hAnsi="Cambria" w:cs="Cambria"/>
                <w:sz w:val="18"/>
                <w:szCs w:val="18"/>
              </w:rPr>
            </w:pPr>
            <w:r w:rsidRPr="00C256BB">
              <w:rPr>
                <w:rFonts w:ascii="Cambria" w:hAnsi="Cambria"/>
                <w:color w:val="231F20"/>
                <w:sz w:val="18"/>
                <w:szCs w:val="18"/>
              </w:rPr>
              <w:t>Francia (por San Pedro y Miquelón)</w:t>
            </w:r>
          </w:p>
        </w:tc>
        <w:tc>
          <w:tcPr>
            <w:tcW w:w="1559" w:type="dxa"/>
            <w:tcBorders>
              <w:top w:val="single" w:sz="4" w:space="0" w:color="231F20"/>
              <w:left w:val="single" w:sz="4" w:space="0" w:color="231F20"/>
              <w:bottom w:val="single" w:sz="4" w:space="0" w:color="231F20"/>
              <w:right w:val="single" w:sz="4" w:space="0" w:color="231F20"/>
            </w:tcBorders>
            <w:vAlign w:val="center"/>
          </w:tcPr>
          <w:p w14:paraId="18B1C881" w14:textId="77777777" w:rsidR="005D5654" w:rsidRPr="00C256BB" w:rsidRDefault="005D5654" w:rsidP="00FB7BE2">
            <w:pPr>
              <w:spacing w:before="103"/>
              <w:jc w:val="center"/>
              <w:rPr>
                <w:rFonts w:ascii="Cambria" w:eastAsia="Cambria" w:hAnsi="Cambria" w:cs="Cambria"/>
                <w:sz w:val="18"/>
                <w:szCs w:val="18"/>
              </w:rPr>
            </w:pPr>
            <w:r w:rsidRPr="00C256BB">
              <w:rPr>
                <w:rFonts w:ascii="Cambria" w:hAnsi="Cambria"/>
                <w:color w:val="231F20"/>
                <w:sz w:val="18"/>
                <w:szCs w:val="18"/>
              </w:rPr>
              <w:t>0,23 %</w:t>
            </w:r>
          </w:p>
        </w:tc>
        <w:tc>
          <w:tcPr>
            <w:tcW w:w="1559" w:type="dxa"/>
            <w:tcBorders>
              <w:top w:val="single" w:sz="4" w:space="0" w:color="231F20"/>
              <w:left w:val="single" w:sz="4" w:space="0" w:color="231F20"/>
              <w:bottom w:val="single" w:sz="4" w:space="0" w:color="231F20"/>
              <w:right w:val="single" w:sz="4" w:space="0" w:color="231F20"/>
            </w:tcBorders>
            <w:vAlign w:val="center"/>
          </w:tcPr>
          <w:p w14:paraId="7765A8FE" w14:textId="77777777" w:rsidR="005D5654" w:rsidRPr="00C256BB" w:rsidRDefault="005D5654" w:rsidP="00FB7BE2">
            <w:pPr>
              <w:spacing w:before="103"/>
              <w:ind w:left="35" w:hanging="141"/>
              <w:jc w:val="center"/>
              <w:rPr>
                <w:rFonts w:ascii="Cambria" w:eastAsia="Cambria" w:hAnsi="Cambria" w:cs="Cambria"/>
                <w:sz w:val="18"/>
                <w:szCs w:val="18"/>
              </w:rPr>
            </w:pPr>
            <w:r w:rsidRPr="00C256BB">
              <w:rPr>
                <w:rFonts w:ascii="Cambria" w:hAnsi="Cambria"/>
                <w:color w:val="231F20"/>
                <w:sz w:val="18"/>
                <w:szCs w:val="18"/>
              </w:rPr>
              <w:t>5,5 t</w:t>
            </w:r>
          </w:p>
        </w:tc>
        <w:tc>
          <w:tcPr>
            <w:tcW w:w="2127" w:type="dxa"/>
            <w:tcBorders>
              <w:top w:val="single" w:sz="4" w:space="0" w:color="231F20"/>
              <w:left w:val="single" w:sz="4" w:space="0" w:color="231F20"/>
              <w:bottom w:val="single" w:sz="4" w:space="0" w:color="231F20"/>
              <w:right w:val="single" w:sz="4" w:space="0" w:color="231F20"/>
            </w:tcBorders>
            <w:vAlign w:val="center"/>
          </w:tcPr>
          <w:p w14:paraId="121117F4" w14:textId="77777777" w:rsidR="005D5654" w:rsidRPr="00C256BB" w:rsidRDefault="005D5654" w:rsidP="00FB7BE2">
            <w:pPr>
              <w:spacing w:before="103"/>
              <w:ind w:left="318" w:right="-105" w:hanging="433"/>
              <w:jc w:val="center"/>
              <w:rPr>
                <w:rFonts w:ascii="Cambria" w:eastAsia="Cambria" w:hAnsi="Cambria" w:cs="Cambria"/>
                <w:sz w:val="18"/>
                <w:szCs w:val="18"/>
              </w:rPr>
            </w:pPr>
            <w:r w:rsidRPr="00C256BB">
              <w:rPr>
                <w:rFonts w:ascii="Cambria" w:hAnsi="Cambria"/>
                <w:color w:val="231F20"/>
                <w:sz w:val="18"/>
                <w:szCs w:val="18"/>
              </w:rPr>
              <w:t>5,5 t</w:t>
            </w:r>
          </w:p>
        </w:tc>
        <w:tc>
          <w:tcPr>
            <w:tcW w:w="1559" w:type="dxa"/>
            <w:tcBorders>
              <w:top w:val="single" w:sz="4" w:space="0" w:color="231F20"/>
              <w:left w:val="single" w:sz="4" w:space="0" w:color="231F20"/>
              <w:bottom w:val="single" w:sz="4" w:space="0" w:color="231F20"/>
              <w:right w:val="single" w:sz="4" w:space="0" w:color="231F20"/>
            </w:tcBorders>
            <w:vAlign w:val="center"/>
          </w:tcPr>
          <w:p w14:paraId="34D0B2E6" w14:textId="77777777" w:rsidR="005D5654" w:rsidRPr="00C256BB" w:rsidRDefault="005D5654" w:rsidP="00FB7BE2">
            <w:pPr>
              <w:spacing w:before="103"/>
              <w:ind w:left="176" w:hanging="142"/>
              <w:jc w:val="center"/>
              <w:rPr>
                <w:rFonts w:ascii="Cambria" w:eastAsia="Cambria" w:hAnsi="Cambria" w:cs="Cambria"/>
                <w:sz w:val="18"/>
                <w:szCs w:val="18"/>
              </w:rPr>
            </w:pPr>
            <w:r w:rsidRPr="00C256BB">
              <w:rPr>
                <w:rFonts w:ascii="Cambria" w:hAnsi="Cambria"/>
                <w:color w:val="231F20"/>
                <w:sz w:val="18"/>
                <w:szCs w:val="18"/>
              </w:rPr>
              <w:t>0,23 %</w:t>
            </w:r>
          </w:p>
        </w:tc>
      </w:tr>
      <w:tr w:rsidR="005D5654" w:rsidRPr="00C256BB" w14:paraId="5551D091" w14:textId="77777777" w:rsidTr="00FB7BE2">
        <w:trPr>
          <w:trHeight w:val="220"/>
        </w:trPr>
        <w:tc>
          <w:tcPr>
            <w:tcW w:w="2262" w:type="dxa"/>
            <w:tcBorders>
              <w:top w:val="single" w:sz="4" w:space="0" w:color="231F20"/>
              <w:left w:val="single" w:sz="4" w:space="0" w:color="231F20"/>
              <w:bottom w:val="single" w:sz="4" w:space="0" w:color="231F20"/>
              <w:right w:val="single" w:sz="4" w:space="0" w:color="231F20"/>
            </w:tcBorders>
          </w:tcPr>
          <w:p w14:paraId="5919D490" w14:textId="77777777" w:rsidR="005D5654" w:rsidRPr="00C256BB" w:rsidRDefault="005D5654" w:rsidP="005D5654">
            <w:pPr>
              <w:spacing w:line="213" w:lineRule="auto"/>
              <w:ind w:left="96"/>
              <w:rPr>
                <w:rFonts w:ascii="Cambria" w:eastAsia="Cambria" w:hAnsi="Cambria" w:cs="Cambria"/>
                <w:sz w:val="18"/>
                <w:szCs w:val="18"/>
              </w:rPr>
            </w:pPr>
            <w:r w:rsidRPr="00C256BB">
              <w:rPr>
                <w:rFonts w:ascii="Cambria" w:hAnsi="Cambria"/>
                <w:color w:val="231F20"/>
                <w:sz w:val="18"/>
                <w:szCs w:val="18"/>
              </w:rPr>
              <w:t>México</w:t>
            </w:r>
          </w:p>
        </w:tc>
        <w:tc>
          <w:tcPr>
            <w:tcW w:w="1559" w:type="dxa"/>
            <w:tcBorders>
              <w:top w:val="single" w:sz="4" w:space="0" w:color="231F20"/>
              <w:left w:val="single" w:sz="4" w:space="0" w:color="231F20"/>
              <w:bottom w:val="single" w:sz="4" w:space="0" w:color="231F20"/>
              <w:right w:val="single" w:sz="4" w:space="0" w:color="231F20"/>
            </w:tcBorders>
            <w:vAlign w:val="center"/>
          </w:tcPr>
          <w:p w14:paraId="4EFC7CB7" w14:textId="77777777" w:rsidR="005D5654" w:rsidRPr="00C256BB" w:rsidRDefault="005D5654" w:rsidP="00FB7BE2">
            <w:pPr>
              <w:spacing w:line="213" w:lineRule="auto"/>
              <w:jc w:val="center"/>
              <w:rPr>
                <w:rFonts w:ascii="Cambria" w:eastAsia="Cambria" w:hAnsi="Cambria" w:cs="Cambria"/>
                <w:sz w:val="18"/>
                <w:szCs w:val="18"/>
              </w:rPr>
            </w:pPr>
            <w:r w:rsidRPr="00C256BB">
              <w:rPr>
                <w:rFonts w:ascii="Cambria" w:hAnsi="Cambria"/>
                <w:color w:val="231F20"/>
                <w:sz w:val="18"/>
                <w:szCs w:val="18"/>
              </w:rPr>
              <w:t>5,56%</w:t>
            </w:r>
          </w:p>
        </w:tc>
        <w:tc>
          <w:tcPr>
            <w:tcW w:w="1559" w:type="dxa"/>
            <w:tcBorders>
              <w:top w:val="single" w:sz="4" w:space="0" w:color="231F20"/>
              <w:left w:val="single" w:sz="4" w:space="0" w:color="231F20"/>
              <w:bottom w:val="single" w:sz="4" w:space="0" w:color="231F20"/>
              <w:right w:val="single" w:sz="4" w:space="0" w:color="231F20"/>
            </w:tcBorders>
            <w:vAlign w:val="center"/>
          </w:tcPr>
          <w:p w14:paraId="4749619B" w14:textId="77777777" w:rsidR="005D5654" w:rsidRPr="00C256BB" w:rsidRDefault="005D5654" w:rsidP="00FB7BE2">
            <w:pPr>
              <w:spacing w:line="213" w:lineRule="auto"/>
              <w:ind w:left="35" w:hanging="141"/>
              <w:jc w:val="center"/>
              <w:rPr>
                <w:rFonts w:ascii="Cambria" w:eastAsia="Cambria" w:hAnsi="Cambria" w:cs="Cambria"/>
                <w:sz w:val="18"/>
                <w:szCs w:val="18"/>
              </w:rPr>
            </w:pPr>
            <w:r w:rsidRPr="00C256BB">
              <w:rPr>
                <w:rFonts w:ascii="Cambria" w:hAnsi="Cambria"/>
                <w:color w:val="231F20"/>
                <w:sz w:val="18"/>
                <w:szCs w:val="18"/>
              </w:rPr>
              <w:t>134 t</w:t>
            </w:r>
          </w:p>
        </w:tc>
        <w:tc>
          <w:tcPr>
            <w:tcW w:w="2127" w:type="dxa"/>
            <w:tcBorders>
              <w:top w:val="single" w:sz="4" w:space="0" w:color="231F20"/>
              <w:left w:val="single" w:sz="4" w:space="0" w:color="231F20"/>
              <w:bottom w:val="single" w:sz="4" w:space="0" w:color="231F20"/>
              <w:right w:val="single" w:sz="4" w:space="0" w:color="231F20"/>
            </w:tcBorders>
            <w:vAlign w:val="center"/>
          </w:tcPr>
          <w:p w14:paraId="65324B14" w14:textId="77777777" w:rsidR="005D5654" w:rsidRPr="00C256BB" w:rsidRDefault="005D5654" w:rsidP="00FB7BE2">
            <w:pPr>
              <w:spacing w:line="213" w:lineRule="auto"/>
              <w:ind w:left="318" w:right="-105" w:hanging="433"/>
              <w:jc w:val="center"/>
              <w:rPr>
                <w:rFonts w:ascii="Cambria" w:eastAsia="Cambria" w:hAnsi="Cambria" w:cs="Cambria"/>
                <w:sz w:val="18"/>
                <w:szCs w:val="18"/>
              </w:rPr>
            </w:pPr>
            <w:r w:rsidRPr="00C256BB">
              <w:rPr>
                <w:rFonts w:ascii="Cambria" w:hAnsi="Cambria"/>
                <w:color w:val="231F20"/>
                <w:sz w:val="18"/>
                <w:szCs w:val="18"/>
              </w:rPr>
              <w:t>134 t</w:t>
            </w:r>
          </w:p>
        </w:tc>
        <w:tc>
          <w:tcPr>
            <w:tcW w:w="1559" w:type="dxa"/>
            <w:tcBorders>
              <w:top w:val="single" w:sz="4" w:space="0" w:color="231F20"/>
              <w:left w:val="single" w:sz="4" w:space="0" w:color="231F20"/>
              <w:bottom w:val="single" w:sz="4" w:space="0" w:color="231F20"/>
              <w:right w:val="single" w:sz="4" w:space="0" w:color="231F20"/>
            </w:tcBorders>
            <w:vAlign w:val="center"/>
          </w:tcPr>
          <w:p w14:paraId="55771AF3" w14:textId="77777777" w:rsidR="005D5654" w:rsidRPr="00C256BB" w:rsidRDefault="005D5654" w:rsidP="00FB7BE2">
            <w:pPr>
              <w:spacing w:line="213" w:lineRule="auto"/>
              <w:ind w:left="176" w:hanging="142"/>
              <w:jc w:val="center"/>
              <w:rPr>
                <w:rFonts w:ascii="Cambria" w:eastAsia="Cambria" w:hAnsi="Cambria" w:cs="Cambria"/>
                <w:sz w:val="18"/>
                <w:szCs w:val="18"/>
              </w:rPr>
            </w:pPr>
            <w:r w:rsidRPr="00C256BB">
              <w:rPr>
                <w:rFonts w:ascii="Cambria" w:hAnsi="Cambria"/>
                <w:color w:val="231F20"/>
                <w:sz w:val="18"/>
                <w:szCs w:val="18"/>
              </w:rPr>
              <w:t>5,56 %</w:t>
            </w:r>
          </w:p>
        </w:tc>
      </w:tr>
    </w:tbl>
    <w:p w14:paraId="5EDC6E14" w14:textId="77777777" w:rsidR="00176A22" w:rsidRPr="00C256BB" w:rsidRDefault="00176A22" w:rsidP="00176A22">
      <w:pPr>
        <w:widowControl/>
        <w:tabs>
          <w:tab w:val="left" w:pos="993"/>
        </w:tabs>
        <w:spacing w:after="160" w:line="259" w:lineRule="auto"/>
        <w:ind w:left="993"/>
        <w:jc w:val="both"/>
        <w:rPr>
          <w:rFonts w:ascii="Cambria" w:eastAsia="Cambria" w:hAnsi="Cambria" w:cs="Cambria"/>
          <w:sz w:val="20"/>
          <w:szCs w:val="20"/>
        </w:rPr>
      </w:pPr>
    </w:p>
    <w:p w14:paraId="2BEAB3D6" w14:textId="68A3B8F7" w:rsidR="005D5654" w:rsidRPr="00C256BB" w:rsidRDefault="005D5654" w:rsidP="00176A22">
      <w:pPr>
        <w:pStyle w:val="ListParagraph"/>
        <w:widowControl/>
        <w:numPr>
          <w:ilvl w:val="0"/>
          <w:numId w:val="8"/>
        </w:numPr>
        <w:tabs>
          <w:tab w:val="left" w:pos="993"/>
        </w:tabs>
        <w:spacing w:after="160" w:line="259" w:lineRule="auto"/>
        <w:jc w:val="both"/>
        <w:rPr>
          <w:rFonts w:ascii="Cambria" w:eastAsia="Cambria" w:hAnsi="Cambria" w:cs="Cambria"/>
          <w:sz w:val="20"/>
          <w:szCs w:val="20"/>
        </w:rPr>
      </w:pPr>
      <w:r w:rsidRPr="00C256BB">
        <w:rPr>
          <w:rFonts w:ascii="Cambria" w:hAnsi="Cambria"/>
          <w:color w:val="231F20"/>
          <w:sz w:val="20"/>
          <w:szCs w:val="20"/>
        </w:rPr>
        <w:lastRenderedPageBreak/>
        <w:t xml:space="preserve">De conformidad con los párrafos 1, 3 y </w:t>
      </w:r>
      <w:r w:rsidR="00176A22" w:rsidRPr="00C256BB">
        <w:rPr>
          <w:rFonts w:ascii="Cambria" w:hAnsi="Cambria"/>
          <w:color w:val="231F20"/>
          <w:sz w:val="20"/>
          <w:szCs w:val="20"/>
          <w:u w:val="single"/>
        </w:rPr>
        <w:t>6 a</w:t>
      </w:r>
      <w:r w:rsidRPr="00C256BB">
        <w:rPr>
          <w:rFonts w:ascii="Cambria" w:hAnsi="Cambria"/>
          <w:color w:val="231F20"/>
          <w:sz w:val="20"/>
          <w:szCs w:val="20"/>
          <w:u w:val="single"/>
        </w:rPr>
        <w:t>)</w:t>
      </w:r>
      <w:r w:rsidRPr="00C256BB">
        <w:rPr>
          <w:rFonts w:ascii="Cambria" w:hAnsi="Cambria"/>
          <w:color w:val="231F20"/>
          <w:sz w:val="20"/>
          <w:szCs w:val="20"/>
        </w:rPr>
        <w:t xml:space="preserve">, los TAC anuales para </w:t>
      </w:r>
      <w:r w:rsidR="00E627E1" w:rsidRPr="00C256BB">
        <w:rPr>
          <w:rFonts w:ascii="Cambria" w:hAnsi="Cambria"/>
          <w:color w:val="231F20"/>
          <w:sz w:val="20"/>
          <w:szCs w:val="20"/>
        </w:rPr>
        <w:t xml:space="preserve">2026-2028 </w:t>
      </w:r>
      <w:r w:rsidRPr="00C256BB">
        <w:rPr>
          <w:rFonts w:ascii="Cambria" w:hAnsi="Cambria"/>
          <w:color w:val="231F20"/>
          <w:sz w:val="20"/>
          <w:szCs w:val="20"/>
        </w:rPr>
        <w:t>darán lugar a las siguientes asignaciones de cuota específicas de cada CP</w:t>
      </w:r>
      <w:r w:rsidRPr="00C256BB">
        <w:rPr>
          <w:rFonts w:ascii="Cambria" w:hAnsi="Cambria"/>
          <w:color w:val="231F20"/>
          <w:sz w:val="20"/>
          <w:szCs w:val="20"/>
          <w:u w:val="single"/>
        </w:rPr>
        <w:t>C:</w:t>
      </w:r>
    </w:p>
    <w:p w14:paraId="6601D1C3" w14:textId="77777777" w:rsidR="005D5654" w:rsidRPr="00C256BB" w:rsidRDefault="005D5654" w:rsidP="005D5654">
      <w:pPr>
        <w:ind w:left="1722"/>
        <w:rPr>
          <w:rFonts w:ascii="Cambria" w:eastAsia="Cambria" w:hAnsi="Cambria" w:cs="Cambria"/>
          <w:sz w:val="20"/>
          <w:szCs w:val="20"/>
        </w:rPr>
      </w:pPr>
    </w:p>
    <w:p w14:paraId="1725D8C1" w14:textId="0B389692" w:rsidR="005D5654" w:rsidRPr="00C256BB" w:rsidRDefault="005D5654" w:rsidP="00F73E82">
      <w:pPr>
        <w:tabs>
          <w:tab w:val="left" w:pos="4621"/>
        </w:tabs>
        <w:spacing w:before="28"/>
        <w:ind w:left="1"/>
        <w:jc w:val="center"/>
        <w:rPr>
          <w:rFonts w:ascii="Cambria" w:hAnsi="Cambria"/>
          <w:i/>
          <w:color w:val="231F20"/>
          <w:sz w:val="20"/>
          <w:szCs w:val="20"/>
        </w:rPr>
      </w:pPr>
      <w:r w:rsidRPr="00C256BB">
        <w:rPr>
          <w:rFonts w:ascii="Cambria" w:hAnsi="Cambria"/>
          <w:i/>
          <w:color w:val="231F20"/>
          <w:sz w:val="20"/>
          <w:szCs w:val="20"/>
        </w:rPr>
        <w:t xml:space="preserve">TAC </w:t>
      </w:r>
      <w:r w:rsidRPr="00C256BB">
        <w:rPr>
          <w:rFonts w:ascii="Cambria" w:hAnsi="Cambria"/>
          <w:i/>
          <w:iCs/>
          <w:color w:val="231F20"/>
          <w:sz w:val="20"/>
          <w:szCs w:val="20"/>
        </w:rPr>
        <w:t>anual</w:t>
      </w:r>
      <w:r w:rsidRPr="00C256BB">
        <w:rPr>
          <w:rFonts w:ascii="Cambria" w:hAnsi="Cambria"/>
          <w:i/>
          <w:color w:val="231F20"/>
          <w:sz w:val="20"/>
          <w:szCs w:val="20"/>
        </w:rPr>
        <w:t xml:space="preserve"> para </w:t>
      </w:r>
      <w:r w:rsidRPr="00C256BB">
        <w:rPr>
          <w:rFonts w:ascii="Cambria" w:hAnsi="Cambria"/>
          <w:i/>
          <w:iCs/>
          <w:color w:val="231F20"/>
          <w:sz w:val="20"/>
          <w:szCs w:val="20"/>
        </w:rPr>
        <w:t>202</w:t>
      </w:r>
      <w:r w:rsidR="00FE0A6A" w:rsidRPr="00C256BB">
        <w:rPr>
          <w:rFonts w:ascii="Cambria" w:hAnsi="Cambria"/>
          <w:i/>
          <w:iCs/>
          <w:color w:val="231F20"/>
          <w:sz w:val="20"/>
          <w:szCs w:val="20"/>
        </w:rPr>
        <w:t>6</w:t>
      </w:r>
      <w:r w:rsidRPr="00C256BB">
        <w:rPr>
          <w:rFonts w:ascii="Cambria" w:hAnsi="Cambria"/>
          <w:i/>
          <w:iCs/>
          <w:color w:val="231F20"/>
          <w:sz w:val="20"/>
          <w:szCs w:val="20"/>
        </w:rPr>
        <w:t>-202</w:t>
      </w:r>
      <w:r w:rsidR="00FE0A6A" w:rsidRPr="00C256BB">
        <w:rPr>
          <w:rFonts w:ascii="Cambria" w:hAnsi="Cambria"/>
          <w:i/>
          <w:iCs/>
          <w:color w:val="231F20"/>
          <w:sz w:val="20"/>
          <w:szCs w:val="20"/>
        </w:rPr>
        <w:t>8</w:t>
      </w:r>
      <w:r w:rsidRPr="00C256BB">
        <w:rPr>
          <w:rFonts w:ascii="Cambria" w:hAnsi="Cambria"/>
          <w:i/>
          <w:color w:val="231F20"/>
          <w:sz w:val="20"/>
          <w:szCs w:val="20"/>
        </w:rPr>
        <w:t xml:space="preserve">: </w:t>
      </w:r>
      <w:r w:rsidR="00FE0A6A" w:rsidRPr="00C256BB">
        <w:rPr>
          <w:rFonts w:ascii="Cambria" w:hAnsi="Cambria"/>
          <w:i/>
          <w:color w:val="231F20"/>
          <w:sz w:val="20"/>
          <w:szCs w:val="20"/>
        </w:rPr>
        <w:t>3.081,6</w:t>
      </w:r>
      <w:r w:rsidRPr="00C256BB">
        <w:rPr>
          <w:rFonts w:ascii="Cambria" w:hAnsi="Cambria"/>
          <w:i/>
          <w:color w:val="231F20"/>
          <w:sz w:val="20"/>
          <w:szCs w:val="20"/>
        </w:rPr>
        <w:t xml:space="preserve"> t</w:t>
      </w:r>
    </w:p>
    <w:tbl>
      <w:tblPr>
        <w:tblStyle w:val="TableGrid"/>
        <w:tblpPr w:leftFromText="141" w:rightFromText="141" w:vertAnchor="text" w:horzAnchor="margin" w:tblpXSpec="right" w:tblpY="15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2614"/>
      </w:tblGrid>
      <w:tr w:rsidR="00F73E82" w:rsidRPr="00C256BB" w14:paraId="645DBF8D" w14:textId="77777777" w:rsidTr="00F73E82">
        <w:tc>
          <w:tcPr>
            <w:tcW w:w="4252" w:type="dxa"/>
          </w:tcPr>
          <w:p w14:paraId="53BD47B6" w14:textId="77777777" w:rsidR="00F73E82" w:rsidRPr="00C256BB" w:rsidRDefault="00F73E82" w:rsidP="00F73E82">
            <w:pPr>
              <w:spacing w:before="28"/>
              <w:rPr>
                <w:rFonts w:ascii="Cambria" w:eastAsia="Cambria" w:hAnsi="Cambria" w:cs="Cambria"/>
                <w:sz w:val="20"/>
                <w:szCs w:val="20"/>
              </w:rPr>
            </w:pPr>
            <w:r w:rsidRPr="00C256BB">
              <w:rPr>
                <w:rFonts w:ascii="Cambria" w:hAnsi="Cambria"/>
                <w:color w:val="231F20"/>
                <w:sz w:val="20"/>
                <w:szCs w:val="20"/>
              </w:rPr>
              <w:t>Estados Unidos</w:t>
            </w:r>
          </w:p>
        </w:tc>
        <w:tc>
          <w:tcPr>
            <w:tcW w:w="2614" w:type="dxa"/>
          </w:tcPr>
          <w:p w14:paraId="1F74F167" w14:textId="557A399C" w:rsidR="00F73E82" w:rsidRPr="00C256BB" w:rsidRDefault="00176A22" w:rsidP="00F73E82">
            <w:pPr>
              <w:spacing w:before="28"/>
              <w:rPr>
                <w:rFonts w:ascii="Cambria" w:eastAsia="Cambria" w:hAnsi="Cambria" w:cs="Cambria"/>
                <w:sz w:val="20"/>
                <w:szCs w:val="20"/>
                <w:u w:val="single"/>
              </w:rPr>
            </w:pPr>
            <w:r w:rsidRPr="00C256BB">
              <w:rPr>
                <w:rFonts w:ascii="Cambria" w:hAnsi="Cambria" w:hint="eastAsia"/>
                <w:color w:val="231F20"/>
                <w:sz w:val="20"/>
                <w:szCs w:val="20"/>
                <w:u w:val="single"/>
                <w:lang w:val="en-US" w:eastAsia="ja-JP"/>
              </w:rPr>
              <w:t>[1</w:t>
            </w:r>
            <w:r w:rsidRPr="00C256BB">
              <w:rPr>
                <w:rFonts w:ascii="Cambria" w:hAnsi="Cambria"/>
                <w:color w:val="231F20"/>
                <w:sz w:val="20"/>
                <w:szCs w:val="20"/>
                <w:u w:val="single"/>
                <w:lang w:val="en-US" w:eastAsia="ja-JP"/>
              </w:rPr>
              <w:t>.</w:t>
            </w:r>
            <w:r w:rsidRPr="00C256BB">
              <w:rPr>
                <w:rFonts w:ascii="Cambria" w:hAnsi="Cambria" w:hint="eastAsia"/>
                <w:color w:val="231F20"/>
                <w:sz w:val="20"/>
                <w:szCs w:val="20"/>
                <w:u w:val="single"/>
                <w:lang w:val="en-US" w:eastAsia="ja-JP"/>
              </w:rPr>
              <w:t>509</w:t>
            </w:r>
            <w:r w:rsidRPr="00C256BB">
              <w:rPr>
                <w:rFonts w:ascii="Cambria" w:hAnsi="Cambria"/>
                <w:color w:val="231F20"/>
                <w:sz w:val="20"/>
                <w:szCs w:val="20"/>
                <w:u w:val="single"/>
                <w:lang w:val="en-US" w:eastAsia="ja-JP"/>
              </w:rPr>
              <w:t>,</w:t>
            </w:r>
            <w:r w:rsidRPr="00C256BB">
              <w:rPr>
                <w:rFonts w:ascii="Cambria" w:hAnsi="Cambria" w:hint="eastAsia"/>
                <w:color w:val="231F20"/>
                <w:sz w:val="20"/>
                <w:szCs w:val="20"/>
                <w:u w:val="single"/>
                <w:lang w:val="en-US" w:eastAsia="ja-JP"/>
              </w:rPr>
              <w:t>98</w:t>
            </w:r>
            <w:r w:rsidRPr="00C256BB">
              <w:rPr>
                <w:rFonts w:ascii="Cambria" w:hAnsi="Cambria"/>
                <w:color w:val="231F20"/>
                <w:sz w:val="20"/>
                <w:szCs w:val="20"/>
                <w:u w:val="single"/>
                <w:lang w:val="en-US" w:eastAsia="ja-JP"/>
              </w:rPr>
              <w:t> t</w:t>
            </w:r>
            <w:r w:rsidRPr="00C256BB">
              <w:rPr>
                <w:rFonts w:ascii="Cambria" w:hAnsi="Cambria" w:hint="eastAsia"/>
                <w:color w:val="231F20"/>
                <w:sz w:val="20"/>
                <w:szCs w:val="20"/>
                <w:u w:val="single"/>
                <w:lang w:val="en-US" w:eastAsia="ja-JP"/>
              </w:rPr>
              <w:t>]</w:t>
            </w:r>
          </w:p>
        </w:tc>
      </w:tr>
      <w:tr w:rsidR="00F73E82" w:rsidRPr="00C256BB" w14:paraId="64790D99" w14:textId="77777777" w:rsidTr="00F73E82">
        <w:tc>
          <w:tcPr>
            <w:tcW w:w="4252" w:type="dxa"/>
          </w:tcPr>
          <w:p w14:paraId="7B8A7AD5" w14:textId="77777777" w:rsidR="00F73E82" w:rsidRPr="00C256BB" w:rsidRDefault="00F73E82" w:rsidP="00F73E82">
            <w:pPr>
              <w:spacing w:before="28"/>
              <w:rPr>
                <w:rFonts w:ascii="Cambria" w:hAnsi="Cambria"/>
                <w:color w:val="231F20"/>
                <w:sz w:val="20"/>
                <w:szCs w:val="20"/>
              </w:rPr>
            </w:pPr>
            <w:r w:rsidRPr="00C256BB">
              <w:rPr>
                <w:rFonts w:ascii="Cambria" w:hAnsi="Cambria"/>
                <w:color w:val="231F20"/>
                <w:sz w:val="20"/>
                <w:szCs w:val="20"/>
              </w:rPr>
              <w:t>Canadá</w:t>
            </w:r>
          </w:p>
        </w:tc>
        <w:tc>
          <w:tcPr>
            <w:tcW w:w="2614" w:type="dxa"/>
          </w:tcPr>
          <w:p w14:paraId="0A972BD4" w14:textId="6787EAFA" w:rsidR="00F73E82" w:rsidRPr="00C256BB" w:rsidRDefault="00176A22" w:rsidP="00F73E82">
            <w:pPr>
              <w:spacing w:before="28"/>
              <w:rPr>
                <w:rFonts w:ascii="Cambria" w:eastAsia="Cambria" w:hAnsi="Cambria" w:cs="Cambria"/>
                <w:color w:val="231F20"/>
                <w:sz w:val="20"/>
                <w:szCs w:val="20"/>
                <w:u w:val="single"/>
              </w:rPr>
            </w:pPr>
            <w:r w:rsidRPr="00C256BB">
              <w:rPr>
                <w:rFonts w:ascii="Cambria" w:hAnsi="Cambria" w:cs="Cambria" w:hint="eastAsia"/>
                <w:color w:val="231F20"/>
                <w:sz w:val="20"/>
                <w:szCs w:val="20"/>
                <w:u w:val="single"/>
                <w:lang w:val="en-US" w:eastAsia="ja-JP"/>
              </w:rPr>
              <w:t>[623</w:t>
            </w:r>
            <w:r w:rsidRPr="00C256BB">
              <w:rPr>
                <w:rFonts w:ascii="Cambria" w:hAnsi="Cambria" w:cs="Cambria"/>
                <w:color w:val="231F20"/>
                <w:sz w:val="20"/>
                <w:szCs w:val="20"/>
                <w:u w:val="single"/>
                <w:lang w:val="en-US" w:eastAsia="ja-JP"/>
              </w:rPr>
              <w:t>,</w:t>
            </w:r>
            <w:r w:rsidRPr="00C256BB">
              <w:rPr>
                <w:rFonts w:ascii="Cambria" w:hAnsi="Cambria" w:cs="Cambria" w:hint="eastAsia"/>
                <w:color w:val="231F20"/>
                <w:sz w:val="20"/>
                <w:szCs w:val="20"/>
                <w:u w:val="single"/>
                <w:lang w:val="en-US" w:eastAsia="ja-JP"/>
              </w:rPr>
              <w:t>72</w:t>
            </w:r>
            <w:r w:rsidRPr="00C256BB">
              <w:rPr>
                <w:rFonts w:ascii="Cambria" w:hAnsi="Cambria" w:cs="Cambria"/>
                <w:color w:val="231F20"/>
                <w:sz w:val="20"/>
                <w:szCs w:val="20"/>
                <w:u w:val="single"/>
                <w:lang w:val="en-US" w:eastAsia="ja-JP"/>
              </w:rPr>
              <w:t> t</w:t>
            </w:r>
            <w:r w:rsidRPr="00C256BB">
              <w:rPr>
                <w:rFonts w:ascii="Cambria" w:hAnsi="Cambria" w:cs="Cambria" w:hint="eastAsia"/>
                <w:color w:val="231F20"/>
                <w:sz w:val="20"/>
                <w:szCs w:val="20"/>
                <w:u w:val="single"/>
                <w:lang w:val="en-US" w:eastAsia="ja-JP"/>
              </w:rPr>
              <w:t>]</w:t>
            </w:r>
          </w:p>
        </w:tc>
      </w:tr>
      <w:tr w:rsidR="00F73E82" w:rsidRPr="00C256BB" w14:paraId="7865C64B" w14:textId="77777777" w:rsidTr="00F73E82">
        <w:tc>
          <w:tcPr>
            <w:tcW w:w="4252" w:type="dxa"/>
          </w:tcPr>
          <w:p w14:paraId="130B9F85" w14:textId="77777777" w:rsidR="00F73E82" w:rsidRPr="00C256BB" w:rsidRDefault="00F73E82" w:rsidP="00F73E82">
            <w:pPr>
              <w:spacing w:before="49"/>
              <w:rPr>
                <w:rFonts w:ascii="Cambria" w:hAnsi="Cambria"/>
                <w:color w:val="231F20"/>
                <w:sz w:val="20"/>
                <w:szCs w:val="20"/>
              </w:rPr>
            </w:pPr>
            <w:r w:rsidRPr="00C256BB">
              <w:rPr>
                <w:rFonts w:ascii="Cambria" w:hAnsi="Cambria"/>
                <w:color w:val="231F20"/>
                <w:sz w:val="20"/>
                <w:szCs w:val="20"/>
              </w:rPr>
              <w:t>Japón</w:t>
            </w:r>
          </w:p>
        </w:tc>
        <w:tc>
          <w:tcPr>
            <w:tcW w:w="2614" w:type="dxa"/>
          </w:tcPr>
          <w:p w14:paraId="3FF36B3C" w14:textId="0E5216E2" w:rsidR="00F73E82" w:rsidRPr="00C256BB" w:rsidRDefault="00176A22" w:rsidP="00F73E82">
            <w:pPr>
              <w:spacing w:before="49"/>
              <w:rPr>
                <w:rFonts w:ascii="Cambria" w:eastAsia="Cambria" w:hAnsi="Cambria" w:cs="Cambria"/>
                <w:color w:val="231F20"/>
                <w:sz w:val="20"/>
                <w:szCs w:val="20"/>
                <w:u w:val="single"/>
              </w:rPr>
            </w:pPr>
            <w:r w:rsidRPr="00C256BB">
              <w:rPr>
                <w:rFonts w:ascii="Cambria" w:hAnsi="Cambria" w:hint="eastAsia"/>
                <w:color w:val="231F20"/>
                <w:sz w:val="20"/>
                <w:szCs w:val="20"/>
                <w:u w:val="single"/>
                <w:lang w:eastAsia="ja-JP"/>
              </w:rPr>
              <w:t>[762</w:t>
            </w:r>
            <w:r w:rsidRPr="00C256BB">
              <w:rPr>
                <w:rFonts w:ascii="Cambria" w:hAnsi="Cambria"/>
                <w:color w:val="231F20"/>
                <w:sz w:val="20"/>
                <w:szCs w:val="20"/>
                <w:u w:val="single"/>
                <w:lang w:eastAsia="ja-JP"/>
              </w:rPr>
              <w:t>,</w:t>
            </w:r>
            <w:r w:rsidRPr="00C256BB">
              <w:rPr>
                <w:rFonts w:ascii="Cambria" w:hAnsi="Cambria" w:hint="eastAsia"/>
                <w:color w:val="231F20"/>
                <w:sz w:val="20"/>
                <w:szCs w:val="20"/>
                <w:u w:val="single"/>
                <w:lang w:eastAsia="ja-JP"/>
              </w:rPr>
              <w:t>39</w:t>
            </w:r>
            <w:r w:rsidRPr="00C256BB">
              <w:rPr>
                <w:rFonts w:ascii="Cambria" w:hAnsi="Cambria"/>
                <w:color w:val="231F20"/>
                <w:sz w:val="20"/>
                <w:szCs w:val="20"/>
                <w:u w:val="single"/>
                <w:lang w:eastAsia="ja-JP"/>
              </w:rPr>
              <w:t> t</w:t>
            </w:r>
            <w:r w:rsidRPr="00C256BB">
              <w:rPr>
                <w:rFonts w:ascii="Cambria" w:hAnsi="Cambria" w:hint="eastAsia"/>
                <w:color w:val="231F20"/>
                <w:sz w:val="20"/>
                <w:szCs w:val="20"/>
                <w:u w:val="single"/>
                <w:lang w:eastAsia="ja-JP"/>
              </w:rPr>
              <w:t>]</w:t>
            </w:r>
          </w:p>
        </w:tc>
      </w:tr>
      <w:tr w:rsidR="00F73E82" w:rsidRPr="00C256BB" w14:paraId="04827F1D" w14:textId="77777777" w:rsidTr="00F73E82">
        <w:tc>
          <w:tcPr>
            <w:tcW w:w="4252" w:type="dxa"/>
          </w:tcPr>
          <w:p w14:paraId="737521DB" w14:textId="77777777" w:rsidR="00F73E82" w:rsidRPr="00C256BB" w:rsidRDefault="00F73E82" w:rsidP="00F73E82">
            <w:pPr>
              <w:spacing w:before="49"/>
              <w:rPr>
                <w:rFonts w:ascii="Cambria" w:hAnsi="Cambria"/>
                <w:color w:val="231F20"/>
                <w:sz w:val="20"/>
                <w:szCs w:val="20"/>
              </w:rPr>
            </w:pPr>
            <w:r w:rsidRPr="00C256BB">
              <w:rPr>
                <w:rFonts w:ascii="Cambria" w:hAnsi="Cambria"/>
                <w:color w:val="231F20"/>
                <w:sz w:val="20"/>
                <w:szCs w:val="20"/>
              </w:rPr>
              <w:t>Reino Unido (por Bermudas)</w:t>
            </w:r>
          </w:p>
        </w:tc>
        <w:tc>
          <w:tcPr>
            <w:tcW w:w="2614" w:type="dxa"/>
          </w:tcPr>
          <w:p w14:paraId="6FA0BD13" w14:textId="07AFA294" w:rsidR="00F73E82" w:rsidRPr="00C256BB" w:rsidRDefault="00176A22" w:rsidP="00F73E82">
            <w:pPr>
              <w:spacing w:before="49"/>
              <w:rPr>
                <w:rFonts w:ascii="Cambria" w:eastAsia="Cambria" w:hAnsi="Cambria" w:cs="Cambria"/>
                <w:color w:val="231F20"/>
                <w:sz w:val="20"/>
                <w:szCs w:val="20"/>
                <w:u w:val="single"/>
              </w:rPr>
            </w:pPr>
            <w:r w:rsidRPr="00C256BB">
              <w:rPr>
                <w:rFonts w:ascii="Cambria" w:hAnsi="Cambria"/>
                <w:color w:val="231F20"/>
                <w:sz w:val="20"/>
                <w:szCs w:val="20"/>
                <w:u w:val="single"/>
              </w:rPr>
              <w:t xml:space="preserve"> </w:t>
            </w:r>
            <w:r w:rsidRPr="00C256BB">
              <w:rPr>
                <w:rFonts w:ascii="Cambria" w:hAnsi="Cambria" w:hint="eastAsia"/>
                <w:color w:val="231F20"/>
                <w:sz w:val="20"/>
                <w:szCs w:val="20"/>
                <w:u w:val="single"/>
                <w:lang w:eastAsia="ja-JP"/>
              </w:rPr>
              <w:t>[7</w:t>
            </w:r>
            <w:r w:rsidRPr="00C256BB">
              <w:rPr>
                <w:rFonts w:ascii="Cambria" w:hAnsi="Cambria"/>
                <w:color w:val="231F20"/>
                <w:sz w:val="20"/>
                <w:szCs w:val="20"/>
                <w:u w:val="single"/>
                <w:lang w:eastAsia="ja-JP"/>
              </w:rPr>
              <w:t>,</w:t>
            </w:r>
            <w:r w:rsidRPr="00C256BB">
              <w:rPr>
                <w:rFonts w:ascii="Cambria" w:hAnsi="Cambria" w:hint="eastAsia"/>
                <w:color w:val="231F20"/>
                <w:sz w:val="20"/>
                <w:szCs w:val="20"/>
                <w:u w:val="single"/>
                <w:lang w:eastAsia="ja-JP"/>
              </w:rPr>
              <w:t>09</w:t>
            </w:r>
            <w:r w:rsidRPr="00C256BB">
              <w:rPr>
                <w:rFonts w:ascii="Cambria" w:hAnsi="Cambria"/>
                <w:color w:val="231F20"/>
                <w:sz w:val="20"/>
                <w:szCs w:val="20"/>
                <w:u w:val="single"/>
                <w:lang w:eastAsia="ja-JP"/>
              </w:rPr>
              <w:t> t</w:t>
            </w:r>
            <w:r w:rsidRPr="00C256BB">
              <w:rPr>
                <w:rFonts w:ascii="Cambria" w:hAnsi="Cambria" w:hint="eastAsia"/>
                <w:color w:val="231F20"/>
                <w:sz w:val="20"/>
                <w:szCs w:val="20"/>
                <w:u w:val="single"/>
                <w:lang w:eastAsia="ja-JP"/>
              </w:rPr>
              <w:t>]</w:t>
            </w:r>
          </w:p>
        </w:tc>
      </w:tr>
      <w:tr w:rsidR="00F73E82" w:rsidRPr="00C256BB" w14:paraId="4CF9BFE8" w14:textId="77777777" w:rsidTr="00F73E82">
        <w:tc>
          <w:tcPr>
            <w:tcW w:w="4252" w:type="dxa"/>
          </w:tcPr>
          <w:p w14:paraId="1D531CBB" w14:textId="77777777" w:rsidR="00F73E82" w:rsidRPr="00C256BB" w:rsidRDefault="00F73E82" w:rsidP="00F73E82">
            <w:pPr>
              <w:spacing w:before="48"/>
              <w:rPr>
                <w:rFonts w:ascii="Cambria" w:hAnsi="Cambria"/>
                <w:color w:val="231F20"/>
                <w:sz w:val="20"/>
                <w:szCs w:val="20"/>
              </w:rPr>
            </w:pPr>
            <w:r w:rsidRPr="00C256BB">
              <w:rPr>
                <w:rFonts w:ascii="Cambria" w:hAnsi="Cambria"/>
                <w:color w:val="231F20"/>
                <w:sz w:val="20"/>
                <w:szCs w:val="20"/>
              </w:rPr>
              <w:t xml:space="preserve">Francia (por San Pedro y Miquelón) </w:t>
            </w:r>
          </w:p>
        </w:tc>
        <w:tc>
          <w:tcPr>
            <w:tcW w:w="2614" w:type="dxa"/>
          </w:tcPr>
          <w:p w14:paraId="1881F752" w14:textId="17AF5E18" w:rsidR="00F73E82" w:rsidRPr="00C256BB" w:rsidRDefault="00176A22" w:rsidP="00F73E82">
            <w:pPr>
              <w:spacing w:before="48"/>
              <w:rPr>
                <w:rFonts w:ascii="Cambria" w:eastAsia="Cambria" w:hAnsi="Cambria" w:cs="Cambria"/>
                <w:sz w:val="20"/>
                <w:szCs w:val="20"/>
                <w:u w:val="single"/>
              </w:rPr>
            </w:pPr>
            <w:r w:rsidRPr="00C256BB">
              <w:rPr>
                <w:rFonts w:ascii="Cambria" w:hAnsi="Cambria"/>
                <w:color w:val="231F20"/>
                <w:sz w:val="20"/>
                <w:szCs w:val="20"/>
                <w:u w:val="single"/>
              </w:rPr>
              <w:t xml:space="preserve"> </w:t>
            </w:r>
            <w:r w:rsidRPr="00C256BB">
              <w:rPr>
                <w:rFonts w:ascii="Cambria" w:hAnsi="Cambria" w:hint="eastAsia"/>
                <w:color w:val="231F20"/>
                <w:sz w:val="20"/>
                <w:szCs w:val="20"/>
                <w:u w:val="single"/>
                <w:lang w:eastAsia="ja-JP"/>
              </w:rPr>
              <w:t>[7</w:t>
            </w:r>
            <w:r w:rsidRPr="00C256BB">
              <w:rPr>
                <w:rFonts w:ascii="Cambria" w:hAnsi="Cambria"/>
                <w:color w:val="231F20"/>
                <w:sz w:val="20"/>
                <w:szCs w:val="20"/>
                <w:u w:val="single"/>
                <w:lang w:eastAsia="ja-JP"/>
              </w:rPr>
              <w:t>,</w:t>
            </w:r>
            <w:r w:rsidRPr="00C256BB">
              <w:rPr>
                <w:rFonts w:ascii="Cambria" w:hAnsi="Cambria" w:hint="eastAsia"/>
                <w:color w:val="231F20"/>
                <w:sz w:val="20"/>
                <w:szCs w:val="20"/>
                <w:u w:val="single"/>
                <w:lang w:eastAsia="ja-JP"/>
              </w:rPr>
              <w:t>09</w:t>
            </w:r>
            <w:r w:rsidRPr="00C256BB">
              <w:rPr>
                <w:rFonts w:ascii="Cambria" w:hAnsi="Cambria"/>
                <w:color w:val="231F20"/>
                <w:sz w:val="20"/>
                <w:szCs w:val="20"/>
                <w:u w:val="single"/>
                <w:lang w:eastAsia="ja-JP"/>
              </w:rPr>
              <w:t> t</w:t>
            </w:r>
            <w:r w:rsidRPr="00C256BB">
              <w:rPr>
                <w:rFonts w:ascii="Cambria" w:hAnsi="Cambria" w:hint="eastAsia"/>
                <w:color w:val="231F20"/>
                <w:sz w:val="20"/>
                <w:szCs w:val="20"/>
                <w:u w:val="single"/>
                <w:lang w:eastAsia="ja-JP"/>
              </w:rPr>
              <w:t>]</w:t>
            </w:r>
          </w:p>
        </w:tc>
      </w:tr>
      <w:tr w:rsidR="00F73E82" w:rsidRPr="00C256BB" w14:paraId="4F76E99C" w14:textId="77777777" w:rsidTr="00F73E82">
        <w:tc>
          <w:tcPr>
            <w:tcW w:w="4252" w:type="dxa"/>
          </w:tcPr>
          <w:p w14:paraId="24440D30" w14:textId="77777777" w:rsidR="00F73E82" w:rsidRPr="00C256BB" w:rsidRDefault="00F73E82" w:rsidP="00F73E82">
            <w:pPr>
              <w:spacing w:before="49"/>
              <w:ind w:right="9"/>
              <w:rPr>
                <w:rFonts w:ascii="Cambria" w:hAnsi="Cambria"/>
                <w:color w:val="231F20"/>
                <w:sz w:val="20"/>
                <w:szCs w:val="20"/>
              </w:rPr>
            </w:pPr>
            <w:r w:rsidRPr="00C256BB">
              <w:rPr>
                <w:rFonts w:ascii="Cambria" w:hAnsi="Cambria"/>
                <w:color w:val="231F20"/>
                <w:sz w:val="20"/>
                <w:szCs w:val="20"/>
              </w:rPr>
              <w:t>México</w:t>
            </w:r>
          </w:p>
        </w:tc>
        <w:tc>
          <w:tcPr>
            <w:tcW w:w="2614" w:type="dxa"/>
          </w:tcPr>
          <w:p w14:paraId="61BA9F1C" w14:textId="6B6E9390" w:rsidR="00F73E82" w:rsidRPr="00C256BB" w:rsidRDefault="00176A22" w:rsidP="00F73E82">
            <w:pPr>
              <w:spacing w:before="49"/>
              <w:ind w:right="9"/>
              <w:rPr>
                <w:rFonts w:ascii="Cambria" w:hAnsi="Cambria"/>
                <w:sz w:val="20"/>
                <w:szCs w:val="20"/>
                <w:u w:val="single"/>
              </w:rPr>
            </w:pPr>
            <w:r w:rsidRPr="00C256BB">
              <w:rPr>
                <w:rFonts w:ascii="Cambria" w:hAnsi="Cambria"/>
                <w:color w:val="231F20"/>
                <w:sz w:val="20"/>
                <w:szCs w:val="20"/>
                <w:u w:val="single"/>
              </w:rPr>
              <w:t xml:space="preserve"> </w:t>
            </w:r>
            <w:r w:rsidRPr="00C256BB">
              <w:rPr>
                <w:rFonts w:ascii="Cambria" w:hAnsi="Cambria" w:hint="eastAsia"/>
                <w:color w:val="231F20"/>
                <w:sz w:val="20"/>
                <w:szCs w:val="20"/>
                <w:u w:val="single"/>
                <w:lang w:eastAsia="ja-JP"/>
              </w:rPr>
              <w:t>[171</w:t>
            </w:r>
            <w:r w:rsidRPr="00C256BB">
              <w:rPr>
                <w:rFonts w:ascii="Cambria" w:hAnsi="Cambria"/>
                <w:color w:val="231F20"/>
                <w:sz w:val="20"/>
                <w:szCs w:val="20"/>
                <w:u w:val="single"/>
                <w:lang w:eastAsia="ja-JP"/>
              </w:rPr>
              <w:t>,</w:t>
            </w:r>
            <w:r w:rsidRPr="00C256BB">
              <w:rPr>
                <w:rFonts w:ascii="Cambria" w:hAnsi="Cambria" w:hint="eastAsia"/>
                <w:color w:val="231F20"/>
                <w:sz w:val="20"/>
                <w:szCs w:val="20"/>
                <w:u w:val="single"/>
                <w:lang w:eastAsia="ja-JP"/>
              </w:rPr>
              <w:t>34</w:t>
            </w:r>
            <w:r w:rsidRPr="00C256BB">
              <w:rPr>
                <w:rFonts w:ascii="Cambria" w:hAnsi="Cambria"/>
                <w:color w:val="231F20"/>
                <w:sz w:val="20"/>
                <w:szCs w:val="20"/>
                <w:u w:val="single"/>
                <w:lang w:eastAsia="ja-JP"/>
              </w:rPr>
              <w:t> t</w:t>
            </w:r>
            <w:r w:rsidRPr="00C256BB">
              <w:rPr>
                <w:rFonts w:ascii="Cambria" w:hAnsi="Cambria" w:hint="eastAsia"/>
                <w:color w:val="231F20"/>
                <w:sz w:val="20"/>
                <w:szCs w:val="20"/>
                <w:u w:val="single"/>
                <w:lang w:eastAsia="ja-JP"/>
              </w:rPr>
              <w:t>]</w:t>
            </w:r>
          </w:p>
        </w:tc>
      </w:tr>
    </w:tbl>
    <w:p w14:paraId="6D5F53A2" w14:textId="77777777" w:rsidR="00FE0A6A" w:rsidRPr="00C256BB" w:rsidRDefault="005D5654" w:rsidP="005D5654">
      <w:pPr>
        <w:pBdr>
          <w:top w:val="none" w:sz="0" w:space="0" w:color="000000"/>
          <w:left w:val="none" w:sz="0" w:space="0" w:color="000000"/>
          <w:bottom w:val="none" w:sz="0" w:space="0" w:color="000000"/>
          <w:right w:val="none" w:sz="0" w:space="0" w:color="000000"/>
          <w:between w:val="none" w:sz="0" w:space="0" w:color="000000"/>
        </w:pBdr>
        <w:tabs>
          <w:tab w:val="left" w:pos="2268"/>
          <w:tab w:val="right" w:pos="6521"/>
        </w:tabs>
        <w:spacing w:before="28"/>
        <w:ind w:left="2"/>
        <w:rPr>
          <w:rFonts w:ascii="Cambria" w:hAnsi="Cambria"/>
          <w:color w:val="231F20"/>
          <w:sz w:val="20"/>
          <w:szCs w:val="20"/>
        </w:rPr>
      </w:pPr>
      <w:r w:rsidRPr="00C256BB">
        <w:rPr>
          <w:rFonts w:ascii="Cambria" w:hAnsi="Cambria"/>
          <w:color w:val="231F20"/>
          <w:sz w:val="20"/>
          <w:szCs w:val="20"/>
        </w:rPr>
        <w:tab/>
      </w:r>
    </w:p>
    <w:p w14:paraId="4016BDD3" w14:textId="77777777" w:rsidR="005D5654" w:rsidRPr="00C256BB" w:rsidRDefault="005D5654" w:rsidP="005D5654">
      <w:pPr>
        <w:ind w:left="993"/>
        <w:jc w:val="both"/>
        <w:rPr>
          <w:rFonts w:ascii="Cambria" w:eastAsia="Cambria" w:hAnsi="Cambria" w:cs="Cambria"/>
          <w:color w:val="231F20"/>
          <w:sz w:val="20"/>
          <w:szCs w:val="20"/>
        </w:rPr>
      </w:pPr>
      <w:r w:rsidRPr="00C256BB">
        <w:rPr>
          <w:rFonts w:ascii="Cambria" w:hAnsi="Cambria"/>
          <w:color w:val="231F20"/>
          <w:sz w:val="20"/>
          <w:szCs w:val="20"/>
        </w:rPr>
        <w:t>En ningún caso las asignaciones a Francia (por San Pedro y Miquelón) y Reino Unido (por Bermudas) serán inferiores a 4 t en un año determinado, a menos que la pesquería esté cerrada.</w:t>
      </w:r>
    </w:p>
    <w:p w14:paraId="437D18A6" w14:textId="77777777" w:rsidR="005D5654" w:rsidRPr="00C256BB" w:rsidRDefault="005D5654" w:rsidP="005D5654">
      <w:pPr>
        <w:ind w:left="993"/>
        <w:jc w:val="both"/>
        <w:rPr>
          <w:rFonts w:ascii="Cambria" w:eastAsia="Cambria" w:hAnsi="Cambria" w:cs="Cambria"/>
          <w:sz w:val="20"/>
          <w:szCs w:val="20"/>
        </w:rPr>
      </w:pPr>
    </w:p>
    <w:p w14:paraId="31277FB5" w14:textId="520CD80F" w:rsidR="005D5654" w:rsidRPr="00C256BB" w:rsidRDefault="005D5654" w:rsidP="00C256BB">
      <w:pPr>
        <w:widowControl/>
        <w:numPr>
          <w:ilvl w:val="1"/>
          <w:numId w:val="9"/>
        </w:numPr>
        <w:tabs>
          <w:tab w:val="left" w:pos="993"/>
        </w:tabs>
        <w:spacing w:after="160" w:line="259" w:lineRule="auto"/>
        <w:ind w:left="993"/>
        <w:jc w:val="both"/>
        <w:rPr>
          <w:rFonts w:ascii="Cambria" w:eastAsia="Cambria" w:hAnsi="Cambria" w:cs="Cambria"/>
          <w:color w:val="231F20"/>
          <w:sz w:val="20"/>
          <w:szCs w:val="20"/>
        </w:rPr>
      </w:pPr>
      <w:r w:rsidRPr="00C256BB">
        <w:rPr>
          <w:rFonts w:ascii="Cambria" w:hAnsi="Cambria"/>
          <w:color w:val="231F20"/>
          <w:sz w:val="20"/>
          <w:szCs w:val="20"/>
          <w:u w:val="single"/>
        </w:rPr>
        <w:t>D</w:t>
      </w:r>
      <w:r w:rsidRPr="00C256BB">
        <w:rPr>
          <w:rFonts w:ascii="Cambria" w:hAnsi="Cambria"/>
          <w:color w:val="231F20"/>
          <w:sz w:val="20"/>
          <w:szCs w:val="20"/>
        </w:rPr>
        <w:t xml:space="preserve">ependiendo de la disponibilidad, México puede transferir a Canadá hasta </w:t>
      </w:r>
      <w:r w:rsidR="001F42D3" w:rsidRPr="00C256BB">
        <w:rPr>
          <w:rFonts w:ascii="Cambria" w:eastAsia="Cambria" w:hAnsi="Cambria" w:cs="Cambria"/>
          <w:color w:val="231F20"/>
          <w:sz w:val="20"/>
          <w:szCs w:val="20"/>
          <w:u w:val="single"/>
        </w:rPr>
        <w:t>171,34 </w:t>
      </w:r>
      <w:r w:rsidRPr="00C256BB">
        <w:rPr>
          <w:rFonts w:ascii="Cambria" w:hAnsi="Cambria"/>
          <w:color w:val="231F20"/>
          <w:sz w:val="20"/>
          <w:szCs w:val="20"/>
          <w:u w:val="single"/>
        </w:rPr>
        <w:t>t</w:t>
      </w:r>
      <w:r w:rsidRPr="00C256BB">
        <w:rPr>
          <w:rFonts w:ascii="Cambria" w:hAnsi="Cambria"/>
          <w:color w:val="231F20"/>
          <w:sz w:val="20"/>
          <w:szCs w:val="20"/>
        </w:rPr>
        <w:t xml:space="preserve"> de su cuota ajustada, en cada uno de los años del periodo </w:t>
      </w:r>
      <w:r w:rsidR="00FE0A6A" w:rsidRPr="00C256BB">
        <w:rPr>
          <w:rFonts w:ascii="Cambria" w:hAnsi="Cambria"/>
          <w:color w:val="231F20"/>
          <w:sz w:val="20"/>
          <w:szCs w:val="20"/>
        </w:rPr>
        <w:t>2026-2028</w:t>
      </w:r>
      <w:r w:rsidRPr="00C256BB">
        <w:rPr>
          <w:rFonts w:ascii="Cambria" w:hAnsi="Cambria"/>
          <w:color w:val="231F20"/>
          <w:sz w:val="20"/>
          <w:szCs w:val="20"/>
        </w:rPr>
        <w:t xml:space="preserve">, para respaldar los trabajos de investigación en colaboración, tal y como se especifican en el párrafo </w:t>
      </w:r>
      <w:r w:rsidRPr="00C256BB">
        <w:rPr>
          <w:rFonts w:ascii="Cambria" w:hAnsi="Cambria"/>
          <w:color w:val="231F20"/>
          <w:sz w:val="20"/>
          <w:szCs w:val="20"/>
          <w:u w:val="single"/>
        </w:rPr>
        <w:t>1</w:t>
      </w:r>
      <w:r w:rsidR="001F42D3" w:rsidRPr="00C256BB">
        <w:rPr>
          <w:rFonts w:ascii="Cambria" w:hAnsi="Cambria"/>
          <w:color w:val="231F20"/>
          <w:sz w:val="20"/>
          <w:szCs w:val="20"/>
          <w:u w:val="single"/>
        </w:rPr>
        <w:t>5</w:t>
      </w:r>
      <w:r w:rsidRPr="00C256BB">
        <w:rPr>
          <w:rFonts w:ascii="Cambria" w:hAnsi="Cambria"/>
          <w:color w:val="231F20"/>
          <w:sz w:val="20"/>
          <w:szCs w:val="20"/>
          <w:u w:val="single"/>
        </w:rPr>
        <w:t>.</w:t>
      </w:r>
    </w:p>
    <w:p w14:paraId="535B0FB4" w14:textId="52A9A567" w:rsidR="005D5654" w:rsidRPr="00C256BB" w:rsidRDefault="005D5654" w:rsidP="00C256BB">
      <w:pPr>
        <w:widowControl/>
        <w:numPr>
          <w:ilvl w:val="1"/>
          <w:numId w:val="9"/>
        </w:numPr>
        <w:tabs>
          <w:tab w:val="left" w:pos="993"/>
        </w:tabs>
        <w:spacing w:after="160" w:line="259" w:lineRule="auto"/>
        <w:ind w:left="993" w:hanging="426"/>
        <w:jc w:val="both"/>
        <w:rPr>
          <w:rFonts w:ascii="Cambria" w:eastAsia="Cambria" w:hAnsi="Cambria" w:cs="Cambria"/>
          <w:sz w:val="20"/>
          <w:szCs w:val="20"/>
        </w:rPr>
      </w:pPr>
      <w:r w:rsidRPr="00C256BB">
        <w:rPr>
          <w:rFonts w:ascii="Cambria" w:hAnsi="Cambria"/>
          <w:color w:val="231F20"/>
          <w:sz w:val="20"/>
          <w:szCs w:val="20"/>
          <w:u w:val="single"/>
        </w:rPr>
        <w:t>D</w:t>
      </w:r>
      <w:r w:rsidRPr="00C256BB">
        <w:rPr>
          <w:rFonts w:ascii="Cambria" w:hAnsi="Cambria"/>
          <w:color w:val="231F20"/>
          <w:sz w:val="20"/>
          <w:szCs w:val="20"/>
        </w:rPr>
        <w:t xml:space="preserve">ependiendo de la disponibilidad, el Reino Unido (con respecto a Bermudas) puede transferir a Estados Unidos una cantidad que no supere su cuota ajustada, en cada uno de los años del periodo </w:t>
      </w:r>
      <w:r w:rsidR="00FE0A6A" w:rsidRPr="00C256BB">
        <w:rPr>
          <w:rFonts w:ascii="Cambria" w:hAnsi="Cambria"/>
          <w:color w:val="231F20"/>
          <w:sz w:val="20"/>
          <w:szCs w:val="20"/>
        </w:rPr>
        <w:t>2026-2028</w:t>
      </w:r>
      <w:r w:rsidRPr="00C256BB">
        <w:rPr>
          <w:rFonts w:ascii="Cambria" w:hAnsi="Cambria"/>
          <w:color w:val="231F20"/>
          <w:sz w:val="20"/>
          <w:szCs w:val="20"/>
        </w:rPr>
        <w:t xml:space="preserve"> para respaldar los trabajos de investigación en colaboración, tal y como se especifican en el párrafo </w:t>
      </w:r>
      <w:r w:rsidR="001F42D3" w:rsidRPr="00C256BB">
        <w:rPr>
          <w:rFonts w:ascii="Cambria" w:hAnsi="Cambria"/>
          <w:color w:val="231F20"/>
          <w:sz w:val="20"/>
          <w:szCs w:val="20"/>
          <w:u w:val="single"/>
        </w:rPr>
        <w:t>15.</w:t>
      </w:r>
    </w:p>
    <w:p w14:paraId="67765B22" w14:textId="7C802E84" w:rsidR="005D5654" w:rsidRPr="00C256BB" w:rsidRDefault="005D5654" w:rsidP="00C256BB">
      <w:pPr>
        <w:widowControl/>
        <w:numPr>
          <w:ilvl w:val="1"/>
          <w:numId w:val="9"/>
        </w:numPr>
        <w:tabs>
          <w:tab w:val="left" w:pos="993"/>
        </w:tabs>
        <w:spacing w:after="160" w:line="259" w:lineRule="auto"/>
        <w:ind w:left="993" w:hanging="426"/>
        <w:jc w:val="both"/>
        <w:rPr>
          <w:rFonts w:ascii="Cambria" w:eastAsia="Cambria" w:hAnsi="Cambria" w:cs="Cambria"/>
          <w:sz w:val="20"/>
          <w:szCs w:val="20"/>
        </w:rPr>
      </w:pPr>
      <w:r w:rsidRPr="00C256BB">
        <w:rPr>
          <w:rFonts w:ascii="Cambria" w:hAnsi="Cambria"/>
          <w:color w:val="231F20"/>
          <w:sz w:val="20"/>
          <w:szCs w:val="20"/>
          <w:u w:val="single"/>
        </w:rPr>
        <w:t>D</w:t>
      </w:r>
      <w:r w:rsidRPr="00C256BB">
        <w:rPr>
          <w:rFonts w:ascii="Cambria" w:hAnsi="Cambria"/>
          <w:color w:val="231F20"/>
          <w:sz w:val="20"/>
          <w:szCs w:val="20"/>
        </w:rPr>
        <w:t xml:space="preserve">ependiendo de la disponibilidad, Francia (con respecto a San Pedro y Miquelón) puede transferir a Canadá una cantidad que no supere su cuota ajustada, en cada uno de los años del periodo </w:t>
      </w:r>
      <w:r w:rsidR="00FE0A6A" w:rsidRPr="00C256BB">
        <w:rPr>
          <w:rFonts w:ascii="Cambria" w:hAnsi="Cambria"/>
          <w:color w:val="231F20"/>
          <w:sz w:val="20"/>
          <w:szCs w:val="20"/>
        </w:rPr>
        <w:t>2026-2028</w:t>
      </w:r>
      <w:r w:rsidRPr="00C256BB">
        <w:rPr>
          <w:rFonts w:ascii="Cambria" w:hAnsi="Cambria"/>
          <w:color w:val="231F20"/>
          <w:sz w:val="20"/>
          <w:szCs w:val="20"/>
        </w:rPr>
        <w:t xml:space="preserve">, para respaldar los trabajos de investigación en colaboración, tal y como se especifican en el párrafo </w:t>
      </w:r>
      <w:r w:rsidR="001F42D3" w:rsidRPr="00C256BB">
        <w:rPr>
          <w:rFonts w:ascii="Cambria" w:hAnsi="Cambria"/>
          <w:color w:val="231F20"/>
          <w:sz w:val="20"/>
          <w:szCs w:val="20"/>
          <w:u w:val="single"/>
        </w:rPr>
        <w:t>15.</w:t>
      </w:r>
    </w:p>
    <w:p w14:paraId="1F4DA7B2" w14:textId="2D30AD12" w:rsidR="005D5654" w:rsidRPr="00C256BB" w:rsidRDefault="005D5654" w:rsidP="00C256BB">
      <w:pPr>
        <w:widowControl/>
        <w:numPr>
          <w:ilvl w:val="1"/>
          <w:numId w:val="9"/>
        </w:numPr>
        <w:tabs>
          <w:tab w:val="left" w:pos="993"/>
        </w:tabs>
        <w:spacing w:after="160"/>
        <w:ind w:left="993" w:hanging="426"/>
        <w:jc w:val="both"/>
        <w:rPr>
          <w:rFonts w:ascii="Cambria" w:hAnsi="Cambria"/>
          <w:color w:val="231F20"/>
          <w:sz w:val="20"/>
          <w:szCs w:val="20"/>
        </w:rPr>
      </w:pPr>
      <w:r w:rsidRPr="00C256BB">
        <w:rPr>
          <w:rFonts w:ascii="Cambria" w:hAnsi="Cambria"/>
          <w:color w:val="231F20"/>
          <w:sz w:val="20"/>
          <w:szCs w:val="20"/>
          <w:u w:val="single"/>
        </w:rPr>
        <w:t>L</w:t>
      </w:r>
      <w:r w:rsidRPr="00C256BB">
        <w:rPr>
          <w:rFonts w:ascii="Cambria" w:hAnsi="Cambria"/>
          <w:color w:val="231F20"/>
          <w:sz w:val="20"/>
          <w:szCs w:val="20"/>
        </w:rPr>
        <w:t xml:space="preserve">as CPC que tengan previsto participar en las actividades de investigación en colaboración especificadas en los párrafos </w:t>
      </w:r>
      <w:r w:rsidR="001F42D3" w:rsidRPr="00C256BB">
        <w:rPr>
          <w:rFonts w:ascii="Cambria" w:hAnsi="Cambria"/>
          <w:color w:val="231F20"/>
          <w:sz w:val="20"/>
          <w:szCs w:val="20"/>
          <w:u w:val="single"/>
        </w:rPr>
        <w:t>6</w:t>
      </w:r>
      <w:r w:rsidRPr="00C256BB">
        <w:rPr>
          <w:rFonts w:ascii="Cambria" w:hAnsi="Cambria"/>
          <w:color w:val="231F20"/>
          <w:sz w:val="20"/>
          <w:szCs w:val="20"/>
        </w:rPr>
        <w:t xml:space="preserve">d), </w:t>
      </w:r>
      <w:r w:rsidR="001F42D3" w:rsidRPr="00C256BB">
        <w:rPr>
          <w:rFonts w:ascii="Cambria" w:hAnsi="Cambria"/>
          <w:color w:val="231F20"/>
          <w:sz w:val="20"/>
          <w:szCs w:val="20"/>
          <w:u w:val="single"/>
        </w:rPr>
        <w:t>6</w:t>
      </w:r>
      <w:r w:rsidRPr="00C256BB">
        <w:rPr>
          <w:rFonts w:ascii="Cambria" w:hAnsi="Cambria"/>
          <w:color w:val="231F20"/>
          <w:sz w:val="20"/>
          <w:szCs w:val="20"/>
        </w:rPr>
        <w:t xml:space="preserve">e) y </w:t>
      </w:r>
      <w:r w:rsidR="001F42D3" w:rsidRPr="00C256BB">
        <w:rPr>
          <w:rFonts w:ascii="Cambria" w:hAnsi="Cambria"/>
          <w:color w:val="231F20"/>
          <w:sz w:val="20"/>
          <w:szCs w:val="20"/>
          <w:u w:val="single"/>
        </w:rPr>
        <w:t>6</w:t>
      </w:r>
      <w:r w:rsidRPr="00C256BB">
        <w:rPr>
          <w:rFonts w:ascii="Cambria" w:hAnsi="Cambria"/>
          <w:color w:val="231F20"/>
          <w:sz w:val="20"/>
          <w:szCs w:val="20"/>
        </w:rPr>
        <w:t>f) anteriores notificarán al SCRS y a la Comisión información detallada sobre los programas de investigación que van a emprender antes de que se inicien, y presentarán los resultados de la investigación al SCR</w:t>
      </w:r>
      <w:r w:rsidRPr="00C256BB">
        <w:rPr>
          <w:rFonts w:ascii="Cambria" w:hAnsi="Cambria"/>
          <w:color w:val="231F20"/>
          <w:sz w:val="20"/>
          <w:szCs w:val="20"/>
          <w:u w:val="single"/>
        </w:rPr>
        <w:t>S.</w:t>
      </w:r>
    </w:p>
    <w:p w14:paraId="01271B54" w14:textId="20CDECE3" w:rsidR="005D5654" w:rsidRPr="00C256BB" w:rsidRDefault="005D5654" w:rsidP="00C256BB">
      <w:pPr>
        <w:widowControl/>
        <w:numPr>
          <w:ilvl w:val="0"/>
          <w:numId w:val="9"/>
        </w:numPr>
        <w:ind w:left="425" w:hanging="425"/>
        <w:jc w:val="both"/>
        <w:rPr>
          <w:rFonts w:ascii="Cambria" w:eastAsia="Cambria" w:hAnsi="Cambria" w:cs="Cambria"/>
          <w:sz w:val="20"/>
          <w:szCs w:val="20"/>
        </w:rPr>
      </w:pPr>
      <w:r w:rsidRPr="00C256BB">
        <w:rPr>
          <w:rFonts w:ascii="Cambria" w:hAnsi="Cambria"/>
          <w:color w:val="231F20"/>
          <w:sz w:val="20"/>
          <w:szCs w:val="20"/>
        </w:rPr>
        <w:t xml:space="preserve">La cuota total de una CPC incluirá sus asignaciones establecidas en </w:t>
      </w:r>
      <w:r w:rsidR="001F42D3" w:rsidRPr="00C256BB">
        <w:rPr>
          <w:rFonts w:ascii="Cambria" w:hAnsi="Cambria"/>
          <w:color w:val="231F20"/>
          <w:sz w:val="20"/>
          <w:szCs w:val="20"/>
          <w:u w:val="single"/>
        </w:rPr>
        <w:t>los</w:t>
      </w:r>
      <w:r w:rsidR="001F42D3" w:rsidRPr="00C256BB">
        <w:rPr>
          <w:rFonts w:ascii="Cambria" w:hAnsi="Cambria"/>
          <w:color w:val="231F20"/>
          <w:sz w:val="20"/>
          <w:szCs w:val="20"/>
        </w:rPr>
        <w:t xml:space="preserve"> </w:t>
      </w:r>
      <w:r w:rsidRPr="00C256BB">
        <w:rPr>
          <w:rFonts w:ascii="Cambria" w:hAnsi="Cambria"/>
          <w:color w:val="231F20"/>
          <w:sz w:val="20"/>
          <w:szCs w:val="20"/>
        </w:rPr>
        <w:t>párraf</w:t>
      </w:r>
      <w:r w:rsidRPr="00C256BB">
        <w:rPr>
          <w:rFonts w:ascii="Cambria" w:hAnsi="Cambria"/>
          <w:color w:val="231F20"/>
          <w:sz w:val="20"/>
          <w:szCs w:val="20"/>
          <w:u w:val="single"/>
        </w:rPr>
        <w:t>o</w:t>
      </w:r>
      <w:r w:rsidR="001F42D3" w:rsidRPr="00C256BB">
        <w:rPr>
          <w:rFonts w:ascii="Cambria" w:hAnsi="Cambria"/>
          <w:color w:val="231F20"/>
          <w:sz w:val="20"/>
          <w:szCs w:val="20"/>
          <w:u w:val="single"/>
        </w:rPr>
        <w:t>s</w:t>
      </w:r>
      <w:r w:rsidRPr="00C256BB">
        <w:rPr>
          <w:rFonts w:ascii="Cambria" w:hAnsi="Cambria"/>
          <w:color w:val="231F20"/>
          <w:sz w:val="20"/>
          <w:szCs w:val="20"/>
        </w:rPr>
        <w:t xml:space="preserve"> 5</w:t>
      </w:r>
      <w:r w:rsidR="001F42D3" w:rsidRPr="00C256BB">
        <w:rPr>
          <w:rFonts w:ascii="Cambria" w:hAnsi="Cambria"/>
          <w:color w:val="231F20"/>
          <w:sz w:val="20"/>
          <w:szCs w:val="20"/>
        </w:rPr>
        <w:t xml:space="preserve"> </w:t>
      </w:r>
      <w:r w:rsidR="001F42D3" w:rsidRPr="00C256BB">
        <w:rPr>
          <w:rFonts w:ascii="Cambria" w:hAnsi="Cambria"/>
          <w:color w:val="231F20"/>
          <w:sz w:val="20"/>
          <w:szCs w:val="20"/>
          <w:u w:val="single"/>
        </w:rPr>
        <w:t>y 6</w:t>
      </w:r>
      <w:r w:rsidRPr="00C256BB">
        <w:rPr>
          <w:rFonts w:ascii="Cambria" w:hAnsi="Cambria"/>
          <w:color w:val="231F20"/>
          <w:sz w:val="20"/>
          <w:szCs w:val="20"/>
        </w:rPr>
        <w:t>, ajustadas según el exceso o remanente de captura en coherencia con el resto de este párrafo. Cada año se considerará un periodo de ordenación independiente a efectos del resto de este párrafo:</w:t>
      </w:r>
    </w:p>
    <w:p w14:paraId="545019D1" w14:textId="77777777" w:rsidR="005D5654" w:rsidRPr="00C256BB" w:rsidRDefault="005D5654" w:rsidP="005D5654">
      <w:pPr>
        <w:tabs>
          <w:tab w:val="left" w:pos="529"/>
        </w:tabs>
        <w:ind w:left="528"/>
        <w:jc w:val="both"/>
        <w:rPr>
          <w:rFonts w:ascii="Cambria" w:eastAsia="Cambria" w:hAnsi="Cambria" w:cs="Cambria"/>
          <w:color w:val="231F20"/>
          <w:sz w:val="20"/>
          <w:szCs w:val="20"/>
        </w:rPr>
      </w:pPr>
    </w:p>
    <w:p w14:paraId="1FFB3887" w14:textId="6D88B3C9" w:rsidR="005D5654" w:rsidRPr="00C256BB" w:rsidRDefault="005D5654" w:rsidP="005D5654">
      <w:pPr>
        <w:widowControl/>
        <w:numPr>
          <w:ilvl w:val="0"/>
          <w:numId w:val="1"/>
        </w:numPr>
        <w:spacing w:after="160"/>
        <w:ind w:left="990" w:hanging="423"/>
        <w:jc w:val="both"/>
        <w:rPr>
          <w:rFonts w:ascii="Cambria" w:eastAsia="Cambria" w:hAnsi="Cambria" w:cs="Cambria"/>
          <w:color w:val="231F20"/>
          <w:sz w:val="20"/>
          <w:szCs w:val="20"/>
        </w:rPr>
      </w:pPr>
      <w:r w:rsidRPr="00C256BB">
        <w:rPr>
          <w:rFonts w:ascii="Cambria" w:hAnsi="Cambria"/>
          <w:color w:val="231F20"/>
          <w:sz w:val="20"/>
          <w:szCs w:val="20"/>
        </w:rPr>
        <w:t xml:space="preserve">Cualquier remanente de una cuota total de una CPC en un año determinado podría traspasarse al año siguiente. Sin embargo, el remanente que se traspase no podrá superar en ningún caso el 10 % de la asignación inicial de cuota de la CPC, establecida de conformidad con </w:t>
      </w:r>
      <w:r w:rsidR="00EC78D8" w:rsidRPr="00C256BB">
        <w:rPr>
          <w:rFonts w:ascii="Cambria" w:hAnsi="Cambria"/>
          <w:color w:val="231F20"/>
          <w:sz w:val="20"/>
          <w:szCs w:val="20"/>
          <w:u w:val="single"/>
        </w:rPr>
        <w:t>los</w:t>
      </w:r>
      <w:r w:rsidR="00EC78D8" w:rsidRPr="00C256BB">
        <w:rPr>
          <w:rFonts w:ascii="Cambria" w:hAnsi="Cambria"/>
          <w:color w:val="231F20"/>
          <w:sz w:val="20"/>
          <w:szCs w:val="20"/>
        </w:rPr>
        <w:t xml:space="preserve"> </w:t>
      </w:r>
      <w:r w:rsidRPr="00C256BB">
        <w:rPr>
          <w:rFonts w:ascii="Cambria" w:hAnsi="Cambria"/>
          <w:color w:val="231F20"/>
          <w:sz w:val="20"/>
          <w:szCs w:val="20"/>
        </w:rPr>
        <w:t>párraf</w:t>
      </w:r>
      <w:r w:rsidRPr="00C256BB">
        <w:rPr>
          <w:rFonts w:ascii="Cambria" w:hAnsi="Cambria"/>
          <w:color w:val="231F20"/>
          <w:sz w:val="20"/>
          <w:szCs w:val="20"/>
          <w:u w:val="single"/>
        </w:rPr>
        <w:t>o</w:t>
      </w:r>
      <w:r w:rsidR="00EC78D8" w:rsidRPr="00C256BB">
        <w:rPr>
          <w:rFonts w:ascii="Cambria" w:hAnsi="Cambria"/>
          <w:color w:val="231F20"/>
          <w:sz w:val="20"/>
          <w:szCs w:val="20"/>
          <w:u w:val="single"/>
        </w:rPr>
        <w:t>s</w:t>
      </w:r>
      <w:r w:rsidRPr="00C256BB">
        <w:rPr>
          <w:rFonts w:ascii="Cambria" w:hAnsi="Cambria"/>
          <w:color w:val="231F20"/>
          <w:sz w:val="20"/>
          <w:szCs w:val="20"/>
        </w:rPr>
        <w:t xml:space="preserve"> 5</w:t>
      </w:r>
      <w:r w:rsidR="00EC78D8" w:rsidRPr="00C256BB">
        <w:rPr>
          <w:rFonts w:ascii="Cambria" w:hAnsi="Cambria"/>
          <w:color w:val="231F20"/>
          <w:sz w:val="20"/>
          <w:szCs w:val="20"/>
        </w:rPr>
        <w:t xml:space="preserve"> </w:t>
      </w:r>
      <w:r w:rsidR="00EC78D8" w:rsidRPr="00C256BB">
        <w:rPr>
          <w:rFonts w:ascii="Cambria" w:hAnsi="Cambria"/>
          <w:color w:val="231F20"/>
          <w:sz w:val="20"/>
          <w:szCs w:val="20"/>
          <w:u w:val="single"/>
        </w:rPr>
        <w:t>y 6</w:t>
      </w:r>
      <w:r w:rsidRPr="00C256BB">
        <w:rPr>
          <w:rFonts w:ascii="Cambria" w:hAnsi="Cambria"/>
          <w:color w:val="231F20"/>
          <w:sz w:val="20"/>
          <w:szCs w:val="20"/>
        </w:rPr>
        <w:t xml:space="preserve">, con  la excepción de Reino Unido (por Bermudas), Francia (por San Pedro y Miquelón) y México (es decir, las Partes contratantes con asignaciones iniciales de </w:t>
      </w:r>
      <w:r w:rsidR="00EC78D8" w:rsidRPr="00C256BB">
        <w:rPr>
          <w:rFonts w:ascii="Cambria" w:eastAsia="Cambria" w:hAnsi="Cambria" w:cs="Cambria"/>
          <w:color w:val="231F20"/>
          <w:sz w:val="20"/>
          <w:szCs w:val="20"/>
          <w:u w:val="single"/>
        </w:rPr>
        <w:t>[171,34 </w:t>
      </w:r>
      <w:r w:rsidR="00EC78D8" w:rsidRPr="00C256BB">
        <w:rPr>
          <w:rFonts w:ascii="Cambria" w:hAnsi="Cambria"/>
          <w:color w:val="231F20"/>
          <w:sz w:val="20"/>
          <w:szCs w:val="20"/>
          <w:u w:val="single"/>
        </w:rPr>
        <w:t>t]</w:t>
      </w:r>
      <w:r w:rsidRPr="00C256BB">
        <w:rPr>
          <w:rFonts w:ascii="Cambria" w:hAnsi="Cambria"/>
          <w:color w:val="231F20"/>
          <w:sz w:val="20"/>
          <w:szCs w:val="20"/>
          <w:u w:val="single"/>
        </w:rPr>
        <w:t xml:space="preserve"> </w:t>
      </w:r>
      <w:r w:rsidRPr="00C256BB">
        <w:rPr>
          <w:rFonts w:ascii="Cambria" w:hAnsi="Cambria"/>
          <w:color w:val="231F20"/>
          <w:sz w:val="20"/>
          <w:szCs w:val="20"/>
        </w:rPr>
        <w:t xml:space="preserve"> o menos), para las que el remanente que se traspase no superará en ningún caso el 100 % de la asignación inicial establecida en el párrafo</w:t>
      </w:r>
      <w:r w:rsidR="00EC78D8" w:rsidRPr="00C256BB">
        <w:rPr>
          <w:rFonts w:ascii="Cambria" w:hAnsi="Cambria"/>
          <w:color w:val="231F20"/>
          <w:sz w:val="20"/>
          <w:szCs w:val="20"/>
        </w:rPr>
        <w:t xml:space="preserve"> </w:t>
      </w:r>
      <w:r w:rsidR="00EC78D8" w:rsidRPr="00C256BB">
        <w:rPr>
          <w:rFonts w:ascii="Cambria" w:hAnsi="Cambria"/>
          <w:color w:val="231F20"/>
          <w:sz w:val="20"/>
          <w:szCs w:val="20"/>
          <w:u w:val="single"/>
        </w:rPr>
        <w:t>6</w:t>
      </w:r>
      <w:r w:rsidRPr="00C256BB">
        <w:rPr>
          <w:rFonts w:ascii="Cambria" w:hAnsi="Cambria"/>
          <w:color w:val="231F20"/>
          <w:sz w:val="20"/>
          <w:szCs w:val="20"/>
        </w:rPr>
        <w:t xml:space="preserve"> (a saber, la cuota total para dicha CPC no debe superar el doble de su cuota anual en cualquier año).</w:t>
      </w:r>
    </w:p>
    <w:p w14:paraId="03B44A92" w14:textId="77777777" w:rsidR="005D5654" w:rsidRPr="00C256BB" w:rsidRDefault="005D5654" w:rsidP="005D5654">
      <w:pPr>
        <w:widowControl/>
        <w:numPr>
          <w:ilvl w:val="0"/>
          <w:numId w:val="1"/>
        </w:numPr>
        <w:tabs>
          <w:tab w:val="left" w:pos="798"/>
        </w:tabs>
        <w:spacing w:after="160"/>
        <w:ind w:left="990"/>
        <w:jc w:val="both"/>
        <w:rPr>
          <w:rFonts w:ascii="Cambria" w:eastAsia="Cambria" w:hAnsi="Cambria" w:cs="Cambria"/>
          <w:color w:val="231F20"/>
          <w:sz w:val="20"/>
          <w:szCs w:val="20"/>
        </w:rPr>
      </w:pPr>
      <w:r w:rsidRPr="00C256BB">
        <w:rPr>
          <w:rFonts w:ascii="Cambria" w:hAnsi="Cambria"/>
          <w:color w:val="231F20"/>
          <w:sz w:val="20"/>
          <w:szCs w:val="20"/>
        </w:rPr>
        <w:t>Si, en el periodo de ordenación aplicable, y en cada periodo de ordenación subsiguiente, cualquier CPC tiene un exceso de captura con respecto a su cuota total, en el periodo de ordenación posterior se deducirá de su cuota inicial el 100 % de la cantidad de exceso de captura respecto a dicha cuota total, e ICCAT podría autorizar otras acciones apropiadas.</w:t>
      </w:r>
    </w:p>
    <w:p w14:paraId="369D6701" w14:textId="58009F75" w:rsidR="005D5654" w:rsidRPr="00C256BB" w:rsidRDefault="005D5654" w:rsidP="005D5654">
      <w:pPr>
        <w:widowControl/>
        <w:numPr>
          <w:ilvl w:val="0"/>
          <w:numId w:val="1"/>
        </w:numPr>
        <w:tabs>
          <w:tab w:val="left" w:pos="993"/>
        </w:tabs>
        <w:spacing w:after="160"/>
        <w:ind w:left="990"/>
        <w:jc w:val="both"/>
        <w:rPr>
          <w:rFonts w:ascii="Cambria" w:eastAsia="Cambria" w:hAnsi="Cambria" w:cs="Cambria"/>
          <w:color w:val="231F20"/>
          <w:sz w:val="20"/>
          <w:szCs w:val="20"/>
        </w:rPr>
      </w:pPr>
      <w:r w:rsidRPr="00C256BB">
        <w:rPr>
          <w:rFonts w:ascii="Cambria" w:hAnsi="Cambria"/>
          <w:color w:val="231F20"/>
          <w:sz w:val="20"/>
          <w:szCs w:val="20"/>
        </w:rPr>
        <w:t xml:space="preserve">No obstante el párrafo </w:t>
      </w:r>
      <w:r w:rsidR="00EC78D8" w:rsidRPr="00C256BB">
        <w:rPr>
          <w:rFonts w:ascii="Cambria" w:hAnsi="Cambria"/>
          <w:color w:val="231F20"/>
          <w:sz w:val="20"/>
          <w:szCs w:val="20"/>
          <w:u w:val="single"/>
        </w:rPr>
        <w:t>7</w:t>
      </w:r>
      <w:r w:rsidRPr="00C256BB">
        <w:rPr>
          <w:rFonts w:ascii="Cambria" w:hAnsi="Cambria"/>
          <w:color w:val="231F20"/>
          <w:sz w:val="20"/>
          <w:szCs w:val="20"/>
        </w:rPr>
        <w:t xml:space="preserve"> b), si una CPC tiene un exceso de captura de su cuota total durante dos periodos de ordenación consecutivos, la Comisión recomendará las medidas apropiadas, que pueden incluir, sin limitarse a ello, una reducción de la cuota total de la CPC igual a un mínimo del 125 % de la cantidad de exceso de captura y, si es necesario, medidas comerciales restrictivas. Cualquier medida comercial adoptada con arreglo a este párrafo consistirá en restricciones a la importación de la especie en cuestión y será acorde con las obligaciones internacionales de cada CPC. Las medidas comerciales tendrán la duración y las condiciones que determine la Comisión.</w:t>
      </w:r>
    </w:p>
    <w:p w14:paraId="4F857265" w14:textId="77777777" w:rsidR="005D5654" w:rsidRPr="00C256BB" w:rsidRDefault="005D5654" w:rsidP="005D5654">
      <w:pPr>
        <w:jc w:val="both"/>
        <w:outlineLvl w:val="0"/>
        <w:rPr>
          <w:rFonts w:ascii="Cambria" w:eastAsia="Cambria" w:hAnsi="Cambria" w:cs="Cambria"/>
          <w:iCs/>
          <w:sz w:val="20"/>
          <w:szCs w:val="20"/>
        </w:rPr>
      </w:pPr>
      <w:r w:rsidRPr="00C256BB">
        <w:rPr>
          <w:rFonts w:ascii="Cambria" w:eastAsia="Times New Roman" w:hAnsi="Cambria" w:cs="Times New Roman"/>
          <w:b/>
          <w:iCs/>
          <w:color w:val="231F20"/>
          <w:sz w:val="20"/>
          <w:szCs w:val="20"/>
        </w:rPr>
        <w:t>Requisitos de talla mínima de los peces y protección de los peces pequeños</w:t>
      </w:r>
    </w:p>
    <w:p w14:paraId="4D826F26" w14:textId="77777777" w:rsidR="005D5654" w:rsidRPr="00C256BB" w:rsidRDefault="005D5654" w:rsidP="005D5654">
      <w:pPr>
        <w:jc w:val="both"/>
        <w:rPr>
          <w:rFonts w:ascii="Cambria" w:eastAsia="Cambria" w:hAnsi="Cambria" w:cs="Cambria"/>
          <w:b/>
          <w:i/>
          <w:sz w:val="20"/>
          <w:szCs w:val="20"/>
        </w:rPr>
      </w:pPr>
    </w:p>
    <w:p w14:paraId="1FEED235" w14:textId="77777777" w:rsidR="005D5654" w:rsidRPr="00C256BB" w:rsidRDefault="005D5654" w:rsidP="00C256BB">
      <w:pPr>
        <w:widowControl/>
        <w:numPr>
          <w:ilvl w:val="0"/>
          <w:numId w:val="9"/>
        </w:numPr>
        <w:ind w:left="425" w:hanging="425"/>
        <w:jc w:val="both"/>
        <w:rPr>
          <w:rFonts w:ascii="Cambria" w:eastAsia="Cambria" w:hAnsi="Cambria" w:cs="Cambria"/>
          <w:sz w:val="20"/>
          <w:szCs w:val="20"/>
        </w:rPr>
      </w:pPr>
      <w:r w:rsidRPr="00C256BB">
        <w:rPr>
          <w:rFonts w:ascii="Cambria" w:hAnsi="Cambria"/>
          <w:color w:val="231F20"/>
          <w:sz w:val="20"/>
          <w:szCs w:val="20"/>
        </w:rPr>
        <w:t>Las CPC prohibirán la pesca y desembarque de atún rojo del Atlántico oeste que pesen menos de 30 kg, o como alternativa, con una longitud a la horquilla inferior a 115 cm.</w:t>
      </w:r>
    </w:p>
    <w:p w14:paraId="28030715" w14:textId="77777777" w:rsidR="005D5654" w:rsidRPr="00C256BB" w:rsidRDefault="005D5654" w:rsidP="005D5654">
      <w:pPr>
        <w:jc w:val="both"/>
        <w:rPr>
          <w:rFonts w:ascii="Cambria" w:eastAsia="Cambria" w:hAnsi="Cambria" w:cs="Cambria"/>
          <w:sz w:val="20"/>
          <w:szCs w:val="20"/>
        </w:rPr>
      </w:pPr>
    </w:p>
    <w:p w14:paraId="17338394" w14:textId="77777777" w:rsidR="005D5654" w:rsidRPr="00C256BB" w:rsidRDefault="005D5654" w:rsidP="00C256BB">
      <w:pPr>
        <w:widowControl/>
        <w:numPr>
          <w:ilvl w:val="0"/>
          <w:numId w:val="9"/>
        </w:numPr>
        <w:ind w:left="425" w:hanging="425"/>
        <w:jc w:val="both"/>
        <w:rPr>
          <w:rFonts w:ascii="Cambria" w:eastAsia="Cambria" w:hAnsi="Cambria" w:cs="Cambria"/>
          <w:sz w:val="20"/>
          <w:szCs w:val="20"/>
        </w:rPr>
      </w:pPr>
      <w:r w:rsidRPr="00C256BB">
        <w:rPr>
          <w:rFonts w:ascii="Cambria" w:hAnsi="Cambria"/>
          <w:color w:val="231F20"/>
          <w:sz w:val="20"/>
          <w:szCs w:val="20"/>
        </w:rPr>
        <w:t>No obstante las medidas anteriores, las CPC podrían conceder tolerancias de captura de atún rojo del Atlántico oeste con un peso inferior a 30 kg o, como alternativa, con una longitud a la horquilla inferior a 115 cm, siempre que limiten la pesca de estos peces a no más del 10 % en peso de la cuota total de atún rojo para cada CPC y que implementen medidas para que los pescadores no obtengan beneficios económicos de estos peces. Cualquier exceso de captura de dicho límite de tolerancia en un año deberá restarse del límite de tolerancia aplicable en el siguiente año o en el año posterior al siguiente. Las CPC que concedan dicha tolerancia prohibirán la captura y el desembarque de atún rojo del Atlántico occidental con una longitud a la horquilla inferior a 67 cm, excepto como objeto de un proyecto de investigación notificado al SCRS, desarrollado teniendo en cuenta las prioridades de investigación recomendadas por el SCRS y realizado por personas debidamente autorizadas por la CPC para llevar a cabo dicha investigación.</w:t>
      </w:r>
    </w:p>
    <w:p w14:paraId="2E4B7B2A" w14:textId="77777777" w:rsidR="005D5654" w:rsidRPr="00C256BB" w:rsidRDefault="005D5654" w:rsidP="005D5654">
      <w:pPr>
        <w:rPr>
          <w:rFonts w:ascii="Cambria" w:eastAsia="Cambria" w:hAnsi="Cambria" w:cs="Cambria"/>
          <w:color w:val="231F20"/>
          <w:sz w:val="20"/>
          <w:szCs w:val="20"/>
        </w:rPr>
      </w:pPr>
    </w:p>
    <w:p w14:paraId="20C0CF27" w14:textId="77777777" w:rsidR="005D5654" w:rsidRPr="00C256BB" w:rsidRDefault="005D5654" w:rsidP="00C256BB">
      <w:pPr>
        <w:widowControl/>
        <w:numPr>
          <w:ilvl w:val="0"/>
          <w:numId w:val="9"/>
        </w:numPr>
        <w:ind w:left="425" w:hanging="425"/>
        <w:jc w:val="both"/>
        <w:rPr>
          <w:rFonts w:ascii="Cambria" w:eastAsia="Cambria" w:hAnsi="Cambria" w:cs="Cambria"/>
          <w:sz w:val="20"/>
          <w:szCs w:val="20"/>
        </w:rPr>
      </w:pPr>
      <w:r w:rsidRPr="00C256BB">
        <w:rPr>
          <w:rFonts w:ascii="Cambria" w:hAnsi="Cambria"/>
          <w:color w:val="231F20"/>
          <w:sz w:val="20"/>
          <w:szCs w:val="20"/>
        </w:rPr>
        <w:t>Las CPC prohibirán a los pescadores vender u ofrecer para su venta peces de cualquier talla capturados en pesquerías de recreo.</w:t>
      </w:r>
    </w:p>
    <w:p w14:paraId="1FD7DD4B" w14:textId="77777777" w:rsidR="005D5654" w:rsidRPr="00C256BB" w:rsidRDefault="005D5654" w:rsidP="005D5654">
      <w:pPr>
        <w:rPr>
          <w:rFonts w:ascii="Cambria" w:eastAsia="Cambria" w:hAnsi="Cambria" w:cs="Cambria"/>
          <w:sz w:val="20"/>
          <w:szCs w:val="20"/>
        </w:rPr>
      </w:pPr>
    </w:p>
    <w:p w14:paraId="37513CB8" w14:textId="77777777" w:rsidR="005D5654" w:rsidRPr="00C256BB" w:rsidRDefault="005D5654" w:rsidP="00C256BB">
      <w:pPr>
        <w:widowControl/>
        <w:numPr>
          <w:ilvl w:val="0"/>
          <w:numId w:val="9"/>
        </w:numPr>
        <w:ind w:left="425" w:hanging="425"/>
        <w:jc w:val="both"/>
        <w:rPr>
          <w:rFonts w:ascii="Cambria" w:eastAsia="Cambria" w:hAnsi="Cambria" w:cs="Cambria"/>
          <w:sz w:val="20"/>
          <w:szCs w:val="20"/>
        </w:rPr>
      </w:pPr>
      <w:r w:rsidRPr="00C256BB">
        <w:rPr>
          <w:rFonts w:ascii="Cambria" w:hAnsi="Cambria"/>
          <w:color w:val="231F20"/>
          <w:sz w:val="20"/>
          <w:szCs w:val="20"/>
        </w:rPr>
        <w:t>Las CPC instarán a su pescadores comerciales y de recreo a que marquen y liberen todos los peces de menos de 30 kg o, como alternativa, con una longitud a la horquilla inferior a 115 cm, y comunicarán en su informe anual las acciones emprendidas a este efecto.</w:t>
      </w:r>
    </w:p>
    <w:p w14:paraId="42933AB5" w14:textId="77777777" w:rsidR="005D5654" w:rsidRPr="00C256BB" w:rsidRDefault="005D5654" w:rsidP="005D5654">
      <w:pPr>
        <w:outlineLvl w:val="0"/>
        <w:rPr>
          <w:rFonts w:ascii="Cambria" w:eastAsia="Times New Roman" w:hAnsi="Cambria" w:cs="Times New Roman"/>
          <w:b/>
          <w:iCs/>
          <w:color w:val="231F20"/>
          <w:sz w:val="20"/>
          <w:szCs w:val="20"/>
        </w:rPr>
      </w:pPr>
    </w:p>
    <w:p w14:paraId="253FFFC2" w14:textId="77777777" w:rsidR="005D5654" w:rsidRPr="00C256BB" w:rsidRDefault="005D5654" w:rsidP="005D5654">
      <w:pPr>
        <w:outlineLvl w:val="0"/>
        <w:rPr>
          <w:rFonts w:ascii="Cambria" w:eastAsia="Cambria" w:hAnsi="Cambria" w:cs="Cambria"/>
          <w:iCs/>
          <w:sz w:val="20"/>
          <w:szCs w:val="20"/>
        </w:rPr>
      </w:pPr>
      <w:r w:rsidRPr="00C256BB">
        <w:rPr>
          <w:rFonts w:ascii="Cambria" w:eastAsia="Times New Roman" w:hAnsi="Cambria" w:cs="Times New Roman"/>
          <w:b/>
          <w:iCs/>
          <w:color w:val="231F20"/>
          <w:sz w:val="20"/>
          <w:szCs w:val="20"/>
        </w:rPr>
        <w:t>Restricciones de zona y tiempo</w:t>
      </w:r>
    </w:p>
    <w:p w14:paraId="23436C53" w14:textId="77777777" w:rsidR="005D5654" w:rsidRPr="00C256BB" w:rsidRDefault="005D5654" w:rsidP="005D5654">
      <w:pPr>
        <w:rPr>
          <w:rFonts w:ascii="Cambria" w:eastAsia="Cambria" w:hAnsi="Cambria" w:cs="Cambria"/>
          <w:b/>
          <w:i/>
          <w:sz w:val="20"/>
          <w:szCs w:val="20"/>
        </w:rPr>
      </w:pPr>
    </w:p>
    <w:p w14:paraId="6C9F847E" w14:textId="0D63B882" w:rsidR="005D5654" w:rsidRPr="00C256BB" w:rsidRDefault="005D5654" w:rsidP="00C256BB">
      <w:pPr>
        <w:widowControl/>
        <w:numPr>
          <w:ilvl w:val="0"/>
          <w:numId w:val="9"/>
        </w:numPr>
        <w:ind w:left="425" w:hanging="425"/>
        <w:jc w:val="both"/>
        <w:rPr>
          <w:rFonts w:ascii="Cambria" w:hAnsi="Cambria"/>
          <w:b/>
          <w:bCs/>
          <w:i/>
          <w:iCs/>
          <w:color w:val="231F20"/>
          <w:sz w:val="20"/>
          <w:szCs w:val="20"/>
        </w:rPr>
      </w:pPr>
      <w:r w:rsidRPr="00C256BB">
        <w:rPr>
          <w:rFonts w:ascii="Cambria" w:hAnsi="Cambria"/>
          <w:color w:val="231F20"/>
          <w:sz w:val="20"/>
          <w:szCs w:val="20"/>
        </w:rPr>
        <w:t xml:space="preserve">No habrá una pesquería dirigida al stock reproductor de atún rojo en las zonas de reproducción del Atlántico occidental (a saber, el golfo de México). Teniendo en cuenta el asesoramiento recibido del SCRS de conformidad con el párrafo </w:t>
      </w:r>
      <w:r w:rsidR="00EC78D8" w:rsidRPr="00C256BB">
        <w:rPr>
          <w:rFonts w:ascii="Cambria" w:hAnsi="Cambria"/>
          <w:color w:val="231F20"/>
          <w:sz w:val="20"/>
          <w:szCs w:val="20"/>
          <w:u w:val="single"/>
        </w:rPr>
        <w:t>19</w:t>
      </w:r>
      <w:r w:rsidRPr="00C256BB">
        <w:rPr>
          <w:rFonts w:ascii="Cambria" w:hAnsi="Cambria"/>
          <w:color w:val="231F20"/>
          <w:sz w:val="20"/>
          <w:szCs w:val="20"/>
        </w:rPr>
        <w:t xml:space="preserve">, la Comisión considerará examinar esta medida </w:t>
      </w:r>
      <w:r w:rsidR="000C45CD" w:rsidRPr="00C256BB">
        <w:rPr>
          <w:rFonts w:ascii="Cambria" w:eastAsia="Malgun Gothic" w:hAnsi="Cambria" w:cs="Times New Roman"/>
          <w:color w:val="231F20"/>
          <w:sz w:val="20"/>
          <w:szCs w:val="24"/>
        </w:rPr>
        <w:t xml:space="preserve">a la espera de la evaluación de la zona de desove de la zona de </w:t>
      </w:r>
      <w:proofErr w:type="spellStart"/>
      <w:r w:rsidR="000C45CD" w:rsidRPr="00C256BB">
        <w:rPr>
          <w:rFonts w:ascii="Cambria" w:eastAsia="Malgun Gothic" w:hAnsi="Cambria" w:cs="Times New Roman"/>
          <w:color w:val="231F20"/>
          <w:sz w:val="20"/>
          <w:szCs w:val="24"/>
        </w:rPr>
        <w:t>Slope</w:t>
      </w:r>
      <w:proofErr w:type="spellEnd"/>
      <w:r w:rsidR="000C45CD" w:rsidRPr="00C256BB">
        <w:rPr>
          <w:rFonts w:ascii="Cambria" w:eastAsia="Malgun Gothic" w:hAnsi="Cambria" w:cs="Times New Roman"/>
          <w:color w:val="231F20"/>
          <w:sz w:val="20"/>
          <w:szCs w:val="24"/>
        </w:rPr>
        <w:t xml:space="preserve"> en relación con la productividad global del stock occidental </w:t>
      </w:r>
      <w:r w:rsidRPr="00C256BB">
        <w:rPr>
          <w:rFonts w:ascii="Cambria" w:hAnsi="Cambria"/>
          <w:color w:val="231F20"/>
          <w:sz w:val="20"/>
          <w:szCs w:val="20"/>
        </w:rPr>
        <w:t xml:space="preserve">y la necesidad de acciones de ordenación </w:t>
      </w:r>
      <w:r w:rsidR="000C45CD" w:rsidRPr="00C256BB">
        <w:rPr>
          <w:rFonts w:ascii="Cambria" w:hAnsi="Cambria"/>
          <w:color w:val="231F20"/>
          <w:sz w:val="20"/>
          <w:szCs w:val="20"/>
        </w:rPr>
        <w:t>adicionales en el golfo de México</w:t>
      </w:r>
      <w:r w:rsidRPr="00C256BB">
        <w:rPr>
          <w:rFonts w:ascii="Cambria" w:hAnsi="Cambria"/>
          <w:color w:val="231F20"/>
          <w:sz w:val="20"/>
          <w:szCs w:val="20"/>
        </w:rPr>
        <w:t>, teniendo en cuenta los esfuerzos de México y otras CPC para conservar el atún rojo del Atlántico occidental, lo que incluye mediante la reducción de la captura fortuita.</w:t>
      </w:r>
    </w:p>
    <w:p w14:paraId="3EAAB588" w14:textId="713FB59E" w:rsidR="005D5654" w:rsidRPr="00C256BB" w:rsidRDefault="005D5654" w:rsidP="005D5654">
      <w:pPr>
        <w:widowControl/>
        <w:rPr>
          <w:rFonts w:ascii="Cambria" w:hAnsi="Cambria"/>
          <w:b/>
          <w:bCs/>
          <w:color w:val="231F20"/>
          <w:sz w:val="20"/>
          <w:szCs w:val="20"/>
        </w:rPr>
      </w:pPr>
    </w:p>
    <w:p w14:paraId="360301A4" w14:textId="77777777" w:rsidR="005D5654" w:rsidRPr="00C256BB" w:rsidRDefault="005D5654" w:rsidP="005D5654">
      <w:pPr>
        <w:tabs>
          <w:tab w:val="left" w:pos="536"/>
        </w:tabs>
        <w:jc w:val="both"/>
        <w:rPr>
          <w:rFonts w:ascii="Cambria" w:eastAsia="Cambria" w:hAnsi="Cambria" w:cs="Cambria"/>
          <w:b/>
          <w:bCs/>
          <w:sz w:val="20"/>
          <w:szCs w:val="20"/>
        </w:rPr>
      </w:pPr>
      <w:r w:rsidRPr="00C256BB">
        <w:rPr>
          <w:rFonts w:ascii="Cambria" w:hAnsi="Cambria"/>
          <w:b/>
          <w:bCs/>
          <w:color w:val="231F20"/>
          <w:sz w:val="20"/>
          <w:szCs w:val="20"/>
        </w:rPr>
        <w:t>Transbordo</w:t>
      </w:r>
    </w:p>
    <w:p w14:paraId="2C62C540" w14:textId="77777777" w:rsidR="005D5654" w:rsidRPr="00C256BB" w:rsidRDefault="005D5654" w:rsidP="005D5654">
      <w:pPr>
        <w:jc w:val="both"/>
        <w:rPr>
          <w:rFonts w:ascii="Cambria" w:eastAsia="Cambria" w:hAnsi="Cambria" w:cs="Cambria"/>
          <w:b/>
          <w:i/>
          <w:sz w:val="20"/>
          <w:szCs w:val="20"/>
        </w:rPr>
      </w:pPr>
    </w:p>
    <w:p w14:paraId="6435E577" w14:textId="77777777" w:rsidR="005D5654" w:rsidRPr="00C256BB" w:rsidRDefault="005D5654" w:rsidP="00C256BB">
      <w:pPr>
        <w:widowControl/>
        <w:numPr>
          <w:ilvl w:val="0"/>
          <w:numId w:val="9"/>
        </w:numPr>
        <w:ind w:left="425" w:hanging="425"/>
        <w:jc w:val="both"/>
        <w:rPr>
          <w:rFonts w:ascii="Cambria" w:eastAsia="Cambria" w:hAnsi="Cambria" w:cs="Cambria"/>
          <w:color w:val="231F20"/>
          <w:sz w:val="20"/>
          <w:szCs w:val="20"/>
        </w:rPr>
      </w:pPr>
      <w:r w:rsidRPr="00C256BB">
        <w:rPr>
          <w:rFonts w:ascii="Cambria" w:hAnsi="Cambria"/>
          <w:color w:val="231F20"/>
          <w:sz w:val="20"/>
          <w:szCs w:val="20"/>
        </w:rPr>
        <w:t>Quedarán prohibidos los transbordos en el mar.</w:t>
      </w:r>
    </w:p>
    <w:p w14:paraId="02B0EF6F" w14:textId="77777777" w:rsidR="005D5654" w:rsidRPr="00C256BB" w:rsidRDefault="005D5654" w:rsidP="005D5654">
      <w:pPr>
        <w:tabs>
          <w:tab w:val="left" w:pos="536"/>
        </w:tabs>
        <w:jc w:val="both"/>
        <w:rPr>
          <w:rFonts w:ascii="Cambria" w:hAnsi="Cambria"/>
          <w:iCs/>
          <w:color w:val="231F20"/>
          <w:sz w:val="20"/>
          <w:szCs w:val="20"/>
        </w:rPr>
      </w:pPr>
    </w:p>
    <w:p w14:paraId="58DE29B3" w14:textId="77777777" w:rsidR="005D5654" w:rsidRPr="00C256BB" w:rsidRDefault="005D5654" w:rsidP="005D5654">
      <w:pPr>
        <w:outlineLvl w:val="0"/>
        <w:rPr>
          <w:rFonts w:ascii="Cambria" w:eastAsia="Cambria" w:hAnsi="Cambria" w:cs="Cambria"/>
          <w:iCs/>
          <w:sz w:val="20"/>
          <w:szCs w:val="20"/>
        </w:rPr>
      </w:pPr>
      <w:bookmarkStart w:id="0" w:name="_1fob9te"/>
      <w:bookmarkEnd w:id="0"/>
      <w:r w:rsidRPr="00C256BB">
        <w:rPr>
          <w:rFonts w:ascii="Cambria" w:eastAsia="Times New Roman" w:hAnsi="Cambria" w:cs="Times New Roman"/>
          <w:b/>
          <w:iCs/>
          <w:color w:val="231F20"/>
          <w:sz w:val="20"/>
          <w:szCs w:val="20"/>
        </w:rPr>
        <w:t>Investigación científica y requisitos en materia de datos y comunicaciones</w:t>
      </w:r>
    </w:p>
    <w:p w14:paraId="5DF29098" w14:textId="77777777" w:rsidR="005D5654" w:rsidRPr="00C256BB" w:rsidRDefault="005D5654" w:rsidP="005D5654">
      <w:pPr>
        <w:rPr>
          <w:rFonts w:ascii="Cambria" w:eastAsia="Cambria" w:hAnsi="Cambria" w:cs="Cambria"/>
          <w:b/>
          <w:i/>
          <w:sz w:val="20"/>
          <w:szCs w:val="20"/>
        </w:rPr>
      </w:pPr>
    </w:p>
    <w:p w14:paraId="3DA1FC86" w14:textId="77777777" w:rsidR="005D5654" w:rsidRPr="00C256BB" w:rsidRDefault="005D5654" w:rsidP="00C256BB">
      <w:pPr>
        <w:widowControl/>
        <w:numPr>
          <w:ilvl w:val="0"/>
          <w:numId w:val="9"/>
        </w:numPr>
        <w:ind w:left="425" w:hanging="425"/>
        <w:jc w:val="both"/>
        <w:rPr>
          <w:rFonts w:ascii="Cambria" w:eastAsia="Cambria" w:hAnsi="Cambria" w:cs="Cambria"/>
          <w:sz w:val="20"/>
          <w:szCs w:val="20"/>
        </w:rPr>
      </w:pPr>
      <w:r w:rsidRPr="00C256BB">
        <w:rPr>
          <w:rFonts w:ascii="Cambria" w:hAnsi="Cambria"/>
          <w:color w:val="231F20"/>
          <w:sz w:val="20"/>
          <w:szCs w:val="20"/>
        </w:rPr>
        <w:t xml:space="preserve">Canadá, Estados Unidos, Japón, México y, cuando proceda, otras CPC que capturan atún rojo del Atlántico occidental continuarán colaborando para mejorar los índices de abundancia existentes y para desarrollar nuevos índices combinados. </w:t>
      </w:r>
    </w:p>
    <w:p w14:paraId="0A616A56" w14:textId="77777777" w:rsidR="005D5654" w:rsidRPr="00C256BB" w:rsidRDefault="005D5654" w:rsidP="005D5654">
      <w:pPr>
        <w:rPr>
          <w:rFonts w:ascii="Cambria" w:eastAsia="Cambria" w:hAnsi="Cambria" w:cs="Cambria"/>
          <w:sz w:val="20"/>
          <w:szCs w:val="20"/>
        </w:rPr>
      </w:pPr>
    </w:p>
    <w:p w14:paraId="56392DEC" w14:textId="7E0BE462" w:rsidR="005D5654" w:rsidRPr="00C256BB" w:rsidRDefault="005D5654" w:rsidP="00C256BB">
      <w:pPr>
        <w:widowControl/>
        <w:numPr>
          <w:ilvl w:val="0"/>
          <w:numId w:val="9"/>
        </w:numPr>
        <w:ind w:left="425" w:hanging="425"/>
        <w:jc w:val="both"/>
        <w:rPr>
          <w:rFonts w:ascii="Cambria" w:eastAsia="Cambria" w:hAnsi="Cambria" w:cs="Cambria"/>
          <w:sz w:val="20"/>
          <w:szCs w:val="20"/>
        </w:rPr>
      </w:pPr>
      <w:r w:rsidRPr="00C256BB">
        <w:rPr>
          <w:rFonts w:ascii="Cambria" w:hAnsi="Cambria"/>
          <w:color w:val="231F20"/>
          <w:sz w:val="20"/>
          <w:szCs w:val="20"/>
        </w:rPr>
        <w:t>Las CPC que capturan atún rojo del Atlántico en el Atlántico occidental deberían hacer todos los esfuerzos posibles para contribuir a las actividades de investigación prioritarias y a otras actividades científicas, lo que incluye las que se están llevando a cabo en el marco del GBYP de ICCAT o en colaboración con dicho programa.</w:t>
      </w:r>
      <w:r w:rsidRPr="00C256BB">
        <w:rPr>
          <w:rFonts w:ascii="Cambria" w:eastAsia="Cambria" w:hAnsi="Cambria" w:cs="Cambria"/>
          <w:sz w:val="20"/>
          <w:szCs w:val="20"/>
        </w:rPr>
        <w:t xml:space="preserve"> </w:t>
      </w:r>
      <w:r w:rsidRPr="00C256BB">
        <w:rPr>
          <w:rFonts w:ascii="Cambria" w:hAnsi="Cambria"/>
          <w:color w:val="231F20"/>
          <w:sz w:val="20"/>
          <w:szCs w:val="20"/>
        </w:rPr>
        <w:t xml:space="preserve">Con el fin de facilitar </w:t>
      </w:r>
      <w:r w:rsidR="00DB4BFA" w:rsidRPr="00C256BB">
        <w:rPr>
          <w:rFonts w:ascii="Cambria" w:hAnsi="Cambria"/>
          <w:color w:val="231F20"/>
          <w:sz w:val="20"/>
          <w:szCs w:val="20"/>
        </w:rPr>
        <w:t xml:space="preserve">las </w:t>
      </w:r>
      <w:r w:rsidR="00AF3CA7" w:rsidRPr="00C256BB">
        <w:rPr>
          <w:rFonts w:ascii="Cambria" w:hAnsi="Cambria"/>
          <w:color w:val="231F20"/>
          <w:sz w:val="20"/>
          <w:szCs w:val="20"/>
        </w:rPr>
        <w:t>evaluaciones de circunstancias excepcionales</w:t>
      </w:r>
      <w:r w:rsidR="00DB4BFA" w:rsidRPr="00C256BB">
        <w:rPr>
          <w:rFonts w:ascii="Cambria" w:hAnsi="Cambria"/>
          <w:color w:val="231F20"/>
          <w:sz w:val="20"/>
          <w:szCs w:val="20"/>
        </w:rPr>
        <w:t xml:space="preserve"> y </w:t>
      </w:r>
      <w:r w:rsidRPr="00C256BB">
        <w:rPr>
          <w:rFonts w:ascii="Cambria" w:hAnsi="Cambria"/>
          <w:color w:val="231F20"/>
          <w:sz w:val="20"/>
          <w:szCs w:val="20"/>
        </w:rPr>
        <w:t xml:space="preserve">el recondicionamiento de los </w:t>
      </w:r>
      <w:r w:rsidR="00DB4BFA" w:rsidRPr="00C256BB">
        <w:rPr>
          <w:rFonts w:ascii="Cambria" w:hAnsi="Cambria"/>
          <w:color w:val="231F20"/>
          <w:sz w:val="20"/>
          <w:szCs w:val="20"/>
        </w:rPr>
        <w:t xml:space="preserve">OM </w:t>
      </w:r>
      <w:r w:rsidRPr="00C256BB">
        <w:rPr>
          <w:rFonts w:ascii="Cambria" w:hAnsi="Cambria"/>
          <w:color w:val="231F20"/>
          <w:sz w:val="20"/>
          <w:szCs w:val="20"/>
        </w:rPr>
        <w:t xml:space="preserve">de la MSE y </w:t>
      </w:r>
      <w:r w:rsidR="00DB4BFA" w:rsidRPr="00C256BB">
        <w:rPr>
          <w:rFonts w:ascii="Cambria" w:hAnsi="Cambria"/>
          <w:color w:val="231F20"/>
          <w:sz w:val="20"/>
          <w:szCs w:val="20"/>
        </w:rPr>
        <w:t xml:space="preserve">con el fin de </w:t>
      </w:r>
      <w:r w:rsidRPr="00C256BB">
        <w:rPr>
          <w:rFonts w:ascii="Cambria" w:hAnsi="Cambria"/>
          <w:color w:val="231F20"/>
          <w:sz w:val="20"/>
          <w:szCs w:val="20"/>
        </w:rPr>
        <w:t xml:space="preserve">apoyar la revisión del MP desde ahora hasta 2028, las CPC deberían apoyar al SCRS en la realización de las </w:t>
      </w:r>
      <w:r w:rsidR="00AF3CA7" w:rsidRPr="00C256BB">
        <w:rPr>
          <w:rFonts w:ascii="Cambria" w:hAnsi="Cambria"/>
          <w:color w:val="231F20"/>
          <w:sz w:val="20"/>
          <w:szCs w:val="20"/>
        </w:rPr>
        <w:t>cinco</w:t>
      </w:r>
      <w:r w:rsidRPr="00C256BB">
        <w:rPr>
          <w:rFonts w:ascii="Cambria" w:hAnsi="Cambria"/>
          <w:color w:val="231F20"/>
          <w:sz w:val="20"/>
          <w:szCs w:val="20"/>
        </w:rPr>
        <w:t xml:space="preserve"> iniciativas estratégicas identificadas en el informe del SCRS:</w:t>
      </w:r>
    </w:p>
    <w:p w14:paraId="6AA397EA" w14:textId="77777777" w:rsidR="005D5654" w:rsidRPr="00C256BB" w:rsidRDefault="005D5654" w:rsidP="005D5654">
      <w:pPr>
        <w:widowControl/>
        <w:ind w:left="720"/>
        <w:jc w:val="both"/>
        <w:rPr>
          <w:rFonts w:ascii="Cambria" w:eastAsia="Cambria" w:hAnsi="Cambria" w:cs="Cambria"/>
          <w:sz w:val="20"/>
          <w:szCs w:val="20"/>
          <w:lang w:eastAsia="ja-JP"/>
        </w:rPr>
      </w:pPr>
    </w:p>
    <w:p w14:paraId="2107DC67" w14:textId="77777777" w:rsidR="005D5654" w:rsidRPr="00C256BB" w:rsidRDefault="005D5654" w:rsidP="005D5654">
      <w:pPr>
        <w:widowControl/>
        <w:numPr>
          <w:ilvl w:val="0"/>
          <w:numId w:val="7"/>
        </w:numPr>
        <w:autoSpaceDE w:val="0"/>
        <w:autoSpaceDN w:val="0"/>
        <w:adjustRightInd w:val="0"/>
        <w:spacing w:after="80" w:line="259" w:lineRule="auto"/>
        <w:ind w:left="851" w:hanging="425"/>
        <w:contextualSpacing/>
        <w:jc w:val="both"/>
        <w:rPr>
          <w:rFonts w:ascii="Cambria" w:hAnsi="Cambria"/>
          <w:sz w:val="20"/>
        </w:rPr>
      </w:pPr>
      <w:r w:rsidRPr="00C256BB">
        <w:rPr>
          <w:rFonts w:ascii="Cambria" w:hAnsi="Cambria" w:cs="Cambria"/>
          <w:sz w:val="20"/>
          <w:szCs w:val="20"/>
        </w:rPr>
        <w:t>coordinación del marcado del atún rojo,</w:t>
      </w:r>
    </w:p>
    <w:p w14:paraId="459F2094" w14:textId="77777777" w:rsidR="005D5654" w:rsidRPr="00C256BB" w:rsidRDefault="005D5654" w:rsidP="005D5654">
      <w:pPr>
        <w:widowControl/>
        <w:numPr>
          <w:ilvl w:val="0"/>
          <w:numId w:val="7"/>
        </w:numPr>
        <w:autoSpaceDE w:val="0"/>
        <w:autoSpaceDN w:val="0"/>
        <w:adjustRightInd w:val="0"/>
        <w:spacing w:after="80" w:line="259" w:lineRule="auto"/>
        <w:ind w:left="851" w:hanging="425"/>
        <w:contextualSpacing/>
        <w:jc w:val="both"/>
        <w:rPr>
          <w:rFonts w:ascii="Cambria" w:hAnsi="Cambria"/>
          <w:sz w:val="20"/>
        </w:rPr>
      </w:pPr>
      <w:r w:rsidRPr="00C256BB">
        <w:rPr>
          <w:rFonts w:ascii="Cambria" w:hAnsi="Cambria"/>
          <w:sz w:val="20"/>
        </w:rPr>
        <w:t>coordinación de prospecciones de larvas,</w:t>
      </w:r>
    </w:p>
    <w:p w14:paraId="19587341" w14:textId="1B25CD72" w:rsidR="000C45CD" w:rsidRPr="00C256BB" w:rsidRDefault="005D5654" w:rsidP="000C45CD">
      <w:pPr>
        <w:widowControl/>
        <w:numPr>
          <w:ilvl w:val="0"/>
          <w:numId w:val="7"/>
        </w:numPr>
        <w:autoSpaceDE w:val="0"/>
        <w:autoSpaceDN w:val="0"/>
        <w:adjustRightInd w:val="0"/>
        <w:spacing w:after="80" w:line="259" w:lineRule="auto"/>
        <w:ind w:left="851" w:hanging="425"/>
        <w:contextualSpacing/>
        <w:jc w:val="both"/>
        <w:rPr>
          <w:rFonts w:ascii="Cambria" w:hAnsi="Cambria"/>
          <w:sz w:val="20"/>
        </w:rPr>
      </w:pPr>
      <w:r w:rsidRPr="00C256BB">
        <w:rPr>
          <w:rFonts w:ascii="Cambria" w:hAnsi="Cambria"/>
          <w:sz w:val="20"/>
        </w:rPr>
        <w:t>coordinación del muestreo biológico del atún rojo</w:t>
      </w:r>
      <w:r w:rsidR="00DB4BFA" w:rsidRPr="00C256BB">
        <w:rPr>
          <w:rFonts w:ascii="Cambria" w:hAnsi="Cambria"/>
          <w:sz w:val="20"/>
        </w:rPr>
        <w:t>,</w:t>
      </w:r>
    </w:p>
    <w:p w14:paraId="10875F67" w14:textId="14473C7F" w:rsidR="000C45CD" w:rsidRPr="00C256BB" w:rsidRDefault="000C45CD" w:rsidP="000C45CD">
      <w:pPr>
        <w:widowControl/>
        <w:numPr>
          <w:ilvl w:val="0"/>
          <w:numId w:val="7"/>
        </w:numPr>
        <w:autoSpaceDE w:val="0"/>
        <w:autoSpaceDN w:val="0"/>
        <w:adjustRightInd w:val="0"/>
        <w:spacing w:after="80" w:line="259" w:lineRule="auto"/>
        <w:ind w:left="851" w:hanging="425"/>
        <w:contextualSpacing/>
        <w:jc w:val="both"/>
        <w:rPr>
          <w:rFonts w:ascii="Cambria" w:eastAsia="Malgun Gothic" w:hAnsi="Cambria" w:cs="Cambria"/>
          <w:sz w:val="20"/>
          <w:szCs w:val="24"/>
        </w:rPr>
      </w:pPr>
      <w:r w:rsidRPr="00C256BB">
        <w:rPr>
          <w:rFonts w:ascii="Cambria" w:eastAsia="Malgun Gothic" w:hAnsi="Cambria" w:cs="Times New Roman"/>
          <w:sz w:val="20"/>
          <w:szCs w:val="24"/>
        </w:rPr>
        <w:t>coordinación de la estimación del tamaño y la mezcla de la población (</w:t>
      </w:r>
      <w:r w:rsidR="00DB4BFA" w:rsidRPr="00C256BB">
        <w:rPr>
          <w:rFonts w:ascii="Cambria" w:eastAsia="Malgun Gothic" w:hAnsi="Cambria" w:cs="Times New Roman"/>
          <w:sz w:val="20"/>
          <w:szCs w:val="24"/>
        </w:rPr>
        <w:t xml:space="preserve">marcado y recaptura de individuos estrechamente emparentados, </w:t>
      </w:r>
      <w:proofErr w:type="spellStart"/>
      <w:r w:rsidRPr="00C256BB">
        <w:rPr>
          <w:rFonts w:ascii="Cambria" w:eastAsia="Malgun Gothic" w:hAnsi="Cambria" w:cs="Times New Roman"/>
          <w:sz w:val="20"/>
          <w:szCs w:val="24"/>
        </w:rPr>
        <w:t>CKMR</w:t>
      </w:r>
      <w:proofErr w:type="spellEnd"/>
      <w:r w:rsidRPr="00C256BB">
        <w:rPr>
          <w:rFonts w:ascii="Cambria" w:eastAsia="Malgun Gothic" w:hAnsi="Cambria" w:cs="Times New Roman"/>
          <w:sz w:val="20"/>
          <w:szCs w:val="24"/>
        </w:rPr>
        <w:t>)</w:t>
      </w:r>
      <w:r w:rsidR="00DB4BFA" w:rsidRPr="00C256BB">
        <w:rPr>
          <w:rFonts w:ascii="Cambria" w:eastAsia="Malgun Gothic" w:hAnsi="Cambria" w:cs="Times New Roman"/>
          <w:sz w:val="20"/>
          <w:szCs w:val="24"/>
        </w:rPr>
        <w:t>,</w:t>
      </w:r>
      <w:r w:rsidRPr="00C256BB">
        <w:rPr>
          <w:rFonts w:ascii="Cambria" w:eastAsia="Malgun Gothic" w:hAnsi="Cambria" w:cs="Times New Roman"/>
          <w:sz w:val="20"/>
          <w:szCs w:val="24"/>
        </w:rPr>
        <w:t xml:space="preserve"> </w:t>
      </w:r>
    </w:p>
    <w:p w14:paraId="0C8A6782" w14:textId="3463B7E1" w:rsidR="000C45CD" w:rsidRPr="00C256BB" w:rsidRDefault="000C45CD" w:rsidP="000C45CD">
      <w:pPr>
        <w:widowControl/>
        <w:numPr>
          <w:ilvl w:val="0"/>
          <w:numId w:val="7"/>
        </w:numPr>
        <w:autoSpaceDE w:val="0"/>
        <w:autoSpaceDN w:val="0"/>
        <w:adjustRightInd w:val="0"/>
        <w:spacing w:after="80" w:line="259" w:lineRule="auto"/>
        <w:ind w:left="851" w:hanging="425"/>
        <w:contextualSpacing/>
        <w:jc w:val="both"/>
        <w:rPr>
          <w:rFonts w:ascii="Cambria" w:eastAsia="Malgun Gothic" w:hAnsi="Cambria" w:cs="Cambria"/>
          <w:sz w:val="20"/>
          <w:szCs w:val="24"/>
        </w:rPr>
      </w:pPr>
      <w:r w:rsidRPr="00C256BB">
        <w:rPr>
          <w:rFonts w:ascii="Cambria" w:eastAsia="Malgun Gothic" w:hAnsi="Cambria" w:cs="Times New Roman"/>
          <w:sz w:val="20"/>
          <w:szCs w:val="24"/>
        </w:rPr>
        <w:t xml:space="preserve">coordinación para identificar las fuentes de variabilidad medioambiental que afectan a la productividad del stock.  </w:t>
      </w:r>
    </w:p>
    <w:p w14:paraId="03045DEE" w14:textId="76385EEA" w:rsidR="005D5654" w:rsidRPr="00C256BB" w:rsidRDefault="005D5654" w:rsidP="000C45CD">
      <w:pPr>
        <w:widowControl/>
        <w:autoSpaceDE w:val="0"/>
        <w:autoSpaceDN w:val="0"/>
        <w:adjustRightInd w:val="0"/>
        <w:spacing w:after="80" w:line="259" w:lineRule="auto"/>
        <w:ind w:left="540"/>
        <w:contextualSpacing/>
        <w:jc w:val="both"/>
        <w:rPr>
          <w:rFonts w:ascii="Cambria" w:hAnsi="Cambria"/>
          <w:sz w:val="20"/>
        </w:rPr>
      </w:pPr>
    </w:p>
    <w:p w14:paraId="599425BD" w14:textId="5C029962" w:rsidR="005D5654" w:rsidRPr="00C256BB" w:rsidRDefault="005D5654" w:rsidP="00C256BB">
      <w:pPr>
        <w:widowControl/>
        <w:numPr>
          <w:ilvl w:val="0"/>
          <w:numId w:val="9"/>
        </w:numPr>
        <w:ind w:left="425" w:hanging="425"/>
        <w:jc w:val="both"/>
        <w:rPr>
          <w:rFonts w:ascii="Cambria" w:hAnsi="Cambria"/>
          <w:color w:val="231F20"/>
          <w:sz w:val="20"/>
        </w:rPr>
      </w:pPr>
      <w:r w:rsidRPr="00C256BB">
        <w:rPr>
          <w:rFonts w:ascii="Cambria" w:hAnsi="Cambria"/>
          <w:color w:val="231F20"/>
          <w:sz w:val="20"/>
        </w:rPr>
        <w:t xml:space="preserve">Al llevar a cabo el trabajo especificado en el párrafo </w:t>
      </w:r>
      <w:r w:rsidR="00EC78D8" w:rsidRPr="00C256BB">
        <w:rPr>
          <w:rFonts w:ascii="Cambria" w:hAnsi="Cambria"/>
          <w:color w:val="231F20"/>
          <w:sz w:val="20"/>
          <w:u w:val="single"/>
        </w:rPr>
        <w:t>15</w:t>
      </w:r>
      <w:r w:rsidRPr="00C256BB">
        <w:rPr>
          <w:rFonts w:ascii="Cambria" w:hAnsi="Cambria"/>
          <w:color w:val="231F20"/>
          <w:sz w:val="20"/>
        </w:rPr>
        <w:t xml:space="preserve">, como contribución a la investigación del SCRS, las CPC deberían realizar o continuar los esfuerzos especiales para mejorar el muestreo de las pesquerías de atún rojo del Atlántico, lo que incluye: proporcionar información sobre la talla y/o el peso de </w:t>
      </w:r>
      <w:r w:rsidRPr="00C256BB">
        <w:rPr>
          <w:rFonts w:ascii="Cambria" w:hAnsi="Cambria"/>
          <w:color w:val="231F20"/>
          <w:sz w:val="20"/>
          <w:szCs w:val="20"/>
        </w:rPr>
        <w:t>los</w:t>
      </w:r>
      <w:r w:rsidRPr="00C256BB">
        <w:rPr>
          <w:rFonts w:ascii="Cambria" w:hAnsi="Cambria"/>
          <w:color w:val="231F20"/>
          <w:sz w:val="20"/>
        </w:rPr>
        <w:t xml:space="preserve"> peces por flota, mes y zona; y la recopilación de muestras biológicas, lo que incluye tejidos y otolitos, que son fundamentales para los análisis genéticos de marcado y recuperación de ejemplares de parentesco estrecho y de stock de origen.</w:t>
      </w:r>
    </w:p>
    <w:p w14:paraId="237898EF" w14:textId="77777777" w:rsidR="005D5654" w:rsidRPr="00C256BB" w:rsidRDefault="005D5654" w:rsidP="005D5654">
      <w:pPr>
        <w:tabs>
          <w:tab w:val="left" w:pos="528"/>
        </w:tabs>
        <w:jc w:val="both"/>
        <w:rPr>
          <w:rFonts w:ascii="Cambria" w:eastAsia="Cambria" w:hAnsi="Cambria" w:cs="Cambria"/>
          <w:color w:val="231F20"/>
          <w:sz w:val="20"/>
          <w:szCs w:val="20"/>
        </w:rPr>
      </w:pPr>
    </w:p>
    <w:p w14:paraId="648FC810" w14:textId="77777777" w:rsidR="005D5654" w:rsidRPr="00C256BB" w:rsidRDefault="005D5654" w:rsidP="00C256BB">
      <w:pPr>
        <w:widowControl/>
        <w:numPr>
          <w:ilvl w:val="0"/>
          <w:numId w:val="9"/>
        </w:numPr>
        <w:ind w:left="425" w:hanging="425"/>
        <w:jc w:val="both"/>
        <w:rPr>
          <w:rFonts w:ascii="Cambria" w:eastAsia="Cambria" w:hAnsi="Cambria" w:cs="Cambria"/>
          <w:color w:val="231F20"/>
          <w:sz w:val="20"/>
          <w:szCs w:val="20"/>
        </w:rPr>
      </w:pPr>
      <w:r w:rsidRPr="00C256BB">
        <w:rPr>
          <w:rFonts w:ascii="Cambria" w:hAnsi="Cambria"/>
          <w:color w:val="231F20"/>
          <w:sz w:val="20"/>
          <w:szCs w:val="20"/>
        </w:rPr>
        <w:t>Todas las CPC realizarán un seguimiento e informarán acerca de todas las fuentes de mortalidad por pesca, lo que incluye los descartes de peces muertos, y reducirán al mínimo estos descartes de peces muertos en la medida de lo posible.</w:t>
      </w:r>
    </w:p>
    <w:p w14:paraId="7AFAF356" w14:textId="77777777" w:rsidR="005D5654" w:rsidRPr="00C256BB" w:rsidRDefault="005D5654" w:rsidP="005D5654">
      <w:pPr>
        <w:tabs>
          <w:tab w:val="left" w:pos="528"/>
        </w:tabs>
        <w:ind w:left="7347"/>
        <w:jc w:val="both"/>
        <w:rPr>
          <w:rFonts w:ascii="Cambria" w:eastAsia="Cambria" w:hAnsi="Cambria" w:cs="Cambria"/>
          <w:color w:val="231F20"/>
          <w:sz w:val="20"/>
          <w:szCs w:val="20"/>
        </w:rPr>
      </w:pPr>
    </w:p>
    <w:p w14:paraId="08562F2B" w14:textId="77777777" w:rsidR="005D5654" w:rsidRPr="00C256BB" w:rsidRDefault="005D5654" w:rsidP="00C256BB">
      <w:pPr>
        <w:widowControl/>
        <w:numPr>
          <w:ilvl w:val="0"/>
          <w:numId w:val="9"/>
        </w:numPr>
        <w:ind w:left="425" w:hanging="425"/>
        <w:jc w:val="both"/>
        <w:rPr>
          <w:rFonts w:ascii="Cambria" w:eastAsia="Cambria" w:hAnsi="Cambria" w:cs="Cambria"/>
          <w:color w:val="231F20"/>
          <w:sz w:val="20"/>
          <w:szCs w:val="20"/>
        </w:rPr>
      </w:pPr>
      <w:r w:rsidRPr="00C256BB">
        <w:rPr>
          <w:rFonts w:ascii="Cambria" w:hAnsi="Cambria"/>
          <w:color w:val="231F20"/>
          <w:sz w:val="20"/>
          <w:szCs w:val="20"/>
        </w:rPr>
        <w:t xml:space="preserve">Cada CPC se asegurará de que sus buques pesqueros que desembarcan atún rojo están sujetos a un sistema de recopilación de datos, de conformidad con la </w:t>
      </w:r>
      <w:r w:rsidRPr="00C256BB">
        <w:rPr>
          <w:rFonts w:ascii="Cambria" w:hAnsi="Cambria"/>
          <w:i/>
          <w:iCs/>
          <w:color w:val="231F20"/>
          <w:sz w:val="20"/>
          <w:szCs w:val="20"/>
        </w:rPr>
        <w:t>Recomendación de ICCAT sobre el registro de capturas realizadas por barcos pesqueros en la zona del Convenio ICCAT</w:t>
      </w:r>
      <w:r w:rsidRPr="00C256BB">
        <w:rPr>
          <w:rFonts w:ascii="Cambria" w:hAnsi="Cambria"/>
          <w:color w:val="231F20"/>
          <w:sz w:val="20"/>
          <w:szCs w:val="20"/>
        </w:rPr>
        <w:t xml:space="preserve"> (Rec. 03-13).</w:t>
      </w:r>
    </w:p>
    <w:p w14:paraId="6D5C4116" w14:textId="77777777" w:rsidR="005D5654" w:rsidRPr="00C256BB" w:rsidRDefault="005D5654" w:rsidP="005D5654">
      <w:pPr>
        <w:tabs>
          <w:tab w:val="left" w:pos="528"/>
        </w:tabs>
        <w:jc w:val="both"/>
        <w:rPr>
          <w:rFonts w:ascii="Cambria" w:eastAsia="Cambria" w:hAnsi="Cambria" w:cs="Cambria"/>
          <w:i/>
          <w:color w:val="231F20"/>
          <w:sz w:val="20"/>
          <w:szCs w:val="20"/>
        </w:rPr>
      </w:pPr>
    </w:p>
    <w:p w14:paraId="0739D93D" w14:textId="2DB5AD69" w:rsidR="005D5654" w:rsidRPr="00C256BB" w:rsidRDefault="005D5654" w:rsidP="00C256BB">
      <w:pPr>
        <w:widowControl/>
        <w:numPr>
          <w:ilvl w:val="0"/>
          <w:numId w:val="9"/>
        </w:numPr>
        <w:ind w:left="425" w:hanging="425"/>
        <w:jc w:val="both"/>
        <w:rPr>
          <w:rFonts w:ascii="Cambria" w:eastAsia="Cambria" w:hAnsi="Cambria" w:cs="Cambria"/>
          <w:color w:val="231F20"/>
          <w:sz w:val="20"/>
          <w:szCs w:val="20"/>
        </w:rPr>
      </w:pPr>
      <w:r w:rsidRPr="00C256BB">
        <w:rPr>
          <w:rFonts w:ascii="Cambria" w:hAnsi="Cambria"/>
          <w:color w:val="231F20"/>
          <w:sz w:val="20"/>
          <w:szCs w:val="20"/>
        </w:rPr>
        <w:t xml:space="preserve">En relación con el párrafo </w:t>
      </w:r>
      <w:r w:rsidR="00EC78D8" w:rsidRPr="00C256BB">
        <w:rPr>
          <w:rFonts w:ascii="Cambria" w:hAnsi="Cambria"/>
          <w:color w:val="231F20"/>
          <w:sz w:val="20"/>
          <w:szCs w:val="20"/>
          <w:u w:val="single"/>
        </w:rPr>
        <w:t>12</w:t>
      </w:r>
      <w:r w:rsidRPr="00C256BB">
        <w:rPr>
          <w:rFonts w:ascii="Cambria" w:hAnsi="Cambria"/>
          <w:color w:val="231F20"/>
          <w:sz w:val="20"/>
          <w:szCs w:val="20"/>
        </w:rPr>
        <w:t xml:space="preserve">, el SCRS revisará cualquier nueva información disponible relacionada con la identificación de zonas y periodos específicos de reproducción del atún rojo dentro del océano Atlántico occidental, lo que incluye la información procedente de aquellas CPC que capturan atún rojo del Atlántico occidental, e informará a la Comisión sobre los resultados de esta revisión para su consideración. Se insta a las CPC afectadas a trabajar, a través del SCRS, con el fin de desarrollar un asesoramiento con miras a gestionar cualquier periodo identificado y zonas específicas en el marco de un enfoque precautorio. </w:t>
      </w:r>
      <w:r w:rsidR="00FB7BE2" w:rsidRPr="00C256BB">
        <w:rPr>
          <w:rFonts w:ascii="Cambria" w:hAnsi="Cambria"/>
          <w:color w:val="231F20"/>
          <w:sz w:val="20"/>
          <w:szCs w:val="20"/>
        </w:rPr>
        <w:t>E</w:t>
      </w:r>
      <w:r w:rsidRPr="00C256BB">
        <w:rPr>
          <w:rFonts w:ascii="Cambria" w:hAnsi="Cambria"/>
          <w:color w:val="231F20"/>
          <w:sz w:val="20"/>
          <w:szCs w:val="20"/>
        </w:rPr>
        <w:t>l SCRS asesorará sobre la eficacia de la restricción de la pesca dirigida en el golfo de México para reducir la mortalidad del atún rojo en edad de reproducción.</w:t>
      </w:r>
    </w:p>
    <w:p w14:paraId="514FB088" w14:textId="77777777" w:rsidR="005D5654" w:rsidRPr="00C256BB" w:rsidRDefault="005D5654" w:rsidP="005D5654">
      <w:pPr>
        <w:rPr>
          <w:rFonts w:ascii="Cambria" w:eastAsia="Cambria" w:hAnsi="Cambria" w:cs="Cambria"/>
          <w:sz w:val="16"/>
          <w:szCs w:val="16"/>
        </w:rPr>
      </w:pPr>
    </w:p>
    <w:p w14:paraId="79343429" w14:textId="77777777" w:rsidR="005D5654" w:rsidRPr="00C256BB" w:rsidRDefault="005D5654" w:rsidP="00C256BB">
      <w:pPr>
        <w:widowControl/>
        <w:numPr>
          <w:ilvl w:val="0"/>
          <w:numId w:val="9"/>
        </w:numPr>
        <w:ind w:left="425" w:hanging="425"/>
        <w:jc w:val="both"/>
        <w:rPr>
          <w:rFonts w:ascii="Cambria" w:eastAsia="Cambria" w:hAnsi="Cambria" w:cs="Cambria"/>
          <w:sz w:val="20"/>
          <w:szCs w:val="20"/>
        </w:rPr>
      </w:pPr>
      <w:r w:rsidRPr="00C256BB">
        <w:rPr>
          <w:rFonts w:ascii="Cambria" w:hAnsi="Cambria"/>
          <w:color w:val="231F20"/>
          <w:sz w:val="20"/>
          <w:szCs w:val="20"/>
        </w:rPr>
        <w:t>Cada CPC declarará sus capturas mensuales provisionales de atún rojo. Este informe se enviará a la Secretaría en los 30 días posteriores al fin del mes civil en el que se realizaron las capturas.</w:t>
      </w:r>
    </w:p>
    <w:p w14:paraId="62C1F22B" w14:textId="77777777" w:rsidR="005D5654" w:rsidRPr="00C256BB" w:rsidRDefault="005D5654" w:rsidP="005D5654">
      <w:pPr>
        <w:rPr>
          <w:rFonts w:ascii="Cambria" w:eastAsia="Cambria" w:hAnsi="Cambria" w:cs="Cambria"/>
          <w:sz w:val="20"/>
          <w:szCs w:val="20"/>
        </w:rPr>
      </w:pPr>
    </w:p>
    <w:p w14:paraId="45743D67" w14:textId="77777777" w:rsidR="005D5654" w:rsidRPr="00C256BB" w:rsidRDefault="005D5654" w:rsidP="00C256BB">
      <w:pPr>
        <w:widowControl/>
        <w:numPr>
          <w:ilvl w:val="0"/>
          <w:numId w:val="9"/>
        </w:numPr>
        <w:ind w:left="425" w:hanging="425"/>
        <w:jc w:val="both"/>
        <w:rPr>
          <w:rFonts w:ascii="Cambria" w:eastAsia="Cambria" w:hAnsi="Cambria" w:cs="Cambria"/>
          <w:sz w:val="20"/>
          <w:szCs w:val="20"/>
        </w:rPr>
      </w:pPr>
      <w:r w:rsidRPr="00C256BB">
        <w:rPr>
          <w:rFonts w:ascii="Cambria" w:hAnsi="Cambria"/>
          <w:color w:val="231F20"/>
          <w:sz w:val="20"/>
          <w:szCs w:val="20"/>
        </w:rPr>
        <w:t>La Secretaría de ICCAT, en los 10 días posteriores a las fechas límite mensuales para la recepción de las estadísticas provisionales de captura, recopilará la información recibida y la circulará entre las CPC, junto con las estadísticas de captura agregadas.</w:t>
      </w:r>
      <w:r w:rsidRPr="00C256BB">
        <w:rPr>
          <w:rFonts w:ascii="Cambria" w:hAnsi="Cambria"/>
          <w:sz w:val="20"/>
          <w:szCs w:val="20"/>
        </w:rPr>
        <w:t xml:space="preserve"> </w:t>
      </w:r>
    </w:p>
    <w:p w14:paraId="176473D5" w14:textId="77777777" w:rsidR="005D5654" w:rsidRPr="00C256BB" w:rsidRDefault="005D5654" w:rsidP="005D5654">
      <w:pPr>
        <w:widowControl/>
        <w:ind w:left="720"/>
        <w:jc w:val="both"/>
        <w:rPr>
          <w:rFonts w:ascii="Cambria" w:eastAsia="Cambria" w:hAnsi="Cambria" w:cs="Cambria"/>
          <w:sz w:val="20"/>
          <w:szCs w:val="20"/>
          <w:lang w:eastAsia="ja-JP"/>
        </w:rPr>
      </w:pPr>
    </w:p>
    <w:p w14:paraId="03BC7CF0" w14:textId="77777777" w:rsidR="005D5654" w:rsidRPr="00C256BB" w:rsidRDefault="005D5654" w:rsidP="00C256BB">
      <w:pPr>
        <w:widowControl/>
        <w:numPr>
          <w:ilvl w:val="0"/>
          <w:numId w:val="9"/>
        </w:numPr>
        <w:ind w:left="425" w:hanging="425"/>
        <w:jc w:val="both"/>
        <w:rPr>
          <w:rFonts w:ascii="Cambria" w:hAnsi="Cambria"/>
          <w:color w:val="231F20"/>
          <w:sz w:val="20"/>
          <w:szCs w:val="20"/>
        </w:rPr>
      </w:pPr>
      <w:r w:rsidRPr="00C256BB">
        <w:rPr>
          <w:rFonts w:ascii="Cambria" w:hAnsi="Cambria"/>
          <w:color w:val="231F20"/>
          <w:sz w:val="20"/>
          <w:szCs w:val="20"/>
        </w:rPr>
        <w:t>Todas las CPC facilitarán los mejores datos de que dispongan para la evaluación del stock del SCRS, incluyendo información sobre capturas del rango más amplio de todas las clases de edad que se encuentren en sus pesquerías, de acuerdo con las restricciones sobre talla mínima.</w:t>
      </w:r>
    </w:p>
    <w:p w14:paraId="7111AC65" w14:textId="77777777" w:rsidR="005D5654" w:rsidRPr="00C256BB" w:rsidRDefault="005D5654" w:rsidP="005D5654">
      <w:pPr>
        <w:tabs>
          <w:tab w:val="left" w:pos="530"/>
        </w:tabs>
        <w:ind w:left="528"/>
        <w:jc w:val="both"/>
        <w:rPr>
          <w:rFonts w:ascii="Cambria" w:hAnsi="Cambria"/>
          <w:color w:val="231F20"/>
          <w:sz w:val="20"/>
          <w:szCs w:val="20"/>
        </w:rPr>
      </w:pPr>
    </w:p>
    <w:p w14:paraId="4E0F9B26" w14:textId="77777777" w:rsidR="005D5654" w:rsidRPr="00C256BB" w:rsidRDefault="005D5654" w:rsidP="005D5654">
      <w:pPr>
        <w:tabs>
          <w:tab w:val="left" w:pos="530"/>
        </w:tabs>
        <w:ind w:left="528"/>
        <w:jc w:val="both"/>
        <w:rPr>
          <w:rFonts w:ascii="Cambria" w:hAnsi="Cambria"/>
          <w:color w:val="231F20"/>
          <w:sz w:val="20"/>
          <w:szCs w:val="20"/>
        </w:rPr>
      </w:pPr>
    </w:p>
    <w:p w14:paraId="47BFCF68" w14:textId="77777777" w:rsidR="005D5654" w:rsidRPr="00C256BB" w:rsidRDefault="005D5654" w:rsidP="00C256BB">
      <w:pPr>
        <w:widowControl/>
        <w:numPr>
          <w:ilvl w:val="0"/>
          <w:numId w:val="9"/>
        </w:numPr>
        <w:ind w:left="425" w:hanging="425"/>
        <w:jc w:val="both"/>
        <w:rPr>
          <w:rFonts w:ascii="Cambria" w:eastAsia="Cambria" w:hAnsi="Cambria" w:cs="Cambria"/>
          <w:sz w:val="20"/>
          <w:szCs w:val="20"/>
        </w:rPr>
      </w:pPr>
      <w:r w:rsidRPr="00C256BB">
        <w:rPr>
          <w:rFonts w:ascii="Cambria" w:hAnsi="Cambria"/>
          <w:color w:val="231F20"/>
          <w:sz w:val="20"/>
          <w:szCs w:val="20"/>
        </w:rPr>
        <w:t>El SCRS debería proporcionar orientaciones sobre una gama de medidas de ordenación relacionadas con la talla de los peces para el atún rojo del Atlántico occidental y sobre su impacto en las consideraciones sobre rendimiento por recluta y reproductor por recluta. El SCRS debería comentar también el efecto de las medidas de ordenación relacionadas con la talla de los peces en su capacidad de hacer un seguimiento del estado del stock.</w:t>
      </w:r>
    </w:p>
    <w:p w14:paraId="24849104" w14:textId="77777777" w:rsidR="005D5654" w:rsidRPr="00C256BB" w:rsidRDefault="005D5654" w:rsidP="005D5654">
      <w:pPr>
        <w:ind w:right="129"/>
        <w:jc w:val="both"/>
        <w:rPr>
          <w:rFonts w:ascii="Cambria" w:eastAsia="Cambria" w:hAnsi="Cambria" w:cs="Cambria"/>
          <w:sz w:val="20"/>
          <w:szCs w:val="20"/>
        </w:rPr>
      </w:pPr>
    </w:p>
    <w:p w14:paraId="0CBBFDD4" w14:textId="2D05C2E8" w:rsidR="005D5654" w:rsidRPr="00C256BB" w:rsidRDefault="005D5654" w:rsidP="00C256BB">
      <w:pPr>
        <w:widowControl/>
        <w:numPr>
          <w:ilvl w:val="0"/>
          <w:numId w:val="9"/>
        </w:numPr>
        <w:ind w:left="425" w:hanging="425"/>
        <w:jc w:val="both"/>
        <w:rPr>
          <w:rFonts w:ascii="Cambria" w:hAnsi="Cambria"/>
          <w:color w:val="231F20"/>
          <w:sz w:val="20"/>
          <w:szCs w:val="20"/>
        </w:rPr>
      </w:pPr>
      <w:r w:rsidRPr="00C256BB">
        <w:rPr>
          <w:rFonts w:ascii="Cambria" w:hAnsi="Cambria"/>
          <w:color w:val="231F20"/>
          <w:sz w:val="20"/>
          <w:szCs w:val="20"/>
        </w:rPr>
        <w:t xml:space="preserve">Esta Recomendación revoca y sustituye la </w:t>
      </w:r>
      <w:r w:rsidR="000C45CD" w:rsidRPr="00C256BB">
        <w:rPr>
          <w:rFonts w:ascii="Cambria" w:hAnsi="Cambria"/>
          <w:i/>
          <w:iCs/>
          <w:color w:val="231F20"/>
          <w:sz w:val="20"/>
          <w:szCs w:val="20"/>
        </w:rPr>
        <w:t>Recomendación de ICCAT para un plan de conservación y ordenación para el atún rojo del Atlántico oeste</w:t>
      </w:r>
      <w:r w:rsidR="000C45CD" w:rsidRPr="00C256BB">
        <w:rPr>
          <w:rFonts w:ascii="Cambria" w:hAnsi="Cambria"/>
          <w:color w:val="231F20"/>
          <w:sz w:val="20"/>
          <w:szCs w:val="20"/>
        </w:rPr>
        <w:t xml:space="preserve"> (Rec. 22-10)</w:t>
      </w:r>
      <w:r w:rsidRPr="00C256BB">
        <w:rPr>
          <w:rFonts w:ascii="Cambria" w:hAnsi="Cambria"/>
          <w:color w:val="231F20"/>
          <w:sz w:val="20"/>
          <w:szCs w:val="20"/>
        </w:rPr>
        <w:t>.</w:t>
      </w:r>
    </w:p>
    <w:p w14:paraId="23056A69" w14:textId="77777777" w:rsidR="005D5654" w:rsidRPr="00176A22" w:rsidRDefault="005D5654" w:rsidP="005D5654">
      <w:pPr>
        <w:widowControl/>
        <w:spacing w:after="160" w:line="259" w:lineRule="auto"/>
        <w:rPr>
          <w:rFonts w:ascii="Cambria" w:hAnsi="Cambria"/>
          <w:color w:val="231F20"/>
          <w:sz w:val="20"/>
          <w:szCs w:val="20"/>
        </w:rPr>
      </w:pPr>
    </w:p>
    <w:p w14:paraId="7A841C58" w14:textId="7796E15D" w:rsidR="00F51AFC" w:rsidRPr="00176A22" w:rsidRDefault="00F51AFC" w:rsidP="005D5654">
      <w:pPr>
        <w:tabs>
          <w:tab w:val="left" w:pos="426"/>
          <w:tab w:val="center" w:pos="4680"/>
          <w:tab w:val="left" w:pos="6430"/>
        </w:tabs>
        <w:jc w:val="center"/>
        <w:rPr>
          <w:rFonts w:ascii="Cambria" w:eastAsia="Cambria" w:hAnsi="Cambria" w:cs="Cambria"/>
          <w:sz w:val="20"/>
          <w:szCs w:val="20"/>
        </w:rPr>
      </w:pPr>
    </w:p>
    <w:sectPr w:rsidR="00F51AFC" w:rsidRPr="00176A22">
      <w:headerReference w:type="default" r:id="rId7"/>
      <w:footerReference w:type="default" r:id="rId8"/>
      <w:pgSz w:w="11907" w:h="16840"/>
      <w:pgMar w:top="1418" w:right="1418" w:bottom="1418" w:left="1418" w:header="851" w:footer="11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3B9C9" w14:textId="77777777" w:rsidR="00633750" w:rsidRDefault="00633750">
      <w:r>
        <w:separator/>
      </w:r>
    </w:p>
  </w:endnote>
  <w:endnote w:type="continuationSeparator" w:id="0">
    <w:p w14:paraId="37B79AD6" w14:textId="77777777" w:rsidR="00633750" w:rsidRDefault="00633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8395C" w14:textId="27E1BF5C" w:rsidR="00F51AFC" w:rsidRPr="000C45CD" w:rsidRDefault="000C45CD" w:rsidP="000C45CD">
    <w:pPr>
      <w:widowControl/>
      <w:tabs>
        <w:tab w:val="center" w:pos="4535"/>
        <w:tab w:val="center" w:pos="4680"/>
        <w:tab w:val="left" w:pos="6150"/>
        <w:tab w:val="right" w:pos="9360"/>
      </w:tabs>
      <w:jc w:val="center"/>
      <w:rPr>
        <w:rFonts w:ascii="Cambria" w:eastAsia="MS Mincho" w:hAnsi="Cambria" w:cs="Times New Roman"/>
        <w:sz w:val="20"/>
        <w:szCs w:val="24"/>
        <w:lang w:val="en-US"/>
      </w:rPr>
    </w:pPr>
    <w:r w:rsidRPr="000C45CD">
      <w:rPr>
        <w:rFonts w:ascii="Cambria" w:hAnsi="Cambria"/>
        <w:sz w:val="20"/>
        <w:szCs w:val="20"/>
        <w:lang w:val="en-US"/>
      </w:rPr>
      <w:fldChar w:fldCharType="begin"/>
    </w:r>
    <w:r w:rsidRPr="000C45CD">
      <w:rPr>
        <w:rFonts w:ascii="Cambria" w:hAnsi="Cambria"/>
        <w:sz w:val="20"/>
        <w:szCs w:val="20"/>
        <w:lang w:val="en-US"/>
      </w:rPr>
      <w:instrText xml:space="preserve"> PAGE </w:instrText>
    </w:r>
    <w:r w:rsidRPr="000C45CD">
      <w:rPr>
        <w:rFonts w:ascii="Cambria" w:hAnsi="Cambria"/>
        <w:sz w:val="20"/>
        <w:szCs w:val="20"/>
        <w:lang w:val="en-US"/>
      </w:rPr>
      <w:fldChar w:fldCharType="separate"/>
    </w:r>
    <w:r w:rsidRPr="000C45CD">
      <w:rPr>
        <w:rFonts w:ascii="Cambria" w:eastAsia="MS Mincho" w:hAnsi="Cambria" w:cs="Times New Roman"/>
        <w:sz w:val="20"/>
        <w:szCs w:val="20"/>
        <w:lang w:val="en-US"/>
      </w:rPr>
      <w:t>1</w:t>
    </w:r>
    <w:r w:rsidRPr="000C45CD">
      <w:rPr>
        <w:rFonts w:ascii="Cambria" w:hAnsi="Cambria"/>
        <w:sz w:val="20"/>
        <w:szCs w:val="20"/>
        <w:lang w:val="en-US"/>
      </w:rPr>
      <w:fldChar w:fldCharType="end"/>
    </w:r>
    <w:r w:rsidRPr="000C45CD">
      <w:rPr>
        <w:rFonts w:ascii="Cambria" w:hAnsi="Cambria"/>
        <w:sz w:val="20"/>
        <w:szCs w:val="20"/>
        <w:lang w:val="en-US"/>
      </w:rPr>
      <w:t xml:space="preserve"> / </w:t>
    </w:r>
    <w:r w:rsidRPr="000C45CD">
      <w:rPr>
        <w:rFonts w:ascii="Cambria" w:hAnsi="Cambria"/>
        <w:sz w:val="20"/>
        <w:szCs w:val="20"/>
        <w:lang w:val="en-US"/>
      </w:rPr>
      <w:fldChar w:fldCharType="begin"/>
    </w:r>
    <w:r w:rsidRPr="000C45CD">
      <w:rPr>
        <w:rFonts w:ascii="Cambria" w:hAnsi="Cambria"/>
        <w:sz w:val="20"/>
        <w:szCs w:val="20"/>
        <w:lang w:val="en-US"/>
      </w:rPr>
      <w:instrText xml:space="preserve"> NUMPAGES  </w:instrText>
    </w:r>
    <w:r w:rsidRPr="000C45CD">
      <w:rPr>
        <w:rFonts w:ascii="Cambria" w:hAnsi="Cambria"/>
        <w:sz w:val="20"/>
        <w:szCs w:val="20"/>
        <w:lang w:val="en-US"/>
      </w:rPr>
      <w:fldChar w:fldCharType="separate"/>
    </w:r>
    <w:r w:rsidRPr="000C45CD">
      <w:rPr>
        <w:rFonts w:ascii="Cambria" w:eastAsia="MS Mincho" w:hAnsi="Cambria" w:cs="Times New Roman"/>
        <w:sz w:val="20"/>
        <w:szCs w:val="20"/>
        <w:lang w:val="en-US"/>
      </w:rPr>
      <w:t>7</w:t>
    </w:r>
    <w:r w:rsidRPr="000C45CD">
      <w:rPr>
        <w:rFonts w:ascii="Cambria" w:hAnsi="Cambria"/>
        <w:sz w:val="20"/>
        <w:szCs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38B90" w14:textId="77777777" w:rsidR="00633750" w:rsidRDefault="00633750">
      <w:r>
        <w:separator/>
      </w:r>
    </w:p>
  </w:footnote>
  <w:footnote w:type="continuationSeparator" w:id="0">
    <w:p w14:paraId="27E8D46E" w14:textId="77777777" w:rsidR="00633750" w:rsidRDefault="006337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EB51B" w14:textId="28CEFB8B" w:rsidR="000C45CD" w:rsidRPr="000C45CD" w:rsidRDefault="000C45CD" w:rsidP="000C45CD">
    <w:pPr>
      <w:tabs>
        <w:tab w:val="center" w:pos="4680"/>
        <w:tab w:val="left" w:pos="6520"/>
        <w:tab w:val="right" w:pos="9360"/>
        <w:tab w:val="right" w:pos="14240"/>
      </w:tabs>
      <w:jc w:val="right"/>
      <w:rPr>
        <w:rFonts w:ascii="Cambria" w:hAnsi="Cambria" w:cs="Times New Roman"/>
        <w:b/>
        <w:bCs/>
        <w:sz w:val="20"/>
        <w:szCs w:val="20"/>
        <w:lang w:val="en-US"/>
      </w:rPr>
    </w:pPr>
    <w:r w:rsidRPr="000C45CD">
      <w:rPr>
        <w:rFonts w:ascii="Cambria" w:hAnsi="Cambria" w:cs="Times New Roman"/>
        <w:b/>
        <w:bCs/>
        <w:sz w:val="20"/>
        <w:szCs w:val="20"/>
        <w:lang w:val="en-US"/>
      </w:rPr>
      <w:t>PA</w:t>
    </w:r>
    <w:bookmarkStart w:id="1" w:name="_Hlk107908354"/>
    <w:bookmarkStart w:id="2" w:name="_Hlk107908355"/>
    <w:bookmarkStart w:id="3" w:name="_Hlk107908359"/>
    <w:bookmarkStart w:id="4" w:name="_Hlk107908360"/>
    <w:bookmarkStart w:id="5" w:name="_Hlk107908361"/>
    <w:bookmarkStart w:id="6" w:name="_Hlk107908362"/>
    <w:r w:rsidRPr="000C45CD">
      <w:rPr>
        <w:rFonts w:ascii="Cambria" w:hAnsi="Cambria" w:cs="Times New Roman"/>
        <w:b/>
        <w:bCs/>
        <w:sz w:val="20"/>
        <w:szCs w:val="20"/>
        <w:lang w:val="en-US"/>
      </w:rPr>
      <w:t>2_</w:t>
    </w:r>
    <w:r>
      <w:rPr>
        <w:rFonts w:ascii="Cambria" w:eastAsia="MS Mincho" w:hAnsi="Cambria" w:cs="Times New Roman"/>
        <w:b/>
        <w:bCs/>
        <w:sz w:val="20"/>
        <w:szCs w:val="20"/>
        <w:lang w:val="en-US" w:eastAsia="ja-JP"/>
      </w:rPr>
      <w:t>631</w:t>
    </w:r>
    <w:r w:rsidR="00176A22">
      <w:rPr>
        <w:rFonts w:ascii="Cambria" w:eastAsia="MS Mincho" w:hAnsi="Cambria" w:cs="Times New Roman"/>
        <w:b/>
        <w:bCs/>
        <w:sz w:val="20"/>
        <w:szCs w:val="20"/>
        <w:lang w:val="en-US" w:eastAsia="ja-JP"/>
      </w:rPr>
      <w:t>A</w:t>
    </w:r>
    <w:r w:rsidRPr="000C45CD">
      <w:rPr>
        <w:rFonts w:ascii="Cambria" w:hAnsi="Cambria" w:cs="Times New Roman"/>
        <w:b/>
        <w:bCs/>
        <w:sz w:val="20"/>
        <w:szCs w:val="20"/>
        <w:lang w:val="en-US"/>
      </w:rPr>
      <w:t>/2025</w:t>
    </w:r>
  </w:p>
  <w:p w14:paraId="20578C8A" w14:textId="7D56ABAB" w:rsidR="000C45CD" w:rsidRPr="000C45CD" w:rsidRDefault="000C45CD" w:rsidP="000C45CD">
    <w:pPr>
      <w:widowControl/>
      <w:tabs>
        <w:tab w:val="center" w:pos="4513"/>
        <w:tab w:val="right" w:pos="9026"/>
      </w:tabs>
      <w:jc w:val="right"/>
      <w:rPr>
        <w:rFonts w:eastAsia="MS Mincho" w:cs="Times New Roman"/>
        <w:kern w:val="2"/>
        <w:szCs w:val="24"/>
        <w:lang w:val="en-GB"/>
        <w14:ligatures w14:val="standardContextual"/>
      </w:rPr>
    </w:pPr>
    <w:r w:rsidRPr="000C45CD">
      <w:rPr>
        <w:rFonts w:ascii="Cambria" w:hAnsi="Cambria" w:cs="Times New Roman"/>
        <w:b/>
        <w:bCs/>
        <w:sz w:val="16"/>
        <w:szCs w:val="16"/>
        <w:lang w:val="es-ES_tradnl"/>
      </w:rPr>
      <w:fldChar w:fldCharType="begin"/>
    </w:r>
    <w:r w:rsidRPr="000C45CD">
      <w:rPr>
        <w:rFonts w:ascii="Cambria" w:hAnsi="Cambria" w:cs="Times New Roman"/>
        <w:b/>
        <w:bCs/>
        <w:sz w:val="16"/>
        <w:szCs w:val="16"/>
        <w:lang w:val="es-ES_tradnl"/>
      </w:rPr>
      <w:instrText xml:space="preserve"> TIME \@ "dd/MM/yyyy H:mm" </w:instrText>
    </w:r>
    <w:r w:rsidRPr="000C45CD">
      <w:rPr>
        <w:rFonts w:ascii="Cambria" w:hAnsi="Cambria" w:cs="Times New Roman"/>
        <w:b/>
        <w:bCs/>
        <w:sz w:val="16"/>
        <w:szCs w:val="16"/>
        <w:lang w:val="es-ES_tradnl"/>
      </w:rPr>
      <w:fldChar w:fldCharType="separate"/>
    </w:r>
    <w:r w:rsidR="00C256BB">
      <w:rPr>
        <w:rFonts w:ascii="Cambria" w:hAnsi="Cambria" w:cs="Times New Roman"/>
        <w:b/>
        <w:bCs/>
        <w:noProof/>
        <w:sz w:val="16"/>
        <w:szCs w:val="16"/>
        <w:lang w:val="es-ES_tradnl"/>
      </w:rPr>
      <w:t>22/11/2025 18:45</w:t>
    </w:r>
    <w:r w:rsidRPr="000C45CD">
      <w:rPr>
        <w:rFonts w:ascii="Cambria" w:hAnsi="Cambria" w:cs="Times New Roman"/>
        <w:b/>
        <w:bCs/>
        <w:sz w:val="16"/>
        <w:szCs w:val="16"/>
        <w:lang w:val="es-ES_tradnl"/>
      </w:rPr>
      <w:fldChar w:fldCharType="end"/>
    </w:r>
    <w:bookmarkEnd w:id="1"/>
    <w:bookmarkEnd w:id="2"/>
    <w:bookmarkEnd w:id="3"/>
    <w:bookmarkEnd w:id="4"/>
    <w:bookmarkEnd w:id="5"/>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B5AD8"/>
    <w:multiLevelType w:val="multilevel"/>
    <w:tmpl w:val="C69258D8"/>
    <w:lvl w:ilvl="0">
      <w:start w:val="6"/>
      <w:numFmt w:val="decimal"/>
      <w:lvlText w:val="%1."/>
      <w:lvlJc w:val="left"/>
      <w:pPr>
        <w:ind w:left="7347" w:hanging="401"/>
      </w:pPr>
      <w:rPr>
        <w:rFonts w:ascii="Cambria" w:eastAsia="Cambria" w:hAnsi="Cambria" w:cs="Cambria" w:hint="default"/>
        <w:b w:val="0"/>
        <w:bCs w:val="0"/>
        <w:i w:val="0"/>
        <w:iCs w:val="0"/>
        <w:strike w:val="0"/>
        <w:color w:val="231F20"/>
        <w:sz w:val="20"/>
        <w:szCs w:val="20"/>
      </w:rPr>
    </w:lvl>
    <w:lvl w:ilvl="1">
      <w:start w:val="3"/>
      <w:numFmt w:val="lowerLetter"/>
      <w:lvlText w:val="%2)"/>
      <w:lvlJc w:val="left"/>
      <w:pPr>
        <w:ind w:left="889" w:hanging="360"/>
      </w:pPr>
      <w:rPr>
        <w:rFonts w:hint="default"/>
      </w:rPr>
    </w:lvl>
    <w:lvl w:ilvl="2">
      <w:start w:val="1"/>
      <w:numFmt w:val="bullet"/>
      <w:lvlText w:val="•"/>
      <w:lvlJc w:val="left"/>
      <w:pPr>
        <w:ind w:left="797" w:hanging="268"/>
      </w:pPr>
      <w:rPr>
        <w:rFonts w:hint="default"/>
      </w:rPr>
    </w:lvl>
    <w:lvl w:ilvl="3">
      <w:start w:val="1"/>
      <w:numFmt w:val="bullet"/>
      <w:lvlText w:val="•"/>
      <w:lvlJc w:val="left"/>
      <w:pPr>
        <w:ind w:left="1797" w:hanging="268"/>
      </w:pPr>
      <w:rPr>
        <w:rFonts w:hint="default"/>
      </w:rPr>
    </w:lvl>
    <w:lvl w:ilvl="4">
      <w:start w:val="1"/>
      <w:numFmt w:val="bullet"/>
      <w:lvlText w:val="•"/>
      <w:lvlJc w:val="left"/>
      <w:pPr>
        <w:ind w:left="2798" w:hanging="268"/>
      </w:pPr>
      <w:rPr>
        <w:rFonts w:hint="default"/>
      </w:rPr>
    </w:lvl>
    <w:lvl w:ilvl="5">
      <w:start w:val="1"/>
      <w:numFmt w:val="bullet"/>
      <w:lvlText w:val="•"/>
      <w:lvlJc w:val="left"/>
      <w:pPr>
        <w:ind w:left="3798" w:hanging="268"/>
      </w:pPr>
      <w:rPr>
        <w:rFonts w:hint="default"/>
      </w:rPr>
    </w:lvl>
    <w:lvl w:ilvl="6">
      <w:start w:val="1"/>
      <w:numFmt w:val="bullet"/>
      <w:lvlText w:val="•"/>
      <w:lvlJc w:val="left"/>
      <w:pPr>
        <w:ind w:left="4798" w:hanging="268"/>
      </w:pPr>
      <w:rPr>
        <w:rFonts w:hint="default"/>
      </w:rPr>
    </w:lvl>
    <w:lvl w:ilvl="7">
      <w:start w:val="1"/>
      <w:numFmt w:val="bullet"/>
      <w:lvlText w:val="•"/>
      <w:lvlJc w:val="left"/>
      <w:pPr>
        <w:ind w:left="5799" w:hanging="268"/>
      </w:pPr>
      <w:rPr>
        <w:rFonts w:hint="default"/>
      </w:rPr>
    </w:lvl>
    <w:lvl w:ilvl="8">
      <w:start w:val="1"/>
      <w:numFmt w:val="bullet"/>
      <w:lvlText w:val="•"/>
      <w:lvlJc w:val="left"/>
      <w:pPr>
        <w:ind w:left="6799" w:hanging="268"/>
      </w:pPr>
      <w:rPr>
        <w:rFonts w:hint="default"/>
      </w:rPr>
    </w:lvl>
  </w:abstractNum>
  <w:abstractNum w:abstractNumId="1" w15:restartNumberingAfterBreak="0">
    <w:nsid w:val="05F11760"/>
    <w:multiLevelType w:val="multilevel"/>
    <w:tmpl w:val="C818CD58"/>
    <w:lvl w:ilvl="0">
      <w:start w:val="6"/>
      <w:numFmt w:val="decimal"/>
      <w:lvlText w:val="%1."/>
      <w:lvlJc w:val="left"/>
      <w:pPr>
        <w:ind w:left="534" w:hanging="401"/>
      </w:pPr>
      <w:rPr>
        <w:rFonts w:ascii="Cambria" w:eastAsia="Cambria" w:hAnsi="Cambria" w:cs="Cambria"/>
        <w:color w:val="231F20"/>
        <w:sz w:val="20"/>
        <w:szCs w:val="20"/>
      </w:rPr>
    </w:lvl>
    <w:lvl w:ilvl="1">
      <w:start w:val="3"/>
      <w:numFmt w:val="lowerLetter"/>
      <w:lvlText w:val="(%2)"/>
      <w:lvlJc w:val="left"/>
      <w:pPr>
        <w:ind w:left="797" w:hanging="268"/>
      </w:pPr>
      <w:rPr>
        <w:rFonts w:ascii="Cambria" w:eastAsia="Cambria" w:hAnsi="Cambria" w:cs="Cambria"/>
        <w:color w:val="231F20"/>
        <w:sz w:val="20"/>
        <w:szCs w:val="20"/>
        <w:u w:val="none"/>
      </w:rPr>
    </w:lvl>
    <w:lvl w:ilvl="2">
      <w:start w:val="1"/>
      <w:numFmt w:val="bullet"/>
      <w:lvlText w:val="•"/>
      <w:lvlJc w:val="left"/>
      <w:pPr>
        <w:ind w:left="797" w:hanging="268"/>
      </w:pPr>
    </w:lvl>
    <w:lvl w:ilvl="3">
      <w:start w:val="1"/>
      <w:numFmt w:val="bullet"/>
      <w:lvlText w:val="•"/>
      <w:lvlJc w:val="left"/>
      <w:pPr>
        <w:ind w:left="1797" w:hanging="268"/>
      </w:pPr>
    </w:lvl>
    <w:lvl w:ilvl="4">
      <w:start w:val="1"/>
      <w:numFmt w:val="bullet"/>
      <w:lvlText w:val="•"/>
      <w:lvlJc w:val="left"/>
      <w:pPr>
        <w:ind w:left="2798" w:hanging="268"/>
      </w:pPr>
    </w:lvl>
    <w:lvl w:ilvl="5">
      <w:start w:val="1"/>
      <w:numFmt w:val="bullet"/>
      <w:lvlText w:val="•"/>
      <w:lvlJc w:val="left"/>
      <w:pPr>
        <w:ind w:left="3798" w:hanging="268"/>
      </w:pPr>
    </w:lvl>
    <w:lvl w:ilvl="6">
      <w:start w:val="1"/>
      <w:numFmt w:val="bullet"/>
      <w:lvlText w:val="•"/>
      <w:lvlJc w:val="left"/>
      <w:pPr>
        <w:ind w:left="4798" w:hanging="268"/>
      </w:pPr>
    </w:lvl>
    <w:lvl w:ilvl="7">
      <w:start w:val="1"/>
      <w:numFmt w:val="bullet"/>
      <w:lvlText w:val="•"/>
      <w:lvlJc w:val="left"/>
      <w:pPr>
        <w:ind w:left="5799" w:hanging="268"/>
      </w:pPr>
    </w:lvl>
    <w:lvl w:ilvl="8">
      <w:start w:val="1"/>
      <w:numFmt w:val="bullet"/>
      <w:lvlText w:val="•"/>
      <w:lvlJc w:val="left"/>
      <w:pPr>
        <w:ind w:left="6799" w:hanging="268"/>
      </w:pPr>
    </w:lvl>
  </w:abstractNum>
  <w:abstractNum w:abstractNumId="2" w15:restartNumberingAfterBreak="0">
    <w:nsid w:val="08AE3E57"/>
    <w:multiLevelType w:val="multilevel"/>
    <w:tmpl w:val="F8F2E606"/>
    <w:lvl w:ilvl="0">
      <w:start w:val="6"/>
      <w:numFmt w:val="decimal"/>
      <w:lvlText w:val="%1."/>
      <w:lvlJc w:val="left"/>
      <w:pPr>
        <w:ind w:left="534" w:hanging="401"/>
      </w:pPr>
      <w:rPr>
        <w:rFonts w:ascii="Cambria" w:eastAsia="Cambria" w:hAnsi="Cambria" w:cs="Cambria"/>
        <w:color w:val="231F20"/>
        <w:sz w:val="20"/>
        <w:szCs w:val="20"/>
      </w:rPr>
    </w:lvl>
    <w:lvl w:ilvl="1">
      <w:start w:val="1"/>
      <w:numFmt w:val="lowerLetter"/>
      <w:lvlText w:val="%2)"/>
      <w:lvlJc w:val="left"/>
      <w:pPr>
        <w:ind w:left="889" w:hanging="360"/>
      </w:pPr>
    </w:lvl>
    <w:lvl w:ilvl="2">
      <w:start w:val="1"/>
      <w:numFmt w:val="bullet"/>
      <w:lvlText w:val="•"/>
      <w:lvlJc w:val="left"/>
      <w:pPr>
        <w:ind w:left="797" w:hanging="268"/>
      </w:pPr>
    </w:lvl>
    <w:lvl w:ilvl="3">
      <w:start w:val="1"/>
      <w:numFmt w:val="bullet"/>
      <w:lvlText w:val="•"/>
      <w:lvlJc w:val="left"/>
      <w:pPr>
        <w:ind w:left="1797" w:hanging="268"/>
      </w:pPr>
    </w:lvl>
    <w:lvl w:ilvl="4">
      <w:start w:val="1"/>
      <w:numFmt w:val="bullet"/>
      <w:lvlText w:val="•"/>
      <w:lvlJc w:val="left"/>
      <w:pPr>
        <w:ind w:left="2798" w:hanging="268"/>
      </w:pPr>
    </w:lvl>
    <w:lvl w:ilvl="5">
      <w:start w:val="1"/>
      <w:numFmt w:val="bullet"/>
      <w:lvlText w:val="•"/>
      <w:lvlJc w:val="left"/>
      <w:pPr>
        <w:ind w:left="3798" w:hanging="268"/>
      </w:pPr>
    </w:lvl>
    <w:lvl w:ilvl="6">
      <w:start w:val="1"/>
      <w:numFmt w:val="bullet"/>
      <w:lvlText w:val="•"/>
      <w:lvlJc w:val="left"/>
      <w:pPr>
        <w:ind w:left="4798" w:hanging="268"/>
      </w:pPr>
    </w:lvl>
    <w:lvl w:ilvl="7">
      <w:start w:val="1"/>
      <w:numFmt w:val="bullet"/>
      <w:lvlText w:val="•"/>
      <w:lvlJc w:val="left"/>
      <w:pPr>
        <w:ind w:left="5799" w:hanging="268"/>
      </w:pPr>
    </w:lvl>
    <w:lvl w:ilvl="8">
      <w:start w:val="1"/>
      <w:numFmt w:val="bullet"/>
      <w:lvlText w:val="•"/>
      <w:lvlJc w:val="left"/>
      <w:pPr>
        <w:ind w:left="6799" w:hanging="268"/>
      </w:pPr>
    </w:lvl>
  </w:abstractNum>
  <w:abstractNum w:abstractNumId="3" w15:restartNumberingAfterBreak="0">
    <w:nsid w:val="0AF63789"/>
    <w:multiLevelType w:val="multilevel"/>
    <w:tmpl w:val="00200CEE"/>
    <w:lvl w:ilvl="0">
      <w:start w:val="18"/>
      <w:numFmt w:val="decimal"/>
      <w:lvlText w:val="%1."/>
      <w:lvlJc w:val="left"/>
      <w:pPr>
        <w:ind w:left="7347" w:hanging="401"/>
      </w:pPr>
      <w:rPr>
        <w:rFonts w:ascii="Cambria" w:eastAsia="Cambria" w:hAnsi="Cambria" w:cs="Cambria"/>
        <w:strike w:val="0"/>
        <w:color w:val="231F20"/>
        <w:sz w:val="20"/>
        <w:szCs w:val="20"/>
      </w:rPr>
    </w:lvl>
    <w:lvl w:ilvl="1">
      <w:start w:val="1"/>
      <w:numFmt w:val="lowerLetter"/>
      <w:lvlText w:val="(%2)"/>
      <w:lvlJc w:val="left"/>
      <w:pPr>
        <w:ind w:left="797" w:hanging="268"/>
      </w:pPr>
      <w:rPr>
        <w:rFonts w:ascii="Cambria" w:eastAsia="Cambria" w:hAnsi="Cambria" w:cs="Cambria"/>
        <w:color w:val="231F20"/>
        <w:sz w:val="20"/>
        <w:szCs w:val="20"/>
        <w:u w:val="none"/>
      </w:rPr>
    </w:lvl>
    <w:lvl w:ilvl="2">
      <w:start w:val="1"/>
      <w:numFmt w:val="bullet"/>
      <w:lvlText w:val="•"/>
      <w:lvlJc w:val="left"/>
      <w:pPr>
        <w:ind w:left="797" w:hanging="268"/>
      </w:pPr>
    </w:lvl>
    <w:lvl w:ilvl="3">
      <w:start w:val="1"/>
      <w:numFmt w:val="bullet"/>
      <w:lvlText w:val="•"/>
      <w:lvlJc w:val="left"/>
      <w:pPr>
        <w:ind w:left="1797" w:hanging="268"/>
      </w:pPr>
    </w:lvl>
    <w:lvl w:ilvl="4">
      <w:start w:val="1"/>
      <w:numFmt w:val="bullet"/>
      <w:lvlText w:val="•"/>
      <w:lvlJc w:val="left"/>
      <w:pPr>
        <w:ind w:left="2798" w:hanging="268"/>
      </w:pPr>
    </w:lvl>
    <w:lvl w:ilvl="5">
      <w:start w:val="1"/>
      <w:numFmt w:val="bullet"/>
      <w:lvlText w:val="•"/>
      <w:lvlJc w:val="left"/>
      <w:pPr>
        <w:ind w:left="3798" w:hanging="268"/>
      </w:pPr>
    </w:lvl>
    <w:lvl w:ilvl="6">
      <w:start w:val="1"/>
      <w:numFmt w:val="bullet"/>
      <w:lvlText w:val="•"/>
      <w:lvlJc w:val="left"/>
      <w:pPr>
        <w:ind w:left="4798" w:hanging="268"/>
      </w:pPr>
    </w:lvl>
    <w:lvl w:ilvl="7">
      <w:start w:val="1"/>
      <w:numFmt w:val="bullet"/>
      <w:lvlText w:val="•"/>
      <w:lvlJc w:val="left"/>
      <w:pPr>
        <w:ind w:left="5799" w:hanging="268"/>
      </w:pPr>
    </w:lvl>
    <w:lvl w:ilvl="8">
      <w:start w:val="1"/>
      <w:numFmt w:val="bullet"/>
      <w:lvlText w:val="•"/>
      <w:lvlJc w:val="left"/>
      <w:pPr>
        <w:ind w:left="6799" w:hanging="268"/>
      </w:pPr>
    </w:lvl>
  </w:abstractNum>
  <w:abstractNum w:abstractNumId="4" w15:restartNumberingAfterBreak="0">
    <w:nsid w:val="347112AF"/>
    <w:multiLevelType w:val="multilevel"/>
    <w:tmpl w:val="2A54204A"/>
    <w:lvl w:ilvl="0">
      <w:start w:val="1"/>
      <w:numFmt w:val="decimal"/>
      <w:lvlText w:val="%1."/>
      <w:lvlJc w:val="left"/>
      <w:pPr>
        <w:ind w:left="7347" w:hanging="401"/>
      </w:pPr>
      <w:rPr>
        <w:rFonts w:ascii="Cambria" w:eastAsia="Cambria" w:hAnsi="Cambria" w:cs="Cambria"/>
        <w:b w:val="0"/>
        <w:bCs w:val="0"/>
        <w:i w:val="0"/>
        <w:iCs w:val="0"/>
        <w:strike w:val="0"/>
        <w:color w:val="231F20"/>
        <w:sz w:val="20"/>
        <w:szCs w:val="20"/>
      </w:rPr>
    </w:lvl>
    <w:lvl w:ilvl="1">
      <w:start w:val="1"/>
      <w:numFmt w:val="lowerLetter"/>
      <w:lvlText w:val="(%2)"/>
      <w:lvlJc w:val="left"/>
      <w:pPr>
        <w:ind w:left="797" w:hanging="268"/>
      </w:pPr>
      <w:rPr>
        <w:rFonts w:ascii="Cambria" w:eastAsia="Cambria" w:hAnsi="Cambria" w:cs="Cambria"/>
        <w:color w:val="231F20"/>
        <w:sz w:val="20"/>
        <w:szCs w:val="20"/>
        <w:u w:val="none"/>
      </w:rPr>
    </w:lvl>
    <w:lvl w:ilvl="2">
      <w:start w:val="1"/>
      <w:numFmt w:val="bullet"/>
      <w:lvlText w:val="•"/>
      <w:lvlJc w:val="left"/>
      <w:pPr>
        <w:ind w:left="797" w:hanging="268"/>
      </w:pPr>
    </w:lvl>
    <w:lvl w:ilvl="3">
      <w:start w:val="1"/>
      <w:numFmt w:val="bullet"/>
      <w:lvlText w:val="•"/>
      <w:lvlJc w:val="left"/>
      <w:pPr>
        <w:ind w:left="1797" w:hanging="268"/>
      </w:pPr>
    </w:lvl>
    <w:lvl w:ilvl="4">
      <w:start w:val="1"/>
      <w:numFmt w:val="bullet"/>
      <w:lvlText w:val="•"/>
      <w:lvlJc w:val="left"/>
      <w:pPr>
        <w:ind w:left="2798" w:hanging="268"/>
      </w:pPr>
    </w:lvl>
    <w:lvl w:ilvl="5">
      <w:start w:val="1"/>
      <w:numFmt w:val="bullet"/>
      <w:lvlText w:val="•"/>
      <w:lvlJc w:val="left"/>
      <w:pPr>
        <w:ind w:left="3798" w:hanging="268"/>
      </w:pPr>
    </w:lvl>
    <w:lvl w:ilvl="6">
      <w:start w:val="1"/>
      <w:numFmt w:val="bullet"/>
      <w:lvlText w:val="•"/>
      <w:lvlJc w:val="left"/>
      <w:pPr>
        <w:ind w:left="4798" w:hanging="268"/>
      </w:pPr>
    </w:lvl>
    <w:lvl w:ilvl="7">
      <w:start w:val="1"/>
      <w:numFmt w:val="bullet"/>
      <w:lvlText w:val="•"/>
      <w:lvlJc w:val="left"/>
      <w:pPr>
        <w:ind w:left="5799" w:hanging="268"/>
      </w:pPr>
    </w:lvl>
    <w:lvl w:ilvl="8">
      <w:start w:val="1"/>
      <w:numFmt w:val="bullet"/>
      <w:lvlText w:val="•"/>
      <w:lvlJc w:val="left"/>
      <w:pPr>
        <w:ind w:left="6799" w:hanging="268"/>
      </w:pPr>
    </w:lvl>
  </w:abstractNum>
  <w:abstractNum w:abstractNumId="5" w15:restartNumberingAfterBreak="0">
    <w:nsid w:val="4DE17F30"/>
    <w:multiLevelType w:val="multilevel"/>
    <w:tmpl w:val="355EDBBA"/>
    <w:lvl w:ilvl="0">
      <w:start w:val="16"/>
      <w:numFmt w:val="decimal"/>
      <w:lvlText w:val="%1."/>
      <w:lvlJc w:val="left"/>
      <w:pPr>
        <w:ind w:left="7347" w:hanging="401"/>
      </w:pPr>
      <w:rPr>
        <w:rFonts w:ascii="Cambria" w:eastAsia="Cambria" w:hAnsi="Cambria" w:cs="Cambria"/>
        <w:strike w:val="0"/>
        <w:color w:val="231F20"/>
        <w:sz w:val="20"/>
        <w:szCs w:val="20"/>
      </w:rPr>
    </w:lvl>
    <w:lvl w:ilvl="1">
      <w:start w:val="1"/>
      <w:numFmt w:val="lowerLetter"/>
      <w:lvlText w:val="(%2)"/>
      <w:lvlJc w:val="left"/>
      <w:pPr>
        <w:ind w:left="797" w:hanging="268"/>
      </w:pPr>
      <w:rPr>
        <w:rFonts w:ascii="Cambria" w:eastAsia="Cambria" w:hAnsi="Cambria" w:cs="Cambria"/>
        <w:color w:val="231F20"/>
        <w:sz w:val="20"/>
        <w:szCs w:val="20"/>
        <w:u w:val="none"/>
      </w:rPr>
    </w:lvl>
    <w:lvl w:ilvl="2">
      <w:start w:val="1"/>
      <w:numFmt w:val="bullet"/>
      <w:lvlText w:val="•"/>
      <w:lvlJc w:val="left"/>
      <w:pPr>
        <w:ind w:left="797" w:hanging="268"/>
      </w:pPr>
    </w:lvl>
    <w:lvl w:ilvl="3">
      <w:start w:val="1"/>
      <w:numFmt w:val="bullet"/>
      <w:lvlText w:val="•"/>
      <w:lvlJc w:val="left"/>
      <w:pPr>
        <w:ind w:left="1797" w:hanging="268"/>
      </w:pPr>
    </w:lvl>
    <w:lvl w:ilvl="4">
      <w:start w:val="1"/>
      <w:numFmt w:val="bullet"/>
      <w:lvlText w:val="•"/>
      <w:lvlJc w:val="left"/>
      <w:pPr>
        <w:ind w:left="2798" w:hanging="268"/>
      </w:pPr>
    </w:lvl>
    <w:lvl w:ilvl="5">
      <w:start w:val="1"/>
      <w:numFmt w:val="bullet"/>
      <w:lvlText w:val="•"/>
      <w:lvlJc w:val="left"/>
      <w:pPr>
        <w:ind w:left="3798" w:hanging="268"/>
      </w:pPr>
    </w:lvl>
    <w:lvl w:ilvl="6">
      <w:start w:val="1"/>
      <w:numFmt w:val="bullet"/>
      <w:lvlText w:val="•"/>
      <w:lvlJc w:val="left"/>
      <w:pPr>
        <w:ind w:left="4798" w:hanging="268"/>
      </w:pPr>
    </w:lvl>
    <w:lvl w:ilvl="7">
      <w:start w:val="1"/>
      <w:numFmt w:val="bullet"/>
      <w:lvlText w:val="•"/>
      <w:lvlJc w:val="left"/>
      <w:pPr>
        <w:ind w:left="5799" w:hanging="268"/>
      </w:pPr>
    </w:lvl>
    <w:lvl w:ilvl="8">
      <w:start w:val="1"/>
      <w:numFmt w:val="bullet"/>
      <w:lvlText w:val="•"/>
      <w:lvlJc w:val="left"/>
      <w:pPr>
        <w:ind w:left="6799" w:hanging="268"/>
      </w:pPr>
    </w:lvl>
  </w:abstractNum>
  <w:abstractNum w:abstractNumId="6" w15:restartNumberingAfterBreak="0">
    <w:nsid w:val="56EA0796"/>
    <w:multiLevelType w:val="hybridMultilevel"/>
    <w:tmpl w:val="13BA47AA"/>
    <w:lvl w:ilvl="0" w:tplc="A74EEA32">
      <w:start w:val="2"/>
      <w:numFmt w:val="lowerLetter"/>
      <w:lvlText w:val="%1)"/>
      <w:lvlJc w:val="left"/>
      <w:pPr>
        <w:ind w:left="889" w:hanging="360"/>
      </w:pPr>
      <w:rPr>
        <w:rFonts w:eastAsia="Calibri" w:cs="Calibri" w:hint="default"/>
        <w:color w:val="231F20"/>
      </w:rPr>
    </w:lvl>
    <w:lvl w:ilvl="1" w:tplc="0C0A0019" w:tentative="1">
      <w:start w:val="1"/>
      <w:numFmt w:val="lowerLetter"/>
      <w:lvlText w:val="%2."/>
      <w:lvlJc w:val="left"/>
      <w:pPr>
        <w:ind w:left="1609" w:hanging="360"/>
      </w:pPr>
    </w:lvl>
    <w:lvl w:ilvl="2" w:tplc="0C0A001B" w:tentative="1">
      <w:start w:val="1"/>
      <w:numFmt w:val="lowerRoman"/>
      <w:lvlText w:val="%3."/>
      <w:lvlJc w:val="right"/>
      <w:pPr>
        <w:ind w:left="2329" w:hanging="180"/>
      </w:pPr>
    </w:lvl>
    <w:lvl w:ilvl="3" w:tplc="0C0A000F" w:tentative="1">
      <w:start w:val="1"/>
      <w:numFmt w:val="decimal"/>
      <w:lvlText w:val="%4."/>
      <w:lvlJc w:val="left"/>
      <w:pPr>
        <w:ind w:left="3049" w:hanging="360"/>
      </w:pPr>
    </w:lvl>
    <w:lvl w:ilvl="4" w:tplc="0C0A0019" w:tentative="1">
      <w:start w:val="1"/>
      <w:numFmt w:val="lowerLetter"/>
      <w:lvlText w:val="%5."/>
      <w:lvlJc w:val="left"/>
      <w:pPr>
        <w:ind w:left="3769" w:hanging="360"/>
      </w:pPr>
    </w:lvl>
    <w:lvl w:ilvl="5" w:tplc="0C0A001B" w:tentative="1">
      <w:start w:val="1"/>
      <w:numFmt w:val="lowerRoman"/>
      <w:lvlText w:val="%6."/>
      <w:lvlJc w:val="right"/>
      <w:pPr>
        <w:ind w:left="4489" w:hanging="180"/>
      </w:pPr>
    </w:lvl>
    <w:lvl w:ilvl="6" w:tplc="0C0A000F" w:tentative="1">
      <w:start w:val="1"/>
      <w:numFmt w:val="decimal"/>
      <w:lvlText w:val="%7."/>
      <w:lvlJc w:val="left"/>
      <w:pPr>
        <w:ind w:left="5209" w:hanging="360"/>
      </w:pPr>
    </w:lvl>
    <w:lvl w:ilvl="7" w:tplc="0C0A0019" w:tentative="1">
      <w:start w:val="1"/>
      <w:numFmt w:val="lowerLetter"/>
      <w:lvlText w:val="%8."/>
      <w:lvlJc w:val="left"/>
      <w:pPr>
        <w:ind w:left="5929" w:hanging="360"/>
      </w:pPr>
    </w:lvl>
    <w:lvl w:ilvl="8" w:tplc="0C0A001B" w:tentative="1">
      <w:start w:val="1"/>
      <w:numFmt w:val="lowerRoman"/>
      <w:lvlText w:val="%9."/>
      <w:lvlJc w:val="right"/>
      <w:pPr>
        <w:ind w:left="6649" w:hanging="180"/>
      </w:pPr>
    </w:lvl>
  </w:abstractNum>
  <w:abstractNum w:abstractNumId="7" w15:restartNumberingAfterBreak="0">
    <w:nsid w:val="743909CD"/>
    <w:multiLevelType w:val="hybridMultilevel"/>
    <w:tmpl w:val="44AAC21C"/>
    <w:lvl w:ilvl="0" w:tplc="3DECE2F4">
      <w:start w:val="1"/>
      <w:numFmt w:val="bullet"/>
      <w:lvlText w:val="-"/>
      <w:lvlJc w:val="left"/>
      <w:pPr>
        <w:ind w:left="1146" w:hanging="360"/>
      </w:pPr>
      <w:rPr>
        <w:rFonts w:ascii="Cambria" w:hAnsi="Cambria"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8" w15:restartNumberingAfterBreak="0">
    <w:nsid w:val="788D79E2"/>
    <w:multiLevelType w:val="multilevel"/>
    <w:tmpl w:val="88745E1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16cid:durableId="1334213823">
    <w:abstractNumId w:val="8"/>
  </w:num>
  <w:num w:numId="2" w16cid:durableId="1999772464">
    <w:abstractNumId w:val="5"/>
  </w:num>
  <w:num w:numId="3" w16cid:durableId="1466775541">
    <w:abstractNumId w:val="2"/>
  </w:num>
  <w:num w:numId="4" w16cid:durableId="1769110195">
    <w:abstractNumId w:val="3"/>
  </w:num>
  <w:num w:numId="5" w16cid:durableId="790323733">
    <w:abstractNumId w:val="4"/>
  </w:num>
  <w:num w:numId="6" w16cid:durableId="1265111111">
    <w:abstractNumId w:val="1"/>
  </w:num>
  <w:num w:numId="7" w16cid:durableId="1240600125">
    <w:abstractNumId w:val="7"/>
  </w:num>
  <w:num w:numId="8" w16cid:durableId="204102520">
    <w:abstractNumId w:val="6"/>
  </w:num>
  <w:num w:numId="9" w16cid:durableId="2260346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AFC"/>
    <w:rsid w:val="000343DA"/>
    <w:rsid w:val="00062DE8"/>
    <w:rsid w:val="00070ED2"/>
    <w:rsid w:val="00073B39"/>
    <w:rsid w:val="0007696E"/>
    <w:rsid w:val="00085CAE"/>
    <w:rsid w:val="000B4724"/>
    <w:rsid w:val="000B79F1"/>
    <w:rsid w:val="000C2F6B"/>
    <w:rsid w:val="000C45CD"/>
    <w:rsid w:val="000F0AAA"/>
    <w:rsid w:val="000F4DA7"/>
    <w:rsid w:val="00147C87"/>
    <w:rsid w:val="0015158D"/>
    <w:rsid w:val="00176A22"/>
    <w:rsid w:val="00181183"/>
    <w:rsid w:val="001913D7"/>
    <w:rsid w:val="001B06E2"/>
    <w:rsid w:val="001B6778"/>
    <w:rsid w:val="001F42D3"/>
    <w:rsid w:val="001F4B30"/>
    <w:rsid w:val="002078C2"/>
    <w:rsid w:val="00267873"/>
    <w:rsid w:val="002754DF"/>
    <w:rsid w:val="002979C6"/>
    <w:rsid w:val="002B07B3"/>
    <w:rsid w:val="002E4FB5"/>
    <w:rsid w:val="002F0939"/>
    <w:rsid w:val="002F5405"/>
    <w:rsid w:val="00367B46"/>
    <w:rsid w:val="003847B9"/>
    <w:rsid w:val="003B4E85"/>
    <w:rsid w:val="003C3446"/>
    <w:rsid w:val="003F3D45"/>
    <w:rsid w:val="00416E35"/>
    <w:rsid w:val="004434B0"/>
    <w:rsid w:val="004639DD"/>
    <w:rsid w:val="004C13E1"/>
    <w:rsid w:val="004E5F69"/>
    <w:rsid w:val="004F6611"/>
    <w:rsid w:val="00522BD1"/>
    <w:rsid w:val="005252E2"/>
    <w:rsid w:val="005417B8"/>
    <w:rsid w:val="005476F0"/>
    <w:rsid w:val="00573C3D"/>
    <w:rsid w:val="005814D5"/>
    <w:rsid w:val="00595393"/>
    <w:rsid w:val="005963F9"/>
    <w:rsid w:val="005B54F4"/>
    <w:rsid w:val="005B695E"/>
    <w:rsid w:val="005D5654"/>
    <w:rsid w:val="00633750"/>
    <w:rsid w:val="00641984"/>
    <w:rsid w:val="00642DD9"/>
    <w:rsid w:val="006442A8"/>
    <w:rsid w:val="006A14F8"/>
    <w:rsid w:val="006F2A01"/>
    <w:rsid w:val="007057A8"/>
    <w:rsid w:val="00773F9B"/>
    <w:rsid w:val="0077450F"/>
    <w:rsid w:val="00782999"/>
    <w:rsid w:val="007B2ADD"/>
    <w:rsid w:val="007D322F"/>
    <w:rsid w:val="008B48B4"/>
    <w:rsid w:val="008E739C"/>
    <w:rsid w:val="00924B5C"/>
    <w:rsid w:val="0094279B"/>
    <w:rsid w:val="0096539A"/>
    <w:rsid w:val="0099145B"/>
    <w:rsid w:val="009A5DB5"/>
    <w:rsid w:val="009D1852"/>
    <w:rsid w:val="009D3F12"/>
    <w:rsid w:val="009E4642"/>
    <w:rsid w:val="00A168A4"/>
    <w:rsid w:val="00A20149"/>
    <w:rsid w:val="00AA5339"/>
    <w:rsid w:val="00AC6383"/>
    <w:rsid w:val="00AF3CA7"/>
    <w:rsid w:val="00B608F5"/>
    <w:rsid w:val="00BB586E"/>
    <w:rsid w:val="00BB709E"/>
    <w:rsid w:val="00BE0152"/>
    <w:rsid w:val="00C256BB"/>
    <w:rsid w:val="00C660AE"/>
    <w:rsid w:val="00C85FA9"/>
    <w:rsid w:val="00C95149"/>
    <w:rsid w:val="00D57518"/>
    <w:rsid w:val="00D57A59"/>
    <w:rsid w:val="00DA0817"/>
    <w:rsid w:val="00DB4BFA"/>
    <w:rsid w:val="00E30342"/>
    <w:rsid w:val="00E4342C"/>
    <w:rsid w:val="00E56549"/>
    <w:rsid w:val="00E627E1"/>
    <w:rsid w:val="00E73F93"/>
    <w:rsid w:val="00E81F89"/>
    <w:rsid w:val="00EA3638"/>
    <w:rsid w:val="00EA4C98"/>
    <w:rsid w:val="00EB50CC"/>
    <w:rsid w:val="00EC0E9E"/>
    <w:rsid w:val="00EC78D8"/>
    <w:rsid w:val="00F02495"/>
    <w:rsid w:val="00F132C2"/>
    <w:rsid w:val="00F1736F"/>
    <w:rsid w:val="00F221C2"/>
    <w:rsid w:val="00F329D7"/>
    <w:rsid w:val="00F339B2"/>
    <w:rsid w:val="00F51AFC"/>
    <w:rsid w:val="00F67376"/>
    <w:rsid w:val="00F73E82"/>
    <w:rsid w:val="00FA4697"/>
    <w:rsid w:val="00FA7565"/>
    <w:rsid w:val="00FB1F47"/>
    <w:rsid w:val="00FB7BE2"/>
    <w:rsid w:val="00FE0A6A"/>
    <w:rsid w:val="00FE0A92"/>
    <w:rsid w:val="00FE68B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F4DE36"/>
  <w15:docId w15:val="{795600D6-16B8-4B8F-8F08-4F2387E16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E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ind w:left="133"/>
      <w:outlineLvl w:val="0"/>
    </w:pPr>
    <w:rPr>
      <w:rFonts w:ascii="Times New Roman" w:eastAsia="Times New Roman" w:hAnsi="Times New Roman" w:cs="Times New Roman"/>
      <w:b/>
      <w:i/>
      <w:sz w:val="19"/>
      <w:szCs w:val="19"/>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0C45CD"/>
    <w:pPr>
      <w:keepNext/>
      <w:tabs>
        <w:tab w:val="left" w:pos="426"/>
        <w:tab w:val="center" w:pos="4680"/>
        <w:tab w:val="left" w:pos="6430"/>
      </w:tabs>
      <w:jc w:val="right"/>
      <w:outlineLvl w:val="6"/>
    </w:pPr>
    <w:rPr>
      <w:rFonts w:ascii="Cambria" w:hAnsi="Cambria"/>
      <w:b/>
      <w:bCs/>
      <w:iCs/>
      <w:color w:val="231F20"/>
      <w:sz w:val="20"/>
      <w:szCs w:val="20"/>
    </w:rPr>
  </w:style>
  <w:style w:type="paragraph" w:styleId="Heading8">
    <w:name w:val="heading 8"/>
    <w:basedOn w:val="Normal"/>
    <w:next w:val="Normal"/>
    <w:link w:val="Heading8Char"/>
    <w:uiPriority w:val="9"/>
    <w:unhideWhenUsed/>
    <w:qFormat/>
    <w:rsid w:val="000C45CD"/>
    <w:pPr>
      <w:keepNext/>
      <w:tabs>
        <w:tab w:val="left" w:pos="426"/>
        <w:tab w:val="center" w:pos="4680"/>
        <w:tab w:val="left" w:pos="6430"/>
      </w:tabs>
      <w:jc w:val="center"/>
      <w:outlineLvl w:val="7"/>
    </w:pPr>
    <w:rPr>
      <w:rFonts w:ascii="Cambria" w:hAnsi="Cambria"/>
      <w:b/>
      <w:bCs/>
      <w:i/>
      <w:color w:val="231F2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paragraph" w:styleId="ListParagraph">
    <w:name w:val="List Paragraph"/>
    <w:basedOn w:val="Normal"/>
    <w:uiPriority w:val="1"/>
    <w:qFormat/>
    <w:rsid w:val="00416E35"/>
    <w:pPr>
      <w:ind w:left="720"/>
      <w:contextualSpacing/>
    </w:pPr>
  </w:style>
  <w:style w:type="paragraph" w:styleId="BalloonText">
    <w:name w:val="Balloon Text"/>
    <w:basedOn w:val="Normal"/>
    <w:link w:val="BalloonTextChar"/>
    <w:uiPriority w:val="99"/>
    <w:unhideWhenUsed/>
    <w:rsid w:val="00EB50CC"/>
    <w:rPr>
      <w:rFonts w:ascii="Segoe UI" w:hAnsi="Segoe UI" w:cs="Segoe UI"/>
      <w:sz w:val="18"/>
      <w:szCs w:val="18"/>
    </w:rPr>
  </w:style>
  <w:style w:type="character" w:customStyle="1" w:styleId="BalloonTextChar">
    <w:name w:val="Balloon Text Char"/>
    <w:basedOn w:val="DefaultParagraphFont"/>
    <w:link w:val="BalloonText"/>
    <w:uiPriority w:val="99"/>
    <w:rsid w:val="00EB50CC"/>
    <w:rPr>
      <w:rFonts w:ascii="Segoe UI" w:hAnsi="Segoe UI" w:cs="Segoe UI"/>
      <w:sz w:val="18"/>
      <w:szCs w:val="18"/>
    </w:rPr>
  </w:style>
  <w:style w:type="paragraph" w:styleId="Revision">
    <w:name w:val="Revision"/>
    <w:hidden/>
    <w:uiPriority w:val="99"/>
    <w:semiHidden/>
    <w:rsid w:val="00070ED2"/>
    <w:pPr>
      <w:widowControl/>
    </w:pPr>
  </w:style>
  <w:style w:type="paragraph" w:styleId="Header">
    <w:name w:val="header"/>
    <w:basedOn w:val="Normal"/>
    <w:link w:val="HeaderChar"/>
    <w:uiPriority w:val="99"/>
    <w:unhideWhenUsed/>
    <w:rsid w:val="007057A8"/>
    <w:pPr>
      <w:tabs>
        <w:tab w:val="center" w:pos="4680"/>
        <w:tab w:val="right" w:pos="9360"/>
      </w:tabs>
    </w:pPr>
  </w:style>
  <w:style w:type="character" w:customStyle="1" w:styleId="HeaderChar">
    <w:name w:val="Header Char"/>
    <w:basedOn w:val="DefaultParagraphFont"/>
    <w:link w:val="Header"/>
    <w:uiPriority w:val="99"/>
    <w:rsid w:val="007057A8"/>
  </w:style>
  <w:style w:type="paragraph" w:styleId="Footer">
    <w:name w:val="footer"/>
    <w:basedOn w:val="Normal"/>
    <w:link w:val="FooterChar"/>
    <w:uiPriority w:val="99"/>
    <w:unhideWhenUsed/>
    <w:rsid w:val="007057A8"/>
    <w:pPr>
      <w:tabs>
        <w:tab w:val="center" w:pos="4680"/>
        <w:tab w:val="right" w:pos="9360"/>
      </w:tabs>
    </w:pPr>
  </w:style>
  <w:style w:type="character" w:customStyle="1" w:styleId="FooterChar">
    <w:name w:val="Footer Char"/>
    <w:basedOn w:val="DefaultParagraphFont"/>
    <w:link w:val="Footer"/>
    <w:uiPriority w:val="99"/>
    <w:rsid w:val="007057A8"/>
  </w:style>
  <w:style w:type="character" w:styleId="FootnoteReference">
    <w:name w:val="footnote reference"/>
    <w:aliases w:val="fr"/>
    <w:uiPriority w:val="99"/>
    <w:rsid w:val="005D5654"/>
  </w:style>
  <w:style w:type="paragraph" w:styleId="FootnoteText">
    <w:name w:val="footnote text"/>
    <w:aliases w:val="ft"/>
    <w:basedOn w:val="Normal"/>
    <w:link w:val="FootnoteTextChar"/>
    <w:uiPriority w:val="99"/>
    <w:rsid w:val="005D5654"/>
    <w:pPr>
      <w:widowControl/>
      <w:jc w:val="both"/>
    </w:pPr>
    <w:rPr>
      <w:rFonts w:ascii="Times New Roman" w:eastAsia="Times New Roman" w:hAnsi="Times New Roman" w:cs="Times New Roman"/>
      <w:sz w:val="20"/>
      <w:szCs w:val="20"/>
      <w:lang w:val="en-US"/>
    </w:rPr>
  </w:style>
  <w:style w:type="character" w:customStyle="1" w:styleId="FootnoteTextChar">
    <w:name w:val="Footnote Text Char"/>
    <w:aliases w:val="ft Char"/>
    <w:basedOn w:val="DefaultParagraphFont"/>
    <w:link w:val="FootnoteText"/>
    <w:uiPriority w:val="99"/>
    <w:rsid w:val="005D5654"/>
    <w:rPr>
      <w:rFonts w:ascii="Times New Roman" w:eastAsia="Times New Roman" w:hAnsi="Times New Roman" w:cs="Times New Roman"/>
      <w:sz w:val="20"/>
      <w:szCs w:val="20"/>
      <w:lang w:val="en-US"/>
    </w:rPr>
  </w:style>
  <w:style w:type="table" w:styleId="TableGrid">
    <w:name w:val="Table Grid"/>
    <w:basedOn w:val="TableNormal"/>
    <w:uiPriority w:val="39"/>
    <w:rsid w:val="00FE0A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rsid w:val="000C45CD"/>
    <w:rPr>
      <w:rFonts w:ascii="Cambria" w:hAnsi="Cambria"/>
      <w:b/>
      <w:bCs/>
      <w:iCs/>
      <w:color w:val="231F20"/>
      <w:sz w:val="20"/>
      <w:szCs w:val="20"/>
    </w:rPr>
  </w:style>
  <w:style w:type="character" w:customStyle="1" w:styleId="Heading8Char">
    <w:name w:val="Heading 8 Char"/>
    <w:basedOn w:val="DefaultParagraphFont"/>
    <w:link w:val="Heading8"/>
    <w:uiPriority w:val="9"/>
    <w:rsid w:val="000C45CD"/>
    <w:rPr>
      <w:rFonts w:ascii="Cambria" w:hAnsi="Cambria"/>
      <w:b/>
      <w:bCs/>
      <w:i/>
      <w:color w:val="231F20"/>
      <w:sz w:val="20"/>
      <w:szCs w:val="20"/>
    </w:rPr>
  </w:style>
  <w:style w:type="paragraph" w:styleId="BodyText">
    <w:name w:val="Body Text"/>
    <w:basedOn w:val="Normal"/>
    <w:link w:val="BodyTextChar"/>
    <w:uiPriority w:val="99"/>
    <w:unhideWhenUsed/>
    <w:rsid w:val="00FB7BE2"/>
    <w:pPr>
      <w:spacing w:line="237" w:lineRule="auto"/>
      <w:jc w:val="center"/>
    </w:pPr>
    <w:rPr>
      <w:rFonts w:ascii="Cambria" w:hAnsi="Cambria"/>
      <w:color w:val="231F20"/>
      <w:sz w:val="20"/>
      <w:szCs w:val="20"/>
    </w:rPr>
  </w:style>
  <w:style w:type="character" w:customStyle="1" w:styleId="BodyTextChar">
    <w:name w:val="Body Text Char"/>
    <w:basedOn w:val="DefaultParagraphFont"/>
    <w:link w:val="BodyText"/>
    <w:uiPriority w:val="99"/>
    <w:rsid w:val="00FB7BE2"/>
    <w:rPr>
      <w:rFonts w:ascii="Cambria" w:hAnsi="Cambria"/>
      <w:color w:val="231F2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TotalTime>
  <Pages>5</Pages>
  <Words>2604</Words>
  <Characters>14328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Author</cp:lastModifiedBy>
  <cp:revision>15</cp:revision>
  <dcterms:created xsi:type="dcterms:W3CDTF">2022-11-20T16:42:00Z</dcterms:created>
  <dcterms:modified xsi:type="dcterms:W3CDTF">2025-11-22T17:52:00Z</dcterms:modified>
</cp:coreProperties>
</file>