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2701" w14:textId="255038C8" w:rsidR="00D702BF" w:rsidRPr="00701388" w:rsidRDefault="00B61AC8" w:rsidP="009D0332">
      <w:pPr>
        <w:spacing w:before="100" w:beforeAutospacing="1" w:after="100" w:afterAutospacing="1" w:line="240" w:lineRule="auto"/>
        <w:ind w:right="-1"/>
        <w:jc w:val="right"/>
        <w:rPr>
          <w:rFonts w:ascii="Cambria" w:eastAsia="Times New Roman" w:hAnsi="Cambria" w:cs="Times New Roman"/>
          <w:b/>
          <w:bCs/>
          <w:kern w:val="0"/>
          <w:sz w:val="20"/>
          <w:szCs w:val="20"/>
          <w14:ligatures w14:val="none"/>
        </w:rPr>
      </w:pPr>
      <w:r>
        <w:rPr>
          <w:rFonts w:ascii="Cambria" w:hAnsi="Cambria"/>
          <w:b/>
          <w:sz w:val="20"/>
        </w:rPr>
        <w:t xml:space="preserve">Original: </w:t>
      </w:r>
      <w:r w:rsidR="00BB5208">
        <w:rPr>
          <w:rFonts w:ascii="Cambria" w:hAnsi="Cambria"/>
          <w:b/>
          <w:sz w:val="20"/>
        </w:rPr>
        <w:t>inglés</w:t>
      </w:r>
    </w:p>
    <w:p w14:paraId="16C49EC3" w14:textId="77777777" w:rsidR="00F65DCC" w:rsidRDefault="006E55B1" w:rsidP="006E55B1">
      <w:pPr>
        <w:spacing w:after="0" w:line="240" w:lineRule="auto"/>
        <w:jc w:val="center"/>
        <w:rPr>
          <w:rFonts w:ascii="Cambria" w:hAnsi="Cambria"/>
          <w:b/>
          <w:sz w:val="20"/>
        </w:rPr>
      </w:pPr>
      <w:r>
        <w:rPr>
          <w:rFonts w:ascii="Cambria" w:hAnsi="Cambria"/>
          <w:b/>
          <w:sz w:val="20"/>
        </w:rPr>
        <w:t xml:space="preserve">Declaración de la República árabe de Egipto a la Subcomisión 2 </w:t>
      </w:r>
    </w:p>
    <w:p w14:paraId="7BBB93B0" w14:textId="5BB3AB6F" w:rsidR="006E55B1" w:rsidRPr="009D0332" w:rsidRDefault="006E55B1" w:rsidP="006E55B1">
      <w:pPr>
        <w:spacing w:after="0" w:line="240" w:lineRule="auto"/>
        <w:jc w:val="center"/>
        <w:rPr>
          <w:rFonts w:ascii="Cambria" w:eastAsia="Times New Roman" w:hAnsi="Cambria" w:cs="Times New Roman"/>
          <w:b/>
          <w:bCs/>
          <w:kern w:val="0"/>
          <w:sz w:val="20"/>
          <w:szCs w:val="20"/>
          <w14:ligatures w14:val="none"/>
        </w:rPr>
      </w:pPr>
      <w:r>
        <w:rPr>
          <w:rFonts w:ascii="Cambria" w:hAnsi="Cambria"/>
          <w:b/>
          <w:sz w:val="20"/>
        </w:rPr>
        <w:t>solicitando una asignación justa de atún rojo del este</w:t>
      </w:r>
    </w:p>
    <w:p w14:paraId="661DB7B4" w14:textId="204A3D9B" w:rsidR="006E55B1" w:rsidRPr="009D0332" w:rsidRDefault="006E55B1" w:rsidP="006E55B1">
      <w:pPr>
        <w:spacing w:after="0" w:line="240" w:lineRule="auto"/>
        <w:jc w:val="center"/>
        <w:rPr>
          <w:rFonts w:ascii="Cambria" w:eastAsia="Times New Roman" w:hAnsi="Cambria" w:cs="Times New Roman"/>
          <w:i/>
          <w:iCs/>
          <w:kern w:val="0"/>
          <w:sz w:val="20"/>
          <w:szCs w:val="20"/>
          <w14:ligatures w14:val="none"/>
        </w:rPr>
      </w:pPr>
      <w:r>
        <w:rPr>
          <w:rFonts w:ascii="Cambria" w:hAnsi="Cambria"/>
          <w:i/>
          <w:sz w:val="20"/>
        </w:rPr>
        <w:t xml:space="preserve">(Documento presentado por la República </w:t>
      </w:r>
      <w:r w:rsidR="00F65DCC">
        <w:rPr>
          <w:rFonts w:ascii="Cambria" w:hAnsi="Cambria"/>
          <w:i/>
          <w:sz w:val="20"/>
        </w:rPr>
        <w:t xml:space="preserve">Árabe </w:t>
      </w:r>
      <w:r>
        <w:rPr>
          <w:rFonts w:ascii="Cambria" w:hAnsi="Cambria"/>
          <w:i/>
          <w:sz w:val="20"/>
        </w:rPr>
        <w:t>de Egipto)</w:t>
      </w:r>
    </w:p>
    <w:p w14:paraId="1D1D5C78" w14:textId="77777777" w:rsidR="006E55B1" w:rsidRPr="00654813" w:rsidRDefault="006E55B1" w:rsidP="006E55B1">
      <w:pPr>
        <w:spacing w:after="0" w:line="240" w:lineRule="auto"/>
        <w:jc w:val="both"/>
        <w:rPr>
          <w:rFonts w:ascii="Cambria" w:eastAsia="Times New Roman" w:hAnsi="Cambria" w:cs="Times New Roman"/>
          <w:b/>
          <w:bCs/>
          <w:kern w:val="0"/>
          <w:sz w:val="20"/>
          <w:szCs w:val="20"/>
          <w14:ligatures w14:val="none"/>
        </w:rPr>
      </w:pPr>
    </w:p>
    <w:p w14:paraId="0A71268A" w14:textId="77777777" w:rsidR="006E55B1" w:rsidRPr="00654813" w:rsidRDefault="006E55B1" w:rsidP="006E55B1">
      <w:pPr>
        <w:spacing w:after="0" w:line="240" w:lineRule="auto"/>
        <w:jc w:val="both"/>
        <w:rPr>
          <w:rFonts w:ascii="Cambria" w:eastAsia="Times New Roman" w:hAnsi="Cambria" w:cs="Times New Roman"/>
          <w:b/>
          <w:bCs/>
          <w:kern w:val="0"/>
          <w:sz w:val="20"/>
          <w:szCs w:val="20"/>
          <w14:ligatures w14:val="none"/>
        </w:rPr>
      </w:pPr>
      <w:r>
        <w:rPr>
          <w:rFonts w:ascii="Cambria" w:hAnsi="Cambria"/>
          <w:b/>
          <w:sz w:val="20"/>
        </w:rPr>
        <w:t>Introducción</w:t>
      </w:r>
    </w:p>
    <w:p w14:paraId="31E01F6D" w14:textId="77777777" w:rsidR="006E55B1" w:rsidRPr="00701388" w:rsidRDefault="006E55B1" w:rsidP="006E55B1">
      <w:pPr>
        <w:spacing w:after="0" w:line="240" w:lineRule="auto"/>
        <w:jc w:val="both"/>
        <w:rPr>
          <w:rFonts w:ascii="Cambria" w:eastAsia="Times New Roman" w:hAnsi="Cambria" w:cs="Times New Roman"/>
          <w:b/>
          <w:bCs/>
          <w:i/>
          <w:iCs/>
          <w:kern w:val="0"/>
          <w:sz w:val="20"/>
          <w:szCs w:val="20"/>
          <w14:ligatures w14:val="none"/>
        </w:rPr>
      </w:pPr>
    </w:p>
    <w:p w14:paraId="7E226146" w14:textId="77777777" w:rsidR="006E55B1" w:rsidRPr="00701388" w:rsidRDefault="006E55B1" w:rsidP="006E55B1">
      <w:pPr>
        <w:spacing w:after="0" w:line="240" w:lineRule="auto"/>
        <w:jc w:val="both"/>
        <w:rPr>
          <w:rFonts w:ascii="Cambria" w:eastAsia="Times New Roman" w:hAnsi="Cambria" w:cs="Times New Roman"/>
          <w:kern w:val="0"/>
          <w:sz w:val="20"/>
          <w:szCs w:val="20"/>
          <w14:ligatures w14:val="none"/>
        </w:rPr>
      </w:pPr>
      <w:r>
        <w:rPr>
          <w:rFonts w:ascii="Cambria" w:hAnsi="Cambria"/>
          <w:sz w:val="20"/>
        </w:rPr>
        <w:t>Para empezar, Egipto desea expresar su sincero agradecimiento a ICCAT por sus continuos esfuerzos en pro de la ordenación sostenible de los stocks de túnidos. Queremos expresar nuestro especial agradecimiento al presidente de la Subcomisión 2 por su trabajo constante y su liderazgo constructivo a la hora de guiar los delicados y muy complejos debates sobre la asignación de cuotas entre las CPC. También reconocemos las valiosas propuestas presentadas por los Estados miembros, que reflejan un compromiso colectivo con la justicia y la equidad.</w:t>
      </w:r>
    </w:p>
    <w:p w14:paraId="07FAC1FB" w14:textId="77777777" w:rsidR="006E55B1" w:rsidRPr="00654813" w:rsidRDefault="006E55B1" w:rsidP="006E55B1">
      <w:pPr>
        <w:spacing w:before="100" w:beforeAutospacing="1" w:after="100" w:afterAutospacing="1" w:line="240" w:lineRule="auto"/>
        <w:ind w:right="-1"/>
        <w:jc w:val="both"/>
        <w:rPr>
          <w:rFonts w:ascii="Cambria" w:eastAsia="Times New Roman" w:hAnsi="Cambria" w:cs="Times New Roman"/>
          <w:b/>
          <w:bCs/>
          <w:kern w:val="0"/>
          <w:sz w:val="20"/>
          <w:szCs w:val="20"/>
          <w14:ligatures w14:val="none"/>
        </w:rPr>
      </w:pPr>
      <w:r>
        <w:rPr>
          <w:rFonts w:ascii="Cambria" w:hAnsi="Cambria"/>
          <w:b/>
          <w:sz w:val="20"/>
        </w:rPr>
        <w:t>Estado del stock de atún rojo del este</w:t>
      </w:r>
    </w:p>
    <w:p w14:paraId="39F05DED" w14:textId="77777777" w:rsidR="006E55B1" w:rsidRPr="00701388" w:rsidRDefault="006E55B1" w:rsidP="006E55B1">
      <w:pPr>
        <w:spacing w:before="100" w:beforeAutospacing="1" w:after="100" w:afterAutospacing="1" w:line="240" w:lineRule="auto"/>
        <w:ind w:right="-1"/>
        <w:jc w:val="both"/>
        <w:rPr>
          <w:rFonts w:ascii="Cambria" w:eastAsia="Times New Roman" w:hAnsi="Cambria" w:cs="Times New Roman"/>
          <w:kern w:val="0"/>
          <w:sz w:val="20"/>
          <w:szCs w:val="20"/>
          <w14:ligatures w14:val="none"/>
        </w:rPr>
      </w:pPr>
      <w:r>
        <w:rPr>
          <w:rFonts w:ascii="Cambria" w:hAnsi="Cambria"/>
          <w:sz w:val="20"/>
        </w:rPr>
        <w:t>A pesar de la complejidad técnica del tema de la asignación, es evidente que todas las propuestas presentadas por las CPC comparten una conclusión común: que el  stock se encuentra en condiciones suficientemente buenas como para permitir una distribución más equilibrada y equitativa de las posibilidades de pesca entre las Partes contratantes. Esto brinda una oportunidad única y oportuna para volver a evaluar las asignaciones actuales, especialmente para los Estados costeros en desarrollo con cuotas históricamente pequeñas.</w:t>
      </w:r>
    </w:p>
    <w:p w14:paraId="55501939" w14:textId="77777777" w:rsidR="006E55B1" w:rsidRPr="00654813" w:rsidRDefault="006E55B1" w:rsidP="006E55B1">
      <w:pPr>
        <w:spacing w:before="100" w:beforeAutospacing="1" w:after="100" w:afterAutospacing="1" w:line="240" w:lineRule="auto"/>
        <w:ind w:right="-1"/>
        <w:jc w:val="both"/>
        <w:rPr>
          <w:rFonts w:ascii="Cambria" w:eastAsia="Times New Roman" w:hAnsi="Cambria" w:cs="Times New Roman"/>
          <w:b/>
          <w:bCs/>
          <w:kern w:val="0"/>
          <w:sz w:val="20"/>
          <w:szCs w:val="20"/>
          <w14:ligatures w14:val="none"/>
        </w:rPr>
      </w:pPr>
      <w:r>
        <w:rPr>
          <w:rFonts w:ascii="Cambria" w:hAnsi="Cambria"/>
          <w:b/>
          <w:sz w:val="20"/>
        </w:rPr>
        <w:t>Situación actual de Egipto</w:t>
      </w:r>
    </w:p>
    <w:p w14:paraId="7CE48E86" w14:textId="77777777" w:rsidR="006E55B1" w:rsidRPr="00701388" w:rsidRDefault="006E55B1" w:rsidP="006E55B1">
      <w:pPr>
        <w:spacing w:before="100" w:beforeAutospacing="1" w:after="100" w:afterAutospacing="1" w:line="240" w:lineRule="auto"/>
        <w:ind w:right="-1"/>
        <w:jc w:val="both"/>
        <w:rPr>
          <w:rFonts w:ascii="Cambria" w:eastAsia="Times New Roman" w:hAnsi="Cambria" w:cs="Times New Roman"/>
          <w:b/>
          <w:bCs/>
          <w:i/>
          <w:iCs/>
          <w:kern w:val="0"/>
          <w:sz w:val="20"/>
          <w:szCs w:val="20"/>
          <w14:ligatures w14:val="none"/>
        </w:rPr>
      </w:pPr>
      <w:r>
        <w:rPr>
          <w:rFonts w:ascii="Cambria" w:hAnsi="Cambria"/>
          <w:sz w:val="20"/>
        </w:rPr>
        <w:t>Desde 2009, Egipto ha demostrado su pleno cumplimiento de las recomendaciones y medidas de conservación de ICCAT, mostrando más mejoras en los últimos años, y ha solicitado constantemente apoyo para la creación de capacidad con el fin de reforzar la recopilación de datos, la comunicación y el cumplimiento. En los últimos quince años, Egipto ha modernizado sustancialmente su marco normativo nacional y ha mejorado sus sistemas de seguimiento, control y vigilancia (</w:t>
      </w:r>
      <w:proofErr w:type="spellStart"/>
      <w:r>
        <w:rPr>
          <w:rFonts w:ascii="Cambria" w:hAnsi="Cambria"/>
          <w:sz w:val="20"/>
        </w:rPr>
        <w:t>MCS</w:t>
      </w:r>
      <w:proofErr w:type="spellEnd"/>
      <w:r>
        <w:rPr>
          <w:rFonts w:ascii="Cambria" w:hAnsi="Cambria"/>
          <w:sz w:val="20"/>
        </w:rPr>
        <w:t>) - alineados en su totalidad con las normas de ICCAT -a pesar de las dificultades económicas a las que se enfrentaba.</w:t>
      </w:r>
    </w:p>
    <w:p w14:paraId="673C9D51" w14:textId="77777777" w:rsidR="006E55B1" w:rsidRPr="00701388" w:rsidRDefault="006E55B1" w:rsidP="006E55B1">
      <w:pPr>
        <w:spacing w:before="100" w:beforeAutospacing="1" w:after="100" w:afterAutospacing="1" w:line="240" w:lineRule="auto"/>
        <w:ind w:right="-1"/>
        <w:jc w:val="both"/>
        <w:rPr>
          <w:rFonts w:ascii="Cambria" w:eastAsia="Times New Roman" w:hAnsi="Cambria" w:cs="Times New Roman"/>
          <w:b/>
          <w:bCs/>
          <w:i/>
          <w:iCs/>
          <w:kern w:val="0"/>
          <w:sz w:val="20"/>
          <w:szCs w:val="20"/>
          <w14:ligatures w14:val="none"/>
        </w:rPr>
      </w:pPr>
      <w:r>
        <w:rPr>
          <w:rFonts w:ascii="Cambria" w:hAnsi="Cambria"/>
          <w:sz w:val="20"/>
        </w:rPr>
        <w:t>La capacidad pesquera operativa ha disminuido pasando de cinco buques activos a solo uno o dos al año «debido a la asignación limitada», lo que restringe las oportunidades de inversión, la generación de empleo y la creación de valor local, a pesar de que Egipto cuenta con una extensa costa de más de 1.000 km y de que millones de personas dependen de los recursos marinos.</w:t>
      </w:r>
    </w:p>
    <w:p w14:paraId="1B6C2955" w14:textId="77777777" w:rsidR="006E55B1" w:rsidRPr="00654813" w:rsidRDefault="006E55B1" w:rsidP="006E55B1">
      <w:pPr>
        <w:spacing w:before="100" w:beforeAutospacing="1" w:after="100" w:afterAutospacing="1" w:line="240" w:lineRule="auto"/>
        <w:ind w:right="-1"/>
        <w:jc w:val="both"/>
        <w:rPr>
          <w:rFonts w:ascii="Cambria" w:eastAsia="Times New Roman" w:hAnsi="Cambria" w:cs="Times New Roman"/>
          <w:b/>
          <w:bCs/>
          <w:kern w:val="0"/>
          <w:sz w:val="20"/>
          <w:szCs w:val="20"/>
          <w14:ligatures w14:val="none"/>
        </w:rPr>
      </w:pPr>
      <w:r>
        <w:rPr>
          <w:rFonts w:ascii="Cambria" w:hAnsi="Cambria"/>
          <w:b/>
          <w:sz w:val="20"/>
        </w:rPr>
        <w:t>Plan de desarrollo de Egipto para la industria de atún rojo</w:t>
      </w:r>
    </w:p>
    <w:p w14:paraId="1F7A73DA" w14:textId="77777777" w:rsidR="006E55B1" w:rsidRPr="00701388" w:rsidRDefault="006E55B1" w:rsidP="006E55B1">
      <w:pPr>
        <w:spacing w:before="100" w:beforeAutospacing="1" w:after="100" w:afterAutospacing="1" w:line="240" w:lineRule="auto"/>
        <w:ind w:right="-1"/>
        <w:jc w:val="both"/>
        <w:rPr>
          <w:rFonts w:ascii="Cambria" w:eastAsia="Times New Roman" w:hAnsi="Cambria" w:cs="Times New Roman"/>
          <w:kern w:val="0"/>
          <w:sz w:val="20"/>
          <w:szCs w:val="20"/>
          <w14:ligatures w14:val="none"/>
        </w:rPr>
      </w:pPr>
      <w:r>
        <w:rPr>
          <w:rFonts w:ascii="Cambria" w:hAnsi="Cambria"/>
          <w:sz w:val="20"/>
        </w:rPr>
        <w:t>Egipto cuenta con un plan claro y viable para desarrollar una pesquería de atún rojo sostenible y plenamente conforme con la normativa, cuyo elemento central es la necesidad de una asignación significativa y viable que incluya:</w:t>
      </w:r>
    </w:p>
    <w:p w14:paraId="37BB4118" w14:textId="77777777" w:rsidR="006E55B1" w:rsidRPr="00701388" w:rsidRDefault="006E55B1" w:rsidP="006E55B1">
      <w:pPr>
        <w:numPr>
          <w:ilvl w:val="0"/>
          <w:numId w:val="1"/>
        </w:numPr>
        <w:spacing w:before="100" w:beforeAutospacing="1" w:after="100" w:afterAutospacing="1" w:line="240" w:lineRule="auto"/>
        <w:ind w:left="426" w:right="-1" w:hanging="426"/>
        <w:contextualSpacing/>
        <w:jc w:val="both"/>
        <w:rPr>
          <w:rFonts w:ascii="Cambria" w:eastAsia="Times New Roman" w:hAnsi="Cambria" w:cs="Times New Roman"/>
          <w:kern w:val="0"/>
          <w:sz w:val="20"/>
          <w:szCs w:val="20"/>
          <w14:ligatures w14:val="none"/>
        </w:rPr>
      </w:pPr>
      <w:r>
        <w:rPr>
          <w:rFonts w:ascii="Cambria" w:hAnsi="Cambria"/>
          <w:sz w:val="20"/>
        </w:rPr>
        <w:t>Reinvertir en la flota pesquera nacional para apoyar tanto la captura para la granja como la pesca dirigida.</w:t>
      </w:r>
    </w:p>
    <w:p w14:paraId="25BD19D3" w14:textId="77777777" w:rsidR="006E55B1" w:rsidRPr="00701388" w:rsidRDefault="006E55B1" w:rsidP="006E55B1">
      <w:pPr>
        <w:numPr>
          <w:ilvl w:val="0"/>
          <w:numId w:val="1"/>
        </w:numPr>
        <w:spacing w:before="100" w:beforeAutospacing="1" w:after="100" w:afterAutospacing="1" w:line="240" w:lineRule="auto"/>
        <w:ind w:left="426" w:right="-1" w:hanging="426"/>
        <w:contextualSpacing/>
        <w:jc w:val="both"/>
        <w:rPr>
          <w:rFonts w:ascii="Cambria" w:eastAsia="Times New Roman" w:hAnsi="Cambria" w:cs="Times New Roman"/>
          <w:kern w:val="0"/>
          <w:sz w:val="20"/>
          <w:szCs w:val="20"/>
          <w14:ligatures w14:val="none"/>
        </w:rPr>
      </w:pPr>
      <w:r>
        <w:rPr>
          <w:rFonts w:ascii="Cambria" w:hAnsi="Cambria"/>
          <w:sz w:val="20"/>
        </w:rPr>
        <w:t>Colaborar con el SCRS para recopilar datos valiosos tanto sobre las capturas de atún rojo en estado silvestre como sobre las operaciones de cría.</w:t>
      </w:r>
    </w:p>
    <w:p w14:paraId="629480E7" w14:textId="77777777" w:rsidR="006E55B1" w:rsidRPr="00701388" w:rsidRDefault="006E55B1" w:rsidP="006E55B1">
      <w:pPr>
        <w:numPr>
          <w:ilvl w:val="0"/>
          <w:numId w:val="1"/>
        </w:numPr>
        <w:spacing w:before="100" w:beforeAutospacing="1" w:after="100" w:afterAutospacing="1" w:line="240" w:lineRule="auto"/>
        <w:ind w:left="426" w:right="-1" w:hanging="426"/>
        <w:contextualSpacing/>
        <w:jc w:val="both"/>
        <w:rPr>
          <w:rFonts w:ascii="Cambria" w:eastAsia="Times New Roman" w:hAnsi="Cambria" w:cs="Times New Roman"/>
          <w:kern w:val="0"/>
          <w:sz w:val="20"/>
          <w:szCs w:val="20"/>
          <w14:ligatures w14:val="none"/>
        </w:rPr>
      </w:pPr>
      <w:r>
        <w:rPr>
          <w:rFonts w:ascii="Cambria" w:hAnsi="Cambria"/>
          <w:sz w:val="20"/>
        </w:rPr>
        <w:t>Utilizar la cuota para abastecer y gestionar de forma responsable la granja autorizada, creando una industria nueva y de alto valor.</w:t>
      </w:r>
    </w:p>
    <w:p w14:paraId="7622022B" w14:textId="77777777" w:rsidR="006E55B1" w:rsidRPr="00701388" w:rsidRDefault="006E55B1" w:rsidP="006E55B1">
      <w:pPr>
        <w:numPr>
          <w:ilvl w:val="0"/>
          <w:numId w:val="1"/>
        </w:numPr>
        <w:spacing w:before="100" w:beforeAutospacing="1" w:after="100" w:afterAutospacing="1" w:line="240" w:lineRule="auto"/>
        <w:ind w:left="426" w:right="-1" w:hanging="426"/>
        <w:contextualSpacing/>
        <w:jc w:val="both"/>
        <w:rPr>
          <w:rFonts w:ascii="Cambria" w:eastAsia="Times New Roman" w:hAnsi="Cambria" w:cs="Times New Roman"/>
          <w:kern w:val="0"/>
          <w:sz w:val="20"/>
          <w:szCs w:val="20"/>
          <w14:ligatures w14:val="none"/>
        </w:rPr>
      </w:pPr>
      <w:r>
        <w:rPr>
          <w:rFonts w:ascii="Cambria" w:hAnsi="Cambria"/>
          <w:sz w:val="20"/>
        </w:rPr>
        <w:t>Proporcionar oportunidades de empleo y mejorar los medios de vida de las comunidades pesqueras.</w:t>
      </w:r>
    </w:p>
    <w:p w14:paraId="11BA2D2D" w14:textId="77777777" w:rsidR="006E55B1" w:rsidRPr="00701388" w:rsidRDefault="006E55B1" w:rsidP="006E55B1">
      <w:pPr>
        <w:numPr>
          <w:ilvl w:val="0"/>
          <w:numId w:val="1"/>
        </w:numPr>
        <w:spacing w:before="100" w:beforeAutospacing="1" w:after="100" w:afterAutospacing="1" w:line="240" w:lineRule="auto"/>
        <w:ind w:left="426" w:right="-1" w:hanging="426"/>
        <w:contextualSpacing/>
        <w:jc w:val="both"/>
        <w:rPr>
          <w:rFonts w:ascii="Cambria" w:eastAsia="Times New Roman" w:hAnsi="Cambria" w:cs="Times New Roman"/>
          <w:kern w:val="0"/>
          <w:sz w:val="20"/>
          <w:szCs w:val="20"/>
          <w14:ligatures w14:val="none"/>
        </w:rPr>
      </w:pPr>
      <w:r>
        <w:rPr>
          <w:rFonts w:ascii="Cambria" w:hAnsi="Cambria"/>
          <w:sz w:val="20"/>
        </w:rPr>
        <w:t>Ayudar a alcanzar la estrategia de Egipto para desarrollar el sector pesquero desde ahora hasta 2030 y contribuir al aumento de los ingresos locales.</w:t>
      </w:r>
    </w:p>
    <w:p w14:paraId="2E63CD13" w14:textId="77777777" w:rsidR="006E55B1" w:rsidRPr="00701388" w:rsidRDefault="006E55B1" w:rsidP="006E55B1">
      <w:pPr>
        <w:spacing w:before="100" w:beforeAutospacing="1" w:after="100" w:afterAutospacing="1" w:line="240" w:lineRule="auto"/>
        <w:ind w:right="-1"/>
        <w:contextualSpacing/>
        <w:jc w:val="both"/>
        <w:rPr>
          <w:rFonts w:ascii="Cambria" w:eastAsia="Times New Roman" w:hAnsi="Cambria" w:cs="Times New Roman"/>
          <w:kern w:val="0"/>
          <w:sz w:val="20"/>
          <w:szCs w:val="20"/>
          <w14:ligatures w14:val="none"/>
        </w:rPr>
      </w:pPr>
    </w:p>
    <w:p w14:paraId="6BFC0457" w14:textId="77777777" w:rsidR="008F6668" w:rsidRPr="00701388" w:rsidRDefault="008F6668" w:rsidP="009D0332">
      <w:pPr>
        <w:spacing w:before="100" w:beforeAutospacing="1" w:after="100" w:afterAutospacing="1" w:line="240" w:lineRule="auto"/>
        <w:ind w:right="-1"/>
        <w:contextualSpacing/>
        <w:jc w:val="both"/>
        <w:rPr>
          <w:rFonts w:ascii="Cambria" w:eastAsia="Times New Roman" w:hAnsi="Cambria" w:cs="Times New Roman"/>
          <w:kern w:val="0"/>
          <w:sz w:val="20"/>
          <w:szCs w:val="20"/>
          <w14:ligatures w14:val="none"/>
        </w:rPr>
      </w:pPr>
    </w:p>
    <w:p w14:paraId="79AD43B2" w14:textId="77777777" w:rsidR="00F65DCC" w:rsidRDefault="00F65DCC">
      <w:pPr>
        <w:rPr>
          <w:rFonts w:ascii="Cambria" w:hAnsi="Cambria"/>
          <w:b/>
          <w:sz w:val="20"/>
        </w:rPr>
      </w:pPr>
      <w:r>
        <w:rPr>
          <w:rFonts w:ascii="Cambria" w:hAnsi="Cambria"/>
          <w:b/>
          <w:sz w:val="20"/>
        </w:rPr>
        <w:br w:type="page"/>
      </w:r>
    </w:p>
    <w:p w14:paraId="4932A9AA" w14:textId="5B2A1D27" w:rsidR="00B2724E" w:rsidRPr="00654813" w:rsidRDefault="00D702BF" w:rsidP="009D0332">
      <w:pPr>
        <w:spacing w:before="100" w:beforeAutospacing="1" w:after="100" w:afterAutospacing="1" w:line="240" w:lineRule="auto"/>
        <w:ind w:right="-1"/>
        <w:jc w:val="both"/>
        <w:rPr>
          <w:rFonts w:ascii="Cambria" w:eastAsia="Times New Roman" w:hAnsi="Cambria" w:cs="Times New Roman"/>
          <w:b/>
          <w:bCs/>
          <w:kern w:val="0"/>
          <w:sz w:val="20"/>
          <w:szCs w:val="20"/>
          <w14:ligatures w14:val="none"/>
        </w:rPr>
      </w:pPr>
      <w:r>
        <w:rPr>
          <w:rFonts w:ascii="Cambria" w:hAnsi="Cambria"/>
          <w:b/>
          <w:sz w:val="20"/>
        </w:rPr>
        <w:t>Preocupaciones de Egipto</w:t>
      </w:r>
    </w:p>
    <w:p w14:paraId="64FD8F1C" w14:textId="77777777" w:rsidR="00B2724E" w:rsidRPr="00701388" w:rsidRDefault="00D702BF" w:rsidP="009D0332">
      <w:pPr>
        <w:spacing w:before="100" w:beforeAutospacing="1" w:after="100" w:afterAutospacing="1" w:line="240" w:lineRule="auto"/>
        <w:ind w:right="-1"/>
        <w:jc w:val="both"/>
        <w:rPr>
          <w:rFonts w:ascii="Cambria" w:eastAsia="Times New Roman" w:hAnsi="Cambria" w:cs="Times New Roman"/>
          <w:b/>
          <w:bCs/>
          <w:i/>
          <w:iCs/>
          <w:kern w:val="0"/>
          <w:sz w:val="20"/>
          <w:szCs w:val="20"/>
          <w14:ligatures w14:val="none"/>
        </w:rPr>
      </w:pPr>
      <w:r>
        <w:rPr>
          <w:rFonts w:ascii="Cambria" w:hAnsi="Cambria"/>
          <w:sz w:val="20"/>
        </w:rPr>
        <w:t>La propuesta de usar el factor de utilización de 2023 y 2024 como valor de referencia es problemática porque penaliza de forma inherente a algunos titulares de cuotas pequeñas a los que se les asignaron cuotas mínimas inferiores a 1000 t. Al vincular el acceso futuro únicamente al desempeño de los dos últimos años, ignorando todas las tasas de utilización históricas de los años anteriores, se puede crear un ciclo vacío de no utilización, en el que la capacidad inicial limitada da lugar automáticamente a bajas tasas de utilización que reflejan una exclusión continuada y una desigualdad por contraposición, lo que contradice directamente la garantía de un acceso equitativo para estos titulares de cuotas pequeñas.</w:t>
      </w:r>
    </w:p>
    <w:p w14:paraId="191698FE" w14:textId="04EBCBFE" w:rsidR="00D702BF" w:rsidRPr="00701388" w:rsidRDefault="00D702BF" w:rsidP="009D0332">
      <w:pPr>
        <w:spacing w:before="100" w:beforeAutospacing="1" w:after="100" w:afterAutospacing="1" w:line="240" w:lineRule="auto"/>
        <w:ind w:right="-1"/>
        <w:jc w:val="both"/>
        <w:rPr>
          <w:rFonts w:ascii="Cambria" w:eastAsia="Times New Roman" w:hAnsi="Cambria" w:cs="Times New Roman"/>
          <w:b/>
          <w:bCs/>
          <w:i/>
          <w:iCs/>
          <w:kern w:val="0"/>
          <w:sz w:val="20"/>
          <w:szCs w:val="20"/>
          <w14:ligatures w14:val="none"/>
        </w:rPr>
      </w:pPr>
      <w:r>
        <w:rPr>
          <w:rFonts w:ascii="Cambria" w:hAnsi="Cambria"/>
          <w:sz w:val="20"/>
        </w:rPr>
        <w:lastRenderedPageBreak/>
        <w:t>Ha pasado mucho tiempo desde que se adoptó la última asignación legal y el estado del stock este año ofrece una excelente oportunidad para cumplir nuestras expectativas.</w:t>
      </w:r>
    </w:p>
    <w:p w14:paraId="12F810F5" w14:textId="4ABBF978" w:rsidR="00D702BF" w:rsidRPr="00654813" w:rsidRDefault="00D702BF" w:rsidP="009D0332">
      <w:pPr>
        <w:spacing w:before="100" w:beforeAutospacing="1" w:after="100" w:afterAutospacing="1" w:line="240" w:lineRule="auto"/>
        <w:ind w:right="-1"/>
        <w:jc w:val="both"/>
        <w:rPr>
          <w:rFonts w:ascii="Cambria" w:eastAsia="Times New Roman" w:hAnsi="Cambria" w:cs="Times New Roman"/>
          <w:b/>
          <w:bCs/>
          <w:kern w:val="0"/>
          <w:sz w:val="20"/>
          <w:szCs w:val="20"/>
          <w14:ligatures w14:val="none"/>
        </w:rPr>
      </w:pPr>
      <w:r>
        <w:rPr>
          <w:rFonts w:ascii="Cambria" w:hAnsi="Cambria"/>
          <w:b/>
          <w:sz w:val="20"/>
        </w:rPr>
        <w:t>Solicitud de Egipto</w:t>
      </w:r>
    </w:p>
    <w:p w14:paraId="51AF41D2" w14:textId="77777777" w:rsidR="00D702BF" w:rsidRPr="00701388" w:rsidRDefault="00D702BF" w:rsidP="009D0332">
      <w:pPr>
        <w:spacing w:before="100" w:beforeAutospacing="1" w:after="100" w:afterAutospacing="1" w:line="240" w:lineRule="auto"/>
        <w:ind w:right="-1"/>
        <w:contextualSpacing/>
        <w:jc w:val="both"/>
        <w:rPr>
          <w:rFonts w:ascii="Cambria" w:eastAsia="Times New Roman" w:hAnsi="Cambria" w:cs="Times New Roman"/>
          <w:kern w:val="0"/>
          <w:sz w:val="20"/>
          <w:szCs w:val="20"/>
          <w14:ligatures w14:val="none"/>
        </w:rPr>
      </w:pPr>
      <w:r>
        <w:rPr>
          <w:rFonts w:ascii="Cambria" w:hAnsi="Cambria"/>
          <w:sz w:val="20"/>
        </w:rPr>
        <w:t xml:space="preserve">A lo largo de los últimos años, Egipto ha buscado constantemente una asignación justa y orientada al desarrollo que permita el desarrollo sostenible de su pesquería nacional de atún rojo, incluyendo el establecimiento de sus primeros proyectos de cría de atún con capacidades que alcanzan las 1800 t. Sin embargo, la cuota extremadamente limitada asignada actualmente a Egipto ha restringido considerablemente dicho desarrollo. </w:t>
      </w:r>
    </w:p>
    <w:p w14:paraId="2B0A3596" w14:textId="77777777" w:rsidR="00B2724E" w:rsidRPr="00BB5208" w:rsidRDefault="00B2724E" w:rsidP="009D0332">
      <w:pPr>
        <w:spacing w:before="100" w:beforeAutospacing="1" w:after="100" w:afterAutospacing="1" w:line="240" w:lineRule="auto"/>
        <w:ind w:right="-1"/>
        <w:contextualSpacing/>
        <w:jc w:val="both"/>
        <w:rPr>
          <w:rFonts w:ascii="Cambria" w:eastAsia="Times New Roman" w:hAnsi="Cambria" w:cs="Times New Roman"/>
          <w:kern w:val="0"/>
          <w:sz w:val="20"/>
          <w:szCs w:val="20"/>
          <w14:ligatures w14:val="none"/>
        </w:rPr>
      </w:pPr>
    </w:p>
    <w:p w14:paraId="4B7D05AE" w14:textId="77777777" w:rsidR="00D702BF" w:rsidRPr="00701388" w:rsidRDefault="00D702BF" w:rsidP="009D0332">
      <w:pPr>
        <w:spacing w:before="100" w:beforeAutospacing="1" w:after="100" w:afterAutospacing="1" w:line="240" w:lineRule="auto"/>
        <w:ind w:right="-1"/>
        <w:contextualSpacing/>
        <w:jc w:val="both"/>
        <w:rPr>
          <w:rFonts w:ascii="Cambria" w:eastAsia="Times New Roman" w:hAnsi="Cambria" w:cs="Times New Roman"/>
          <w:kern w:val="0"/>
          <w:sz w:val="20"/>
          <w:szCs w:val="20"/>
          <w14:ligatures w14:val="none"/>
        </w:rPr>
      </w:pPr>
      <w:r>
        <w:rPr>
          <w:rFonts w:ascii="Cambria" w:hAnsi="Cambria"/>
          <w:sz w:val="20"/>
        </w:rPr>
        <w:t>Egipto solicita una asignación justa que respete los principios de ICCAT y del Derecho internacional, refuerce la legitimidad del proceso de ICCAT y promueva la inclusión.</w:t>
      </w:r>
    </w:p>
    <w:p w14:paraId="1097DD14" w14:textId="77777777" w:rsidR="00B2724E" w:rsidRPr="00BB5208" w:rsidRDefault="00B2724E" w:rsidP="009D0332">
      <w:pPr>
        <w:spacing w:before="100" w:beforeAutospacing="1" w:after="100" w:afterAutospacing="1" w:line="240" w:lineRule="auto"/>
        <w:ind w:right="-1"/>
        <w:contextualSpacing/>
        <w:jc w:val="both"/>
        <w:rPr>
          <w:rFonts w:ascii="Cambria" w:eastAsia="Times New Roman" w:hAnsi="Cambria" w:cs="Times New Roman"/>
          <w:kern w:val="0"/>
          <w:sz w:val="20"/>
          <w:szCs w:val="20"/>
          <w14:ligatures w14:val="none"/>
        </w:rPr>
      </w:pPr>
    </w:p>
    <w:p w14:paraId="164FCFBC" w14:textId="77777777" w:rsidR="00D702BF" w:rsidRPr="00701388" w:rsidRDefault="00D702BF" w:rsidP="009D0332">
      <w:pPr>
        <w:spacing w:before="100" w:beforeAutospacing="1" w:after="100" w:afterAutospacing="1" w:line="240" w:lineRule="auto"/>
        <w:ind w:right="-1"/>
        <w:contextualSpacing/>
        <w:jc w:val="both"/>
        <w:rPr>
          <w:rFonts w:ascii="Cambria" w:eastAsia="Times New Roman" w:hAnsi="Cambria" w:cs="Times New Roman"/>
          <w:kern w:val="0"/>
          <w:sz w:val="20"/>
          <w:szCs w:val="20"/>
          <w14:ligatures w14:val="none"/>
        </w:rPr>
      </w:pPr>
      <w:r>
        <w:rPr>
          <w:rFonts w:ascii="Cambria" w:hAnsi="Cambria"/>
          <w:sz w:val="20"/>
        </w:rPr>
        <w:t>La solicitud de Egipto se basa en los criterios de una asignación justa y equitativa que constituyen la piedra angular del marco jurídico de ICCAT (p. ej., la Resolución 15-13) y se ajusta a instrumentos internacionales, como el Acuerdo de las Naciones Unidas sobre las Poblaciones de Peces, que reconocen los derechos de los Estados costeros en desarrollo a beneficiarse del uso sostenible de los recursos marinos vivos.</w:t>
      </w:r>
    </w:p>
    <w:p w14:paraId="0EE12BE0" w14:textId="77777777" w:rsidR="00D702BF" w:rsidRPr="00BB5208" w:rsidRDefault="00D702BF" w:rsidP="009D0332">
      <w:pPr>
        <w:spacing w:before="100" w:beforeAutospacing="1" w:after="100" w:afterAutospacing="1" w:line="240" w:lineRule="auto"/>
        <w:ind w:right="-1"/>
        <w:contextualSpacing/>
        <w:jc w:val="both"/>
        <w:rPr>
          <w:rFonts w:ascii="Cambria" w:eastAsia="Times New Roman" w:hAnsi="Cambria" w:cs="Times New Roman"/>
          <w:kern w:val="0"/>
          <w:sz w:val="20"/>
          <w:szCs w:val="20"/>
          <w14:ligatures w14:val="none"/>
        </w:rPr>
      </w:pPr>
    </w:p>
    <w:p w14:paraId="6F5CFC46" w14:textId="77777777" w:rsidR="00D702BF" w:rsidRPr="003C1914" w:rsidRDefault="00D702BF" w:rsidP="009D0332">
      <w:pPr>
        <w:spacing w:before="100" w:beforeAutospacing="1" w:after="100" w:afterAutospacing="1" w:line="240" w:lineRule="auto"/>
        <w:ind w:right="-1"/>
        <w:jc w:val="both"/>
        <w:rPr>
          <w:rFonts w:ascii="Cambria" w:eastAsia="Times New Roman" w:hAnsi="Cambria" w:cs="Times New Roman"/>
          <w:b/>
          <w:bCs/>
          <w:kern w:val="0"/>
          <w:sz w:val="20"/>
          <w:szCs w:val="20"/>
          <w14:ligatures w14:val="none"/>
        </w:rPr>
      </w:pPr>
      <w:r>
        <w:rPr>
          <w:rFonts w:ascii="Cambria" w:hAnsi="Cambria"/>
          <w:b/>
          <w:sz w:val="20"/>
        </w:rPr>
        <w:t>Conclusión</w:t>
      </w:r>
    </w:p>
    <w:p w14:paraId="09B1FCE9" w14:textId="47F2738F" w:rsidR="004B512B" w:rsidRPr="00701388" w:rsidRDefault="00D702BF" w:rsidP="009D0332">
      <w:pPr>
        <w:spacing w:before="100" w:beforeAutospacing="1" w:after="100" w:afterAutospacing="1" w:line="240" w:lineRule="auto"/>
        <w:ind w:right="-1"/>
        <w:jc w:val="both"/>
        <w:rPr>
          <w:rFonts w:ascii="Cambria" w:eastAsia="Times New Roman" w:hAnsi="Cambria" w:cs="Times New Roman"/>
          <w:kern w:val="0"/>
          <w:sz w:val="20"/>
          <w:szCs w:val="20"/>
          <w:rtl/>
          <w14:ligatures w14:val="none"/>
        </w:rPr>
      </w:pPr>
      <w:r>
        <w:rPr>
          <w:rFonts w:ascii="Cambria" w:hAnsi="Cambria"/>
          <w:sz w:val="20"/>
        </w:rPr>
        <w:t xml:space="preserve"> Egipto reitera su convicción de que lograr una asignación de cuota justa, equitativa y con base científica es esencial para la integridad del marco de ordenación de ICCAT y la sostenibilidad a largo plazo del atún rojo del Atlántico. Egipto mantiene su pleno compromiso con la participación constructiva, la toma de decisiones basada en pruebas y las soluciones colaborativas que respaldan las necesidades de desarrollo de todas las CPC, en particular aquellas con oportunidades de pesca históricamente limitadas.</w:t>
      </w:r>
    </w:p>
    <w:p w14:paraId="7D819D37" w14:textId="5CCB93F1" w:rsidR="004B512B" w:rsidRPr="00701388" w:rsidRDefault="004B512B" w:rsidP="009D0332">
      <w:pPr>
        <w:spacing w:before="100" w:beforeAutospacing="1" w:after="100" w:afterAutospacing="1" w:line="240" w:lineRule="auto"/>
        <w:ind w:right="-1"/>
        <w:jc w:val="both"/>
        <w:rPr>
          <w:rFonts w:ascii="Cambria" w:eastAsia="Times New Roman" w:hAnsi="Cambria" w:cs="Times New Roman"/>
          <w:kern w:val="0"/>
          <w:sz w:val="20"/>
          <w:szCs w:val="20"/>
          <w14:ligatures w14:val="none"/>
        </w:rPr>
      </w:pPr>
      <w:r>
        <w:rPr>
          <w:rFonts w:ascii="Cambria" w:hAnsi="Cambria"/>
          <w:sz w:val="20"/>
        </w:rPr>
        <w:t xml:space="preserve">Una asignación justa y orientada al desarrollo no solo es deseable, sino esencial para la credibilidad, el equilibrio y la legitimidad del marco de ordenación de ICCAT. Ninguna CPC debería salir de este proceso con las manos vacías, en particular los Estados costeros en desarrollo, como Egipto, cuyos derechos a utilizar de manera sostenible los recursos marinos vivos dentro de sus aguas territoriales y zonas económicas exclusivas están firmemente establecidos en el Derecho internacional. </w:t>
      </w:r>
    </w:p>
    <w:p w14:paraId="414EB72E" w14:textId="6A0452B4" w:rsidR="0070582F" w:rsidRPr="00701388" w:rsidRDefault="0070582F" w:rsidP="009D0332">
      <w:pPr>
        <w:spacing w:before="100" w:beforeAutospacing="1" w:after="100" w:afterAutospacing="1" w:line="240" w:lineRule="auto"/>
        <w:ind w:right="-1"/>
        <w:jc w:val="both"/>
        <w:rPr>
          <w:rFonts w:ascii="Cambria" w:eastAsia="Times New Roman" w:hAnsi="Cambria" w:cs="Times New Roman"/>
          <w:kern w:val="0"/>
          <w:sz w:val="20"/>
          <w:szCs w:val="20"/>
          <w14:ligatures w14:val="none"/>
        </w:rPr>
      </w:pPr>
      <w:r>
        <w:rPr>
          <w:rFonts w:ascii="Cambria" w:hAnsi="Cambria"/>
          <w:sz w:val="20"/>
        </w:rPr>
        <w:t>Egipto mantiene su compromiso con el diálogo constructivo y la cooperación científica; sin embargo, para lograr un resultado justo e inclusivo es necesario que todas las CPC, incluidas aquellas que históricamente han recibido asignaciones menores, reciban asignaciones que les permitan desarrollar pesquerías viables, conformes y sostenibles.</w:t>
      </w:r>
    </w:p>
    <w:p w14:paraId="5D4709B5" w14:textId="7F5A2BC9" w:rsidR="00D702BF" w:rsidRPr="00701388" w:rsidRDefault="00D702BF" w:rsidP="009D0332">
      <w:pPr>
        <w:spacing w:before="100" w:beforeAutospacing="1" w:after="100" w:afterAutospacing="1" w:line="240" w:lineRule="auto"/>
        <w:ind w:right="-1"/>
        <w:jc w:val="both"/>
        <w:rPr>
          <w:rFonts w:ascii="Cambria" w:eastAsia="Times New Roman" w:hAnsi="Cambria" w:cs="Times New Roman"/>
          <w:kern w:val="0"/>
          <w:sz w:val="20"/>
          <w:szCs w:val="20"/>
          <w14:ligatures w14:val="none"/>
        </w:rPr>
      </w:pPr>
      <w:r>
        <w:rPr>
          <w:rFonts w:ascii="Cambria" w:hAnsi="Cambria"/>
          <w:sz w:val="20"/>
        </w:rPr>
        <w:t>Estamos dispuestos a colaborar de manera constructiva con todas las delegaciones para lograr un marco de asignación justo, con visión de futuro y orientado al desarrollo que apoye la pesca sostenible y la prosperidad compartida para todos.</w:t>
      </w:r>
    </w:p>
    <w:p w14:paraId="4CDC20F6" w14:textId="77777777" w:rsidR="00D702BF" w:rsidRPr="00701388" w:rsidRDefault="00D702BF" w:rsidP="009D0332">
      <w:pPr>
        <w:spacing w:before="100" w:beforeAutospacing="1" w:after="100" w:afterAutospacing="1" w:line="240" w:lineRule="auto"/>
        <w:ind w:right="-1"/>
        <w:jc w:val="both"/>
        <w:rPr>
          <w:rFonts w:ascii="Cambria" w:eastAsia="Times New Roman" w:hAnsi="Cambria" w:cs="Times New Roman"/>
          <w:kern w:val="0"/>
          <w:sz w:val="20"/>
          <w:szCs w:val="20"/>
          <w14:ligatures w14:val="none"/>
        </w:rPr>
      </w:pPr>
    </w:p>
    <w:p w14:paraId="33E94BF8" w14:textId="77777777" w:rsidR="00D702BF" w:rsidRPr="00701388" w:rsidRDefault="00D702BF" w:rsidP="009D0332">
      <w:pPr>
        <w:spacing w:before="100" w:beforeAutospacing="1" w:after="100" w:afterAutospacing="1" w:line="240" w:lineRule="auto"/>
        <w:ind w:right="-1"/>
        <w:jc w:val="both"/>
        <w:rPr>
          <w:rFonts w:ascii="Cambria" w:eastAsia="Times New Roman" w:hAnsi="Cambria" w:cs="Times New Roman"/>
          <w:kern w:val="0"/>
          <w:sz w:val="20"/>
          <w:szCs w:val="20"/>
          <w14:ligatures w14:val="none"/>
        </w:rPr>
      </w:pPr>
    </w:p>
    <w:p w14:paraId="290D7012" w14:textId="77777777" w:rsidR="00D702BF" w:rsidRPr="00701388" w:rsidRDefault="00D702BF" w:rsidP="009D0332">
      <w:pPr>
        <w:ind w:right="-1"/>
        <w:rPr>
          <w:rFonts w:ascii="Cambria" w:hAnsi="Cambria"/>
          <w:sz w:val="20"/>
          <w:szCs w:val="20"/>
        </w:rPr>
      </w:pPr>
    </w:p>
    <w:sectPr w:rsidR="00D702BF" w:rsidRPr="00701388" w:rsidSect="00701388">
      <w:headerReference w:type="default" r:id="rId7"/>
      <w:footerReference w:type="default" r:id="rId8"/>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EA9C" w14:textId="77777777" w:rsidR="00B61AC8" w:rsidRDefault="00B61AC8" w:rsidP="00B61AC8">
      <w:pPr>
        <w:spacing w:after="0" w:line="240" w:lineRule="auto"/>
      </w:pPr>
      <w:r>
        <w:separator/>
      </w:r>
    </w:p>
  </w:endnote>
  <w:endnote w:type="continuationSeparator" w:id="0">
    <w:p w14:paraId="57167CD2" w14:textId="77777777" w:rsidR="00B61AC8" w:rsidRDefault="00B61AC8" w:rsidP="00B61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9465" w14:textId="77777777" w:rsidR="00701388" w:rsidRPr="00654813" w:rsidRDefault="00701388" w:rsidP="00654813">
    <w:pPr>
      <w:tabs>
        <w:tab w:val="center" w:pos="4535"/>
        <w:tab w:val="center" w:pos="4680"/>
        <w:tab w:val="left" w:pos="6150"/>
        <w:tab w:val="right" w:pos="9360"/>
      </w:tabs>
      <w:spacing w:after="0" w:line="240" w:lineRule="auto"/>
      <w:jc w:val="center"/>
      <w:rPr>
        <w:rFonts w:ascii="Cambria" w:hAnsi="Cambria"/>
        <w:sz w:val="20"/>
      </w:rPr>
    </w:pPr>
    <w:r w:rsidRPr="00654813">
      <w:rPr>
        <w:rFonts w:ascii="Cambria" w:eastAsia="Calibri" w:hAnsi="Cambria" w:cs="Calibri"/>
        <w:sz w:val="20"/>
      </w:rPr>
      <w:fldChar w:fldCharType="begin"/>
    </w:r>
    <w:r w:rsidRPr="00654813">
      <w:rPr>
        <w:rFonts w:ascii="Cambria" w:eastAsia="Calibri" w:hAnsi="Cambria" w:cs="Calibri"/>
        <w:sz w:val="20"/>
      </w:rPr>
      <w:instrText xml:space="preserve"> PAGE </w:instrText>
    </w:r>
    <w:r w:rsidRPr="00654813">
      <w:rPr>
        <w:rFonts w:ascii="Cambria" w:eastAsia="Calibri" w:hAnsi="Cambria" w:cs="Calibri"/>
        <w:sz w:val="20"/>
      </w:rPr>
      <w:fldChar w:fldCharType="separate"/>
    </w:r>
    <w:r w:rsidRPr="00654813">
      <w:rPr>
        <w:rFonts w:ascii="Cambria" w:eastAsia="Calibri" w:hAnsi="Cambria" w:cs="Calibri"/>
        <w:sz w:val="20"/>
      </w:rPr>
      <w:t>1</w:t>
    </w:r>
    <w:r w:rsidRPr="00654813">
      <w:rPr>
        <w:rFonts w:ascii="Cambria" w:eastAsia="Calibri" w:hAnsi="Cambria" w:cs="Calibri"/>
        <w:sz w:val="20"/>
      </w:rPr>
      <w:fldChar w:fldCharType="end"/>
    </w:r>
    <w:r>
      <w:rPr>
        <w:rFonts w:ascii="Cambria" w:hAnsi="Cambria"/>
        <w:sz w:val="20"/>
      </w:rPr>
      <w:t xml:space="preserve"> / </w:t>
    </w:r>
    <w:r w:rsidRPr="00654813">
      <w:rPr>
        <w:rFonts w:ascii="Cambria" w:eastAsia="Calibri" w:hAnsi="Cambria" w:cs="Calibri"/>
        <w:sz w:val="20"/>
      </w:rPr>
      <w:fldChar w:fldCharType="begin"/>
    </w:r>
    <w:r w:rsidRPr="00654813">
      <w:rPr>
        <w:rFonts w:ascii="Cambria" w:eastAsia="Calibri" w:hAnsi="Cambria" w:cs="Calibri"/>
        <w:sz w:val="20"/>
      </w:rPr>
      <w:instrText xml:space="preserve"> NUMPAGES  </w:instrText>
    </w:r>
    <w:r w:rsidRPr="00654813">
      <w:rPr>
        <w:rFonts w:ascii="Cambria" w:eastAsia="Calibri" w:hAnsi="Cambria" w:cs="Calibri"/>
        <w:sz w:val="20"/>
      </w:rPr>
      <w:fldChar w:fldCharType="separate"/>
    </w:r>
    <w:r w:rsidRPr="00654813">
      <w:rPr>
        <w:rFonts w:ascii="Cambria" w:eastAsia="Calibri" w:hAnsi="Cambria" w:cs="Calibri"/>
        <w:sz w:val="20"/>
      </w:rPr>
      <w:t>8</w:t>
    </w:r>
    <w:r w:rsidRPr="00654813">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208B" w14:textId="77777777" w:rsidR="00B61AC8" w:rsidRDefault="00B61AC8" w:rsidP="00B61AC8">
      <w:pPr>
        <w:spacing w:after="0" w:line="240" w:lineRule="auto"/>
      </w:pPr>
      <w:r>
        <w:separator/>
      </w:r>
    </w:p>
  </w:footnote>
  <w:footnote w:type="continuationSeparator" w:id="0">
    <w:p w14:paraId="1C664912" w14:textId="77777777" w:rsidR="00B61AC8" w:rsidRDefault="00B61AC8" w:rsidP="00B61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6991" w14:textId="0B6CC324" w:rsidR="00B61AC8" w:rsidRPr="00B61AC8" w:rsidRDefault="00B61AC8" w:rsidP="00B61AC8">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PA2_629/2025</w:t>
    </w:r>
  </w:p>
  <w:p w14:paraId="265E6DC0" w14:textId="69346571" w:rsidR="00B61AC8" w:rsidRDefault="00B61AC8" w:rsidP="00654813">
    <w:pPr>
      <w:widowControl w:val="0"/>
      <w:tabs>
        <w:tab w:val="left" w:pos="7320"/>
      </w:tabs>
      <w:autoSpaceDE w:val="0"/>
      <w:autoSpaceDN w:val="0"/>
      <w:spacing w:after="0" w:line="240" w:lineRule="exact"/>
      <w:jc w:val="right"/>
    </w:pPr>
    <w:r w:rsidRPr="00B61AC8">
      <w:rPr>
        <w:rFonts w:ascii="Cambria" w:eastAsia="Cambria" w:hAnsi="Cambria" w:cs="Cambria"/>
        <w:b/>
        <w:sz w:val="16"/>
      </w:rPr>
      <w:fldChar w:fldCharType="begin"/>
    </w:r>
    <w:r w:rsidRPr="00B61AC8">
      <w:rPr>
        <w:rFonts w:ascii="Cambria" w:eastAsia="Cambria" w:hAnsi="Cambria" w:cs="Cambria"/>
        <w:b/>
        <w:sz w:val="16"/>
      </w:rPr>
      <w:instrText xml:space="preserve"> TIME \@ "dd/MM/yyyy H:mm" </w:instrText>
    </w:r>
    <w:r w:rsidRPr="00B61AC8">
      <w:rPr>
        <w:rFonts w:ascii="Cambria" w:eastAsia="Cambria" w:hAnsi="Cambria" w:cs="Cambria"/>
        <w:b/>
        <w:sz w:val="16"/>
      </w:rPr>
      <w:fldChar w:fldCharType="separate"/>
    </w:r>
    <w:r w:rsidR="00BB5208">
      <w:rPr>
        <w:rFonts w:ascii="Cambria" w:eastAsia="Cambria" w:hAnsi="Cambria" w:cs="Cambria"/>
        <w:b/>
        <w:noProof/>
        <w:sz w:val="16"/>
      </w:rPr>
      <w:t>18/11/2025 12:43</w:t>
    </w:r>
    <w:r w:rsidRPr="00B61AC8">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68CD"/>
    <w:multiLevelType w:val="hybridMultilevel"/>
    <w:tmpl w:val="FFFFFFFF"/>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30E2112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05171"/>
    <w:multiLevelType w:val="hybridMultilevel"/>
    <w:tmpl w:val="FFFFFFFF"/>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7E4A3FC5"/>
    <w:multiLevelType w:val="hybridMultilevel"/>
    <w:tmpl w:val="80B29038"/>
    <w:lvl w:ilvl="0" w:tplc="2F94BCF8">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174764098">
    <w:abstractNumId w:val="3"/>
  </w:num>
  <w:num w:numId="2" w16cid:durableId="38675337">
    <w:abstractNumId w:val="0"/>
  </w:num>
  <w:num w:numId="3" w16cid:durableId="2038311340">
    <w:abstractNumId w:val="2"/>
  </w:num>
  <w:num w:numId="4" w16cid:durableId="1791510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BF"/>
    <w:rsid w:val="003C1914"/>
    <w:rsid w:val="004B4002"/>
    <w:rsid w:val="004B512B"/>
    <w:rsid w:val="00654813"/>
    <w:rsid w:val="00686EF7"/>
    <w:rsid w:val="006E55B1"/>
    <w:rsid w:val="00701388"/>
    <w:rsid w:val="0070582F"/>
    <w:rsid w:val="00882A55"/>
    <w:rsid w:val="008F6668"/>
    <w:rsid w:val="009D0332"/>
    <w:rsid w:val="00A760BD"/>
    <w:rsid w:val="00AF48EF"/>
    <w:rsid w:val="00B2724E"/>
    <w:rsid w:val="00B61AC8"/>
    <w:rsid w:val="00BB5208"/>
    <w:rsid w:val="00D702BF"/>
    <w:rsid w:val="00F32C8F"/>
    <w:rsid w:val="00F65DC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67DC87"/>
  <w15:chartTrackingRefBased/>
  <w15:docId w15:val="{E48C7BE6-3918-452A-87AE-E9AD4274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12B"/>
  </w:style>
  <w:style w:type="paragraph" w:styleId="Heading1">
    <w:name w:val="heading 1"/>
    <w:basedOn w:val="Normal"/>
    <w:next w:val="Normal"/>
    <w:link w:val="Heading1Char"/>
    <w:uiPriority w:val="9"/>
    <w:qFormat/>
    <w:rsid w:val="00D70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2BF"/>
    <w:rPr>
      <w:rFonts w:eastAsiaTheme="majorEastAsia" w:cstheme="majorBidi"/>
      <w:color w:val="272727" w:themeColor="text1" w:themeTint="D8"/>
    </w:rPr>
  </w:style>
  <w:style w:type="paragraph" w:styleId="Title">
    <w:name w:val="Title"/>
    <w:basedOn w:val="Normal"/>
    <w:next w:val="Normal"/>
    <w:link w:val="TitleChar"/>
    <w:uiPriority w:val="10"/>
    <w:qFormat/>
    <w:rsid w:val="00D70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2BF"/>
    <w:pPr>
      <w:spacing w:before="160"/>
      <w:jc w:val="center"/>
    </w:pPr>
    <w:rPr>
      <w:i/>
      <w:iCs/>
      <w:color w:val="404040" w:themeColor="text1" w:themeTint="BF"/>
    </w:rPr>
  </w:style>
  <w:style w:type="character" w:customStyle="1" w:styleId="QuoteChar">
    <w:name w:val="Quote Char"/>
    <w:basedOn w:val="DefaultParagraphFont"/>
    <w:link w:val="Quote"/>
    <w:uiPriority w:val="29"/>
    <w:rsid w:val="00D702BF"/>
    <w:rPr>
      <w:i/>
      <w:iCs/>
      <w:color w:val="404040" w:themeColor="text1" w:themeTint="BF"/>
    </w:rPr>
  </w:style>
  <w:style w:type="paragraph" w:styleId="ListParagraph">
    <w:name w:val="List Paragraph"/>
    <w:basedOn w:val="Normal"/>
    <w:uiPriority w:val="34"/>
    <w:qFormat/>
    <w:rsid w:val="00D702BF"/>
    <w:pPr>
      <w:ind w:left="720"/>
      <w:contextualSpacing/>
    </w:pPr>
  </w:style>
  <w:style w:type="character" w:styleId="IntenseEmphasis">
    <w:name w:val="Intense Emphasis"/>
    <w:basedOn w:val="DefaultParagraphFont"/>
    <w:uiPriority w:val="21"/>
    <w:qFormat/>
    <w:rsid w:val="00D702BF"/>
    <w:rPr>
      <w:i/>
      <w:iCs/>
      <w:color w:val="0F4761" w:themeColor="accent1" w:themeShade="BF"/>
    </w:rPr>
  </w:style>
  <w:style w:type="paragraph" w:styleId="IntenseQuote">
    <w:name w:val="Intense Quote"/>
    <w:basedOn w:val="Normal"/>
    <w:next w:val="Normal"/>
    <w:link w:val="IntenseQuoteChar"/>
    <w:uiPriority w:val="30"/>
    <w:qFormat/>
    <w:rsid w:val="00D70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2BF"/>
    <w:rPr>
      <w:i/>
      <w:iCs/>
      <w:color w:val="0F4761" w:themeColor="accent1" w:themeShade="BF"/>
    </w:rPr>
  </w:style>
  <w:style w:type="character" w:styleId="IntenseReference">
    <w:name w:val="Intense Reference"/>
    <w:basedOn w:val="DefaultParagraphFont"/>
    <w:uiPriority w:val="32"/>
    <w:qFormat/>
    <w:rsid w:val="00D702BF"/>
    <w:rPr>
      <w:b/>
      <w:bCs/>
      <w:smallCaps/>
      <w:color w:val="0F4761" w:themeColor="accent1" w:themeShade="BF"/>
      <w:spacing w:val="5"/>
    </w:rPr>
  </w:style>
  <w:style w:type="paragraph" w:styleId="Header">
    <w:name w:val="header"/>
    <w:basedOn w:val="Normal"/>
    <w:link w:val="HeaderChar"/>
    <w:uiPriority w:val="99"/>
    <w:unhideWhenUsed/>
    <w:rsid w:val="00B61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AC8"/>
  </w:style>
  <w:style w:type="paragraph" w:styleId="Footer">
    <w:name w:val="footer"/>
    <w:basedOn w:val="Normal"/>
    <w:link w:val="FooterChar"/>
    <w:uiPriority w:val="99"/>
    <w:unhideWhenUsed/>
    <w:rsid w:val="00B61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1046</Words>
  <Characters>5759</Characters>
  <Application>Microsoft Office Word</Application>
  <DocSecurity>0</DocSecurity>
  <Lines>47</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4</cp:revision>
  <dcterms:created xsi:type="dcterms:W3CDTF">2025-11-18T11:12:00Z</dcterms:created>
  <dcterms:modified xsi:type="dcterms:W3CDTF">2025-11-18T11:47:00Z</dcterms:modified>
</cp:coreProperties>
</file>