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2701" w14:textId="210CA989" w:rsidR="00D702BF" w:rsidRDefault="00B61AC8" w:rsidP="00BC3613">
      <w:pPr>
        <w:spacing w:after="0" w:line="240" w:lineRule="auto"/>
        <w:ind w:right="-1"/>
        <w:contextualSpacing/>
        <w:jc w:val="right"/>
        <w:rPr>
          <w:rFonts w:ascii="Cambria" w:hAnsi="Cambria"/>
          <w:b/>
          <w:bCs/>
          <w:sz w:val="20"/>
        </w:rPr>
      </w:pPr>
      <w:r>
        <w:rPr>
          <w:rFonts w:ascii="Cambria" w:hAnsi="Cambria"/>
          <w:b/>
          <w:bCs/>
          <w:sz w:val="20"/>
        </w:rPr>
        <w:t>Original :</w:t>
      </w:r>
      <w:r>
        <w:rPr>
          <w:rFonts w:ascii="Cambria" w:hAnsi="Cambria"/>
          <w:b/>
          <w:sz w:val="20"/>
        </w:rPr>
        <w:t xml:space="preserve"> </w:t>
      </w:r>
      <w:r>
        <w:rPr>
          <w:rFonts w:ascii="Cambria" w:hAnsi="Cambria"/>
          <w:b/>
          <w:bCs/>
          <w:sz w:val="20"/>
        </w:rPr>
        <w:t>anglais</w:t>
      </w:r>
    </w:p>
    <w:p w14:paraId="6810167F" w14:textId="77777777" w:rsidR="00A41951" w:rsidRPr="00701388" w:rsidRDefault="00A41951" w:rsidP="00BC3613">
      <w:pPr>
        <w:spacing w:after="0" w:line="240" w:lineRule="auto"/>
        <w:ind w:right="-1"/>
        <w:contextualSpacing/>
        <w:jc w:val="right"/>
        <w:rPr>
          <w:rFonts w:ascii="Cambria" w:eastAsia="Times New Roman" w:hAnsi="Cambria" w:cs="Times New Roman"/>
          <w:b/>
          <w:bCs/>
          <w:kern w:val="0"/>
          <w:sz w:val="20"/>
          <w:szCs w:val="20"/>
          <w14:ligatures w14:val="none"/>
        </w:rPr>
      </w:pPr>
    </w:p>
    <w:p w14:paraId="10CD29B5" w14:textId="692E9204" w:rsidR="00D702BF" w:rsidRPr="009D0332" w:rsidRDefault="00D702BF" w:rsidP="00BC3613">
      <w:pPr>
        <w:spacing w:after="0" w:line="240" w:lineRule="auto"/>
        <w:contextualSpacing/>
        <w:jc w:val="center"/>
        <w:rPr>
          <w:rFonts w:ascii="Cambria" w:eastAsia="Times New Roman" w:hAnsi="Cambria" w:cs="Times New Roman"/>
          <w:b/>
          <w:bCs/>
          <w:kern w:val="0"/>
          <w:sz w:val="20"/>
          <w:szCs w:val="20"/>
          <w14:ligatures w14:val="none"/>
        </w:rPr>
      </w:pPr>
      <w:r>
        <w:rPr>
          <w:rFonts w:ascii="Cambria" w:hAnsi="Cambria"/>
          <w:b/>
          <w:sz w:val="20"/>
        </w:rPr>
        <w:t>Déclaration à la Sous-commission 2 de la République arabe d'Égypte demandant une allocation équitable de thon rouge de l'Est</w:t>
      </w:r>
    </w:p>
    <w:p w14:paraId="0929FE72" w14:textId="15E19146" w:rsidR="009D0332" w:rsidRPr="009D0332" w:rsidRDefault="009D0332" w:rsidP="00BC3613">
      <w:pPr>
        <w:spacing w:after="0" w:line="240" w:lineRule="auto"/>
        <w:contextualSpacing/>
        <w:jc w:val="center"/>
        <w:rPr>
          <w:rFonts w:ascii="Cambria" w:eastAsia="Times New Roman" w:hAnsi="Cambria" w:cs="Times New Roman"/>
          <w:i/>
          <w:iCs/>
          <w:kern w:val="0"/>
          <w:sz w:val="20"/>
          <w:szCs w:val="20"/>
          <w14:ligatures w14:val="none"/>
        </w:rPr>
      </w:pPr>
      <w:r>
        <w:rPr>
          <w:rFonts w:ascii="Cambria" w:hAnsi="Cambria"/>
          <w:i/>
          <w:sz w:val="20"/>
        </w:rPr>
        <w:t>(Soumise par la République arabe d'Égypte)</w:t>
      </w:r>
    </w:p>
    <w:p w14:paraId="7D2EA9F8" w14:textId="77777777" w:rsidR="00654813" w:rsidRPr="00654813" w:rsidRDefault="00654813" w:rsidP="00BC3613">
      <w:pPr>
        <w:spacing w:after="0" w:line="240" w:lineRule="auto"/>
        <w:contextualSpacing/>
        <w:jc w:val="both"/>
        <w:rPr>
          <w:rFonts w:ascii="Cambria" w:eastAsia="Times New Roman" w:hAnsi="Cambria" w:cs="Times New Roman"/>
          <w:b/>
          <w:bCs/>
          <w:kern w:val="0"/>
          <w:sz w:val="20"/>
          <w:szCs w:val="20"/>
          <w14:ligatures w14:val="none"/>
        </w:rPr>
      </w:pPr>
    </w:p>
    <w:p w14:paraId="29C5BE27" w14:textId="61E73023" w:rsidR="00D702BF" w:rsidRPr="00654813" w:rsidRDefault="00D702BF" w:rsidP="00BC3613">
      <w:pPr>
        <w:spacing w:after="0" w:line="240" w:lineRule="auto"/>
        <w:contextualSpacing/>
        <w:jc w:val="both"/>
        <w:rPr>
          <w:rFonts w:ascii="Cambria" w:eastAsia="Times New Roman" w:hAnsi="Cambria" w:cs="Times New Roman"/>
          <w:b/>
          <w:bCs/>
          <w:kern w:val="0"/>
          <w:sz w:val="20"/>
          <w:szCs w:val="20"/>
          <w14:ligatures w14:val="none"/>
        </w:rPr>
      </w:pPr>
      <w:r>
        <w:rPr>
          <w:rFonts w:ascii="Cambria" w:hAnsi="Cambria"/>
          <w:b/>
          <w:bCs/>
          <w:sz w:val="20"/>
        </w:rPr>
        <w:t>Introduction</w:t>
      </w:r>
    </w:p>
    <w:p w14:paraId="40CD159A" w14:textId="77777777" w:rsidR="00654813" w:rsidRPr="00701388" w:rsidRDefault="00654813" w:rsidP="00BC3613">
      <w:pPr>
        <w:spacing w:after="0" w:line="240" w:lineRule="auto"/>
        <w:contextualSpacing/>
        <w:jc w:val="both"/>
        <w:rPr>
          <w:rFonts w:ascii="Cambria" w:eastAsia="Times New Roman" w:hAnsi="Cambria" w:cs="Times New Roman"/>
          <w:b/>
          <w:bCs/>
          <w:i/>
          <w:iCs/>
          <w:kern w:val="0"/>
          <w:sz w:val="20"/>
          <w:szCs w:val="20"/>
          <w14:ligatures w14:val="none"/>
        </w:rPr>
      </w:pPr>
    </w:p>
    <w:p w14:paraId="221C96E4" w14:textId="53C45D9C" w:rsidR="00D702BF" w:rsidRDefault="00D702BF" w:rsidP="00BC3613">
      <w:pPr>
        <w:spacing w:after="0" w:line="240" w:lineRule="auto"/>
        <w:contextualSpacing/>
        <w:jc w:val="both"/>
        <w:rPr>
          <w:rFonts w:ascii="Cambria" w:hAnsi="Cambria"/>
          <w:sz w:val="20"/>
        </w:rPr>
      </w:pPr>
      <w:r>
        <w:rPr>
          <w:rFonts w:ascii="Cambria" w:hAnsi="Cambria"/>
          <w:sz w:val="20"/>
        </w:rPr>
        <w:t>Avant toute chose, l'Égypte tient à exprimer sa sincère gratitude à l’ICCAT pour ses efforts continus en faveur de la gestion durable des stocks de thonidés. Nous tenons à remercier tout particulièrement le Président de la Sous-commission 2 pour son travail acharné et son leadership constructif dans la conduite des discussions délicates et extrêmement complexes concernant l’allocation des quotas entre les CPC. Nous saluons également les intéressantes propositions présentées par les États membres, qui reflètent un engagement collectif en faveur de la justice et de l'équité.</w:t>
      </w:r>
    </w:p>
    <w:p w14:paraId="5696A990" w14:textId="77777777" w:rsidR="00BC3613" w:rsidRPr="00701388" w:rsidRDefault="00BC3613" w:rsidP="00BC3613">
      <w:pPr>
        <w:spacing w:after="0" w:line="240" w:lineRule="auto"/>
        <w:contextualSpacing/>
        <w:jc w:val="both"/>
        <w:rPr>
          <w:rFonts w:ascii="Cambria" w:eastAsia="Times New Roman" w:hAnsi="Cambria" w:cs="Times New Roman"/>
          <w:kern w:val="0"/>
          <w:sz w:val="20"/>
          <w:szCs w:val="20"/>
          <w14:ligatures w14:val="none"/>
        </w:rPr>
      </w:pPr>
    </w:p>
    <w:p w14:paraId="3DD56F90" w14:textId="04BB2307" w:rsidR="00D702BF" w:rsidRDefault="00686EF7" w:rsidP="00BC3613">
      <w:pPr>
        <w:spacing w:after="0" w:line="240" w:lineRule="auto"/>
        <w:ind w:right="-1"/>
        <w:contextualSpacing/>
        <w:jc w:val="both"/>
        <w:rPr>
          <w:rFonts w:ascii="Cambria" w:hAnsi="Cambria"/>
          <w:b/>
          <w:sz w:val="20"/>
        </w:rPr>
      </w:pPr>
      <w:r>
        <w:rPr>
          <w:rFonts w:ascii="Cambria" w:hAnsi="Cambria"/>
          <w:b/>
          <w:sz w:val="20"/>
        </w:rPr>
        <w:t>État du stock de thon rouge de l'Atlantique Est</w:t>
      </w:r>
    </w:p>
    <w:p w14:paraId="63459654" w14:textId="77777777" w:rsidR="00BC3613" w:rsidRPr="00654813" w:rsidRDefault="00BC3613" w:rsidP="00BC3613">
      <w:pPr>
        <w:spacing w:after="0" w:line="240" w:lineRule="auto"/>
        <w:ind w:right="-1"/>
        <w:contextualSpacing/>
        <w:jc w:val="both"/>
        <w:rPr>
          <w:rFonts w:ascii="Cambria" w:eastAsia="Times New Roman" w:hAnsi="Cambria" w:cs="Times New Roman"/>
          <w:b/>
          <w:bCs/>
          <w:kern w:val="0"/>
          <w:sz w:val="20"/>
          <w:szCs w:val="20"/>
          <w14:ligatures w14:val="none"/>
        </w:rPr>
      </w:pPr>
    </w:p>
    <w:p w14:paraId="4025ACC5" w14:textId="77777777" w:rsidR="00D702BF" w:rsidRDefault="00D702BF" w:rsidP="00BC3613">
      <w:pPr>
        <w:spacing w:after="0" w:line="240" w:lineRule="auto"/>
        <w:ind w:right="-1"/>
        <w:contextualSpacing/>
        <w:jc w:val="both"/>
        <w:rPr>
          <w:rFonts w:ascii="Cambria" w:hAnsi="Cambria"/>
          <w:sz w:val="20"/>
        </w:rPr>
      </w:pPr>
      <w:r>
        <w:rPr>
          <w:rFonts w:ascii="Cambria" w:hAnsi="Cambria"/>
          <w:sz w:val="20"/>
        </w:rPr>
        <w:t>Malgré la complexité technique du sujet de l’allocation, il est clair que toutes les propositions soumises par les CPC partagent une conclusion commune, à savoir que le stock est dans un état suffisamment bon pour permettre une distribution plus équilibrée et équitable des possibilités de pêche entre les Parties contractantes. Cela offre une occasion unique et opportune de réévaluer les allocations actuelles, en particulier pour les États côtiers en développement auxquels des petits quotas ont toujours été attribué.</w:t>
      </w:r>
    </w:p>
    <w:p w14:paraId="752AECCC" w14:textId="77777777" w:rsidR="00BC3613" w:rsidRPr="00701388" w:rsidRDefault="00BC3613" w:rsidP="00BC3613">
      <w:pPr>
        <w:spacing w:after="0" w:line="240" w:lineRule="auto"/>
        <w:ind w:right="-1"/>
        <w:contextualSpacing/>
        <w:jc w:val="both"/>
        <w:rPr>
          <w:rFonts w:ascii="Cambria" w:eastAsia="Times New Roman" w:hAnsi="Cambria" w:cs="Times New Roman"/>
          <w:kern w:val="0"/>
          <w:sz w:val="20"/>
          <w:szCs w:val="20"/>
          <w14:ligatures w14:val="none"/>
        </w:rPr>
      </w:pPr>
    </w:p>
    <w:p w14:paraId="31917F2F" w14:textId="03209B90" w:rsidR="008F6668" w:rsidRDefault="00D702BF" w:rsidP="00BC3613">
      <w:pPr>
        <w:spacing w:after="0" w:line="240" w:lineRule="auto"/>
        <w:ind w:right="-1"/>
        <w:contextualSpacing/>
        <w:jc w:val="both"/>
        <w:rPr>
          <w:rFonts w:ascii="Cambria" w:hAnsi="Cambria"/>
          <w:b/>
          <w:sz w:val="20"/>
        </w:rPr>
      </w:pPr>
      <w:r>
        <w:rPr>
          <w:rFonts w:ascii="Cambria" w:hAnsi="Cambria"/>
          <w:b/>
          <w:sz w:val="20"/>
        </w:rPr>
        <w:t>Situation actuelle de l’Égypte</w:t>
      </w:r>
    </w:p>
    <w:p w14:paraId="32DEB7F3" w14:textId="77777777" w:rsidR="00BC3613" w:rsidRPr="00654813" w:rsidRDefault="00BC3613" w:rsidP="00BC3613">
      <w:pPr>
        <w:spacing w:after="0" w:line="240" w:lineRule="auto"/>
        <w:ind w:right="-1"/>
        <w:contextualSpacing/>
        <w:jc w:val="both"/>
        <w:rPr>
          <w:rFonts w:ascii="Cambria" w:eastAsia="Times New Roman" w:hAnsi="Cambria" w:cs="Times New Roman"/>
          <w:b/>
          <w:bCs/>
          <w:kern w:val="0"/>
          <w:sz w:val="20"/>
          <w:szCs w:val="20"/>
          <w14:ligatures w14:val="none"/>
        </w:rPr>
      </w:pPr>
    </w:p>
    <w:p w14:paraId="25891E1A" w14:textId="3378F7E7" w:rsidR="008F6668" w:rsidRDefault="00D702BF" w:rsidP="00BC3613">
      <w:pPr>
        <w:spacing w:after="0" w:line="240" w:lineRule="auto"/>
        <w:ind w:right="-1"/>
        <w:contextualSpacing/>
        <w:jc w:val="both"/>
        <w:rPr>
          <w:rFonts w:ascii="Cambria" w:hAnsi="Cambria"/>
          <w:sz w:val="20"/>
        </w:rPr>
      </w:pPr>
      <w:r>
        <w:rPr>
          <w:rFonts w:ascii="Cambria" w:hAnsi="Cambria"/>
          <w:sz w:val="20"/>
        </w:rPr>
        <w:t>Depuis 2009, l'Égypte a démontré le respect total des Recommandations et des mesures de conservation de l’ICCAT, présentant davantage d'améliorations ces dernières années, et a régulièrement sollicité un renforcement des capacités afin d'améliorer la collecte de données, la déclaration des données et l’application. Au cours des quinze dernières années, l'Égypte a considérablement modernisé son cadre réglementaire national et amélioré ses systèmes de suivi, de contrôle et de surveillance (MCS), les alignant tous sur les normes de l’ICCAT et ce, malgré les contraintes économiques auxquelles elle était confrontée.</w:t>
      </w:r>
    </w:p>
    <w:p w14:paraId="21513CE3" w14:textId="77777777" w:rsidR="003E0A4F" w:rsidRPr="00701388" w:rsidRDefault="003E0A4F" w:rsidP="00BC3613">
      <w:pPr>
        <w:spacing w:after="0" w:line="240" w:lineRule="auto"/>
        <w:ind w:right="-1"/>
        <w:contextualSpacing/>
        <w:jc w:val="both"/>
        <w:rPr>
          <w:rFonts w:ascii="Cambria" w:eastAsia="Times New Roman" w:hAnsi="Cambria" w:cs="Times New Roman"/>
          <w:b/>
          <w:bCs/>
          <w:i/>
          <w:iCs/>
          <w:kern w:val="0"/>
          <w:sz w:val="20"/>
          <w:szCs w:val="20"/>
          <w14:ligatures w14:val="none"/>
        </w:rPr>
      </w:pPr>
    </w:p>
    <w:p w14:paraId="1BE04237" w14:textId="20F6578A" w:rsidR="00D702BF" w:rsidRDefault="00D702BF" w:rsidP="00BC3613">
      <w:pPr>
        <w:spacing w:after="0" w:line="240" w:lineRule="auto"/>
        <w:ind w:right="-1"/>
        <w:contextualSpacing/>
        <w:jc w:val="both"/>
        <w:rPr>
          <w:rFonts w:ascii="Cambria" w:hAnsi="Cambria"/>
          <w:sz w:val="20"/>
        </w:rPr>
      </w:pPr>
      <w:r>
        <w:rPr>
          <w:rFonts w:ascii="Cambria" w:hAnsi="Cambria"/>
          <w:sz w:val="20"/>
        </w:rPr>
        <w:t>La capacité opérationnelle de pêche est passée de cinq navires actifs à seulement un ou deux par an « en raison d'une allocation limitée », ce qui restreint les opportunités d'investissement, la création d'emplois et la création de valeur locale, malgré le littoral étendu de l'Égypte de plus de 1.000 kilomètres et la dépendance de millions de personnes aux ressources marines.</w:t>
      </w:r>
    </w:p>
    <w:p w14:paraId="336C4F0C" w14:textId="77777777" w:rsidR="00BC3613" w:rsidRPr="00701388" w:rsidRDefault="00BC3613" w:rsidP="00BC3613">
      <w:pPr>
        <w:spacing w:after="0" w:line="240" w:lineRule="auto"/>
        <w:ind w:right="-1"/>
        <w:contextualSpacing/>
        <w:jc w:val="both"/>
        <w:rPr>
          <w:rFonts w:ascii="Cambria" w:eastAsia="Times New Roman" w:hAnsi="Cambria" w:cs="Times New Roman"/>
          <w:b/>
          <w:bCs/>
          <w:i/>
          <w:iCs/>
          <w:kern w:val="0"/>
          <w:sz w:val="20"/>
          <w:szCs w:val="20"/>
          <w14:ligatures w14:val="none"/>
        </w:rPr>
      </w:pPr>
    </w:p>
    <w:p w14:paraId="0558EA90" w14:textId="44BF590D" w:rsidR="00D702BF" w:rsidRDefault="004B4002" w:rsidP="00BC3613">
      <w:pPr>
        <w:spacing w:after="0" w:line="240" w:lineRule="auto"/>
        <w:ind w:right="-1"/>
        <w:contextualSpacing/>
        <w:jc w:val="both"/>
        <w:rPr>
          <w:rFonts w:ascii="Cambria" w:hAnsi="Cambria"/>
          <w:b/>
          <w:sz w:val="20"/>
        </w:rPr>
      </w:pPr>
      <w:r>
        <w:rPr>
          <w:rFonts w:ascii="Cambria" w:hAnsi="Cambria"/>
          <w:b/>
          <w:sz w:val="20"/>
        </w:rPr>
        <w:t>Plan de développement de l'Égypte pour l'industrie du thon rouge</w:t>
      </w:r>
    </w:p>
    <w:p w14:paraId="5EF85E48" w14:textId="77777777" w:rsidR="00BC3613" w:rsidRPr="00654813" w:rsidRDefault="00BC3613" w:rsidP="00BC3613">
      <w:pPr>
        <w:spacing w:after="0" w:line="240" w:lineRule="auto"/>
        <w:ind w:right="-1"/>
        <w:contextualSpacing/>
        <w:jc w:val="both"/>
        <w:rPr>
          <w:rFonts w:ascii="Cambria" w:eastAsia="Times New Roman" w:hAnsi="Cambria" w:cs="Times New Roman"/>
          <w:b/>
          <w:bCs/>
          <w:kern w:val="0"/>
          <w:sz w:val="20"/>
          <w:szCs w:val="20"/>
          <w14:ligatures w14:val="none"/>
        </w:rPr>
      </w:pPr>
    </w:p>
    <w:p w14:paraId="3F2B3ABA" w14:textId="70A0A10B" w:rsidR="00D702BF" w:rsidRDefault="00D702BF" w:rsidP="00BC3613">
      <w:pPr>
        <w:spacing w:after="0" w:line="240" w:lineRule="auto"/>
        <w:ind w:right="-1"/>
        <w:contextualSpacing/>
        <w:jc w:val="both"/>
        <w:rPr>
          <w:rFonts w:ascii="Cambria" w:hAnsi="Cambria"/>
          <w:sz w:val="20"/>
        </w:rPr>
      </w:pPr>
      <w:r>
        <w:rPr>
          <w:rFonts w:ascii="Cambria" w:hAnsi="Cambria"/>
          <w:sz w:val="20"/>
        </w:rPr>
        <w:t>L'Égypte dispose d'un plan clair et réalisable pour développer une pêche de thon rouge durable et pleinement conforme, dont l'élément central est la nécessité d'une allocation significative et viable, comprenant</w:t>
      </w:r>
      <w:r w:rsidR="00BC3613">
        <w:rPr>
          <w:rFonts w:ascii="Cambria" w:hAnsi="Cambria"/>
          <w:sz w:val="20"/>
        </w:rPr>
        <w:t> :</w:t>
      </w:r>
    </w:p>
    <w:p w14:paraId="3ECFBB3E" w14:textId="77777777" w:rsidR="00BC3613" w:rsidRPr="00701388" w:rsidRDefault="00BC3613" w:rsidP="00BC3613">
      <w:pPr>
        <w:spacing w:after="0" w:line="240" w:lineRule="auto"/>
        <w:ind w:right="-1"/>
        <w:contextualSpacing/>
        <w:jc w:val="both"/>
        <w:rPr>
          <w:rFonts w:ascii="Cambria" w:eastAsia="Times New Roman" w:hAnsi="Cambria" w:cs="Times New Roman"/>
          <w:kern w:val="0"/>
          <w:sz w:val="20"/>
          <w:szCs w:val="20"/>
          <w14:ligatures w14:val="none"/>
        </w:rPr>
      </w:pPr>
    </w:p>
    <w:p w14:paraId="7878D60C" w14:textId="77777777" w:rsidR="00D702BF" w:rsidRPr="00701388" w:rsidRDefault="00D702BF" w:rsidP="00BC3613">
      <w:pPr>
        <w:numPr>
          <w:ilvl w:val="0"/>
          <w:numId w:val="1"/>
        </w:numPr>
        <w:spacing w:after="0"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Réinvestir dans la flottille de pêche nationale afin de soutenir à la fois la capture pour l'élevage et la pêche ciblée.</w:t>
      </w:r>
    </w:p>
    <w:p w14:paraId="4EB87A74" w14:textId="77777777" w:rsidR="00D702BF" w:rsidRPr="00701388" w:rsidRDefault="00D702BF" w:rsidP="00BC3613">
      <w:pPr>
        <w:numPr>
          <w:ilvl w:val="0"/>
          <w:numId w:val="1"/>
        </w:numPr>
        <w:spacing w:after="0"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Établir un partenariat avec le SCRS pour collecter des données importantes sur les captures sauvages et les activités d’élevage.</w:t>
      </w:r>
    </w:p>
    <w:p w14:paraId="163E83CB" w14:textId="77777777" w:rsidR="00D702BF" w:rsidRPr="00701388" w:rsidRDefault="00D702BF" w:rsidP="00BC3613">
      <w:pPr>
        <w:numPr>
          <w:ilvl w:val="0"/>
          <w:numId w:val="1"/>
        </w:numPr>
        <w:spacing w:after="0"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Utiliser le quota pour approvisionner et exploiter de manière responsable la ferme autorisée, créant ainsi une nouvelle industrie à forte valeur ajoutée.</w:t>
      </w:r>
    </w:p>
    <w:p w14:paraId="7752B971" w14:textId="77777777" w:rsidR="00D702BF" w:rsidRPr="00701388" w:rsidRDefault="00D702BF" w:rsidP="00BC3613">
      <w:pPr>
        <w:numPr>
          <w:ilvl w:val="0"/>
          <w:numId w:val="1"/>
        </w:numPr>
        <w:spacing w:after="0"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Offrir des opportunités d'emploi et améliorer les moyens de subsistance des communautés de pêcheurs.</w:t>
      </w:r>
    </w:p>
    <w:p w14:paraId="3BA114D2" w14:textId="77777777" w:rsidR="00D702BF" w:rsidRPr="00701388" w:rsidRDefault="00D702BF" w:rsidP="00BC3613">
      <w:pPr>
        <w:numPr>
          <w:ilvl w:val="0"/>
          <w:numId w:val="1"/>
        </w:numPr>
        <w:spacing w:after="0"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Contribuer à la mise en œuvre de la stratégie égyptienne visant à développer le secteur de la pêche d'ici 2030 et aider à augmenter les revenus locaux.</w:t>
      </w:r>
    </w:p>
    <w:p w14:paraId="6BFC0457" w14:textId="79481FCE" w:rsidR="00BC3613" w:rsidRDefault="00BC3613" w:rsidP="00BC3613">
      <w:pPr>
        <w:spacing w:after="0" w:line="240" w:lineRule="auto"/>
        <w:contextualSpacing/>
        <w:rPr>
          <w:rFonts w:ascii="Cambria" w:eastAsia="Times New Roman" w:hAnsi="Cambria" w:cs="Times New Roman"/>
          <w:kern w:val="0"/>
          <w:sz w:val="20"/>
          <w:szCs w:val="20"/>
          <w14:ligatures w14:val="none"/>
        </w:rPr>
      </w:pPr>
      <w:r>
        <w:rPr>
          <w:rFonts w:ascii="Cambria" w:eastAsia="Times New Roman" w:hAnsi="Cambria" w:cs="Times New Roman"/>
          <w:kern w:val="0"/>
          <w:sz w:val="20"/>
          <w:szCs w:val="20"/>
          <w14:ligatures w14:val="none"/>
        </w:rPr>
        <w:br w:type="page"/>
      </w:r>
    </w:p>
    <w:p w14:paraId="458E707E" w14:textId="77777777" w:rsidR="00BC3613" w:rsidRDefault="00BC3613" w:rsidP="00BC3613">
      <w:pPr>
        <w:spacing w:after="0" w:line="240" w:lineRule="auto"/>
        <w:ind w:right="4"/>
        <w:contextualSpacing/>
        <w:jc w:val="both"/>
        <w:rPr>
          <w:rFonts w:ascii="Cambria" w:hAnsi="Cambria"/>
          <w:b/>
          <w:i/>
          <w:sz w:val="20"/>
          <w:szCs w:val="20"/>
        </w:rPr>
      </w:pPr>
      <w:r w:rsidRPr="00077D33">
        <w:rPr>
          <w:rFonts w:ascii="Cambria" w:hAnsi="Cambria"/>
          <w:b/>
          <w:i/>
          <w:sz w:val="20"/>
          <w:szCs w:val="20"/>
        </w:rPr>
        <w:lastRenderedPageBreak/>
        <w:t>Préoccupations de l’Égypte</w:t>
      </w:r>
    </w:p>
    <w:p w14:paraId="6D565796" w14:textId="77777777" w:rsidR="00BC3613" w:rsidRPr="00077D33" w:rsidRDefault="00BC3613" w:rsidP="00BC3613">
      <w:pPr>
        <w:spacing w:after="0" w:line="240" w:lineRule="auto"/>
        <w:ind w:right="4"/>
        <w:contextualSpacing/>
        <w:jc w:val="both"/>
        <w:rPr>
          <w:rFonts w:ascii="Cambria" w:eastAsia="Times New Roman" w:hAnsi="Cambria" w:cs="Times New Roman"/>
          <w:b/>
          <w:bCs/>
          <w:i/>
          <w:iCs/>
          <w:kern w:val="0"/>
          <w:sz w:val="20"/>
          <w:szCs w:val="20"/>
          <w14:ligatures w14:val="none"/>
        </w:rPr>
      </w:pPr>
    </w:p>
    <w:p w14:paraId="047E6D57" w14:textId="77777777" w:rsidR="00BC3613" w:rsidRDefault="00BC3613" w:rsidP="00BC3613">
      <w:pPr>
        <w:spacing w:after="0" w:line="240" w:lineRule="auto"/>
        <w:ind w:right="4"/>
        <w:contextualSpacing/>
        <w:jc w:val="both"/>
        <w:rPr>
          <w:rFonts w:ascii="Cambria" w:hAnsi="Cambria"/>
          <w:sz w:val="20"/>
          <w:szCs w:val="20"/>
        </w:rPr>
      </w:pPr>
      <w:r w:rsidRPr="00077D33">
        <w:rPr>
          <w:rFonts w:ascii="Cambria" w:hAnsi="Cambria"/>
          <w:sz w:val="20"/>
          <w:szCs w:val="20"/>
        </w:rPr>
        <w:t>La proposition d'utiliser le facteur d'utilisation de 2023 et 2024 comme référence est problématique car elle pénalise intrinsèquement certains détenteurs de petits quotas qui se sont vu attribuer des quotas minimaux inférieurs à 1.000 t. En liant l'accès futur aux performances des deux dernières années seulement, sans tenir compte de l'historique du taux d'utilisation au cours des années précédentes, un cycle vacant de non-utilisation peut être créé, où une capacité initiale limitée entraîne automatiquement de faibles taux d'utilisation qui reflètent une exclusion continue et une inégalité, ce qui va directement à l'encontre de la garantie d'un accès équitable pour ces détenteurs de petits quotas.</w:t>
      </w:r>
    </w:p>
    <w:p w14:paraId="389F9CB2" w14:textId="77777777" w:rsidR="00BC3613" w:rsidRPr="00077D33" w:rsidRDefault="00BC3613" w:rsidP="00BC3613">
      <w:pPr>
        <w:spacing w:after="0" w:line="240" w:lineRule="auto"/>
        <w:ind w:right="4"/>
        <w:contextualSpacing/>
        <w:jc w:val="both"/>
        <w:rPr>
          <w:rFonts w:ascii="Cambria" w:eastAsia="Times New Roman" w:hAnsi="Cambria" w:cs="Times New Roman"/>
          <w:b/>
          <w:bCs/>
          <w:i/>
          <w:iCs/>
          <w:kern w:val="0"/>
          <w:sz w:val="20"/>
          <w:szCs w:val="20"/>
          <w14:ligatures w14:val="none"/>
        </w:rPr>
      </w:pPr>
    </w:p>
    <w:p w14:paraId="013554BD" w14:textId="77777777" w:rsidR="00BC3613" w:rsidRPr="00077D33" w:rsidRDefault="00BC3613" w:rsidP="00BC3613">
      <w:pPr>
        <w:spacing w:after="0" w:line="240" w:lineRule="auto"/>
        <w:ind w:right="4"/>
        <w:contextualSpacing/>
        <w:jc w:val="both"/>
        <w:rPr>
          <w:rFonts w:ascii="Cambria" w:eastAsia="Times New Roman" w:hAnsi="Cambria" w:cs="Times New Roman"/>
          <w:b/>
          <w:bCs/>
          <w:i/>
          <w:iCs/>
          <w:kern w:val="0"/>
          <w:sz w:val="20"/>
          <w:szCs w:val="20"/>
          <w14:ligatures w14:val="none"/>
        </w:rPr>
      </w:pPr>
      <w:r w:rsidRPr="00077D33">
        <w:rPr>
          <w:rFonts w:ascii="Cambria" w:hAnsi="Cambria"/>
          <w:sz w:val="20"/>
          <w:szCs w:val="20"/>
        </w:rPr>
        <w:t>Cela fait longtemps que la dernière allocation légale a été adoptée et l'état du stock cette année offre une excellente occasion de combler nos attentes.</w:t>
      </w:r>
    </w:p>
    <w:p w14:paraId="760077A0"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0AFA3256" w14:textId="77777777" w:rsidR="00BC3613" w:rsidRDefault="00BC3613" w:rsidP="00BC3613">
      <w:pPr>
        <w:spacing w:after="0" w:line="240" w:lineRule="auto"/>
        <w:ind w:right="4"/>
        <w:contextualSpacing/>
        <w:jc w:val="both"/>
        <w:rPr>
          <w:rFonts w:ascii="Cambria" w:hAnsi="Cambria"/>
          <w:b/>
          <w:i/>
          <w:sz w:val="20"/>
          <w:szCs w:val="20"/>
        </w:rPr>
      </w:pPr>
      <w:r w:rsidRPr="00077D33">
        <w:rPr>
          <w:rFonts w:ascii="Cambria" w:hAnsi="Cambria"/>
          <w:b/>
          <w:i/>
          <w:sz w:val="20"/>
          <w:szCs w:val="20"/>
        </w:rPr>
        <w:t>Demande de l'Égypte</w:t>
      </w:r>
    </w:p>
    <w:p w14:paraId="02429A0E" w14:textId="77777777" w:rsidR="00BC3613" w:rsidRPr="00077D33" w:rsidRDefault="00BC3613" w:rsidP="00BC3613">
      <w:pPr>
        <w:spacing w:after="0" w:line="240" w:lineRule="auto"/>
        <w:ind w:right="4"/>
        <w:contextualSpacing/>
        <w:jc w:val="both"/>
        <w:rPr>
          <w:rFonts w:ascii="Cambria" w:eastAsia="Times New Roman" w:hAnsi="Cambria" w:cs="Times New Roman"/>
          <w:b/>
          <w:bCs/>
          <w:i/>
          <w:iCs/>
          <w:kern w:val="0"/>
          <w:sz w:val="20"/>
          <w:szCs w:val="20"/>
          <w14:ligatures w14:val="none"/>
        </w:rPr>
      </w:pPr>
    </w:p>
    <w:p w14:paraId="3B69B9FA"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r w:rsidRPr="00077D33">
        <w:rPr>
          <w:rFonts w:ascii="Cambria" w:hAnsi="Cambria"/>
          <w:sz w:val="20"/>
          <w:szCs w:val="20"/>
        </w:rPr>
        <w:t xml:space="preserve">Au cours des dernières années, l'Égypte a constamment cherché à obtenir une allocation équitable et axée sur le développement afin de permettre le développement durable de sa pêcherie nationale de thon rouge, y compris la mise en place de ses premiers projets d'élevage de thon avec des capacités atteignant 1.800 t. Le quota extrêmement limité actuellement alloué à l'Égypte a toutefois fortement limité ce développement. </w:t>
      </w:r>
    </w:p>
    <w:p w14:paraId="62107027"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2BAB7B2F"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r w:rsidRPr="00077D33">
        <w:rPr>
          <w:rFonts w:ascii="Cambria" w:hAnsi="Cambria"/>
          <w:sz w:val="20"/>
          <w:szCs w:val="20"/>
        </w:rPr>
        <w:t>L'Égypte demande une allocation équitable qui respecterait les principes de l’ICCAT et du droit international, renforcerait la légitimité du processus de l’ICCAT et favoriserait l'inclusion.</w:t>
      </w:r>
    </w:p>
    <w:p w14:paraId="6CA18CF1"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0CA8F5B6"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r w:rsidRPr="00077D33">
        <w:rPr>
          <w:rFonts w:ascii="Cambria" w:hAnsi="Cambria"/>
          <w:sz w:val="20"/>
          <w:szCs w:val="20"/>
        </w:rPr>
        <w:t>La demande de l'Égypte est fondée sur les critères d'allocation juste et équitable qui constituent la pierre angulaire du cadre juridique de l’ICCAT (par exemple, la Résolution 15-13) et s'aligne sur les instruments internationaux, tels que l'Accord des Nations Unies sur les stocks de poissons, qui reconnaissent les droits des États côtiers en développement à bénéficier de l'utilisation durable des ressources marines vivantes.</w:t>
      </w:r>
    </w:p>
    <w:p w14:paraId="48E6F9D8"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600BAC2F" w14:textId="77777777" w:rsidR="00BC3613" w:rsidRDefault="00BC3613" w:rsidP="00BC3613">
      <w:pPr>
        <w:spacing w:after="0" w:line="240" w:lineRule="auto"/>
        <w:ind w:right="4"/>
        <w:contextualSpacing/>
        <w:jc w:val="both"/>
        <w:rPr>
          <w:rFonts w:ascii="Cambria" w:hAnsi="Cambria"/>
          <w:b/>
          <w:i/>
          <w:sz w:val="20"/>
          <w:szCs w:val="20"/>
        </w:rPr>
      </w:pPr>
      <w:r w:rsidRPr="00077D33">
        <w:rPr>
          <w:rFonts w:ascii="Cambria" w:hAnsi="Cambria"/>
          <w:b/>
          <w:i/>
          <w:sz w:val="20"/>
          <w:szCs w:val="20"/>
        </w:rPr>
        <w:t>Conclusion</w:t>
      </w:r>
    </w:p>
    <w:p w14:paraId="35FC7A92" w14:textId="77777777" w:rsidR="00BC3613" w:rsidRPr="00077D33" w:rsidRDefault="00BC3613" w:rsidP="00BC3613">
      <w:pPr>
        <w:spacing w:after="0" w:line="240" w:lineRule="auto"/>
        <w:ind w:right="4"/>
        <w:contextualSpacing/>
        <w:jc w:val="both"/>
        <w:rPr>
          <w:rFonts w:ascii="Cambria" w:eastAsia="Times New Roman" w:hAnsi="Cambria" w:cs="Times New Roman"/>
          <w:b/>
          <w:bCs/>
          <w:i/>
          <w:iCs/>
          <w:kern w:val="0"/>
          <w:sz w:val="20"/>
          <w:szCs w:val="20"/>
          <w14:ligatures w14:val="none"/>
        </w:rPr>
      </w:pPr>
    </w:p>
    <w:p w14:paraId="3AD96350" w14:textId="501CAA41" w:rsidR="00BC3613" w:rsidRDefault="00BC3613" w:rsidP="00BC3613">
      <w:pPr>
        <w:spacing w:after="0" w:line="240" w:lineRule="auto"/>
        <w:ind w:right="4"/>
        <w:contextualSpacing/>
        <w:jc w:val="both"/>
        <w:rPr>
          <w:rFonts w:ascii="Cambria" w:hAnsi="Cambria"/>
          <w:sz w:val="20"/>
          <w:szCs w:val="20"/>
        </w:rPr>
      </w:pPr>
      <w:r w:rsidRPr="00077D33">
        <w:rPr>
          <w:rFonts w:ascii="Cambria" w:hAnsi="Cambria"/>
          <w:sz w:val="20"/>
          <w:szCs w:val="20"/>
        </w:rPr>
        <w:t>L'Égypte réitère sa conviction que la réalisation d'une allocation de quotas juste, équitable et scientifiquement fondée est essentielle pour l'intégrité du cadre de gestion de l’ICCAT et la durabilité à long terme du thon rouge de l'Atlantique. L'Égypte reste pleinement attachée à un engagement constructif, à une prise de décision basée sur des preuves et des solutions collaboratives qui soutiennent les besoins de développement de toutes les CPC - en particulier celles dont les possibilités de pêche sont historiquement limitées.</w:t>
      </w:r>
    </w:p>
    <w:p w14:paraId="6CA7B190"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rtl/>
          <w14:ligatures w14:val="none"/>
        </w:rPr>
      </w:pPr>
    </w:p>
    <w:p w14:paraId="40C3BE8B" w14:textId="77777777" w:rsidR="00BC3613" w:rsidRDefault="00BC3613" w:rsidP="00BC3613">
      <w:pPr>
        <w:spacing w:after="0" w:line="240" w:lineRule="auto"/>
        <w:ind w:right="4"/>
        <w:contextualSpacing/>
        <w:jc w:val="both"/>
        <w:rPr>
          <w:rFonts w:ascii="Cambria" w:hAnsi="Cambria"/>
          <w:sz w:val="20"/>
          <w:szCs w:val="20"/>
        </w:rPr>
      </w:pPr>
      <w:r w:rsidRPr="00077D33">
        <w:rPr>
          <w:rFonts w:ascii="Cambria" w:hAnsi="Cambria"/>
          <w:sz w:val="20"/>
          <w:szCs w:val="20"/>
        </w:rPr>
        <w:t xml:space="preserve">Une allocation équitable et axée sur le développement n'est pas seulement souhaitable, mais essentielle pour la crédibilité, l'équilibre et la légitimité du cadre de gestion de l’ICCAT. Aucune CPC ne devrait sortir de ce processus les mains vides - en particulier les États côtiers en développement, comme l'Égypte, dont les droits à l'utilisation durable des ressources marines vivantes dans leurs eaux territoriales et leurs zones économiques exclusives sont fermement établis par le droit international. </w:t>
      </w:r>
    </w:p>
    <w:p w14:paraId="457DD102"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3071A31A" w14:textId="77777777" w:rsidR="00BC3613" w:rsidRDefault="00BC3613" w:rsidP="00BC3613">
      <w:pPr>
        <w:spacing w:after="0" w:line="240" w:lineRule="auto"/>
        <w:ind w:right="4"/>
        <w:contextualSpacing/>
        <w:jc w:val="both"/>
        <w:rPr>
          <w:rFonts w:ascii="Cambria" w:hAnsi="Cambria"/>
          <w:sz w:val="20"/>
          <w:szCs w:val="20"/>
        </w:rPr>
      </w:pPr>
      <w:r w:rsidRPr="00077D33">
        <w:rPr>
          <w:rFonts w:ascii="Cambria" w:hAnsi="Cambria"/>
          <w:sz w:val="20"/>
          <w:szCs w:val="20"/>
        </w:rPr>
        <w:t>L'Égypte reste engagée vers un dialogue constructif et à une coopération scientifique ; cependant, l'obtention d'un résultat juste et inclusif exige que toutes les CPC - y compris celles qui ont historiquement reçu une sous-allocation - reçoivent des allocations qui leur permettent de développer des pêcheries viables, conformes et durables.</w:t>
      </w:r>
    </w:p>
    <w:p w14:paraId="4732D5DC"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p>
    <w:p w14:paraId="128AF6A9" w14:textId="77777777" w:rsidR="00BC3613" w:rsidRPr="00077D33" w:rsidRDefault="00BC3613" w:rsidP="00BC3613">
      <w:pPr>
        <w:spacing w:after="0" w:line="240" w:lineRule="auto"/>
        <w:ind w:right="4"/>
        <w:contextualSpacing/>
        <w:jc w:val="both"/>
        <w:rPr>
          <w:rFonts w:ascii="Cambria" w:eastAsia="Times New Roman" w:hAnsi="Cambria" w:cs="Times New Roman"/>
          <w:kern w:val="0"/>
          <w:sz w:val="20"/>
          <w:szCs w:val="20"/>
          <w14:ligatures w14:val="none"/>
        </w:rPr>
      </w:pPr>
      <w:r w:rsidRPr="00077D33">
        <w:rPr>
          <w:rFonts w:ascii="Cambria" w:hAnsi="Cambria"/>
          <w:sz w:val="20"/>
          <w:szCs w:val="20"/>
        </w:rPr>
        <w:t>Nous sommes prêts à travailler de manière collaborative et constructive avec toutes les délégations pour parvenir à un cadre d'allocation juste, tourné vers l'avenir et le développement, qui soutienne des pêcheries durables et une prospérité partagée par tous.</w:t>
      </w:r>
    </w:p>
    <w:p w14:paraId="5EF92A47" w14:textId="77777777" w:rsidR="008F6668" w:rsidRPr="00701388" w:rsidRDefault="008F6668" w:rsidP="00BC3613">
      <w:pPr>
        <w:spacing w:after="0" w:line="240" w:lineRule="auto"/>
        <w:ind w:right="-1"/>
        <w:contextualSpacing/>
        <w:jc w:val="both"/>
        <w:rPr>
          <w:rFonts w:ascii="Cambria" w:eastAsia="Times New Roman" w:hAnsi="Cambria" w:cs="Times New Roman"/>
          <w:kern w:val="0"/>
          <w:sz w:val="20"/>
          <w:szCs w:val="20"/>
          <w14:ligatures w14:val="none"/>
        </w:rPr>
      </w:pPr>
    </w:p>
    <w:sectPr w:rsidR="008F6668" w:rsidRPr="00701388" w:rsidSect="00701388">
      <w:headerReference w:type="default" r:id="rId7"/>
      <w:footerReference w:type="default" r:id="rId8"/>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EA9C" w14:textId="77777777" w:rsidR="00B61AC8" w:rsidRDefault="00B61AC8" w:rsidP="00B61AC8">
      <w:pPr>
        <w:spacing w:after="0" w:line="240" w:lineRule="auto"/>
      </w:pPr>
      <w:r>
        <w:separator/>
      </w:r>
    </w:p>
  </w:endnote>
  <w:endnote w:type="continuationSeparator" w:id="0">
    <w:p w14:paraId="57167CD2" w14:textId="77777777" w:rsidR="00B61AC8" w:rsidRDefault="00B61AC8" w:rsidP="00B6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465" w14:textId="77777777" w:rsidR="00701388" w:rsidRPr="00654813" w:rsidRDefault="00701388" w:rsidP="00654813">
    <w:pPr>
      <w:tabs>
        <w:tab w:val="center" w:pos="4535"/>
        <w:tab w:val="center" w:pos="4680"/>
        <w:tab w:val="left" w:pos="6150"/>
        <w:tab w:val="right" w:pos="9360"/>
      </w:tabs>
      <w:spacing w:after="0" w:line="240" w:lineRule="auto"/>
      <w:jc w:val="center"/>
      <w:rPr>
        <w:rFonts w:ascii="Cambria" w:hAnsi="Cambria"/>
        <w:sz w:val="20"/>
      </w:rPr>
    </w:pPr>
    <w:r w:rsidRPr="00654813">
      <w:rPr>
        <w:rFonts w:ascii="Cambria" w:eastAsia="Calibri" w:hAnsi="Cambria" w:cs="Calibri"/>
        <w:sz w:val="20"/>
      </w:rPr>
      <w:fldChar w:fldCharType="begin"/>
    </w:r>
    <w:r w:rsidRPr="00654813">
      <w:rPr>
        <w:rFonts w:ascii="Cambria" w:eastAsia="Calibri" w:hAnsi="Cambria" w:cs="Calibri"/>
        <w:sz w:val="20"/>
      </w:rPr>
      <w:instrText xml:space="preserve"> PAGE </w:instrText>
    </w:r>
    <w:r w:rsidRPr="00654813">
      <w:rPr>
        <w:rFonts w:ascii="Cambria" w:eastAsia="Calibri" w:hAnsi="Cambria" w:cs="Calibri"/>
        <w:sz w:val="20"/>
      </w:rPr>
      <w:fldChar w:fldCharType="separate"/>
    </w:r>
    <w:r w:rsidRPr="00654813">
      <w:rPr>
        <w:rFonts w:ascii="Cambria" w:eastAsia="Calibri" w:hAnsi="Cambria" w:cs="Calibri"/>
        <w:sz w:val="20"/>
      </w:rPr>
      <w:t>1</w:t>
    </w:r>
    <w:r w:rsidRPr="00654813">
      <w:rPr>
        <w:rFonts w:ascii="Cambria" w:eastAsia="Calibri" w:hAnsi="Cambria" w:cs="Calibri"/>
        <w:sz w:val="20"/>
      </w:rPr>
      <w:fldChar w:fldCharType="end"/>
    </w:r>
    <w:r>
      <w:rPr>
        <w:rFonts w:ascii="Cambria" w:hAnsi="Cambria"/>
        <w:sz w:val="20"/>
      </w:rPr>
      <w:t xml:space="preserve"> / </w:t>
    </w:r>
    <w:r w:rsidRPr="00654813">
      <w:rPr>
        <w:rFonts w:ascii="Cambria" w:eastAsia="Calibri" w:hAnsi="Cambria" w:cs="Calibri"/>
        <w:sz w:val="20"/>
      </w:rPr>
      <w:fldChar w:fldCharType="begin"/>
    </w:r>
    <w:r w:rsidRPr="00654813">
      <w:rPr>
        <w:rFonts w:ascii="Cambria" w:eastAsia="Calibri" w:hAnsi="Cambria" w:cs="Calibri"/>
        <w:sz w:val="20"/>
      </w:rPr>
      <w:instrText xml:space="preserve"> NUMPAGES  </w:instrText>
    </w:r>
    <w:r w:rsidRPr="00654813">
      <w:rPr>
        <w:rFonts w:ascii="Cambria" w:eastAsia="Calibri" w:hAnsi="Cambria" w:cs="Calibri"/>
        <w:sz w:val="20"/>
      </w:rPr>
      <w:fldChar w:fldCharType="separate"/>
    </w:r>
    <w:r w:rsidRPr="00654813">
      <w:rPr>
        <w:rFonts w:ascii="Cambria" w:eastAsia="Calibri" w:hAnsi="Cambria" w:cs="Calibri"/>
        <w:sz w:val="20"/>
      </w:rPr>
      <w:t>8</w:t>
    </w:r>
    <w:r w:rsidRPr="0065481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208B" w14:textId="77777777" w:rsidR="00B61AC8" w:rsidRDefault="00B61AC8" w:rsidP="00B61AC8">
      <w:pPr>
        <w:spacing w:after="0" w:line="240" w:lineRule="auto"/>
      </w:pPr>
      <w:r>
        <w:separator/>
      </w:r>
    </w:p>
  </w:footnote>
  <w:footnote w:type="continuationSeparator" w:id="0">
    <w:p w14:paraId="1C664912" w14:textId="77777777" w:rsidR="00B61AC8" w:rsidRDefault="00B61AC8" w:rsidP="00B61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6991" w14:textId="0B6CC324" w:rsidR="00B61AC8" w:rsidRPr="00B61AC8" w:rsidRDefault="00B61AC8" w:rsidP="00B61AC8">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PA2_629/2025</w:t>
    </w:r>
  </w:p>
  <w:p w14:paraId="265E6DC0" w14:textId="4CD0ADB2" w:rsidR="00B61AC8" w:rsidRDefault="00B61AC8" w:rsidP="00654813">
    <w:pPr>
      <w:widowControl w:val="0"/>
      <w:tabs>
        <w:tab w:val="left" w:pos="7320"/>
      </w:tabs>
      <w:autoSpaceDE w:val="0"/>
      <w:autoSpaceDN w:val="0"/>
      <w:spacing w:after="0" w:line="240" w:lineRule="exact"/>
      <w:jc w:val="right"/>
    </w:pPr>
    <w:r w:rsidRPr="00B61AC8">
      <w:rPr>
        <w:rFonts w:ascii="Cambria" w:eastAsia="Cambria" w:hAnsi="Cambria" w:cs="Cambria"/>
        <w:b/>
        <w:sz w:val="16"/>
      </w:rPr>
      <w:fldChar w:fldCharType="begin"/>
    </w:r>
    <w:r w:rsidRPr="00B61AC8">
      <w:rPr>
        <w:rFonts w:ascii="Cambria" w:eastAsia="Cambria" w:hAnsi="Cambria" w:cs="Cambria"/>
        <w:b/>
        <w:sz w:val="16"/>
      </w:rPr>
      <w:instrText xml:space="preserve"> TIME \@ "dd/MM/yyyy H:mm" </w:instrText>
    </w:r>
    <w:r w:rsidRPr="00B61AC8">
      <w:rPr>
        <w:rFonts w:ascii="Cambria" w:eastAsia="Cambria" w:hAnsi="Cambria" w:cs="Cambria"/>
        <w:b/>
        <w:sz w:val="16"/>
      </w:rPr>
      <w:fldChar w:fldCharType="separate"/>
    </w:r>
    <w:r w:rsidR="00BC3613">
      <w:rPr>
        <w:rFonts w:ascii="Cambria" w:eastAsia="Cambria" w:hAnsi="Cambria" w:cs="Cambria"/>
        <w:b/>
        <w:noProof/>
        <w:sz w:val="16"/>
      </w:rPr>
      <w:t>18/11/2025 12:45</w:t>
    </w:r>
    <w:r w:rsidRPr="00B61AC8">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68CD"/>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30E211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5171"/>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7E4A3FC5"/>
    <w:multiLevelType w:val="hybridMultilevel"/>
    <w:tmpl w:val="80B29038"/>
    <w:lvl w:ilvl="0" w:tplc="2F94BCF8">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74764098">
    <w:abstractNumId w:val="3"/>
  </w:num>
  <w:num w:numId="2" w16cid:durableId="38675337">
    <w:abstractNumId w:val="0"/>
  </w:num>
  <w:num w:numId="3" w16cid:durableId="2038311340">
    <w:abstractNumId w:val="2"/>
  </w:num>
  <w:num w:numId="4" w16cid:durableId="179151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BF"/>
    <w:rsid w:val="00120482"/>
    <w:rsid w:val="003B6535"/>
    <w:rsid w:val="003C1914"/>
    <w:rsid w:val="003E0A4F"/>
    <w:rsid w:val="004B4002"/>
    <w:rsid w:val="004B512B"/>
    <w:rsid w:val="00654813"/>
    <w:rsid w:val="00686EF7"/>
    <w:rsid w:val="00701388"/>
    <w:rsid w:val="0070582F"/>
    <w:rsid w:val="00882A55"/>
    <w:rsid w:val="008F6668"/>
    <w:rsid w:val="009D0332"/>
    <w:rsid w:val="00A41951"/>
    <w:rsid w:val="00A760BD"/>
    <w:rsid w:val="00B2724E"/>
    <w:rsid w:val="00B61AC8"/>
    <w:rsid w:val="00BC3613"/>
    <w:rsid w:val="00C810ED"/>
    <w:rsid w:val="00D702BF"/>
    <w:rsid w:val="00DA4FF3"/>
    <w:rsid w:val="00EC29FC"/>
    <w:rsid w:val="00F32C8F"/>
    <w:rsid w:val="00FD01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7D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2B"/>
  </w:style>
  <w:style w:type="paragraph" w:styleId="Heading1">
    <w:name w:val="heading 1"/>
    <w:basedOn w:val="Normal"/>
    <w:next w:val="Normal"/>
    <w:link w:val="Heading1Char"/>
    <w:uiPriority w:val="9"/>
    <w:qFormat/>
    <w:rsid w:val="00D7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BF"/>
    <w:rPr>
      <w:rFonts w:eastAsiaTheme="majorEastAsia" w:cstheme="majorBidi"/>
      <w:color w:val="272727" w:themeColor="text1" w:themeTint="D8"/>
    </w:rPr>
  </w:style>
  <w:style w:type="paragraph" w:styleId="Title">
    <w:name w:val="Title"/>
    <w:basedOn w:val="Normal"/>
    <w:next w:val="Normal"/>
    <w:link w:val="TitleChar"/>
    <w:uiPriority w:val="10"/>
    <w:qFormat/>
    <w:rsid w:val="00D7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BF"/>
    <w:pPr>
      <w:spacing w:before="160"/>
      <w:jc w:val="center"/>
    </w:pPr>
    <w:rPr>
      <w:i/>
      <w:iCs/>
      <w:color w:val="404040" w:themeColor="text1" w:themeTint="BF"/>
    </w:rPr>
  </w:style>
  <w:style w:type="character" w:customStyle="1" w:styleId="QuoteChar">
    <w:name w:val="Quote Char"/>
    <w:basedOn w:val="DefaultParagraphFont"/>
    <w:link w:val="Quote"/>
    <w:uiPriority w:val="29"/>
    <w:rsid w:val="00D702BF"/>
    <w:rPr>
      <w:i/>
      <w:iCs/>
      <w:color w:val="404040" w:themeColor="text1" w:themeTint="BF"/>
    </w:rPr>
  </w:style>
  <w:style w:type="paragraph" w:styleId="ListParagraph">
    <w:name w:val="List Paragraph"/>
    <w:basedOn w:val="Normal"/>
    <w:uiPriority w:val="34"/>
    <w:qFormat/>
    <w:rsid w:val="00D702BF"/>
    <w:pPr>
      <w:ind w:left="720"/>
      <w:contextualSpacing/>
    </w:pPr>
  </w:style>
  <w:style w:type="character" w:styleId="IntenseEmphasis">
    <w:name w:val="Intense Emphasis"/>
    <w:basedOn w:val="DefaultParagraphFont"/>
    <w:uiPriority w:val="21"/>
    <w:qFormat/>
    <w:rsid w:val="00D702BF"/>
    <w:rPr>
      <w:i/>
      <w:iCs/>
      <w:color w:val="0F4761" w:themeColor="accent1" w:themeShade="BF"/>
    </w:rPr>
  </w:style>
  <w:style w:type="paragraph" w:styleId="IntenseQuote">
    <w:name w:val="Intense Quote"/>
    <w:basedOn w:val="Normal"/>
    <w:next w:val="Normal"/>
    <w:link w:val="IntenseQuoteChar"/>
    <w:uiPriority w:val="30"/>
    <w:qFormat/>
    <w:rsid w:val="00D7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2BF"/>
    <w:rPr>
      <w:i/>
      <w:iCs/>
      <w:color w:val="0F4761" w:themeColor="accent1" w:themeShade="BF"/>
    </w:rPr>
  </w:style>
  <w:style w:type="character" w:styleId="IntenseReference">
    <w:name w:val="Intense Reference"/>
    <w:basedOn w:val="DefaultParagraphFont"/>
    <w:uiPriority w:val="32"/>
    <w:qFormat/>
    <w:rsid w:val="00D702BF"/>
    <w:rPr>
      <w:b/>
      <w:bCs/>
      <w:smallCaps/>
      <w:color w:val="0F4761" w:themeColor="accent1" w:themeShade="BF"/>
      <w:spacing w:val="5"/>
    </w:rPr>
  </w:style>
  <w:style w:type="paragraph" w:styleId="Header">
    <w:name w:val="header"/>
    <w:basedOn w:val="Normal"/>
    <w:link w:val="HeaderChar"/>
    <w:uiPriority w:val="99"/>
    <w:unhideWhenUsed/>
    <w:rsid w:val="00B6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C8"/>
  </w:style>
  <w:style w:type="paragraph" w:styleId="Footer">
    <w:name w:val="footer"/>
    <w:basedOn w:val="Normal"/>
    <w:link w:val="FooterChar"/>
    <w:uiPriority w:val="99"/>
    <w:unhideWhenUsed/>
    <w:rsid w:val="00B6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2025-11-18T11:12:00Z</dcterms:created>
  <dcterms:modified xsi:type="dcterms:W3CDTF">2025-11-18T11:47:00Z</dcterms:modified>
</cp:coreProperties>
</file>