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2701" w14:textId="210CA989" w:rsidR="00D702BF" w:rsidRPr="00701388" w:rsidRDefault="00B61AC8" w:rsidP="009D0332">
      <w:pPr>
        <w:spacing w:before="100" w:beforeAutospacing="1" w:after="100" w:afterAutospacing="1" w:line="240" w:lineRule="auto"/>
        <w:ind w:right="-1"/>
        <w:jc w:val="right"/>
        <w:rPr>
          <w:rFonts w:ascii="Cambria" w:eastAsia="Times New Roman" w:hAnsi="Cambria" w:cs="Times New Roman"/>
          <w:b/>
          <w:bCs/>
          <w:kern w:val="0"/>
          <w:sz w:val="20"/>
          <w:szCs w:val="20"/>
          <w14:ligatures w14:val="none"/>
        </w:rPr>
      </w:pPr>
      <w:r w:rsidRPr="00701388">
        <w:rPr>
          <w:rFonts w:ascii="Cambria" w:eastAsia="Times New Roman" w:hAnsi="Cambria" w:cs="Times New Roman"/>
          <w:b/>
          <w:bCs/>
          <w:kern w:val="0"/>
          <w:sz w:val="20"/>
          <w:szCs w:val="20"/>
          <w14:ligatures w14:val="none"/>
        </w:rPr>
        <w:t>Original: English</w:t>
      </w:r>
    </w:p>
    <w:p w14:paraId="0C764E59" w14:textId="77777777" w:rsidR="00654813" w:rsidRDefault="00D702BF" w:rsidP="00654813">
      <w:pPr>
        <w:spacing w:after="0" w:line="240" w:lineRule="auto"/>
        <w:jc w:val="center"/>
        <w:rPr>
          <w:rFonts w:ascii="Cambria" w:eastAsia="Times New Roman" w:hAnsi="Cambria" w:cs="Times New Roman"/>
          <w:b/>
          <w:bCs/>
          <w:kern w:val="0"/>
          <w:sz w:val="20"/>
          <w:szCs w:val="20"/>
          <w14:ligatures w14:val="none"/>
        </w:rPr>
      </w:pPr>
      <w:r w:rsidRPr="009D0332">
        <w:rPr>
          <w:rFonts w:ascii="Cambria" w:eastAsia="Times New Roman" w:hAnsi="Cambria" w:cs="Times New Roman"/>
          <w:b/>
          <w:bCs/>
          <w:kern w:val="0"/>
          <w:sz w:val="20"/>
          <w:szCs w:val="20"/>
          <w14:ligatures w14:val="none"/>
        </w:rPr>
        <w:t xml:space="preserve">Statement to </w:t>
      </w:r>
      <w:r w:rsidRPr="00654813">
        <w:rPr>
          <w:rFonts w:ascii="Cambria" w:eastAsia="Times New Roman" w:hAnsi="Cambria" w:cs="Times New Roman"/>
          <w:b/>
          <w:bCs/>
          <w:kern w:val="0"/>
          <w:sz w:val="20"/>
          <w:szCs w:val="20"/>
          <w14:ligatures w14:val="none"/>
        </w:rPr>
        <w:t>P</w:t>
      </w:r>
      <w:r w:rsidR="009D0332" w:rsidRPr="00654813">
        <w:rPr>
          <w:rFonts w:ascii="Cambria" w:eastAsia="Times New Roman" w:hAnsi="Cambria" w:cs="Times New Roman"/>
          <w:b/>
          <w:bCs/>
          <w:kern w:val="0"/>
          <w:sz w:val="20"/>
          <w:szCs w:val="20"/>
          <w14:ligatures w14:val="none"/>
        </w:rPr>
        <w:t xml:space="preserve">anel </w:t>
      </w:r>
      <w:r w:rsidRPr="00654813">
        <w:rPr>
          <w:rFonts w:ascii="Cambria" w:eastAsia="Times New Roman" w:hAnsi="Cambria" w:cs="Times New Roman"/>
          <w:b/>
          <w:bCs/>
          <w:kern w:val="0"/>
          <w:sz w:val="20"/>
          <w:szCs w:val="20"/>
          <w14:ligatures w14:val="none"/>
        </w:rPr>
        <w:t>2</w:t>
      </w:r>
      <w:r w:rsidR="004B512B" w:rsidRPr="00654813">
        <w:rPr>
          <w:rFonts w:ascii="Cambria" w:eastAsia="Times New Roman" w:hAnsi="Cambria" w:cs="Times New Roman"/>
          <w:b/>
          <w:bCs/>
          <w:kern w:val="0"/>
          <w:sz w:val="20"/>
          <w:szCs w:val="20"/>
          <w14:ligatures w14:val="none"/>
        </w:rPr>
        <w:t xml:space="preserve"> </w:t>
      </w:r>
      <w:r w:rsidR="00654813" w:rsidRPr="00654813">
        <w:rPr>
          <w:rFonts w:ascii="Cambria" w:eastAsia="Times New Roman" w:hAnsi="Cambria" w:cs="Times New Roman"/>
          <w:b/>
          <w:bCs/>
          <w:kern w:val="0"/>
          <w:sz w:val="20"/>
          <w:szCs w:val="20"/>
          <w14:ligatures w14:val="none"/>
        </w:rPr>
        <w:t>by the Arab Republic of Egypt</w:t>
      </w:r>
      <w:r w:rsidR="00654813" w:rsidRPr="009D0332">
        <w:rPr>
          <w:rFonts w:ascii="Cambria" w:eastAsia="Times New Roman" w:hAnsi="Cambria" w:cs="Times New Roman"/>
          <w:b/>
          <w:bCs/>
          <w:kern w:val="0"/>
          <w:sz w:val="20"/>
          <w:szCs w:val="20"/>
          <w14:ligatures w14:val="none"/>
        </w:rPr>
        <w:t xml:space="preserve"> </w:t>
      </w:r>
    </w:p>
    <w:p w14:paraId="10CD29B5" w14:textId="5A76E293" w:rsidR="00D702BF" w:rsidRPr="009D0332" w:rsidRDefault="00654813" w:rsidP="00654813">
      <w:pPr>
        <w:spacing w:after="0" w:line="240" w:lineRule="auto"/>
        <w:jc w:val="center"/>
        <w:rPr>
          <w:rFonts w:ascii="Cambria" w:eastAsia="Times New Roman" w:hAnsi="Cambria" w:cs="Times New Roman"/>
          <w:b/>
          <w:bCs/>
          <w:kern w:val="0"/>
          <w:sz w:val="20"/>
          <w:szCs w:val="20"/>
          <w14:ligatures w14:val="none"/>
        </w:rPr>
      </w:pPr>
      <w:r>
        <w:rPr>
          <w:rFonts w:ascii="Cambria" w:eastAsia="Times New Roman" w:hAnsi="Cambria" w:cs="Times New Roman"/>
          <w:b/>
          <w:bCs/>
          <w:kern w:val="0"/>
          <w:sz w:val="20"/>
          <w:szCs w:val="20"/>
          <w14:ligatures w14:val="none"/>
        </w:rPr>
        <w:t>r</w:t>
      </w:r>
      <w:r w:rsidR="004B512B" w:rsidRPr="009D0332">
        <w:rPr>
          <w:rFonts w:ascii="Cambria" w:eastAsia="Times New Roman" w:hAnsi="Cambria" w:cs="Times New Roman"/>
          <w:b/>
          <w:bCs/>
          <w:kern w:val="0"/>
          <w:sz w:val="20"/>
          <w:szCs w:val="20"/>
          <w14:ligatures w14:val="none"/>
        </w:rPr>
        <w:t xml:space="preserve">equesting a </w:t>
      </w:r>
      <w:r w:rsidRPr="009D0332">
        <w:rPr>
          <w:rFonts w:ascii="Cambria" w:eastAsia="Times New Roman" w:hAnsi="Cambria" w:cs="Times New Roman"/>
          <w:b/>
          <w:bCs/>
          <w:kern w:val="0"/>
          <w:sz w:val="20"/>
          <w:szCs w:val="20"/>
          <w14:ligatures w14:val="none"/>
        </w:rPr>
        <w:t xml:space="preserve">fair allocation </w:t>
      </w:r>
      <w:r w:rsidR="004B512B" w:rsidRPr="009D0332">
        <w:rPr>
          <w:rFonts w:ascii="Cambria" w:eastAsia="Times New Roman" w:hAnsi="Cambria" w:cs="Times New Roman"/>
          <w:b/>
          <w:bCs/>
          <w:kern w:val="0"/>
          <w:sz w:val="20"/>
          <w:szCs w:val="20"/>
          <w14:ligatures w14:val="none"/>
        </w:rPr>
        <w:t xml:space="preserve">of </w:t>
      </w:r>
      <w:r w:rsidR="009D0332">
        <w:rPr>
          <w:rFonts w:ascii="Cambria" w:eastAsia="Times New Roman" w:hAnsi="Cambria" w:cs="Times New Roman"/>
          <w:b/>
          <w:bCs/>
          <w:kern w:val="0"/>
          <w:sz w:val="20"/>
          <w:szCs w:val="20"/>
          <w14:ligatures w14:val="none"/>
        </w:rPr>
        <w:t>eastern bluefin tuna</w:t>
      </w:r>
    </w:p>
    <w:p w14:paraId="0929FE72" w14:textId="15E19146" w:rsidR="009D0332" w:rsidRPr="009D0332" w:rsidRDefault="009D0332" w:rsidP="00654813">
      <w:pPr>
        <w:spacing w:after="0" w:line="240" w:lineRule="auto"/>
        <w:jc w:val="center"/>
        <w:rPr>
          <w:rFonts w:ascii="Cambria" w:eastAsia="Times New Roman" w:hAnsi="Cambria" w:cs="Times New Roman"/>
          <w:i/>
          <w:iCs/>
          <w:kern w:val="0"/>
          <w:sz w:val="20"/>
          <w:szCs w:val="20"/>
          <w14:ligatures w14:val="none"/>
        </w:rPr>
      </w:pPr>
      <w:r w:rsidRPr="009D0332">
        <w:rPr>
          <w:rFonts w:ascii="Cambria" w:eastAsia="Times New Roman" w:hAnsi="Cambria" w:cs="Times New Roman"/>
          <w:i/>
          <w:iCs/>
          <w:kern w:val="0"/>
          <w:sz w:val="20"/>
          <w:szCs w:val="20"/>
          <w14:ligatures w14:val="none"/>
        </w:rPr>
        <w:t>(Submitted by the</w:t>
      </w:r>
      <w:r w:rsidRPr="009D0332">
        <w:rPr>
          <w:rFonts w:ascii="Cambria" w:eastAsia="Times New Roman" w:hAnsi="Cambria" w:cs="Times New Roman"/>
          <w:i/>
          <w:iCs/>
          <w:kern w:val="0"/>
          <w:sz w:val="20"/>
          <w:szCs w:val="20"/>
          <w14:ligatures w14:val="none"/>
        </w:rPr>
        <w:t xml:space="preserve"> Arab Republic of Egypt</w:t>
      </w:r>
      <w:r w:rsidRPr="009D0332">
        <w:rPr>
          <w:rFonts w:ascii="Cambria" w:eastAsia="Times New Roman" w:hAnsi="Cambria" w:cs="Times New Roman"/>
          <w:i/>
          <w:iCs/>
          <w:kern w:val="0"/>
          <w:sz w:val="20"/>
          <w:szCs w:val="20"/>
          <w14:ligatures w14:val="none"/>
        </w:rPr>
        <w:t>)</w:t>
      </w:r>
    </w:p>
    <w:p w14:paraId="7D2EA9F8" w14:textId="77777777" w:rsidR="00654813" w:rsidRPr="00654813" w:rsidRDefault="00654813" w:rsidP="00654813">
      <w:pPr>
        <w:spacing w:after="0" w:line="240" w:lineRule="auto"/>
        <w:jc w:val="both"/>
        <w:rPr>
          <w:rFonts w:ascii="Cambria" w:eastAsia="Times New Roman" w:hAnsi="Cambria" w:cs="Times New Roman"/>
          <w:b/>
          <w:bCs/>
          <w:kern w:val="0"/>
          <w:sz w:val="20"/>
          <w:szCs w:val="20"/>
          <w14:ligatures w14:val="none"/>
        </w:rPr>
      </w:pPr>
    </w:p>
    <w:p w14:paraId="29C5BE27" w14:textId="61E73023" w:rsidR="00D702BF" w:rsidRPr="00654813" w:rsidRDefault="00D702BF" w:rsidP="00654813">
      <w:pPr>
        <w:spacing w:after="0" w:line="240" w:lineRule="auto"/>
        <w:jc w:val="both"/>
        <w:rPr>
          <w:rFonts w:ascii="Cambria" w:eastAsia="Times New Roman" w:hAnsi="Cambria" w:cs="Times New Roman"/>
          <w:b/>
          <w:bCs/>
          <w:kern w:val="0"/>
          <w:sz w:val="20"/>
          <w:szCs w:val="20"/>
          <w14:ligatures w14:val="none"/>
        </w:rPr>
      </w:pPr>
      <w:r w:rsidRPr="00654813">
        <w:rPr>
          <w:rFonts w:ascii="Cambria" w:eastAsia="Times New Roman" w:hAnsi="Cambria" w:cs="Times New Roman"/>
          <w:b/>
          <w:bCs/>
          <w:kern w:val="0"/>
          <w:sz w:val="20"/>
          <w:szCs w:val="20"/>
          <w14:ligatures w14:val="none"/>
        </w:rPr>
        <w:t>Introduction</w:t>
      </w:r>
    </w:p>
    <w:p w14:paraId="40CD159A" w14:textId="77777777" w:rsidR="00654813" w:rsidRPr="00701388" w:rsidRDefault="00654813" w:rsidP="00654813">
      <w:pPr>
        <w:spacing w:after="0" w:line="240" w:lineRule="auto"/>
        <w:jc w:val="both"/>
        <w:rPr>
          <w:rFonts w:ascii="Cambria" w:eastAsia="Times New Roman" w:hAnsi="Cambria" w:cs="Times New Roman"/>
          <w:b/>
          <w:bCs/>
          <w:i/>
          <w:iCs/>
          <w:kern w:val="0"/>
          <w:sz w:val="20"/>
          <w:szCs w:val="20"/>
          <w14:ligatures w14:val="none"/>
        </w:rPr>
      </w:pPr>
    </w:p>
    <w:p w14:paraId="221C96E4" w14:textId="53C45D9C" w:rsidR="00D702BF" w:rsidRPr="00701388" w:rsidRDefault="00D702BF" w:rsidP="00654813">
      <w:pPr>
        <w:spacing w:after="0" w:line="240" w:lineRule="auto"/>
        <w:jc w:val="both"/>
        <w:rPr>
          <w:rFonts w:ascii="Cambria" w:eastAsia="Times New Roman" w:hAnsi="Cambria" w:cs="Times New Roman"/>
          <w:kern w:val="0"/>
          <w:sz w:val="20"/>
          <w:szCs w:val="20"/>
          <w14:ligatures w14:val="none"/>
        </w:rPr>
      </w:pPr>
      <w:r w:rsidRPr="00701388">
        <w:rPr>
          <w:rFonts w:ascii="Cambria" w:eastAsia="Times New Roman" w:hAnsi="Cambria" w:cs="Times New Roman"/>
          <w:kern w:val="0"/>
          <w:sz w:val="20"/>
          <w:szCs w:val="20"/>
          <w14:ligatures w14:val="none"/>
        </w:rPr>
        <w:t>At the outset, Egypt wishes to express its sincere appreciation to ICCAT for its continuous efforts toward the sustainable management of tuna stocks. We extend special thanks to the Chair of P</w:t>
      </w:r>
      <w:r w:rsidR="00654813">
        <w:rPr>
          <w:rFonts w:ascii="Cambria" w:eastAsia="Times New Roman" w:hAnsi="Cambria" w:cs="Times New Roman"/>
          <w:kern w:val="0"/>
          <w:sz w:val="20"/>
          <w:szCs w:val="20"/>
          <w14:ligatures w14:val="none"/>
        </w:rPr>
        <w:t xml:space="preserve">anel </w:t>
      </w:r>
      <w:r w:rsidRPr="00701388">
        <w:rPr>
          <w:rFonts w:ascii="Cambria" w:eastAsia="Times New Roman" w:hAnsi="Cambria" w:cs="Times New Roman"/>
          <w:kern w:val="0"/>
          <w:sz w:val="20"/>
          <w:szCs w:val="20"/>
          <w14:ligatures w14:val="none"/>
        </w:rPr>
        <w:t>2 for his persistent work and constructive leadership in guiding the delicate and highly complex discussions regarding quota allocation among CPCs. We also acknowledge the valuable proposals presented by member states, which reflect a collective commitment toward fairness and equity.</w:t>
      </w:r>
    </w:p>
    <w:p w14:paraId="3DD56F90" w14:textId="04BB2307" w:rsidR="00D702BF" w:rsidRPr="00654813" w:rsidRDefault="00686EF7" w:rsidP="009D0332">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Pr>
          <w:rFonts w:ascii="Cambria" w:eastAsia="Times New Roman" w:hAnsi="Cambria" w:cs="Times New Roman"/>
          <w:b/>
          <w:bCs/>
          <w:kern w:val="0"/>
          <w:sz w:val="20"/>
          <w:szCs w:val="20"/>
          <w14:ligatures w14:val="none"/>
        </w:rPr>
        <w:t>Eastern bluefin tuna</w:t>
      </w:r>
      <w:r w:rsidR="00D702BF" w:rsidRPr="00654813">
        <w:rPr>
          <w:rFonts w:ascii="Cambria" w:eastAsia="Times New Roman" w:hAnsi="Cambria" w:cs="Times New Roman"/>
          <w:b/>
          <w:bCs/>
          <w:kern w:val="0"/>
          <w:sz w:val="20"/>
          <w:szCs w:val="20"/>
          <w14:ligatures w14:val="none"/>
        </w:rPr>
        <w:t xml:space="preserve"> </w:t>
      </w:r>
      <w:r w:rsidR="00654813" w:rsidRPr="00654813">
        <w:rPr>
          <w:rFonts w:ascii="Cambria" w:eastAsia="Times New Roman" w:hAnsi="Cambria" w:cs="Times New Roman"/>
          <w:b/>
          <w:bCs/>
          <w:kern w:val="0"/>
          <w:sz w:val="20"/>
          <w:szCs w:val="20"/>
          <w14:ligatures w14:val="none"/>
        </w:rPr>
        <w:t>stock status</w:t>
      </w:r>
    </w:p>
    <w:p w14:paraId="4025ACC5" w14:textId="77777777" w:rsidR="00D702BF" w:rsidRPr="00701388" w:rsidRDefault="00D702BF"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r w:rsidRPr="00701388">
        <w:rPr>
          <w:rFonts w:ascii="Cambria" w:eastAsia="Times New Roman" w:hAnsi="Cambria" w:cs="Times New Roman"/>
          <w:kern w:val="0"/>
          <w:sz w:val="20"/>
          <w:szCs w:val="20"/>
          <w14:ligatures w14:val="none"/>
        </w:rPr>
        <w:t xml:space="preserve">Despite the technical complexity of the allocation subject, </w:t>
      </w:r>
      <w:proofErr w:type="gramStart"/>
      <w:r w:rsidRPr="00701388">
        <w:rPr>
          <w:rFonts w:ascii="Cambria" w:eastAsia="Times New Roman" w:hAnsi="Cambria" w:cs="Times New Roman"/>
          <w:kern w:val="0"/>
          <w:sz w:val="20"/>
          <w:szCs w:val="20"/>
          <w14:ligatures w14:val="none"/>
        </w:rPr>
        <w:t>it is clear that all</w:t>
      </w:r>
      <w:proofErr w:type="gramEnd"/>
      <w:r w:rsidRPr="00701388">
        <w:rPr>
          <w:rFonts w:ascii="Cambria" w:eastAsia="Times New Roman" w:hAnsi="Cambria" w:cs="Times New Roman"/>
          <w:kern w:val="0"/>
          <w:sz w:val="20"/>
          <w:szCs w:val="20"/>
          <w14:ligatures w14:val="none"/>
        </w:rPr>
        <w:t xml:space="preserve"> proposals submitted by CPCs share one common conclusion that the stock is in sufficiently good condition to allow for a more balanced and equitable distribution of fishing opportunities among contracting parties. This provides a unique and timely opportunity to reassess current allocations, especially for developing coastal states with historically small quotas.</w:t>
      </w:r>
    </w:p>
    <w:p w14:paraId="31917F2F" w14:textId="03209B90" w:rsidR="008F6668" w:rsidRPr="00654813" w:rsidRDefault="00D702BF" w:rsidP="009D0332">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sidRPr="00654813">
        <w:rPr>
          <w:rFonts w:ascii="Cambria" w:eastAsia="Times New Roman" w:hAnsi="Cambria" w:cs="Times New Roman"/>
          <w:b/>
          <w:bCs/>
          <w:kern w:val="0"/>
          <w:sz w:val="20"/>
          <w:szCs w:val="20"/>
          <w14:ligatures w14:val="none"/>
        </w:rPr>
        <w:t xml:space="preserve">Current </w:t>
      </w:r>
      <w:r w:rsidR="00654813" w:rsidRPr="00654813">
        <w:rPr>
          <w:rFonts w:ascii="Cambria" w:eastAsia="Times New Roman" w:hAnsi="Cambria" w:cs="Times New Roman"/>
          <w:b/>
          <w:bCs/>
          <w:kern w:val="0"/>
          <w:sz w:val="20"/>
          <w:szCs w:val="20"/>
          <w14:ligatures w14:val="none"/>
        </w:rPr>
        <w:t xml:space="preserve">situation </w:t>
      </w:r>
      <w:r w:rsidRPr="00654813">
        <w:rPr>
          <w:rFonts w:ascii="Cambria" w:eastAsia="Times New Roman" w:hAnsi="Cambria" w:cs="Times New Roman"/>
          <w:b/>
          <w:bCs/>
          <w:kern w:val="0"/>
          <w:sz w:val="20"/>
          <w:szCs w:val="20"/>
          <w14:ligatures w14:val="none"/>
        </w:rPr>
        <w:t>of Egypt</w:t>
      </w:r>
    </w:p>
    <w:p w14:paraId="25891E1A" w14:textId="3378F7E7" w:rsidR="008F6668" w:rsidRPr="00701388" w:rsidRDefault="00D702BF" w:rsidP="009D0332">
      <w:pPr>
        <w:spacing w:before="100" w:beforeAutospacing="1" w:after="100" w:afterAutospacing="1" w:line="240" w:lineRule="auto"/>
        <w:ind w:right="-1"/>
        <w:jc w:val="both"/>
        <w:rPr>
          <w:rFonts w:ascii="Cambria" w:eastAsia="Times New Roman" w:hAnsi="Cambria" w:cs="Times New Roman"/>
          <w:b/>
          <w:bCs/>
          <w:i/>
          <w:iCs/>
          <w:kern w:val="0"/>
          <w:sz w:val="20"/>
          <w:szCs w:val="20"/>
          <w14:ligatures w14:val="none"/>
        </w:rPr>
      </w:pPr>
      <w:r w:rsidRPr="00701388">
        <w:rPr>
          <w:rFonts w:ascii="Cambria" w:eastAsia="Times New Roman" w:hAnsi="Cambria" w:cs="Times New Roman"/>
          <w:kern w:val="0"/>
          <w:sz w:val="20"/>
          <w:szCs w:val="20"/>
          <w:lang w:val="en-US"/>
          <w14:ligatures w14:val="none"/>
        </w:rPr>
        <w:t>Since 2009, Egypt has demonstrated full adherence to ICCAT recommendations and conservation measures showing more improvements in recent years and has consistently requested capacity-building support to strengthen data collection, reporting, and compliance. Over the past fifteen years, Egypt has substantially modernized its national regulatory framework and enhanced its monitoring, control, and surveillance (MCS) systems</w:t>
      </w:r>
      <w:r w:rsidR="00654813">
        <w:rPr>
          <w:rFonts w:ascii="Cambria" w:eastAsia="Times New Roman" w:hAnsi="Cambria" w:cs="Times New Roman"/>
          <w:kern w:val="0"/>
          <w:sz w:val="20"/>
          <w:szCs w:val="20"/>
          <w:lang w:val="en-US"/>
          <w14:ligatures w14:val="none"/>
        </w:rPr>
        <w:t xml:space="preserve"> - </w:t>
      </w:r>
      <w:r w:rsidRPr="00701388">
        <w:rPr>
          <w:rFonts w:ascii="Cambria" w:eastAsia="Times New Roman" w:hAnsi="Cambria" w:cs="Times New Roman"/>
          <w:kern w:val="0"/>
          <w:sz w:val="20"/>
          <w:szCs w:val="20"/>
          <w:lang w:val="en-US"/>
          <w14:ligatures w14:val="none"/>
        </w:rPr>
        <w:t>all aligned with ICCAT standards</w:t>
      </w:r>
      <w:r w:rsidR="00654813">
        <w:rPr>
          <w:rFonts w:ascii="Cambria" w:eastAsia="Times New Roman" w:hAnsi="Cambria" w:cs="Times New Roman"/>
          <w:kern w:val="0"/>
          <w:sz w:val="20"/>
          <w:szCs w:val="20"/>
          <w:lang w:val="en-US"/>
          <w14:ligatures w14:val="none"/>
        </w:rPr>
        <w:t xml:space="preserve"> - </w:t>
      </w:r>
      <w:r w:rsidRPr="00701388">
        <w:rPr>
          <w:rFonts w:ascii="Cambria" w:eastAsia="Times New Roman" w:hAnsi="Cambria" w:cs="Times New Roman"/>
          <w:kern w:val="0"/>
          <w:sz w:val="20"/>
          <w:szCs w:val="20"/>
          <w:lang w:val="en-US"/>
          <w14:ligatures w14:val="none"/>
        </w:rPr>
        <w:t>despite the economic constraints faced it.</w:t>
      </w:r>
    </w:p>
    <w:p w14:paraId="1BE04237" w14:textId="20F6578A" w:rsidR="00D702BF" w:rsidRPr="00701388" w:rsidRDefault="00D702BF" w:rsidP="009D0332">
      <w:pPr>
        <w:spacing w:before="100" w:beforeAutospacing="1" w:after="100" w:afterAutospacing="1" w:line="240" w:lineRule="auto"/>
        <w:ind w:right="-1"/>
        <w:jc w:val="both"/>
        <w:rPr>
          <w:rFonts w:ascii="Cambria" w:eastAsia="Times New Roman" w:hAnsi="Cambria" w:cs="Times New Roman"/>
          <w:b/>
          <w:bCs/>
          <w:i/>
          <w:iCs/>
          <w:kern w:val="0"/>
          <w:sz w:val="20"/>
          <w:szCs w:val="20"/>
          <w14:ligatures w14:val="none"/>
        </w:rPr>
      </w:pPr>
      <w:r w:rsidRPr="00701388">
        <w:rPr>
          <w:rFonts w:ascii="Cambria" w:eastAsia="Times New Roman" w:hAnsi="Cambria" w:cs="Times New Roman"/>
          <w:kern w:val="0"/>
          <w:sz w:val="20"/>
          <w:szCs w:val="20"/>
          <w:lang w:val="en-US"/>
          <w14:ligatures w14:val="none"/>
        </w:rPr>
        <w:t>Operational fishing capacity has declined from five active vessels to only one or two annually “due to limited allocation”, limiting investment opportunities, employment generation, and local value creation, despite Egypt’s extensive coastline exceeding 1,000 kilometers and the reliance of millions on marine resources.</w:t>
      </w:r>
    </w:p>
    <w:p w14:paraId="0558EA90" w14:textId="44BF590D" w:rsidR="00D702BF" w:rsidRPr="00654813" w:rsidRDefault="004B4002" w:rsidP="009D0332">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sidRPr="00654813">
        <w:rPr>
          <w:rFonts w:ascii="Cambria" w:eastAsia="Times New Roman" w:hAnsi="Cambria" w:cs="Times New Roman"/>
          <w:b/>
          <w:bCs/>
          <w:kern w:val="0"/>
          <w:sz w:val="20"/>
          <w:szCs w:val="20"/>
          <w14:ligatures w14:val="none"/>
        </w:rPr>
        <w:t>Egypt’s</w:t>
      </w:r>
      <w:r w:rsidR="00D702BF" w:rsidRPr="00654813">
        <w:rPr>
          <w:rFonts w:ascii="Cambria" w:eastAsia="Times New Roman" w:hAnsi="Cambria" w:cs="Times New Roman"/>
          <w:b/>
          <w:bCs/>
          <w:kern w:val="0"/>
          <w:sz w:val="20"/>
          <w:szCs w:val="20"/>
          <w14:ligatures w14:val="none"/>
        </w:rPr>
        <w:t xml:space="preserve"> </w:t>
      </w:r>
      <w:r w:rsidR="00654813" w:rsidRPr="00654813">
        <w:rPr>
          <w:rFonts w:ascii="Cambria" w:eastAsia="Times New Roman" w:hAnsi="Cambria" w:cs="Times New Roman"/>
          <w:b/>
          <w:bCs/>
          <w:kern w:val="0"/>
          <w:sz w:val="20"/>
          <w:szCs w:val="20"/>
          <w14:ligatures w14:val="none"/>
        </w:rPr>
        <w:t xml:space="preserve">development plan for </w:t>
      </w:r>
      <w:r w:rsidR="00D702BF" w:rsidRPr="00654813">
        <w:rPr>
          <w:rFonts w:ascii="Cambria" w:eastAsia="Times New Roman" w:hAnsi="Cambria" w:cs="Times New Roman"/>
          <w:b/>
          <w:bCs/>
          <w:kern w:val="0"/>
          <w:sz w:val="20"/>
          <w:szCs w:val="20"/>
          <w14:ligatures w14:val="none"/>
        </w:rPr>
        <w:t xml:space="preserve">BFT </w:t>
      </w:r>
      <w:r w:rsidR="00654813" w:rsidRPr="00654813">
        <w:rPr>
          <w:rFonts w:ascii="Cambria" w:eastAsia="Times New Roman" w:hAnsi="Cambria" w:cs="Times New Roman"/>
          <w:b/>
          <w:bCs/>
          <w:kern w:val="0"/>
          <w:sz w:val="20"/>
          <w:szCs w:val="20"/>
          <w14:ligatures w14:val="none"/>
        </w:rPr>
        <w:t>industry</w:t>
      </w:r>
    </w:p>
    <w:p w14:paraId="3F2B3ABA" w14:textId="545BC3AB" w:rsidR="00D702BF" w:rsidRPr="00701388" w:rsidRDefault="00D702BF"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r w:rsidRPr="00701388">
        <w:rPr>
          <w:rFonts w:ascii="Cambria" w:eastAsia="Times New Roman" w:hAnsi="Cambria" w:cs="Times New Roman"/>
          <w:kern w:val="0"/>
          <w:sz w:val="20"/>
          <w:szCs w:val="20"/>
          <w14:ligatures w14:val="none"/>
        </w:rPr>
        <w:t xml:space="preserve">Egypt has a clear and actionable plan to develop a sustainable, fully compliant BFT fishery, central to which is the need for a significant and viable </w:t>
      </w:r>
      <w:r w:rsidR="00F32C8F" w:rsidRPr="00701388">
        <w:rPr>
          <w:rFonts w:ascii="Cambria" w:eastAsia="Times New Roman" w:hAnsi="Cambria" w:cs="Times New Roman"/>
          <w:kern w:val="0"/>
          <w:sz w:val="20"/>
          <w:szCs w:val="20"/>
          <w14:ligatures w14:val="none"/>
        </w:rPr>
        <w:t>allocation</w:t>
      </w:r>
      <w:r w:rsidRPr="00701388">
        <w:rPr>
          <w:rFonts w:ascii="Cambria" w:eastAsia="Times New Roman" w:hAnsi="Cambria" w:cs="Times New Roman"/>
          <w:kern w:val="0"/>
          <w:sz w:val="20"/>
          <w:szCs w:val="20"/>
          <w14:ligatures w14:val="none"/>
        </w:rPr>
        <w:t xml:space="preserve"> including:</w:t>
      </w:r>
    </w:p>
    <w:p w14:paraId="7878D60C" w14:textId="77777777" w:rsidR="00D702BF" w:rsidRPr="00701388" w:rsidRDefault="00D702BF" w:rsidP="00654813">
      <w:pPr>
        <w:numPr>
          <w:ilvl w:val="0"/>
          <w:numId w:val="1"/>
        </w:numPr>
        <w:spacing w:before="100" w:beforeAutospacing="1" w:after="100" w:afterAutospacing="1" w:line="240" w:lineRule="auto"/>
        <w:ind w:left="426" w:right="-1" w:hanging="426"/>
        <w:contextualSpacing/>
        <w:jc w:val="both"/>
        <w:rPr>
          <w:rFonts w:ascii="Cambria" w:eastAsia="Times New Roman" w:hAnsi="Cambria" w:cs="Times New Roman"/>
          <w:kern w:val="0"/>
          <w:sz w:val="20"/>
          <w:szCs w:val="20"/>
          <w14:ligatures w14:val="none"/>
        </w:rPr>
      </w:pPr>
      <w:r w:rsidRPr="00701388">
        <w:rPr>
          <w:rFonts w:ascii="Cambria" w:eastAsia="Times New Roman" w:hAnsi="Cambria" w:cs="Times New Roman"/>
          <w:kern w:val="0"/>
          <w:sz w:val="20"/>
          <w:szCs w:val="20"/>
          <w14:ligatures w14:val="none"/>
        </w:rPr>
        <w:t>Re-investing in the national fishing fleet to support both the capture for the farm and a directed fishery.</w:t>
      </w:r>
    </w:p>
    <w:p w14:paraId="4EB87A74" w14:textId="77777777" w:rsidR="00D702BF" w:rsidRPr="00701388" w:rsidRDefault="00D702BF" w:rsidP="00654813">
      <w:pPr>
        <w:numPr>
          <w:ilvl w:val="0"/>
          <w:numId w:val="1"/>
        </w:numPr>
        <w:spacing w:before="100" w:beforeAutospacing="1" w:after="100" w:afterAutospacing="1" w:line="240" w:lineRule="auto"/>
        <w:ind w:left="426" w:right="-1" w:hanging="426"/>
        <w:contextualSpacing/>
        <w:jc w:val="both"/>
        <w:rPr>
          <w:rFonts w:ascii="Cambria" w:eastAsia="Times New Roman" w:hAnsi="Cambria" w:cs="Times New Roman"/>
          <w:kern w:val="0"/>
          <w:sz w:val="20"/>
          <w:szCs w:val="20"/>
          <w14:ligatures w14:val="none"/>
        </w:rPr>
      </w:pPr>
      <w:r w:rsidRPr="00701388">
        <w:rPr>
          <w:rFonts w:ascii="Cambria" w:eastAsia="Times New Roman" w:hAnsi="Cambria" w:cs="Times New Roman"/>
          <w:kern w:val="0"/>
          <w:sz w:val="20"/>
          <w:szCs w:val="20"/>
          <w14:ligatures w14:val="none"/>
        </w:rPr>
        <w:t>Partnering with the SCRS to collect valuable data on both wild catches and farming operations.</w:t>
      </w:r>
    </w:p>
    <w:p w14:paraId="163E83CB" w14:textId="77777777" w:rsidR="00D702BF" w:rsidRPr="00701388" w:rsidRDefault="00D702BF" w:rsidP="00654813">
      <w:pPr>
        <w:numPr>
          <w:ilvl w:val="0"/>
          <w:numId w:val="1"/>
        </w:numPr>
        <w:spacing w:before="100" w:beforeAutospacing="1" w:after="100" w:afterAutospacing="1" w:line="240" w:lineRule="auto"/>
        <w:ind w:left="426" w:right="-1" w:hanging="426"/>
        <w:contextualSpacing/>
        <w:jc w:val="both"/>
        <w:rPr>
          <w:rFonts w:ascii="Cambria" w:eastAsia="Times New Roman" w:hAnsi="Cambria" w:cs="Times New Roman"/>
          <w:kern w:val="0"/>
          <w:sz w:val="20"/>
          <w:szCs w:val="20"/>
          <w14:ligatures w14:val="none"/>
        </w:rPr>
      </w:pPr>
      <w:r w:rsidRPr="00701388">
        <w:rPr>
          <w:rFonts w:ascii="Cambria" w:eastAsia="Times New Roman" w:hAnsi="Cambria" w:cs="Times New Roman"/>
          <w:kern w:val="0"/>
          <w:sz w:val="20"/>
          <w:szCs w:val="20"/>
          <w14:ligatures w14:val="none"/>
        </w:rPr>
        <w:t>Utilizing the quota to responsibly stock and operate the authorized farm, creating a new and high-value industry.</w:t>
      </w:r>
    </w:p>
    <w:p w14:paraId="7752B971" w14:textId="77777777" w:rsidR="00D702BF" w:rsidRPr="00701388" w:rsidRDefault="00D702BF" w:rsidP="00654813">
      <w:pPr>
        <w:numPr>
          <w:ilvl w:val="0"/>
          <w:numId w:val="1"/>
        </w:numPr>
        <w:spacing w:before="100" w:beforeAutospacing="1" w:after="100" w:afterAutospacing="1" w:line="240" w:lineRule="auto"/>
        <w:ind w:left="426" w:right="-1" w:hanging="426"/>
        <w:contextualSpacing/>
        <w:jc w:val="both"/>
        <w:rPr>
          <w:rFonts w:ascii="Cambria" w:eastAsia="Times New Roman" w:hAnsi="Cambria" w:cs="Times New Roman"/>
          <w:kern w:val="0"/>
          <w:sz w:val="20"/>
          <w:szCs w:val="20"/>
          <w14:ligatures w14:val="none"/>
        </w:rPr>
      </w:pPr>
      <w:r w:rsidRPr="00701388">
        <w:rPr>
          <w:rFonts w:ascii="Cambria" w:eastAsia="Times New Roman" w:hAnsi="Cambria" w:cs="Times New Roman"/>
          <w:kern w:val="0"/>
          <w:sz w:val="20"/>
          <w:szCs w:val="20"/>
          <w14:ligatures w14:val="none"/>
        </w:rPr>
        <w:t>Provide job opportunities and improve livelihood of fisheries communities.</w:t>
      </w:r>
    </w:p>
    <w:p w14:paraId="3BA114D2" w14:textId="77777777" w:rsidR="00D702BF" w:rsidRPr="00701388" w:rsidRDefault="00D702BF" w:rsidP="00654813">
      <w:pPr>
        <w:numPr>
          <w:ilvl w:val="0"/>
          <w:numId w:val="1"/>
        </w:numPr>
        <w:spacing w:before="100" w:beforeAutospacing="1" w:after="100" w:afterAutospacing="1" w:line="240" w:lineRule="auto"/>
        <w:ind w:left="426" w:right="-1" w:hanging="426"/>
        <w:contextualSpacing/>
        <w:jc w:val="both"/>
        <w:rPr>
          <w:rFonts w:ascii="Cambria" w:eastAsia="Times New Roman" w:hAnsi="Cambria" w:cs="Times New Roman"/>
          <w:kern w:val="0"/>
          <w:sz w:val="20"/>
          <w:szCs w:val="20"/>
          <w14:ligatures w14:val="none"/>
        </w:rPr>
      </w:pPr>
      <w:r w:rsidRPr="00701388">
        <w:rPr>
          <w:rFonts w:ascii="Cambria" w:eastAsia="Times New Roman" w:hAnsi="Cambria" w:cs="Times New Roman"/>
          <w:kern w:val="0"/>
          <w:sz w:val="20"/>
          <w:szCs w:val="20"/>
          <w14:ligatures w14:val="none"/>
        </w:rPr>
        <w:t>Help to achieve Egypt’s strategy to develop fisheries sector by 2030 and help increasing the local income.</w:t>
      </w:r>
    </w:p>
    <w:p w14:paraId="6BFC0457" w14:textId="77777777" w:rsidR="008F6668" w:rsidRPr="00701388" w:rsidRDefault="008F6668"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14:ligatures w14:val="none"/>
        </w:rPr>
      </w:pPr>
    </w:p>
    <w:p w14:paraId="4932A9AA" w14:textId="4C2AF770" w:rsidR="00B2724E" w:rsidRPr="00654813" w:rsidRDefault="00D702BF" w:rsidP="009D0332">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sidRPr="00654813">
        <w:rPr>
          <w:rFonts w:ascii="Cambria" w:eastAsia="Times New Roman" w:hAnsi="Cambria" w:cs="Times New Roman"/>
          <w:b/>
          <w:bCs/>
          <w:kern w:val="0"/>
          <w:sz w:val="20"/>
          <w:szCs w:val="20"/>
          <w14:ligatures w14:val="none"/>
        </w:rPr>
        <w:t xml:space="preserve">Egypt’s </w:t>
      </w:r>
      <w:r w:rsidR="003C1914" w:rsidRPr="00654813">
        <w:rPr>
          <w:rFonts w:ascii="Cambria" w:eastAsia="Times New Roman" w:hAnsi="Cambria" w:cs="Times New Roman"/>
          <w:b/>
          <w:bCs/>
          <w:kern w:val="0"/>
          <w:sz w:val="20"/>
          <w:szCs w:val="20"/>
          <w14:ligatures w14:val="none"/>
        </w:rPr>
        <w:t>concerns</w:t>
      </w:r>
    </w:p>
    <w:p w14:paraId="64FD8F1C" w14:textId="77777777" w:rsidR="00B2724E" w:rsidRPr="00701388" w:rsidRDefault="00D702BF" w:rsidP="009D0332">
      <w:pPr>
        <w:spacing w:before="100" w:beforeAutospacing="1" w:after="100" w:afterAutospacing="1" w:line="240" w:lineRule="auto"/>
        <w:ind w:right="-1"/>
        <w:jc w:val="both"/>
        <w:rPr>
          <w:rFonts w:ascii="Cambria" w:eastAsia="Times New Roman" w:hAnsi="Cambria" w:cs="Times New Roman"/>
          <w:b/>
          <w:bCs/>
          <w:i/>
          <w:iCs/>
          <w:kern w:val="0"/>
          <w:sz w:val="20"/>
          <w:szCs w:val="20"/>
          <w14:ligatures w14:val="none"/>
        </w:rPr>
      </w:pPr>
      <w:r w:rsidRPr="00701388">
        <w:rPr>
          <w:rFonts w:ascii="Cambria" w:eastAsia="Times New Roman" w:hAnsi="Cambria" w:cs="Times New Roman"/>
          <w:kern w:val="0"/>
          <w:sz w:val="20"/>
          <w:szCs w:val="20"/>
          <w14:ligatures w14:val="none"/>
        </w:rPr>
        <w:t>The proposal to use the utilization factor from 2023 and 2024 as a benchmark is problematic because it inherently penalizes some small quota holders that were assigned minimal quotas less than 1000 tons. By tying future access to only two years past performance ignoring all historical utilization rate throughout past years, which in turn may create a vacant cycle of non-utilization, where limited initial capacity automatically results in low utilization rates that reflects continued exclusion and opposing inequality and directly contradicting ensuring equitable access for these small quota holders.</w:t>
      </w:r>
    </w:p>
    <w:p w14:paraId="191698FE" w14:textId="04EBCBFE" w:rsidR="00D702BF" w:rsidRPr="00701388" w:rsidRDefault="00D702BF" w:rsidP="009D0332">
      <w:pPr>
        <w:spacing w:before="100" w:beforeAutospacing="1" w:after="100" w:afterAutospacing="1" w:line="240" w:lineRule="auto"/>
        <w:ind w:right="-1"/>
        <w:jc w:val="both"/>
        <w:rPr>
          <w:rFonts w:ascii="Cambria" w:eastAsia="Times New Roman" w:hAnsi="Cambria" w:cs="Times New Roman"/>
          <w:b/>
          <w:bCs/>
          <w:i/>
          <w:iCs/>
          <w:kern w:val="0"/>
          <w:sz w:val="20"/>
          <w:szCs w:val="20"/>
          <w14:ligatures w14:val="none"/>
        </w:rPr>
      </w:pPr>
      <w:r w:rsidRPr="00701388">
        <w:rPr>
          <w:rFonts w:ascii="Cambria" w:eastAsia="Times New Roman" w:hAnsi="Cambria" w:cs="Times New Roman"/>
          <w:kern w:val="0"/>
          <w:sz w:val="20"/>
          <w:szCs w:val="20"/>
          <w14:ligatures w14:val="none"/>
        </w:rPr>
        <w:t>It has a been a long time since last legal allocation had been adopted and the stock status this year provides excellent opportunity to be satisfied.</w:t>
      </w:r>
    </w:p>
    <w:p w14:paraId="12F810F5" w14:textId="4ABBF978" w:rsidR="00D702BF" w:rsidRPr="00654813" w:rsidRDefault="00D702BF" w:rsidP="009D0332">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sidRPr="00654813">
        <w:rPr>
          <w:rFonts w:ascii="Cambria" w:eastAsia="Times New Roman" w:hAnsi="Cambria" w:cs="Times New Roman"/>
          <w:b/>
          <w:bCs/>
          <w:kern w:val="0"/>
          <w:sz w:val="20"/>
          <w:szCs w:val="20"/>
          <w14:ligatures w14:val="none"/>
        </w:rPr>
        <w:t xml:space="preserve">Egypt’s </w:t>
      </w:r>
      <w:r w:rsidR="003C1914" w:rsidRPr="00654813">
        <w:rPr>
          <w:rFonts w:ascii="Cambria" w:eastAsia="Times New Roman" w:hAnsi="Cambria" w:cs="Times New Roman"/>
          <w:b/>
          <w:bCs/>
          <w:kern w:val="0"/>
          <w:sz w:val="20"/>
          <w:szCs w:val="20"/>
          <w14:ligatures w14:val="none"/>
        </w:rPr>
        <w:t>request</w:t>
      </w:r>
    </w:p>
    <w:p w14:paraId="51AF41D2" w14:textId="77777777" w:rsidR="00D702BF" w:rsidRPr="00701388" w:rsidRDefault="00D702BF"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lang w:val="en-US"/>
          <w14:ligatures w14:val="none"/>
        </w:rPr>
      </w:pPr>
      <w:r w:rsidRPr="00701388">
        <w:rPr>
          <w:rFonts w:ascii="Cambria" w:eastAsia="Times New Roman" w:hAnsi="Cambria" w:cs="Times New Roman"/>
          <w:kern w:val="0"/>
          <w:sz w:val="20"/>
          <w:szCs w:val="20"/>
          <w:lang w:val="en-US"/>
          <w14:ligatures w14:val="none"/>
        </w:rPr>
        <w:t xml:space="preserve">Throughout previous years, Egypt has consistently sought a fair and development-oriented allocation to enable the sustainable development of its national bluefin tuna fishery, including the establishment of its first tuna farming projects with capacities reaching 1,800 tons. The extremely limited quota currently allocated to Egypt, however, has severely constrained such development. </w:t>
      </w:r>
    </w:p>
    <w:p w14:paraId="2B0A3596" w14:textId="77777777" w:rsidR="00B2724E" w:rsidRPr="00701388" w:rsidRDefault="00B2724E"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lang w:val="en-US"/>
          <w14:ligatures w14:val="none"/>
        </w:rPr>
      </w:pPr>
    </w:p>
    <w:p w14:paraId="4B7D05AE" w14:textId="77777777" w:rsidR="00D702BF" w:rsidRPr="00701388" w:rsidRDefault="00D702BF"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14:ligatures w14:val="none"/>
        </w:rPr>
      </w:pPr>
      <w:r w:rsidRPr="00701388">
        <w:rPr>
          <w:rFonts w:ascii="Cambria" w:eastAsia="Times New Roman" w:hAnsi="Cambria" w:cs="Times New Roman"/>
          <w:kern w:val="0"/>
          <w:sz w:val="20"/>
          <w:szCs w:val="20"/>
          <w14:ligatures w14:val="none"/>
        </w:rPr>
        <w:t>Egypt requests for a fair allocation that would uphold ICCAT and International Law principles, enhance the legitimacy of ICCAT's process, and promote inclusiveness.</w:t>
      </w:r>
    </w:p>
    <w:p w14:paraId="1097DD14" w14:textId="77777777" w:rsidR="00B2724E" w:rsidRPr="00701388" w:rsidRDefault="00B2724E"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lang w:val="en-US"/>
          <w14:ligatures w14:val="none"/>
        </w:rPr>
      </w:pPr>
    </w:p>
    <w:p w14:paraId="164FCFBC" w14:textId="77777777" w:rsidR="00D702BF" w:rsidRPr="00701388" w:rsidRDefault="00D702BF"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lang w:val="en-US"/>
          <w14:ligatures w14:val="none"/>
        </w:rPr>
      </w:pPr>
      <w:r w:rsidRPr="00701388">
        <w:rPr>
          <w:rFonts w:ascii="Cambria" w:eastAsia="Times New Roman" w:hAnsi="Cambria" w:cs="Times New Roman"/>
          <w:kern w:val="0"/>
          <w:sz w:val="20"/>
          <w:szCs w:val="20"/>
          <w14:ligatures w14:val="none"/>
        </w:rPr>
        <w:t>Egypt's request is grounded in the fair and equitable allocation criteria that are a cornerstone of ICCAT's legal framework (e.g., Res. 15-13) and aligns with international instruments, such as the UN Fish Stocks Agreement, which recognize the rights of developing coastal states to benefit from the sustainable use of living marine resources.</w:t>
      </w:r>
    </w:p>
    <w:p w14:paraId="0EE12BE0" w14:textId="77777777" w:rsidR="00D702BF" w:rsidRPr="00701388" w:rsidRDefault="00D702BF" w:rsidP="009D0332">
      <w:pPr>
        <w:spacing w:before="100" w:beforeAutospacing="1" w:after="100" w:afterAutospacing="1" w:line="240" w:lineRule="auto"/>
        <w:ind w:right="-1"/>
        <w:contextualSpacing/>
        <w:jc w:val="both"/>
        <w:rPr>
          <w:rFonts w:ascii="Cambria" w:eastAsia="Times New Roman" w:hAnsi="Cambria" w:cs="Times New Roman"/>
          <w:kern w:val="0"/>
          <w:sz w:val="20"/>
          <w:szCs w:val="20"/>
          <w:lang w:val="en-US"/>
          <w14:ligatures w14:val="none"/>
        </w:rPr>
      </w:pPr>
    </w:p>
    <w:p w14:paraId="6F5CFC46" w14:textId="77777777" w:rsidR="00D702BF" w:rsidRPr="003C1914" w:rsidRDefault="00D702BF" w:rsidP="009D0332">
      <w:pPr>
        <w:spacing w:before="100" w:beforeAutospacing="1" w:after="100" w:afterAutospacing="1" w:line="240" w:lineRule="auto"/>
        <w:ind w:right="-1"/>
        <w:jc w:val="both"/>
        <w:rPr>
          <w:rFonts w:ascii="Cambria" w:eastAsia="Times New Roman" w:hAnsi="Cambria" w:cs="Times New Roman"/>
          <w:b/>
          <w:bCs/>
          <w:kern w:val="0"/>
          <w:sz w:val="20"/>
          <w:szCs w:val="20"/>
          <w14:ligatures w14:val="none"/>
        </w:rPr>
      </w:pPr>
      <w:r w:rsidRPr="003C1914">
        <w:rPr>
          <w:rFonts w:ascii="Cambria" w:eastAsia="Times New Roman" w:hAnsi="Cambria" w:cs="Times New Roman"/>
          <w:b/>
          <w:bCs/>
          <w:kern w:val="0"/>
          <w:sz w:val="20"/>
          <w:szCs w:val="20"/>
          <w14:ligatures w14:val="none"/>
        </w:rPr>
        <w:t>Conclusion</w:t>
      </w:r>
    </w:p>
    <w:p w14:paraId="09B1FCE9" w14:textId="47F2738F" w:rsidR="004B512B" w:rsidRPr="00701388" w:rsidRDefault="00D702BF" w:rsidP="009D0332">
      <w:pPr>
        <w:spacing w:before="100" w:beforeAutospacing="1" w:after="100" w:afterAutospacing="1" w:line="240" w:lineRule="auto"/>
        <w:ind w:right="-1"/>
        <w:jc w:val="both"/>
        <w:rPr>
          <w:rFonts w:ascii="Cambria" w:eastAsia="Times New Roman" w:hAnsi="Cambria" w:cs="Times New Roman"/>
          <w:kern w:val="0"/>
          <w:sz w:val="20"/>
          <w:szCs w:val="20"/>
          <w:rtl/>
          <w14:ligatures w14:val="none"/>
        </w:rPr>
      </w:pPr>
      <w:r w:rsidRPr="00701388">
        <w:rPr>
          <w:rFonts w:ascii="Cambria" w:eastAsia="Times New Roman" w:hAnsi="Cambria" w:cs="Times New Roman"/>
          <w:kern w:val="0"/>
          <w:sz w:val="20"/>
          <w:szCs w:val="20"/>
          <w14:ligatures w14:val="none"/>
        </w:rPr>
        <w:t xml:space="preserve"> Egypt reiterates its conviction that achieving a fair, equitable, and scientifically grounded quota allocation is essential for the integrity of ICCAT’s management framework and the long-term sustainability of Atlantic bluefin tuna. Egypt remains fully committed to constructive engagement, evidence-based decision-making, and collaborative solutions that support the development needs of all CPCs</w:t>
      </w:r>
      <w:r w:rsidR="00654813">
        <w:rPr>
          <w:rFonts w:ascii="Cambria" w:eastAsia="Times New Roman" w:hAnsi="Cambria" w:cs="Times New Roman"/>
          <w:kern w:val="0"/>
          <w:sz w:val="20"/>
          <w:szCs w:val="20"/>
          <w14:ligatures w14:val="none"/>
        </w:rPr>
        <w:t xml:space="preserve"> - </w:t>
      </w:r>
      <w:r w:rsidRPr="00701388">
        <w:rPr>
          <w:rFonts w:ascii="Cambria" w:eastAsia="Times New Roman" w:hAnsi="Cambria" w:cs="Times New Roman"/>
          <w:kern w:val="0"/>
          <w:sz w:val="20"/>
          <w:szCs w:val="20"/>
          <w14:ligatures w14:val="none"/>
        </w:rPr>
        <w:t>particularly those with historically limited fishing opportunities.</w:t>
      </w:r>
    </w:p>
    <w:p w14:paraId="7D819D37" w14:textId="5CCB93F1" w:rsidR="004B512B" w:rsidRPr="00701388" w:rsidRDefault="004B512B"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r w:rsidRPr="00701388">
        <w:rPr>
          <w:rFonts w:ascii="Cambria" w:eastAsia="Times New Roman" w:hAnsi="Cambria" w:cs="Times New Roman"/>
          <w:kern w:val="0"/>
          <w:sz w:val="20"/>
          <w:szCs w:val="20"/>
          <w14:ligatures w14:val="none"/>
        </w:rPr>
        <w:t>A fair and development-oriented allocation is not merely desirable, but essential for the credibility, balance, and legitimacy of ICCAT’s management framework. No CPC should return from this process empty-handed</w:t>
      </w:r>
      <w:r w:rsidR="00654813">
        <w:rPr>
          <w:rFonts w:ascii="Cambria" w:eastAsia="Times New Roman" w:hAnsi="Cambria" w:cs="Times New Roman"/>
          <w:kern w:val="0"/>
          <w:sz w:val="20"/>
          <w:szCs w:val="20"/>
          <w14:ligatures w14:val="none"/>
        </w:rPr>
        <w:t xml:space="preserve"> - </w:t>
      </w:r>
      <w:r w:rsidRPr="00701388">
        <w:rPr>
          <w:rFonts w:ascii="Cambria" w:eastAsia="Times New Roman" w:hAnsi="Cambria" w:cs="Times New Roman"/>
          <w:kern w:val="0"/>
          <w:sz w:val="20"/>
          <w:szCs w:val="20"/>
          <w14:ligatures w14:val="none"/>
        </w:rPr>
        <w:t xml:space="preserve">particularly those coastal developing states, like Egypt, whose rights to sustainably utilize the living marine resources within their territorial waters and Exclusive Economic Zones are firmly established under international law. </w:t>
      </w:r>
    </w:p>
    <w:p w14:paraId="414EB72E" w14:textId="6A0452B4" w:rsidR="0070582F" w:rsidRPr="00701388" w:rsidRDefault="0070582F"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r w:rsidRPr="00701388">
        <w:rPr>
          <w:rFonts w:ascii="Cambria" w:eastAsia="Times New Roman" w:hAnsi="Cambria" w:cs="Times New Roman"/>
          <w:kern w:val="0"/>
          <w:sz w:val="20"/>
          <w:szCs w:val="20"/>
          <w14:ligatures w14:val="none"/>
        </w:rPr>
        <w:t>Egypt remains committed to constructive engagement and scientific cooperation; however, achieving a just and inclusive outcome requires that all CPCs</w:t>
      </w:r>
      <w:r w:rsidR="00654813">
        <w:rPr>
          <w:rFonts w:ascii="Cambria" w:eastAsia="Times New Roman" w:hAnsi="Cambria" w:cs="Times New Roman"/>
          <w:kern w:val="0"/>
          <w:sz w:val="20"/>
          <w:szCs w:val="20"/>
          <w14:ligatures w14:val="none"/>
        </w:rPr>
        <w:t xml:space="preserve"> - </w:t>
      </w:r>
      <w:r w:rsidRPr="00701388">
        <w:rPr>
          <w:rFonts w:ascii="Cambria" w:eastAsia="Times New Roman" w:hAnsi="Cambria" w:cs="Times New Roman"/>
          <w:kern w:val="0"/>
          <w:sz w:val="20"/>
          <w:szCs w:val="20"/>
          <w14:ligatures w14:val="none"/>
        </w:rPr>
        <w:t>including those historically under-allocated</w:t>
      </w:r>
      <w:r w:rsidR="00654813">
        <w:rPr>
          <w:rFonts w:ascii="Cambria" w:eastAsia="Times New Roman" w:hAnsi="Cambria" w:cs="Times New Roman"/>
          <w:kern w:val="0"/>
          <w:sz w:val="20"/>
          <w:szCs w:val="20"/>
          <w14:ligatures w14:val="none"/>
        </w:rPr>
        <w:t xml:space="preserve"> - </w:t>
      </w:r>
      <w:r w:rsidRPr="00701388">
        <w:rPr>
          <w:rFonts w:ascii="Cambria" w:eastAsia="Times New Roman" w:hAnsi="Cambria" w:cs="Times New Roman"/>
          <w:kern w:val="0"/>
          <w:sz w:val="20"/>
          <w:szCs w:val="20"/>
          <w14:ligatures w14:val="none"/>
        </w:rPr>
        <w:t>receive allocations that enable them to develop viable, compliant, and sustainable fisheries.</w:t>
      </w:r>
    </w:p>
    <w:p w14:paraId="5D4709B5" w14:textId="7F5A2BC9" w:rsidR="00D702BF" w:rsidRPr="00701388" w:rsidRDefault="00D702BF" w:rsidP="009D0332">
      <w:pPr>
        <w:spacing w:before="100" w:beforeAutospacing="1" w:after="100" w:afterAutospacing="1" w:line="240" w:lineRule="auto"/>
        <w:ind w:right="-1"/>
        <w:jc w:val="both"/>
        <w:rPr>
          <w:rFonts w:ascii="Cambria" w:eastAsia="Times New Roman" w:hAnsi="Cambria" w:cs="Times New Roman"/>
          <w:kern w:val="0"/>
          <w:sz w:val="20"/>
          <w:szCs w:val="20"/>
          <w:lang w:val="en-US"/>
          <w14:ligatures w14:val="none"/>
        </w:rPr>
      </w:pPr>
      <w:r w:rsidRPr="00701388">
        <w:rPr>
          <w:rFonts w:ascii="Cambria" w:eastAsia="Times New Roman" w:hAnsi="Cambria" w:cs="Times New Roman"/>
          <w:kern w:val="0"/>
          <w:sz w:val="20"/>
          <w:szCs w:val="20"/>
          <w14:ligatures w14:val="none"/>
        </w:rPr>
        <w:t xml:space="preserve">We stand ready to work </w:t>
      </w:r>
      <w:r w:rsidRPr="00701388">
        <w:rPr>
          <w:rFonts w:ascii="Cambria" w:eastAsia="Times New Roman" w:hAnsi="Cambria" w:cs="Times New Roman"/>
          <w:kern w:val="0"/>
          <w:sz w:val="20"/>
          <w:szCs w:val="20"/>
          <w:lang w:val="en-US"/>
          <w14:ligatures w14:val="none"/>
        </w:rPr>
        <w:t xml:space="preserve">collaboratively and constructively </w:t>
      </w:r>
      <w:r w:rsidRPr="00701388">
        <w:rPr>
          <w:rFonts w:ascii="Cambria" w:eastAsia="Times New Roman" w:hAnsi="Cambria" w:cs="Times New Roman"/>
          <w:kern w:val="0"/>
          <w:sz w:val="20"/>
          <w:szCs w:val="20"/>
          <w14:ligatures w14:val="none"/>
        </w:rPr>
        <w:t xml:space="preserve">with all delegations </w:t>
      </w:r>
      <w:r w:rsidRPr="00701388">
        <w:rPr>
          <w:rFonts w:ascii="Cambria" w:eastAsia="Times New Roman" w:hAnsi="Cambria" w:cs="Times New Roman"/>
          <w:kern w:val="0"/>
          <w:sz w:val="20"/>
          <w:szCs w:val="20"/>
          <w:lang w:val="en-US"/>
          <w14:ligatures w14:val="none"/>
        </w:rPr>
        <w:t>to achieve a just, forward-looking, and development-oriented allocation framework that supports sustainable fisheries and shared prosperity for all.</w:t>
      </w:r>
    </w:p>
    <w:p w14:paraId="4AC6FAC7" w14:textId="77777777" w:rsidR="0070582F" w:rsidRPr="00701388" w:rsidRDefault="0070582F" w:rsidP="009D0332">
      <w:pPr>
        <w:spacing w:before="100" w:beforeAutospacing="1" w:after="100" w:afterAutospacing="1" w:line="240" w:lineRule="auto"/>
        <w:ind w:right="-1"/>
        <w:jc w:val="both"/>
        <w:rPr>
          <w:rFonts w:ascii="Cambria" w:eastAsia="Times New Roman" w:hAnsi="Cambria" w:cs="Times New Roman"/>
          <w:kern w:val="0"/>
          <w:sz w:val="20"/>
          <w:szCs w:val="20"/>
          <w:rtl/>
          <w:lang w:bidi="ar-EG"/>
          <w14:ligatures w14:val="none"/>
        </w:rPr>
      </w:pPr>
    </w:p>
    <w:p w14:paraId="02AFF9C2" w14:textId="77777777" w:rsidR="0070582F" w:rsidRPr="00701388" w:rsidRDefault="0070582F"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p>
    <w:p w14:paraId="79C99DC1" w14:textId="77777777" w:rsidR="0070582F" w:rsidRPr="00701388" w:rsidRDefault="0070582F"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p>
    <w:p w14:paraId="4CDC20F6" w14:textId="77777777" w:rsidR="00D702BF" w:rsidRPr="00701388" w:rsidRDefault="00D702BF"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p>
    <w:p w14:paraId="33E94BF8" w14:textId="77777777" w:rsidR="00D702BF" w:rsidRPr="00701388" w:rsidRDefault="00D702BF" w:rsidP="009D0332">
      <w:pPr>
        <w:spacing w:before="100" w:beforeAutospacing="1" w:after="100" w:afterAutospacing="1" w:line="240" w:lineRule="auto"/>
        <w:ind w:right="-1"/>
        <w:jc w:val="both"/>
        <w:rPr>
          <w:rFonts w:ascii="Cambria" w:eastAsia="Times New Roman" w:hAnsi="Cambria" w:cs="Times New Roman"/>
          <w:kern w:val="0"/>
          <w:sz w:val="20"/>
          <w:szCs w:val="20"/>
          <w14:ligatures w14:val="none"/>
        </w:rPr>
      </w:pPr>
    </w:p>
    <w:p w14:paraId="290D7012" w14:textId="77777777" w:rsidR="00D702BF" w:rsidRPr="00701388" w:rsidRDefault="00D702BF" w:rsidP="009D0332">
      <w:pPr>
        <w:ind w:right="-1"/>
        <w:rPr>
          <w:rFonts w:ascii="Cambria" w:hAnsi="Cambria"/>
          <w:sz w:val="20"/>
          <w:szCs w:val="20"/>
        </w:rPr>
      </w:pPr>
    </w:p>
    <w:sectPr w:rsidR="00D702BF" w:rsidRPr="00701388" w:rsidSect="00701388">
      <w:headerReference w:type="default" r:id="rId7"/>
      <w:footerReference w:type="default" r:id="rId8"/>
      <w:pgSz w:w="11907" w:h="16840"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6EA9C" w14:textId="77777777" w:rsidR="00B61AC8" w:rsidRDefault="00B61AC8" w:rsidP="00B61AC8">
      <w:pPr>
        <w:spacing w:after="0" w:line="240" w:lineRule="auto"/>
      </w:pPr>
      <w:r>
        <w:separator/>
      </w:r>
    </w:p>
  </w:endnote>
  <w:endnote w:type="continuationSeparator" w:id="0">
    <w:p w14:paraId="57167CD2" w14:textId="77777777" w:rsidR="00B61AC8" w:rsidRDefault="00B61AC8" w:rsidP="00B61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9465" w14:textId="77777777" w:rsidR="00701388" w:rsidRPr="00654813" w:rsidRDefault="00701388" w:rsidP="00654813">
    <w:pPr>
      <w:tabs>
        <w:tab w:val="center" w:pos="4535"/>
        <w:tab w:val="center" w:pos="4680"/>
        <w:tab w:val="left" w:pos="6150"/>
        <w:tab w:val="right" w:pos="9360"/>
      </w:tabs>
      <w:spacing w:after="0" w:line="240" w:lineRule="auto"/>
      <w:jc w:val="center"/>
      <w:rPr>
        <w:rFonts w:ascii="Cambria" w:hAnsi="Cambria"/>
        <w:sz w:val="20"/>
      </w:rPr>
    </w:pPr>
    <w:r w:rsidRPr="00654813">
      <w:rPr>
        <w:rFonts w:ascii="Cambria" w:eastAsia="Calibri" w:hAnsi="Cambria" w:cs="Calibri"/>
        <w:sz w:val="20"/>
        <w:szCs w:val="20"/>
      </w:rPr>
      <w:fldChar w:fldCharType="begin"/>
    </w:r>
    <w:r w:rsidRPr="00654813">
      <w:rPr>
        <w:rFonts w:ascii="Cambria" w:eastAsia="Calibri" w:hAnsi="Cambria" w:cs="Calibri"/>
        <w:sz w:val="20"/>
        <w:szCs w:val="20"/>
      </w:rPr>
      <w:instrText xml:space="preserve"> PAGE </w:instrText>
    </w:r>
    <w:r w:rsidRPr="00654813">
      <w:rPr>
        <w:rFonts w:ascii="Cambria" w:eastAsia="Calibri" w:hAnsi="Cambria" w:cs="Calibri"/>
        <w:sz w:val="20"/>
        <w:szCs w:val="20"/>
      </w:rPr>
      <w:fldChar w:fldCharType="separate"/>
    </w:r>
    <w:r w:rsidRPr="00654813">
      <w:rPr>
        <w:rFonts w:ascii="Cambria" w:eastAsia="Calibri" w:hAnsi="Cambria" w:cs="Calibri"/>
        <w:sz w:val="20"/>
        <w:szCs w:val="20"/>
      </w:rPr>
      <w:t>1</w:t>
    </w:r>
    <w:r w:rsidRPr="00654813">
      <w:rPr>
        <w:rFonts w:ascii="Cambria" w:eastAsia="Calibri" w:hAnsi="Cambria" w:cs="Calibri"/>
        <w:sz w:val="20"/>
        <w:szCs w:val="20"/>
      </w:rPr>
      <w:fldChar w:fldCharType="end"/>
    </w:r>
    <w:r w:rsidRPr="00654813">
      <w:rPr>
        <w:rFonts w:ascii="Cambria" w:eastAsia="Calibri" w:hAnsi="Cambria" w:cs="Calibri"/>
        <w:sz w:val="20"/>
        <w:szCs w:val="20"/>
      </w:rPr>
      <w:t xml:space="preserve"> / </w:t>
    </w:r>
    <w:r w:rsidRPr="00654813">
      <w:rPr>
        <w:rFonts w:ascii="Cambria" w:eastAsia="Calibri" w:hAnsi="Cambria" w:cs="Calibri"/>
        <w:sz w:val="20"/>
        <w:szCs w:val="20"/>
      </w:rPr>
      <w:fldChar w:fldCharType="begin"/>
    </w:r>
    <w:r w:rsidRPr="00654813">
      <w:rPr>
        <w:rFonts w:ascii="Cambria" w:eastAsia="Calibri" w:hAnsi="Cambria" w:cs="Calibri"/>
        <w:sz w:val="20"/>
        <w:szCs w:val="20"/>
      </w:rPr>
      <w:instrText xml:space="preserve"> NUMPAGES  </w:instrText>
    </w:r>
    <w:r w:rsidRPr="00654813">
      <w:rPr>
        <w:rFonts w:ascii="Cambria" w:eastAsia="Calibri" w:hAnsi="Cambria" w:cs="Calibri"/>
        <w:sz w:val="20"/>
        <w:szCs w:val="20"/>
      </w:rPr>
      <w:fldChar w:fldCharType="separate"/>
    </w:r>
    <w:r w:rsidRPr="00654813">
      <w:rPr>
        <w:rFonts w:ascii="Cambria" w:eastAsia="Calibri" w:hAnsi="Cambria" w:cs="Calibri"/>
        <w:sz w:val="20"/>
        <w:szCs w:val="20"/>
      </w:rPr>
      <w:t>8</w:t>
    </w:r>
    <w:r w:rsidRPr="00654813">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208B" w14:textId="77777777" w:rsidR="00B61AC8" w:rsidRDefault="00B61AC8" w:rsidP="00B61AC8">
      <w:pPr>
        <w:spacing w:after="0" w:line="240" w:lineRule="auto"/>
      </w:pPr>
      <w:r>
        <w:separator/>
      </w:r>
    </w:p>
  </w:footnote>
  <w:footnote w:type="continuationSeparator" w:id="0">
    <w:p w14:paraId="1C664912" w14:textId="77777777" w:rsidR="00B61AC8" w:rsidRDefault="00B61AC8" w:rsidP="00B61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6991" w14:textId="0B6CC324" w:rsidR="00B61AC8" w:rsidRPr="00B61AC8" w:rsidRDefault="00B61AC8" w:rsidP="00B61AC8">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lang w:val="en-US"/>
        <w14:ligatures w14:val="none"/>
      </w:rPr>
    </w:pPr>
    <w:bookmarkStart w:id="0" w:name="_Hlk107908354"/>
    <w:bookmarkStart w:id="1" w:name="_Hlk107908355"/>
    <w:bookmarkStart w:id="2" w:name="_Hlk107908359"/>
    <w:bookmarkStart w:id="3" w:name="_Hlk107908360"/>
    <w:bookmarkStart w:id="4" w:name="_Hlk107908361"/>
    <w:bookmarkStart w:id="5" w:name="_Hlk107908362"/>
    <w:r w:rsidRPr="00B61AC8">
      <w:rPr>
        <w:rFonts w:ascii="Cambria" w:eastAsia="Calibri" w:hAnsi="Cambria" w:cs="Cambria"/>
        <w:b/>
        <w:bCs/>
        <w:kern w:val="0"/>
        <w:sz w:val="20"/>
        <w:szCs w:val="20"/>
        <w:lang w:val="en-US"/>
        <w14:ligatures w14:val="none"/>
      </w:rPr>
      <w:t>PA2_</w:t>
    </w:r>
    <w:r>
      <w:rPr>
        <w:rFonts w:ascii="Cambria" w:eastAsia="Calibri" w:hAnsi="Cambria" w:cs="Cambria"/>
        <w:b/>
        <w:bCs/>
        <w:kern w:val="0"/>
        <w:sz w:val="20"/>
        <w:szCs w:val="20"/>
        <w:lang w:val="en-US"/>
        <w14:ligatures w14:val="none"/>
      </w:rPr>
      <w:t>629</w:t>
    </w:r>
    <w:r w:rsidRPr="00B61AC8">
      <w:rPr>
        <w:rFonts w:ascii="Cambria" w:eastAsia="Calibri" w:hAnsi="Cambria" w:cs="Cambria"/>
        <w:b/>
        <w:bCs/>
        <w:kern w:val="0"/>
        <w:sz w:val="20"/>
        <w:szCs w:val="20"/>
        <w:lang w:val="en-US"/>
        <w14:ligatures w14:val="none"/>
      </w:rPr>
      <w:t>/2025</w:t>
    </w:r>
  </w:p>
  <w:p w14:paraId="265E6DC0" w14:textId="5EB983EB" w:rsidR="00B61AC8" w:rsidRDefault="00B61AC8" w:rsidP="00654813">
    <w:pPr>
      <w:widowControl w:val="0"/>
      <w:tabs>
        <w:tab w:val="left" w:pos="7320"/>
      </w:tabs>
      <w:autoSpaceDE w:val="0"/>
      <w:autoSpaceDN w:val="0"/>
      <w:spacing w:after="0" w:line="240" w:lineRule="exact"/>
      <w:jc w:val="right"/>
    </w:pPr>
    <w:r w:rsidRPr="00B61AC8">
      <w:rPr>
        <w:rFonts w:ascii="Cambria" w:eastAsia="Cambria" w:hAnsi="Cambria" w:cs="Cambria"/>
        <w:b/>
        <w:bCs/>
        <w:kern w:val="0"/>
        <w:sz w:val="16"/>
        <w:szCs w:val="16"/>
        <w:lang w:val="es-ES_tradnl"/>
        <w14:ligatures w14:val="none"/>
      </w:rPr>
      <w:fldChar w:fldCharType="begin"/>
    </w:r>
    <w:r w:rsidRPr="00B61AC8">
      <w:rPr>
        <w:rFonts w:ascii="Cambria" w:eastAsia="Cambria" w:hAnsi="Cambria" w:cs="Cambria"/>
        <w:b/>
        <w:bCs/>
        <w:kern w:val="0"/>
        <w:sz w:val="16"/>
        <w:szCs w:val="16"/>
        <w:lang w:val="es-ES_tradnl"/>
        <w14:ligatures w14:val="none"/>
      </w:rPr>
      <w:instrText xml:space="preserve"> TIME \@ "dd/MM/yyyy H:mm" </w:instrText>
    </w:r>
    <w:r w:rsidRPr="00B61AC8">
      <w:rPr>
        <w:rFonts w:ascii="Cambria" w:eastAsia="Cambria" w:hAnsi="Cambria" w:cs="Cambria"/>
        <w:b/>
        <w:bCs/>
        <w:kern w:val="0"/>
        <w:sz w:val="16"/>
        <w:szCs w:val="16"/>
        <w:lang w:val="es-ES_tradnl"/>
        <w14:ligatures w14:val="none"/>
      </w:rPr>
      <w:fldChar w:fldCharType="separate"/>
    </w:r>
    <w:r w:rsidRPr="00B61AC8">
      <w:rPr>
        <w:rFonts w:ascii="Cambria" w:eastAsia="Cambria" w:hAnsi="Cambria" w:cs="Cambria"/>
        <w:b/>
        <w:bCs/>
        <w:noProof/>
        <w:kern w:val="0"/>
        <w:sz w:val="16"/>
        <w:szCs w:val="16"/>
        <w:lang w:val="es-ES_tradnl"/>
        <w14:ligatures w14:val="none"/>
      </w:rPr>
      <w:t>18/11/2025 12:05</w:t>
    </w:r>
    <w:r w:rsidRPr="00B61AC8">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368CD"/>
    <w:multiLevelType w:val="hybridMultilevel"/>
    <w:tmpl w:val="FFFFFFFF"/>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30E2112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205171"/>
    <w:multiLevelType w:val="hybridMultilevel"/>
    <w:tmpl w:val="FFFFFFFF"/>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7E4A3FC5"/>
    <w:multiLevelType w:val="hybridMultilevel"/>
    <w:tmpl w:val="80B29038"/>
    <w:lvl w:ilvl="0" w:tplc="2F94BCF8">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1174764098">
    <w:abstractNumId w:val="3"/>
  </w:num>
  <w:num w:numId="2" w16cid:durableId="38675337">
    <w:abstractNumId w:val="0"/>
  </w:num>
  <w:num w:numId="3" w16cid:durableId="2038311340">
    <w:abstractNumId w:val="2"/>
  </w:num>
  <w:num w:numId="4" w16cid:durableId="1791510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BF"/>
    <w:rsid w:val="003C1914"/>
    <w:rsid w:val="004B4002"/>
    <w:rsid w:val="004B512B"/>
    <w:rsid w:val="00654813"/>
    <w:rsid w:val="00686EF7"/>
    <w:rsid w:val="00701388"/>
    <w:rsid w:val="0070582F"/>
    <w:rsid w:val="00882A55"/>
    <w:rsid w:val="008F6668"/>
    <w:rsid w:val="009D0332"/>
    <w:rsid w:val="00A760BD"/>
    <w:rsid w:val="00B2724E"/>
    <w:rsid w:val="00B61AC8"/>
    <w:rsid w:val="00D702BF"/>
    <w:rsid w:val="00F32C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7DC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2B"/>
  </w:style>
  <w:style w:type="paragraph" w:styleId="Heading1">
    <w:name w:val="heading 1"/>
    <w:basedOn w:val="Normal"/>
    <w:next w:val="Normal"/>
    <w:link w:val="Heading1Char"/>
    <w:uiPriority w:val="9"/>
    <w:qFormat/>
    <w:rsid w:val="00D7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2BF"/>
    <w:rPr>
      <w:rFonts w:eastAsiaTheme="majorEastAsia" w:cstheme="majorBidi"/>
      <w:color w:val="272727" w:themeColor="text1" w:themeTint="D8"/>
    </w:rPr>
  </w:style>
  <w:style w:type="paragraph" w:styleId="Title">
    <w:name w:val="Title"/>
    <w:basedOn w:val="Normal"/>
    <w:next w:val="Normal"/>
    <w:link w:val="TitleChar"/>
    <w:uiPriority w:val="10"/>
    <w:qFormat/>
    <w:rsid w:val="00D70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2BF"/>
    <w:pPr>
      <w:spacing w:before="160"/>
      <w:jc w:val="center"/>
    </w:pPr>
    <w:rPr>
      <w:i/>
      <w:iCs/>
      <w:color w:val="404040" w:themeColor="text1" w:themeTint="BF"/>
    </w:rPr>
  </w:style>
  <w:style w:type="character" w:customStyle="1" w:styleId="QuoteChar">
    <w:name w:val="Quote Char"/>
    <w:basedOn w:val="DefaultParagraphFont"/>
    <w:link w:val="Quote"/>
    <w:uiPriority w:val="29"/>
    <w:rsid w:val="00D702BF"/>
    <w:rPr>
      <w:i/>
      <w:iCs/>
      <w:color w:val="404040" w:themeColor="text1" w:themeTint="BF"/>
    </w:rPr>
  </w:style>
  <w:style w:type="paragraph" w:styleId="ListParagraph">
    <w:name w:val="List Paragraph"/>
    <w:basedOn w:val="Normal"/>
    <w:uiPriority w:val="34"/>
    <w:qFormat/>
    <w:rsid w:val="00D702BF"/>
    <w:pPr>
      <w:ind w:left="720"/>
      <w:contextualSpacing/>
    </w:pPr>
  </w:style>
  <w:style w:type="character" w:styleId="IntenseEmphasis">
    <w:name w:val="Intense Emphasis"/>
    <w:basedOn w:val="DefaultParagraphFont"/>
    <w:uiPriority w:val="21"/>
    <w:qFormat/>
    <w:rsid w:val="00D702BF"/>
    <w:rPr>
      <w:i/>
      <w:iCs/>
      <w:color w:val="0F4761" w:themeColor="accent1" w:themeShade="BF"/>
    </w:rPr>
  </w:style>
  <w:style w:type="paragraph" w:styleId="IntenseQuote">
    <w:name w:val="Intense Quote"/>
    <w:basedOn w:val="Normal"/>
    <w:next w:val="Normal"/>
    <w:link w:val="IntenseQuoteChar"/>
    <w:uiPriority w:val="30"/>
    <w:qFormat/>
    <w:rsid w:val="00D7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2BF"/>
    <w:rPr>
      <w:i/>
      <w:iCs/>
      <w:color w:val="0F4761" w:themeColor="accent1" w:themeShade="BF"/>
    </w:rPr>
  </w:style>
  <w:style w:type="character" w:styleId="IntenseReference">
    <w:name w:val="Intense Reference"/>
    <w:basedOn w:val="DefaultParagraphFont"/>
    <w:uiPriority w:val="32"/>
    <w:qFormat/>
    <w:rsid w:val="00D702BF"/>
    <w:rPr>
      <w:b/>
      <w:bCs/>
      <w:smallCaps/>
      <w:color w:val="0F4761" w:themeColor="accent1" w:themeShade="BF"/>
      <w:spacing w:val="5"/>
    </w:rPr>
  </w:style>
  <w:style w:type="paragraph" w:styleId="Header">
    <w:name w:val="header"/>
    <w:basedOn w:val="Normal"/>
    <w:link w:val="HeaderChar"/>
    <w:uiPriority w:val="99"/>
    <w:unhideWhenUsed/>
    <w:rsid w:val="00B61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AC8"/>
  </w:style>
  <w:style w:type="paragraph" w:styleId="Footer">
    <w:name w:val="footer"/>
    <w:basedOn w:val="Normal"/>
    <w:link w:val="FooterChar"/>
    <w:uiPriority w:val="99"/>
    <w:unhideWhenUsed/>
    <w:rsid w:val="00B61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2025-11-18T11:12:00Z</dcterms:created>
  <dcterms:modified xsi:type="dcterms:W3CDTF">2025-11-18T11:12:00Z</dcterms:modified>
</cp:coreProperties>
</file>