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E6409A" w14:textId="234912AA" w:rsidR="002C5187" w:rsidRPr="00B83B1D" w:rsidRDefault="002C5187" w:rsidP="002C5187">
      <w:pPr>
        <w:spacing w:after="0" w:line="240" w:lineRule="auto"/>
        <w:jc w:val="right"/>
        <w:rPr>
          <w:b/>
          <w:bCs/>
          <w:sz w:val="20"/>
          <w:szCs w:val="20"/>
        </w:rPr>
      </w:pPr>
      <w:r>
        <w:rPr>
          <w:b/>
          <w:sz w:val="20"/>
        </w:rPr>
        <w:t>Original: inglés</w:t>
      </w:r>
    </w:p>
    <w:p w14:paraId="57CE0B2B" w14:textId="77777777" w:rsidR="007D45F4" w:rsidRDefault="007D45F4" w:rsidP="002C5187">
      <w:pPr>
        <w:spacing w:after="0" w:line="240" w:lineRule="auto"/>
        <w:jc w:val="center"/>
        <w:rPr>
          <w:b/>
          <w:sz w:val="20"/>
        </w:rPr>
      </w:pPr>
    </w:p>
    <w:p w14:paraId="3729724F" w14:textId="77777777" w:rsidR="00562375" w:rsidRDefault="00562375" w:rsidP="002C5187">
      <w:pPr>
        <w:spacing w:after="0" w:line="240" w:lineRule="auto"/>
        <w:jc w:val="center"/>
        <w:rPr>
          <w:b/>
          <w:sz w:val="20"/>
        </w:rPr>
      </w:pPr>
    </w:p>
    <w:p w14:paraId="3C305E57" w14:textId="77777777" w:rsidR="004432C5" w:rsidRDefault="002C5187" w:rsidP="002C5187">
      <w:pPr>
        <w:spacing w:after="0" w:line="240" w:lineRule="auto"/>
        <w:jc w:val="center"/>
        <w:rPr>
          <w:b/>
          <w:sz w:val="20"/>
        </w:rPr>
      </w:pPr>
      <w:r>
        <w:rPr>
          <w:b/>
          <w:sz w:val="20"/>
        </w:rPr>
        <w:t xml:space="preserve">Solicitud de Namibia para aumentar su cuota de atún rojo </w:t>
      </w:r>
    </w:p>
    <w:p w14:paraId="709728F2" w14:textId="49938A60" w:rsidR="002C5187" w:rsidRPr="00B83B1D" w:rsidRDefault="002C5187" w:rsidP="002C5187">
      <w:pPr>
        <w:spacing w:after="0" w:line="240" w:lineRule="auto"/>
        <w:jc w:val="center"/>
        <w:rPr>
          <w:rFonts w:eastAsia="Times New Roman" w:cs="Times New Roman"/>
          <w:b/>
          <w:bCs/>
          <w:sz w:val="20"/>
          <w:szCs w:val="20"/>
        </w:rPr>
      </w:pPr>
      <w:r>
        <w:rPr>
          <w:b/>
          <w:sz w:val="20"/>
        </w:rPr>
        <w:t>del Atlántico este</w:t>
      </w:r>
      <w:r w:rsidR="004432C5">
        <w:rPr>
          <w:b/>
          <w:sz w:val="20"/>
        </w:rPr>
        <w:t xml:space="preserve"> </w:t>
      </w:r>
      <w:r>
        <w:rPr>
          <w:b/>
          <w:sz w:val="20"/>
        </w:rPr>
        <w:t>y Mediterráneo (BFT) hasta 600 t</w:t>
      </w:r>
    </w:p>
    <w:p w14:paraId="0B43342B" w14:textId="1A6C7581" w:rsidR="00937451" w:rsidRDefault="00937451" w:rsidP="002C5187">
      <w:pPr>
        <w:spacing w:after="0" w:line="240" w:lineRule="auto"/>
        <w:jc w:val="center"/>
        <w:rPr>
          <w:rFonts w:eastAsia="Times New Roman" w:cs="Times New Roman"/>
          <w:b/>
          <w:bCs/>
          <w:sz w:val="20"/>
          <w:szCs w:val="20"/>
        </w:rPr>
      </w:pPr>
    </w:p>
    <w:p w14:paraId="646A0458" w14:textId="14558F7D" w:rsidR="007D45F4" w:rsidRPr="007D45F4" w:rsidRDefault="007D45F4" w:rsidP="002C5187">
      <w:pPr>
        <w:spacing w:after="0" w:line="240" w:lineRule="auto"/>
        <w:jc w:val="center"/>
        <w:rPr>
          <w:rFonts w:eastAsia="Times New Roman" w:cs="Times New Roman"/>
          <w:i/>
          <w:iCs/>
          <w:sz w:val="20"/>
          <w:szCs w:val="20"/>
        </w:rPr>
      </w:pPr>
      <w:r>
        <w:rPr>
          <w:rFonts w:eastAsia="Times New Roman" w:cs="Times New Roman"/>
          <w:i/>
          <w:iCs/>
          <w:sz w:val="20"/>
          <w:szCs w:val="20"/>
        </w:rPr>
        <w:t>(presentado por Namibia)</w:t>
      </w:r>
    </w:p>
    <w:p w14:paraId="3AD49D8C" w14:textId="77777777" w:rsidR="002C5187" w:rsidRPr="00B83B1D" w:rsidRDefault="002C5187" w:rsidP="002C5187">
      <w:pPr>
        <w:spacing w:after="0" w:line="240" w:lineRule="auto"/>
        <w:jc w:val="both"/>
        <w:rPr>
          <w:rFonts w:eastAsia="Times New Roman" w:cs="Times New Roman"/>
          <w:b/>
          <w:bCs/>
          <w:sz w:val="20"/>
          <w:szCs w:val="20"/>
        </w:rPr>
      </w:pPr>
    </w:p>
    <w:p w14:paraId="2C34FBC3" w14:textId="1742EB16" w:rsidR="00937451" w:rsidRPr="00B83B1D" w:rsidRDefault="00937451" w:rsidP="002C5187">
      <w:pPr>
        <w:tabs>
          <w:tab w:val="left" w:pos="426"/>
        </w:tabs>
        <w:spacing w:after="0" w:line="240" w:lineRule="auto"/>
        <w:jc w:val="both"/>
        <w:outlineLvl w:val="2"/>
        <w:rPr>
          <w:rFonts w:eastAsia="Times New Roman" w:cs="Times New Roman"/>
          <w:b/>
          <w:bCs/>
          <w:sz w:val="20"/>
          <w:szCs w:val="20"/>
        </w:rPr>
      </w:pPr>
      <w:r>
        <w:rPr>
          <w:b/>
          <w:sz w:val="20"/>
        </w:rPr>
        <w:t xml:space="preserve">1. </w:t>
      </w:r>
      <w:r>
        <w:rPr>
          <w:b/>
          <w:sz w:val="20"/>
        </w:rPr>
        <w:tab/>
        <w:t>Introducción</w:t>
      </w:r>
    </w:p>
    <w:p w14:paraId="56585F0A" w14:textId="77777777" w:rsidR="002C5187" w:rsidRPr="00B83B1D" w:rsidRDefault="002C5187" w:rsidP="002C5187">
      <w:pPr>
        <w:spacing w:after="0" w:line="240" w:lineRule="auto"/>
        <w:jc w:val="both"/>
        <w:rPr>
          <w:rFonts w:eastAsia="Times New Roman" w:cs="Times New Roman"/>
          <w:sz w:val="20"/>
          <w:szCs w:val="20"/>
        </w:rPr>
      </w:pPr>
    </w:p>
    <w:p w14:paraId="4CE185F7" w14:textId="4DE49C98" w:rsidR="00937451" w:rsidRPr="00B83B1D" w:rsidRDefault="00937451" w:rsidP="002C5187">
      <w:pPr>
        <w:spacing w:after="0" w:line="240" w:lineRule="auto"/>
        <w:jc w:val="both"/>
        <w:rPr>
          <w:rFonts w:eastAsia="Times New Roman" w:cs="Times New Roman"/>
          <w:sz w:val="20"/>
          <w:szCs w:val="20"/>
        </w:rPr>
      </w:pPr>
      <w:r>
        <w:rPr>
          <w:sz w:val="20"/>
        </w:rPr>
        <w:t>Namibia desea expresar su agradecimiento al presidente de la Subcomisión 2 y a la Secretaría de ICCAT por el proceso transparente y constructivo llevado a cabo para revisar el actual sistema de asignación de cuotas para el atún rojo (BFT).</w:t>
      </w:r>
    </w:p>
    <w:p w14:paraId="7D87DD00" w14:textId="77777777" w:rsidR="002C5187" w:rsidRPr="00B83B1D" w:rsidRDefault="002C5187" w:rsidP="002C5187">
      <w:pPr>
        <w:spacing w:after="0" w:line="240" w:lineRule="auto"/>
        <w:jc w:val="both"/>
        <w:rPr>
          <w:rFonts w:eastAsia="Times New Roman" w:cs="Times New Roman"/>
          <w:sz w:val="20"/>
          <w:szCs w:val="20"/>
        </w:rPr>
      </w:pPr>
    </w:p>
    <w:p w14:paraId="1BD45689" w14:textId="77777777" w:rsidR="002C5187" w:rsidRPr="00B83B1D" w:rsidRDefault="002C5187" w:rsidP="002C5187">
      <w:pPr>
        <w:spacing w:after="0" w:line="240" w:lineRule="auto"/>
        <w:jc w:val="both"/>
        <w:rPr>
          <w:rFonts w:eastAsia="Times New Roman" w:cs="Times New Roman"/>
          <w:sz w:val="20"/>
          <w:szCs w:val="20"/>
        </w:rPr>
      </w:pPr>
    </w:p>
    <w:p w14:paraId="02DD2D00" w14:textId="1B8D42C2" w:rsidR="00937451" w:rsidRPr="00B83B1D" w:rsidRDefault="00937451" w:rsidP="002C5187">
      <w:pPr>
        <w:tabs>
          <w:tab w:val="left" w:pos="426"/>
        </w:tabs>
        <w:spacing w:after="0" w:line="240" w:lineRule="auto"/>
        <w:jc w:val="both"/>
        <w:outlineLvl w:val="2"/>
        <w:rPr>
          <w:rFonts w:eastAsia="Times New Roman" w:cs="Times New Roman"/>
          <w:b/>
          <w:bCs/>
          <w:sz w:val="20"/>
          <w:szCs w:val="20"/>
        </w:rPr>
      </w:pPr>
      <w:r>
        <w:rPr>
          <w:b/>
          <w:sz w:val="20"/>
        </w:rPr>
        <w:t xml:space="preserve">2. </w:t>
      </w:r>
      <w:r>
        <w:rPr>
          <w:b/>
          <w:sz w:val="20"/>
        </w:rPr>
        <w:tab/>
        <w:t>Situación actual</w:t>
      </w:r>
    </w:p>
    <w:p w14:paraId="2FD7ACC1" w14:textId="77777777" w:rsidR="002C5187" w:rsidRPr="00B83B1D" w:rsidRDefault="002C5187" w:rsidP="002C5187">
      <w:pPr>
        <w:spacing w:after="0" w:line="240" w:lineRule="auto"/>
        <w:jc w:val="both"/>
        <w:rPr>
          <w:rFonts w:eastAsia="Times New Roman" w:cs="Times New Roman"/>
          <w:sz w:val="20"/>
          <w:szCs w:val="20"/>
        </w:rPr>
      </w:pPr>
    </w:p>
    <w:p w14:paraId="7A140B6C" w14:textId="5B7428F4" w:rsidR="00937451" w:rsidRPr="00B83B1D" w:rsidRDefault="00937451" w:rsidP="002C5187">
      <w:pPr>
        <w:spacing w:after="0" w:line="240" w:lineRule="auto"/>
        <w:jc w:val="both"/>
        <w:rPr>
          <w:rFonts w:eastAsia="Times New Roman" w:cs="Times New Roman"/>
          <w:sz w:val="20"/>
          <w:szCs w:val="20"/>
        </w:rPr>
      </w:pPr>
      <w:r>
        <w:rPr>
          <w:sz w:val="20"/>
        </w:rPr>
        <w:t>Namibia tiene actualmente una cuota de 50 t de atún rojo. Todos los buques namibios operan fuera de los caladeros tradicionales de esta especie. En consecuencia, las capturas de atún rojo solo podrían notificarse en dos circunstancias:</w:t>
      </w:r>
    </w:p>
    <w:p w14:paraId="47A984F2" w14:textId="77777777" w:rsidR="002C5187" w:rsidRPr="00B83B1D" w:rsidRDefault="002C5187" w:rsidP="002C5187">
      <w:pPr>
        <w:spacing w:after="0" w:line="240" w:lineRule="auto"/>
        <w:jc w:val="both"/>
        <w:rPr>
          <w:rFonts w:eastAsia="Times New Roman" w:cs="Times New Roman"/>
          <w:sz w:val="20"/>
          <w:szCs w:val="20"/>
        </w:rPr>
      </w:pPr>
    </w:p>
    <w:p w14:paraId="6E0737CD" w14:textId="77777777" w:rsidR="00937451" w:rsidRPr="00B83B1D" w:rsidRDefault="00937451" w:rsidP="002C5187">
      <w:pPr>
        <w:numPr>
          <w:ilvl w:val="0"/>
          <w:numId w:val="10"/>
        </w:numPr>
        <w:spacing w:after="0" w:line="240" w:lineRule="auto"/>
        <w:jc w:val="both"/>
        <w:rPr>
          <w:rFonts w:eastAsia="Times New Roman" w:cs="Times New Roman"/>
          <w:sz w:val="20"/>
          <w:szCs w:val="20"/>
        </w:rPr>
      </w:pPr>
      <w:r>
        <w:rPr>
          <w:sz w:val="20"/>
        </w:rPr>
        <w:t>Si se estableciera una pesquería dirigida; o</w:t>
      </w:r>
    </w:p>
    <w:p w14:paraId="25F4B746" w14:textId="77777777" w:rsidR="00937451" w:rsidRPr="00B83B1D" w:rsidRDefault="00937451" w:rsidP="002C5187">
      <w:pPr>
        <w:numPr>
          <w:ilvl w:val="0"/>
          <w:numId w:val="10"/>
        </w:numPr>
        <w:spacing w:after="0" w:line="240" w:lineRule="auto"/>
        <w:jc w:val="both"/>
        <w:rPr>
          <w:rFonts w:eastAsia="Times New Roman" w:cs="Times New Roman"/>
          <w:sz w:val="20"/>
          <w:szCs w:val="20"/>
        </w:rPr>
      </w:pPr>
      <w:r>
        <w:rPr>
          <w:sz w:val="20"/>
        </w:rPr>
        <w:t>Si se produjeron capturas fortuitas en pesquerías dirigidas a otras especies, como es el caso de otras CPC.</w:t>
      </w:r>
    </w:p>
    <w:p w14:paraId="4BF42E9A" w14:textId="77777777" w:rsidR="002C5187" w:rsidRPr="00B83B1D" w:rsidRDefault="002C5187" w:rsidP="002C5187">
      <w:pPr>
        <w:spacing w:after="0" w:line="240" w:lineRule="auto"/>
        <w:jc w:val="both"/>
        <w:rPr>
          <w:rFonts w:eastAsia="Times New Roman" w:cs="Times New Roman"/>
          <w:sz w:val="20"/>
          <w:szCs w:val="20"/>
        </w:rPr>
      </w:pPr>
    </w:p>
    <w:p w14:paraId="4C4C8A5E" w14:textId="7EA646B9" w:rsidR="00937451" w:rsidRPr="00B83B1D" w:rsidRDefault="00937451" w:rsidP="002C5187">
      <w:pPr>
        <w:spacing w:after="0" w:line="240" w:lineRule="auto"/>
        <w:jc w:val="both"/>
        <w:rPr>
          <w:rFonts w:eastAsia="Times New Roman" w:cs="Times New Roman"/>
          <w:sz w:val="20"/>
          <w:szCs w:val="20"/>
        </w:rPr>
      </w:pPr>
      <w:r>
        <w:rPr>
          <w:sz w:val="20"/>
        </w:rPr>
        <w:t>Dado que Namibia no cuenta con pesquerías con capturas fortuitas de atún rojo y que la cuota actual es demasiado pequeña para mantener una actividad dirigida y económicamente viable, el país se ve impedido de participar activamente en esta pesquería.</w:t>
      </w:r>
    </w:p>
    <w:p w14:paraId="086198B1" w14:textId="77777777" w:rsidR="002C5187" w:rsidRPr="00B83B1D" w:rsidRDefault="002C5187" w:rsidP="002C5187">
      <w:pPr>
        <w:spacing w:after="0" w:line="240" w:lineRule="auto"/>
        <w:jc w:val="both"/>
        <w:rPr>
          <w:rFonts w:eastAsia="Times New Roman" w:cs="Times New Roman"/>
          <w:sz w:val="20"/>
          <w:szCs w:val="20"/>
        </w:rPr>
      </w:pPr>
    </w:p>
    <w:p w14:paraId="130423A4" w14:textId="77777777" w:rsidR="002C5187" w:rsidRPr="00B83B1D" w:rsidRDefault="002C5187" w:rsidP="002C5187">
      <w:pPr>
        <w:spacing w:after="0" w:line="240" w:lineRule="auto"/>
        <w:jc w:val="both"/>
        <w:rPr>
          <w:rFonts w:eastAsia="Times New Roman" w:cs="Times New Roman"/>
          <w:sz w:val="20"/>
          <w:szCs w:val="20"/>
        </w:rPr>
      </w:pPr>
    </w:p>
    <w:p w14:paraId="0080599B" w14:textId="1546DA1B" w:rsidR="00937451" w:rsidRPr="00B83B1D" w:rsidRDefault="00937451" w:rsidP="00D15228">
      <w:pPr>
        <w:tabs>
          <w:tab w:val="left" w:pos="426"/>
        </w:tabs>
        <w:spacing w:after="0" w:line="240" w:lineRule="auto"/>
        <w:jc w:val="both"/>
        <w:outlineLvl w:val="2"/>
        <w:rPr>
          <w:rFonts w:eastAsia="Times New Roman" w:cs="Times New Roman"/>
          <w:b/>
          <w:bCs/>
          <w:sz w:val="20"/>
          <w:szCs w:val="20"/>
        </w:rPr>
      </w:pPr>
      <w:r>
        <w:rPr>
          <w:b/>
          <w:sz w:val="20"/>
        </w:rPr>
        <w:t xml:space="preserve">3. </w:t>
      </w:r>
      <w:r>
        <w:rPr>
          <w:b/>
          <w:sz w:val="20"/>
        </w:rPr>
        <w:tab/>
        <w:t>Plan para desarrollar una pesquería dirigida</w:t>
      </w:r>
    </w:p>
    <w:p w14:paraId="57C68DC9" w14:textId="77777777" w:rsidR="002C5187" w:rsidRPr="00B83B1D" w:rsidRDefault="002C5187" w:rsidP="002C5187">
      <w:pPr>
        <w:spacing w:after="0" w:line="240" w:lineRule="auto"/>
        <w:jc w:val="both"/>
        <w:rPr>
          <w:rFonts w:eastAsia="Times New Roman" w:cs="Times New Roman"/>
          <w:sz w:val="20"/>
          <w:szCs w:val="20"/>
        </w:rPr>
      </w:pPr>
    </w:p>
    <w:p w14:paraId="56FA4BD9" w14:textId="232B8629" w:rsidR="00937451" w:rsidRPr="00B83B1D" w:rsidRDefault="00937451" w:rsidP="002C5187">
      <w:pPr>
        <w:spacing w:after="0" w:line="240" w:lineRule="auto"/>
        <w:jc w:val="both"/>
        <w:rPr>
          <w:rFonts w:eastAsia="Times New Roman" w:cs="Times New Roman"/>
          <w:sz w:val="20"/>
          <w:szCs w:val="20"/>
        </w:rPr>
      </w:pPr>
      <w:r>
        <w:rPr>
          <w:sz w:val="20"/>
        </w:rPr>
        <w:t>Namibia ha elaborado un plan para establecer una pesquería dirigida al atún rojo en colaboración con socios internacionales con experiencia que poseen los conocimientos técnicos necesarios.</w:t>
      </w:r>
    </w:p>
    <w:p w14:paraId="1D0B84CA" w14:textId="77777777" w:rsidR="002C5187" w:rsidRPr="00B83B1D" w:rsidRDefault="002C5187" w:rsidP="002C5187">
      <w:pPr>
        <w:spacing w:after="0" w:line="240" w:lineRule="auto"/>
        <w:jc w:val="both"/>
        <w:rPr>
          <w:rFonts w:eastAsia="Times New Roman" w:cs="Times New Roman"/>
          <w:sz w:val="20"/>
          <w:szCs w:val="20"/>
        </w:rPr>
      </w:pPr>
    </w:p>
    <w:p w14:paraId="5B3CBB0B" w14:textId="20D81788" w:rsidR="00937451" w:rsidRDefault="00937451" w:rsidP="002C5187">
      <w:pPr>
        <w:spacing w:after="0" w:line="240" w:lineRule="auto"/>
        <w:jc w:val="both"/>
        <w:rPr>
          <w:rFonts w:eastAsia="Times New Roman" w:cs="Times New Roman"/>
          <w:sz w:val="20"/>
          <w:szCs w:val="20"/>
        </w:rPr>
      </w:pPr>
      <w:r>
        <w:rPr>
          <w:sz w:val="20"/>
        </w:rPr>
        <w:t>El plan incluye:</w:t>
      </w:r>
    </w:p>
    <w:p w14:paraId="39732B64" w14:textId="77777777" w:rsidR="00B83B1D" w:rsidRPr="00B83B1D" w:rsidRDefault="00B83B1D" w:rsidP="002C5187">
      <w:pPr>
        <w:spacing w:after="0" w:line="240" w:lineRule="auto"/>
        <w:jc w:val="both"/>
        <w:rPr>
          <w:rFonts w:eastAsia="Times New Roman" w:cs="Times New Roman"/>
          <w:sz w:val="20"/>
          <w:szCs w:val="20"/>
        </w:rPr>
      </w:pPr>
    </w:p>
    <w:p w14:paraId="43E079ED" w14:textId="3D597D98" w:rsidR="00937451" w:rsidRPr="00B83B1D" w:rsidRDefault="003800EC" w:rsidP="002C5187">
      <w:pPr>
        <w:numPr>
          <w:ilvl w:val="0"/>
          <w:numId w:val="11"/>
        </w:numPr>
        <w:spacing w:after="0" w:line="240" w:lineRule="auto"/>
        <w:jc w:val="both"/>
        <w:rPr>
          <w:rFonts w:eastAsia="Times New Roman" w:cs="Times New Roman"/>
          <w:sz w:val="20"/>
          <w:szCs w:val="20"/>
        </w:rPr>
      </w:pPr>
      <w:r>
        <w:rPr>
          <w:sz w:val="20"/>
        </w:rPr>
        <w:t>a</w:t>
      </w:r>
      <w:r w:rsidR="00937451">
        <w:rPr>
          <w:sz w:val="20"/>
        </w:rPr>
        <w:t>dquisición de buques debidamente equipados</w:t>
      </w:r>
      <w:r>
        <w:rPr>
          <w:sz w:val="20"/>
        </w:rPr>
        <w:t>;</w:t>
      </w:r>
    </w:p>
    <w:p w14:paraId="15B24647" w14:textId="041D409B" w:rsidR="00937451" w:rsidRPr="00B83B1D" w:rsidRDefault="003800EC" w:rsidP="002C5187">
      <w:pPr>
        <w:numPr>
          <w:ilvl w:val="0"/>
          <w:numId w:val="11"/>
        </w:numPr>
        <w:spacing w:after="0" w:line="240" w:lineRule="auto"/>
        <w:jc w:val="both"/>
        <w:rPr>
          <w:rFonts w:eastAsia="Times New Roman" w:cs="Times New Roman"/>
          <w:sz w:val="20"/>
          <w:szCs w:val="20"/>
        </w:rPr>
      </w:pPr>
      <w:r>
        <w:rPr>
          <w:sz w:val="20"/>
        </w:rPr>
        <w:t>i</w:t>
      </w:r>
      <w:r w:rsidR="00937451">
        <w:rPr>
          <w:sz w:val="20"/>
        </w:rPr>
        <w:t xml:space="preserve">mplementación completa de los sistemas </w:t>
      </w:r>
      <w:r w:rsidR="007D45F4">
        <w:rPr>
          <w:sz w:val="20"/>
        </w:rPr>
        <w:t>de seguimiento, control y vigilancia (</w:t>
      </w:r>
      <w:r w:rsidR="00937451">
        <w:rPr>
          <w:sz w:val="20"/>
        </w:rPr>
        <w:t>MCS</w:t>
      </w:r>
      <w:r w:rsidR="007D45F4">
        <w:rPr>
          <w:sz w:val="20"/>
        </w:rPr>
        <w:t>)</w:t>
      </w:r>
      <w:r w:rsidR="00937451">
        <w:rPr>
          <w:sz w:val="20"/>
        </w:rPr>
        <w:t xml:space="preserve">, </w:t>
      </w:r>
      <w:r w:rsidR="007D45F4">
        <w:rPr>
          <w:sz w:val="20"/>
        </w:rPr>
        <w:t>sistemas de seguimiento de buques (</w:t>
      </w:r>
      <w:r w:rsidR="00937451">
        <w:rPr>
          <w:sz w:val="20"/>
        </w:rPr>
        <w:t>VMS</w:t>
      </w:r>
      <w:r w:rsidR="007D45F4">
        <w:rPr>
          <w:sz w:val="20"/>
        </w:rPr>
        <w:t>)</w:t>
      </w:r>
      <w:r w:rsidR="00937451">
        <w:rPr>
          <w:sz w:val="20"/>
        </w:rPr>
        <w:t xml:space="preserve">, </w:t>
      </w:r>
      <w:r w:rsidR="007D45F4" w:rsidRPr="007D45F4">
        <w:rPr>
          <w:sz w:val="20"/>
        </w:rPr>
        <w:t>sistema</w:t>
      </w:r>
      <w:r w:rsidR="007D45F4">
        <w:rPr>
          <w:sz w:val="20"/>
        </w:rPr>
        <w:t>s</w:t>
      </w:r>
      <w:r w:rsidR="007D45F4" w:rsidRPr="007D45F4">
        <w:rPr>
          <w:sz w:val="20"/>
        </w:rPr>
        <w:t xml:space="preserve"> electrónico</w:t>
      </w:r>
      <w:r w:rsidR="007D45F4">
        <w:rPr>
          <w:sz w:val="20"/>
        </w:rPr>
        <w:t>s</w:t>
      </w:r>
      <w:r w:rsidR="007D45F4" w:rsidRPr="007D45F4">
        <w:rPr>
          <w:sz w:val="20"/>
        </w:rPr>
        <w:t xml:space="preserve"> de comunicación de información</w:t>
      </w:r>
      <w:r w:rsidR="007D45F4">
        <w:rPr>
          <w:sz w:val="20"/>
        </w:rPr>
        <w:t xml:space="preserve"> (</w:t>
      </w:r>
      <w:r w:rsidR="00937451">
        <w:rPr>
          <w:sz w:val="20"/>
        </w:rPr>
        <w:t>ERS</w:t>
      </w:r>
      <w:r w:rsidR="007D45F4">
        <w:rPr>
          <w:sz w:val="20"/>
        </w:rPr>
        <w:t>)</w:t>
      </w:r>
      <w:r w:rsidR="00937451">
        <w:rPr>
          <w:sz w:val="20"/>
        </w:rPr>
        <w:t xml:space="preserve"> y </w:t>
      </w:r>
      <w:r w:rsidR="007D45F4" w:rsidRPr="007D45F4">
        <w:rPr>
          <w:sz w:val="20"/>
        </w:rPr>
        <w:t xml:space="preserve"> sistema</w:t>
      </w:r>
      <w:r w:rsidR="007D45F4">
        <w:rPr>
          <w:sz w:val="20"/>
        </w:rPr>
        <w:t>s</w:t>
      </w:r>
      <w:r w:rsidR="007D45F4" w:rsidRPr="007D45F4">
        <w:rPr>
          <w:sz w:val="20"/>
        </w:rPr>
        <w:t xml:space="preserve"> electrónico</w:t>
      </w:r>
      <w:r w:rsidR="007D45F4">
        <w:rPr>
          <w:sz w:val="20"/>
        </w:rPr>
        <w:t>s</w:t>
      </w:r>
      <w:r w:rsidR="007D45F4" w:rsidRPr="007D45F4">
        <w:rPr>
          <w:sz w:val="20"/>
        </w:rPr>
        <w:t xml:space="preserve"> de documentación de capturas de atún rojo (eBCD)</w:t>
      </w:r>
      <w:r>
        <w:rPr>
          <w:sz w:val="20"/>
        </w:rPr>
        <w:t>;</w:t>
      </w:r>
    </w:p>
    <w:p w14:paraId="733EC8B6" w14:textId="612CD7B7" w:rsidR="00937451" w:rsidRPr="00B83B1D" w:rsidRDefault="003800EC" w:rsidP="002C5187">
      <w:pPr>
        <w:numPr>
          <w:ilvl w:val="0"/>
          <w:numId w:val="11"/>
        </w:numPr>
        <w:spacing w:after="0" w:line="240" w:lineRule="auto"/>
        <w:jc w:val="both"/>
        <w:rPr>
          <w:rFonts w:eastAsia="Times New Roman" w:cs="Times New Roman"/>
          <w:sz w:val="20"/>
          <w:szCs w:val="20"/>
        </w:rPr>
      </w:pPr>
      <w:r>
        <w:rPr>
          <w:sz w:val="20"/>
        </w:rPr>
        <w:t>c</w:t>
      </w:r>
      <w:r w:rsidR="00937451">
        <w:rPr>
          <w:sz w:val="20"/>
        </w:rPr>
        <w:t xml:space="preserve">ooperación con el </w:t>
      </w:r>
      <w:r w:rsidR="007D45F4" w:rsidRPr="007D45F4">
        <w:rPr>
          <w:sz w:val="20"/>
        </w:rPr>
        <w:t>Comité Permanente Investigación y Estadísticas (SCRS)</w:t>
      </w:r>
      <w:r w:rsidR="007D45F4">
        <w:rPr>
          <w:sz w:val="20"/>
        </w:rPr>
        <w:t xml:space="preserve"> </w:t>
      </w:r>
      <w:r w:rsidR="00937451">
        <w:rPr>
          <w:sz w:val="20"/>
        </w:rPr>
        <w:t>para la recopilación de datos científicos y biológicos; y</w:t>
      </w:r>
    </w:p>
    <w:p w14:paraId="4AA6F3CA" w14:textId="43649495" w:rsidR="00937451" w:rsidRPr="00B83B1D" w:rsidRDefault="003800EC" w:rsidP="002C5187">
      <w:pPr>
        <w:numPr>
          <w:ilvl w:val="0"/>
          <w:numId w:val="11"/>
        </w:numPr>
        <w:spacing w:after="0" w:line="240" w:lineRule="auto"/>
        <w:jc w:val="both"/>
        <w:rPr>
          <w:rFonts w:eastAsia="Times New Roman" w:cs="Times New Roman"/>
          <w:sz w:val="20"/>
          <w:szCs w:val="20"/>
        </w:rPr>
      </w:pPr>
      <w:r>
        <w:rPr>
          <w:sz w:val="20"/>
        </w:rPr>
        <w:t>c</w:t>
      </w:r>
      <w:r w:rsidR="00937451">
        <w:rPr>
          <w:sz w:val="20"/>
        </w:rPr>
        <w:t>reación de oportunidades de empleo y fortalecimiento de la capacidad nacional.</w:t>
      </w:r>
    </w:p>
    <w:p w14:paraId="1F164329" w14:textId="77777777" w:rsidR="002C5187" w:rsidRPr="00B83B1D" w:rsidRDefault="002C5187" w:rsidP="002C5187">
      <w:pPr>
        <w:spacing w:after="0" w:line="240" w:lineRule="auto"/>
        <w:jc w:val="both"/>
        <w:rPr>
          <w:rFonts w:eastAsia="Times New Roman" w:cs="Times New Roman"/>
          <w:sz w:val="20"/>
          <w:szCs w:val="20"/>
        </w:rPr>
      </w:pPr>
    </w:p>
    <w:p w14:paraId="01E36806" w14:textId="45E5E1DA" w:rsidR="00937451" w:rsidRDefault="00937451" w:rsidP="002C5187">
      <w:pPr>
        <w:spacing w:after="0" w:line="240" w:lineRule="auto"/>
        <w:jc w:val="both"/>
        <w:rPr>
          <w:rFonts w:eastAsia="Times New Roman" w:cs="Times New Roman"/>
          <w:sz w:val="20"/>
          <w:szCs w:val="20"/>
        </w:rPr>
      </w:pPr>
      <w:r>
        <w:rPr>
          <w:sz w:val="20"/>
        </w:rPr>
        <w:t>Por estas razones, Namibia solicita que su cuota se incremente hasta 600 t, un nivel que:</w:t>
      </w:r>
    </w:p>
    <w:p w14:paraId="4C3F8E61" w14:textId="77777777" w:rsidR="00B83B1D" w:rsidRPr="00B83B1D" w:rsidRDefault="00B83B1D" w:rsidP="002C5187">
      <w:pPr>
        <w:spacing w:after="0" w:line="240" w:lineRule="auto"/>
        <w:jc w:val="both"/>
        <w:rPr>
          <w:rFonts w:eastAsia="Times New Roman" w:cs="Times New Roman"/>
          <w:sz w:val="20"/>
          <w:szCs w:val="20"/>
        </w:rPr>
      </w:pPr>
    </w:p>
    <w:p w14:paraId="0C1A6747" w14:textId="77777777" w:rsidR="00937451" w:rsidRPr="00B83B1D" w:rsidRDefault="00937451" w:rsidP="002C5187">
      <w:pPr>
        <w:numPr>
          <w:ilvl w:val="0"/>
          <w:numId w:val="12"/>
        </w:numPr>
        <w:spacing w:after="0" w:line="240" w:lineRule="auto"/>
        <w:jc w:val="both"/>
        <w:rPr>
          <w:rFonts w:eastAsia="Times New Roman" w:cs="Times New Roman"/>
          <w:sz w:val="20"/>
          <w:szCs w:val="20"/>
        </w:rPr>
      </w:pPr>
      <w:r>
        <w:rPr>
          <w:sz w:val="20"/>
        </w:rPr>
        <w:t>permitiría la inversión necesaria para que la pesquería sea económicamente viable;</w:t>
      </w:r>
    </w:p>
    <w:p w14:paraId="6BF8D201" w14:textId="77777777" w:rsidR="00937451" w:rsidRPr="00B83B1D" w:rsidRDefault="00937451" w:rsidP="002C5187">
      <w:pPr>
        <w:numPr>
          <w:ilvl w:val="0"/>
          <w:numId w:val="12"/>
        </w:numPr>
        <w:spacing w:after="0" w:line="240" w:lineRule="auto"/>
        <w:jc w:val="both"/>
        <w:rPr>
          <w:rFonts w:eastAsia="Times New Roman" w:cs="Times New Roman"/>
          <w:sz w:val="20"/>
          <w:szCs w:val="20"/>
        </w:rPr>
      </w:pPr>
      <w:r>
        <w:rPr>
          <w:sz w:val="20"/>
        </w:rPr>
        <w:t>establecería una cuota mínima razonable por buque;</w:t>
      </w:r>
    </w:p>
    <w:p w14:paraId="439D5E93" w14:textId="77777777" w:rsidR="00937451" w:rsidRPr="00B83B1D" w:rsidRDefault="00937451" w:rsidP="002C5187">
      <w:pPr>
        <w:numPr>
          <w:ilvl w:val="0"/>
          <w:numId w:val="12"/>
        </w:numPr>
        <w:spacing w:after="0" w:line="240" w:lineRule="auto"/>
        <w:jc w:val="both"/>
        <w:rPr>
          <w:rFonts w:eastAsia="Times New Roman" w:cs="Times New Roman"/>
          <w:sz w:val="20"/>
          <w:szCs w:val="20"/>
        </w:rPr>
      </w:pPr>
      <w:r>
        <w:rPr>
          <w:sz w:val="20"/>
        </w:rPr>
        <w:t>facilitaría la transferencia eficaz de conocimientos técnicos; y</w:t>
      </w:r>
    </w:p>
    <w:p w14:paraId="09F1B4A6" w14:textId="6A3BF1BD" w:rsidR="00937451" w:rsidRPr="00B83B1D" w:rsidRDefault="00937451" w:rsidP="002C5187">
      <w:pPr>
        <w:numPr>
          <w:ilvl w:val="0"/>
          <w:numId w:val="12"/>
        </w:numPr>
        <w:spacing w:after="0" w:line="240" w:lineRule="auto"/>
        <w:jc w:val="both"/>
        <w:rPr>
          <w:rFonts w:eastAsia="Times New Roman" w:cs="Times New Roman"/>
          <w:sz w:val="20"/>
          <w:szCs w:val="20"/>
        </w:rPr>
      </w:pPr>
      <w:r>
        <w:rPr>
          <w:sz w:val="20"/>
        </w:rPr>
        <w:t>sentaría las bases para desarrollar pesquerías similares en el hemisferio sur.</w:t>
      </w:r>
    </w:p>
    <w:p w14:paraId="14E63F4E" w14:textId="77777777" w:rsidR="002C5187" w:rsidRPr="00B83B1D" w:rsidRDefault="002C5187" w:rsidP="002C5187">
      <w:pPr>
        <w:spacing w:after="0" w:line="240" w:lineRule="auto"/>
        <w:ind w:left="720"/>
        <w:jc w:val="both"/>
        <w:rPr>
          <w:rFonts w:eastAsia="Times New Roman" w:cs="Times New Roman"/>
          <w:sz w:val="20"/>
          <w:szCs w:val="20"/>
        </w:rPr>
      </w:pPr>
    </w:p>
    <w:p w14:paraId="771E7594" w14:textId="77777777" w:rsidR="002C5187" w:rsidRPr="00B83B1D" w:rsidRDefault="002C5187" w:rsidP="002C5187">
      <w:pPr>
        <w:spacing w:after="0" w:line="240" w:lineRule="auto"/>
        <w:ind w:left="720"/>
        <w:jc w:val="both"/>
        <w:rPr>
          <w:rFonts w:eastAsia="Times New Roman" w:cs="Times New Roman"/>
          <w:sz w:val="20"/>
          <w:szCs w:val="20"/>
        </w:rPr>
      </w:pPr>
    </w:p>
    <w:p w14:paraId="754CD3A1" w14:textId="77777777" w:rsidR="00562375" w:rsidRDefault="00562375">
      <w:pPr>
        <w:rPr>
          <w:b/>
          <w:sz w:val="20"/>
        </w:rPr>
      </w:pPr>
      <w:r>
        <w:rPr>
          <w:b/>
          <w:sz w:val="20"/>
        </w:rPr>
        <w:br w:type="page"/>
      </w:r>
    </w:p>
    <w:p w14:paraId="18ABFDED" w14:textId="6F6AF52E" w:rsidR="00937451" w:rsidRPr="00B83B1D" w:rsidRDefault="00937451" w:rsidP="00B83B1D">
      <w:pPr>
        <w:tabs>
          <w:tab w:val="left" w:pos="426"/>
        </w:tabs>
        <w:spacing w:after="0" w:line="240" w:lineRule="auto"/>
        <w:jc w:val="both"/>
        <w:outlineLvl w:val="2"/>
        <w:rPr>
          <w:rFonts w:eastAsia="Times New Roman" w:cs="Times New Roman"/>
          <w:b/>
          <w:bCs/>
          <w:sz w:val="20"/>
          <w:szCs w:val="20"/>
        </w:rPr>
      </w:pPr>
      <w:r>
        <w:rPr>
          <w:b/>
          <w:sz w:val="20"/>
        </w:rPr>
        <w:lastRenderedPageBreak/>
        <w:t xml:space="preserve">4. </w:t>
      </w:r>
      <w:r>
        <w:rPr>
          <w:b/>
          <w:sz w:val="20"/>
        </w:rPr>
        <w:tab/>
        <w:t>Importancia estratégica para un Estado costero en desarrollo</w:t>
      </w:r>
    </w:p>
    <w:p w14:paraId="7B8B0D83" w14:textId="77777777" w:rsidR="002C5187" w:rsidRPr="00B83B1D" w:rsidRDefault="002C5187" w:rsidP="002C5187">
      <w:pPr>
        <w:spacing w:after="0" w:line="240" w:lineRule="auto"/>
        <w:jc w:val="both"/>
        <w:rPr>
          <w:rFonts w:eastAsia="Times New Roman" w:cs="Times New Roman"/>
          <w:sz w:val="20"/>
          <w:szCs w:val="20"/>
        </w:rPr>
      </w:pPr>
    </w:p>
    <w:p w14:paraId="19393ABA" w14:textId="504AA505" w:rsidR="00937451" w:rsidRPr="00B83B1D" w:rsidRDefault="00937451" w:rsidP="002C5187">
      <w:pPr>
        <w:spacing w:after="0" w:line="240" w:lineRule="auto"/>
        <w:jc w:val="both"/>
        <w:rPr>
          <w:rFonts w:eastAsia="Times New Roman" w:cs="Times New Roman"/>
          <w:sz w:val="20"/>
          <w:szCs w:val="20"/>
        </w:rPr>
      </w:pPr>
      <w:r>
        <w:rPr>
          <w:sz w:val="20"/>
        </w:rPr>
        <w:t>El sector pesquero es una piedra angular de la economía nacional y el desarrollo sostenible de Namibia. El desarrollo de una pesquería alternativa a las que ya están sometidas a una fuerte presión es esencial para la diversificación y la sostenibilidad a largo plazo.</w:t>
      </w:r>
    </w:p>
    <w:p w14:paraId="2A9AC4F2" w14:textId="77777777" w:rsidR="002C5187" w:rsidRPr="00B83B1D" w:rsidRDefault="002C5187" w:rsidP="002C5187">
      <w:pPr>
        <w:spacing w:after="0" w:line="240" w:lineRule="auto"/>
        <w:jc w:val="both"/>
        <w:rPr>
          <w:rFonts w:eastAsia="Times New Roman" w:cs="Times New Roman"/>
          <w:sz w:val="20"/>
          <w:szCs w:val="20"/>
        </w:rPr>
      </w:pPr>
    </w:p>
    <w:p w14:paraId="438EABF1" w14:textId="681AAE76" w:rsidR="00937451" w:rsidRDefault="00937451" w:rsidP="002C5187">
      <w:pPr>
        <w:spacing w:after="0" w:line="240" w:lineRule="auto"/>
        <w:jc w:val="both"/>
        <w:rPr>
          <w:rFonts w:eastAsia="Times New Roman" w:cs="Times New Roman"/>
          <w:sz w:val="20"/>
          <w:szCs w:val="20"/>
        </w:rPr>
      </w:pPr>
      <w:r>
        <w:rPr>
          <w:sz w:val="20"/>
        </w:rPr>
        <w:t>Una cuota de 600 t permitiría a Namibia:</w:t>
      </w:r>
    </w:p>
    <w:p w14:paraId="3849DD66" w14:textId="77777777" w:rsidR="00B83B1D" w:rsidRPr="00B83B1D" w:rsidRDefault="00B83B1D" w:rsidP="002C5187">
      <w:pPr>
        <w:spacing w:after="0" w:line="240" w:lineRule="auto"/>
        <w:jc w:val="both"/>
        <w:rPr>
          <w:rFonts w:eastAsia="Times New Roman" w:cs="Times New Roman"/>
          <w:sz w:val="20"/>
          <w:szCs w:val="20"/>
        </w:rPr>
      </w:pPr>
    </w:p>
    <w:p w14:paraId="53670322" w14:textId="098C7D21" w:rsidR="00937451" w:rsidRPr="00B83B1D" w:rsidRDefault="000C40D5" w:rsidP="002C5187">
      <w:pPr>
        <w:numPr>
          <w:ilvl w:val="0"/>
          <w:numId w:val="13"/>
        </w:numPr>
        <w:spacing w:after="0" w:line="240" w:lineRule="auto"/>
        <w:jc w:val="both"/>
        <w:rPr>
          <w:rFonts w:eastAsia="Times New Roman" w:cs="Times New Roman"/>
          <w:sz w:val="20"/>
          <w:szCs w:val="20"/>
        </w:rPr>
      </w:pPr>
      <w:r>
        <w:rPr>
          <w:sz w:val="20"/>
        </w:rPr>
        <w:t>c</w:t>
      </w:r>
      <w:r w:rsidR="00937451">
        <w:rPr>
          <w:sz w:val="20"/>
        </w:rPr>
        <w:t>rear empleo y generar valor añadido a nivel nacional</w:t>
      </w:r>
      <w:r>
        <w:rPr>
          <w:sz w:val="20"/>
        </w:rPr>
        <w:t>;</w:t>
      </w:r>
    </w:p>
    <w:p w14:paraId="31F00D3D" w14:textId="0957C003" w:rsidR="00937451" w:rsidRPr="00B83B1D" w:rsidRDefault="000C40D5" w:rsidP="002C5187">
      <w:pPr>
        <w:numPr>
          <w:ilvl w:val="0"/>
          <w:numId w:val="13"/>
        </w:numPr>
        <w:spacing w:after="0" w:line="240" w:lineRule="auto"/>
        <w:jc w:val="both"/>
        <w:rPr>
          <w:rFonts w:eastAsia="Times New Roman" w:cs="Times New Roman"/>
          <w:sz w:val="20"/>
          <w:szCs w:val="20"/>
        </w:rPr>
      </w:pPr>
      <w:r>
        <w:rPr>
          <w:sz w:val="20"/>
        </w:rPr>
        <w:t>f</w:t>
      </w:r>
      <w:r w:rsidR="00937451">
        <w:rPr>
          <w:sz w:val="20"/>
        </w:rPr>
        <w:t>ortalecer su contribución científica y técnica a la ordenación regional de los túnidos; y</w:t>
      </w:r>
    </w:p>
    <w:p w14:paraId="6138A77D" w14:textId="526217D3" w:rsidR="00937451" w:rsidRPr="00B83B1D" w:rsidRDefault="000C40D5" w:rsidP="002C5187">
      <w:pPr>
        <w:numPr>
          <w:ilvl w:val="0"/>
          <w:numId w:val="13"/>
        </w:numPr>
        <w:spacing w:after="0" w:line="240" w:lineRule="auto"/>
        <w:jc w:val="both"/>
        <w:rPr>
          <w:rFonts w:eastAsia="Times New Roman" w:cs="Times New Roman"/>
          <w:sz w:val="20"/>
          <w:szCs w:val="20"/>
        </w:rPr>
      </w:pPr>
      <w:r>
        <w:rPr>
          <w:sz w:val="20"/>
        </w:rPr>
        <w:t>p</w:t>
      </w:r>
      <w:r w:rsidR="00937451">
        <w:rPr>
          <w:sz w:val="20"/>
        </w:rPr>
        <w:t>romover una mayor participación de los Estados africanos en la gobernanza pesquera internacional.</w:t>
      </w:r>
    </w:p>
    <w:p w14:paraId="6B59186F" w14:textId="77777777" w:rsidR="002C5187" w:rsidRPr="00B83B1D" w:rsidRDefault="002C5187" w:rsidP="002C5187">
      <w:pPr>
        <w:spacing w:after="0" w:line="240" w:lineRule="auto"/>
        <w:jc w:val="both"/>
        <w:rPr>
          <w:rFonts w:eastAsia="Times New Roman" w:cs="Times New Roman"/>
          <w:sz w:val="20"/>
          <w:szCs w:val="20"/>
        </w:rPr>
      </w:pPr>
    </w:p>
    <w:p w14:paraId="07498C65" w14:textId="77777777" w:rsidR="0042373F" w:rsidRPr="00B83B1D" w:rsidRDefault="0042373F" w:rsidP="0042373F">
      <w:pPr>
        <w:spacing w:after="0" w:line="240" w:lineRule="auto"/>
        <w:jc w:val="both"/>
        <w:rPr>
          <w:rFonts w:eastAsia="Times New Roman" w:cs="Times New Roman"/>
          <w:sz w:val="20"/>
          <w:szCs w:val="20"/>
        </w:rPr>
      </w:pPr>
      <w:r>
        <w:rPr>
          <w:sz w:val="20"/>
        </w:rPr>
        <w:t>Aunque Namibia ha utilizado su cuota actual, se ha visto obligada a transferirla a terceros, ya que 50 t no permiten una operación pesquera viable.</w:t>
      </w:r>
    </w:p>
    <w:p w14:paraId="2B9BBFF5" w14:textId="77777777" w:rsidR="0042373F" w:rsidRPr="00B83B1D" w:rsidRDefault="0042373F" w:rsidP="0042373F">
      <w:pPr>
        <w:spacing w:after="0" w:line="240" w:lineRule="auto"/>
        <w:jc w:val="both"/>
        <w:rPr>
          <w:rFonts w:eastAsia="Times New Roman" w:cs="Times New Roman"/>
          <w:sz w:val="20"/>
          <w:szCs w:val="20"/>
        </w:rPr>
      </w:pPr>
    </w:p>
    <w:p w14:paraId="111FD580" w14:textId="77777777" w:rsidR="0042373F" w:rsidRPr="00B83B1D" w:rsidRDefault="0042373F" w:rsidP="0042373F">
      <w:pPr>
        <w:spacing w:after="0" w:line="240" w:lineRule="auto"/>
        <w:jc w:val="both"/>
        <w:rPr>
          <w:rFonts w:eastAsia="Times New Roman" w:cs="Times New Roman"/>
          <w:sz w:val="20"/>
          <w:szCs w:val="20"/>
        </w:rPr>
      </w:pPr>
      <w:r>
        <w:rPr>
          <w:sz w:val="20"/>
        </w:rPr>
        <w:t>Sin una cuota adecuada, Namibia no puede pescar; sin pescar, no puede demostrar la utilización; y sin demostrar la utilización, no puede solicitar un aumento.</w:t>
      </w:r>
    </w:p>
    <w:p w14:paraId="0D4E4B85" w14:textId="77777777" w:rsidR="0042373F" w:rsidRDefault="0042373F" w:rsidP="0042373F">
      <w:pPr>
        <w:spacing w:after="0" w:line="240" w:lineRule="auto"/>
        <w:jc w:val="both"/>
        <w:rPr>
          <w:rFonts w:eastAsia="Times New Roman" w:cs="Times New Roman"/>
          <w:sz w:val="20"/>
          <w:szCs w:val="20"/>
        </w:rPr>
      </w:pPr>
    </w:p>
    <w:p w14:paraId="0FB3F3C1" w14:textId="77777777" w:rsidR="0042373F" w:rsidRPr="00B83B1D" w:rsidRDefault="0042373F" w:rsidP="0042373F">
      <w:pPr>
        <w:spacing w:after="0" w:line="240" w:lineRule="auto"/>
        <w:jc w:val="both"/>
        <w:rPr>
          <w:rFonts w:eastAsia="Times New Roman" w:cs="Times New Roman"/>
          <w:sz w:val="20"/>
          <w:szCs w:val="20"/>
        </w:rPr>
      </w:pPr>
      <w:r>
        <w:rPr>
          <w:sz w:val="20"/>
        </w:rPr>
        <w:t xml:space="preserve">Este enfoque perpetúa la desigualdad y excluye </w:t>
      </w:r>
      <w:r>
        <w:rPr>
          <w:i/>
          <w:iCs/>
          <w:sz w:val="20"/>
        </w:rPr>
        <w:t xml:space="preserve">de facto </w:t>
      </w:r>
      <w:r>
        <w:rPr>
          <w:sz w:val="20"/>
        </w:rPr>
        <w:t>a los países en desarrollo de la participación en la pesquería de atún rojo.</w:t>
      </w:r>
    </w:p>
    <w:p w14:paraId="059ADCB4" w14:textId="77777777" w:rsidR="0042373F" w:rsidRPr="00B83B1D" w:rsidRDefault="0042373F" w:rsidP="0042373F">
      <w:pPr>
        <w:spacing w:after="0" w:line="240" w:lineRule="auto"/>
        <w:jc w:val="both"/>
        <w:rPr>
          <w:rFonts w:eastAsia="Times New Roman" w:cs="Times New Roman"/>
          <w:sz w:val="20"/>
          <w:szCs w:val="20"/>
        </w:rPr>
      </w:pPr>
    </w:p>
    <w:p w14:paraId="2111919A" w14:textId="52F7C1BC" w:rsidR="0042373F" w:rsidRPr="00B83B1D" w:rsidRDefault="0042373F" w:rsidP="0042373F">
      <w:pPr>
        <w:spacing w:after="0" w:line="240" w:lineRule="auto"/>
        <w:jc w:val="both"/>
        <w:rPr>
          <w:rFonts w:eastAsia="Times New Roman" w:cs="Times New Roman"/>
          <w:sz w:val="20"/>
          <w:szCs w:val="20"/>
        </w:rPr>
      </w:pPr>
      <w:r>
        <w:rPr>
          <w:sz w:val="20"/>
        </w:rPr>
        <w:t xml:space="preserve">Además, el criterio actual de </w:t>
      </w:r>
      <w:r w:rsidR="00286CA1">
        <w:rPr>
          <w:sz w:val="20"/>
        </w:rPr>
        <w:t>“</w:t>
      </w:r>
      <w:r>
        <w:rPr>
          <w:sz w:val="20"/>
        </w:rPr>
        <w:t>CPC en desarrollo</w:t>
      </w:r>
      <w:r w:rsidR="00286CA1">
        <w:rPr>
          <w:sz w:val="20"/>
        </w:rPr>
        <w:t>”</w:t>
      </w:r>
      <w:r>
        <w:rPr>
          <w:sz w:val="20"/>
        </w:rPr>
        <w:t xml:space="preserve"> crea desigualdades: las CPC con asignaciones superiores a 1.000 t reciben 40 t, mientras que las que tienen asignaciones inferiores a 1.000 t solo reciben 20 t. Se distribuyen un total de 280 t según este criterio, pero la equidad exigiría que estas 280 t se repartieran de manera más equitativa entre las CPC en desarrollo con asignaciones mínimas (</w:t>
      </w:r>
      <w:r w:rsidR="00A526CA">
        <w:rPr>
          <w:sz w:val="20"/>
        </w:rPr>
        <w:t>“</w:t>
      </w:r>
      <w:r>
        <w:rPr>
          <w:sz w:val="20"/>
        </w:rPr>
        <w:t>titulares de cuotas pequeñas</w:t>
      </w:r>
      <w:r w:rsidR="00A526CA">
        <w:rPr>
          <w:sz w:val="20"/>
        </w:rPr>
        <w:t>”</w:t>
      </w:r>
      <w:r>
        <w:rPr>
          <w:sz w:val="20"/>
        </w:rPr>
        <w:t>). Por lo tanto, este criterio debe aplicarse de manera uniforme, reflejando tanto el estado de desarrollo como la capacidad pesquera real.</w:t>
      </w:r>
    </w:p>
    <w:p w14:paraId="3A0B7ADE" w14:textId="77777777" w:rsidR="0042373F" w:rsidRDefault="0042373F" w:rsidP="0042373F">
      <w:pPr>
        <w:spacing w:after="0" w:line="240" w:lineRule="auto"/>
        <w:jc w:val="both"/>
        <w:rPr>
          <w:rFonts w:eastAsia="Times New Roman" w:cs="Times New Roman"/>
          <w:sz w:val="20"/>
          <w:szCs w:val="20"/>
        </w:rPr>
      </w:pPr>
    </w:p>
    <w:p w14:paraId="029603FA" w14:textId="77777777" w:rsidR="0042373F" w:rsidRPr="00B83B1D" w:rsidRDefault="0042373F" w:rsidP="0042373F">
      <w:pPr>
        <w:spacing w:after="0" w:line="240" w:lineRule="auto"/>
        <w:jc w:val="both"/>
        <w:rPr>
          <w:rFonts w:eastAsia="Times New Roman" w:cs="Times New Roman"/>
          <w:sz w:val="20"/>
          <w:szCs w:val="20"/>
        </w:rPr>
      </w:pPr>
    </w:p>
    <w:p w14:paraId="657559C8" w14:textId="77777777" w:rsidR="0042373F" w:rsidRPr="00B83B1D" w:rsidRDefault="0042373F" w:rsidP="0042373F">
      <w:pPr>
        <w:tabs>
          <w:tab w:val="left" w:pos="426"/>
        </w:tabs>
        <w:spacing w:after="0" w:line="240" w:lineRule="auto"/>
        <w:jc w:val="both"/>
        <w:outlineLvl w:val="2"/>
        <w:rPr>
          <w:rFonts w:eastAsia="Times New Roman" w:cs="Times New Roman"/>
          <w:b/>
          <w:bCs/>
          <w:sz w:val="20"/>
          <w:szCs w:val="20"/>
        </w:rPr>
      </w:pPr>
      <w:r>
        <w:rPr>
          <w:b/>
          <w:sz w:val="20"/>
        </w:rPr>
        <w:t>5.</w:t>
      </w:r>
      <w:r>
        <w:rPr>
          <w:b/>
          <w:sz w:val="20"/>
        </w:rPr>
        <w:tab/>
        <w:t>Uso de la reserva de 1.000 t</w:t>
      </w:r>
    </w:p>
    <w:p w14:paraId="62024444" w14:textId="77777777" w:rsidR="0042373F" w:rsidRPr="00B83B1D" w:rsidRDefault="0042373F" w:rsidP="0042373F">
      <w:pPr>
        <w:spacing w:after="0" w:line="240" w:lineRule="auto"/>
        <w:jc w:val="both"/>
        <w:outlineLvl w:val="2"/>
        <w:rPr>
          <w:rFonts w:eastAsia="Times New Roman" w:cs="Times New Roman"/>
          <w:b/>
          <w:bCs/>
          <w:sz w:val="20"/>
          <w:szCs w:val="20"/>
        </w:rPr>
      </w:pPr>
    </w:p>
    <w:p w14:paraId="0C01D327" w14:textId="77777777" w:rsidR="0042373F" w:rsidRPr="00B83B1D" w:rsidRDefault="0042373F" w:rsidP="0042373F">
      <w:pPr>
        <w:spacing w:after="0" w:line="240" w:lineRule="auto"/>
        <w:jc w:val="both"/>
        <w:rPr>
          <w:rFonts w:eastAsia="Times New Roman" w:cs="Times New Roman"/>
          <w:sz w:val="20"/>
          <w:szCs w:val="20"/>
        </w:rPr>
      </w:pPr>
      <w:r>
        <w:rPr>
          <w:sz w:val="20"/>
        </w:rPr>
        <w:t>El actual sistema de asignación prevé una reserva de 1.000 t. Namibia propone que parte de esta reserva se asigne a las CPC en desarrollo con asignaciones mínimas que presenten planes verificados para desarrollar pesquerías dirigidas.</w:t>
      </w:r>
    </w:p>
    <w:p w14:paraId="3D0E289B" w14:textId="77777777" w:rsidR="0042373F" w:rsidRPr="00B83B1D" w:rsidRDefault="0042373F" w:rsidP="0042373F">
      <w:pPr>
        <w:spacing w:after="0" w:line="240" w:lineRule="auto"/>
        <w:jc w:val="both"/>
        <w:rPr>
          <w:rFonts w:eastAsia="Times New Roman" w:cs="Times New Roman"/>
          <w:sz w:val="20"/>
          <w:szCs w:val="20"/>
        </w:rPr>
      </w:pPr>
    </w:p>
    <w:p w14:paraId="633886F1" w14:textId="77777777" w:rsidR="0042373F" w:rsidRPr="00B83B1D" w:rsidRDefault="0042373F" w:rsidP="0042373F">
      <w:pPr>
        <w:spacing w:after="0" w:line="240" w:lineRule="auto"/>
        <w:jc w:val="both"/>
        <w:rPr>
          <w:rFonts w:eastAsia="Times New Roman" w:cs="Times New Roman"/>
          <w:sz w:val="20"/>
          <w:szCs w:val="20"/>
        </w:rPr>
      </w:pPr>
      <w:r>
        <w:rPr>
          <w:sz w:val="20"/>
        </w:rPr>
        <w:t>Asignar 600 t de esta reserva a Namibia permitiría al país poner en marcha una pesquería responsable y rastreable, plenamente alineada con los objetivos de conservación y ordenación de ICCAT.</w:t>
      </w:r>
    </w:p>
    <w:p w14:paraId="0A9DB414" w14:textId="77777777" w:rsidR="0042373F" w:rsidRPr="00B83B1D" w:rsidRDefault="0042373F" w:rsidP="0042373F">
      <w:pPr>
        <w:spacing w:after="0" w:line="240" w:lineRule="auto"/>
        <w:jc w:val="both"/>
        <w:rPr>
          <w:rFonts w:eastAsia="Times New Roman" w:cs="Times New Roman"/>
          <w:sz w:val="20"/>
          <w:szCs w:val="20"/>
        </w:rPr>
      </w:pPr>
    </w:p>
    <w:p w14:paraId="5F1225A7" w14:textId="77777777" w:rsidR="0042373F" w:rsidRPr="00B83B1D" w:rsidRDefault="0042373F" w:rsidP="0042373F">
      <w:pPr>
        <w:spacing w:after="0" w:line="240" w:lineRule="auto"/>
        <w:jc w:val="both"/>
        <w:rPr>
          <w:rFonts w:eastAsia="Times New Roman" w:cs="Times New Roman"/>
          <w:sz w:val="20"/>
          <w:szCs w:val="20"/>
        </w:rPr>
      </w:pPr>
    </w:p>
    <w:p w14:paraId="563B4EF5" w14:textId="77777777" w:rsidR="0042373F" w:rsidRPr="00B83B1D" w:rsidRDefault="0042373F" w:rsidP="0042373F">
      <w:pPr>
        <w:tabs>
          <w:tab w:val="left" w:pos="426"/>
        </w:tabs>
        <w:spacing w:after="0" w:line="240" w:lineRule="auto"/>
        <w:jc w:val="both"/>
        <w:outlineLvl w:val="2"/>
        <w:rPr>
          <w:rFonts w:eastAsia="Times New Roman" w:cs="Times New Roman"/>
          <w:b/>
          <w:bCs/>
          <w:sz w:val="20"/>
          <w:szCs w:val="20"/>
        </w:rPr>
      </w:pPr>
      <w:r>
        <w:rPr>
          <w:b/>
          <w:sz w:val="20"/>
        </w:rPr>
        <w:t xml:space="preserve">6. </w:t>
      </w:r>
      <w:r>
        <w:rPr>
          <w:b/>
          <w:sz w:val="20"/>
        </w:rPr>
        <w:tab/>
        <w:t>Coherencia con los principios de ICCAT y con el Derecho internacional</w:t>
      </w:r>
    </w:p>
    <w:p w14:paraId="3C50FE4C" w14:textId="77777777" w:rsidR="0042373F" w:rsidRPr="00B83B1D" w:rsidRDefault="0042373F" w:rsidP="0042373F">
      <w:pPr>
        <w:spacing w:after="0" w:line="240" w:lineRule="auto"/>
        <w:jc w:val="both"/>
        <w:outlineLvl w:val="2"/>
        <w:rPr>
          <w:rFonts w:eastAsia="Times New Roman" w:cs="Times New Roman"/>
          <w:b/>
          <w:bCs/>
          <w:sz w:val="20"/>
          <w:szCs w:val="20"/>
        </w:rPr>
      </w:pPr>
    </w:p>
    <w:p w14:paraId="0A3875AA" w14:textId="77777777" w:rsidR="0042373F" w:rsidRPr="00B83B1D" w:rsidRDefault="0042373F" w:rsidP="0042373F">
      <w:pPr>
        <w:spacing w:after="0" w:line="240" w:lineRule="auto"/>
        <w:jc w:val="both"/>
        <w:rPr>
          <w:rFonts w:eastAsia="Times New Roman" w:cs="Times New Roman"/>
          <w:sz w:val="20"/>
          <w:szCs w:val="20"/>
        </w:rPr>
      </w:pPr>
      <w:r>
        <w:rPr>
          <w:sz w:val="20"/>
        </w:rPr>
        <w:t>La propuesta de Namibia es coherente con:</w:t>
      </w:r>
    </w:p>
    <w:p w14:paraId="3306BC3F" w14:textId="77777777" w:rsidR="0042373F" w:rsidRPr="00B83B1D" w:rsidRDefault="0042373F" w:rsidP="0042373F">
      <w:pPr>
        <w:spacing w:after="0" w:line="240" w:lineRule="auto"/>
        <w:jc w:val="both"/>
        <w:rPr>
          <w:rFonts w:eastAsia="Times New Roman" w:cs="Times New Roman"/>
          <w:sz w:val="20"/>
          <w:szCs w:val="20"/>
        </w:rPr>
      </w:pPr>
    </w:p>
    <w:p w14:paraId="24708D49" w14:textId="77777777" w:rsidR="0042373F" w:rsidRDefault="0042373F" w:rsidP="0042373F">
      <w:pPr>
        <w:numPr>
          <w:ilvl w:val="0"/>
          <w:numId w:val="14"/>
        </w:numPr>
        <w:spacing w:after="0" w:line="240" w:lineRule="auto"/>
        <w:jc w:val="both"/>
        <w:rPr>
          <w:rFonts w:eastAsia="Times New Roman" w:cs="Times New Roman"/>
          <w:sz w:val="20"/>
          <w:szCs w:val="20"/>
        </w:rPr>
      </w:pPr>
      <w:r>
        <w:rPr>
          <w:sz w:val="20"/>
        </w:rPr>
        <w:t>El Artículo 11 del Acuerdo de las Naciones Unidas sobre las Poblaciones de Peces (UNFSA), que reconoce el derecho de los Estados costeros a un acceso equitativo a los recursos compartidos; y</w:t>
      </w:r>
    </w:p>
    <w:p w14:paraId="0CE8FF8A" w14:textId="77777777" w:rsidR="0042373F" w:rsidRPr="00B83B1D" w:rsidRDefault="0042373F" w:rsidP="0042373F">
      <w:pPr>
        <w:spacing w:after="0" w:line="240" w:lineRule="auto"/>
        <w:ind w:left="720"/>
        <w:jc w:val="both"/>
        <w:rPr>
          <w:rFonts w:eastAsia="Times New Roman" w:cs="Times New Roman"/>
          <w:sz w:val="20"/>
          <w:szCs w:val="20"/>
        </w:rPr>
      </w:pPr>
    </w:p>
    <w:p w14:paraId="61A018B0" w14:textId="3F6577C0" w:rsidR="0042373F" w:rsidRPr="00C01ACC" w:rsidRDefault="0042373F" w:rsidP="0042373F">
      <w:pPr>
        <w:numPr>
          <w:ilvl w:val="0"/>
          <w:numId w:val="14"/>
        </w:numPr>
        <w:spacing w:after="0" w:line="240" w:lineRule="auto"/>
        <w:jc w:val="both"/>
        <w:rPr>
          <w:rFonts w:eastAsia="Times New Roman" w:cs="Times New Roman"/>
          <w:sz w:val="20"/>
          <w:szCs w:val="20"/>
        </w:rPr>
      </w:pPr>
      <w:r w:rsidRPr="00C01ACC">
        <w:rPr>
          <w:sz w:val="20"/>
        </w:rPr>
        <w:t xml:space="preserve">La </w:t>
      </w:r>
      <w:hyperlink r:id="rId8" w:history="1">
        <w:r w:rsidRPr="00C01ACC">
          <w:rPr>
            <w:rStyle w:val="Hyperlink"/>
            <w:i/>
            <w:iCs/>
            <w:sz w:val="20"/>
            <w:u w:val="none"/>
          </w:rPr>
          <w:t xml:space="preserve">Resolución de ICCAT sobre criterios </w:t>
        </w:r>
        <w:r>
          <w:rPr>
            <w:rStyle w:val="Hyperlink"/>
            <w:i/>
            <w:iCs/>
            <w:sz w:val="20"/>
            <w:u w:val="none"/>
          </w:rPr>
          <w:t xml:space="preserve">de ICCAT </w:t>
        </w:r>
        <w:r w:rsidRPr="00C01ACC">
          <w:rPr>
            <w:rStyle w:val="Hyperlink"/>
            <w:i/>
            <w:iCs/>
            <w:sz w:val="20"/>
            <w:u w:val="none"/>
          </w:rPr>
          <w:t>para la asignación de posibilidades de pesca</w:t>
        </w:r>
        <w:r w:rsidRPr="00C01ACC">
          <w:rPr>
            <w:rStyle w:val="Hyperlink"/>
            <w:sz w:val="20"/>
            <w:u w:val="none"/>
          </w:rPr>
          <w:t xml:space="preserve"> (Rec.</w:t>
        </w:r>
        <w:r>
          <w:rPr>
            <w:rStyle w:val="Hyperlink"/>
            <w:sz w:val="20"/>
            <w:u w:val="none"/>
          </w:rPr>
          <w:t> </w:t>
        </w:r>
        <w:r w:rsidRPr="00C01ACC">
          <w:rPr>
            <w:rStyle w:val="Hyperlink"/>
            <w:sz w:val="20"/>
            <w:u w:val="none"/>
          </w:rPr>
          <w:t>15-13)</w:t>
        </w:r>
      </w:hyperlink>
      <w:r w:rsidRPr="00C01ACC">
        <w:rPr>
          <w:sz w:val="20"/>
        </w:rPr>
        <w:t xml:space="preserve"> que promueve la participación justa y efectiva de los Estados costeros en desarrollo en las pesquerías de túnidos.</w:t>
      </w:r>
    </w:p>
    <w:p w14:paraId="55E003AF" w14:textId="77777777" w:rsidR="0042373F" w:rsidRPr="00B83B1D" w:rsidRDefault="0042373F" w:rsidP="0042373F">
      <w:pPr>
        <w:spacing w:after="0" w:line="240" w:lineRule="auto"/>
        <w:ind w:left="720"/>
        <w:jc w:val="both"/>
        <w:rPr>
          <w:rFonts w:eastAsia="Times New Roman" w:cs="Times New Roman"/>
          <w:sz w:val="20"/>
          <w:szCs w:val="20"/>
        </w:rPr>
      </w:pPr>
    </w:p>
    <w:p w14:paraId="0DFA320F" w14:textId="77777777" w:rsidR="0042373F" w:rsidRPr="00B83B1D" w:rsidRDefault="0042373F" w:rsidP="0042373F">
      <w:pPr>
        <w:spacing w:after="0" w:line="240" w:lineRule="auto"/>
        <w:jc w:val="both"/>
        <w:rPr>
          <w:rFonts w:eastAsia="Times New Roman" w:cs="Times New Roman"/>
          <w:sz w:val="20"/>
          <w:szCs w:val="20"/>
        </w:rPr>
      </w:pPr>
      <w:r>
        <w:rPr>
          <w:sz w:val="20"/>
        </w:rPr>
        <w:t>Conceder a Namibia una cuota que permita una participación real reforzaría la equidad, la inclusividad y la credibilidad del proceso de asignación de ICCAT, al tiempo que se mantendría la sostenibilidad del stock.</w:t>
      </w:r>
    </w:p>
    <w:p w14:paraId="525F28FD" w14:textId="77777777" w:rsidR="0042373F" w:rsidRPr="00B83B1D" w:rsidRDefault="0042373F" w:rsidP="0042373F">
      <w:pPr>
        <w:spacing w:after="0" w:line="240" w:lineRule="auto"/>
        <w:jc w:val="both"/>
        <w:rPr>
          <w:rFonts w:eastAsia="Times New Roman" w:cs="Times New Roman"/>
          <w:sz w:val="20"/>
          <w:szCs w:val="20"/>
        </w:rPr>
      </w:pPr>
    </w:p>
    <w:p w14:paraId="27B44CF3" w14:textId="77777777" w:rsidR="0042373F" w:rsidRPr="00B83B1D" w:rsidRDefault="0042373F" w:rsidP="0042373F">
      <w:pPr>
        <w:spacing w:after="0" w:line="240" w:lineRule="auto"/>
        <w:jc w:val="both"/>
        <w:rPr>
          <w:rFonts w:eastAsia="Times New Roman" w:cs="Times New Roman"/>
          <w:sz w:val="20"/>
          <w:szCs w:val="20"/>
        </w:rPr>
      </w:pPr>
    </w:p>
    <w:p w14:paraId="216CCCFE" w14:textId="77777777" w:rsidR="0042373F" w:rsidRDefault="0042373F">
      <w:pPr>
        <w:rPr>
          <w:b/>
          <w:sz w:val="20"/>
        </w:rPr>
      </w:pPr>
      <w:r>
        <w:rPr>
          <w:b/>
          <w:sz w:val="20"/>
        </w:rPr>
        <w:br w:type="page"/>
      </w:r>
    </w:p>
    <w:p w14:paraId="4AF8D45A" w14:textId="32AFE83A" w:rsidR="0042373F" w:rsidRPr="00B83B1D" w:rsidRDefault="0042373F" w:rsidP="0042373F">
      <w:pPr>
        <w:tabs>
          <w:tab w:val="left" w:pos="426"/>
        </w:tabs>
        <w:spacing w:after="0" w:line="240" w:lineRule="auto"/>
        <w:jc w:val="both"/>
        <w:outlineLvl w:val="2"/>
        <w:rPr>
          <w:rFonts w:eastAsia="Times New Roman" w:cs="Times New Roman"/>
          <w:b/>
          <w:bCs/>
          <w:sz w:val="20"/>
          <w:szCs w:val="20"/>
        </w:rPr>
      </w:pPr>
      <w:r>
        <w:rPr>
          <w:b/>
          <w:sz w:val="20"/>
        </w:rPr>
        <w:lastRenderedPageBreak/>
        <w:t>7.</w:t>
      </w:r>
      <w:r>
        <w:rPr>
          <w:b/>
          <w:sz w:val="20"/>
        </w:rPr>
        <w:tab/>
        <w:t xml:space="preserve">Compromiso con la sostenibilidad y el cumplimiento </w:t>
      </w:r>
    </w:p>
    <w:p w14:paraId="46F764E0" w14:textId="77777777" w:rsidR="0042373F" w:rsidRPr="00B83B1D" w:rsidRDefault="0042373F" w:rsidP="0042373F">
      <w:pPr>
        <w:spacing w:after="0" w:line="240" w:lineRule="auto"/>
        <w:jc w:val="both"/>
        <w:outlineLvl w:val="2"/>
        <w:rPr>
          <w:rFonts w:eastAsia="Times New Roman" w:cs="Times New Roman"/>
          <w:b/>
          <w:bCs/>
          <w:sz w:val="20"/>
          <w:szCs w:val="20"/>
        </w:rPr>
      </w:pPr>
    </w:p>
    <w:p w14:paraId="1BE5B999" w14:textId="77777777" w:rsidR="0042373F" w:rsidRDefault="0042373F" w:rsidP="0042373F">
      <w:pPr>
        <w:spacing w:after="0" w:line="240" w:lineRule="auto"/>
        <w:jc w:val="both"/>
        <w:rPr>
          <w:sz w:val="20"/>
        </w:rPr>
      </w:pPr>
      <w:r>
        <w:rPr>
          <w:sz w:val="20"/>
        </w:rPr>
        <w:t>Namibia reafirma su pleno compromiso con todas las medidas de conservación y control de ICCAT, entre las que se incluyen:</w:t>
      </w:r>
    </w:p>
    <w:p w14:paraId="570DDC5A" w14:textId="77777777" w:rsidR="0042373F" w:rsidRPr="00B83B1D" w:rsidRDefault="0042373F" w:rsidP="0042373F">
      <w:pPr>
        <w:spacing w:after="0" w:line="240" w:lineRule="auto"/>
        <w:jc w:val="both"/>
        <w:rPr>
          <w:rFonts w:eastAsia="Times New Roman" w:cs="Times New Roman"/>
          <w:sz w:val="20"/>
          <w:szCs w:val="20"/>
        </w:rPr>
      </w:pPr>
    </w:p>
    <w:p w14:paraId="49CB4442" w14:textId="77777777" w:rsidR="0042373F" w:rsidRPr="00B83B1D" w:rsidRDefault="0042373F" w:rsidP="0042373F">
      <w:pPr>
        <w:numPr>
          <w:ilvl w:val="0"/>
          <w:numId w:val="15"/>
        </w:numPr>
        <w:spacing w:after="0" w:line="240" w:lineRule="auto"/>
        <w:jc w:val="both"/>
        <w:rPr>
          <w:rFonts w:eastAsia="Times New Roman" w:cs="Times New Roman"/>
          <w:sz w:val="20"/>
          <w:szCs w:val="20"/>
        </w:rPr>
      </w:pPr>
      <w:r>
        <w:rPr>
          <w:sz w:val="20"/>
        </w:rPr>
        <w:t>Rastreabilidad electrónica</w:t>
      </w:r>
    </w:p>
    <w:p w14:paraId="16067078" w14:textId="77777777" w:rsidR="0042373F" w:rsidRPr="00B83B1D" w:rsidRDefault="0042373F" w:rsidP="0042373F">
      <w:pPr>
        <w:numPr>
          <w:ilvl w:val="0"/>
          <w:numId w:val="15"/>
        </w:numPr>
        <w:spacing w:after="0" w:line="240" w:lineRule="auto"/>
        <w:jc w:val="both"/>
        <w:rPr>
          <w:rFonts w:eastAsia="Times New Roman" w:cs="Times New Roman"/>
          <w:sz w:val="20"/>
          <w:szCs w:val="20"/>
        </w:rPr>
      </w:pPr>
      <w:r>
        <w:rPr>
          <w:sz w:val="20"/>
        </w:rPr>
        <w:t>Seguimiento VMS</w:t>
      </w:r>
    </w:p>
    <w:p w14:paraId="101572EE" w14:textId="77777777" w:rsidR="0042373F" w:rsidRPr="00B83B1D" w:rsidRDefault="0042373F" w:rsidP="0042373F">
      <w:pPr>
        <w:numPr>
          <w:ilvl w:val="0"/>
          <w:numId w:val="15"/>
        </w:numPr>
        <w:spacing w:after="0" w:line="240" w:lineRule="auto"/>
        <w:jc w:val="both"/>
        <w:rPr>
          <w:rFonts w:eastAsia="Times New Roman" w:cs="Times New Roman"/>
          <w:sz w:val="20"/>
          <w:szCs w:val="20"/>
        </w:rPr>
      </w:pPr>
      <w:r>
        <w:rPr>
          <w:sz w:val="20"/>
        </w:rPr>
        <w:t>Comunicación puntual de información y</w:t>
      </w:r>
    </w:p>
    <w:p w14:paraId="21E6C4F1" w14:textId="77777777" w:rsidR="0042373F" w:rsidRPr="00B83B1D" w:rsidRDefault="0042373F" w:rsidP="0042373F">
      <w:pPr>
        <w:numPr>
          <w:ilvl w:val="0"/>
          <w:numId w:val="15"/>
        </w:numPr>
        <w:spacing w:after="0" w:line="240" w:lineRule="auto"/>
        <w:jc w:val="both"/>
        <w:rPr>
          <w:rFonts w:eastAsia="Times New Roman" w:cs="Times New Roman"/>
          <w:sz w:val="20"/>
          <w:szCs w:val="20"/>
        </w:rPr>
      </w:pPr>
      <w:r>
        <w:rPr>
          <w:sz w:val="20"/>
        </w:rPr>
        <w:t>Cumplimiento de los requisitos de inspección y de observadores.</w:t>
      </w:r>
    </w:p>
    <w:p w14:paraId="2D1E1909" w14:textId="77777777" w:rsidR="0042373F" w:rsidRPr="00B83B1D" w:rsidRDefault="0042373F" w:rsidP="0042373F">
      <w:pPr>
        <w:spacing w:after="0" w:line="240" w:lineRule="auto"/>
        <w:ind w:left="720"/>
        <w:jc w:val="both"/>
        <w:rPr>
          <w:rFonts w:eastAsia="Times New Roman" w:cs="Times New Roman"/>
          <w:sz w:val="20"/>
          <w:szCs w:val="20"/>
        </w:rPr>
      </w:pPr>
    </w:p>
    <w:p w14:paraId="76B32CAF" w14:textId="77777777" w:rsidR="0042373F" w:rsidRPr="00B83B1D" w:rsidRDefault="0042373F" w:rsidP="0042373F">
      <w:pPr>
        <w:spacing w:after="0" w:line="240" w:lineRule="auto"/>
        <w:ind w:left="720"/>
        <w:jc w:val="both"/>
        <w:rPr>
          <w:rFonts w:eastAsia="Times New Roman" w:cs="Times New Roman"/>
          <w:sz w:val="20"/>
          <w:szCs w:val="20"/>
        </w:rPr>
      </w:pPr>
    </w:p>
    <w:p w14:paraId="52C61B2D" w14:textId="77777777" w:rsidR="0042373F" w:rsidRPr="00B83B1D" w:rsidRDefault="0042373F" w:rsidP="0042373F">
      <w:pPr>
        <w:tabs>
          <w:tab w:val="left" w:pos="426"/>
        </w:tabs>
        <w:spacing w:after="0" w:line="240" w:lineRule="auto"/>
        <w:jc w:val="both"/>
        <w:outlineLvl w:val="2"/>
        <w:rPr>
          <w:rFonts w:eastAsia="Times New Roman" w:cs="Times New Roman"/>
          <w:b/>
          <w:bCs/>
          <w:sz w:val="20"/>
          <w:szCs w:val="20"/>
        </w:rPr>
      </w:pPr>
      <w:r>
        <w:rPr>
          <w:b/>
          <w:sz w:val="20"/>
        </w:rPr>
        <w:t>8.</w:t>
      </w:r>
      <w:r>
        <w:rPr>
          <w:b/>
          <w:sz w:val="20"/>
        </w:rPr>
        <w:tab/>
        <w:t>Conclusión</w:t>
      </w:r>
    </w:p>
    <w:p w14:paraId="150D72E1" w14:textId="77777777" w:rsidR="0042373F" w:rsidRPr="00B83B1D" w:rsidRDefault="0042373F" w:rsidP="0042373F">
      <w:pPr>
        <w:spacing w:after="0" w:line="240" w:lineRule="auto"/>
        <w:jc w:val="both"/>
        <w:outlineLvl w:val="2"/>
        <w:rPr>
          <w:rFonts w:eastAsia="Times New Roman" w:cs="Times New Roman"/>
          <w:b/>
          <w:bCs/>
          <w:sz w:val="20"/>
          <w:szCs w:val="20"/>
        </w:rPr>
      </w:pPr>
    </w:p>
    <w:p w14:paraId="3FFCD9EF" w14:textId="77777777" w:rsidR="0042373F" w:rsidRDefault="0042373F" w:rsidP="0042373F">
      <w:pPr>
        <w:spacing w:after="0" w:line="240" w:lineRule="auto"/>
        <w:jc w:val="both"/>
        <w:rPr>
          <w:rFonts w:eastAsia="Times New Roman" w:cs="Times New Roman"/>
          <w:sz w:val="20"/>
          <w:szCs w:val="20"/>
        </w:rPr>
      </w:pPr>
      <w:r>
        <w:rPr>
          <w:sz w:val="20"/>
        </w:rPr>
        <w:t>Namibia solicita respetuosamente que se aumente su cuota de atún rojo del Atlántico este y Mediterráneo hasta 600 t. Este nivel representa el mínimo necesario para establecer una pesquería dirigida viable, sostenible y totalmente controlada.</w:t>
      </w:r>
    </w:p>
    <w:p w14:paraId="62418881" w14:textId="77777777" w:rsidR="0042373F" w:rsidRPr="00B83B1D" w:rsidRDefault="0042373F" w:rsidP="0042373F">
      <w:pPr>
        <w:spacing w:after="0" w:line="240" w:lineRule="auto"/>
        <w:jc w:val="both"/>
        <w:rPr>
          <w:rFonts w:eastAsia="Times New Roman" w:cs="Times New Roman"/>
          <w:sz w:val="20"/>
          <w:szCs w:val="20"/>
        </w:rPr>
      </w:pPr>
    </w:p>
    <w:p w14:paraId="071E9F2C" w14:textId="4AC616EE" w:rsidR="0042373F" w:rsidRPr="00B83B1D" w:rsidRDefault="0042373F" w:rsidP="0042373F">
      <w:pPr>
        <w:spacing w:after="0" w:line="240" w:lineRule="auto"/>
        <w:jc w:val="both"/>
        <w:rPr>
          <w:rFonts w:eastAsia="Times New Roman" w:cs="Times New Roman"/>
          <w:sz w:val="20"/>
          <w:szCs w:val="20"/>
        </w:rPr>
      </w:pPr>
      <w:r>
        <w:rPr>
          <w:sz w:val="20"/>
        </w:rPr>
        <w:t>La aplicación continuada del “porcentaje de utilización” penaliza a los países en desarrollo e impide su participación efectiva en la ordenación de este recurso.</w:t>
      </w:r>
    </w:p>
    <w:p w14:paraId="3CCD1A73" w14:textId="77777777" w:rsidR="0042373F" w:rsidRPr="00B83B1D" w:rsidRDefault="0042373F" w:rsidP="0042373F">
      <w:pPr>
        <w:spacing w:after="0" w:line="240" w:lineRule="auto"/>
        <w:jc w:val="both"/>
        <w:rPr>
          <w:rFonts w:eastAsia="Times New Roman" w:cs="Times New Roman"/>
          <w:sz w:val="20"/>
          <w:szCs w:val="20"/>
        </w:rPr>
      </w:pPr>
    </w:p>
    <w:p w14:paraId="237C81D9" w14:textId="77777777" w:rsidR="0042373F" w:rsidRPr="00B83B1D" w:rsidRDefault="0042373F" w:rsidP="0042373F">
      <w:pPr>
        <w:spacing w:after="0" w:line="240" w:lineRule="auto"/>
        <w:jc w:val="both"/>
        <w:rPr>
          <w:rFonts w:eastAsia="Times New Roman" w:cs="Times New Roman"/>
          <w:sz w:val="20"/>
          <w:szCs w:val="20"/>
        </w:rPr>
      </w:pPr>
      <w:r>
        <w:rPr>
          <w:sz w:val="20"/>
        </w:rPr>
        <w:t>Conceder esta cuota a Namibia contribuiría a una distribución más justa de las oportunidades de pesca, reforzaría la sostenibilidad y aumentaría la legitimidad del proceso de toma de decisiones de ICCAT.</w:t>
      </w:r>
    </w:p>
    <w:p w14:paraId="3CA9B83D" w14:textId="77777777" w:rsidR="00B83B1D" w:rsidRDefault="00B83B1D" w:rsidP="002C5187">
      <w:pPr>
        <w:spacing w:after="0" w:line="240" w:lineRule="auto"/>
        <w:jc w:val="both"/>
        <w:rPr>
          <w:rFonts w:eastAsia="Times New Roman" w:cs="Times New Roman"/>
          <w:sz w:val="20"/>
          <w:szCs w:val="20"/>
        </w:rPr>
      </w:pPr>
    </w:p>
    <w:sectPr w:rsidR="00B83B1D" w:rsidSect="002C5187">
      <w:headerReference w:type="default" r:id="rId9"/>
      <w:footerReference w:type="default" r:id="rId10"/>
      <w:pgSz w:w="11907" w:h="16840" w:code="9"/>
      <w:pgMar w:top="1418" w:right="1418" w:bottom="1418" w:left="1418" w:header="851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D8556B" w14:textId="77777777" w:rsidR="00E12B2A" w:rsidRDefault="00E12B2A" w:rsidP="00C15DDE">
      <w:pPr>
        <w:spacing w:after="0" w:line="240" w:lineRule="auto"/>
      </w:pPr>
      <w:r>
        <w:separator/>
      </w:r>
    </w:p>
  </w:endnote>
  <w:endnote w:type="continuationSeparator" w:id="0">
    <w:p w14:paraId="1522501A" w14:textId="77777777" w:rsidR="00E12B2A" w:rsidRDefault="00E12B2A" w:rsidP="00C15D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4E1047" w14:textId="687115B8" w:rsidR="00B83B1D" w:rsidRPr="00B83B1D" w:rsidRDefault="00286CA1" w:rsidP="00B83B1D">
    <w:pPr>
      <w:tabs>
        <w:tab w:val="center" w:pos="4535"/>
        <w:tab w:val="center" w:pos="4680"/>
        <w:tab w:val="left" w:pos="6150"/>
        <w:tab w:val="right" w:pos="9360"/>
      </w:tabs>
      <w:spacing w:after="0" w:line="240" w:lineRule="auto"/>
      <w:jc w:val="center"/>
      <w:rPr>
        <w:rFonts w:ascii="Cambria" w:hAnsi="Cambria"/>
        <w:sz w:val="20"/>
        <w:szCs w:val="20"/>
      </w:rPr>
    </w:pPr>
    <w:sdt>
      <w:sdtPr>
        <w:rPr>
          <w:sz w:val="20"/>
          <w:szCs w:val="20"/>
        </w:rPr>
        <w:id w:val="-883554115"/>
        <w:docPartObj>
          <w:docPartGallery w:val="Page Numbers (Top of Page)"/>
          <w:docPartUnique/>
        </w:docPartObj>
      </w:sdtPr>
      <w:sdtEndPr/>
      <w:sdtContent>
        <w:r w:rsidR="00B83B1D" w:rsidRPr="00AD5CF4">
          <w:rPr>
            <w:rFonts w:ascii="Cambria" w:hAnsi="Cambria"/>
            <w:sz w:val="20"/>
          </w:rPr>
          <w:fldChar w:fldCharType="begin"/>
        </w:r>
        <w:r w:rsidR="00B83B1D" w:rsidRPr="00AD5CF4">
          <w:rPr>
            <w:rFonts w:ascii="Cambria" w:hAnsi="Cambria"/>
            <w:sz w:val="20"/>
          </w:rPr>
          <w:instrText xml:space="preserve"> PAGE </w:instrText>
        </w:r>
        <w:r w:rsidR="00B83B1D" w:rsidRPr="00AD5CF4">
          <w:rPr>
            <w:rFonts w:ascii="Cambria" w:hAnsi="Cambria"/>
            <w:sz w:val="20"/>
          </w:rPr>
          <w:fldChar w:fldCharType="separate"/>
        </w:r>
        <w:r w:rsidR="00B83B1D">
          <w:rPr>
            <w:rFonts w:ascii="Cambria" w:hAnsi="Cambria"/>
            <w:sz w:val="20"/>
          </w:rPr>
          <w:t>1</w:t>
        </w:r>
        <w:r w:rsidR="00B83B1D" w:rsidRPr="00AD5CF4">
          <w:rPr>
            <w:rFonts w:ascii="Cambria" w:hAnsi="Cambria"/>
            <w:sz w:val="20"/>
          </w:rPr>
          <w:fldChar w:fldCharType="end"/>
        </w:r>
        <w:r w:rsidR="007A5465">
          <w:rPr>
            <w:rFonts w:ascii="Cambria" w:hAnsi="Cambria"/>
            <w:sz w:val="20"/>
          </w:rPr>
          <w:t xml:space="preserve"> / </w:t>
        </w:r>
        <w:r w:rsidR="00B83B1D" w:rsidRPr="00AD5CF4">
          <w:rPr>
            <w:rFonts w:ascii="Cambria" w:hAnsi="Cambria"/>
            <w:sz w:val="20"/>
          </w:rPr>
          <w:fldChar w:fldCharType="begin"/>
        </w:r>
        <w:r w:rsidR="00B83B1D" w:rsidRPr="00AD5CF4">
          <w:rPr>
            <w:rFonts w:ascii="Cambria" w:hAnsi="Cambria"/>
            <w:sz w:val="20"/>
          </w:rPr>
          <w:instrText xml:space="preserve"> NUMPAGES  </w:instrText>
        </w:r>
        <w:r w:rsidR="00B83B1D" w:rsidRPr="00AD5CF4">
          <w:rPr>
            <w:rFonts w:ascii="Cambria" w:hAnsi="Cambria"/>
            <w:sz w:val="20"/>
          </w:rPr>
          <w:fldChar w:fldCharType="separate"/>
        </w:r>
        <w:r w:rsidR="00B83B1D">
          <w:rPr>
            <w:rFonts w:ascii="Cambria" w:hAnsi="Cambria"/>
            <w:sz w:val="20"/>
          </w:rPr>
          <w:t>2</w:t>
        </w:r>
        <w:r w:rsidR="00B83B1D" w:rsidRPr="00AD5CF4">
          <w:rPr>
            <w:rFonts w:ascii="Cambria" w:hAnsi="Cambria"/>
            <w:sz w:val="20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EB6E7A" w14:textId="77777777" w:rsidR="00E12B2A" w:rsidRDefault="00E12B2A" w:rsidP="00C15DDE">
      <w:pPr>
        <w:spacing w:after="0" w:line="240" w:lineRule="auto"/>
      </w:pPr>
      <w:r>
        <w:separator/>
      </w:r>
    </w:p>
  </w:footnote>
  <w:footnote w:type="continuationSeparator" w:id="0">
    <w:p w14:paraId="25AC860D" w14:textId="77777777" w:rsidR="00E12B2A" w:rsidRDefault="00E12B2A" w:rsidP="00C15D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3A512B" w14:textId="6A8072F9" w:rsidR="00C15DDE" w:rsidRPr="00C15DDE" w:rsidRDefault="00C15DDE" w:rsidP="00C15DDE">
    <w:pPr>
      <w:widowControl w:val="0"/>
      <w:tabs>
        <w:tab w:val="center" w:pos="4680"/>
        <w:tab w:val="left" w:pos="6520"/>
        <w:tab w:val="right" w:pos="9360"/>
        <w:tab w:val="right" w:pos="14240"/>
      </w:tabs>
      <w:autoSpaceDE w:val="0"/>
      <w:autoSpaceDN w:val="0"/>
      <w:spacing w:after="0" w:line="240" w:lineRule="auto"/>
      <w:jc w:val="right"/>
      <w:rPr>
        <w:rFonts w:ascii="Cambria" w:eastAsia="Calibri" w:hAnsi="Cambria" w:cs="Times New Roman"/>
        <w:b/>
        <w:bCs/>
        <w:sz w:val="20"/>
        <w:szCs w:val="20"/>
      </w:rPr>
    </w:pPr>
    <w:r>
      <w:rPr>
        <w:rFonts w:ascii="Cambria" w:hAnsi="Cambria"/>
        <w:b/>
        <w:sz w:val="20"/>
      </w:rPr>
      <w:t>PA2_624/2025</w:t>
    </w:r>
  </w:p>
  <w:p w14:paraId="10AB800B" w14:textId="408F1C0C" w:rsidR="00C15DDE" w:rsidRDefault="00C15DDE" w:rsidP="002C5187">
    <w:pPr>
      <w:widowControl w:val="0"/>
      <w:tabs>
        <w:tab w:val="left" w:pos="7320"/>
      </w:tabs>
      <w:autoSpaceDE w:val="0"/>
      <w:autoSpaceDN w:val="0"/>
      <w:spacing w:after="0" w:line="240" w:lineRule="exact"/>
      <w:jc w:val="right"/>
    </w:pPr>
    <w:r w:rsidRPr="00C15DDE">
      <w:rPr>
        <w:rFonts w:ascii="Cambria" w:eastAsia="Times New Roman" w:hAnsi="Cambria" w:cs="Times New Roman"/>
        <w:b/>
        <w:sz w:val="16"/>
      </w:rPr>
      <w:fldChar w:fldCharType="begin"/>
    </w:r>
    <w:r w:rsidRPr="00C15DDE">
      <w:rPr>
        <w:rFonts w:ascii="Cambria" w:eastAsia="Times New Roman" w:hAnsi="Cambria" w:cs="Times New Roman"/>
        <w:b/>
        <w:sz w:val="16"/>
      </w:rPr>
      <w:instrText xml:space="preserve"> TIME \@ "dd/MM/yyyy H:mm" </w:instrText>
    </w:r>
    <w:r w:rsidRPr="00C15DDE">
      <w:rPr>
        <w:rFonts w:ascii="Cambria" w:eastAsia="Times New Roman" w:hAnsi="Cambria" w:cs="Times New Roman"/>
        <w:b/>
        <w:sz w:val="16"/>
      </w:rPr>
      <w:fldChar w:fldCharType="separate"/>
    </w:r>
    <w:r w:rsidR="003800EC">
      <w:rPr>
        <w:rFonts w:ascii="Cambria" w:eastAsia="Times New Roman" w:hAnsi="Cambria" w:cs="Times New Roman"/>
        <w:b/>
        <w:noProof/>
        <w:sz w:val="16"/>
      </w:rPr>
      <w:t>15/11/2025 19:03</w:t>
    </w:r>
    <w:r w:rsidRPr="00C15DDE">
      <w:rPr>
        <w:rFonts w:ascii="Cambria" w:eastAsia="Times New Roman" w:hAnsi="Cambria" w:cs="Times New Roman"/>
        <w:b/>
        <w:bCs/>
        <w:sz w:val="16"/>
        <w:szCs w:val="16"/>
        <w:lang w:val="es-ES_tradnl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2542793"/>
    <w:multiLevelType w:val="multilevel"/>
    <w:tmpl w:val="DB6682E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EC03543"/>
    <w:multiLevelType w:val="multilevel"/>
    <w:tmpl w:val="7DE657D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6FF0B74"/>
    <w:multiLevelType w:val="multilevel"/>
    <w:tmpl w:val="1C44C57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82F3EEF"/>
    <w:multiLevelType w:val="multilevel"/>
    <w:tmpl w:val="3B14C21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C834C6B"/>
    <w:multiLevelType w:val="multilevel"/>
    <w:tmpl w:val="5130045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1AF4A54"/>
    <w:multiLevelType w:val="multilevel"/>
    <w:tmpl w:val="BA0292D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95970657">
    <w:abstractNumId w:val="8"/>
  </w:num>
  <w:num w:numId="2" w16cid:durableId="1483501225">
    <w:abstractNumId w:val="6"/>
  </w:num>
  <w:num w:numId="3" w16cid:durableId="761603196">
    <w:abstractNumId w:val="5"/>
  </w:num>
  <w:num w:numId="4" w16cid:durableId="1134522328">
    <w:abstractNumId w:val="4"/>
  </w:num>
  <w:num w:numId="5" w16cid:durableId="226041354">
    <w:abstractNumId w:val="7"/>
  </w:num>
  <w:num w:numId="6" w16cid:durableId="1723090413">
    <w:abstractNumId w:val="3"/>
  </w:num>
  <w:num w:numId="7" w16cid:durableId="174656395">
    <w:abstractNumId w:val="2"/>
  </w:num>
  <w:num w:numId="8" w16cid:durableId="1491866679">
    <w:abstractNumId w:val="1"/>
  </w:num>
  <w:num w:numId="9" w16cid:durableId="616185326">
    <w:abstractNumId w:val="0"/>
  </w:num>
  <w:num w:numId="10" w16cid:durableId="1836259012">
    <w:abstractNumId w:val="12"/>
  </w:num>
  <w:num w:numId="11" w16cid:durableId="1971473985">
    <w:abstractNumId w:val="13"/>
  </w:num>
  <w:num w:numId="12" w16cid:durableId="529537447">
    <w:abstractNumId w:val="14"/>
  </w:num>
  <w:num w:numId="13" w16cid:durableId="296683705">
    <w:abstractNumId w:val="10"/>
  </w:num>
  <w:num w:numId="14" w16cid:durableId="438835570">
    <w:abstractNumId w:val="9"/>
  </w:num>
  <w:num w:numId="15" w16cid:durableId="19288744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C40D5"/>
    <w:rsid w:val="000F7839"/>
    <w:rsid w:val="0015074B"/>
    <w:rsid w:val="00204B92"/>
    <w:rsid w:val="00286CA1"/>
    <w:rsid w:val="0029639D"/>
    <w:rsid w:val="002C5187"/>
    <w:rsid w:val="00326F90"/>
    <w:rsid w:val="003800EC"/>
    <w:rsid w:val="00380A0B"/>
    <w:rsid w:val="003E4C22"/>
    <w:rsid w:val="003E757D"/>
    <w:rsid w:val="0042373F"/>
    <w:rsid w:val="004432C5"/>
    <w:rsid w:val="00456339"/>
    <w:rsid w:val="004A1FD0"/>
    <w:rsid w:val="00562375"/>
    <w:rsid w:val="0058596C"/>
    <w:rsid w:val="00704A50"/>
    <w:rsid w:val="007A5465"/>
    <w:rsid w:val="007B135C"/>
    <w:rsid w:val="007D45F4"/>
    <w:rsid w:val="00826A18"/>
    <w:rsid w:val="00937451"/>
    <w:rsid w:val="0098712B"/>
    <w:rsid w:val="009C17B2"/>
    <w:rsid w:val="00A526CA"/>
    <w:rsid w:val="00A6264D"/>
    <w:rsid w:val="00AA1D8D"/>
    <w:rsid w:val="00AE55CB"/>
    <w:rsid w:val="00B47730"/>
    <w:rsid w:val="00B83B1D"/>
    <w:rsid w:val="00C02495"/>
    <w:rsid w:val="00C15DDE"/>
    <w:rsid w:val="00C23542"/>
    <w:rsid w:val="00C357E5"/>
    <w:rsid w:val="00CB0664"/>
    <w:rsid w:val="00D15228"/>
    <w:rsid w:val="00E12B2A"/>
    <w:rsid w:val="00E4688E"/>
    <w:rsid w:val="00E77E40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F84F78"/>
  <w14:defaultImageDpi w14:val="300"/>
  <w15:docId w15:val="{DE94420C-2FBD-2E48-BFFB-2923BF521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semiHidden/>
    <w:unhideWhenUsed/>
    <w:rsid w:val="0093745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2373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881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ccat.int/Documents/Recs/compendiopdf-s/2015-13-s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940</Words>
  <Characters>5174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6102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Author</cp:lastModifiedBy>
  <cp:revision>18</cp:revision>
  <dcterms:created xsi:type="dcterms:W3CDTF">2025-11-15T17:17:00Z</dcterms:created>
  <dcterms:modified xsi:type="dcterms:W3CDTF">2025-11-15T18:04:00Z</dcterms:modified>
  <cp:category/>
</cp:coreProperties>
</file>