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6409A" w14:textId="234912AA" w:rsidR="002C5187" w:rsidRPr="00B83B1D" w:rsidRDefault="002C5187" w:rsidP="002C5187">
      <w:pPr>
        <w:spacing w:after="0" w:line="240" w:lineRule="auto"/>
        <w:jc w:val="right"/>
        <w:rPr>
          <w:b/>
          <w:bCs/>
          <w:sz w:val="20"/>
          <w:szCs w:val="20"/>
        </w:rPr>
      </w:pPr>
      <w:r>
        <w:rPr>
          <w:b/>
          <w:sz w:val="20"/>
        </w:rPr>
        <w:t xml:space="preserve">Original : </w:t>
      </w:r>
      <w:r>
        <w:rPr>
          <w:b/>
          <w:bCs/>
          <w:sz w:val="20"/>
        </w:rPr>
        <w:t>anglais</w:t>
      </w:r>
    </w:p>
    <w:p w14:paraId="26CD55DB" w14:textId="77777777" w:rsidR="000E4A05" w:rsidRDefault="000E4A05" w:rsidP="002C5187">
      <w:pPr>
        <w:spacing w:after="0" w:line="240" w:lineRule="auto"/>
        <w:jc w:val="center"/>
        <w:rPr>
          <w:b/>
          <w:sz w:val="20"/>
        </w:rPr>
      </w:pPr>
    </w:p>
    <w:p w14:paraId="709728F2" w14:textId="361034FB" w:rsidR="002C5187" w:rsidRPr="00B83B1D" w:rsidRDefault="002C5187" w:rsidP="002C5187">
      <w:pPr>
        <w:spacing w:after="0" w:line="240" w:lineRule="auto"/>
        <w:jc w:val="center"/>
        <w:rPr>
          <w:rFonts w:eastAsia="Times New Roman" w:cs="Times New Roman"/>
          <w:b/>
          <w:bCs/>
          <w:sz w:val="20"/>
          <w:szCs w:val="20"/>
        </w:rPr>
      </w:pPr>
      <w:r>
        <w:rPr>
          <w:b/>
          <w:sz w:val="20"/>
        </w:rPr>
        <w:t>Demande de la Namibie d'augmenter son quota de</w:t>
      </w:r>
    </w:p>
    <w:p w14:paraId="0B43342B" w14:textId="1A6C7581" w:rsidR="00937451" w:rsidRDefault="002C5187" w:rsidP="002C5187">
      <w:pPr>
        <w:spacing w:after="0" w:line="240" w:lineRule="auto"/>
        <w:jc w:val="center"/>
        <w:rPr>
          <w:b/>
          <w:sz w:val="20"/>
        </w:rPr>
      </w:pPr>
      <w:r>
        <w:rPr>
          <w:b/>
          <w:sz w:val="20"/>
        </w:rPr>
        <w:t>thon rouge de l’Atlantique Est et de la Méditerranée (BFT) pour le porter à 600 t</w:t>
      </w:r>
    </w:p>
    <w:p w14:paraId="43481B54" w14:textId="77777777" w:rsidR="000E4A05" w:rsidRDefault="000E4A05" w:rsidP="002C5187">
      <w:pPr>
        <w:spacing w:after="0" w:line="240" w:lineRule="auto"/>
        <w:jc w:val="center"/>
        <w:rPr>
          <w:b/>
          <w:sz w:val="20"/>
        </w:rPr>
      </w:pPr>
    </w:p>
    <w:p w14:paraId="6CEC2A18" w14:textId="0515F2CC" w:rsidR="000E4A05" w:rsidRPr="000E4A05" w:rsidRDefault="000E4A05" w:rsidP="002C5187">
      <w:pPr>
        <w:spacing w:after="0" w:line="240" w:lineRule="auto"/>
        <w:jc w:val="center"/>
        <w:rPr>
          <w:rFonts w:eastAsia="Times New Roman" w:cs="Times New Roman"/>
          <w:bCs/>
          <w:i/>
          <w:iCs/>
          <w:sz w:val="20"/>
          <w:szCs w:val="20"/>
        </w:rPr>
      </w:pPr>
      <w:r w:rsidRPr="000E4A05">
        <w:rPr>
          <w:bCs/>
          <w:i/>
          <w:iCs/>
          <w:sz w:val="20"/>
        </w:rPr>
        <w:t>(Document présenté par la Namibie)</w:t>
      </w:r>
    </w:p>
    <w:p w14:paraId="3AD49D8C" w14:textId="77777777" w:rsidR="002C5187" w:rsidRPr="00B83B1D" w:rsidRDefault="002C5187" w:rsidP="002C5187">
      <w:pPr>
        <w:spacing w:after="0" w:line="240" w:lineRule="auto"/>
        <w:jc w:val="both"/>
        <w:rPr>
          <w:rFonts w:eastAsia="Times New Roman" w:cs="Times New Roman"/>
          <w:b/>
          <w:bCs/>
          <w:sz w:val="20"/>
          <w:szCs w:val="20"/>
        </w:rPr>
      </w:pPr>
    </w:p>
    <w:p w14:paraId="2C34FBC3" w14:textId="1742EB16" w:rsidR="00937451" w:rsidRPr="00B83B1D" w:rsidRDefault="00937451" w:rsidP="002C5187">
      <w:pPr>
        <w:tabs>
          <w:tab w:val="left" w:pos="426"/>
        </w:tabs>
        <w:spacing w:after="0" w:line="240" w:lineRule="auto"/>
        <w:jc w:val="both"/>
        <w:outlineLvl w:val="2"/>
        <w:rPr>
          <w:rFonts w:eastAsia="Times New Roman" w:cs="Times New Roman"/>
          <w:b/>
          <w:bCs/>
          <w:sz w:val="20"/>
          <w:szCs w:val="20"/>
        </w:rPr>
      </w:pPr>
      <w:r>
        <w:rPr>
          <w:b/>
          <w:sz w:val="20"/>
        </w:rPr>
        <w:t xml:space="preserve">1. </w:t>
      </w:r>
      <w:r>
        <w:rPr>
          <w:b/>
          <w:sz w:val="20"/>
        </w:rPr>
        <w:tab/>
        <w:t>Introduction</w:t>
      </w:r>
    </w:p>
    <w:p w14:paraId="56585F0A" w14:textId="77777777" w:rsidR="002C5187" w:rsidRPr="00B83B1D" w:rsidRDefault="002C5187" w:rsidP="002C5187">
      <w:pPr>
        <w:spacing w:after="0" w:line="240" w:lineRule="auto"/>
        <w:jc w:val="both"/>
        <w:rPr>
          <w:rFonts w:eastAsia="Times New Roman" w:cs="Times New Roman"/>
          <w:sz w:val="20"/>
          <w:szCs w:val="20"/>
        </w:rPr>
      </w:pPr>
    </w:p>
    <w:p w14:paraId="4CE185F7" w14:textId="4DE49C98" w:rsidR="00937451" w:rsidRPr="00B83B1D" w:rsidRDefault="00937451" w:rsidP="002C5187">
      <w:pPr>
        <w:spacing w:after="0" w:line="240" w:lineRule="auto"/>
        <w:jc w:val="both"/>
        <w:rPr>
          <w:rFonts w:eastAsia="Times New Roman" w:cs="Times New Roman"/>
          <w:sz w:val="20"/>
          <w:szCs w:val="20"/>
        </w:rPr>
      </w:pPr>
      <w:r>
        <w:rPr>
          <w:sz w:val="20"/>
        </w:rPr>
        <w:t>La Namibie souhaite exprimer son appréciation au Président de la Sous-commission 2 et au Secrétariat de l'ICCAT pour le processus transparent et constructif entrepris afin de réviser le schéma d'allocation actuel pour le thon rouge (BFT).</w:t>
      </w:r>
    </w:p>
    <w:p w14:paraId="7D87DD00" w14:textId="77777777" w:rsidR="002C5187" w:rsidRPr="00B83B1D" w:rsidRDefault="002C5187" w:rsidP="002C5187">
      <w:pPr>
        <w:spacing w:after="0" w:line="240" w:lineRule="auto"/>
        <w:jc w:val="both"/>
        <w:rPr>
          <w:rFonts w:eastAsia="Times New Roman" w:cs="Times New Roman"/>
          <w:sz w:val="20"/>
          <w:szCs w:val="20"/>
        </w:rPr>
      </w:pPr>
    </w:p>
    <w:p w14:paraId="1BD45689" w14:textId="77777777" w:rsidR="002C5187" w:rsidRPr="00B83B1D" w:rsidRDefault="002C5187" w:rsidP="002C5187">
      <w:pPr>
        <w:spacing w:after="0" w:line="240" w:lineRule="auto"/>
        <w:jc w:val="both"/>
        <w:rPr>
          <w:rFonts w:eastAsia="Times New Roman" w:cs="Times New Roman"/>
          <w:sz w:val="20"/>
          <w:szCs w:val="20"/>
        </w:rPr>
      </w:pPr>
    </w:p>
    <w:p w14:paraId="02DD2D00" w14:textId="1B8D42C2" w:rsidR="00937451" w:rsidRPr="00B83B1D" w:rsidRDefault="00937451" w:rsidP="002C5187">
      <w:pPr>
        <w:tabs>
          <w:tab w:val="left" w:pos="426"/>
        </w:tabs>
        <w:spacing w:after="0" w:line="240" w:lineRule="auto"/>
        <w:jc w:val="both"/>
        <w:outlineLvl w:val="2"/>
        <w:rPr>
          <w:rFonts w:eastAsia="Times New Roman" w:cs="Times New Roman"/>
          <w:b/>
          <w:bCs/>
          <w:sz w:val="20"/>
          <w:szCs w:val="20"/>
        </w:rPr>
      </w:pPr>
      <w:r>
        <w:rPr>
          <w:b/>
          <w:sz w:val="20"/>
        </w:rPr>
        <w:t xml:space="preserve">2. </w:t>
      </w:r>
      <w:r>
        <w:rPr>
          <w:b/>
          <w:sz w:val="20"/>
        </w:rPr>
        <w:tab/>
        <w:t>Situation actuelle</w:t>
      </w:r>
    </w:p>
    <w:p w14:paraId="2FD7ACC1" w14:textId="77777777" w:rsidR="002C5187" w:rsidRPr="00B83B1D" w:rsidRDefault="002C5187" w:rsidP="002C5187">
      <w:pPr>
        <w:spacing w:after="0" w:line="240" w:lineRule="auto"/>
        <w:jc w:val="both"/>
        <w:rPr>
          <w:rFonts w:eastAsia="Times New Roman" w:cs="Times New Roman"/>
          <w:sz w:val="20"/>
          <w:szCs w:val="20"/>
        </w:rPr>
      </w:pPr>
    </w:p>
    <w:p w14:paraId="7A140B6C" w14:textId="5B7428F4" w:rsidR="00937451" w:rsidRPr="00B83B1D" w:rsidRDefault="00937451" w:rsidP="002C5187">
      <w:pPr>
        <w:spacing w:after="0" w:line="240" w:lineRule="auto"/>
        <w:jc w:val="both"/>
        <w:rPr>
          <w:rFonts w:eastAsia="Times New Roman" w:cs="Times New Roman"/>
          <w:sz w:val="20"/>
          <w:szCs w:val="20"/>
        </w:rPr>
      </w:pPr>
      <w:r>
        <w:rPr>
          <w:sz w:val="20"/>
        </w:rPr>
        <w:t>La Namibie détient actuellement un quota de 50 t de thon rouge. Tous les navires namibiens opèrent en dehors des zones de pêche traditionnelles de cette espèce. Par conséquent, les captures de thon rouge ne pouvaient être déclarées que dans deux circonstances :</w:t>
      </w:r>
    </w:p>
    <w:p w14:paraId="47A984F2" w14:textId="77777777" w:rsidR="002C5187" w:rsidRPr="00B83B1D" w:rsidRDefault="002C5187" w:rsidP="002C5187">
      <w:pPr>
        <w:spacing w:after="0" w:line="240" w:lineRule="auto"/>
        <w:jc w:val="both"/>
        <w:rPr>
          <w:rFonts w:eastAsia="Times New Roman" w:cs="Times New Roman"/>
          <w:sz w:val="20"/>
          <w:szCs w:val="20"/>
        </w:rPr>
      </w:pPr>
    </w:p>
    <w:p w14:paraId="6E0737CD" w14:textId="77777777" w:rsidR="00937451" w:rsidRPr="00B83B1D" w:rsidRDefault="00937451" w:rsidP="002C5187">
      <w:pPr>
        <w:numPr>
          <w:ilvl w:val="0"/>
          <w:numId w:val="10"/>
        </w:numPr>
        <w:spacing w:after="0" w:line="240" w:lineRule="auto"/>
        <w:jc w:val="both"/>
        <w:rPr>
          <w:rFonts w:eastAsia="Times New Roman" w:cs="Times New Roman"/>
          <w:sz w:val="20"/>
          <w:szCs w:val="20"/>
        </w:rPr>
      </w:pPr>
      <w:r>
        <w:rPr>
          <w:sz w:val="20"/>
        </w:rPr>
        <w:t>Si une pêcherie dirigée était mise en place ; ou</w:t>
      </w:r>
    </w:p>
    <w:p w14:paraId="25F4B746" w14:textId="77777777" w:rsidR="00937451" w:rsidRPr="00B83B1D" w:rsidRDefault="00937451" w:rsidP="002C5187">
      <w:pPr>
        <w:numPr>
          <w:ilvl w:val="0"/>
          <w:numId w:val="10"/>
        </w:numPr>
        <w:spacing w:after="0" w:line="240" w:lineRule="auto"/>
        <w:jc w:val="both"/>
        <w:rPr>
          <w:rFonts w:eastAsia="Times New Roman" w:cs="Times New Roman"/>
          <w:sz w:val="20"/>
          <w:szCs w:val="20"/>
        </w:rPr>
      </w:pPr>
      <w:r>
        <w:rPr>
          <w:sz w:val="20"/>
        </w:rPr>
        <w:t>Si des prises accessoires avaient eu lieu dans des pêcheries ciblant d'autres espèces, comme c'est le cas pour plusieurs autres CPC.</w:t>
      </w:r>
    </w:p>
    <w:p w14:paraId="4BF42E9A" w14:textId="77777777" w:rsidR="002C5187" w:rsidRPr="00B83B1D" w:rsidRDefault="002C5187" w:rsidP="002C5187">
      <w:pPr>
        <w:spacing w:after="0" w:line="240" w:lineRule="auto"/>
        <w:jc w:val="both"/>
        <w:rPr>
          <w:rFonts w:eastAsia="Times New Roman" w:cs="Times New Roman"/>
          <w:sz w:val="20"/>
          <w:szCs w:val="20"/>
        </w:rPr>
      </w:pPr>
    </w:p>
    <w:p w14:paraId="4C4C8A5E" w14:textId="7EA646B9" w:rsidR="00937451" w:rsidRPr="00B83B1D" w:rsidRDefault="00937451" w:rsidP="002C5187">
      <w:pPr>
        <w:spacing w:after="0" w:line="240" w:lineRule="auto"/>
        <w:jc w:val="both"/>
        <w:rPr>
          <w:rFonts w:eastAsia="Times New Roman" w:cs="Times New Roman"/>
          <w:sz w:val="20"/>
          <w:szCs w:val="20"/>
        </w:rPr>
      </w:pPr>
      <w:r>
        <w:rPr>
          <w:sz w:val="20"/>
        </w:rPr>
        <w:t>Étant donné que la Namibie n'a pas de pêcheries de prises accessoires de thon rouge, et que le quota actuel est trop faible pour soutenir une activité dirigée et économiquement viable, le pays est effectivement empêché de participer activement à cette pêcherie.</w:t>
      </w:r>
    </w:p>
    <w:p w14:paraId="086198B1" w14:textId="77777777" w:rsidR="002C5187" w:rsidRPr="00B83B1D" w:rsidRDefault="002C5187" w:rsidP="002C5187">
      <w:pPr>
        <w:spacing w:after="0" w:line="240" w:lineRule="auto"/>
        <w:jc w:val="both"/>
        <w:rPr>
          <w:rFonts w:eastAsia="Times New Roman" w:cs="Times New Roman"/>
          <w:sz w:val="20"/>
          <w:szCs w:val="20"/>
        </w:rPr>
      </w:pPr>
    </w:p>
    <w:p w14:paraId="130423A4" w14:textId="77777777" w:rsidR="002C5187" w:rsidRPr="00B83B1D" w:rsidRDefault="002C5187" w:rsidP="002C5187">
      <w:pPr>
        <w:spacing w:after="0" w:line="240" w:lineRule="auto"/>
        <w:jc w:val="both"/>
        <w:rPr>
          <w:rFonts w:eastAsia="Times New Roman" w:cs="Times New Roman"/>
          <w:sz w:val="20"/>
          <w:szCs w:val="20"/>
        </w:rPr>
      </w:pPr>
    </w:p>
    <w:p w14:paraId="0080599B" w14:textId="1546DA1B" w:rsidR="00937451" w:rsidRPr="00B83B1D" w:rsidRDefault="00937451" w:rsidP="00D15228">
      <w:pPr>
        <w:tabs>
          <w:tab w:val="left" w:pos="426"/>
        </w:tabs>
        <w:spacing w:after="0" w:line="240" w:lineRule="auto"/>
        <w:jc w:val="both"/>
        <w:outlineLvl w:val="2"/>
        <w:rPr>
          <w:rFonts w:eastAsia="Times New Roman" w:cs="Times New Roman"/>
          <w:b/>
          <w:bCs/>
          <w:sz w:val="20"/>
          <w:szCs w:val="20"/>
        </w:rPr>
      </w:pPr>
      <w:r>
        <w:rPr>
          <w:b/>
          <w:sz w:val="20"/>
        </w:rPr>
        <w:t xml:space="preserve">3. </w:t>
      </w:r>
      <w:r>
        <w:rPr>
          <w:b/>
          <w:sz w:val="20"/>
        </w:rPr>
        <w:tab/>
        <w:t>Plan de développement de la pêcherie dirigée</w:t>
      </w:r>
    </w:p>
    <w:p w14:paraId="57C68DC9" w14:textId="77777777" w:rsidR="002C5187" w:rsidRPr="00B83B1D" w:rsidRDefault="002C5187" w:rsidP="002C5187">
      <w:pPr>
        <w:spacing w:after="0" w:line="240" w:lineRule="auto"/>
        <w:jc w:val="both"/>
        <w:rPr>
          <w:rFonts w:eastAsia="Times New Roman" w:cs="Times New Roman"/>
          <w:sz w:val="20"/>
          <w:szCs w:val="20"/>
        </w:rPr>
      </w:pPr>
    </w:p>
    <w:p w14:paraId="56FA4BD9" w14:textId="232B8629" w:rsidR="00937451" w:rsidRPr="00B83B1D" w:rsidRDefault="00937451" w:rsidP="002C5187">
      <w:pPr>
        <w:spacing w:after="0" w:line="240" w:lineRule="auto"/>
        <w:jc w:val="both"/>
        <w:rPr>
          <w:rFonts w:eastAsia="Times New Roman" w:cs="Times New Roman"/>
          <w:sz w:val="20"/>
          <w:szCs w:val="20"/>
        </w:rPr>
      </w:pPr>
      <w:r>
        <w:rPr>
          <w:sz w:val="20"/>
        </w:rPr>
        <w:t>La Namibie a élaboré un plan visant à mettre en place une pêcherie dirigée sur le thon rouge en coopération avec des partenaires internationaux expérimentés possédant l'expertise technique nécessaire.</w:t>
      </w:r>
    </w:p>
    <w:p w14:paraId="1D0B84CA" w14:textId="77777777" w:rsidR="002C5187" w:rsidRPr="00B83B1D" w:rsidRDefault="002C5187" w:rsidP="002C5187">
      <w:pPr>
        <w:spacing w:after="0" w:line="240" w:lineRule="auto"/>
        <w:jc w:val="both"/>
        <w:rPr>
          <w:rFonts w:eastAsia="Times New Roman" w:cs="Times New Roman"/>
          <w:sz w:val="20"/>
          <w:szCs w:val="20"/>
        </w:rPr>
      </w:pPr>
    </w:p>
    <w:p w14:paraId="5B3CBB0B" w14:textId="20D81788" w:rsidR="00937451" w:rsidRDefault="00937451" w:rsidP="002C5187">
      <w:pPr>
        <w:spacing w:after="0" w:line="240" w:lineRule="auto"/>
        <w:jc w:val="both"/>
        <w:rPr>
          <w:rFonts w:eastAsia="Times New Roman" w:cs="Times New Roman"/>
          <w:sz w:val="20"/>
          <w:szCs w:val="20"/>
        </w:rPr>
      </w:pPr>
      <w:r>
        <w:rPr>
          <w:sz w:val="20"/>
        </w:rPr>
        <w:t>Le plan inclut :</w:t>
      </w:r>
    </w:p>
    <w:p w14:paraId="39732B64" w14:textId="77777777" w:rsidR="00B83B1D" w:rsidRPr="00B83B1D" w:rsidRDefault="00B83B1D" w:rsidP="002C5187">
      <w:pPr>
        <w:spacing w:after="0" w:line="240" w:lineRule="auto"/>
        <w:jc w:val="both"/>
        <w:rPr>
          <w:rFonts w:eastAsia="Times New Roman" w:cs="Times New Roman"/>
          <w:sz w:val="20"/>
          <w:szCs w:val="20"/>
        </w:rPr>
      </w:pPr>
    </w:p>
    <w:p w14:paraId="43E079ED" w14:textId="77777777" w:rsidR="00937451" w:rsidRPr="00B83B1D" w:rsidRDefault="00937451" w:rsidP="002C5187">
      <w:pPr>
        <w:numPr>
          <w:ilvl w:val="0"/>
          <w:numId w:val="11"/>
        </w:numPr>
        <w:spacing w:after="0" w:line="240" w:lineRule="auto"/>
        <w:jc w:val="both"/>
        <w:rPr>
          <w:rFonts w:eastAsia="Times New Roman" w:cs="Times New Roman"/>
          <w:sz w:val="20"/>
          <w:szCs w:val="20"/>
        </w:rPr>
      </w:pPr>
      <w:r>
        <w:rPr>
          <w:sz w:val="20"/>
        </w:rPr>
        <w:t>Acquisition de navires équipés de manière appropriée ;</w:t>
      </w:r>
    </w:p>
    <w:p w14:paraId="15B24647" w14:textId="4CD96C16" w:rsidR="00937451" w:rsidRPr="00B83B1D" w:rsidRDefault="00937451" w:rsidP="002C5187">
      <w:pPr>
        <w:numPr>
          <w:ilvl w:val="0"/>
          <w:numId w:val="11"/>
        </w:numPr>
        <w:spacing w:after="0" w:line="240" w:lineRule="auto"/>
        <w:jc w:val="both"/>
        <w:rPr>
          <w:rFonts w:eastAsia="Times New Roman" w:cs="Times New Roman"/>
          <w:sz w:val="20"/>
          <w:szCs w:val="20"/>
        </w:rPr>
      </w:pPr>
      <w:r>
        <w:rPr>
          <w:sz w:val="20"/>
        </w:rPr>
        <w:t xml:space="preserve">Mise en œuvre complète des systèmes </w:t>
      </w:r>
      <w:r w:rsidR="00EF1BB5">
        <w:rPr>
          <w:sz w:val="20"/>
        </w:rPr>
        <w:t>de suivi, contrôle et surveillance (</w:t>
      </w:r>
      <w:r>
        <w:rPr>
          <w:sz w:val="20"/>
        </w:rPr>
        <w:t>MCS</w:t>
      </w:r>
      <w:r w:rsidR="00EF1BB5">
        <w:rPr>
          <w:sz w:val="20"/>
        </w:rPr>
        <w:t>)</w:t>
      </w:r>
      <w:r>
        <w:rPr>
          <w:sz w:val="20"/>
        </w:rPr>
        <w:t xml:space="preserve">, </w:t>
      </w:r>
      <w:r w:rsidR="003B55CC">
        <w:rPr>
          <w:sz w:val="20"/>
        </w:rPr>
        <w:t>des systèmes de suivi des navires (</w:t>
      </w:r>
      <w:r>
        <w:rPr>
          <w:sz w:val="20"/>
        </w:rPr>
        <w:t>VMS</w:t>
      </w:r>
      <w:r w:rsidR="003B55CC">
        <w:rPr>
          <w:sz w:val="20"/>
        </w:rPr>
        <w:t>)</w:t>
      </w:r>
      <w:r>
        <w:rPr>
          <w:sz w:val="20"/>
        </w:rPr>
        <w:t xml:space="preserve">, </w:t>
      </w:r>
      <w:r w:rsidR="00C91A3D">
        <w:rPr>
          <w:sz w:val="20"/>
        </w:rPr>
        <w:t>des systèmes de déclaration électronique (</w:t>
      </w:r>
      <w:r>
        <w:rPr>
          <w:sz w:val="20"/>
        </w:rPr>
        <w:t>ERS</w:t>
      </w:r>
      <w:r w:rsidR="00C91A3D">
        <w:rPr>
          <w:sz w:val="20"/>
        </w:rPr>
        <w:t>)</w:t>
      </w:r>
      <w:r>
        <w:rPr>
          <w:sz w:val="20"/>
        </w:rPr>
        <w:t xml:space="preserve"> et </w:t>
      </w:r>
      <w:r w:rsidR="007A7809">
        <w:rPr>
          <w:sz w:val="20"/>
        </w:rPr>
        <w:t xml:space="preserve">des </w:t>
      </w:r>
      <w:r w:rsidR="00B04EDB">
        <w:rPr>
          <w:sz w:val="20"/>
        </w:rPr>
        <w:t>s</w:t>
      </w:r>
      <w:r w:rsidR="00B04EDB" w:rsidRPr="00B04EDB">
        <w:rPr>
          <w:sz w:val="20"/>
        </w:rPr>
        <w:t>ystèmes électroniques de documentation des captures de thon rouge (eBCD)</w:t>
      </w:r>
      <w:r w:rsidR="00BC0455">
        <w:rPr>
          <w:sz w:val="20"/>
        </w:rPr>
        <w:t xml:space="preserve"> </w:t>
      </w:r>
      <w:r>
        <w:rPr>
          <w:sz w:val="20"/>
        </w:rPr>
        <w:t>;</w:t>
      </w:r>
    </w:p>
    <w:p w14:paraId="733EC8B6" w14:textId="2AA77585" w:rsidR="00937451" w:rsidRPr="00B83B1D" w:rsidRDefault="00937451" w:rsidP="002C5187">
      <w:pPr>
        <w:numPr>
          <w:ilvl w:val="0"/>
          <w:numId w:val="11"/>
        </w:numPr>
        <w:spacing w:after="0" w:line="240" w:lineRule="auto"/>
        <w:jc w:val="both"/>
        <w:rPr>
          <w:rFonts w:eastAsia="Times New Roman" w:cs="Times New Roman"/>
          <w:sz w:val="20"/>
          <w:szCs w:val="20"/>
        </w:rPr>
      </w:pPr>
      <w:r>
        <w:rPr>
          <w:sz w:val="20"/>
        </w:rPr>
        <w:t xml:space="preserve">Coopération avec le </w:t>
      </w:r>
      <w:r w:rsidR="00BC0455">
        <w:rPr>
          <w:sz w:val="20"/>
        </w:rPr>
        <w:t>Comité permanent pour la recherche et les statistiques (</w:t>
      </w:r>
      <w:r>
        <w:rPr>
          <w:sz w:val="20"/>
        </w:rPr>
        <w:t>SCRS</w:t>
      </w:r>
      <w:r w:rsidR="00BC0455">
        <w:rPr>
          <w:sz w:val="20"/>
        </w:rPr>
        <w:t>)</w:t>
      </w:r>
      <w:r>
        <w:rPr>
          <w:sz w:val="20"/>
        </w:rPr>
        <w:t xml:space="preserve"> pour la collecte de données scientifiques et biologiques ; et</w:t>
      </w:r>
    </w:p>
    <w:p w14:paraId="4AA6F3CA" w14:textId="77777777" w:rsidR="00937451" w:rsidRPr="00B83B1D" w:rsidRDefault="00937451" w:rsidP="002C5187">
      <w:pPr>
        <w:numPr>
          <w:ilvl w:val="0"/>
          <w:numId w:val="11"/>
        </w:numPr>
        <w:spacing w:after="0" w:line="240" w:lineRule="auto"/>
        <w:jc w:val="both"/>
        <w:rPr>
          <w:rFonts w:eastAsia="Times New Roman" w:cs="Times New Roman"/>
          <w:sz w:val="20"/>
          <w:szCs w:val="20"/>
        </w:rPr>
      </w:pPr>
      <w:r>
        <w:rPr>
          <w:sz w:val="20"/>
        </w:rPr>
        <w:t>Création d'opportunités d’emploi et renforcement des capacités nationales.</w:t>
      </w:r>
    </w:p>
    <w:p w14:paraId="1F164329" w14:textId="77777777" w:rsidR="002C5187" w:rsidRPr="00B83B1D" w:rsidRDefault="002C5187" w:rsidP="002C5187">
      <w:pPr>
        <w:spacing w:after="0" w:line="240" w:lineRule="auto"/>
        <w:jc w:val="both"/>
        <w:rPr>
          <w:rFonts w:eastAsia="Times New Roman" w:cs="Times New Roman"/>
          <w:sz w:val="20"/>
          <w:szCs w:val="20"/>
        </w:rPr>
      </w:pPr>
    </w:p>
    <w:p w14:paraId="01E36806" w14:textId="45E5E1DA" w:rsidR="00937451" w:rsidRDefault="00937451" w:rsidP="002C5187">
      <w:pPr>
        <w:spacing w:after="0" w:line="240" w:lineRule="auto"/>
        <w:jc w:val="both"/>
        <w:rPr>
          <w:rFonts w:eastAsia="Times New Roman" w:cs="Times New Roman"/>
          <w:sz w:val="20"/>
          <w:szCs w:val="20"/>
        </w:rPr>
      </w:pPr>
      <w:r>
        <w:rPr>
          <w:sz w:val="20"/>
        </w:rPr>
        <w:t>Pour ces raisons, la Namibie demande que son quota soit porté à 600 t, un niveau qui permettrait de :</w:t>
      </w:r>
    </w:p>
    <w:p w14:paraId="4C3F8E61" w14:textId="77777777" w:rsidR="00B83B1D" w:rsidRPr="00B83B1D" w:rsidRDefault="00B83B1D" w:rsidP="002C5187">
      <w:pPr>
        <w:spacing w:after="0" w:line="240" w:lineRule="auto"/>
        <w:jc w:val="both"/>
        <w:rPr>
          <w:rFonts w:eastAsia="Times New Roman" w:cs="Times New Roman"/>
          <w:sz w:val="20"/>
          <w:szCs w:val="20"/>
        </w:rPr>
      </w:pPr>
    </w:p>
    <w:p w14:paraId="0C1A6747" w14:textId="77777777" w:rsidR="00937451" w:rsidRPr="00B83B1D" w:rsidRDefault="00937451" w:rsidP="002C5187">
      <w:pPr>
        <w:numPr>
          <w:ilvl w:val="0"/>
          <w:numId w:val="12"/>
        </w:numPr>
        <w:spacing w:after="0" w:line="240" w:lineRule="auto"/>
        <w:jc w:val="both"/>
        <w:rPr>
          <w:rFonts w:eastAsia="Times New Roman" w:cs="Times New Roman"/>
          <w:sz w:val="20"/>
          <w:szCs w:val="20"/>
        </w:rPr>
      </w:pPr>
      <w:r>
        <w:rPr>
          <w:sz w:val="20"/>
        </w:rPr>
        <w:t>Réaliser les investissements nécessaires pour rendre la pêcherie économiquement viable ;</w:t>
      </w:r>
    </w:p>
    <w:p w14:paraId="6BF8D201" w14:textId="77777777" w:rsidR="00937451" w:rsidRPr="00B83B1D" w:rsidRDefault="00937451" w:rsidP="002C5187">
      <w:pPr>
        <w:numPr>
          <w:ilvl w:val="0"/>
          <w:numId w:val="12"/>
        </w:numPr>
        <w:spacing w:after="0" w:line="240" w:lineRule="auto"/>
        <w:jc w:val="both"/>
        <w:rPr>
          <w:rFonts w:eastAsia="Times New Roman" w:cs="Times New Roman"/>
          <w:sz w:val="20"/>
          <w:szCs w:val="20"/>
        </w:rPr>
      </w:pPr>
      <w:r>
        <w:rPr>
          <w:sz w:val="20"/>
        </w:rPr>
        <w:t>Fournir un quota minimum raisonnable par navire ;</w:t>
      </w:r>
    </w:p>
    <w:p w14:paraId="439D5E93" w14:textId="77777777" w:rsidR="00937451" w:rsidRPr="00B83B1D" w:rsidRDefault="00937451" w:rsidP="002C5187">
      <w:pPr>
        <w:numPr>
          <w:ilvl w:val="0"/>
          <w:numId w:val="12"/>
        </w:numPr>
        <w:spacing w:after="0" w:line="240" w:lineRule="auto"/>
        <w:jc w:val="both"/>
        <w:rPr>
          <w:rFonts w:eastAsia="Times New Roman" w:cs="Times New Roman"/>
          <w:sz w:val="20"/>
          <w:szCs w:val="20"/>
        </w:rPr>
      </w:pPr>
      <w:r>
        <w:rPr>
          <w:sz w:val="20"/>
        </w:rPr>
        <w:t>Faciliter un transfert efficace du savoir-faire technique ; et</w:t>
      </w:r>
    </w:p>
    <w:p w14:paraId="09F1B4A6" w14:textId="6A3BF1BD" w:rsidR="00937451" w:rsidRPr="00B83B1D" w:rsidRDefault="00937451" w:rsidP="002C5187">
      <w:pPr>
        <w:numPr>
          <w:ilvl w:val="0"/>
          <w:numId w:val="12"/>
        </w:numPr>
        <w:spacing w:after="0" w:line="240" w:lineRule="auto"/>
        <w:jc w:val="both"/>
        <w:rPr>
          <w:rFonts w:eastAsia="Times New Roman" w:cs="Times New Roman"/>
          <w:sz w:val="20"/>
          <w:szCs w:val="20"/>
        </w:rPr>
      </w:pPr>
      <w:r>
        <w:rPr>
          <w:sz w:val="20"/>
        </w:rPr>
        <w:t>Jeter les bases du développement de pêcheries similaires dans l'hémisphère Sud.</w:t>
      </w:r>
    </w:p>
    <w:p w14:paraId="14E63F4E" w14:textId="77777777" w:rsidR="002C5187" w:rsidRPr="00B83B1D" w:rsidRDefault="002C5187" w:rsidP="002C5187">
      <w:pPr>
        <w:spacing w:after="0" w:line="240" w:lineRule="auto"/>
        <w:ind w:left="720"/>
        <w:jc w:val="both"/>
        <w:rPr>
          <w:rFonts w:eastAsia="Times New Roman" w:cs="Times New Roman"/>
          <w:sz w:val="20"/>
          <w:szCs w:val="20"/>
        </w:rPr>
      </w:pPr>
    </w:p>
    <w:p w14:paraId="771E7594" w14:textId="77777777" w:rsidR="002C5187" w:rsidRPr="00B83B1D" w:rsidRDefault="002C5187" w:rsidP="002C5187">
      <w:pPr>
        <w:spacing w:after="0" w:line="240" w:lineRule="auto"/>
        <w:ind w:left="720"/>
        <w:jc w:val="both"/>
        <w:rPr>
          <w:rFonts w:eastAsia="Times New Roman" w:cs="Times New Roman"/>
          <w:sz w:val="20"/>
          <w:szCs w:val="20"/>
        </w:rPr>
      </w:pPr>
    </w:p>
    <w:p w14:paraId="18ABFDED" w14:textId="3D46072A" w:rsidR="00937451" w:rsidRPr="00B83B1D" w:rsidRDefault="00937451" w:rsidP="00B83B1D">
      <w:pPr>
        <w:tabs>
          <w:tab w:val="left" w:pos="426"/>
        </w:tabs>
        <w:spacing w:after="0" w:line="240" w:lineRule="auto"/>
        <w:jc w:val="both"/>
        <w:outlineLvl w:val="2"/>
        <w:rPr>
          <w:rFonts w:eastAsia="Times New Roman" w:cs="Times New Roman"/>
          <w:b/>
          <w:bCs/>
          <w:sz w:val="20"/>
          <w:szCs w:val="20"/>
        </w:rPr>
      </w:pPr>
      <w:r>
        <w:rPr>
          <w:b/>
          <w:sz w:val="20"/>
        </w:rPr>
        <w:t xml:space="preserve">4. </w:t>
      </w:r>
      <w:r>
        <w:rPr>
          <w:b/>
          <w:sz w:val="20"/>
        </w:rPr>
        <w:tab/>
        <w:t>Importance stratégique pour un État côtier en développement</w:t>
      </w:r>
    </w:p>
    <w:p w14:paraId="7B8B0D83" w14:textId="77777777" w:rsidR="002C5187" w:rsidRPr="00B83B1D" w:rsidRDefault="002C5187" w:rsidP="002C5187">
      <w:pPr>
        <w:spacing w:after="0" w:line="240" w:lineRule="auto"/>
        <w:jc w:val="both"/>
        <w:rPr>
          <w:rFonts w:eastAsia="Times New Roman" w:cs="Times New Roman"/>
          <w:sz w:val="20"/>
          <w:szCs w:val="20"/>
        </w:rPr>
      </w:pPr>
    </w:p>
    <w:p w14:paraId="19393ABA" w14:textId="504AA505" w:rsidR="00937451" w:rsidRPr="00B83B1D" w:rsidRDefault="00937451" w:rsidP="002C5187">
      <w:pPr>
        <w:spacing w:after="0" w:line="240" w:lineRule="auto"/>
        <w:jc w:val="both"/>
        <w:rPr>
          <w:rFonts w:eastAsia="Times New Roman" w:cs="Times New Roman"/>
          <w:sz w:val="20"/>
          <w:szCs w:val="20"/>
        </w:rPr>
      </w:pPr>
      <w:r>
        <w:rPr>
          <w:sz w:val="20"/>
        </w:rPr>
        <w:t>Le secteur de la pêche est une pierre angulaire de l'économie nationale et du développement durable de la Namibie. Le développement d'une pêcherie alternative à celles qui sont déjà soumises à une forte pression est essentiel pour la diversification et la durabilité à long terme.</w:t>
      </w:r>
    </w:p>
    <w:p w14:paraId="2A9AC4F2" w14:textId="77777777" w:rsidR="002C5187" w:rsidRPr="00B83B1D" w:rsidRDefault="002C5187" w:rsidP="002C5187">
      <w:pPr>
        <w:spacing w:after="0" w:line="240" w:lineRule="auto"/>
        <w:jc w:val="both"/>
        <w:rPr>
          <w:rFonts w:eastAsia="Times New Roman" w:cs="Times New Roman"/>
          <w:sz w:val="20"/>
          <w:szCs w:val="20"/>
        </w:rPr>
      </w:pPr>
    </w:p>
    <w:p w14:paraId="385A30D3" w14:textId="77777777" w:rsidR="00BC0455" w:rsidRDefault="00BC0455">
      <w:pPr>
        <w:rPr>
          <w:sz w:val="20"/>
        </w:rPr>
      </w:pPr>
      <w:r>
        <w:rPr>
          <w:sz w:val="20"/>
        </w:rPr>
        <w:br w:type="page"/>
      </w:r>
    </w:p>
    <w:p w14:paraId="438EABF1" w14:textId="7554269C" w:rsidR="00937451" w:rsidRDefault="00937451" w:rsidP="002C5187">
      <w:pPr>
        <w:spacing w:after="0" w:line="240" w:lineRule="auto"/>
        <w:jc w:val="both"/>
        <w:rPr>
          <w:rFonts w:eastAsia="Times New Roman" w:cs="Times New Roman"/>
          <w:sz w:val="20"/>
          <w:szCs w:val="20"/>
        </w:rPr>
      </w:pPr>
      <w:r>
        <w:rPr>
          <w:sz w:val="20"/>
        </w:rPr>
        <w:lastRenderedPageBreak/>
        <w:t>Un quota de 600 t permettrait à la Namibie de :</w:t>
      </w:r>
    </w:p>
    <w:p w14:paraId="3849DD66" w14:textId="77777777" w:rsidR="00B83B1D" w:rsidRPr="00B83B1D" w:rsidRDefault="00B83B1D" w:rsidP="002C5187">
      <w:pPr>
        <w:spacing w:after="0" w:line="240" w:lineRule="auto"/>
        <w:jc w:val="both"/>
        <w:rPr>
          <w:rFonts w:eastAsia="Times New Roman" w:cs="Times New Roman"/>
          <w:sz w:val="20"/>
          <w:szCs w:val="20"/>
        </w:rPr>
      </w:pPr>
    </w:p>
    <w:p w14:paraId="53670322" w14:textId="77777777" w:rsidR="00937451" w:rsidRPr="00B83B1D" w:rsidRDefault="00937451" w:rsidP="002C5187">
      <w:pPr>
        <w:numPr>
          <w:ilvl w:val="0"/>
          <w:numId w:val="13"/>
        </w:numPr>
        <w:spacing w:after="0" w:line="240" w:lineRule="auto"/>
        <w:jc w:val="both"/>
        <w:rPr>
          <w:rFonts w:eastAsia="Times New Roman" w:cs="Times New Roman"/>
          <w:sz w:val="20"/>
          <w:szCs w:val="20"/>
        </w:rPr>
      </w:pPr>
      <w:r>
        <w:rPr>
          <w:sz w:val="20"/>
        </w:rPr>
        <w:t>Créer des emplois et générer de la valeur ajoutée au niveau national ;</w:t>
      </w:r>
    </w:p>
    <w:p w14:paraId="31F00D3D" w14:textId="77777777" w:rsidR="00937451" w:rsidRPr="00B83B1D" w:rsidRDefault="00937451" w:rsidP="002C5187">
      <w:pPr>
        <w:numPr>
          <w:ilvl w:val="0"/>
          <w:numId w:val="13"/>
        </w:numPr>
        <w:spacing w:after="0" w:line="240" w:lineRule="auto"/>
        <w:jc w:val="both"/>
        <w:rPr>
          <w:rFonts w:eastAsia="Times New Roman" w:cs="Times New Roman"/>
          <w:sz w:val="20"/>
          <w:szCs w:val="20"/>
        </w:rPr>
      </w:pPr>
      <w:r>
        <w:rPr>
          <w:sz w:val="20"/>
        </w:rPr>
        <w:t>Renforcer sa contribution scientifique et technique à la gestion régionale des thonidés ; et</w:t>
      </w:r>
    </w:p>
    <w:p w14:paraId="6138A77D" w14:textId="77777777" w:rsidR="00937451" w:rsidRPr="00B83B1D" w:rsidRDefault="00937451" w:rsidP="002C5187">
      <w:pPr>
        <w:numPr>
          <w:ilvl w:val="0"/>
          <w:numId w:val="13"/>
        </w:numPr>
        <w:spacing w:after="0" w:line="240" w:lineRule="auto"/>
        <w:jc w:val="both"/>
        <w:rPr>
          <w:rFonts w:eastAsia="Times New Roman" w:cs="Times New Roman"/>
          <w:sz w:val="20"/>
          <w:szCs w:val="20"/>
        </w:rPr>
      </w:pPr>
      <w:r>
        <w:rPr>
          <w:sz w:val="20"/>
        </w:rPr>
        <w:t>Promouvoir une plus grande participation des États africains à la gouvernance internationale des pêcheries.</w:t>
      </w:r>
    </w:p>
    <w:p w14:paraId="6B59186F" w14:textId="77777777" w:rsidR="002C5187" w:rsidRPr="00B83B1D" w:rsidRDefault="002C5187" w:rsidP="002C5187">
      <w:pPr>
        <w:spacing w:after="0" w:line="240" w:lineRule="auto"/>
        <w:jc w:val="both"/>
        <w:rPr>
          <w:rFonts w:eastAsia="Times New Roman" w:cs="Times New Roman"/>
          <w:sz w:val="20"/>
          <w:szCs w:val="20"/>
        </w:rPr>
      </w:pPr>
    </w:p>
    <w:p w14:paraId="4DB41F26" w14:textId="77777777" w:rsidR="00F91865" w:rsidRPr="00B83B1D" w:rsidRDefault="00F91865" w:rsidP="00F91865">
      <w:pPr>
        <w:spacing w:after="0" w:line="240" w:lineRule="auto"/>
        <w:jc w:val="both"/>
        <w:rPr>
          <w:rFonts w:eastAsia="Times New Roman" w:cs="Times New Roman"/>
          <w:sz w:val="20"/>
          <w:szCs w:val="20"/>
        </w:rPr>
      </w:pPr>
      <w:r>
        <w:rPr>
          <w:sz w:val="20"/>
        </w:rPr>
        <w:t>Bien que la Namibie ait utilisé son quota actuel, elle a été contrainte de le transférer à des tiers, car 50 tonnes ne permettent pas une exploitation viable.</w:t>
      </w:r>
    </w:p>
    <w:p w14:paraId="121BE520" w14:textId="77777777" w:rsidR="00F91865" w:rsidRPr="00B83B1D" w:rsidRDefault="00F91865" w:rsidP="00F91865">
      <w:pPr>
        <w:spacing w:after="0" w:line="240" w:lineRule="auto"/>
        <w:jc w:val="both"/>
        <w:rPr>
          <w:rFonts w:eastAsia="Times New Roman" w:cs="Times New Roman"/>
          <w:sz w:val="20"/>
          <w:szCs w:val="20"/>
        </w:rPr>
      </w:pPr>
    </w:p>
    <w:p w14:paraId="5331BAD1" w14:textId="77777777" w:rsidR="00F91865" w:rsidRDefault="00F91865" w:rsidP="00F91865">
      <w:pPr>
        <w:spacing w:after="0" w:line="240" w:lineRule="auto"/>
        <w:jc w:val="both"/>
        <w:rPr>
          <w:sz w:val="20"/>
        </w:rPr>
      </w:pPr>
      <w:r>
        <w:rPr>
          <w:sz w:val="20"/>
        </w:rPr>
        <w:t>Sans quota adéquat, la Namibie ne peut pas pêcher ;</w:t>
      </w:r>
    </w:p>
    <w:p w14:paraId="35D8B4A0" w14:textId="77777777" w:rsidR="00F91865" w:rsidRDefault="00F91865" w:rsidP="00F91865">
      <w:pPr>
        <w:spacing w:after="0" w:line="240" w:lineRule="auto"/>
        <w:jc w:val="both"/>
        <w:rPr>
          <w:sz w:val="20"/>
        </w:rPr>
      </w:pPr>
      <w:r>
        <w:rPr>
          <w:sz w:val="20"/>
        </w:rPr>
        <w:t xml:space="preserve">sans pêche, elle ne peut pas démontrer l'utilisation ; </w:t>
      </w:r>
    </w:p>
    <w:p w14:paraId="559629A7" w14:textId="77777777" w:rsidR="00F91865" w:rsidRPr="00B83B1D" w:rsidRDefault="00F91865" w:rsidP="00F91865">
      <w:pPr>
        <w:spacing w:after="0" w:line="240" w:lineRule="auto"/>
        <w:jc w:val="both"/>
        <w:rPr>
          <w:rFonts w:eastAsia="Times New Roman" w:cs="Times New Roman"/>
          <w:sz w:val="20"/>
          <w:szCs w:val="20"/>
        </w:rPr>
      </w:pPr>
      <w:r>
        <w:rPr>
          <w:sz w:val="20"/>
        </w:rPr>
        <w:t>et sans pouvoir démontrer l'utilisation, elle ne peut pas demander d'augmentation.</w:t>
      </w:r>
    </w:p>
    <w:p w14:paraId="7CC8C91A" w14:textId="77777777" w:rsidR="00F91865" w:rsidRDefault="00F91865" w:rsidP="00F91865">
      <w:pPr>
        <w:spacing w:after="0" w:line="240" w:lineRule="auto"/>
        <w:jc w:val="both"/>
        <w:rPr>
          <w:rFonts w:eastAsia="Times New Roman" w:cs="Times New Roman"/>
          <w:sz w:val="20"/>
          <w:szCs w:val="20"/>
        </w:rPr>
      </w:pPr>
    </w:p>
    <w:p w14:paraId="3DD7D7B1" w14:textId="77777777" w:rsidR="00F91865" w:rsidRPr="00B83B1D" w:rsidRDefault="00F91865" w:rsidP="00F91865">
      <w:pPr>
        <w:spacing w:after="0" w:line="240" w:lineRule="auto"/>
        <w:jc w:val="both"/>
        <w:rPr>
          <w:rFonts w:eastAsia="Times New Roman" w:cs="Times New Roman"/>
          <w:sz w:val="20"/>
          <w:szCs w:val="20"/>
        </w:rPr>
      </w:pPr>
      <w:r>
        <w:rPr>
          <w:sz w:val="20"/>
        </w:rPr>
        <w:t>Cette approche perpétue les inégalités et empêche de fait les pays en développement de participer à la pêche au thon rouge.</w:t>
      </w:r>
    </w:p>
    <w:p w14:paraId="1C7A74D9" w14:textId="77777777" w:rsidR="00F91865" w:rsidRPr="00B83B1D" w:rsidRDefault="00F91865" w:rsidP="00F91865">
      <w:pPr>
        <w:spacing w:after="0" w:line="240" w:lineRule="auto"/>
        <w:jc w:val="both"/>
        <w:rPr>
          <w:rFonts w:eastAsia="Times New Roman" w:cs="Times New Roman"/>
          <w:sz w:val="20"/>
          <w:szCs w:val="20"/>
        </w:rPr>
      </w:pPr>
    </w:p>
    <w:p w14:paraId="20E1709E" w14:textId="77777777" w:rsidR="00F91865" w:rsidRPr="00B83B1D" w:rsidRDefault="00F91865" w:rsidP="00F91865">
      <w:pPr>
        <w:spacing w:after="0" w:line="240" w:lineRule="auto"/>
        <w:jc w:val="both"/>
        <w:rPr>
          <w:rFonts w:eastAsia="Times New Roman" w:cs="Times New Roman"/>
          <w:sz w:val="20"/>
          <w:szCs w:val="20"/>
        </w:rPr>
      </w:pPr>
      <w:r>
        <w:rPr>
          <w:sz w:val="20"/>
        </w:rPr>
        <w:t>De plus, le critère actuel « CPC en développement » crée des inégalités : les CPC dont les allocations sont supérieures à 1.000 tonnes reçoivent 40 tonnes, tandis que celles dont les allocations sont inférieures à 1.000 tonnes ne reçoivent que 20 tonnes. Au total, 280 tonnes sont distribuées selon ce critère, mais l'équité exigerait que ces 280 tonnes soient réparties plus équitablement entre les CPC en développement ayant des allocations minimales (« détenteurs de petits quotas»). Ce critère devrait donc être appliqué de manière uniforme, en tenant compte à la fois du stade de développement et de la capacité de pêche réelle.</w:t>
      </w:r>
    </w:p>
    <w:p w14:paraId="03AA1154" w14:textId="77777777" w:rsidR="00F91865" w:rsidRDefault="00F91865" w:rsidP="00F91865">
      <w:pPr>
        <w:spacing w:after="0" w:line="240" w:lineRule="auto"/>
        <w:jc w:val="both"/>
        <w:rPr>
          <w:rFonts w:eastAsia="Times New Roman" w:cs="Times New Roman"/>
          <w:sz w:val="20"/>
          <w:szCs w:val="20"/>
        </w:rPr>
      </w:pPr>
    </w:p>
    <w:p w14:paraId="2E677246" w14:textId="77777777" w:rsidR="00F91865" w:rsidRPr="00B83B1D" w:rsidRDefault="00F91865" w:rsidP="00F91865">
      <w:pPr>
        <w:spacing w:after="0" w:line="240" w:lineRule="auto"/>
        <w:jc w:val="both"/>
        <w:rPr>
          <w:rFonts w:eastAsia="Times New Roman" w:cs="Times New Roman"/>
          <w:sz w:val="20"/>
          <w:szCs w:val="20"/>
        </w:rPr>
      </w:pPr>
    </w:p>
    <w:p w14:paraId="5197A818" w14:textId="77777777" w:rsidR="00F91865" w:rsidRPr="00B83B1D" w:rsidRDefault="00F91865" w:rsidP="00F91865">
      <w:pPr>
        <w:tabs>
          <w:tab w:val="left" w:pos="426"/>
        </w:tabs>
        <w:spacing w:after="0" w:line="240" w:lineRule="auto"/>
        <w:jc w:val="both"/>
        <w:outlineLvl w:val="2"/>
        <w:rPr>
          <w:rFonts w:eastAsia="Times New Roman" w:cs="Times New Roman"/>
          <w:b/>
          <w:bCs/>
          <w:sz w:val="20"/>
          <w:szCs w:val="20"/>
        </w:rPr>
      </w:pPr>
      <w:r>
        <w:rPr>
          <w:b/>
          <w:sz w:val="20"/>
        </w:rPr>
        <w:t>5.</w:t>
      </w:r>
      <w:r>
        <w:rPr>
          <w:b/>
          <w:sz w:val="20"/>
        </w:rPr>
        <w:tab/>
        <w:t>Utilisation de la réserve de 1.000 tonnes</w:t>
      </w:r>
    </w:p>
    <w:p w14:paraId="42187131" w14:textId="77777777" w:rsidR="00F91865" w:rsidRPr="00B83B1D" w:rsidRDefault="00F91865" w:rsidP="00F91865">
      <w:pPr>
        <w:spacing w:after="0" w:line="240" w:lineRule="auto"/>
        <w:jc w:val="both"/>
        <w:outlineLvl w:val="2"/>
        <w:rPr>
          <w:rFonts w:eastAsia="Times New Roman" w:cs="Times New Roman"/>
          <w:b/>
          <w:bCs/>
          <w:sz w:val="20"/>
          <w:szCs w:val="20"/>
        </w:rPr>
      </w:pPr>
    </w:p>
    <w:p w14:paraId="3EBB41CA" w14:textId="77777777" w:rsidR="00F91865" w:rsidRPr="00B83B1D" w:rsidRDefault="00F91865" w:rsidP="00F91865">
      <w:pPr>
        <w:spacing w:after="0" w:line="240" w:lineRule="auto"/>
        <w:jc w:val="both"/>
        <w:rPr>
          <w:rFonts w:eastAsia="Times New Roman" w:cs="Times New Roman"/>
          <w:sz w:val="20"/>
          <w:szCs w:val="20"/>
        </w:rPr>
      </w:pPr>
      <w:r>
        <w:rPr>
          <w:sz w:val="20"/>
        </w:rPr>
        <w:t>Le système d'allocation actuel prévoit une réserve de 1.000 tonnes. La Namibie propose qu'une partie de cette réserve soit attribuée aux CPC en développement ayant des allocations minimales et présentant des plans vérifiés de développement des pêcheries dirigées.</w:t>
      </w:r>
    </w:p>
    <w:p w14:paraId="30D7A5D2" w14:textId="77777777" w:rsidR="00F91865" w:rsidRPr="00B83B1D" w:rsidRDefault="00F91865" w:rsidP="00F91865">
      <w:pPr>
        <w:spacing w:after="0" w:line="240" w:lineRule="auto"/>
        <w:jc w:val="both"/>
        <w:rPr>
          <w:rFonts w:eastAsia="Times New Roman" w:cs="Times New Roman"/>
          <w:sz w:val="20"/>
          <w:szCs w:val="20"/>
        </w:rPr>
      </w:pPr>
    </w:p>
    <w:p w14:paraId="5C012F0C" w14:textId="77777777" w:rsidR="00F91865" w:rsidRPr="00B83B1D" w:rsidRDefault="00F91865" w:rsidP="00F91865">
      <w:pPr>
        <w:spacing w:after="0" w:line="240" w:lineRule="auto"/>
        <w:jc w:val="both"/>
        <w:rPr>
          <w:rFonts w:eastAsia="Times New Roman" w:cs="Times New Roman"/>
          <w:sz w:val="20"/>
          <w:szCs w:val="20"/>
        </w:rPr>
      </w:pPr>
      <w:r>
        <w:rPr>
          <w:sz w:val="20"/>
        </w:rPr>
        <w:t>L'attribution de 600 tonnes de cette réserve à la Namibie lui permettrait de lancer une pêche responsable et traçable, pleinement conforme aux objectifs de conservation et de gestion de l’ICCAT.</w:t>
      </w:r>
    </w:p>
    <w:p w14:paraId="3476BD52" w14:textId="77777777" w:rsidR="00F91865" w:rsidRPr="00B83B1D" w:rsidRDefault="00F91865" w:rsidP="00F91865">
      <w:pPr>
        <w:spacing w:after="0" w:line="240" w:lineRule="auto"/>
        <w:jc w:val="both"/>
        <w:rPr>
          <w:rFonts w:eastAsia="Times New Roman" w:cs="Times New Roman"/>
          <w:sz w:val="20"/>
          <w:szCs w:val="20"/>
        </w:rPr>
      </w:pPr>
    </w:p>
    <w:p w14:paraId="4A49C416" w14:textId="77777777" w:rsidR="00F91865" w:rsidRPr="00B83B1D" w:rsidRDefault="00F91865" w:rsidP="00F91865">
      <w:pPr>
        <w:spacing w:after="0" w:line="240" w:lineRule="auto"/>
        <w:jc w:val="both"/>
        <w:rPr>
          <w:rFonts w:eastAsia="Times New Roman" w:cs="Times New Roman"/>
          <w:sz w:val="20"/>
          <w:szCs w:val="20"/>
        </w:rPr>
      </w:pPr>
    </w:p>
    <w:p w14:paraId="0AF45CE8" w14:textId="77777777" w:rsidR="00F91865" w:rsidRPr="00B83B1D" w:rsidRDefault="00F91865" w:rsidP="00F91865">
      <w:pPr>
        <w:tabs>
          <w:tab w:val="left" w:pos="426"/>
        </w:tabs>
        <w:spacing w:after="0" w:line="240" w:lineRule="auto"/>
        <w:jc w:val="both"/>
        <w:outlineLvl w:val="2"/>
        <w:rPr>
          <w:rFonts w:eastAsia="Times New Roman" w:cs="Times New Roman"/>
          <w:b/>
          <w:bCs/>
          <w:sz w:val="20"/>
          <w:szCs w:val="20"/>
        </w:rPr>
      </w:pPr>
      <w:r>
        <w:rPr>
          <w:b/>
          <w:sz w:val="20"/>
        </w:rPr>
        <w:t xml:space="preserve">6. </w:t>
      </w:r>
      <w:r>
        <w:rPr>
          <w:b/>
          <w:sz w:val="20"/>
        </w:rPr>
        <w:tab/>
        <w:t>Conformité avec les principes de l’ICCAT et le droit international</w:t>
      </w:r>
    </w:p>
    <w:p w14:paraId="5B9CECBF" w14:textId="77777777" w:rsidR="00F91865" w:rsidRPr="00B83B1D" w:rsidRDefault="00F91865" w:rsidP="00F91865">
      <w:pPr>
        <w:spacing w:after="0" w:line="240" w:lineRule="auto"/>
        <w:jc w:val="both"/>
        <w:outlineLvl w:val="2"/>
        <w:rPr>
          <w:rFonts w:eastAsia="Times New Roman" w:cs="Times New Roman"/>
          <w:b/>
          <w:bCs/>
          <w:sz w:val="20"/>
          <w:szCs w:val="20"/>
        </w:rPr>
      </w:pPr>
    </w:p>
    <w:p w14:paraId="2E334BA1" w14:textId="77777777" w:rsidR="00F91865" w:rsidRPr="00B83B1D" w:rsidRDefault="00F91865" w:rsidP="00F91865">
      <w:pPr>
        <w:spacing w:after="0" w:line="240" w:lineRule="auto"/>
        <w:jc w:val="both"/>
        <w:rPr>
          <w:rFonts w:eastAsia="Times New Roman" w:cs="Times New Roman"/>
          <w:sz w:val="20"/>
          <w:szCs w:val="20"/>
        </w:rPr>
      </w:pPr>
      <w:r>
        <w:rPr>
          <w:sz w:val="20"/>
        </w:rPr>
        <w:t>La proposition de la Namibie est conforme à :</w:t>
      </w:r>
    </w:p>
    <w:p w14:paraId="00E93D14" w14:textId="77777777" w:rsidR="00F91865" w:rsidRPr="00B83B1D" w:rsidRDefault="00F91865" w:rsidP="00F91865">
      <w:pPr>
        <w:spacing w:after="0" w:line="240" w:lineRule="auto"/>
        <w:jc w:val="both"/>
        <w:rPr>
          <w:rFonts w:eastAsia="Times New Roman" w:cs="Times New Roman"/>
          <w:sz w:val="20"/>
          <w:szCs w:val="20"/>
        </w:rPr>
      </w:pPr>
    </w:p>
    <w:p w14:paraId="0ED8D6B9" w14:textId="77777777" w:rsidR="00F91865" w:rsidRDefault="00F91865" w:rsidP="00F91865">
      <w:pPr>
        <w:numPr>
          <w:ilvl w:val="0"/>
          <w:numId w:val="14"/>
        </w:numPr>
        <w:spacing w:after="0" w:line="240" w:lineRule="auto"/>
        <w:jc w:val="both"/>
        <w:rPr>
          <w:rFonts w:eastAsia="Times New Roman" w:cs="Times New Roman"/>
          <w:sz w:val="20"/>
          <w:szCs w:val="20"/>
        </w:rPr>
      </w:pPr>
      <w:r>
        <w:rPr>
          <w:sz w:val="20"/>
        </w:rPr>
        <w:t>L'article 11 de l'Accord des Nations Unies sur les stocks de poissons (UNFSA), qui reconnaît le droit des États côtiers à un accès équitable aux ressources partagées ; et</w:t>
      </w:r>
    </w:p>
    <w:p w14:paraId="2FB2425D" w14:textId="77777777" w:rsidR="00F91865" w:rsidRPr="00B83B1D" w:rsidRDefault="00F91865" w:rsidP="00F91865">
      <w:pPr>
        <w:spacing w:after="0" w:line="240" w:lineRule="auto"/>
        <w:ind w:left="720"/>
        <w:jc w:val="both"/>
        <w:rPr>
          <w:rFonts w:eastAsia="Times New Roman" w:cs="Times New Roman"/>
          <w:sz w:val="20"/>
          <w:szCs w:val="20"/>
        </w:rPr>
      </w:pPr>
    </w:p>
    <w:p w14:paraId="64A8AFE1" w14:textId="77777777" w:rsidR="00F91865" w:rsidRPr="00AA7F6C" w:rsidRDefault="00F91865" w:rsidP="00F91865">
      <w:pPr>
        <w:numPr>
          <w:ilvl w:val="0"/>
          <w:numId w:val="14"/>
        </w:numPr>
        <w:spacing w:after="0" w:line="240" w:lineRule="auto"/>
        <w:jc w:val="both"/>
        <w:rPr>
          <w:rFonts w:eastAsia="Times New Roman" w:cs="Times New Roman"/>
          <w:sz w:val="20"/>
          <w:szCs w:val="20"/>
        </w:rPr>
      </w:pPr>
      <w:r w:rsidRPr="00AA7F6C">
        <w:rPr>
          <w:sz w:val="20"/>
        </w:rPr>
        <w:t xml:space="preserve">La </w:t>
      </w:r>
      <w:hyperlink r:id="rId8" w:history="1">
        <w:r w:rsidRPr="00AA7F6C">
          <w:rPr>
            <w:rStyle w:val="Hyperlink"/>
            <w:i/>
            <w:iCs/>
            <w:sz w:val="20"/>
            <w:u w:val="none"/>
          </w:rPr>
          <w:t>Résolution de l’ICCAT portant sur les critères pour l’allocation de possibilités de pêche</w:t>
        </w:r>
        <w:r w:rsidRPr="00AA7F6C">
          <w:rPr>
            <w:rStyle w:val="Hyperlink"/>
            <w:sz w:val="20"/>
            <w:u w:val="none"/>
          </w:rPr>
          <w:t xml:space="preserve"> (Rés. 15-13)</w:t>
        </w:r>
      </w:hyperlink>
      <w:r w:rsidRPr="00AA7F6C">
        <w:rPr>
          <w:sz w:val="20"/>
        </w:rPr>
        <w:t>, qui encourage la participation équitable et effective des États côtiers en développement aux pêcheries thonières.</w:t>
      </w:r>
    </w:p>
    <w:p w14:paraId="367034E0" w14:textId="77777777" w:rsidR="00F91865" w:rsidRPr="00B83B1D" w:rsidRDefault="00F91865" w:rsidP="00F91865">
      <w:pPr>
        <w:spacing w:after="0" w:line="240" w:lineRule="auto"/>
        <w:ind w:left="720"/>
        <w:jc w:val="both"/>
        <w:rPr>
          <w:rFonts w:eastAsia="Times New Roman" w:cs="Times New Roman"/>
          <w:sz w:val="20"/>
          <w:szCs w:val="20"/>
        </w:rPr>
      </w:pPr>
    </w:p>
    <w:p w14:paraId="09A9475A" w14:textId="77777777" w:rsidR="00F91865" w:rsidRPr="00B83B1D" w:rsidRDefault="00F91865" w:rsidP="00F91865">
      <w:pPr>
        <w:spacing w:after="0" w:line="240" w:lineRule="auto"/>
        <w:jc w:val="both"/>
        <w:rPr>
          <w:rFonts w:eastAsia="Times New Roman" w:cs="Times New Roman"/>
          <w:sz w:val="20"/>
          <w:szCs w:val="20"/>
        </w:rPr>
      </w:pPr>
      <w:r>
        <w:rPr>
          <w:sz w:val="20"/>
        </w:rPr>
        <w:t>Accorder à la Namibie un quota qui lui permette une participation réelle renforcerait l'équité, l'inclusivité et la crédibilité du processus d'allocation de l'ICCAT tout en préservant la durabilité du stock.</w:t>
      </w:r>
    </w:p>
    <w:p w14:paraId="3E22F03B" w14:textId="77777777" w:rsidR="00F91865" w:rsidRPr="00B83B1D" w:rsidRDefault="00F91865" w:rsidP="00F91865">
      <w:pPr>
        <w:spacing w:after="0" w:line="240" w:lineRule="auto"/>
        <w:jc w:val="both"/>
        <w:rPr>
          <w:rFonts w:eastAsia="Times New Roman" w:cs="Times New Roman"/>
          <w:sz w:val="20"/>
          <w:szCs w:val="20"/>
        </w:rPr>
      </w:pPr>
    </w:p>
    <w:p w14:paraId="5D66EB89" w14:textId="77777777" w:rsidR="00F91865" w:rsidRPr="00B83B1D" w:rsidRDefault="00F91865" w:rsidP="00F91865">
      <w:pPr>
        <w:spacing w:after="0" w:line="240" w:lineRule="auto"/>
        <w:jc w:val="both"/>
        <w:rPr>
          <w:rFonts w:eastAsia="Times New Roman" w:cs="Times New Roman"/>
          <w:sz w:val="20"/>
          <w:szCs w:val="20"/>
        </w:rPr>
      </w:pPr>
    </w:p>
    <w:p w14:paraId="5066DA62" w14:textId="77777777" w:rsidR="00F91865" w:rsidRPr="00B83B1D" w:rsidRDefault="00F91865" w:rsidP="00F91865">
      <w:pPr>
        <w:tabs>
          <w:tab w:val="left" w:pos="426"/>
        </w:tabs>
        <w:spacing w:after="0" w:line="240" w:lineRule="auto"/>
        <w:jc w:val="both"/>
        <w:outlineLvl w:val="2"/>
        <w:rPr>
          <w:rFonts w:eastAsia="Times New Roman" w:cs="Times New Roman"/>
          <w:b/>
          <w:bCs/>
          <w:sz w:val="20"/>
          <w:szCs w:val="20"/>
        </w:rPr>
      </w:pPr>
      <w:r>
        <w:rPr>
          <w:b/>
          <w:sz w:val="20"/>
        </w:rPr>
        <w:t>7.</w:t>
      </w:r>
      <w:r>
        <w:rPr>
          <w:b/>
          <w:sz w:val="20"/>
        </w:rPr>
        <w:tab/>
        <w:t>Engagement envers la durabilité et l’application</w:t>
      </w:r>
    </w:p>
    <w:p w14:paraId="14D4C5DC" w14:textId="77777777" w:rsidR="00F91865" w:rsidRPr="00B83B1D" w:rsidRDefault="00F91865" w:rsidP="00F91865">
      <w:pPr>
        <w:spacing w:after="0" w:line="240" w:lineRule="auto"/>
        <w:jc w:val="both"/>
        <w:outlineLvl w:val="2"/>
        <w:rPr>
          <w:rFonts w:eastAsia="Times New Roman" w:cs="Times New Roman"/>
          <w:b/>
          <w:bCs/>
          <w:sz w:val="20"/>
          <w:szCs w:val="20"/>
        </w:rPr>
      </w:pPr>
    </w:p>
    <w:p w14:paraId="41B73DBF" w14:textId="77777777" w:rsidR="00F91865" w:rsidRDefault="00F91865" w:rsidP="00F91865">
      <w:pPr>
        <w:spacing w:after="0" w:line="240" w:lineRule="auto"/>
        <w:jc w:val="both"/>
        <w:rPr>
          <w:sz w:val="20"/>
        </w:rPr>
      </w:pPr>
      <w:r>
        <w:rPr>
          <w:sz w:val="20"/>
        </w:rPr>
        <w:t>La Namibie réaffirme son engagement total envers toutes les mesures de conservation et de contrôle de l’ICCAT, notamment :</w:t>
      </w:r>
    </w:p>
    <w:p w14:paraId="2DC8A466" w14:textId="77777777" w:rsidR="00F91865" w:rsidRPr="00B83B1D" w:rsidRDefault="00F91865" w:rsidP="00F91865">
      <w:pPr>
        <w:spacing w:after="0" w:line="240" w:lineRule="auto"/>
        <w:jc w:val="both"/>
        <w:rPr>
          <w:rFonts w:eastAsia="Times New Roman" w:cs="Times New Roman"/>
          <w:sz w:val="20"/>
          <w:szCs w:val="20"/>
        </w:rPr>
      </w:pPr>
    </w:p>
    <w:p w14:paraId="0557B8FF" w14:textId="77777777" w:rsidR="00F91865" w:rsidRPr="00B83B1D" w:rsidRDefault="00F91865" w:rsidP="00F91865">
      <w:pPr>
        <w:numPr>
          <w:ilvl w:val="0"/>
          <w:numId w:val="15"/>
        </w:numPr>
        <w:spacing w:after="0" w:line="240" w:lineRule="auto"/>
        <w:jc w:val="both"/>
        <w:rPr>
          <w:rFonts w:eastAsia="Times New Roman" w:cs="Times New Roman"/>
          <w:sz w:val="20"/>
          <w:szCs w:val="20"/>
        </w:rPr>
      </w:pPr>
      <w:r>
        <w:rPr>
          <w:sz w:val="20"/>
        </w:rPr>
        <w:t>Traçabilité électronique,</w:t>
      </w:r>
    </w:p>
    <w:p w14:paraId="1160BD3F" w14:textId="77777777" w:rsidR="00F91865" w:rsidRPr="00B83B1D" w:rsidRDefault="00F91865" w:rsidP="00F91865">
      <w:pPr>
        <w:numPr>
          <w:ilvl w:val="0"/>
          <w:numId w:val="15"/>
        </w:numPr>
        <w:spacing w:after="0" w:line="240" w:lineRule="auto"/>
        <w:jc w:val="both"/>
        <w:rPr>
          <w:rFonts w:eastAsia="Times New Roman" w:cs="Times New Roman"/>
          <w:sz w:val="20"/>
          <w:szCs w:val="20"/>
        </w:rPr>
      </w:pPr>
      <w:r>
        <w:rPr>
          <w:sz w:val="20"/>
        </w:rPr>
        <w:t>Surveillance VMS,</w:t>
      </w:r>
    </w:p>
    <w:p w14:paraId="4748CC9D" w14:textId="77777777" w:rsidR="00F91865" w:rsidRPr="00B83B1D" w:rsidRDefault="00F91865" w:rsidP="00F91865">
      <w:pPr>
        <w:numPr>
          <w:ilvl w:val="0"/>
          <w:numId w:val="15"/>
        </w:numPr>
        <w:spacing w:after="0" w:line="240" w:lineRule="auto"/>
        <w:jc w:val="both"/>
        <w:rPr>
          <w:rFonts w:eastAsia="Times New Roman" w:cs="Times New Roman"/>
          <w:sz w:val="20"/>
          <w:szCs w:val="20"/>
        </w:rPr>
      </w:pPr>
      <w:r>
        <w:rPr>
          <w:sz w:val="20"/>
        </w:rPr>
        <w:t>Déclaration en temps opportun, et</w:t>
      </w:r>
    </w:p>
    <w:p w14:paraId="4EDE7BC0" w14:textId="77777777" w:rsidR="00F91865" w:rsidRPr="00B83B1D" w:rsidRDefault="00F91865" w:rsidP="00F91865">
      <w:pPr>
        <w:numPr>
          <w:ilvl w:val="0"/>
          <w:numId w:val="15"/>
        </w:numPr>
        <w:spacing w:after="0" w:line="240" w:lineRule="auto"/>
        <w:jc w:val="both"/>
        <w:rPr>
          <w:rFonts w:eastAsia="Times New Roman" w:cs="Times New Roman"/>
          <w:sz w:val="20"/>
          <w:szCs w:val="20"/>
        </w:rPr>
      </w:pPr>
      <w:r>
        <w:rPr>
          <w:sz w:val="20"/>
        </w:rPr>
        <w:t>Respect des exigences en matière d'inspection et d'observateurs</w:t>
      </w:r>
    </w:p>
    <w:p w14:paraId="6D3BF8EE" w14:textId="77777777" w:rsidR="00F91865" w:rsidRPr="00B83B1D" w:rsidRDefault="00F91865" w:rsidP="00F91865">
      <w:pPr>
        <w:tabs>
          <w:tab w:val="left" w:pos="426"/>
        </w:tabs>
        <w:spacing w:after="0" w:line="240" w:lineRule="auto"/>
        <w:jc w:val="both"/>
        <w:outlineLvl w:val="2"/>
        <w:rPr>
          <w:rFonts w:eastAsia="Times New Roman" w:cs="Times New Roman"/>
          <w:b/>
          <w:bCs/>
          <w:sz w:val="20"/>
          <w:szCs w:val="20"/>
        </w:rPr>
      </w:pPr>
      <w:r>
        <w:rPr>
          <w:b/>
          <w:sz w:val="20"/>
        </w:rPr>
        <w:lastRenderedPageBreak/>
        <w:t>8.</w:t>
      </w:r>
      <w:r>
        <w:rPr>
          <w:b/>
          <w:sz w:val="20"/>
        </w:rPr>
        <w:tab/>
        <w:t>Conclusion</w:t>
      </w:r>
    </w:p>
    <w:p w14:paraId="30C9C30A" w14:textId="77777777" w:rsidR="00F91865" w:rsidRPr="00B83B1D" w:rsidRDefault="00F91865" w:rsidP="00F91865">
      <w:pPr>
        <w:spacing w:after="0" w:line="240" w:lineRule="auto"/>
        <w:jc w:val="both"/>
        <w:outlineLvl w:val="2"/>
        <w:rPr>
          <w:rFonts w:eastAsia="Times New Roman" w:cs="Times New Roman"/>
          <w:b/>
          <w:bCs/>
          <w:sz w:val="20"/>
          <w:szCs w:val="20"/>
        </w:rPr>
      </w:pPr>
    </w:p>
    <w:p w14:paraId="474C24C8" w14:textId="77777777" w:rsidR="00F91865" w:rsidRDefault="00F91865" w:rsidP="00F91865">
      <w:pPr>
        <w:spacing w:after="0" w:line="240" w:lineRule="auto"/>
        <w:jc w:val="both"/>
        <w:rPr>
          <w:rFonts w:eastAsia="Times New Roman" w:cs="Times New Roman"/>
          <w:sz w:val="20"/>
          <w:szCs w:val="20"/>
        </w:rPr>
      </w:pPr>
      <w:r>
        <w:rPr>
          <w:sz w:val="20"/>
        </w:rPr>
        <w:t>La Namibie demande respectueusement que son quota de thon rouge de l'Atlantique Est et de la Méditerranée soit porté à 600 tonnes. Ce niveau représente le minimum nécessaire pour établir une pêche dirigée viable, durable et entièrement contrôlée.</w:t>
      </w:r>
    </w:p>
    <w:p w14:paraId="4F2BF7CE" w14:textId="77777777" w:rsidR="00F91865" w:rsidRPr="00B83B1D" w:rsidRDefault="00F91865" w:rsidP="00F91865">
      <w:pPr>
        <w:spacing w:after="0" w:line="240" w:lineRule="auto"/>
        <w:jc w:val="both"/>
        <w:rPr>
          <w:rFonts w:eastAsia="Times New Roman" w:cs="Times New Roman"/>
          <w:sz w:val="20"/>
          <w:szCs w:val="20"/>
        </w:rPr>
      </w:pPr>
    </w:p>
    <w:p w14:paraId="64CE69EF" w14:textId="77777777" w:rsidR="00F91865" w:rsidRPr="00B83B1D" w:rsidRDefault="00F91865" w:rsidP="00F91865">
      <w:pPr>
        <w:spacing w:after="0" w:line="240" w:lineRule="auto"/>
        <w:jc w:val="both"/>
        <w:rPr>
          <w:rFonts w:eastAsia="Times New Roman" w:cs="Times New Roman"/>
          <w:sz w:val="20"/>
          <w:szCs w:val="20"/>
        </w:rPr>
      </w:pPr>
      <w:r>
        <w:rPr>
          <w:sz w:val="20"/>
        </w:rPr>
        <w:t>Le maintien du « ratio d'utilisation » pénalise les pays en développement et les empêche de participer efficacement à la gestion de cette ressource.</w:t>
      </w:r>
    </w:p>
    <w:p w14:paraId="5DC2D655" w14:textId="77777777" w:rsidR="00F91865" w:rsidRPr="00B83B1D" w:rsidRDefault="00F91865" w:rsidP="00F91865">
      <w:pPr>
        <w:spacing w:after="0" w:line="240" w:lineRule="auto"/>
        <w:jc w:val="both"/>
        <w:rPr>
          <w:rFonts w:eastAsia="Times New Roman" w:cs="Times New Roman"/>
          <w:sz w:val="20"/>
          <w:szCs w:val="20"/>
        </w:rPr>
      </w:pPr>
    </w:p>
    <w:p w14:paraId="16A552EC" w14:textId="77777777" w:rsidR="00F91865" w:rsidRPr="00B83B1D" w:rsidRDefault="00F91865" w:rsidP="00F91865">
      <w:pPr>
        <w:spacing w:after="0" w:line="240" w:lineRule="auto"/>
        <w:jc w:val="both"/>
        <w:rPr>
          <w:rFonts w:eastAsia="Times New Roman" w:cs="Times New Roman"/>
          <w:sz w:val="20"/>
          <w:szCs w:val="20"/>
        </w:rPr>
      </w:pPr>
      <w:r>
        <w:rPr>
          <w:sz w:val="20"/>
        </w:rPr>
        <w:t>L'octroi de ce quota à la Namibie contribuerait à une répartition plus équitable des possibilités de pêche, renforcerait la durabilité et améliorerait la légitimité du processus décisionnel de l’ICCAT.</w:t>
      </w:r>
    </w:p>
    <w:p w14:paraId="3CA9B83D" w14:textId="77777777" w:rsidR="00B83B1D" w:rsidRDefault="00B83B1D" w:rsidP="002C5187">
      <w:pPr>
        <w:spacing w:after="0" w:line="240" w:lineRule="auto"/>
        <w:jc w:val="both"/>
        <w:rPr>
          <w:rFonts w:eastAsia="Times New Roman" w:cs="Times New Roman"/>
          <w:sz w:val="20"/>
          <w:szCs w:val="20"/>
        </w:rPr>
      </w:pPr>
    </w:p>
    <w:sectPr w:rsidR="00B83B1D" w:rsidSect="002C5187">
      <w:headerReference w:type="default" r:id="rId9"/>
      <w:footerReference w:type="default" r:id="rId10"/>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8556B" w14:textId="77777777" w:rsidR="00E12B2A" w:rsidRDefault="00E12B2A" w:rsidP="00C15DDE">
      <w:pPr>
        <w:spacing w:after="0" w:line="240" w:lineRule="auto"/>
      </w:pPr>
      <w:r>
        <w:separator/>
      </w:r>
    </w:p>
  </w:endnote>
  <w:endnote w:type="continuationSeparator" w:id="0">
    <w:p w14:paraId="1522501A" w14:textId="77777777" w:rsidR="00E12B2A" w:rsidRDefault="00E12B2A" w:rsidP="00C15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1047" w14:textId="687115B8" w:rsidR="00B83B1D" w:rsidRPr="00B83B1D" w:rsidRDefault="00F91865" w:rsidP="00B83B1D">
    <w:pPr>
      <w:tabs>
        <w:tab w:val="center" w:pos="4535"/>
        <w:tab w:val="center" w:pos="4680"/>
        <w:tab w:val="left" w:pos="6150"/>
        <w:tab w:val="right" w:pos="9360"/>
      </w:tabs>
      <w:spacing w:after="0" w:line="240" w:lineRule="auto"/>
      <w:jc w:val="center"/>
      <w:rPr>
        <w:rFonts w:ascii="Cambria" w:hAnsi="Cambria"/>
        <w:sz w:val="20"/>
        <w:szCs w:val="20"/>
      </w:rPr>
    </w:pPr>
    <w:sdt>
      <w:sdtPr>
        <w:rPr>
          <w:sz w:val="20"/>
          <w:szCs w:val="20"/>
        </w:rPr>
        <w:id w:val="-883554115"/>
        <w:docPartObj>
          <w:docPartGallery w:val="Page Numbers (Top of Page)"/>
          <w:docPartUnique/>
        </w:docPartObj>
      </w:sdtPr>
      <w:sdtEndPr/>
      <w:sdtContent>
        <w:r w:rsidR="00B83B1D" w:rsidRPr="00AD5CF4">
          <w:rPr>
            <w:rFonts w:ascii="Cambria" w:hAnsi="Cambria"/>
            <w:sz w:val="20"/>
          </w:rPr>
          <w:fldChar w:fldCharType="begin"/>
        </w:r>
        <w:r w:rsidR="00B83B1D" w:rsidRPr="00AD5CF4">
          <w:rPr>
            <w:rFonts w:ascii="Cambria" w:hAnsi="Cambria"/>
            <w:sz w:val="20"/>
          </w:rPr>
          <w:instrText xml:space="preserve"> PAGE </w:instrText>
        </w:r>
        <w:r w:rsidR="00B83B1D" w:rsidRPr="00AD5CF4">
          <w:rPr>
            <w:rFonts w:ascii="Cambria" w:hAnsi="Cambria"/>
            <w:sz w:val="20"/>
          </w:rPr>
          <w:fldChar w:fldCharType="separate"/>
        </w:r>
        <w:r w:rsidR="00B83B1D">
          <w:rPr>
            <w:rFonts w:ascii="Cambria" w:hAnsi="Cambria"/>
            <w:sz w:val="20"/>
          </w:rPr>
          <w:t>1</w:t>
        </w:r>
        <w:r w:rsidR="00B83B1D" w:rsidRPr="00AD5CF4">
          <w:rPr>
            <w:rFonts w:ascii="Cambria" w:hAnsi="Cambria"/>
            <w:sz w:val="20"/>
          </w:rPr>
          <w:fldChar w:fldCharType="end"/>
        </w:r>
        <w:r w:rsidR="007A5465">
          <w:rPr>
            <w:rFonts w:ascii="Cambria" w:hAnsi="Cambria"/>
            <w:sz w:val="20"/>
          </w:rPr>
          <w:t xml:space="preserve"> / </w:t>
        </w:r>
        <w:r w:rsidR="00B83B1D" w:rsidRPr="00AD5CF4">
          <w:rPr>
            <w:rFonts w:ascii="Cambria" w:hAnsi="Cambria"/>
            <w:sz w:val="20"/>
          </w:rPr>
          <w:fldChar w:fldCharType="begin"/>
        </w:r>
        <w:r w:rsidR="00B83B1D" w:rsidRPr="00AD5CF4">
          <w:rPr>
            <w:rFonts w:ascii="Cambria" w:hAnsi="Cambria"/>
            <w:sz w:val="20"/>
          </w:rPr>
          <w:instrText xml:space="preserve"> NUMPAGES  </w:instrText>
        </w:r>
        <w:r w:rsidR="00B83B1D" w:rsidRPr="00AD5CF4">
          <w:rPr>
            <w:rFonts w:ascii="Cambria" w:hAnsi="Cambria"/>
            <w:sz w:val="20"/>
          </w:rPr>
          <w:fldChar w:fldCharType="separate"/>
        </w:r>
        <w:r w:rsidR="00B83B1D">
          <w:rPr>
            <w:rFonts w:ascii="Cambria" w:hAnsi="Cambria"/>
            <w:sz w:val="20"/>
          </w:rPr>
          <w:t>2</w:t>
        </w:r>
        <w:r w:rsidR="00B83B1D" w:rsidRPr="00AD5CF4">
          <w:rPr>
            <w:rFonts w:ascii="Cambria" w:hAnsi="Cambria"/>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6E7A" w14:textId="77777777" w:rsidR="00E12B2A" w:rsidRDefault="00E12B2A" w:rsidP="00C15DDE">
      <w:pPr>
        <w:spacing w:after="0" w:line="240" w:lineRule="auto"/>
      </w:pPr>
      <w:r>
        <w:separator/>
      </w:r>
    </w:p>
  </w:footnote>
  <w:footnote w:type="continuationSeparator" w:id="0">
    <w:p w14:paraId="25AC860D" w14:textId="77777777" w:rsidR="00E12B2A" w:rsidRDefault="00E12B2A" w:rsidP="00C15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512B" w14:textId="6A8072F9" w:rsidR="00C15DDE" w:rsidRPr="00C15DDE" w:rsidRDefault="00C15DDE" w:rsidP="00C15DDE">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Times New Roman"/>
        <w:b/>
        <w:bCs/>
        <w:sz w:val="20"/>
        <w:szCs w:val="20"/>
      </w:rPr>
    </w:pPr>
    <w:r>
      <w:rPr>
        <w:rFonts w:ascii="Cambria" w:hAnsi="Cambria"/>
        <w:b/>
        <w:sz w:val="20"/>
      </w:rPr>
      <w:t>PA2_624/2025</w:t>
    </w:r>
  </w:p>
  <w:p w14:paraId="10AB800B" w14:textId="2FD5DA2C" w:rsidR="00C15DDE" w:rsidRDefault="00C15DDE" w:rsidP="002C5187">
    <w:pPr>
      <w:widowControl w:val="0"/>
      <w:tabs>
        <w:tab w:val="left" w:pos="7320"/>
      </w:tabs>
      <w:autoSpaceDE w:val="0"/>
      <w:autoSpaceDN w:val="0"/>
      <w:spacing w:after="0" w:line="240" w:lineRule="exact"/>
      <w:jc w:val="right"/>
    </w:pPr>
    <w:r w:rsidRPr="00C15DDE">
      <w:rPr>
        <w:rFonts w:ascii="Cambria" w:eastAsia="Times New Roman" w:hAnsi="Cambria" w:cs="Times New Roman"/>
        <w:b/>
        <w:sz w:val="16"/>
      </w:rPr>
      <w:fldChar w:fldCharType="begin"/>
    </w:r>
    <w:r w:rsidRPr="00C15DDE">
      <w:rPr>
        <w:rFonts w:ascii="Cambria" w:eastAsia="Times New Roman" w:hAnsi="Cambria" w:cs="Times New Roman"/>
        <w:b/>
        <w:sz w:val="16"/>
      </w:rPr>
      <w:instrText xml:space="preserve"> TIME \@ "dd/MM/yyyy H:mm" </w:instrText>
    </w:r>
    <w:r w:rsidRPr="00C15DDE">
      <w:rPr>
        <w:rFonts w:ascii="Cambria" w:eastAsia="Times New Roman" w:hAnsi="Cambria" w:cs="Times New Roman"/>
        <w:b/>
        <w:sz w:val="16"/>
      </w:rPr>
      <w:fldChar w:fldCharType="separate"/>
    </w:r>
    <w:r w:rsidR="000E4A05">
      <w:rPr>
        <w:rFonts w:ascii="Cambria" w:eastAsia="Times New Roman" w:hAnsi="Cambria" w:cs="Times New Roman"/>
        <w:b/>
        <w:noProof/>
        <w:sz w:val="16"/>
      </w:rPr>
      <w:t>15/11/2025 18:51</w:t>
    </w:r>
    <w:r w:rsidRPr="00C15DDE">
      <w:rPr>
        <w:rFonts w:ascii="Cambria" w:eastAsia="Times New Roman" w:hAnsi="Cambria" w:cs="Times New Roman"/>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542793"/>
    <w:multiLevelType w:val="multilevel"/>
    <w:tmpl w:val="DB66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03543"/>
    <w:multiLevelType w:val="multilevel"/>
    <w:tmpl w:val="7DE6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F0B74"/>
    <w:multiLevelType w:val="multilevel"/>
    <w:tmpl w:val="1C44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2F3EEF"/>
    <w:multiLevelType w:val="multilevel"/>
    <w:tmpl w:val="3B14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834C6B"/>
    <w:multiLevelType w:val="multilevel"/>
    <w:tmpl w:val="5130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AF4A54"/>
    <w:multiLevelType w:val="multilevel"/>
    <w:tmpl w:val="BA02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970657">
    <w:abstractNumId w:val="8"/>
  </w:num>
  <w:num w:numId="2" w16cid:durableId="1483501225">
    <w:abstractNumId w:val="6"/>
  </w:num>
  <w:num w:numId="3" w16cid:durableId="761603196">
    <w:abstractNumId w:val="5"/>
  </w:num>
  <w:num w:numId="4" w16cid:durableId="1134522328">
    <w:abstractNumId w:val="4"/>
  </w:num>
  <w:num w:numId="5" w16cid:durableId="226041354">
    <w:abstractNumId w:val="7"/>
  </w:num>
  <w:num w:numId="6" w16cid:durableId="1723090413">
    <w:abstractNumId w:val="3"/>
  </w:num>
  <w:num w:numId="7" w16cid:durableId="174656395">
    <w:abstractNumId w:val="2"/>
  </w:num>
  <w:num w:numId="8" w16cid:durableId="1491866679">
    <w:abstractNumId w:val="1"/>
  </w:num>
  <w:num w:numId="9" w16cid:durableId="616185326">
    <w:abstractNumId w:val="0"/>
  </w:num>
  <w:num w:numId="10" w16cid:durableId="1836259012">
    <w:abstractNumId w:val="12"/>
  </w:num>
  <w:num w:numId="11" w16cid:durableId="1971473985">
    <w:abstractNumId w:val="13"/>
  </w:num>
  <w:num w:numId="12" w16cid:durableId="529537447">
    <w:abstractNumId w:val="14"/>
  </w:num>
  <w:num w:numId="13" w16cid:durableId="296683705">
    <w:abstractNumId w:val="10"/>
  </w:num>
  <w:num w:numId="14" w16cid:durableId="438835570">
    <w:abstractNumId w:val="9"/>
  </w:num>
  <w:num w:numId="15" w16cid:durableId="1928874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4A05"/>
    <w:rsid w:val="000F7839"/>
    <w:rsid w:val="0015074B"/>
    <w:rsid w:val="00204B92"/>
    <w:rsid w:val="0029639D"/>
    <w:rsid w:val="002C5187"/>
    <w:rsid w:val="00326F90"/>
    <w:rsid w:val="00380A0B"/>
    <w:rsid w:val="003B55CC"/>
    <w:rsid w:val="003E4C22"/>
    <w:rsid w:val="00456339"/>
    <w:rsid w:val="004A1FD0"/>
    <w:rsid w:val="0058596C"/>
    <w:rsid w:val="00704A50"/>
    <w:rsid w:val="007A5465"/>
    <w:rsid w:val="007A7809"/>
    <w:rsid w:val="00937451"/>
    <w:rsid w:val="0098712B"/>
    <w:rsid w:val="009C17B2"/>
    <w:rsid w:val="00A6264D"/>
    <w:rsid w:val="00AA1D8D"/>
    <w:rsid w:val="00AE55CB"/>
    <w:rsid w:val="00B04EDB"/>
    <w:rsid w:val="00B47730"/>
    <w:rsid w:val="00B83B1D"/>
    <w:rsid w:val="00BC0455"/>
    <w:rsid w:val="00BD6211"/>
    <w:rsid w:val="00C02495"/>
    <w:rsid w:val="00C15DDE"/>
    <w:rsid w:val="00C23542"/>
    <w:rsid w:val="00C357E5"/>
    <w:rsid w:val="00C91A3D"/>
    <w:rsid w:val="00CB0664"/>
    <w:rsid w:val="00D15228"/>
    <w:rsid w:val="00E12B2A"/>
    <w:rsid w:val="00E4688E"/>
    <w:rsid w:val="00EF1BB5"/>
    <w:rsid w:val="00F9186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F84F78"/>
  <w14:defaultImageDpi w14:val="300"/>
  <w15:docId w15:val="{DE94420C-2FBD-2E48-BFFB-2923BF52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37451"/>
    <w:rPr>
      <w:rFonts w:ascii="Times New Roman" w:hAnsi="Times New Roman" w:cs="Times New Roman"/>
      <w:sz w:val="24"/>
      <w:szCs w:val="24"/>
    </w:rPr>
  </w:style>
  <w:style w:type="character" w:styleId="Hyperlink">
    <w:name w:val="Hyperlink"/>
    <w:basedOn w:val="DefaultParagraphFont"/>
    <w:uiPriority w:val="99"/>
    <w:unhideWhenUsed/>
    <w:rsid w:val="00F918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8104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15-13-f.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Christine Peyre</cp:lastModifiedBy>
  <cp:revision>17</cp:revision>
  <dcterms:created xsi:type="dcterms:W3CDTF">2025-11-15T17:17:00Z</dcterms:created>
  <dcterms:modified xsi:type="dcterms:W3CDTF">2025-11-15T18:03:00Z</dcterms:modified>
  <cp:category/>
</cp:coreProperties>
</file>