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9D597" w14:textId="77777777" w:rsidR="00D26D55" w:rsidRPr="007E4F8F" w:rsidRDefault="00D26D55" w:rsidP="00D26D55">
      <w:pPr>
        <w:ind w:left="487" w:right="392"/>
        <w:jc w:val="center"/>
        <w:rPr>
          <w:b/>
          <w:sz w:val="20"/>
          <w:szCs w:val="20"/>
        </w:rPr>
      </w:pPr>
      <w:r>
        <w:rPr>
          <w:b/>
          <w:sz w:val="20"/>
        </w:rPr>
        <w:t>Portada para acompañar nuevas propuestas</w:t>
      </w:r>
    </w:p>
    <w:p w14:paraId="4553E270" w14:textId="28DC7328" w:rsidR="00D26D55" w:rsidRPr="007E4F8F" w:rsidRDefault="009810A1" w:rsidP="00D26D55">
      <w:pPr>
        <w:jc w:val="center"/>
        <w:rPr>
          <w:i/>
          <w:iCs/>
          <w:sz w:val="20"/>
          <w:szCs w:val="20"/>
        </w:rPr>
      </w:pPr>
      <w:r>
        <w:rPr>
          <w:i/>
          <w:sz w:val="20"/>
        </w:rPr>
        <w:t>(Documento presentado por Estados Unidos)</w:t>
      </w:r>
    </w:p>
    <w:p w14:paraId="3E22C1B2" w14:textId="77777777" w:rsidR="00D26D55" w:rsidRPr="00FD67D7" w:rsidRDefault="00D26D55" w:rsidP="00D26D55">
      <w:pPr>
        <w:jc w:val="center"/>
        <w:rPr>
          <w:sz w:val="20"/>
          <w:szCs w:val="20"/>
        </w:rPr>
      </w:pPr>
    </w:p>
    <w:p w14:paraId="566DAFCA" w14:textId="77777777" w:rsidR="00D26D55" w:rsidRPr="007E4F8F" w:rsidRDefault="00D26D55" w:rsidP="00D26D55">
      <w:pPr>
        <w:pStyle w:val="BodyText"/>
        <w:rPr>
          <w:b/>
        </w:rPr>
      </w:pPr>
    </w:p>
    <w:p w14:paraId="48FDC853" w14:textId="77777777" w:rsidR="00D26D55" w:rsidRPr="008C1AF8" w:rsidRDefault="00D26D55" w:rsidP="00D26D55">
      <w:pPr>
        <w:jc w:val="both"/>
        <w:rPr>
          <w:sz w:val="20"/>
          <w:szCs w:val="20"/>
        </w:rPr>
      </w:pPr>
      <w:r>
        <w:rPr>
          <w:b/>
          <w:sz w:val="20"/>
        </w:rPr>
        <w:t xml:space="preserve">Título de la propuesta de Proyecto de Recomendación/Resolución: </w:t>
      </w:r>
      <w:r>
        <w:rPr>
          <w:color w:val="FF0000"/>
          <w:sz w:val="20"/>
        </w:rPr>
        <w:t>Proyecto de Recomendación de ICCAT que enmienda la Recomendación 22-10 y la Recomendación 24-05.</w:t>
      </w:r>
    </w:p>
    <w:p w14:paraId="4AFB003A" w14:textId="77777777" w:rsidR="00D26D55" w:rsidRPr="008C1AF8" w:rsidRDefault="00D26D55" w:rsidP="00D26D55">
      <w:pPr>
        <w:ind w:left="318"/>
        <w:jc w:val="both"/>
        <w:rPr>
          <w:sz w:val="20"/>
          <w:szCs w:val="20"/>
        </w:rPr>
      </w:pPr>
    </w:p>
    <w:p w14:paraId="1A449660" w14:textId="75A3FEC7" w:rsidR="00D26D55" w:rsidRPr="008C1AF8" w:rsidRDefault="00D26D55" w:rsidP="00D26D55">
      <w:pPr>
        <w:jc w:val="both"/>
        <w:rPr>
          <w:sz w:val="20"/>
          <w:szCs w:val="20"/>
        </w:rPr>
      </w:pPr>
      <w:r>
        <w:rPr>
          <w:b/>
          <w:sz w:val="20"/>
        </w:rPr>
        <w:t xml:space="preserve">Título de la(s) recomendación(es) o resolución(es) actualmente vigente(s) que aborda(n) la misma cuestión o cuestiones relacionadas: </w:t>
      </w:r>
      <w:r>
        <w:rPr>
          <w:color w:val="FF0000"/>
          <w:sz w:val="20"/>
        </w:rPr>
        <w:t>Recomendación 22-10 (plan de ordenación de BFT</w:t>
      </w:r>
      <w:r w:rsidR="005A7A2D">
        <w:rPr>
          <w:color w:val="FF0000"/>
          <w:sz w:val="20"/>
        </w:rPr>
        <w:t>-</w:t>
      </w:r>
      <w:r>
        <w:rPr>
          <w:color w:val="FF0000"/>
          <w:sz w:val="20"/>
        </w:rPr>
        <w:t>W) y Recomendación 24-05 (plan de ordenación de BFT</w:t>
      </w:r>
      <w:r w:rsidR="005A7A2D">
        <w:rPr>
          <w:color w:val="FF0000"/>
          <w:sz w:val="20"/>
        </w:rPr>
        <w:t>-</w:t>
      </w:r>
      <w:r>
        <w:rPr>
          <w:color w:val="FF0000"/>
          <w:sz w:val="20"/>
        </w:rPr>
        <w:t>E)</w:t>
      </w:r>
    </w:p>
    <w:p w14:paraId="5449AA87" w14:textId="77777777" w:rsidR="00D26D55" w:rsidRDefault="00D26D55" w:rsidP="00D26D55">
      <w:pPr>
        <w:ind w:left="318"/>
        <w:jc w:val="both"/>
        <w:rPr>
          <w:sz w:val="20"/>
          <w:szCs w:val="20"/>
        </w:rPr>
      </w:pPr>
    </w:p>
    <w:p w14:paraId="291FEC17" w14:textId="77777777" w:rsidR="00D26D55" w:rsidRPr="00170F5F" w:rsidRDefault="00D26D55" w:rsidP="00D26D55">
      <w:pPr>
        <w:ind w:left="318"/>
        <w:jc w:val="both"/>
        <w:rPr>
          <w:rFonts w:asciiTheme="majorHAnsi" w:hAnsiTheme="majorHAnsi"/>
          <w:sz w:val="20"/>
          <w:szCs w:val="20"/>
        </w:rPr>
      </w:pPr>
    </w:p>
    <w:p w14:paraId="28CAC855" w14:textId="77777777" w:rsidR="006038B4" w:rsidRPr="006C21D8" w:rsidRDefault="00D26D55" w:rsidP="006038B4">
      <w:pPr>
        <w:pStyle w:val="ListParagraph"/>
        <w:numPr>
          <w:ilvl w:val="0"/>
          <w:numId w:val="4"/>
        </w:numPr>
        <w:ind w:left="426" w:hanging="426"/>
        <w:jc w:val="both"/>
        <w:rPr>
          <w:sz w:val="20"/>
          <w:szCs w:val="20"/>
        </w:rPr>
      </w:pPr>
      <w:r w:rsidRPr="00170F5F">
        <w:rPr>
          <w:rFonts w:asciiTheme="majorHAnsi" w:hAnsiTheme="majorHAnsi"/>
          <w:sz w:val="20"/>
        </w:rPr>
        <w:t>¿Crea nuevas obligaciones de comunicación para las CPC?     Sí</w:t>
      </w:r>
      <w:r w:rsidRPr="00170F5F">
        <w:rPr>
          <w:rFonts w:asciiTheme="majorHAnsi" w:hAnsiTheme="majorHAnsi"/>
          <w:sz w:val="20"/>
        </w:rPr>
        <w:t></w:t>
      </w:r>
      <w:proofErr w:type="gramStart"/>
      <w:r w:rsidRPr="00170F5F">
        <w:rPr>
          <w:rFonts w:asciiTheme="majorHAnsi" w:hAnsiTheme="majorHAnsi"/>
          <w:sz w:val="20"/>
        </w:rPr>
        <w:tab/>
        <w:t xml:space="preserve">  </w:t>
      </w:r>
      <w:r w:rsidRPr="00170F5F">
        <w:rPr>
          <w:rFonts w:asciiTheme="majorHAnsi" w:hAnsiTheme="majorHAnsi"/>
          <w:color w:val="EE0000"/>
          <w:sz w:val="20"/>
        </w:rPr>
        <w:t>No</w:t>
      </w:r>
      <w:proofErr w:type="gramEnd"/>
      <w:r w:rsidRPr="00170F5F">
        <w:rPr>
          <w:rFonts w:asciiTheme="majorHAnsi" w:hAnsiTheme="majorHAnsi"/>
          <w:color w:val="EE0000"/>
          <w:sz w:val="20"/>
        </w:rPr>
        <w:t xml:space="preserve"> </w:t>
      </w:r>
      <w:r w:rsidR="006038B4" w:rsidRPr="006C21D8">
        <w:rPr>
          <w:rFonts w:ascii="Wingdings" w:hAnsi="Wingdings"/>
          <w:color w:val="EE0000"/>
          <w:spacing w:val="-2"/>
          <w:sz w:val="20"/>
          <w:szCs w:val="20"/>
        </w:rPr>
        <w:t>x</w:t>
      </w:r>
    </w:p>
    <w:p w14:paraId="67378196" w14:textId="06742386" w:rsidR="00B96B17" w:rsidRPr="00170F5F" w:rsidRDefault="00B96B17" w:rsidP="006038B4">
      <w:pPr>
        <w:pStyle w:val="ListParagraph"/>
        <w:ind w:left="426" w:firstLine="0"/>
        <w:jc w:val="both"/>
        <w:rPr>
          <w:rFonts w:asciiTheme="majorHAnsi" w:hAnsiTheme="majorHAnsi"/>
          <w:sz w:val="20"/>
          <w:szCs w:val="20"/>
        </w:rPr>
      </w:pPr>
    </w:p>
    <w:p w14:paraId="45EE2D60" w14:textId="57734629" w:rsidR="00D26D55" w:rsidRPr="00170F5F" w:rsidRDefault="00D26D55" w:rsidP="007F52F0">
      <w:pPr>
        <w:pStyle w:val="ListParagraph"/>
        <w:ind w:left="426" w:hanging="426"/>
        <w:jc w:val="both"/>
        <w:rPr>
          <w:rFonts w:asciiTheme="majorHAnsi" w:hAnsiTheme="majorHAnsi"/>
        </w:rPr>
      </w:pPr>
    </w:p>
    <w:p w14:paraId="5D4FA765" w14:textId="77777777" w:rsidR="00D26D55" w:rsidRPr="00170F5F" w:rsidRDefault="00D26D55" w:rsidP="007F52F0">
      <w:pPr>
        <w:ind w:left="426" w:hanging="426"/>
        <w:jc w:val="both"/>
        <w:rPr>
          <w:rFonts w:asciiTheme="majorHAnsi" w:hAnsiTheme="majorHAnsi"/>
          <w:sz w:val="20"/>
          <w:szCs w:val="20"/>
        </w:rPr>
      </w:pPr>
      <w:r w:rsidRPr="00170F5F">
        <w:rPr>
          <w:rFonts w:asciiTheme="majorHAnsi" w:hAnsiTheme="majorHAnsi"/>
          <w:sz w:val="20"/>
        </w:rPr>
        <w:t>Breve descripción de la(s) nueva(s) obligación(es) de comunicación:</w:t>
      </w:r>
    </w:p>
    <w:p w14:paraId="53D5C0A1" w14:textId="77777777" w:rsidR="00D26D55" w:rsidRPr="00170F5F" w:rsidRDefault="00D26D55" w:rsidP="007F52F0">
      <w:pPr>
        <w:pStyle w:val="BodyText"/>
        <w:ind w:left="426" w:hanging="426"/>
        <w:rPr>
          <w:rFonts w:asciiTheme="majorHAnsi" w:hAnsiTheme="majorHAnsi"/>
        </w:rPr>
      </w:pPr>
    </w:p>
    <w:p w14:paraId="4A4BD2C1" w14:textId="77777777" w:rsidR="00D26D55" w:rsidRPr="00170F5F" w:rsidRDefault="00D26D55" w:rsidP="007F52F0">
      <w:pPr>
        <w:pStyle w:val="BodyText"/>
        <w:ind w:left="426" w:hanging="426"/>
        <w:rPr>
          <w:rFonts w:asciiTheme="majorHAnsi" w:hAnsiTheme="majorHAnsi"/>
        </w:rPr>
      </w:pPr>
    </w:p>
    <w:p w14:paraId="2A30B52F" w14:textId="7BAB4AAA" w:rsidR="00D26D55" w:rsidRPr="006038B4" w:rsidRDefault="00D26D55" w:rsidP="006038B4">
      <w:pPr>
        <w:pStyle w:val="ListParagraph"/>
        <w:numPr>
          <w:ilvl w:val="0"/>
          <w:numId w:val="4"/>
        </w:numPr>
        <w:ind w:left="426" w:hanging="426"/>
        <w:jc w:val="both"/>
        <w:rPr>
          <w:sz w:val="20"/>
          <w:szCs w:val="20"/>
        </w:rPr>
      </w:pPr>
      <w:r w:rsidRPr="00170F5F">
        <w:rPr>
          <w:rFonts w:asciiTheme="majorHAnsi" w:hAnsiTheme="majorHAnsi"/>
          <w:sz w:val="20"/>
        </w:rPr>
        <w:t xml:space="preserve">¿Requiere aportaciones o trabajo adicional por parte del SCRS?    </w:t>
      </w:r>
      <w:r w:rsidRPr="00170F5F">
        <w:rPr>
          <w:rFonts w:asciiTheme="majorHAnsi" w:hAnsiTheme="majorHAnsi"/>
          <w:color w:val="EE0000"/>
          <w:sz w:val="20"/>
        </w:rPr>
        <w:t>Sí</w:t>
      </w:r>
      <w:r w:rsidR="006038B4" w:rsidRPr="006038B4">
        <w:rPr>
          <w:rFonts w:ascii="Wingdings" w:hAnsi="Wingdings"/>
          <w:color w:val="EE0000"/>
          <w:spacing w:val="-2"/>
          <w:sz w:val="20"/>
          <w:szCs w:val="20"/>
        </w:rPr>
        <w:t xml:space="preserve"> </w:t>
      </w:r>
      <w:r w:rsidR="006038B4" w:rsidRPr="006C21D8">
        <w:rPr>
          <w:rFonts w:ascii="Wingdings" w:hAnsi="Wingdings"/>
          <w:color w:val="EE0000"/>
          <w:spacing w:val="-2"/>
          <w:sz w:val="20"/>
          <w:szCs w:val="20"/>
        </w:rPr>
        <w:t>x</w:t>
      </w:r>
      <w:r w:rsidRPr="006038B4">
        <w:rPr>
          <w:rFonts w:asciiTheme="majorHAnsi" w:hAnsiTheme="majorHAnsi"/>
          <w:sz w:val="20"/>
        </w:rPr>
        <w:tab/>
        <w:t xml:space="preserve">No </w:t>
      </w:r>
      <w:r w:rsidRPr="006038B4">
        <w:rPr>
          <w:rFonts w:asciiTheme="majorHAnsi" w:hAnsiTheme="majorHAnsi"/>
          <w:sz w:val="20"/>
        </w:rPr>
        <w:t></w:t>
      </w:r>
    </w:p>
    <w:p w14:paraId="29A3A158" w14:textId="77777777" w:rsidR="00D26D55" w:rsidRPr="00170F5F" w:rsidRDefault="00D26D55" w:rsidP="007F52F0">
      <w:pPr>
        <w:ind w:left="426" w:hanging="426"/>
        <w:rPr>
          <w:rFonts w:asciiTheme="majorHAnsi" w:hAnsiTheme="majorHAnsi"/>
          <w:sz w:val="20"/>
          <w:szCs w:val="20"/>
        </w:rPr>
      </w:pPr>
    </w:p>
    <w:p w14:paraId="05717B93" w14:textId="69C18C83" w:rsidR="00D26D55" w:rsidRPr="006038B4" w:rsidRDefault="00D26D55" w:rsidP="006038B4">
      <w:pPr>
        <w:pStyle w:val="ListParagraph"/>
        <w:numPr>
          <w:ilvl w:val="0"/>
          <w:numId w:val="4"/>
        </w:numPr>
        <w:ind w:left="426" w:hanging="426"/>
        <w:jc w:val="both"/>
        <w:rPr>
          <w:sz w:val="20"/>
          <w:szCs w:val="20"/>
        </w:rPr>
      </w:pPr>
      <w:r w:rsidRPr="00170F5F">
        <w:rPr>
          <w:rFonts w:asciiTheme="majorHAnsi" w:hAnsiTheme="majorHAnsi"/>
          <w:sz w:val="20"/>
        </w:rPr>
        <w:t>¿Está este trabajo ya incluido en el Plan de trabajo actual del SCRS?</w:t>
      </w:r>
      <w:r w:rsidRPr="00170F5F">
        <w:rPr>
          <w:rFonts w:asciiTheme="majorHAnsi" w:hAnsiTheme="majorHAnsi"/>
          <w:sz w:val="20"/>
        </w:rPr>
        <w:tab/>
      </w:r>
      <w:r w:rsidRPr="00170F5F">
        <w:rPr>
          <w:rFonts w:asciiTheme="majorHAnsi" w:hAnsiTheme="majorHAnsi"/>
          <w:color w:val="EE0000"/>
          <w:sz w:val="20"/>
        </w:rPr>
        <w:t xml:space="preserve"> Sí </w:t>
      </w:r>
      <w:r w:rsidR="006038B4" w:rsidRPr="006C21D8">
        <w:rPr>
          <w:rFonts w:ascii="Wingdings" w:hAnsi="Wingdings"/>
          <w:color w:val="EE0000"/>
          <w:spacing w:val="-2"/>
          <w:sz w:val="20"/>
          <w:szCs w:val="20"/>
        </w:rPr>
        <w:t>x</w:t>
      </w:r>
      <w:r w:rsidRPr="006038B4">
        <w:rPr>
          <w:rFonts w:asciiTheme="majorHAnsi" w:hAnsiTheme="majorHAnsi"/>
          <w:sz w:val="20"/>
        </w:rPr>
        <w:tab/>
        <w:t xml:space="preserve">No </w:t>
      </w:r>
      <w:r w:rsidRPr="006038B4">
        <w:rPr>
          <w:rFonts w:asciiTheme="majorHAnsi" w:hAnsiTheme="majorHAnsi"/>
          <w:sz w:val="20"/>
        </w:rPr>
        <w:t></w:t>
      </w:r>
    </w:p>
    <w:p w14:paraId="6D9E5844" w14:textId="77777777" w:rsidR="00D26D55" w:rsidRPr="00170F5F" w:rsidRDefault="00D26D55" w:rsidP="007F52F0">
      <w:pPr>
        <w:ind w:left="426" w:hanging="426"/>
        <w:rPr>
          <w:rFonts w:asciiTheme="majorHAnsi" w:hAnsiTheme="majorHAnsi"/>
          <w:sz w:val="20"/>
          <w:szCs w:val="20"/>
        </w:rPr>
      </w:pPr>
    </w:p>
    <w:p w14:paraId="6EAD2CCD" w14:textId="6D845A24" w:rsidR="00D26D55" w:rsidRPr="00170F5F" w:rsidRDefault="00D26D55" w:rsidP="00170F5F">
      <w:pPr>
        <w:jc w:val="both"/>
        <w:rPr>
          <w:rFonts w:asciiTheme="majorHAnsi" w:hAnsiTheme="majorHAnsi"/>
          <w:sz w:val="20"/>
          <w:szCs w:val="20"/>
        </w:rPr>
      </w:pPr>
      <w:r w:rsidRPr="00170F5F">
        <w:rPr>
          <w:rFonts w:asciiTheme="majorHAnsi" w:hAnsiTheme="majorHAnsi"/>
          <w:sz w:val="20"/>
        </w:rPr>
        <w:t>Breve descripción del nuevo trabajo científico necesario (es decir, evaluación del stock, análisis, consultor externo):</w:t>
      </w:r>
    </w:p>
    <w:p w14:paraId="049C974F" w14:textId="77777777" w:rsidR="00D26D55" w:rsidRPr="00170F5F" w:rsidRDefault="00D26D55" w:rsidP="007F52F0">
      <w:pPr>
        <w:ind w:left="426" w:hanging="426"/>
        <w:rPr>
          <w:rFonts w:asciiTheme="majorHAnsi" w:hAnsiTheme="majorHAnsi"/>
          <w:sz w:val="20"/>
          <w:szCs w:val="20"/>
        </w:rPr>
      </w:pPr>
    </w:p>
    <w:p w14:paraId="7C3A04E3" w14:textId="728D5411" w:rsidR="00DF265B" w:rsidRPr="00170F5F" w:rsidRDefault="00DF265B" w:rsidP="00DF265B">
      <w:pPr>
        <w:ind w:left="142"/>
        <w:jc w:val="both"/>
        <w:rPr>
          <w:rFonts w:asciiTheme="majorHAnsi" w:hAnsiTheme="majorHAnsi"/>
          <w:color w:val="FF0000"/>
          <w:sz w:val="20"/>
          <w:szCs w:val="20"/>
        </w:rPr>
      </w:pPr>
      <w:r w:rsidRPr="00170F5F">
        <w:rPr>
          <w:rFonts w:asciiTheme="majorHAnsi" w:hAnsiTheme="majorHAnsi"/>
          <w:color w:val="FF0000"/>
          <w:sz w:val="20"/>
        </w:rPr>
        <w:t xml:space="preserve">No es necesario que el SCRS realice ningún trabajo adicional antes de la entrada en vigor de los cambios propuestos en los TAC y las cuotas. Sin embargo, este </w:t>
      </w:r>
      <w:r w:rsidR="001013DF" w:rsidRPr="00170F5F">
        <w:rPr>
          <w:rFonts w:asciiTheme="majorHAnsi" w:hAnsiTheme="majorHAnsi"/>
          <w:color w:val="FF0000"/>
          <w:sz w:val="20"/>
        </w:rPr>
        <w:t xml:space="preserve">Proyecto </w:t>
      </w:r>
      <w:r w:rsidRPr="00170F5F">
        <w:rPr>
          <w:rFonts w:asciiTheme="majorHAnsi" w:hAnsiTheme="majorHAnsi"/>
          <w:color w:val="FF0000"/>
          <w:sz w:val="20"/>
        </w:rPr>
        <w:t xml:space="preserve">de </w:t>
      </w:r>
      <w:r w:rsidR="001013DF" w:rsidRPr="00170F5F">
        <w:rPr>
          <w:rFonts w:asciiTheme="majorHAnsi" w:hAnsiTheme="majorHAnsi"/>
          <w:color w:val="FF0000"/>
          <w:sz w:val="20"/>
        </w:rPr>
        <w:t xml:space="preserve">Recomendación </w:t>
      </w:r>
      <w:r w:rsidRPr="00170F5F">
        <w:rPr>
          <w:rFonts w:asciiTheme="majorHAnsi" w:hAnsiTheme="majorHAnsi"/>
          <w:color w:val="FF0000"/>
          <w:sz w:val="20"/>
        </w:rPr>
        <w:t>también propone que las últimas investigaciones genéticas, incluidos los datos resultantes del marcado y recaptura de individuos estrechamente emparentados</w:t>
      </w:r>
      <w:r w:rsidR="00277003">
        <w:rPr>
          <w:rFonts w:asciiTheme="majorHAnsi" w:hAnsiTheme="majorHAnsi"/>
          <w:color w:val="FF0000"/>
          <w:sz w:val="20"/>
        </w:rPr>
        <w:t xml:space="preserve"> (CKMR)</w:t>
      </w:r>
      <w:r w:rsidRPr="00170F5F">
        <w:rPr>
          <w:rFonts w:asciiTheme="majorHAnsi" w:hAnsiTheme="majorHAnsi"/>
          <w:color w:val="FF0000"/>
          <w:sz w:val="20"/>
        </w:rPr>
        <w:t xml:space="preserve"> y los resultados de</w:t>
      </w:r>
      <w:r w:rsidR="00277003">
        <w:rPr>
          <w:rFonts w:asciiTheme="majorHAnsi" w:hAnsiTheme="majorHAnsi"/>
          <w:color w:val="FF0000"/>
          <w:sz w:val="20"/>
        </w:rPr>
        <w:t xml:space="preserve"> los programas </w:t>
      </w:r>
      <w:r w:rsidRPr="00170F5F">
        <w:rPr>
          <w:rFonts w:asciiTheme="majorHAnsi" w:hAnsiTheme="majorHAnsi"/>
          <w:color w:val="FF0000"/>
          <w:sz w:val="20"/>
        </w:rPr>
        <w:t xml:space="preserve">de marcado sean revisados por el SCRS e incorporados a la revisión del MP del atún rojo </w:t>
      </w:r>
      <w:r w:rsidR="00277003">
        <w:rPr>
          <w:rFonts w:asciiTheme="majorHAnsi" w:hAnsiTheme="majorHAnsi"/>
          <w:color w:val="FF0000"/>
          <w:sz w:val="20"/>
        </w:rPr>
        <w:t>desde ahora hasta</w:t>
      </w:r>
      <w:r w:rsidRPr="00170F5F">
        <w:rPr>
          <w:rFonts w:asciiTheme="majorHAnsi" w:hAnsiTheme="majorHAnsi"/>
          <w:color w:val="FF0000"/>
          <w:sz w:val="20"/>
        </w:rPr>
        <w:t xml:space="preserve"> 2028. La revisión del MP del atún rojo ya está establecida en la Rec. 23-07 y reflejada en el plan de trabajo del SCRS.</w:t>
      </w:r>
    </w:p>
    <w:p w14:paraId="7885DC6F" w14:textId="77777777" w:rsidR="00D26D55" w:rsidRPr="00170F5F" w:rsidRDefault="00D26D55" w:rsidP="007F52F0">
      <w:pPr>
        <w:rPr>
          <w:rFonts w:asciiTheme="majorHAnsi" w:hAnsiTheme="majorHAnsi"/>
          <w:sz w:val="20"/>
          <w:szCs w:val="20"/>
        </w:rPr>
      </w:pPr>
    </w:p>
    <w:p w14:paraId="42668563" w14:textId="51553FEC" w:rsidR="00D26D55" w:rsidRPr="007E4F8F" w:rsidRDefault="00D26D55" w:rsidP="007F52F0">
      <w:pPr>
        <w:pStyle w:val="ListParagraph"/>
        <w:numPr>
          <w:ilvl w:val="0"/>
          <w:numId w:val="4"/>
        </w:numPr>
        <w:ind w:left="426" w:hanging="426"/>
        <w:jc w:val="both"/>
        <w:rPr>
          <w:sz w:val="20"/>
          <w:szCs w:val="20"/>
        </w:rPr>
      </w:pPr>
      <w:r>
        <w:rPr>
          <w:sz w:val="20"/>
        </w:rPr>
        <w:t xml:space="preserve">¿Implica la creación de un </w:t>
      </w:r>
      <w:r>
        <w:rPr>
          <w:b/>
          <w:bCs/>
          <w:sz w:val="20"/>
        </w:rPr>
        <w:t>nuevo grupo de trabajo o proceso intersesiones</w:t>
      </w:r>
      <w:r>
        <w:rPr>
          <w:sz w:val="20"/>
        </w:rPr>
        <w:t xml:space="preserve">?    Sí </w:t>
      </w:r>
      <w:r>
        <w:rPr>
          <w:rFonts w:ascii="Wingdings" w:hAnsi="Wingdings"/>
          <w:sz w:val="20"/>
        </w:rPr>
        <w:t></w:t>
      </w:r>
      <w:r>
        <w:rPr>
          <w:sz w:val="20"/>
        </w:rPr>
        <w:t xml:space="preserve">      </w:t>
      </w:r>
      <w:r>
        <w:rPr>
          <w:color w:val="EE0000"/>
          <w:sz w:val="20"/>
        </w:rPr>
        <w:t xml:space="preserve">No </w:t>
      </w:r>
      <w:r>
        <w:rPr>
          <w:rFonts w:ascii="Wingdings" w:hAnsi="Wingdings"/>
          <w:color w:val="EE0000"/>
          <w:sz w:val="20"/>
        </w:rPr>
        <w:t>x</w:t>
      </w:r>
    </w:p>
    <w:p w14:paraId="7217F291" w14:textId="77777777" w:rsidR="00D26D55" w:rsidRDefault="00D26D55" w:rsidP="007F52F0">
      <w:pPr>
        <w:ind w:left="426" w:hanging="426"/>
        <w:rPr>
          <w:sz w:val="20"/>
          <w:szCs w:val="20"/>
        </w:rPr>
      </w:pPr>
    </w:p>
    <w:p w14:paraId="1BC18915" w14:textId="77777777" w:rsidR="00D26D55" w:rsidRPr="007E4F8F" w:rsidRDefault="00D26D55" w:rsidP="007F52F0">
      <w:pPr>
        <w:ind w:left="426" w:hanging="426"/>
        <w:rPr>
          <w:sz w:val="20"/>
          <w:szCs w:val="20"/>
        </w:rPr>
      </w:pPr>
    </w:p>
    <w:p w14:paraId="6AB4AD63" w14:textId="77777777" w:rsidR="00D26D55" w:rsidRPr="007E4F8F" w:rsidRDefault="00D26D55" w:rsidP="007F52F0">
      <w:pPr>
        <w:pStyle w:val="ListParagraph"/>
        <w:numPr>
          <w:ilvl w:val="0"/>
          <w:numId w:val="4"/>
        </w:numPr>
        <w:ind w:left="426" w:hanging="426"/>
        <w:jc w:val="both"/>
        <w:rPr>
          <w:sz w:val="20"/>
          <w:szCs w:val="20"/>
        </w:rPr>
      </w:pPr>
      <w:r>
        <w:rPr>
          <w:sz w:val="20"/>
        </w:rPr>
        <w:t xml:space="preserve">¿Requiere un nuevo programa o actividades adicionales que deba gestionar la Secretaría?  </w:t>
      </w:r>
    </w:p>
    <w:p w14:paraId="306CA919" w14:textId="77777777" w:rsidR="00D26D55" w:rsidRPr="007E4F8F" w:rsidRDefault="00D26D55" w:rsidP="007F52F0">
      <w:pPr>
        <w:pStyle w:val="ListParagraph"/>
        <w:ind w:left="426" w:hanging="426"/>
        <w:rPr>
          <w:spacing w:val="-2"/>
          <w:sz w:val="20"/>
          <w:szCs w:val="20"/>
        </w:rPr>
      </w:pPr>
    </w:p>
    <w:p w14:paraId="53A000C4" w14:textId="32DF1493" w:rsidR="00D26D55" w:rsidRPr="001B5A7C" w:rsidRDefault="00277003" w:rsidP="007F52F0">
      <w:pPr>
        <w:pStyle w:val="ListParagraph"/>
        <w:ind w:left="426" w:hanging="426"/>
        <w:rPr>
          <w:rFonts w:asciiTheme="majorHAnsi" w:hAnsiTheme="majorHAnsi"/>
          <w:sz w:val="20"/>
          <w:szCs w:val="20"/>
        </w:rPr>
      </w:pPr>
      <w:r>
        <w:rPr>
          <w:sz w:val="20"/>
        </w:rPr>
        <w:tab/>
      </w:r>
      <w:r w:rsidR="00D26D55">
        <w:rPr>
          <w:sz w:val="20"/>
        </w:rPr>
        <w:t xml:space="preserve">Sí </w:t>
      </w:r>
      <w:r w:rsidR="00D26D55">
        <w:rPr>
          <w:rFonts w:ascii="Wingdings" w:hAnsi="Wingdings"/>
          <w:sz w:val="20"/>
        </w:rPr>
        <w:t></w:t>
      </w:r>
      <w:r w:rsidR="00D26D55">
        <w:rPr>
          <w:sz w:val="20"/>
        </w:rPr>
        <w:t xml:space="preserve">      </w:t>
      </w:r>
      <w:r w:rsidR="00D26D55">
        <w:rPr>
          <w:color w:val="EE0000"/>
          <w:sz w:val="20"/>
        </w:rPr>
        <w:t xml:space="preserve">No </w:t>
      </w:r>
      <w:r w:rsidR="00D26D55">
        <w:rPr>
          <w:rFonts w:ascii="Wingdings" w:hAnsi="Wingdings"/>
          <w:color w:val="EE0000"/>
          <w:sz w:val="20"/>
        </w:rPr>
        <w:t>x</w:t>
      </w:r>
    </w:p>
    <w:p w14:paraId="3C4A537E" w14:textId="77777777" w:rsidR="00D26D55" w:rsidRPr="007E4F8F" w:rsidRDefault="00D26D55" w:rsidP="007F52F0">
      <w:pPr>
        <w:ind w:left="426" w:hanging="426"/>
        <w:rPr>
          <w:sz w:val="20"/>
          <w:szCs w:val="20"/>
        </w:rPr>
      </w:pPr>
    </w:p>
    <w:p w14:paraId="0A71DF05" w14:textId="77777777" w:rsidR="00D26D55" w:rsidRPr="007E4F8F" w:rsidRDefault="00D26D55" w:rsidP="007F52F0">
      <w:pPr>
        <w:ind w:left="426" w:hanging="426"/>
        <w:jc w:val="both"/>
        <w:rPr>
          <w:spacing w:val="-2"/>
          <w:sz w:val="20"/>
          <w:szCs w:val="20"/>
        </w:rPr>
      </w:pPr>
      <w:r>
        <w:rPr>
          <w:sz w:val="20"/>
        </w:rPr>
        <w:t>Breve descripción del nuevo trabajo necesario de la Secretaría:</w:t>
      </w:r>
    </w:p>
    <w:p w14:paraId="4D8578EA" w14:textId="77777777" w:rsidR="00D26D55" w:rsidRDefault="00D26D55" w:rsidP="007F52F0">
      <w:pPr>
        <w:ind w:left="426" w:hanging="426"/>
        <w:rPr>
          <w:spacing w:val="-2"/>
          <w:sz w:val="20"/>
          <w:szCs w:val="20"/>
        </w:rPr>
      </w:pPr>
    </w:p>
    <w:p w14:paraId="147C8865" w14:textId="77777777" w:rsidR="00D26D55" w:rsidRPr="007E4F8F" w:rsidRDefault="00D26D55" w:rsidP="007F52F0">
      <w:pPr>
        <w:ind w:left="426" w:hanging="426"/>
        <w:rPr>
          <w:spacing w:val="-2"/>
          <w:sz w:val="20"/>
          <w:szCs w:val="20"/>
        </w:rPr>
      </w:pPr>
    </w:p>
    <w:p w14:paraId="088946F0" w14:textId="77777777" w:rsidR="00D26D55" w:rsidRPr="007E4F8F" w:rsidRDefault="00D26D55" w:rsidP="007F52F0">
      <w:pPr>
        <w:pStyle w:val="ListParagraph"/>
        <w:numPr>
          <w:ilvl w:val="0"/>
          <w:numId w:val="4"/>
        </w:numPr>
        <w:ind w:left="426" w:hanging="426"/>
        <w:jc w:val="both"/>
        <w:rPr>
          <w:spacing w:val="-2"/>
          <w:sz w:val="20"/>
          <w:szCs w:val="20"/>
        </w:rPr>
      </w:pPr>
      <w:r>
        <w:rPr>
          <w:sz w:val="20"/>
        </w:rPr>
        <w:t>¿Cuál es el calendario propuesto para la implementación? ¿Existen distintos calendarios específicos para determinadas CPC, pesquerías, regiones, etc.?</w:t>
      </w:r>
    </w:p>
    <w:p w14:paraId="15731A2A" w14:textId="77777777" w:rsidR="00D26D55" w:rsidRDefault="00D26D55" w:rsidP="007F52F0">
      <w:pPr>
        <w:ind w:left="426" w:hanging="426"/>
        <w:rPr>
          <w:spacing w:val="-2"/>
          <w:sz w:val="20"/>
          <w:szCs w:val="20"/>
        </w:rPr>
      </w:pPr>
    </w:p>
    <w:p w14:paraId="7BBF80D7" w14:textId="77777777" w:rsidR="00D26D55" w:rsidRPr="001B5A7C" w:rsidRDefault="00D26D55" w:rsidP="00795AE4">
      <w:pPr>
        <w:jc w:val="both"/>
        <w:rPr>
          <w:color w:val="FF0000"/>
          <w:spacing w:val="-2"/>
          <w:sz w:val="20"/>
          <w:szCs w:val="20"/>
        </w:rPr>
      </w:pPr>
      <w:r>
        <w:rPr>
          <w:color w:val="FF0000"/>
          <w:sz w:val="20"/>
        </w:rPr>
        <w:t>La aplicación de los nuevos TAC y el nuevo sistema de cuotas propuestos se describen en la propuesta a partir de 2026. La revisión de los nuevos datos científicos por parte del SCRS está prevista para 2026-2028, en consonancia con el calendario de revisión del MP del atún rojo.</w:t>
      </w:r>
    </w:p>
    <w:p w14:paraId="7CBEB229" w14:textId="77777777" w:rsidR="00D26D55" w:rsidRPr="007E4F8F" w:rsidRDefault="00D26D55" w:rsidP="007F52F0">
      <w:pPr>
        <w:ind w:left="426" w:hanging="426"/>
        <w:rPr>
          <w:spacing w:val="-2"/>
          <w:sz w:val="20"/>
          <w:szCs w:val="20"/>
        </w:rPr>
      </w:pPr>
    </w:p>
    <w:p w14:paraId="3AC5CB0D" w14:textId="77777777" w:rsidR="00D26D55" w:rsidRPr="007E4F8F" w:rsidRDefault="00D26D55" w:rsidP="007F52F0">
      <w:pPr>
        <w:pStyle w:val="ListParagraph"/>
        <w:numPr>
          <w:ilvl w:val="0"/>
          <w:numId w:val="4"/>
        </w:numPr>
        <w:ind w:left="426" w:hanging="426"/>
        <w:jc w:val="both"/>
        <w:rPr>
          <w:spacing w:val="-2"/>
          <w:sz w:val="20"/>
          <w:szCs w:val="20"/>
        </w:rPr>
      </w:pPr>
      <w:r>
        <w:rPr>
          <w:sz w:val="20"/>
        </w:rPr>
        <w:t>Hay alguna otra información pertinente sobre las repercusiones de la propuesta en lo referente a los recursos y a la carga de trabajo?</w:t>
      </w:r>
    </w:p>
    <w:p w14:paraId="510B8AD0" w14:textId="77777777" w:rsidR="00D26D55" w:rsidRPr="007E4F8F" w:rsidRDefault="00D26D55" w:rsidP="007F52F0">
      <w:pPr>
        <w:pStyle w:val="ListParagraph"/>
        <w:ind w:left="426" w:hanging="426"/>
        <w:rPr>
          <w:spacing w:val="-2"/>
          <w:sz w:val="20"/>
          <w:szCs w:val="20"/>
        </w:rPr>
      </w:pPr>
    </w:p>
    <w:p w14:paraId="1F9E4E08" w14:textId="49D81A52" w:rsidR="00DF265B" w:rsidRPr="00F47C67" w:rsidRDefault="00DF265B">
      <w:pPr>
        <w:rPr>
          <w:sz w:val="20"/>
          <w:szCs w:val="20"/>
        </w:rPr>
      </w:pPr>
      <w:r w:rsidRPr="00F47C67">
        <w:rPr>
          <w:sz w:val="20"/>
          <w:szCs w:val="20"/>
        </w:rPr>
        <w:br w:type="page"/>
      </w:r>
    </w:p>
    <w:p w14:paraId="4DC006EA" w14:textId="7152F7A4" w:rsidR="00254B5F" w:rsidRDefault="00254B5F" w:rsidP="00254B5F">
      <w:pPr>
        <w:pStyle w:val="Heading1"/>
        <w:spacing w:before="0"/>
        <w:jc w:val="right"/>
      </w:pPr>
      <w:r>
        <w:lastRenderedPageBreak/>
        <w:t xml:space="preserve">Original: inglés </w:t>
      </w:r>
    </w:p>
    <w:p w14:paraId="5F3DFBD5" w14:textId="77777777" w:rsidR="00254B5F" w:rsidRDefault="00254B5F" w:rsidP="00254B5F">
      <w:pPr>
        <w:pStyle w:val="Heading1"/>
        <w:spacing w:before="0"/>
      </w:pPr>
    </w:p>
    <w:p w14:paraId="3A6ADA55" w14:textId="0D9CA704" w:rsidR="00254B5F" w:rsidRDefault="005B0D22" w:rsidP="00254B5F">
      <w:pPr>
        <w:pStyle w:val="Heading1"/>
        <w:spacing w:before="0"/>
        <w:rPr>
          <w:spacing w:val="-8"/>
        </w:rPr>
      </w:pPr>
      <w:r>
        <w:t xml:space="preserve">Nota explicativa para el Proyecto de Recomendación de ICCAT que enmienda la Recomendación 22-10 y la Recomendación 24-05 </w:t>
      </w:r>
    </w:p>
    <w:p w14:paraId="51645241" w14:textId="067B11E9" w:rsidR="0099666E" w:rsidRPr="003B6E90" w:rsidRDefault="0099666E" w:rsidP="00254B5F">
      <w:pPr>
        <w:pStyle w:val="Heading1"/>
        <w:spacing w:before="0"/>
      </w:pPr>
    </w:p>
    <w:p w14:paraId="10B4777C" w14:textId="77777777" w:rsidR="0099666E" w:rsidRPr="003B6E90" w:rsidRDefault="005B0D22" w:rsidP="00254B5F">
      <w:pPr>
        <w:ind w:left="135" w:right="430"/>
        <w:jc w:val="center"/>
        <w:rPr>
          <w:sz w:val="20"/>
        </w:rPr>
      </w:pPr>
      <w:r>
        <w:rPr>
          <w:sz w:val="20"/>
        </w:rPr>
        <w:t>(</w:t>
      </w:r>
      <w:r>
        <w:rPr>
          <w:i/>
          <w:sz w:val="20"/>
        </w:rPr>
        <w:t>Documento presentado por Estados Unidos</w:t>
      </w:r>
      <w:r>
        <w:rPr>
          <w:sz w:val="20"/>
        </w:rPr>
        <w:t>)</w:t>
      </w:r>
    </w:p>
    <w:p w14:paraId="76588ACA" w14:textId="77777777" w:rsidR="0099666E" w:rsidRPr="003B6E90" w:rsidRDefault="0099666E">
      <w:pPr>
        <w:pStyle w:val="BodyText"/>
        <w:spacing w:before="4"/>
      </w:pPr>
    </w:p>
    <w:p w14:paraId="3DD150CF" w14:textId="53B666C2" w:rsidR="0099666E" w:rsidRPr="003B6E90" w:rsidRDefault="005B0D22" w:rsidP="00EC7AA5">
      <w:pPr>
        <w:pStyle w:val="BodyText"/>
        <w:ind w:right="-1"/>
        <w:jc w:val="both"/>
      </w:pPr>
      <w:r>
        <w:t>Teniendo en cuenta los recientes avances científicos del Comité Permanente de Investigación y Estadísticas</w:t>
      </w:r>
      <w:r w:rsidR="00B17501">
        <w:t xml:space="preserve"> de ICCAT</w:t>
      </w:r>
      <w:r>
        <w:t xml:space="preserve"> (SCRS) en la comprensión del movimiento, la mezcla de poblaciones y la productividad del atún rojo del Atlántico, es necesario evaluar si la distribución espacial actual de las poblaciones de la especie se refleja en las distribuciones actuales de</w:t>
      </w:r>
      <w:r w:rsidR="00037896">
        <w:t xml:space="preserve"> los</w:t>
      </w:r>
      <w:r>
        <w:t xml:space="preserve"> total</w:t>
      </w:r>
      <w:r w:rsidR="00037896">
        <w:t>es</w:t>
      </w:r>
      <w:r>
        <w:t xml:space="preserve"> admisible</w:t>
      </w:r>
      <w:r w:rsidR="00037896">
        <w:t>s</w:t>
      </w:r>
      <w:r>
        <w:t xml:space="preserve"> de capturas (TAC) entre las zonas de ordenación oriental y occidental.</w:t>
      </w:r>
    </w:p>
    <w:p w14:paraId="2215DE8E" w14:textId="77777777" w:rsidR="0099666E" w:rsidRPr="003B6E90" w:rsidRDefault="0099666E" w:rsidP="00EC7AA5">
      <w:pPr>
        <w:pStyle w:val="BodyText"/>
        <w:spacing w:before="8"/>
        <w:ind w:right="-1"/>
      </w:pPr>
    </w:p>
    <w:p w14:paraId="00AEEAF3" w14:textId="7D1E82BD" w:rsidR="00D66CFD" w:rsidRPr="003B6E90" w:rsidRDefault="00D66CFD" w:rsidP="00655A36">
      <w:pPr>
        <w:pStyle w:val="BodyText"/>
        <w:ind w:right="-1"/>
        <w:jc w:val="both"/>
      </w:pPr>
      <w:r>
        <w:t xml:space="preserve">La evaluación de stock de 2017 asumió </w:t>
      </w:r>
      <w:r w:rsidR="009C2010">
        <w:t>un historial de capturas</w:t>
      </w:r>
      <w:r w:rsidR="00037896">
        <w:t xml:space="preserve"> </w:t>
      </w:r>
      <w:r>
        <w:t>para 1998-2007 derivado de las estadísticas comerciales de Japón y lo</w:t>
      </w:r>
      <w:r w:rsidR="006363A1">
        <w:t xml:space="preserve"> </w:t>
      </w:r>
      <w:r w:rsidR="006363A1" w:rsidRPr="004B0EC1">
        <w:t>a</w:t>
      </w:r>
      <w:r w:rsidRPr="004B0EC1">
        <w:t>signó a la flota de cerqueros del Mediterráneo.</w:t>
      </w:r>
      <w:r w:rsidR="00655A36" w:rsidRPr="004B0EC1">
        <w:rPr>
          <w:rStyle w:val="FootnoteReference"/>
        </w:rPr>
        <w:t xml:space="preserve"> </w:t>
      </w:r>
      <w:r w:rsidR="00655A36" w:rsidRPr="004B0EC1">
        <w:rPr>
          <w:rStyle w:val="FootnoteReference"/>
        </w:rPr>
        <w:footnoteReference w:id="1"/>
      </w:r>
      <w:r w:rsidR="00655A36" w:rsidRPr="004B0EC1">
        <w:rPr>
          <w:spacing w:val="-3"/>
        </w:rPr>
        <w:t xml:space="preserve"> </w:t>
      </w:r>
      <w:r w:rsidRPr="004B0EC1">
        <w:t xml:space="preserve"> Inflar las capturas e incluirlas en la evaluación de stock simplemente aumentó el TAC del este, lo que supuso un aumento de facto de la asignación a la flota de cerqueros del este, la principal responsable de la pesca ilegal, no declarada y no reglamentada (IUU) en ese momento. Además, la distribución</w:t>
      </w:r>
      <w:r>
        <w:t xml:space="preserve"> del historial de capturas entre las zonas de ordenación oriental y occidental derivada de las evaluaciones de stocks se estableció en un momento en que el stock oriental estaba siendo sobrepescado y era objeto de pesca ilegal, no declarada y no reglamentada (IUU) generalizada. La asignación de los TAC de</w:t>
      </w:r>
      <w:r w:rsidR="0007476D">
        <w:t xml:space="preserve"> atún rojo oriental y atún rojo occidental </w:t>
      </w:r>
      <w:r>
        <w:t xml:space="preserve">también se produjo mucho antes de que comprendiéramos la importante mezcla del stock oriental en el Atlántico occidental. Estudios recientes de marcado y recaptura de individuos estrechamente emparentados </w:t>
      </w:r>
      <w:r w:rsidR="0007476D">
        <w:t xml:space="preserve">(CKMR) </w:t>
      </w:r>
      <w:r>
        <w:t xml:space="preserve">muestra que el stock occidental es más abundante que en evaluaciones anteriores y que podría haberse recuperado por completo. Las tendencias en el stock oriental indican que se ha recuperado hasta alcanzar niveles históricos, de modo que ahora estamos asistiendo al regreso de la población a zonas del Atlántico en las que no se había visto desde hacía muchos años. Esto se debe a una ordenación pesquera adecuada que ha permitido que los peces crezcan y migren fuera del mar Mediterráneo para alimentarse en las regiones de mayor productividad del Atlántico, lo que </w:t>
      </w:r>
      <w:r w:rsidR="00727684">
        <w:t xml:space="preserve">es beneficios para todos </w:t>
      </w:r>
      <w:r>
        <w:t>en cuanto a rendimiento y aumento de la reproducción. Es un caso de éxito internacional en materia de ordenación pesquera.</w:t>
      </w:r>
    </w:p>
    <w:p w14:paraId="107A9DC8" w14:textId="77777777" w:rsidR="0099666E" w:rsidRPr="003B6E90" w:rsidRDefault="0099666E" w:rsidP="00EC7AA5">
      <w:pPr>
        <w:pStyle w:val="BodyText"/>
        <w:spacing w:before="4"/>
        <w:ind w:right="-1"/>
      </w:pPr>
    </w:p>
    <w:p w14:paraId="4B03CA30" w14:textId="5F478A2C" w:rsidR="0099666E" w:rsidRPr="00EC7AA5" w:rsidRDefault="005B0D22" w:rsidP="00EC7AA5">
      <w:pPr>
        <w:ind w:right="-1"/>
        <w:jc w:val="both"/>
        <w:rPr>
          <w:sz w:val="20"/>
          <w:szCs w:val="20"/>
        </w:rPr>
      </w:pPr>
      <w:r>
        <w:rPr>
          <w:sz w:val="20"/>
        </w:rPr>
        <w:t xml:space="preserve">Sin embargo, las proporciones relativas de los TAC de </w:t>
      </w:r>
      <w:r w:rsidR="0007476D">
        <w:rPr>
          <w:sz w:val="20"/>
        </w:rPr>
        <w:t>atún rojo oriental y atún rojo occidental</w:t>
      </w:r>
      <w:r>
        <w:rPr>
          <w:sz w:val="20"/>
        </w:rPr>
        <w:t xml:space="preserve"> se han mantenido estancadas y no reflejan los conocimientos científicos recientes sobre la mezcla, el movimiento y los patrones migratorios. Dadas las inversiones mundiales tanto en la ciencia como en la recuperación del atún rojo del Atlántico, es esencial establecer TAC para el atún rojo del Atlántico oriental y el atún rojo del Atlántico occidental que reflejen la distribución espacial de la especie. Una parte importante de la biomasa del stock del Atlántico oriental pasa gran parte de su vida en el Atlántico occidental, una región que, debido a las estrictas restricciones de captura,</w:t>
      </w:r>
      <w:r w:rsidR="0097793F">
        <w:rPr>
          <w:sz w:val="20"/>
        </w:rPr>
        <w:t xml:space="preserve"> a</w:t>
      </w:r>
      <w:r>
        <w:rPr>
          <w:sz w:val="20"/>
        </w:rPr>
        <w:t xml:space="preserve"> las restricciones espaciales de las zonas de desove y </w:t>
      </w:r>
      <w:r w:rsidR="0097793F">
        <w:rPr>
          <w:sz w:val="20"/>
        </w:rPr>
        <w:t xml:space="preserve">a </w:t>
      </w:r>
      <w:r>
        <w:rPr>
          <w:sz w:val="20"/>
        </w:rPr>
        <w:t>las medidas extremadamente rigurosas de seguimiento, control y vigilancia (MCS), ha servido de refugio espacial para ese componente del stock oriental. Al mismo tiempo, las cuotas han aumentado hasta alcanzar niveles récord para las pesquerías que operan directamente en las zonas de desove del atún rojo del este, concentrando las cuotas en las mismas pesquerías que provocaron la crisis del stock a finales de la década de 1990 y durante la década de 2000 debido a la pesca ilegal, no declarada y no reglamentada (IUU) y a los deficientes controles de ordenación.</w:t>
      </w:r>
    </w:p>
    <w:p w14:paraId="6B7066AE" w14:textId="77777777" w:rsidR="0099666E" w:rsidRPr="003B6E90" w:rsidRDefault="005B0D22" w:rsidP="00EC7AA5">
      <w:pPr>
        <w:pStyle w:val="BodyText"/>
        <w:spacing w:before="234"/>
        <w:ind w:right="-1"/>
        <w:jc w:val="both"/>
      </w:pPr>
      <w:r>
        <w:t>Podemos evitar los errores del pasado utilizando los mejores conocimientos científicos disponibles, que ahora demuestran claramente que la especie se extiende por todo el Atlántico. Por lo tanto, debemos reconsiderar los TAC orientales y occidentales para reflejar la distribución actual de la especie, basándonos en los datos científicos más recientes y fiables disponibles.</w:t>
      </w:r>
    </w:p>
    <w:p w14:paraId="522019D8" w14:textId="77777777" w:rsidR="0099666E" w:rsidRPr="003B6E90" w:rsidRDefault="0099666E" w:rsidP="00EC7AA5">
      <w:pPr>
        <w:pStyle w:val="BodyText"/>
        <w:ind w:right="-1"/>
      </w:pPr>
    </w:p>
    <w:p w14:paraId="348C5E64" w14:textId="6E8B3759" w:rsidR="0099666E" w:rsidRPr="003B6E90" w:rsidRDefault="005B0D22" w:rsidP="00CD344A">
      <w:pPr>
        <w:pStyle w:val="BodyText"/>
        <w:ind w:right="-1"/>
        <w:jc w:val="both"/>
      </w:pPr>
      <w:r w:rsidRPr="00BA7B89">
        <w:t xml:space="preserve">Para lograrlo, Estados Unidos solicita que, como parte de la revisión del </w:t>
      </w:r>
      <w:r w:rsidR="00BA7B89" w:rsidRPr="00BA7B89">
        <w:t>procedimiento de ordenación (</w:t>
      </w:r>
      <w:r w:rsidR="00B0698F" w:rsidRPr="00BA7B89">
        <w:t>MP</w:t>
      </w:r>
      <w:r w:rsidR="00BA7B89" w:rsidRPr="00BA7B89">
        <w:t>)</w:t>
      </w:r>
      <w:r w:rsidR="00B0698F" w:rsidRPr="00BA7B89">
        <w:t xml:space="preserve"> </w:t>
      </w:r>
      <w:r w:rsidRPr="00BA7B89">
        <w:t xml:space="preserve">del atún rojo de conformidad con lo dispuesto en la </w:t>
      </w:r>
      <w:hyperlink r:id="rId8" w:history="1">
        <w:r w:rsidRPr="00BA7B89">
          <w:rPr>
            <w:rStyle w:val="Hyperlink"/>
            <w:u w:val="none"/>
          </w:rPr>
          <w:t>Rec. 23-07</w:t>
        </w:r>
      </w:hyperlink>
      <w:r w:rsidRPr="00BA7B89">
        <w:t>, el SCRS realice un análisis utilizando los datos más recientes sobre movimientos y mezclas para determinar cuáles serían las tasas de captura espaciales sostenibles en relación con la distribución natural de la biomasa de los stocks oriental y occidental. En concreto, pedimos que se actualicen los TAC para que</w:t>
      </w:r>
      <w:r>
        <w:t xml:space="preserve"> reflejen correctamente la distribución espacial real de los stocks de atún rojo del Atlántico.</w:t>
      </w:r>
    </w:p>
    <w:p w14:paraId="080E03E3" w14:textId="77777777" w:rsidR="0099666E" w:rsidRPr="003B6E90" w:rsidRDefault="0099666E" w:rsidP="00EC7AA5">
      <w:pPr>
        <w:pStyle w:val="BodyText"/>
        <w:ind w:right="-1"/>
      </w:pPr>
    </w:p>
    <w:p w14:paraId="2969F992" w14:textId="2E2CADD2" w:rsidR="0099666E" w:rsidRPr="003B6E90" w:rsidRDefault="005B0D22" w:rsidP="00EC7AA5">
      <w:pPr>
        <w:pStyle w:val="BodyText"/>
        <w:ind w:right="-1"/>
        <w:jc w:val="both"/>
        <w:sectPr w:rsidR="0099666E" w:rsidRPr="003B6E90" w:rsidSect="00F10258">
          <w:headerReference w:type="default" r:id="rId9"/>
          <w:footerReference w:type="default" r:id="rId10"/>
          <w:type w:val="continuous"/>
          <w:pgSz w:w="11907" w:h="16840" w:code="9"/>
          <w:pgMar w:top="1418" w:right="1418" w:bottom="1418" w:left="1418" w:header="851" w:footer="1134" w:gutter="0"/>
          <w:pgNumType w:start="1"/>
          <w:cols w:space="720"/>
        </w:sectPr>
      </w:pPr>
      <w:r w:rsidRPr="00347CBB">
        <w:t xml:space="preserve">Hasta que se complete la revisión del MP del atún rojo para reflejar estos importantes cambios, Estados Unidos pretende corregir los niveles históricamente reducidos del TAC occidental proponiendo que una parte del TAC del Atlántico oriental se destine a su utilización en el Atlántico occidental, de conformidad con las disposiciones del plan de ordenación del atún rojo del Atlántico occidental. Estados Unidos también ha propuesto una nueva asignación de cuotas para el Atlántico </w:t>
      </w:r>
      <w:r w:rsidR="007F6A10" w:rsidRPr="00347CBB">
        <w:t>este</w:t>
      </w:r>
      <w:r w:rsidRPr="00347CBB">
        <w:t xml:space="preserve"> y el Mediterráneo, que se adjunta como</w:t>
      </w:r>
      <w:r w:rsidRPr="00347CBB">
        <w:rPr>
          <w:b/>
          <w:bCs/>
        </w:rPr>
        <w:t xml:space="preserve"> Apéndice 1</w:t>
      </w:r>
      <w:r w:rsidRPr="00347CBB">
        <w:t xml:space="preserve"> para su debate con otras CPC.</w:t>
      </w:r>
    </w:p>
    <w:p w14:paraId="5D8369E7" w14:textId="77777777" w:rsidR="007F6A10" w:rsidRDefault="007F6A10" w:rsidP="00A97379">
      <w:pPr>
        <w:pStyle w:val="Heading1"/>
        <w:spacing w:before="0"/>
        <w:ind w:right="430"/>
      </w:pPr>
    </w:p>
    <w:p w14:paraId="57CA3B83" w14:textId="031526F0" w:rsidR="00A97379" w:rsidRDefault="005B0D22" w:rsidP="00A97379">
      <w:pPr>
        <w:pStyle w:val="Heading1"/>
        <w:spacing w:before="0"/>
        <w:ind w:right="430"/>
        <w:rPr>
          <w:spacing w:val="3"/>
        </w:rPr>
      </w:pPr>
      <w:r>
        <w:t xml:space="preserve">Proyecto de Recomendación de ICCAT que enmienda la Recomendación 22-10 y la Recomendación 24-05. </w:t>
      </w:r>
    </w:p>
    <w:p w14:paraId="61982589" w14:textId="67A8F4F5" w:rsidR="0099666E" w:rsidRPr="003B6E90" w:rsidRDefault="0099666E" w:rsidP="00A97379">
      <w:pPr>
        <w:pStyle w:val="Heading1"/>
        <w:spacing w:before="0"/>
        <w:ind w:right="430"/>
      </w:pPr>
    </w:p>
    <w:p w14:paraId="24E4EE42" w14:textId="77777777" w:rsidR="0099666E" w:rsidRPr="003B6E90" w:rsidRDefault="005B0D22" w:rsidP="00A97379">
      <w:pPr>
        <w:ind w:right="430"/>
        <w:jc w:val="center"/>
        <w:rPr>
          <w:sz w:val="20"/>
        </w:rPr>
      </w:pPr>
      <w:r>
        <w:rPr>
          <w:sz w:val="20"/>
        </w:rPr>
        <w:t>(</w:t>
      </w:r>
      <w:r>
        <w:rPr>
          <w:i/>
          <w:sz w:val="20"/>
        </w:rPr>
        <w:t>Documento presentado por Estados Unidos</w:t>
      </w:r>
      <w:r>
        <w:rPr>
          <w:sz w:val="20"/>
        </w:rPr>
        <w:t>)</w:t>
      </w:r>
    </w:p>
    <w:p w14:paraId="7D952C9E" w14:textId="77777777" w:rsidR="0099666E" w:rsidRPr="003B6E90" w:rsidRDefault="0099666E" w:rsidP="00A97379">
      <w:pPr>
        <w:pStyle w:val="BodyText"/>
      </w:pPr>
    </w:p>
    <w:p w14:paraId="5EDDB703" w14:textId="4F12F17C" w:rsidR="0099666E" w:rsidRPr="00B267FC" w:rsidRDefault="005B0D22" w:rsidP="00A97379">
      <w:pPr>
        <w:pStyle w:val="Heading2"/>
        <w:ind w:left="0"/>
        <w:jc w:val="both"/>
        <w:rPr>
          <w:b w:val="0"/>
          <w:bCs w:val="0"/>
          <w:i w:val="0"/>
        </w:rPr>
      </w:pPr>
      <w:r w:rsidRPr="00B267FC">
        <w:rPr>
          <w:b w:val="0"/>
          <w:bCs w:val="0"/>
          <w:i w:val="0"/>
          <w:iCs w:val="0"/>
        </w:rPr>
        <w:t>Se añadirá el siguiente texto al preámbulo de la</w:t>
      </w:r>
      <w:r w:rsidRPr="00B267FC">
        <w:rPr>
          <w:b w:val="0"/>
          <w:bCs w:val="0"/>
        </w:rPr>
        <w:t xml:space="preserve"> Recomendación de ICCAT para un plan de conservación y ordenación para el atún rojo del Atlántico oeste (22-10)</w:t>
      </w:r>
      <w:r w:rsidRPr="00B267FC">
        <w:rPr>
          <w:b w:val="0"/>
          <w:bCs w:val="0"/>
          <w:i w:val="0"/>
          <w:iCs w:val="0"/>
        </w:rPr>
        <w:t xml:space="preserve"> </w:t>
      </w:r>
      <w:r w:rsidR="00B267FC" w:rsidRPr="00B267FC">
        <w:rPr>
          <w:b w:val="0"/>
          <w:bCs w:val="0"/>
          <w:i w:val="0"/>
          <w:iCs w:val="0"/>
        </w:rPr>
        <w:t>y</w:t>
      </w:r>
      <w:r w:rsidRPr="00B267FC">
        <w:rPr>
          <w:b w:val="0"/>
          <w:bCs w:val="0"/>
          <w:i w:val="0"/>
          <w:iCs w:val="0"/>
        </w:rPr>
        <w:t xml:space="preserve"> de la</w:t>
      </w:r>
      <w:r w:rsidRPr="00B267FC">
        <w:rPr>
          <w:b w:val="0"/>
          <w:bCs w:val="0"/>
        </w:rPr>
        <w:t xml:space="preserve"> Recomendación de ICCAT que enmienda la Recomendación 22-08 que establece un plan de ordenación plurianual para el atún rojo en el Atlántico este y Mediterráneo (</w:t>
      </w:r>
      <w:r w:rsidRPr="006B2762">
        <w:rPr>
          <w:b w:val="0"/>
          <w:bCs w:val="0"/>
          <w:i w:val="0"/>
          <w:iCs w:val="0"/>
        </w:rPr>
        <w:t>Rec. </w:t>
      </w:r>
      <w:r w:rsidR="00F11E4A" w:rsidRPr="006B2762">
        <w:rPr>
          <w:b w:val="0"/>
          <w:bCs w:val="0"/>
          <w:i w:val="0"/>
          <w:iCs w:val="0"/>
        </w:rPr>
        <w:t>24</w:t>
      </w:r>
      <w:r w:rsidRPr="006B2762">
        <w:rPr>
          <w:b w:val="0"/>
          <w:bCs w:val="0"/>
          <w:i w:val="0"/>
          <w:iCs w:val="0"/>
        </w:rPr>
        <w:t>-05):</w:t>
      </w:r>
    </w:p>
    <w:p w14:paraId="7AC2D39D" w14:textId="77777777" w:rsidR="0099666E" w:rsidRPr="003B6E90" w:rsidRDefault="0099666E" w:rsidP="00A97379">
      <w:pPr>
        <w:pStyle w:val="BodyText"/>
        <w:spacing w:before="4"/>
        <w:ind w:right="15"/>
      </w:pPr>
    </w:p>
    <w:p w14:paraId="1F3D32F6" w14:textId="63A9B475" w:rsidR="0099666E" w:rsidRPr="003B6E90" w:rsidRDefault="005B0D22" w:rsidP="00CE20A6">
      <w:pPr>
        <w:pStyle w:val="BodyText"/>
        <w:ind w:right="15" w:firstLine="426"/>
        <w:jc w:val="both"/>
        <w:rPr>
          <w:u w:val="single"/>
        </w:rPr>
      </w:pPr>
      <w:r w:rsidRPr="00D030E7">
        <w:rPr>
          <w:i/>
          <w:iCs/>
          <w:u w:val="single"/>
        </w:rPr>
        <w:t>RECONOCIENDO</w:t>
      </w:r>
      <w:r>
        <w:rPr>
          <w:u w:val="single"/>
        </w:rPr>
        <w:t xml:space="preserve"> los recientes avances científicos (como el marcado y otros estudios) realizados por el Comité Permanente de Investigación y Estadísticas (SCRS) para comprender el movimiento, la mezcla de poblaciones y la productividad del atún rojo del Atlántico, que demuestran que una parte sustancial de la biomasa del stock del Atlántico oriental pasa gran parte de su vida en el Atlántico occidental y que </w:t>
      </w:r>
      <w:r w:rsidR="00413DC8">
        <w:rPr>
          <w:u w:val="single"/>
        </w:rPr>
        <w:t xml:space="preserve">la población </w:t>
      </w:r>
      <w:r>
        <w:rPr>
          <w:u w:val="single"/>
        </w:rPr>
        <w:t>del Atlántico occidental es más abundante que en evaluaciones anteriores de stock;</w:t>
      </w:r>
    </w:p>
    <w:p w14:paraId="09D8C3D7" w14:textId="77777777" w:rsidR="0099666E" w:rsidRPr="003B6E90" w:rsidRDefault="0099666E" w:rsidP="00A97379">
      <w:pPr>
        <w:pStyle w:val="BodyText"/>
        <w:spacing w:before="8"/>
        <w:ind w:right="15"/>
        <w:rPr>
          <w:u w:val="single"/>
        </w:rPr>
      </w:pPr>
    </w:p>
    <w:p w14:paraId="5BDDB29F" w14:textId="77777777" w:rsidR="0099666E" w:rsidRPr="003B6E90" w:rsidRDefault="005B0D22" w:rsidP="00CE20A6">
      <w:pPr>
        <w:pStyle w:val="BodyText"/>
        <w:ind w:right="15" w:firstLine="426"/>
        <w:jc w:val="both"/>
        <w:rPr>
          <w:u w:val="single"/>
        </w:rPr>
      </w:pPr>
      <w:r w:rsidRPr="00D030E7">
        <w:rPr>
          <w:i/>
          <w:iCs/>
          <w:u w:val="single"/>
        </w:rPr>
        <w:t>SUBRAYANDO</w:t>
      </w:r>
      <w:r>
        <w:rPr>
          <w:u w:val="single"/>
        </w:rPr>
        <w:t xml:space="preserve"> que el acceso de las CPC a la asignación y a las posibilidades de pesca no debe verse limitado por la proximidad de una CPC al origen natal de un stock;</w:t>
      </w:r>
    </w:p>
    <w:p w14:paraId="631A5B58" w14:textId="77777777" w:rsidR="0099666E" w:rsidRPr="003B6E90" w:rsidRDefault="0099666E" w:rsidP="00A97379">
      <w:pPr>
        <w:pStyle w:val="BodyText"/>
        <w:spacing w:before="8"/>
        <w:ind w:right="15"/>
        <w:rPr>
          <w:u w:val="single"/>
        </w:rPr>
      </w:pPr>
    </w:p>
    <w:p w14:paraId="052F3A28" w14:textId="5FDE0DE3" w:rsidR="0099666E" w:rsidRPr="003B6E90" w:rsidRDefault="005B0D22" w:rsidP="00CE20A6">
      <w:pPr>
        <w:pStyle w:val="BodyText"/>
        <w:ind w:right="15" w:firstLine="426"/>
        <w:jc w:val="both"/>
        <w:rPr>
          <w:u w:val="single"/>
        </w:rPr>
      </w:pPr>
      <w:r>
        <w:rPr>
          <w:i/>
          <w:iCs/>
          <w:u w:val="single"/>
        </w:rPr>
        <w:t xml:space="preserve">RECONOCIENDO ADEMÁS </w:t>
      </w:r>
      <w:r>
        <w:rPr>
          <w:u w:val="single"/>
        </w:rPr>
        <w:t>que en la evaluación de stock de</w:t>
      </w:r>
      <w:r w:rsidR="00744F3C">
        <w:rPr>
          <w:u w:val="single"/>
        </w:rPr>
        <w:t xml:space="preserve"> atún rojo de</w:t>
      </w:r>
      <w:r>
        <w:rPr>
          <w:u w:val="single"/>
        </w:rPr>
        <w:t xml:space="preserve"> 2017 se incluyeron una serie de supuestos sobre el historial de capturas de atún rojo en el Atlántico este y el Mediterráneo, lo que dio lugar a un aumento del TAC oriental basado en un historial de pesca ilegal, no declarada y no reglamentada (IUU) y que se ha trasladado a los cálculos posteriores del TAC oriental;</w:t>
      </w:r>
    </w:p>
    <w:p w14:paraId="6AF6EBBE" w14:textId="77777777" w:rsidR="0099666E" w:rsidRPr="003B6E90" w:rsidRDefault="0099666E" w:rsidP="00A97379">
      <w:pPr>
        <w:pStyle w:val="BodyText"/>
        <w:ind w:right="15"/>
      </w:pPr>
    </w:p>
    <w:p w14:paraId="3DBEF7B7" w14:textId="3F356311" w:rsidR="0099666E" w:rsidRPr="00F337F1" w:rsidRDefault="00D030E7" w:rsidP="00A97379">
      <w:pPr>
        <w:ind w:right="15"/>
        <w:rPr>
          <w:sz w:val="20"/>
        </w:rPr>
      </w:pPr>
      <w:r w:rsidRPr="00F337F1">
        <w:rPr>
          <w:sz w:val="20"/>
        </w:rPr>
        <w:t>Las enmiendas propuestas a la</w:t>
      </w:r>
      <w:r w:rsidR="005B0D22" w:rsidRPr="00F337F1">
        <w:rPr>
          <w:sz w:val="20"/>
        </w:rPr>
        <w:t xml:space="preserve"> </w:t>
      </w:r>
      <w:hyperlink r:id="rId11" w:history="1">
        <w:r w:rsidR="005B0D22" w:rsidRPr="00F337F1">
          <w:rPr>
            <w:rStyle w:val="Hyperlink"/>
            <w:sz w:val="20"/>
          </w:rPr>
          <w:t>Rec. 22-10</w:t>
        </w:r>
      </w:hyperlink>
      <w:r w:rsidR="005B0D22" w:rsidRPr="00F337F1">
        <w:rPr>
          <w:i/>
          <w:sz w:val="20"/>
        </w:rPr>
        <w:t xml:space="preserve"> </w:t>
      </w:r>
      <w:r w:rsidRPr="00F337F1">
        <w:rPr>
          <w:sz w:val="20"/>
        </w:rPr>
        <w:t>son las siguientes</w:t>
      </w:r>
      <w:r w:rsidR="005B0D22" w:rsidRPr="00F337F1">
        <w:rPr>
          <w:sz w:val="20"/>
        </w:rPr>
        <w:t>:</w:t>
      </w:r>
    </w:p>
    <w:p w14:paraId="6231F1A8" w14:textId="77777777" w:rsidR="0099666E" w:rsidRPr="00F337F1" w:rsidRDefault="0099666E" w:rsidP="00A97379">
      <w:pPr>
        <w:pStyle w:val="BodyText"/>
        <w:spacing w:before="1"/>
        <w:ind w:right="15"/>
      </w:pPr>
    </w:p>
    <w:p w14:paraId="3110B37E" w14:textId="77777777" w:rsidR="0099666E" w:rsidRPr="00F337F1" w:rsidRDefault="005B0D22" w:rsidP="00A97379">
      <w:pPr>
        <w:pStyle w:val="ListParagraph"/>
        <w:numPr>
          <w:ilvl w:val="0"/>
          <w:numId w:val="3"/>
        </w:numPr>
        <w:tabs>
          <w:tab w:val="left" w:pos="426"/>
        </w:tabs>
        <w:ind w:left="0" w:right="15" w:firstLine="0"/>
        <w:rPr>
          <w:sz w:val="20"/>
        </w:rPr>
      </w:pPr>
      <w:r w:rsidRPr="00F337F1">
        <w:rPr>
          <w:color w:val="211F1F"/>
          <w:sz w:val="20"/>
        </w:rPr>
        <w:t>Actualización del párrafo 3 del siguiente modo:</w:t>
      </w:r>
    </w:p>
    <w:p w14:paraId="68C2AD1B" w14:textId="77777777" w:rsidR="0099666E" w:rsidRPr="00F337F1" w:rsidRDefault="0099666E" w:rsidP="00A97379">
      <w:pPr>
        <w:pStyle w:val="BodyText"/>
        <w:spacing w:before="2"/>
        <w:ind w:right="15"/>
      </w:pPr>
    </w:p>
    <w:p w14:paraId="0F77D7D4" w14:textId="6E6CC27F" w:rsidR="0099666E" w:rsidRPr="003B6E90" w:rsidRDefault="000A6580" w:rsidP="004D3B3E">
      <w:pPr>
        <w:pStyle w:val="BodyText"/>
        <w:ind w:left="851" w:right="15" w:hanging="425"/>
        <w:jc w:val="both"/>
      </w:pPr>
      <w:r w:rsidRPr="00F337F1">
        <w:rPr>
          <w:color w:val="211F1F"/>
        </w:rPr>
        <w:t>3.</w:t>
      </w:r>
      <w:r w:rsidRPr="00F337F1">
        <w:rPr>
          <w:color w:val="211F1F"/>
        </w:rPr>
        <w:tab/>
        <w:t>De conformidad</w:t>
      </w:r>
      <w:r>
        <w:rPr>
          <w:color w:val="211F1F"/>
        </w:rPr>
        <w:t xml:space="preserve"> con la aplicación del MP establecido en la Rec</w:t>
      </w:r>
      <w:r w:rsidRPr="00D86987">
        <w:rPr>
          <w:color w:val="211F1F"/>
          <w:u w:val="single"/>
        </w:rPr>
        <w:t>. 23-07 (que enmienda la Rec. 22-09)</w:t>
      </w:r>
      <w:r>
        <w:rPr>
          <w:color w:val="211F1F"/>
        </w:rPr>
        <w:t xml:space="preserve"> se establece un TAC anual, incluidos los descartes de peces muertos, de </w:t>
      </w:r>
      <w:r w:rsidRPr="00D86987">
        <w:rPr>
          <w:color w:val="211F1F"/>
          <w:u w:val="single"/>
        </w:rPr>
        <w:t>2.568 t</w:t>
      </w:r>
      <w:r>
        <w:rPr>
          <w:color w:val="211F1F"/>
        </w:rPr>
        <w:t xml:space="preserve"> para </w:t>
      </w:r>
      <w:r w:rsidRPr="001A62CB">
        <w:rPr>
          <w:color w:val="211F1F"/>
          <w:u w:val="single"/>
        </w:rPr>
        <w:t>2026</w:t>
      </w:r>
      <w:r>
        <w:rPr>
          <w:color w:val="211F1F"/>
        </w:rPr>
        <w:t xml:space="preserve">, </w:t>
      </w:r>
      <w:r w:rsidRPr="00D86987">
        <w:rPr>
          <w:color w:val="211F1F"/>
          <w:u w:val="single"/>
        </w:rPr>
        <w:t>2027 y 2028.</w:t>
      </w:r>
      <w:r>
        <w:rPr>
          <w:color w:val="211F1F"/>
        </w:rPr>
        <w:t xml:space="preserve"> Los TAC para el periodo </w:t>
      </w:r>
      <w:r w:rsidRPr="007C541E">
        <w:rPr>
          <w:color w:val="211F1F"/>
          <w:u w:val="single"/>
        </w:rPr>
        <w:t>2029-2031</w:t>
      </w:r>
      <w:r>
        <w:rPr>
          <w:color w:val="211F1F"/>
        </w:rPr>
        <w:t xml:space="preserve"> se establecerán en la reunión anual de ICCAT de </w:t>
      </w:r>
      <w:r w:rsidRPr="001A62CB">
        <w:rPr>
          <w:color w:val="211F1F"/>
          <w:u w:val="single"/>
        </w:rPr>
        <w:t>2028</w:t>
      </w:r>
      <w:r>
        <w:rPr>
          <w:color w:val="211F1F"/>
        </w:rPr>
        <w:t xml:space="preserve"> de acuerdo con la aplicación del MP.</w:t>
      </w:r>
    </w:p>
    <w:p w14:paraId="039F8C87" w14:textId="77777777" w:rsidR="0099666E" w:rsidRPr="003B6E90" w:rsidRDefault="0099666E" w:rsidP="00A97379">
      <w:pPr>
        <w:pStyle w:val="BodyText"/>
        <w:spacing w:before="1"/>
        <w:ind w:right="15"/>
      </w:pPr>
    </w:p>
    <w:p w14:paraId="1ADEC67A" w14:textId="69F98C92" w:rsidR="0099666E" w:rsidRPr="003B6E90" w:rsidRDefault="005B0D22" w:rsidP="00A97379">
      <w:pPr>
        <w:pStyle w:val="ListParagraph"/>
        <w:numPr>
          <w:ilvl w:val="0"/>
          <w:numId w:val="3"/>
        </w:numPr>
        <w:tabs>
          <w:tab w:val="left" w:pos="426"/>
        </w:tabs>
        <w:ind w:left="0" w:right="15" w:firstLine="0"/>
        <w:rPr>
          <w:sz w:val="20"/>
        </w:rPr>
      </w:pPr>
      <w:r>
        <w:rPr>
          <w:sz w:val="20"/>
        </w:rPr>
        <w:t xml:space="preserve">Sustitución del </w:t>
      </w:r>
      <w:r w:rsidR="007C541E">
        <w:rPr>
          <w:sz w:val="20"/>
        </w:rPr>
        <w:t>párrafo</w:t>
      </w:r>
      <w:r>
        <w:rPr>
          <w:sz w:val="20"/>
        </w:rPr>
        <w:t xml:space="preserve"> 5 a) por el siguiente texto:</w:t>
      </w:r>
    </w:p>
    <w:p w14:paraId="6F70E8F8" w14:textId="77777777" w:rsidR="0099666E" w:rsidRPr="003B6E90" w:rsidRDefault="0099666E" w:rsidP="00A97379">
      <w:pPr>
        <w:pStyle w:val="BodyText"/>
        <w:ind w:right="15"/>
      </w:pPr>
    </w:p>
    <w:p w14:paraId="30F41CD8" w14:textId="45EABD9C" w:rsidR="008D0815" w:rsidRPr="007A2B1D" w:rsidRDefault="008712BF" w:rsidP="004C66FC">
      <w:pPr>
        <w:pStyle w:val="ListParagraph"/>
        <w:numPr>
          <w:ilvl w:val="1"/>
          <w:numId w:val="3"/>
        </w:numPr>
        <w:tabs>
          <w:tab w:val="left" w:pos="861"/>
          <w:tab w:val="left" w:pos="863"/>
        </w:tabs>
        <w:ind w:right="140"/>
        <w:jc w:val="both"/>
        <w:rPr>
          <w:sz w:val="20"/>
          <w:u w:val="single"/>
        </w:rPr>
      </w:pPr>
      <w:r>
        <w:rPr>
          <w:sz w:val="20"/>
        </w:rPr>
        <w:tab/>
      </w:r>
      <w:r w:rsidR="008D0815" w:rsidRPr="007A2B1D">
        <w:rPr>
          <w:sz w:val="20"/>
          <w:u w:val="single"/>
        </w:rPr>
        <w:t>Además del TAC establecido en el párrafo 3, y reconociendo que el atún rojo del Atlántico se distribuye por todo el Atlántico y que los mejores datos científicos disponibles identifican claramente la presencia significativa de atún rojo del Atlántico de origen oriental en el Atlántico occidental, se restarán 6</w:t>
      </w:r>
      <w:r w:rsidR="009D3439" w:rsidRPr="007A2B1D">
        <w:rPr>
          <w:sz w:val="20"/>
          <w:u w:val="single"/>
        </w:rPr>
        <w:t>.</w:t>
      </w:r>
      <w:r w:rsidR="008D0815" w:rsidRPr="007A2B1D">
        <w:rPr>
          <w:sz w:val="20"/>
          <w:u w:val="single"/>
        </w:rPr>
        <w:t>000 t del TAC de atún rojo del Atlántico oriental establecido en la Recomendación 24-05 y se añadirán al TAC de atún rojo del Atlántico occidental, que se gestionará de conformidad con lo dispuesto en la Recomendación 22-10.</w:t>
      </w:r>
    </w:p>
    <w:p w14:paraId="60452D52" w14:textId="200344D7" w:rsidR="0099666E" w:rsidRPr="008D0815" w:rsidRDefault="0099666E" w:rsidP="008D0815">
      <w:pPr>
        <w:tabs>
          <w:tab w:val="left" w:pos="426"/>
          <w:tab w:val="left" w:pos="851"/>
        </w:tabs>
        <w:ind w:left="851" w:right="15" w:hanging="851"/>
        <w:jc w:val="both"/>
      </w:pPr>
    </w:p>
    <w:p w14:paraId="58E89A39" w14:textId="0D81638F" w:rsidR="0099666E" w:rsidRPr="003B6E90" w:rsidRDefault="005B0D22" w:rsidP="009D3439">
      <w:pPr>
        <w:pStyle w:val="ListParagraph"/>
        <w:numPr>
          <w:ilvl w:val="0"/>
          <w:numId w:val="3"/>
        </w:numPr>
        <w:tabs>
          <w:tab w:val="left" w:pos="426"/>
        </w:tabs>
        <w:ind w:left="0" w:right="15" w:firstLine="0"/>
        <w:rPr>
          <w:sz w:val="20"/>
        </w:rPr>
      </w:pPr>
      <w:r>
        <w:rPr>
          <w:sz w:val="20"/>
        </w:rPr>
        <w:t xml:space="preserve">Enmienda del primer </w:t>
      </w:r>
      <w:r w:rsidR="009D3439">
        <w:rPr>
          <w:sz w:val="20"/>
        </w:rPr>
        <w:t>apartado</w:t>
      </w:r>
      <w:r>
        <w:rPr>
          <w:sz w:val="20"/>
        </w:rPr>
        <w:t xml:space="preserve"> del </w:t>
      </w:r>
      <w:r w:rsidR="00133965">
        <w:rPr>
          <w:sz w:val="20"/>
        </w:rPr>
        <w:t>párrafo</w:t>
      </w:r>
      <w:r w:rsidR="00502011">
        <w:rPr>
          <w:sz w:val="20"/>
        </w:rPr>
        <w:t xml:space="preserve"> </w:t>
      </w:r>
      <w:r>
        <w:rPr>
          <w:sz w:val="20"/>
        </w:rPr>
        <w:t>5(b) del siguiente modo:</w:t>
      </w:r>
    </w:p>
    <w:p w14:paraId="6E716B13" w14:textId="77777777" w:rsidR="0099666E" w:rsidRPr="003B6E90" w:rsidRDefault="0099666E" w:rsidP="00A97379">
      <w:pPr>
        <w:pStyle w:val="BodyText"/>
        <w:ind w:right="15"/>
      </w:pPr>
    </w:p>
    <w:p w14:paraId="1025A719" w14:textId="088E28FB" w:rsidR="0099666E" w:rsidRPr="00A97379" w:rsidRDefault="005B0D22" w:rsidP="004D3B3E">
      <w:pPr>
        <w:pStyle w:val="ListParagraph"/>
        <w:numPr>
          <w:ilvl w:val="0"/>
          <w:numId w:val="5"/>
        </w:numPr>
        <w:tabs>
          <w:tab w:val="left" w:pos="861"/>
          <w:tab w:val="left" w:pos="863"/>
        </w:tabs>
        <w:ind w:left="851" w:right="15" w:hanging="425"/>
        <w:jc w:val="both"/>
        <w:rPr>
          <w:sz w:val="20"/>
        </w:rPr>
      </w:pPr>
      <w:r>
        <w:rPr>
          <w:color w:val="231F20"/>
          <w:sz w:val="20"/>
        </w:rPr>
        <w:t xml:space="preserve">Tras </w:t>
      </w:r>
      <w:r w:rsidRPr="00502011">
        <w:rPr>
          <w:color w:val="231F20"/>
          <w:sz w:val="20"/>
          <w:u w:val="single"/>
        </w:rPr>
        <w:t>añadir</w:t>
      </w:r>
      <w:r>
        <w:rPr>
          <w:color w:val="231F20"/>
          <w:sz w:val="20"/>
        </w:rPr>
        <w:t xml:space="preserve"> </w:t>
      </w:r>
      <w:r w:rsidRPr="00502011">
        <w:rPr>
          <w:strike/>
          <w:color w:val="231F20"/>
          <w:sz w:val="20"/>
        </w:rPr>
        <w:t>restar</w:t>
      </w:r>
      <w:r>
        <w:rPr>
          <w:color w:val="231F20"/>
          <w:sz w:val="20"/>
        </w:rPr>
        <w:t xml:space="preserve"> la</w:t>
      </w:r>
      <w:r w:rsidRPr="00502011">
        <w:rPr>
          <w:strike/>
          <w:color w:val="231F20"/>
          <w:sz w:val="20"/>
        </w:rPr>
        <w:t>s</w:t>
      </w:r>
      <w:r>
        <w:rPr>
          <w:color w:val="231F20"/>
          <w:sz w:val="20"/>
        </w:rPr>
        <w:t xml:space="preserve"> cantidad</w:t>
      </w:r>
      <w:r w:rsidRPr="00502011">
        <w:rPr>
          <w:strike/>
          <w:color w:val="231F20"/>
          <w:sz w:val="20"/>
        </w:rPr>
        <w:t>es</w:t>
      </w:r>
      <w:r>
        <w:rPr>
          <w:color w:val="231F20"/>
          <w:sz w:val="20"/>
        </w:rPr>
        <w:t xml:space="preserve"> indicada</w:t>
      </w:r>
      <w:r w:rsidRPr="00502011">
        <w:rPr>
          <w:strike/>
          <w:color w:val="231F20"/>
          <w:sz w:val="20"/>
        </w:rPr>
        <w:t>s</w:t>
      </w:r>
      <w:r>
        <w:rPr>
          <w:color w:val="231F20"/>
          <w:sz w:val="20"/>
        </w:rPr>
        <w:t xml:space="preserve"> en el párrafo 5 a</w:t>
      </w:r>
      <w:r w:rsidRPr="009601AE">
        <w:rPr>
          <w:color w:val="231F20"/>
          <w:sz w:val="20"/>
          <w:u w:val="single"/>
        </w:rPr>
        <w:t>) al TAC establecido en el párrafo 3,</w:t>
      </w:r>
      <w:r>
        <w:rPr>
          <w:color w:val="231F20"/>
          <w:sz w:val="20"/>
        </w:rPr>
        <w:t xml:space="preserve"> el </w:t>
      </w:r>
      <w:r w:rsidRPr="009601AE">
        <w:rPr>
          <w:strike/>
          <w:color w:val="231F20"/>
          <w:sz w:val="20"/>
        </w:rPr>
        <w:t>resto del</w:t>
      </w:r>
      <w:r>
        <w:rPr>
          <w:color w:val="231F20"/>
          <w:sz w:val="20"/>
        </w:rPr>
        <w:t xml:space="preserve"> TAC anual se asignará de la siguiente manera:</w:t>
      </w:r>
    </w:p>
    <w:p w14:paraId="0F8832D7" w14:textId="77777777" w:rsidR="0099666E" w:rsidRPr="003B6E90" w:rsidRDefault="0099666E" w:rsidP="00A97379">
      <w:pPr>
        <w:pStyle w:val="BodyText"/>
        <w:ind w:right="15"/>
      </w:pPr>
    </w:p>
    <w:p w14:paraId="771323E4" w14:textId="71F52360" w:rsidR="0099666E" w:rsidRPr="003B6E90" w:rsidRDefault="005B0D22" w:rsidP="00BA6B69">
      <w:pPr>
        <w:pStyle w:val="ListParagraph"/>
        <w:numPr>
          <w:ilvl w:val="0"/>
          <w:numId w:val="3"/>
        </w:numPr>
        <w:tabs>
          <w:tab w:val="left" w:pos="426"/>
        </w:tabs>
        <w:ind w:left="0" w:right="15" w:firstLine="0"/>
        <w:rPr>
          <w:sz w:val="20"/>
        </w:rPr>
      </w:pPr>
      <w:r>
        <w:rPr>
          <w:sz w:val="20"/>
        </w:rPr>
        <w:t>Enmienda del párrafo 5(c) del siguiente modo:</w:t>
      </w:r>
    </w:p>
    <w:p w14:paraId="3454CE1A" w14:textId="77777777" w:rsidR="0099666E" w:rsidRPr="003B6E90" w:rsidRDefault="0099666E" w:rsidP="00A97379">
      <w:pPr>
        <w:pStyle w:val="BodyText"/>
        <w:ind w:right="15"/>
      </w:pPr>
    </w:p>
    <w:p w14:paraId="3473810E" w14:textId="59EE91CC" w:rsidR="0099666E" w:rsidRPr="009C3195" w:rsidRDefault="005B0D22" w:rsidP="004D3B3E">
      <w:pPr>
        <w:pStyle w:val="ListParagraph"/>
        <w:numPr>
          <w:ilvl w:val="0"/>
          <w:numId w:val="5"/>
        </w:numPr>
        <w:tabs>
          <w:tab w:val="left" w:pos="861"/>
          <w:tab w:val="left" w:pos="863"/>
        </w:tabs>
        <w:ind w:left="851" w:right="15" w:hanging="425"/>
        <w:jc w:val="both"/>
        <w:rPr>
          <w:strike/>
          <w:sz w:val="20"/>
        </w:rPr>
      </w:pPr>
      <w:r>
        <w:rPr>
          <w:color w:val="231F20"/>
          <w:sz w:val="20"/>
        </w:rPr>
        <w:t>De conformidad con los párrafos 1, 3</w:t>
      </w:r>
      <w:r w:rsidRPr="009601AE">
        <w:rPr>
          <w:color w:val="231F20"/>
          <w:sz w:val="20"/>
          <w:u w:val="single"/>
        </w:rPr>
        <w:t>, 5 a)</w:t>
      </w:r>
      <w:r>
        <w:rPr>
          <w:color w:val="231F20"/>
          <w:sz w:val="20"/>
        </w:rPr>
        <w:t xml:space="preserve"> y 5 b), los TAC anuales para 202</w:t>
      </w:r>
      <w:r>
        <w:rPr>
          <w:color w:val="231F20"/>
          <w:sz w:val="20"/>
          <w:u w:val="single" w:color="231F20"/>
        </w:rPr>
        <w:t>6</w:t>
      </w:r>
      <w:r>
        <w:rPr>
          <w:strike/>
          <w:color w:val="231F20"/>
          <w:sz w:val="20"/>
        </w:rPr>
        <w:t>3</w:t>
      </w:r>
      <w:r>
        <w:rPr>
          <w:color w:val="231F20"/>
          <w:sz w:val="20"/>
        </w:rPr>
        <w:t>-202</w:t>
      </w:r>
      <w:r>
        <w:rPr>
          <w:color w:val="231F20"/>
          <w:sz w:val="20"/>
          <w:u w:val="single" w:color="231F20"/>
        </w:rPr>
        <w:t>8</w:t>
      </w:r>
      <w:r>
        <w:rPr>
          <w:strike/>
          <w:color w:val="231F20"/>
          <w:sz w:val="20"/>
        </w:rPr>
        <w:t>5</w:t>
      </w:r>
      <w:r>
        <w:rPr>
          <w:color w:val="231F20"/>
          <w:sz w:val="20"/>
        </w:rPr>
        <w:t xml:space="preserve"> darán lugar a las siguientes asignaciones de cuota específicas de cada CPC, </w:t>
      </w:r>
      <w:r w:rsidRPr="009C3195">
        <w:rPr>
          <w:strike/>
          <w:color w:val="231F20"/>
          <w:sz w:val="20"/>
        </w:rPr>
        <w:t>sin incluir la tolerancia para captura fortuita mencionada en el párrafo 5 a)</w:t>
      </w:r>
      <w:r w:rsidRPr="00FD4E44">
        <w:rPr>
          <w:color w:val="231F20"/>
          <w:sz w:val="20"/>
        </w:rPr>
        <w:t>:</w:t>
      </w:r>
    </w:p>
    <w:p w14:paraId="4E2AC61C" w14:textId="77777777" w:rsidR="0099666E" w:rsidRDefault="0099666E" w:rsidP="00A97379">
      <w:pPr>
        <w:pStyle w:val="BodyText"/>
        <w:spacing w:before="62"/>
        <w:ind w:right="15"/>
      </w:pPr>
    </w:p>
    <w:p w14:paraId="59FEF9B6" w14:textId="77777777" w:rsidR="003B6E90" w:rsidRDefault="003B6E90" w:rsidP="00A97379">
      <w:pPr>
        <w:pStyle w:val="BodyText"/>
        <w:spacing w:before="62"/>
        <w:ind w:right="15"/>
      </w:pPr>
    </w:p>
    <w:p w14:paraId="25BE9748" w14:textId="77777777" w:rsidR="003B6E90" w:rsidRDefault="003B6E90" w:rsidP="00A97379">
      <w:pPr>
        <w:pStyle w:val="BodyText"/>
        <w:spacing w:before="62"/>
        <w:ind w:right="15"/>
      </w:pPr>
    </w:p>
    <w:p w14:paraId="1BBE68AB" w14:textId="77777777" w:rsidR="003B6E90" w:rsidRDefault="003B6E90" w:rsidP="00A97379">
      <w:pPr>
        <w:pStyle w:val="BodyText"/>
        <w:spacing w:before="62"/>
        <w:ind w:right="15"/>
      </w:pPr>
    </w:p>
    <w:p w14:paraId="064EDB70" w14:textId="77777777" w:rsidR="00CE20A6" w:rsidRDefault="00CE20A6" w:rsidP="00A97379">
      <w:pPr>
        <w:pStyle w:val="BodyText"/>
        <w:spacing w:before="62"/>
        <w:ind w:right="15"/>
      </w:pPr>
    </w:p>
    <w:p w14:paraId="64A4E91E" w14:textId="77777777" w:rsidR="00CE20A6" w:rsidRDefault="00CE20A6" w:rsidP="00895E24">
      <w:pPr>
        <w:pStyle w:val="BodyText"/>
        <w:spacing w:before="62"/>
        <w:ind w:right="15"/>
      </w:pPr>
    </w:p>
    <w:p w14:paraId="34303CBF" w14:textId="77777777" w:rsidR="00895E24" w:rsidRDefault="00895E24" w:rsidP="00895E24">
      <w:pPr>
        <w:ind w:right="15"/>
        <w:jc w:val="center"/>
        <w:rPr>
          <w:i/>
          <w:color w:val="231F20"/>
          <w:spacing w:val="-10"/>
          <w:sz w:val="20"/>
        </w:rPr>
      </w:pP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127"/>
      </w:tblGrid>
      <w:tr w:rsidR="00895E24" w:rsidRPr="00F5068D" w14:paraId="46ED2A0B" w14:textId="77777777" w:rsidTr="00E3332D">
        <w:trPr>
          <w:trHeight w:val="516"/>
          <w:jc w:val="center"/>
        </w:trPr>
        <w:tc>
          <w:tcPr>
            <w:tcW w:w="6091" w:type="dxa"/>
            <w:gridSpan w:val="2"/>
            <w:tcBorders>
              <w:top w:val="single" w:sz="4" w:space="0" w:color="auto"/>
              <w:bottom w:val="single" w:sz="4" w:space="0" w:color="auto"/>
            </w:tcBorders>
            <w:vAlign w:val="center"/>
          </w:tcPr>
          <w:p w14:paraId="01F24928" w14:textId="51F16106" w:rsidR="00895E24" w:rsidRPr="00DF265B" w:rsidRDefault="00895E24" w:rsidP="00895E24">
            <w:pPr>
              <w:ind w:right="15"/>
              <w:jc w:val="center"/>
              <w:rPr>
                <w:color w:val="231F20"/>
                <w:u w:val="single" w:color="231F20"/>
                <w:lang w:val="pt-BR"/>
              </w:rPr>
            </w:pPr>
            <w:r w:rsidRPr="00DF265B">
              <w:rPr>
                <w:i/>
                <w:color w:val="231F20"/>
                <w:sz w:val="20"/>
                <w:lang w:val="pt-BR"/>
              </w:rPr>
              <w:t>TAC Anual para r 202</w:t>
            </w:r>
            <w:r w:rsidRPr="00DF265B">
              <w:rPr>
                <w:i/>
                <w:color w:val="231F20"/>
                <w:sz w:val="20"/>
                <w:u w:val="single" w:color="231F20"/>
                <w:lang w:val="pt-BR"/>
              </w:rPr>
              <w:t>6</w:t>
            </w:r>
            <w:r w:rsidRPr="00DF265B">
              <w:rPr>
                <w:i/>
                <w:strike/>
                <w:color w:val="231F20"/>
                <w:sz w:val="20"/>
                <w:lang w:val="pt-BR"/>
              </w:rPr>
              <w:t>3</w:t>
            </w:r>
            <w:r w:rsidRPr="00DF265B">
              <w:rPr>
                <w:i/>
                <w:color w:val="231F20"/>
                <w:sz w:val="20"/>
                <w:lang w:val="pt-BR"/>
              </w:rPr>
              <w:t>-202</w:t>
            </w:r>
            <w:r w:rsidRPr="00DF265B">
              <w:rPr>
                <w:i/>
                <w:color w:val="231F20"/>
                <w:sz w:val="20"/>
                <w:u w:val="single" w:color="231F20"/>
                <w:lang w:val="pt-BR"/>
              </w:rPr>
              <w:t>8</w:t>
            </w:r>
            <w:r w:rsidRPr="00DF265B">
              <w:rPr>
                <w:i/>
                <w:strike/>
                <w:color w:val="231F20"/>
                <w:sz w:val="20"/>
                <w:lang w:val="pt-BR"/>
              </w:rPr>
              <w:t>5</w:t>
            </w:r>
            <w:r w:rsidRPr="00DF265B">
              <w:rPr>
                <w:i/>
                <w:color w:val="231F20"/>
                <w:sz w:val="20"/>
                <w:lang w:val="pt-BR"/>
              </w:rPr>
              <w:t xml:space="preserve">: </w:t>
            </w:r>
            <w:r w:rsidRPr="00DF265B">
              <w:rPr>
                <w:color w:val="231F20"/>
                <w:sz w:val="20"/>
                <w:lang w:val="pt-BR"/>
              </w:rPr>
              <w:t>8</w:t>
            </w:r>
            <w:r w:rsidR="00551729">
              <w:rPr>
                <w:color w:val="231F20"/>
                <w:sz w:val="20"/>
                <w:lang w:val="pt-BR"/>
              </w:rPr>
              <w:t>.</w:t>
            </w:r>
            <w:r w:rsidRPr="00DF265B">
              <w:rPr>
                <w:color w:val="231F20"/>
                <w:sz w:val="20"/>
                <w:lang w:val="pt-BR"/>
              </w:rPr>
              <w:t xml:space="preserve">568 </w:t>
            </w:r>
            <w:r w:rsidRPr="00DF265B">
              <w:rPr>
                <w:i/>
                <w:strike/>
                <w:color w:val="231F20"/>
                <w:sz w:val="20"/>
                <w:lang w:val="pt-BR"/>
              </w:rPr>
              <w:t>2</w:t>
            </w:r>
            <w:r w:rsidR="00551729">
              <w:rPr>
                <w:i/>
                <w:strike/>
                <w:color w:val="231F20"/>
                <w:sz w:val="20"/>
                <w:lang w:val="pt-BR"/>
              </w:rPr>
              <w:t>.</w:t>
            </w:r>
            <w:r w:rsidRPr="00DF265B">
              <w:rPr>
                <w:i/>
                <w:strike/>
                <w:color w:val="231F20"/>
                <w:sz w:val="20"/>
                <w:lang w:val="pt-BR"/>
              </w:rPr>
              <w:t>726</w:t>
            </w:r>
            <w:r w:rsidRPr="00DF265B">
              <w:rPr>
                <w:i/>
                <w:color w:val="231F20"/>
                <w:sz w:val="20"/>
                <w:lang w:val="pt-BR"/>
              </w:rPr>
              <w:t xml:space="preserve"> t</w:t>
            </w:r>
          </w:p>
        </w:tc>
      </w:tr>
      <w:tr w:rsidR="00895E24" w14:paraId="65AD047A" w14:textId="77777777" w:rsidTr="00E3332D">
        <w:trPr>
          <w:trHeight w:val="408"/>
          <w:jc w:val="center"/>
        </w:trPr>
        <w:tc>
          <w:tcPr>
            <w:tcW w:w="3964" w:type="dxa"/>
            <w:tcBorders>
              <w:top w:val="single" w:sz="4" w:space="0" w:color="auto"/>
            </w:tcBorders>
            <w:vAlign w:val="center"/>
          </w:tcPr>
          <w:p w14:paraId="50FCCD6A" w14:textId="71B256DC" w:rsidR="00895E24" w:rsidRPr="00895E24" w:rsidRDefault="00895E24" w:rsidP="00895E24">
            <w:pPr>
              <w:ind w:right="15"/>
              <w:rPr>
                <w:i/>
                <w:sz w:val="20"/>
                <w:szCs w:val="20"/>
              </w:rPr>
            </w:pPr>
            <w:r>
              <w:rPr>
                <w:color w:val="231F20"/>
                <w:sz w:val="20"/>
              </w:rPr>
              <w:t>Estados Unidos</w:t>
            </w:r>
          </w:p>
        </w:tc>
        <w:tc>
          <w:tcPr>
            <w:tcW w:w="2127" w:type="dxa"/>
            <w:tcBorders>
              <w:top w:val="single" w:sz="4" w:space="0" w:color="auto"/>
            </w:tcBorders>
            <w:vAlign w:val="center"/>
          </w:tcPr>
          <w:p w14:paraId="0D6137F9" w14:textId="445F0D49" w:rsidR="00895E24" w:rsidRPr="00895E24" w:rsidRDefault="00895E24" w:rsidP="00AF50EF">
            <w:pPr>
              <w:pStyle w:val="BodyText"/>
              <w:jc w:val="center"/>
              <w:rPr>
                <w:i/>
              </w:rPr>
            </w:pPr>
            <w:r>
              <w:rPr>
                <w:color w:val="231F20"/>
              </w:rPr>
              <w:t xml:space="preserve">   </w:t>
            </w:r>
            <w:r>
              <w:rPr>
                <w:color w:val="231F20"/>
                <w:u w:val="single" w:color="231F20"/>
              </w:rPr>
              <w:t>4</w:t>
            </w:r>
            <w:r w:rsidR="00A82735">
              <w:rPr>
                <w:color w:val="231F20"/>
                <w:u w:val="single" w:color="231F20"/>
              </w:rPr>
              <w:t>.</w:t>
            </w:r>
            <w:r>
              <w:rPr>
                <w:color w:val="231F20"/>
                <w:u w:val="single" w:color="231F20"/>
              </w:rPr>
              <w:t>198</w:t>
            </w:r>
            <w:r w:rsidR="00A82735">
              <w:rPr>
                <w:color w:val="231F20"/>
                <w:u w:val="single" w:color="231F20"/>
              </w:rPr>
              <w:t>,</w:t>
            </w:r>
            <w:r>
              <w:rPr>
                <w:color w:val="231F20"/>
                <w:u w:val="single" w:color="231F20"/>
              </w:rPr>
              <w:t>32</w:t>
            </w:r>
            <w:r>
              <w:rPr>
                <w:color w:val="231F20"/>
              </w:rPr>
              <w:t xml:space="preserve"> </w:t>
            </w:r>
            <w:r>
              <w:rPr>
                <w:strike/>
                <w:color w:val="231F20"/>
              </w:rPr>
              <w:t>1</w:t>
            </w:r>
            <w:r w:rsidR="00A82735">
              <w:rPr>
                <w:strike/>
                <w:color w:val="231F20"/>
              </w:rPr>
              <w:t>.</w:t>
            </w:r>
            <w:r>
              <w:rPr>
                <w:strike/>
                <w:color w:val="231F20"/>
              </w:rPr>
              <w:t>316</w:t>
            </w:r>
            <w:r w:rsidR="008B109E">
              <w:rPr>
                <w:strike/>
                <w:color w:val="231F20"/>
              </w:rPr>
              <w:t>,</w:t>
            </w:r>
            <w:r>
              <w:rPr>
                <w:strike/>
                <w:color w:val="231F20"/>
              </w:rPr>
              <w:t>14</w:t>
            </w:r>
            <w:r>
              <w:rPr>
                <w:color w:val="231F20"/>
              </w:rPr>
              <w:t xml:space="preserve"> t</w:t>
            </w:r>
          </w:p>
        </w:tc>
      </w:tr>
      <w:tr w:rsidR="00895E24" w14:paraId="40C51D46" w14:textId="77777777" w:rsidTr="00E3332D">
        <w:trPr>
          <w:trHeight w:val="324"/>
          <w:jc w:val="center"/>
        </w:trPr>
        <w:tc>
          <w:tcPr>
            <w:tcW w:w="3964" w:type="dxa"/>
            <w:vAlign w:val="center"/>
          </w:tcPr>
          <w:p w14:paraId="39919EED" w14:textId="57C4FF65" w:rsidR="00895E24" w:rsidRPr="00895E24" w:rsidRDefault="00895E24" w:rsidP="00895E24">
            <w:pPr>
              <w:ind w:right="15"/>
              <w:rPr>
                <w:i/>
                <w:sz w:val="20"/>
                <w:szCs w:val="20"/>
              </w:rPr>
            </w:pPr>
            <w:r>
              <w:rPr>
                <w:color w:val="231F20"/>
                <w:sz w:val="20"/>
              </w:rPr>
              <w:t>Canadá</w:t>
            </w:r>
            <w:r>
              <w:rPr>
                <w:color w:val="231F20"/>
                <w:sz w:val="20"/>
              </w:rPr>
              <w:tab/>
            </w:r>
          </w:p>
        </w:tc>
        <w:tc>
          <w:tcPr>
            <w:tcW w:w="2127" w:type="dxa"/>
            <w:vAlign w:val="center"/>
          </w:tcPr>
          <w:p w14:paraId="228AC570" w14:textId="40BEE240" w:rsidR="00895E24" w:rsidRPr="00895E24" w:rsidRDefault="00895E24" w:rsidP="00AF50EF">
            <w:pPr>
              <w:pStyle w:val="BodyText"/>
              <w:jc w:val="center"/>
              <w:rPr>
                <w:i/>
              </w:rPr>
            </w:pPr>
            <w:r>
              <w:rPr>
                <w:color w:val="231F20"/>
                <w:u w:val="single" w:color="231F20"/>
              </w:rPr>
              <w:t>1</w:t>
            </w:r>
            <w:r w:rsidR="00A82735">
              <w:rPr>
                <w:color w:val="231F20"/>
                <w:u w:val="single" w:color="231F20"/>
              </w:rPr>
              <w:t>.</w:t>
            </w:r>
            <w:r>
              <w:rPr>
                <w:color w:val="231F20"/>
                <w:u w:val="single" w:color="231F20"/>
              </w:rPr>
              <w:t>734</w:t>
            </w:r>
            <w:r w:rsidR="00A82735">
              <w:rPr>
                <w:color w:val="231F20"/>
                <w:u w:val="single" w:color="231F20"/>
              </w:rPr>
              <w:t>,</w:t>
            </w:r>
            <w:r>
              <w:rPr>
                <w:color w:val="231F20"/>
                <w:u w:val="single" w:color="231F20"/>
              </w:rPr>
              <w:t>16</w:t>
            </w:r>
            <w:r>
              <w:rPr>
                <w:color w:val="231F20"/>
              </w:rPr>
              <w:t xml:space="preserve"> </w:t>
            </w:r>
            <w:r>
              <w:rPr>
                <w:strike/>
                <w:color w:val="231F20"/>
              </w:rPr>
              <w:t>543</w:t>
            </w:r>
            <w:r w:rsidR="00A82735">
              <w:rPr>
                <w:strike/>
                <w:color w:val="231F20"/>
              </w:rPr>
              <w:t>,</w:t>
            </w:r>
            <w:r>
              <w:rPr>
                <w:strike/>
                <w:color w:val="231F20"/>
              </w:rPr>
              <w:t>65</w:t>
            </w:r>
            <w:r>
              <w:rPr>
                <w:color w:val="231F20"/>
              </w:rPr>
              <w:t xml:space="preserve"> t</w:t>
            </w:r>
          </w:p>
        </w:tc>
      </w:tr>
      <w:tr w:rsidR="00895E24" w14:paraId="2304A904" w14:textId="77777777" w:rsidTr="00E3332D">
        <w:trPr>
          <w:trHeight w:val="342"/>
          <w:jc w:val="center"/>
        </w:trPr>
        <w:tc>
          <w:tcPr>
            <w:tcW w:w="3964" w:type="dxa"/>
            <w:vAlign w:val="center"/>
          </w:tcPr>
          <w:p w14:paraId="6500DA1F" w14:textId="45B7ED46" w:rsidR="00895E24" w:rsidRPr="00895E24" w:rsidRDefault="00895E24" w:rsidP="00895E24">
            <w:pPr>
              <w:ind w:right="15"/>
              <w:rPr>
                <w:i/>
                <w:sz w:val="20"/>
                <w:szCs w:val="20"/>
              </w:rPr>
            </w:pPr>
            <w:r>
              <w:rPr>
                <w:color w:val="231F20"/>
                <w:sz w:val="20"/>
              </w:rPr>
              <w:t>Japón</w:t>
            </w:r>
          </w:p>
        </w:tc>
        <w:tc>
          <w:tcPr>
            <w:tcW w:w="2127" w:type="dxa"/>
            <w:vAlign w:val="center"/>
          </w:tcPr>
          <w:p w14:paraId="6CBCD357" w14:textId="24F0C2F9" w:rsidR="00895E24" w:rsidRPr="00895E24" w:rsidRDefault="00895E24" w:rsidP="00AF50EF">
            <w:pPr>
              <w:pStyle w:val="BodyText"/>
              <w:jc w:val="center"/>
              <w:rPr>
                <w:i/>
              </w:rPr>
            </w:pPr>
            <w:r>
              <w:rPr>
                <w:color w:val="231F20"/>
                <w:u w:val="single" w:color="231F20"/>
              </w:rPr>
              <w:t>2</w:t>
            </w:r>
            <w:r w:rsidR="00A82735">
              <w:rPr>
                <w:color w:val="231F20"/>
                <w:u w:val="single" w:color="231F20"/>
              </w:rPr>
              <w:t>.</w:t>
            </w:r>
            <w:r>
              <w:rPr>
                <w:color w:val="231F20"/>
                <w:u w:val="single" w:color="231F20"/>
              </w:rPr>
              <w:t>119</w:t>
            </w:r>
            <w:r w:rsidR="00A82735">
              <w:rPr>
                <w:color w:val="231F20"/>
                <w:u w:val="single" w:color="231F20"/>
              </w:rPr>
              <w:t>,</w:t>
            </w:r>
            <w:r>
              <w:rPr>
                <w:color w:val="231F20"/>
                <w:u w:val="single" w:color="231F20"/>
              </w:rPr>
              <w:t>72</w:t>
            </w:r>
            <w:r>
              <w:rPr>
                <w:color w:val="231F20"/>
              </w:rPr>
              <w:t xml:space="preserve"> </w:t>
            </w:r>
            <w:r>
              <w:rPr>
                <w:strike/>
                <w:color w:val="231F20"/>
              </w:rPr>
              <w:t>664</w:t>
            </w:r>
            <w:r w:rsidR="00A82735">
              <w:rPr>
                <w:strike/>
                <w:color w:val="231F20"/>
              </w:rPr>
              <w:t>,</w:t>
            </w:r>
            <w:r>
              <w:rPr>
                <w:strike/>
                <w:color w:val="231F20"/>
              </w:rPr>
              <w:t>52</w:t>
            </w:r>
            <w:r>
              <w:rPr>
                <w:color w:val="231F20"/>
              </w:rPr>
              <w:t xml:space="preserve"> t</w:t>
            </w:r>
          </w:p>
        </w:tc>
      </w:tr>
      <w:tr w:rsidR="00895E24" w14:paraId="35493C72" w14:textId="77777777" w:rsidTr="00E3332D">
        <w:trPr>
          <w:trHeight w:val="391"/>
          <w:jc w:val="center"/>
        </w:trPr>
        <w:tc>
          <w:tcPr>
            <w:tcW w:w="3964" w:type="dxa"/>
            <w:vAlign w:val="center"/>
          </w:tcPr>
          <w:p w14:paraId="04D4D466" w14:textId="773A880E" w:rsidR="00895E24" w:rsidRPr="00895E24" w:rsidRDefault="00895E24" w:rsidP="00895E24">
            <w:pPr>
              <w:ind w:right="15"/>
              <w:rPr>
                <w:i/>
                <w:sz w:val="20"/>
                <w:szCs w:val="20"/>
              </w:rPr>
            </w:pPr>
            <w:r>
              <w:rPr>
                <w:color w:val="231F20"/>
                <w:sz w:val="20"/>
              </w:rPr>
              <w:t>Reino Unido (por Bermudas)</w:t>
            </w:r>
          </w:p>
        </w:tc>
        <w:tc>
          <w:tcPr>
            <w:tcW w:w="2127" w:type="dxa"/>
            <w:vAlign w:val="center"/>
          </w:tcPr>
          <w:p w14:paraId="73E50DA4" w14:textId="6A1268D6" w:rsidR="00895E24" w:rsidRPr="00895E24" w:rsidRDefault="00895E24" w:rsidP="00AF50EF">
            <w:pPr>
              <w:pStyle w:val="BodyText"/>
              <w:jc w:val="center"/>
              <w:rPr>
                <w:i/>
              </w:rPr>
            </w:pPr>
            <w:r>
              <w:rPr>
                <w:color w:val="231F20"/>
              </w:rPr>
              <w:t xml:space="preserve"> </w:t>
            </w:r>
            <w:r>
              <w:rPr>
                <w:color w:val="231F20"/>
                <w:u w:val="single" w:color="231F20"/>
              </w:rPr>
              <w:t>19</w:t>
            </w:r>
            <w:r w:rsidR="00A82735">
              <w:rPr>
                <w:color w:val="231F20"/>
                <w:u w:val="single" w:color="231F20"/>
              </w:rPr>
              <w:t>,</w:t>
            </w:r>
            <w:r>
              <w:rPr>
                <w:color w:val="231F20"/>
                <w:u w:val="single" w:color="231F20"/>
              </w:rPr>
              <w:t>71</w:t>
            </w:r>
            <w:r>
              <w:rPr>
                <w:color w:val="231F20"/>
              </w:rPr>
              <w:t xml:space="preserve"> </w:t>
            </w:r>
            <w:r>
              <w:rPr>
                <w:strike/>
                <w:color w:val="231F20"/>
              </w:rPr>
              <w:t>6</w:t>
            </w:r>
            <w:r w:rsidR="00A82735">
              <w:rPr>
                <w:strike/>
                <w:color w:val="231F20"/>
              </w:rPr>
              <w:t>,</w:t>
            </w:r>
            <w:r>
              <w:rPr>
                <w:strike/>
                <w:color w:val="231F20"/>
              </w:rPr>
              <w:t>18</w:t>
            </w:r>
            <w:r>
              <w:rPr>
                <w:color w:val="231F20"/>
              </w:rPr>
              <w:t xml:space="preserve"> t</w:t>
            </w:r>
          </w:p>
        </w:tc>
      </w:tr>
      <w:tr w:rsidR="00895E24" w14:paraId="6CBA1931" w14:textId="77777777" w:rsidTr="00E3332D">
        <w:trPr>
          <w:trHeight w:val="403"/>
          <w:jc w:val="center"/>
        </w:trPr>
        <w:tc>
          <w:tcPr>
            <w:tcW w:w="3964" w:type="dxa"/>
            <w:tcBorders>
              <w:bottom w:val="nil"/>
            </w:tcBorders>
            <w:vAlign w:val="center"/>
          </w:tcPr>
          <w:p w14:paraId="55A0C298" w14:textId="14CC504C" w:rsidR="00895E24" w:rsidRPr="00551729" w:rsidRDefault="00895E24" w:rsidP="00895E24">
            <w:pPr>
              <w:ind w:right="15"/>
              <w:rPr>
                <w:i/>
                <w:sz w:val="20"/>
                <w:szCs w:val="20"/>
              </w:rPr>
            </w:pPr>
            <w:r w:rsidRPr="00551729">
              <w:rPr>
                <w:color w:val="231F20"/>
                <w:sz w:val="20"/>
              </w:rPr>
              <w:t>Franc</w:t>
            </w:r>
            <w:r w:rsidR="00551729" w:rsidRPr="00551729">
              <w:rPr>
                <w:color w:val="231F20"/>
                <w:sz w:val="20"/>
              </w:rPr>
              <w:t>ia (por San Pedro y Miquelón</w:t>
            </w:r>
            <w:r w:rsidRPr="00551729">
              <w:rPr>
                <w:color w:val="231F20"/>
                <w:sz w:val="20"/>
              </w:rPr>
              <w:t>)</w:t>
            </w:r>
          </w:p>
        </w:tc>
        <w:tc>
          <w:tcPr>
            <w:tcW w:w="2127" w:type="dxa"/>
            <w:tcBorders>
              <w:bottom w:val="nil"/>
            </w:tcBorders>
            <w:vAlign w:val="center"/>
          </w:tcPr>
          <w:p w14:paraId="1356319D" w14:textId="1DB75F9D" w:rsidR="00895E24" w:rsidRPr="00895E24" w:rsidRDefault="00895E24" w:rsidP="00AF50EF">
            <w:pPr>
              <w:pStyle w:val="BodyText"/>
              <w:jc w:val="center"/>
              <w:rPr>
                <w:i/>
              </w:rPr>
            </w:pPr>
            <w:r w:rsidRPr="00551729">
              <w:rPr>
                <w:color w:val="231F20"/>
              </w:rPr>
              <w:t xml:space="preserve"> </w:t>
            </w:r>
            <w:r>
              <w:rPr>
                <w:color w:val="231F20"/>
                <w:u w:val="single" w:color="231F20"/>
              </w:rPr>
              <w:t>19</w:t>
            </w:r>
            <w:r w:rsidR="00A82735">
              <w:rPr>
                <w:color w:val="231F20"/>
                <w:u w:val="single" w:color="231F20"/>
              </w:rPr>
              <w:t>,</w:t>
            </w:r>
            <w:r>
              <w:rPr>
                <w:color w:val="231F20"/>
                <w:u w:val="single" w:color="231F20"/>
              </w:rPr>
              <w:t>71</w:t>
            </w:r>
            <w:r>
              <w:rPr>
                <w:color w:val="231F20"/>
              </w:rPr>
              <w:t xml:space="preserve"> </w:t>
            </w:r>
            <w:r>
              <w:rPr>
                <w:strike/>
                <w:color w:val="231F20"/>
              </w:rPr>
              <w:t>6</w:t>
            </w:r>
            <w:r w:rsidR="00A82735">
              <w:rPr>
                <w:strike/>
                <w:color w:val="231F20"/>
              </w:rPr>
              <w:t>,</w:t>
            </w:r>
            <w:r>
              <w:rPr>
                <w:strike/>
                <w:color w:val="231F20"/>
              </w:rPr>
              <w:t>18</w:t>
            </w:r>
            <w:r>
              <w:rPr>
                <w:color w:val="231F20"/>
              </w:rPr>
              <w:t xml:space="preserve"> t</w:t>
            </w:r>
          </w:p>
        </w:tc>
      </w:tr>
      <w:tr w:rsidR="00895E24" w14:paraId="2B0668C1" w14:textId="77777777" w:rsidTr="00E3332D">
        <w:trPr>
          <w:trHeight w:val="333"/>
          <w:jc w:val="center"/>
        </w:trPr>
        <w:tc>
          <w:tcPr>
            <w:tcW w:w="3964" w:type="dxa"/>
            <w:tcBorders>
              <w:top w:val="nil"/>
              <w:bottom w:val="single" w:sz="4" w:space="0" w:color="auto"/>
            </w:tcBorders>
            <w:vAlign w:val="center"/>
          </w:tcPr>
          <w:p w14:paraId="3A655FBE" w14:textId="435137D8" w:rsidR="00895E24" w:rsidRPr="00895E24" w:rsidRDefault="00895E24" w:rsidP="00895E24">
            <w:pPr>
              <w:ind w:right="15"/>
              <w:rPr>
                <w:i/>
                <w:sz w:val="20"/>
                <w:szCs w:val="20"/>
              </w:rPr>
            </w:pPr>
            <w:r>
              <w:rPr>
                <w:color w:val="231F20"/>
                <w:sz w:val="20"/>
              </w:rPr>
              <w:t>México</w:t>
            </w:r>
          </w:p>
        </w:tc>
        <w:tc>
          <w:tcPr>
            <w:tcW w:w="2127" w:type="dxa"/>
            <w:tcBorders>
              <w:top w:val="nil"/>
              <w:bottom w:val="single" w:sz="4" w:space="0" w:color="auto"/>
            </w:tcBorders>
            <w:vAlign w:val="center"/>
          </w:tcPr>
          <w:p w14:paraId="5E16C813" w14:textId="6F301A31" w:rsidR="00895E24" w:rsidRPr="00895E24" w:rsidRDefault="00895E24" w:rsidP="00AF50EF">
            <w:pPr>
              <w:pStyle w:val="BodyText"/>
              <w:jc w:val="center"/>
              <w:rPr>
                <w:i/>
              </w:rPr>
            </w:pPr>
            <w:r>
              <w:rPr>
                <w:color w:val="231F20"/>
              </w:rPr>
              <w:t xml:space="preserve">   </w:t>
            </w:r>
            <w:r>
              <w:rPr>
                <w:color w:val="231F20"/>
                <w:u w:val="single" w:color="231F20"/>
              </w:rPr>
              <w:t>476</w:t>
            </w:r>
            <w:r w:rsidR="00A82735">
              <w:rPr>
                <w:color w:val="231F20"/>
                <w:u w:val="single" w:color="231F20"/>
              </w:rPr>
              <w:t>,</w:t>
            </w:r>
            <w:r>
              <w:rPr>
                <w:color w:val="231F20"/>
                <w:u w:val="single" w:color="231F20"/>
              </w:rPr>
              <w:t>38</w:t>
            </w:r>
            <w:r>
              <w:rPr>
                <w:color w:val="231F20"/>
              </w:rPr>
              <w:t xml:space="preserve"> </w:t>
            </w:r>
            <w:r>
              <w:rPr>
                <w:strike/>
                <w:color w:val="231F20"/>
              </w:rPr>
              <w:t>149</w:t>
            </w:r>
            <w:r w:rsidR="00A82735">
              <w:rPr>
                <w:strike/>
                <w:color w:val="231F20"/>
              </w:rPr>
              <w:t>,</w:t>
            </w:r>
            <w:r>
              <w:rPr>
                <w:strike/>
                <w:color w:val="231F20"/>
              </w:rPr>
              <w:t>34</w:t>
            </w:r>
            <w:r>
              <w:rPr>
                <w:color w:val="231F20"/>
              </w:rPr>
              <w:t xml:space="preserve"> t</w:t>
            </w:r>
          </w:p>
        </w:tc>
      </w:tr>
    </w:tbl>
    <w:p w14:paraId="7B83F106" w14:textId="77777777" w:rsidR="00895E24" w:rsidRPr="003B6E90" w:rsidRDefault="00895E24" w:rsidP="00895E24">
      <w:pPr>
        <w:ind w:right="15"/>
        <w:jc w:val="center"/>
        <w:rPr>
          <w:i/>
          <w:sz w:val="20"/>
        </w:rPr>
      </w:pPr>
    </w:p>
    <w:p w14:paraId="76F9CDDC" w14:textId="77777777" w:rsidR="0099666E" w:rsidRDefault="005B0D22" w:rsidP="00895E24">
      <w:pPr>
        <w:pStyle w:val="BodyText"/>
        <w:spacing w:before="185"/>
        <w:ind w:right="15"/>
        <w:jc w:val="both"/>
        <w:rPr>
          <w:color w:val="231F20"/>
          <w:spacing w:val="-2"/>
        </w:rPr>
      </w:pPr>
      <w:r>
        <w:rPr>
          <w:color w:val="231F20"/>
        </w:rPr>
        <w:t>En ningún caso las asignaciones a Francia (por San Pedro y Miquelón) y Reino Unido (por Bermudas) serán inferiores a 4 t en un año determinado, a menos que la pesquería esté cerrada.</w:t>
      </w:r>
    </w:p>
    <w:p w14:paraId="685B5732" w14:textId="16C8AEA5" w:rsidR="007F2D0A" w:rsidRDefault="007F2D0A" w:rsidP="00895E24">
      <w:pPr>
        <w:pStyle w:val="BodyText"/>
        <w:spacing w:before="185"/>
        <w:ind w:right="15"/>
        <w:jc w:val="both"/>
        <w:rPr>
          <w:u w:val="single"/>
        </w:rPr>
      </w:pPr>
      <w:r>
        <w:rPr>
          <w:u w:val="single"/>
        </w:rPr>
        <w:t xml:space="preserve">Se permitirá a Japón </w:t>
      </w:r>
      <w:r w:rsidR="0020292F">
        <w:rPr>
          <w:u w:val="single"/>
        </w:rPr>
        <w:t>descontar</w:t>
      </w:r>
      <w:r>
        <w:rPr>
          <w:u w:val="single"/>
        </w:rPr>
        <w:t xml:space="preserve"> sus capturas de atún rojo al este de los 45 grados </w:t>
      </w:r>
      <w:r w:rsidR="00265916">
        <w:rPr>
          <w:u w:val="single"/>
        </w:rPr>
        <w:t>oeste de</w:t>
      </w:r>
      <w:r>
        <w:rPr>
          <w:u w:val="single"/>
        </w:rPr>
        <w:t xml:space="preserve"> su cuota de atún rojo del Atlántico occidental no capturad</w:t>
      </w:r>
      <w:r w:rsidR="00265916">
        <w:rPr>
          <w:u w:val="single"/>
        </w:rPr>
        <w:t>a</w:t>
      </w:r>
      <w:r>
        <w:rPr>
          <w:u w:val="single"/>
        </w:rPr>
        <w:t>.</w:t>
      </w:r>
    </w:p>
    <w:p w14:paraId="6DE14023" w14:textId="77777777" w:rsidR="005A7EAE" w:rsidRPr="007F2D0A" w:rsidRDefault="005A7EAE" w:rsidP="00895E24">
      <w:pPr>
        <w:pStyle w:val="BodyText"/>
        <w:spacing w:before="185"/>
        <w:ind w:right="15"/>
        <w:jc w:val="both"/>
        <w:rPr>
          <w:u w:val="single"/>
        </w:rPr>
      </w:pPr>
    </w:p>
    <w:p w14:paraId="163D68E3" w14:textId="561C686D" w:rsidR="005A7EAE" w:rsidRDefault="005A7EAE" w:rsidP="005A7EAE">
      <w:pPr>
        <w:pStyle w:val="ListParagraph"/>
        <w:numPr>
          <w:ilvl w:val="0"/>
          <w:numId w:val="8"/>
        </w:numPr>
        <w:tabs>
          <w:tab w:val="left" w:pos="426"/>
        </w:tabs>
        <w:ind w:left="426" w:right="15" w:hanging="426"/>
        <w:jc w:val="both"/>
        <w:rPr>
          <w:color w:val="231F20"/>
          <w:sz w:val="20"/>
          <w:szCs w:val="20"/>
        </w:rPr>
      </w:pPr>
      <w:r w:rsidRPr="005A7EAE">
        <w:rPr>
          <w:sz w:val="20"/>
          <w:szCs w:val="20"/>
        </w:rPr>
        <w:t>Añadir</w:t>
      </w:r>
      <w:r w:rsidRPr="005A7EAE">
        <w:rPr>
          <w:color w:val="231F20"/>
          <w:sz w:val="20"/>
          <w:szCs w:val="20"/>
        </w:rPr>
        <w:t xml:space="preserve"> un nuevo párrafo 12 bis en la sección «Investigación científica y requisitos en materia de datos y </w:t>
      </w:r>
      <w:r w:rsidR="008F35DD">
        <w:rPr>
          <w:color w:val="231F20"/>
          <w:sz w:val="20"/>
          <w:szCs w:val="20"/>
        </w:rPr>
        <w:t>comunicaciones</w:t>
      </w:r>
      <w:r w:rsidRPr="005A7EAE">
        <w:rPr>
          <w:color w:val="231F20"/>
          <w:sz w:val="20"/>
          <w:szCs w:val="20"/>
        </w:rPr>
        <w:t>»:</w:t>
      </w:r>
    </w:p>
    <w:p w14:paraId="37365F2A" w14:textId="77777777" w:rsidR="00D41094" w:rsidRPr="005A7EAE" w:rsidRDefault="00D41094" w:rsidP="007E208A">
      <w:pPr>
        <w:pStyle w:val="ListParagraph"/>
        <w:tabs>
          <w:tab w:val="left" w:pos="426"/>
        </w:tabs>
        <w:ind w:left="426" w:right="15" w:firstLine="0"/>
        <w:jc w:val="both"/>
        <w:rPr>
          <w:color w:val="231F20"/>
          <w:sz w:val="20"/>
          <w:szCs w:val="20"/>
        </w:rPr>
      </w:pPr>
    </w:p>
    <w:p w14:paraId="14C4C53D" w14:textId="7C391C10" w:rsidR="00D41094" w:rsidRPr="00D41094" w:rsidRDefault="00D41094" w:rsidP="007E208A">
      <w:pPr>
        <w:pStyle w:val="BodyText"/>
        <w:ind w:left="284" w:right="15" w:hanging="284"/>
        <w:jc w:val="both"/>
        <w:rPr>
          <w:u w:val="single"/>
        </w:rPr>
      </w:pPr>
      <w:r w:rsidRPr="00D41094">
        <w:rPr>
          <w:u w:val="single"/>
        </w:rPr>
        <w:t xml:space="preserve">12bis. El SCRS revisará las últimas investigaciones genéticas, incluidos los datos resultantes del marcado y recaptura de </w:t>
      </w:r>
      <w:r w:rsidR="007E208A">
        <w:rPr>
          <w:u w:val="single"/>
        </w:rPr>
        <w:t>individuos estrechamente emparentados</w:t>
      </w:r>
      <w:r w:rsidRPr="00D41094">
        <w:rPr>
          <w:u w:val="single"/>
        </w:rPr>
        <w:t>, y los resultados de</w:t>
      </w:r>
      <w:r w:rsidR="00A70C3B">
        <w:rPr>
          <w:u w:val="single"/>
        </w:rPr>
        <w:t xml:space="preserve"> los </w:t>
      </w:r>
      <w:r w:rsidRPr="00D41094">
        <w:rPr>
          <w:u w:val="single"/>
        </w:rPr>
        <w:t>programa</w:t>
      </w:r>
      <w:r w:rsidR="00A70C3B">
        <w:rPr>
          <w:u w:val="single"/>
        </w:rPr>
        <w:t>s</w:t>
      </w:r>
      <w:r w:rsidRPr="00D41094">
        <w:rPr>
          <w:u w:val="single"/>
        </w:rPr>
        <w:t xml:space="preserve"> de marcado, con el fin de proporcionar a la Comisión asesoramiento actualizado sobre la naturaleza y el alcance de la mezcla entre peces de origen oriental y occidental. De conformidad con la Recomendación 23-07, esta información se tendrá en cuenta y se incorporará a los componentes pertinentes del MP </w:t>
      </w:r>
      <w:r w:rsidR="00A70C3B">
        <w:rPr>
          <w:u w:val="single"/>
        </w:rPr>
        <w:t>para el</w:t>
      </w:r>
      <w:r w:rsidRPr="00D41094">
        <w:rPr>
          <w:u w:val="single"/>
        </w:rPr>
        <w:t xml:space="preserve"> atún rojo del Atlántico como parte de la revisión del MP del SCRS </w:t>
      </w:r>
      <w:r w:rsidR="00EF1F71">
        <w:rPr>
          <w:u w:val="single"/>
        </w:rPr>
        <w:t>desde ahora hasta</w:t>
      </w:r>
      <w:r w:rsidRPr="00D41094">
        <w:rPr>
          <w:u w:val="single"/>
        </w:rPr>
        <w:t xml:space="preserve"> 2028.</w:t>
      </w:r>
    </w:p>
    <w:p w14:paraId="5BCF6E1B" w14:textId="1648F44C" w:rsidR="00D41094" w:rsidRPr="00EF1F71" w:rsidRDefault="00D41094" w:rsidP="00D41094">
      <w:pPr>
        <w:pStyle w:val="BodyText"/>
        <w:ind w:right="15"/>
        <w:rPr>
          <w:u w:val="single"/>
        </w:rPr>
      </w:pPr>
    </w:p>
    <w:p w14:paraId="7D0E1829" w14:textId="2D3E3D22" w:rsidR="00895E24" w:rsidRPr="00EF1F71" w:rsidRDefault="00EF1F71" w:rsidP="00895E24">
      <w:pPr>
        <w:pStyle w:val="Heading2"/>
        <w:spacing w:before="1"/>
        <w:ind w:left="0"/>
        <w:rPr>
          <w:b w:val="0"/>
          <w:bCs w:val="0"/>
          <w:i w:val="0"/>
          <w:iCs w:val="0"/>
        </w:rPr>
      </w:pPr>
      <w:r w:rsidRPr="00EF1F71">
        <w:rPr>
          <w:b w:val="0"/>
          <w:bCs w:val="0"/>
          <w:i w:val="0"/>
          <w:iCs w:val="0"/>
        </w:rPr>
        <w:t xml:space="preserve">Las enmiendas propuestas a la </w:t>
      </w:r>
      <w:hyperlink r:id="rId12" w:history="1">
        <w:r w:rsidRPr="00EF1F71">
          <w:rPr>
            <w:rStyle w:val="Hyperlink"/>
            <w:b w:val="0"/>
            <w:i w:val="0"/>
            <w:u w:val="none"/>
          </w:rPr>
          <w:t>Rec. 24-05</w:t>
        </w:r>
      </w:hyperlink>
      <w:r w:rsidR="004F3172">
        <w:t xml:space="preserve"> </w:t>
      </w:r>
      <w:r w:rsidRPr="00EF1F71">
        <w:rPr>
          <w:b w:val="0"/>
          <w:bCs w:val="0"/>
          <w:i w:val="0"/>
          <w:iCs w:val="0"/>
        </w:rPr>
        <w:t>son las siguientes:</w:t>
      </w:r>
    </w:p>
    <w:p w14:paraId="639A1A9B" w14:textId="77777777" w:rsidR="0099666E" w:rsidRPr="003B6E90" w:rsidRDefault="005B0D22" w:rsidP="00895E24">
      <w:pPr>
        <w:pStyle w:val="ListParagraph"/>
        <w:numPr>
          <w:ilvl w:val="0"/>
          <w:numId w:val="1"/>
        </w:numPr>
        <w:tabs>
          <w:tab w:val="left" w:pos="426"/>
        </w:tabs>
        <w:spacing w:before="234"/>
        <w:ind w:left="0" w:right="15" w:firstLine="0"/>
        <w:rPr>
          <w:sz w:val="20"/>
        </w:rPr>
      </w:pPr>
      <w:r>
        <w:rPr>
          <w:sz w:val="20"/>
        </w:rPr>
        <w:t>Actualización de las dos primeras secciones del párrafo 4 de la siguiente manera:</w:t>
      </w:r>
    </w:p>
    <w:p w14:paraId="29FB9150" w14:textId="77777777" w:rsidR="0099666E" w:rsidRPr="003B6E90" w:rsidRDefault="0099666E" w:rsidP="00895E24">
      <w:pPr>
        <w:pStyle w:val="BodyText"/>
        <w:ind w:right="15"/>
      </w:pPr>
    </w:p>
    <w:p w14:paraId="75A4D143" w14:textId="5102A3BC" w:rsidR="001622F0" w:rsidRDefault="005B0D22" w:rsidP="00E931C9">
      <w:pPr>
        <w:autoSpaceDE/>
        <w:autoSpaceDN/>
        <w:ind w:left="709" w:hanging="283"/>
        <w:jc w:val="both"/>
        <w:rPr>
          <w:color w:val="000000"/>
          <w:sz w:val="20"/>
        </w:rPr>
      </w:pPr>
      <w:r w:rsidRPr="001622F0">
        <w:t>4.</w:t>
      </w:r>
      <w:r w:rsidRPr="001622F0">
        <w:tab/>
      </w:r>
      <w:r w:rsidR="001622F0" w:rsidRPr="001622F0">
        <w:rPr>
          <w:rFonts w:eastAsia="Times New Roman" w:cs="Times New Roman"/>
          <w:sz w:val="20"/>
          <w:szCs w:val="20"/>
          <w:lang w:bidi="en-US"/>
        </w:rPr>
        <w:t xml:space="preserve">Los totales admisibles de captura (TAC), incluidos los descartes muertos, para </w:t>
      </w:r>
      <w:r w:rsidR="00E931C9" w:rsidRPr="00E931C9">
        <w:rPr>
          <w:color w:val="000000"/>
          <w:sz w:val="20"/>
          <w:u w:val="single"/>
        </w:rPr>
        <w:t>2026-2028</w:t>
      </w:r>
      <w:r w:rsidR="001622F0" w:rsidRPr="001622F0">
        <w:rPr>
          <w:rFonts w:eastAsia="Times New Roman" w:cs="Times New Roman"/>
          <w:sz w:val="20"/>
          <w:szCs w:val="20"/>
          <w:lang w:bidi="en-US"/>
        </w:rPr>
        <w:t xml:space="preserve"> </w:t>
      </w:r>
      <w:r w:rsidR="001622F0" w:rsidRPr="001622F0">
        <w:rPr>
          <w:color w:val="000000"/>
          <w:sz w:val="20"/>
        </w:rPr>
        <w:t xml:space="preserve">hasta </w:t>
      </w:r>
      <w:r w:rsidR="001622F0" w:rsidRPr="001622F0">
        <w:rPr>
          <w:rFonts w:eastAsia="Times New Roman" w:cs="Times New Roman"/>
          <w:sz w:val="20"/>
          <w:szCs w:val="20"/>
          <w:lang w:bidi="en-US"/>
        </w:rPr>
        <w:t xml:space="preserve">se establecerán en </w:t>
      </w:r>
      <w:r w:rsidR="001622F0" w:rsidRPr="00AF49C0">
        <w:rPr>
          <w:color w:val="000000"/>
          <w:sz w:val="20"/>
          <w:u w:val="single"/>
        </w:rPr>
        <w:t>4</w:t>
      </w:r>
      <w:r w:rsidR="00E931C9" w:rsidRPr="00AF49C0">
        <w:rPr>
          <w:color w:val="000000"/>
          <w:sz w:val="20"/>
          <w:u w:val="single"/>
        </w:rPr>
        <w:t>8.</w:t>
      </w:r>
      <w:r w:rsidR="00AF49C0" w:rsidRPr="00AF49C0">
        <w:rPr>
          <w:color w:val="000000"/>
          <w:sz w:val="20"/>
          <w:u w:val="single"/>
        </w:rPr>
        <w:t>403</w:t>
      </w:r>
      <w:r w:rsidR="001622F0" w:rsidRPr="001622F0">
        <w:rPr>
          <w:rFonts w:eastAsia="Times New Roman" w:cs="Times New Roman"/>
          <w:sz w:val="20"/>
          <w:szCs w:val="20"/>
          <w:lang w:bidi="en-US"/>
        </w:rPr>
        <w:t xml:space="preserve"> t, de conformidad con el </w:t>
      </w:r>
      <w:r w:rsidR="001622F0" w:rsidRPr="001622F0">
        <w:rPr>
          <w:color w:val="000000"/>
          <w:sz w:val="20"/>
        </w:rPr>
        <w:t>MP</w:t>
      </w:r>
      <w:r w:rsidR="001622F0" w:rsidRPr="001622F0">
        <w:rPr>
          <w:rFonts w:eastAsia="Times New Roman" w:cs="Times New Roman"/>
          <w:sz w:val="20"/>
          <w:szCs w:val="20"/>
          <w:lang w:bidi="en-US"/>
        </w:rPr>
        <w:t xml:space="preserve">. Los TAC para </w:t>
      </w:r>
      <w:r w:rsidR="001622F0" w:rsidRPr="00AF49C0">
        <w:rPr>
          <w:color w:val="000000"/>
          <w:sz w:val="20"/>
          <w:u w:val="single"/>
        </w:rPr>
        <w:t>202</w:t>
      </w:r>
      <w:r w:rsidR="00AF49C0" w:rsidRPr="00AF49C0">
        <w:rPr>
          <w:color w:val="000000"/>
          <w:sz w:val="20"/>
          <w:u w:val="single"/>
        </w:rPr>
        <w:t>9</w:t>
      </w:r>
      <w:r w:rsidR="001622F0" w:rsidRPr="001622F0">
        <w:rPr>
          <w:rFonts w:eastAsia="Times New Roman" w:cs="Times New Roman"/>
          <w:sz w:val="20"/>
          <w:szCs w:val="20"/>
          <w:lang w:bidi="en-US"/>
        </w:rPr>
        <w:t xml:space="preserve"> y años posteriores se decidirán en la reunión anual de la Comisión de </w:t>
      </w:r>
      <w:r w:rsidR="001622F0" w:rsidRPr="007E45E9">
        <w:rPr>
          <w:color w:val="000000"/>
          <w:sz w:val="20"/>
          <w:u w:val="single"/>
        </w:rPr>
        <w:t>202</w:t>
      </w:r>
      <w:r w:rsidR="00AF49C0" w:rsidRPr="007E45E9">
        <w:rPr>
          <w:color w:val="000000"/>
          <w:sz w:val="20"/>
          <w:u w:val="single"/>
        </w:rPr>
        <w:t>8</w:t>
      </w:r>
      <w:r w:rsidR="001622F0" w:rsidRPr="001622F0">
        <w:rPr>
          <w:rFonts w:eastAsia="Times New Roman" w:cs="Times New Roman"/>
          <w:sz w:val="20"/>
          <w:szCs w:val="20"/>
          <w:lang w:bidi="en-US"/>
        </w:rPr>
        <w:t xml:space="preserve">, de conformidad con </w:t>
      </w:r>
      <w:r w:rsidR="001622F0" w:rsidRPr="001622F0">
        <w:rPr>
          <w:color w:val="000000"/>
          <w:sz w:val="20"/>
        </w:rPr>
        <w:t>el</w:t>
      </w:r>
      <w:r w:rsidR="001622F0" w:rsidRPr="001622F0">
        <w:rPr>
          <w:rFonts w:eastAsia="Times New Roman" w:cs="Times New Roman"/>
          <w:sz w:val="20"/>
          <w:szCs w:val="20"/>
          <w:lang w:bidi="en-US"/>
        </w:rPr>
        <w:t xml:space="preserve"> M</w:t>
      </w:r>
      <w:r w:rsidR="001622F0" w:rsidRPr="001622F0">
        <w:rPr>
          <w:color w:val="000000"/>
          <w:sz w:val="20"/>
        </w:rPr>
        <w:t>P.</w:t>
      </w:r>
    </w:p>
    <w:p w14:paraId="2EE19414" w14:textId="77777777" w:rsidR="00F94622" w:rsidRDefault="00F94622" w:rsidP="00E931C9">
      <w:pPr>
        <w:autoSpaceDE/>
        <w:autoSpaceDN/>
        <w:ind w:left="709" w:hanging="283"/>
        <w:jc w:val="both"/>
        <w:rPr>
          <w:color w:val="000000"/>
          <w:sz w:val="20"/>
        </w:rPr>
      </w:pPr>
    </w:p>
    <w:p w14:paraId="08AC25D4" w14:textId="7B7CABD7" w:rsidR="00F94622" w:rsidRPr="00F94622" w:rsidRDefault="00F94622" w:rsidP="00E931C9">
      <w:pPr>
        <w:autoSpaceDE/>
        <w:autoSpaceDN/>
        <w:ind w:left="709" w:hanging="283"/>
        <w:jc w:val="both"/>
        <w:rPr>
          <w:color w:val="000000"/>
          <w:sz w:val="20"/>
          <w:u w:val="single"/>
        </w:rPr>
      </w:pPr>
      <w:r w:rsidRPr="00F94622">
        <w:rPr>
          <w:color w:val="000000"/>
          <w:sz w:val="20"/>
          <w:u w:val="single"/>
        </w:rPr>
        <w:tab/>
        <w:t xml:space="preserve">Sin embargo, reconociendo que el atún rojo del </w:t>
      </w:r>
      <w:r w:rsidRPr="007A2B1D">
        <w:rPr>
          <w:color w:val="000000"/>
          <w:sz w:val="20"/>
          <w:u w:val="single"/>
        </w:rPr>
        <w:t>Atlántico se distribuye por todo el Atlántico y que los mejores datos científicos disponibles identifican claramente la presencia significativa de atún rojo del Atlántico de origen oriental en el Atlántico occidental, se resta</w:t>
      </w:r>
      <w:r w:rsidR="00B64D96" w:rsidRPr="007A2B1D">
        <w:rPr>
          <w:color w:val="000000"/>
          <w:sz w:val="20"/>
          <w:u w:val="single"/>
        </w:rPr>
        <w:t>rá</w:t>
      </w:r>
      <w:r w:rsidRPr="007A2B1D">
        <w:rPr>
          <w:color w:val="000000"/>
          <w:sz w:val="20"/>
          <w:u w:val="single"/>
        </w:rPr>
        <w:t>n 6</w:t>
      </w:r>
      <w:r w:rsidR="005C3E24" w:rsidRPr="007A2B1D">
        <w:rPr>
          <w:color w:val="000000"/>
          <w:sz w:val="20"/>
          <w:u w:val="single"/>
        </w:rPr>
        <w:t>.</w:t>
      </w:r>
      <w:r w:rsidRPr="007A2B1D">
        <w:rPr>
          <w:color w:val="000000"/>
          <w:sz w:val="20"/>
          <w:u w:val="single"/>
        </w:rPr>
        <w:t xml:space="preserve">000 </w:t>
      </w:r>
      <w:r w:rsidR="005C3E24" w:rsidRPr="007A2B1D">
        <w:rPr>
          <w:color w:val="000000"/>
          <w:sz w:val="20"/>
          <w:u w:val="single"/>
        </w:rPr>
        <w:t>t</w:t>
      </w:r>
      <w:r w:rsidRPr="007A2B1D">
        <w:rPr>
          <w:color w:val="000000"/>
          <w:sz w:val="20"/>
          <w:u w:val="single"/>
        </w:rPr>
        <w:t xml:space="preserve"> de </w:t>
      </w:r>
      <w:r w:rsidR="0085156C" w:rsidRPr="007A2B1D">
        <w:rPr>
          <w:color w:val="000000"/>
          <w:sz w:val="20"/>
          <w:u w:val="single"/>
        </w:rPr>
        <w:t>atún rojo</w:t>
      </w:r>
      <w:r w:rsidRPr="007A2B1D">
        <w:rPr>
          <w:color w:val="000000"/>
          <w:sz w:val="20"/>
          <w:u w:val="single"/>
        </w:rPr>
        <w:t xml:space="preserve"> de origen oriental del TAC anterior, con el fin de añadirlas al TAC de atún rojo del Atlántico occidental y gestionarlas de conformidad con lo dispuesto en la Recomendación 22-10</w:t>
      </w:r>
      <w:r w:rsidRPr="00F94622">
        <w:rPr>
          <w:color w:val="000000"/>
          <w:sz w:val="20"/>
          <w:u w:val="single"/>
        </w:rPr>
        <w:t>.</w:t>
      </w:r>
    </w:p>
    <w:p w14:paraId="4EFCF3CC" w14:textId="77777777" w:rsidR="001622F0" w:rsidRPr="001622F0" w:rsidRDefault="001622F0" w:rsidP="001622F0">
      <w:pPr>
        <w:tabs>
          <w:tab w:val="left" w:pos="993"/>
        </w:tabs>
        <w:autoSpaceDE/>
        <w:autoSpaceDN/>
        <w:ind w:left="426"/>
        <w:jc w:val="both"/>
        <w:rPr>
          <w:rFonts w:eastAsia="Times New Roman" w:cs="Times New Roman"/>
          <w:sz w:val="20"/>
          <w:szCs w:val="20"/>
          <w:lang w:bidi="en-US"/>
        </w:rPr>
      </w:pPr>
    </w:p>
    <w:p w14:paraId="5921A7B5" w14:textId="475924C3" w:rsidR="001622F0" w:rsidRPr="001622F0" w:rsidRDefault="0085156C" w:rsidP="0085156C">
      <w:pPr>
        <w:autoSpaceDE/>
        <w:autoSpaceDN/>
        <w:ind w:left="709" w:hanging="283"/>
        <w:jc w:val="both"/>
        <w:rPr>
          <w:rFonts w:eastAsia="Times New Roman" w:cs="Times New Roman"/>
          <w:sz w:val="20"/>
          <w:szCs w:val="20"/>
          <w:lang w:bidi="en-US"/>
        </w:rPr>
      </w:pPr>
      <w:r>
        <w:rPr>
          <w:rFonts w:eastAsia="Times New Roman" w:cs="Times New Roman"/>
          <w:sz w:val="20"/>
          <w:szCs w:val="20"/>
          <w:lang w:bidi="en-US"/>
        </w:rPr>
        <w:tab/>
      </w:r>
      <w:r w:rsidR="001622F0" w:rsidRPr="001622F0">
        <w:rPr>
          <w:rFonts w:eastAsia="Times New Roman" w:cs="Times New Roman"/>
          <w:sz w:val="20"/>
          <w:szCs w:val="20"/>
          <w:lang w:bidi="en-US"/>
        </w:rPr>
        <w:t xml:space="preserve">Las </w:t>
      </w:r>
      <w:r w:rsidRPr="00DD734C">
        <w:rPr>
          <w:color w:val="000000"/>
          <w:sz w:val="20"/>
          <w:u w:val="single"/>
        </w:rPr>
        <w:t>42</w:t>
      </w:r>
      <w:r w:rsidR="001622F0" w:rsidRPr="00DD734C">
        <w:rPr>
          <w:color w:val="000000"/>
          <w:sz w:val="20"/>
          <w:u w:val="single"/>
        </w:rPr>
        <w:t>.</w:t>
      </w:r>
      <w:r w:rsidRPr="00DD734C">
        <w:rPr>
          <w:color w:val="000000"/>
          <w:sz w:val="20"/>
          <w:u w:val="single"/>
        </w:rPr>
        <w:t>403</w:t>
      </w:r>
      <w:r w:rsidR="001622F0" w:rsidRPr="001622F0">
        <w:rPr>
          <w:rFonts w:eastAsia="Times New Roman" w:cs="Times New Roman"/>
          <w:sz w:val="20"/>
          <w:szCs w:val="20"/>
          <w:lang w:bidi="en-US"/>
        </w:rPr>
        <w:t xml:space="preserve"> t se asignarán en </w:t>
      </w:r>
      <w:r w:rsidR="001622F0" w:rsidRPr="00BD6427">
        <w:rPr>
          <w:color w:val="000000"/>
          <w:sz w:val="20"/>
          <w:u w:val="single"/>
        </w:rPr>
        <w:t>202</w:t>
      </w:r>
      <w:r w:rsidRPr="00BD6427">
        <w:rPr>
          <w:color w:val="000000"/>
          <w:sz w:val="20"/>
          <w:u w:val="single"/>
        </w:rPr>
        <w:t>6</w:t>
      </w:r>
      <w:r w:rsidR="001622F0" w:rsidRPr="001622F0">
        <w:rPr>
          <w:rFonts w:eastAsia="Times New Roman" w:cs="Times New Roman"/>
          <w:sz w:val="20"/>
          <w:szCs w:val="20"/>
          <w:lang w:bidi="en-US"/>
        </w:rPr>
        <w:t xml:space="preserve"> </w:t>
      </w:r>
      <w:r w:rsidR="001622F0" w:rsidRPr="001622F0">
        <w:rPr>
          <w:color w:val="000000"/>
          <w:sz w:val="20"/>
        </w:rPr>
        <w:t xml:space="preserve">hasta </w:t>
      </w:r>
      <w:r w:rsidR="001622F0" w:rsidRPr="00BD6427">
        <w:rPr>
          <w:color w:val="000000"/>
          <w:sz w:val="20"/>
          <w:u w:val="single"/>
        </w:rPr>
        <w:t>202</w:t>
      </w:r>
      <w:r w:rsidRPr="00BD6427">
        <w:rPr>
          <w:color w:val="000000"/>
          <w:sz w:val="20"/>
          <w:u w:val="single"/>
        </w:rPr>
        <w:t>8</w:t>
      </w:r>
      <w:r w:rsidR="001622F0" w:rsidRPr="001622F0">
        <w:rPr>
          <w:color w:val="000000"/>
          <w:sz w:val="20"/>
        </w:rPr>
        <w:t xml:space="preserve"> </w:t>
      </w:r>
      <w:r w:rsidR="001622F0" w:rsidRPr="001622F0">
        <w:rPr>
          <w:rFonts w:eastAsia="Times New Roman" w:cs="Times New Roman"/>
          <w:sz w:val="20"/>
          <w:szCs w:val="20"/>
          <w:lang w:bidi="en-US"/>
        </w:rPr>
        <w:t>de conformidad con el siguiente esquema:</w:t>
      </w:r>
      <w:r>
        <w:rPr>
          <w:rFonts w:eastAsia="Times New Roman" w:cs="Times New Roman"/>
          <w:sz w:val="20"/>
          <w:szCs w:val="20"/>
          <w:lang w:bidi="en-US"/>
        </w:rPr>
        <w:t xml:space="preserve"> (véase el </w:t>
      </w:r>
      <w:r w:rsidRPr="0085156C">
        <w:rPr>
          <w:rFonts w:eastAsia="Times New Roman" w:cs="Times New Roman"/>
          <w:b/>
          <w:bCs/>
          <w:sz w:val="20"/>
          <w:szCs w:val="20"/>
          <w:lang w:bidi="en-US"/>
        </w:rPr>
        <w:t>Apéndice 1</w:t>
      </w:r>
      <w:r>
        <w:rPr>
          <w:rFonts w:eastAsia="Times New Roman" w:cs="Times New Roman"/>
          <w:sz w:val="20"/>
          <w:szCs w:val="20"/>
          <w:lang w:bidi="en-US"/>
        </w:rPr>
        <w:t>)</w:t>
      </w:r>
    </w:p>
    <w:p w14:paraId="69141652" w14:textId="7B2BB958" w:rsidR="0099666E" w:rsidRPr="00672EC5" w:rsidRDefault="0099666E" w:rsidP="001622F0">
      <w:pPr>
        <w:pStyle w:val="BodyText"/>
        <w:ind w:left="720" w:right="15" w:hanging="294"/>
        <w:jc w:val="both"/>
        <w:rPr>
          <w:b/>
          <w:bCs/>
        </w:rPr>
      </w:pPr>
    </w:p>
    <w:sectPr w:rsidR="0099666E" w:rsidRPr="00672EC5" w:rsidSect="00C31EF7">
      <w:pgSz w:w="11907"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FCBA4" w14:textId="77777777" w:rsidR="00A56A82" w:rsidRDefault="00A56A82">
      <w:r>
        <w:separator/>
      </w:r>
    </w:p>
  </w:endnote>
  <w:endnote w:type="continuationSeparator" w:id="0">
    <w:p w14:paraId="2E03EE74" w14:textId="77777777" w:rsidR="00A56A82" w:rsidRDefault="00A56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8914E" w14:textId="608511C3" w:rsidR="0099666E" w:rsidRDefault="008A6074" w:rsidP="008A6074">
    <w:pPr>
      <w:widowControl/>
      <w:tabs>
        <w:tab w:val="center" w:pos="4535"/>
        <w:tab w:val="center" w:pos="4680"/>
        <w:tab w:val="left" w:pos="6150"/>
        <w:tab w:val="right" w:pos="9360"/>
      </w:tabs>
      <w:autoSpaceDE/>
      <w:autoSpaceDN/>
      <w:jc w:val="center"/>
    </w:pPr>
    <w:r w:rsidRPr="001F2E99">
      <w:rPr>
        <w:rFonts w:eastAsia="Calibri" w:cs="Calibri"/>
        <w:sz w:val="20"/>
      </w:rPr>
      <w:fldChar w:fldCharType="begin"/>
    </w:r>
    <w:r w:rsidRPr="001F2E99">
      <w:rPr>
        <w:rFonts w:eastAsia="Calibri" w:cs="Calibri"/>
        <w:sz w:val="20"/>
      </w:rPr>
      <w:instrText xml:space="preserve"> PAGE </w:instrText>
    </w:r>
    <w:r w:rsidRPr="001F2E99">
      <w:rPr>
        <w:rFonts w:eastAsia="Calibri" w:cs="Calibri"/>
        <w:sz w:val="20"/>
      </w:rPr>
      <w:fldChar w:fldCharType="separate"/>
    </w:r>
    <w:r>
      <w:rPr>
        <w:rFonts w:eastAsia="Calibri" w:cs="Calibri"/>
        <w:sz w:val="20"/>
      </w:rPr>
      <w:t>1</w:t>
    </w:r>
    <w:r w:rsidRPr="001F2E99">
      <w:rPr>
        <w:rFonts w:eastAsia="Calibri" w:cs="Calibri"/>
        <w:sz w:val="20"/>
      </w:rPr>
      <w:fldChar w:fldCharType="end"/>
    </w:r>
    <w:r>
      <w:rPr>
        <w:sz w:val="20"/>
      </w:rPr>
      <w:t xml:space="preserve"> / </w:t>
    </w:r>
    <w:r w:rsidRPr="001F2E99">
      <w:rPr>
        <w:rFonts w:eastAsia="Calibri" w:cs="Calibri"/>
        <w:sz w:val="20"/>
      </w:rPr>
      <w:fldChar w:fldCharType="begin"/>
    </w:r>
    <w:r w:rsidRPr="001F2E99">
      <w:rPr>
        <w:rFonts w:eastAsia="Calibri" w:cs="Calibri"/>
        <w:sz w:val="20"/>
      </w:rPr>
      <w:instrText xml:space="preserve"> NUMPAGES  </w:instrText>
    </w:r>
    <w:r w:rsidRPr="001F2E99">
      <w:rPr>
        <w:rFonts w:eastAsia="Calibri" w:cs="Calibri"/>
        <w:sz w:val="20"/>
      </w:rPr>
      <w:fldChar w:fldCharType="separate"/>
    </w:r>
    <w:r>
      <w:rPr>
        <w:rFonts w:eastAsia="Calibri" w:cs="Calibri"/>
        <w:sz w:val="20"/>
      </w:rPr>
      <w:t>8</w:t>
    </w:r>
    <w:r w:rsidRPr="001F2E99">
      <w:rPr>
        <w:rFonts w:eastAsia="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552A9" w14:textId="77777777" w:rsidR="00A56A82" w:rsidRDefault="00A56A82">
      <w:r>
        <w:separator/>
      </w:r>
    </w:p>
  </w:footnote>
  <w:footnote w:type="continuationSeparator" w:id="0">
    <w:p w14:paraId="68F94E67" w14:textId="77777777" w:rsidR="00A56A82" w:rsidRDefault="00A56A82">
      <w:r>
        <w:continuationSeparator/>
      </w:r>
    </w:p>
  </w:footnote>
  <w:footnote w:id="1">
    <w:p w14:paraId="2237C8BD" w14:textId="0F7CB376" w:rsidR="00655A36" w:rsidRPr="00655A36" w:rsidRDefault="00655A36" w:rsidP="00655A36">
      <w:pPr>
        <w:rPr>
          <w:sz w:val="16"/>
          <w:szCs w:val="16"/>
          <w:lang w:val="en-US"/>
        </w:rPr>
      </w:pPr>
      <w:r w:rsidRPr="00655A36">
        <w:rPr>
          <w:rStyle w:val="FootnoteReference"/>
          <w:sz w:val="16"/>
          <w:szCs w:val="16"/>
        </w:rPr>
        <w:footnoteRef/>
      </w:r>
      <w:r w:rsidRPr="00655A36">
        <w:rPr>
          <w:sz w:val="16"/>
          <w:szCs w:val="16"/>
        </w:rPr>
        <w:t xml:space="preserve"> </w:t>
      </w:r>
      <w:hyperlink r:id="rId1" w:history="1">
        <w:r w:rsidRPr="00655A36">
          <w:rPr>
            <w:rStyle w:val="Hyperlink"/>
            <w:sz w:val="16"/>
            <w:szCs w:val="16"/>
            <w:u w:val="none"/>
          </w:rPr>
          <w:t>Informe de la reunión de ICCAT de evaluación del stock de atún rojo de 2017</w:t>
        </w:r>
        <w:r w:rsidRPr="00655A36">
          <w:rPr>
            <w:rStyle w:val="Hyperlink"/>
            <w:spacing w:val="-8"/>
            <w:sz w:val="16"/>
            <w:szCs w:val="16"/>
            <w:u w:val="none"/>
          </w:rPr>
          <w:t xml:space="preserve"> </w:t>
        </w:r>
      </w:hyperlink>
      <w:r w:rsidRPr="00655A36">
        <w:rPr>
          <w:sz w:val="16"/>
          <w:szCs w:val="16"/>
        </w:rPr>
        <w:t>.</w:t>
      </w:r>
      <w:r w:rsidRPr="00655A36">
        <w:rPr>
          <w:spacing w:val="-8"/>
          <w:sz w:val="16"/>
          <w:szCs w:val="16"/>
        </w:rPr>
        <w:t xml:space="preserve"> </w:t>
      </w:r>
      <w:r w:rsidRPr="00655A36">
        <w:rPr>
          <w:sz w:val="16"/>
          <w:szCs w:val="16"/>
          <w:lang w:val="en-US"/>
        </w:rPr>
        <w:t>Madrid,</w:t>
      </w:r>
      <w:r w:rsidRPr="00655A36">
        <w:rPr>
          <w:spacing w:val="-8"/>
          <w:sz w:val="16"/>
          <w:szCs w:val="16"/>
          <w:lang w:val="en-US"/>
        </w:rPr>
        <w:t xml:space="preserve"> </w:t>
      </w:r>
      <w:r w:rsidRPr="00655A36">
        <w:rPr>
          <w:sz w:val="16"/>
          <w:szCs w:val="16"/>
          <w:lang w:val="en-US"/>
        </w:rPr>
        <w:t>España</w:t>
      </w:r>
      <w:r w:rsidRPr="00655A36">
        <w:rPr>
          <w:spacing w:val="-8"/>
          <w:sz w:val="16"/>
          <w:szCs w:val="16"/>
          <w:lang w:val="en-US"/>
        </w:rPr>
        <w:t xml:space="preserve"> </w:t>
      </w:r>
      <w:r w:rsidRPr="00655A36">
        <w:rPr>
          <w:sz w:val="16"/>
          <w:szCs w:val="16"/>
          <w:lang w:val="en-US"/>
        </w:rPr>
        <w:t>20-28</w:t>
      </w:r>
      <w:r w:rsidRPr="00655A36">
        <w:rPr>
          <w:spacing w:val="-8"/>
          <w:sz w:val="16"/>
          <w:szCs w:val="16"/>
          <w:lang w:val="en-US"/>
        </w:rPr>
        <w:t xml:space="preserve"> </w:t>
      </w:r>
      <w:r w:rsidRPr="00655A36">
        <w:rPr>
          <w:sz w:val="16"/>
          <w:szCs w:val="16"/>
          <w:lang w:val="en-US"/>
        </w:rPr>
        <w:t>de julio de</w:t>
      </w:r>
      <w:r w:rsidRPr="00655A36">
        <w:rPr>
          <w:spacing w:val="-8"/>
          <w:sz w:val="16"/>
          <w:szCs w:val="16"/>
          <w:lang w:val="en-US"/>
        </w:rPr>
        <w:t xml:space="preserve"> </w:t>
      </w:r>
      <w:r w:rsidRPr="00655A36">
        <w:rPr>
          <w:spacing w:val="-2"/>
          <w:sz w:val="16"/>
          <w:szCs w:val="16"/>
          <w:lang w:val="en-US"/>
        </w:rPr>
        <w:t>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B3115" w14:textId="09DE6228" w:rsidR="00F75D00" w:rsidRPr="00793F38" w:rsidRDefault="00F75D00" w:rsidP="00F75D00">
    <w:pPr>
      <w:tabs>
        <w:tab w:val="center" w:pos="4680"/>
        <w:tab w:val="left" w:pos="6520"/>
        <w:tab w:val="right" w:pos="9360"/>
        <w:tab w:val="right" w:pos="14240"/>
      </w:tabs>
      <w:jc w:val="right"/>
      <w:rPr>
        <w:rFonts w:eastAsia="Calibri"/>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Pr>
        <w:b/>
        <w:sz w:val="20"/>
      </w:rPr>
      <w:t>PA2_617/2025</w:t>
    </w:r>
  </w:p>
  <w:p w14:paraId="0B64DA13" w14:textId="2C6A66CC" w:rsidR="00F75D00" w:rsidRDefault="00F75D00" w:rsidP="00F75D00">
    <w:pPr>
      <w:tabs>
        <w:tab w:val="left" w:pos="7320"/>
      </w:tabs>
      <w:spacing w:line="240" w:lineRule="exact"/>
      <w:jc w:val="right"/>
    </w:pPr>
    <w:r w:rsidRPr="00793F38">
      <w:rPr>
        <w:b/>
        <w:sz w:val="16"/>
      </w:rPr>
      <w:fldChar w:fldCharType="begin"/>
    </w:r>
    <w:r w:rsidRPr="00793F38">
      <w:rPr>
        <w:b/>
        <w:sz w:val="16"/>
      </w:rPr>
      <w:instrText xml:space="preserve"> TIME \@ "dd/MM/yyyy H:mm" </w:instrText>
    </w:r>
    <w:r w:rsidRPr="00793F38">
      <w:rPr>
        <w:b/>
        <w:sz w:val="16"/>
      </w:rPr>
      <w:fldChar w:fldCharType="separate"/>
    </w:r>
    <w:r w:rsidR="00F5068D">
      <w:rPr>
        <w:b/>
        <w:noProof/>
        <w:sz w:val="16"/>
      </w:rPr>
      <w:t>11/11/2025 14:26</w:t>
    </w:r>
    <w:r w:rsidRPr="00793F38">
      <w:rPr>
        <w:b/>
        <w:bCs/>
        <w:sz w:val="16"/>
        <w:szCs w:val="16"/>
        <w:lang w:val="es-ES_tradnl"/>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B01C2"/>
    <w:multiLevelType w:val="hybridMultilevel"/>
    <w:tmpl w:val="5F3A9798"/>
    <w:lvl w:ilvl="0" w:tplc="24622DDC">
      <w:start w:val="1"/>
      <w:numFmt w:val="decimal"/>
      <w:lvlText w:val="%1."/>
      <w:lvlJc w:val="left"/>
      <w:pPr>
        <w:ind w:left="863" w:hanging="360"/>
      </w:pPr>
      <w:rPr>
        <w:rFonts w:ascii="Cambria" w:eastAsia="Cambria" w:hAnsi="Cambria" w:cs="Cambria" w:hint="default"/>
        <w:b w:val="0"/>
        <w:bCs w:val="0"/>
        <w:i w:val="0"/>
        <w:iCs w:val="0"/>
        <w:spacing w:val="-1"/>
        <w:w w:val="100"/>
        <w:sz w:val="20"/>
        <w:szCs w:val="20"/>
        <w:lang w:val="en-US" w:eastAsia="en-US" w:bidi="ar-SA"/>
      </w:rPr>
    </w:lvl>
    <w:lvl w:ilvl="1" w:tplc="AF3AEA74">
      <w:numFmt w:val="bullet"/>
      <w:lvlText w:val="•"/>
      <w:lvlJc w:val="left"/>
      <w:pPr>
        <w:ind w:left="1739" w:hanging="360"/>
      </w:pPr>
      <w:rPr>
        <w:rFonts w:hint="default"/>
        <w:lang w:val="en-US" w:eastAsia="en-US" w:bidi="ar-SA"/>
      </w:rPr>
    </w:lvl>
    <w:lvl w:ilvl="2" w:tplc="F95E4510">
      <w:numFmt w:val="bullet"/>
      <w:lvlText w:val="•"/>
      <w:lvlJc w:val="left"/>
      <w:pPr>
        <w:ind w:left="2618" w:hanging="360"/>
      </w:pPr>
      <w:rPr>
        <w:rFonts w:hint="default"/>
        <w:lang w:val="en-US" w:eastAsia="en-US" w:bidi="ar-SA"/>
      </w:rPr>
    </w:lvl>
    <w:lvl w:ilvl="3" w:tplc="EA902B06">
      <w:numFmt w:val="bullet"/>
      <w:lvlText w:val="•"/>
      <w:lvlJc w:val="left"/>
      <w:pPr>
        <w:ind w:left="3497" w:hanging="360"/>
      </w:pPr>
      <w:rPr>
        <w:rFonts w:hint="default"/>
        <w:lang w:val="en-US" w:eastAsia="en-US" w:bidi="ar-SA"/>
      </w:rPr>
    </w:lvl>
    <w:lvl w:ilvl="4" w:tplc="13ECC308">
      <w:numFmt w:val="bullet"/>
      <w:lvlText w:val="•"/>
      <w:lvlJc w:val="left"/>
      <w:pPr>
        <w:ind w:left="4377" w:hanging="360"/>
      </w:pPr>
      <w:rPr>
        <w:rFonts w:hint="default"/>
        <w:lang w:val="en-US" w:eastAsia="en-US" w:bidi="ar-SA"/>
      </w:rPr>
    </w:lvl>
    <w:lvl w:ilvl="5" w:tplc="80E66F46">
      <w:numFmt w:val="bullet"/>
      <w:lvlText w:val="•"/>
      <w:lvlJc w:val="left"/>
      <w:pPr>
        <w:ind w:left="5256" w:hanging="360"/>
      </w:pPr>
      <w:rPr>
        <w:rFonts w:hint="default"/>
        <w:lang w:val="en-US" w:eastAsia="en-US" w:bidi="ar-SA"/>
      </w:rPr>
    </w:lvl>
    <w:lvl w:ilvl="6" w:tplc="419202C6">
      <w:numFmt w:val="bullet"/>
      <w:lvlText w:val="•"/>
      <w:lvlJc w:val="left"/>
      <w:pPr>
        <w:ind w:left="6135" w:hanging="360"/>
      </w:pPr>
      <w:rPr>
        <w:rFonts w:hint="default"/>
        <w:lang w:val="en-US" w:eastAsia="en-US" w:bidi="ar-SA"/>
      </w:rPr>
    </w:lvl>
    <w:lvl w:ilvl="7" w:tplc="E8886F46">
      <w:numFmt w:val="bullet"/>
      <w:lvlText w:val="•"/>
      <w:lvlJc w:val="left"/>
      <w:pPr>
        <w:ind w:left="7015" w:hanging="360"/>
      </w:pPr>
      <w:rPr>
        <w:rFonts w:hint="default"/>
        <w:lang w:val="en-US" w:eastAsia="en-US" w:bidi="ar-SA"/>
      </w:rPr>
    </w:lvl>
    <w:lvl w:ilvl="8" w:tplc="3AE6ECD8">
      <w:numFmt w:val="bullet"/>
      <w:lvlText w:val="•"/>
      <w:lvlJc w:val="left"/>
      <w:pPr>
        <w:ind w:left="7894" w:hanging="360"/>
      </w:pPr>
      <w:rPr>
        <w:rFonts w:hint="default"/>
        <w:lang w:val="en-US" w:eastAsia="en-US" w:bidi="ar-SA"/>
      </w:rPr>
    </w:lvl>
  </w:abstractNum>
  <w:abstractNum w:abstractNumId="1" w15:restartNumberingAfterBreak="0">
    <w:nsid w:val="30DB07A5"/>
    <w:multiLevelType w:val="hybridMultilevel"/>
    <w:tmpl w:val="8F32083A"/>
    <w:lvl w:ilvl="0" w:tplc="965AA528">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EA13BF4"/>
    <w:multiLevelType w:val="hybridMultilevel"/>
    <w:tmpl w:val="756C4B38"/>
    <w:lvl w:ilvl="0" w:tplc="24FE9E54">
      <w:start w:val="2"/>
      <w:numFmt w:val="lowerLetter"/>
      <w:lvlText w:val="%1)"/>
      <w:lvlJc w:val="left"/>
      <w:pPr>
        <w:ind w:left="998" w:hanging="435"/>
      </w:pPr>
      <w:rPr>
        <w:rFonts w:ascii="Cambria" w:eastAsia="Cambria" w:hAnsi="Cambria" w:cs="Cambria" w:hint="default"/>
        <w:b w:val="0"/>
        <w:bCs w:val="0"/>
        <w:i w:val="0"/>
        <w:iCs w:val="0"/>
        <w:spacing w:val="-1"/>
        <w:w w:val="100"/>
        <w:sz w:val="20"/>
        <w:szCs w:val="20"/>
        <w:lang w:val="en-US" w:eastAsia="en-US" w:bidi="ar-SA"/>
      </w:rPr>
    </w:lvl>
    <w:lvl w:ilvl="1" w:tplc="85D0DBA0">
      <w:numFmt w:val="bullet"/>
      <w:lvlText w:val="•"/>
      <w:lvlJc w:val="left"/>
      <w:pPr>
        <w:ind w:left="1865" w:hanging="435"/>
      </w:pPr>
      <w:rPr>
        <w:rFonts w:hint="default"/>
        <w:lang w:val="en-US" w:eastAsia="en-US" w:bidi="ar-SA"/>
      </w:rPr>
    </w:lvl>
    <w:lvl w:ilvl="2" w:tplc="410CC992">
      <w:numFmt w:val="bullet"/>
      <w:lvlText w:val="•"/>
      <w:lvlJc w:val="left"/>
      <w:pPr>
        <w:ind w:left="2730" w:hanging="435"/>
      </w:pPr>
      <w:rPr>
        <w:rFonts w:hint="default"/>
        <w:lang w:val="en-US" w:eastAsia="en-US" w:bidi="ar-SA"/>
      </w:rPr>
    </w:lvl>
    <w:lvl w:ilvl="3" w:tplc="9CBC898C">
      <w:numFmt w:val="bullet"/>
      <w:lvlText w:val="•"/>
      <w:lvlJc w:val="left"/>
      <w:pPr>
        <w:ind w:left="3595" w:hanging="435"/>
      </w:pPr>
      <w:rPr>
        <w:rFonts w:hint="default"/>
        <w:lang w:val="en-US" w:eastAsia="en-US" w:bidi="ar-SA"/>
      </w:rPr>
    </w:lvl>
    <w:lvl w:ilvl="4" w:tplc="22D0E13A">
      <w:numFmt w:val="bullet"/>
      <w:lvlText w:val="•"/>
      <w:lvlJc w:val="left"/>
      <w:pPr>
        <w:ind w:left="4461" w:hanging="435"/>
      </w:pPr>
      <w:rPr>
        <w:rFonts w:hint="default"/>
        <w:lang w:val="en-US" w:eastAsia="en-US" w:bidi="ar-SA"/>
      </w:rPr>
    </w:lvl>
    <w:lvl w:ilvl="5" w:tplc="00842094">
      <w:numFmt w:val="bullet"/>
      <w:lvlText w:val="•"/>
      <w:lvlJc w:val="left"/>
      <w:pPr>
        <w:ind w:left="5326" w:hanging="435"/>
      </w:pPr>
      <w:rPr>
        <w:rFonts w:hint="default"/>
        <w:lang w:val="en-US" w:eastAsia="en-US" w:bidi="ar-SA"/>
      </w:rPr>
    </w:lvl>
    <w:lvl w:ilvl="6" w:tplc="395A79EE">
      <w:numFmt w:val="bullet"/>
      <w:lvlText w:val="•"/>
      <w:lvlJc w:val="left"/>
      <w:pPr>
        <w:ind w:left="6191" w:hanging="435"/>
      </w:pPr>
      <w:rPr>
        <w:rFonts w:hint="default"/>
        <w:lang w:val="en-US" w:eastAsia="en-US" w:bidi="ar-SA"/>
      </w:rPr>
    </w:lvl>
    <w:lvl w:ilvl="7" w:tplc="0CF68B4C">
      <w:numFmt w:val="bullet"/>
      <w:lvlText w:val="•"/>
      <w:lvlJc w:val="left"/>
      <w:pPr>
        <w:ind w:left="7057" w:hanging="435"/>
      </w:pPr>
      <w:rPr>
        <w:rFonts w:hint="default"/>
        <w:lang w:val="en-US" w:eastAsia="en-US" w:bidi="ar-SA"/>
      </w:rPr>
    </w:lvl>
    <w:lvl w:ilvl="8" w:tplc="7512D62C">
      <w:numFmt w:val="bullet"/>
      <w:lvlText w:val="•"/>
      <w:lvlJc w:val="left"/>
      <w:pPr>
        <w:ind w:left="7922" w:hanging="435"/>
      </w:pPr>
      <w:rPr>
        <w:rFonts w:hint="default"/>
        <w:lang w:val="en-US" w:eastAsia="en-US" w:bidi="ar-SA"/>
      </w:rPr>
    </w:lvl>
  </w:abstractNum>
  <w:abstractNum w:abstractNumId="3" w15:restartNumberingAfterBreak="0">
    <w:nsid w:val="6552427C"/>
    <w:multiLevelType w:val="hybridMultilevel"/>
    <w:tmpl w:val="2EBC3C88"/>
    <w:lvl w:ilvl="0" w:tplc="8A823030">
      <w:start w:val="5"/>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4" w15:restartNumberingAfterBreak="0">
    <w:nsid w:val="67CD76B4"/>
    <w:multiLevelType w:val="hybridMultilevel"/>
    <w:tmpl w:val="35EC01EA"/>
    <w:lvl w:ilvl="0" w:tplc="0D723074">
      <w:start w:val="3"/>
      <w:numFmt w:val="lowerLetter"/>
      <w:lvlText w:val="%1)"/>
      <w:lvlJc w:val="left"/>
      <w:pPr>
        <w:ind w:left="1365" w:hanging="360"/>
      </w:pPr>
      <w:rPr>
        <w:rFonts w:hint="default"/>
        <w:color w:val="231F20"/>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5" w15:restartNumberingAfterBreak="0">
    <w:nsid w:val="6C9904FB"/>
    <w:multiLevelType w:val="multilevel"/>
    <w:tmpl w:val="691E0CF6"/>
    <w:lvl w:ilvl="0">
      <w:start w:val="3"/>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76E44DA5"/>
    <w:multiLevelType w:val="hybridMultilevel"/>
    <w:tmpl w:val="7B54E75C"/>
    <w:lvl w:ilvl="0" w:tplc="71786EB2">
      <w:start w:val="2"/>
      <w:numFmt w:val="lowerLetter"/>
      <w:lvlText w:val="%1)"/>
      <w:lvlJc w:val="left"/>
      <w:pPr>
        <w:ind w:left="1215" w:hanging="360"/>
      </w:pPr>
      <w:rPr>
        <w:rFonts w:hint="default"/>
        <w:strike w:val="0"/>
        <w:color w:val="231F2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8" w15:restartNumberingAfterBreak="0">
    <w:nsid w:val="7DD76A34"/>
    <w:multiLevelType w:val="hybridMultilevel"/>
    <w:tmpl w:val="29F882DC"/>
    <w:lvl w:ilvl="0" w:tplc="903241E0">
      <w:start w:val="1"/>
      <w:numFmt w:val="decimal"/>
      <w:lvlText w:val="%1."/>
      <w:lvlJc w:val="left"/>
      <w:pPr>
        <w:ind w:left="863" w:hanging="360"/>
      </w:pPr>
      <w:rPr>
        <w:rFonts w:ascii="Cambria" w:eastAsia="Cambria" w:hAnsi="Cambria" w:cs="Cambria" w:hint="default"/>
        <w:b w:val="0"/>
        <w:bCs w:val="0"/>
        <w:i w:val="0"/>
        <w:iCs w:val="0"/>
        <w:spacing w:val="-1"/>
        <w:w w:val="100"/>
        <w:sz w:val="20"/>
        <w:szCs w:val="20"/>
        <w:lang w:val="en-US" w:eastAsia="en-US" w:bidi="ar-SA"/>
      </w:rPr>
    </w:lvl>
    <w:lvl w:ilvl="1" w:tplc="970662CE">
      <w:start w:val="1"/>
      <w:numFmt w:val="lowerLetter"/>
      <w:lvlText w:val="%2)"/>
      <w:lvlJc w:val="left"/>
      <w:pPr>
        <w:ind w:left="863" w:hanging="360"/>
      </w:pPr>
      <w:rPr>
        <w:rFonts w:ascii="Cambria" w:eastAsia="Cambria" w:hAnsi="Cambria" w:cs="Cambria" w:hint="default"/>
        <w:b w:val="0"/>
        <w:bCs w:val="0"/>
        <w:i w:val="0"/>
        <w:iCs w:val="0"/>
        <w:spacing w:val="-1"/>
        <w:w w:val="100"/>
        <w:sz w:val="20"/>
        <w:szCs w:val="20"/>
        <w:lang w:val="en-US" w:eastAsia="en-US" w:bidi="ar-SA"/>
      </w:rPr>
    </w:lvl>
    <w:lvl w:ilvl="2" w:tplc="0F2A16DA">
      <w:numFmt w:val="bullet"/>
      <w:lvlText w:val="•"/>
      <w:lvlJc w:val="left"/>
      <w:pPr>
        <w:ind w:left="2618" w:hanging="360"/>
      </w:pPr>
      <w:rPr>
        <w:rFonts w:hint="default"/>
        <w:lang w:val="en-US" w:eastAsia="en-US" w:bidi="ar-SA"/>
      </w:rPr>
    </w:lvl>
    <w:lvl w:ilvl="3" w:tplc="1908B162">
      <w:numFmt w:val="bullet"/>
      <w:lvlText w:val="•"/>
      <w:lvlJc w:val="left"/>
      <w:pPr>
        <w:ind w:left="3497" w:hanging="360"/>
      </w:pPr>
      <w:rPr>
        <w:rFonts w:hint="default"/>
        <w:lang w:val="en-US" w:eastAsia="en-US" w:bidi="ar-SA"/>
      </w:rPr>
    </w:lvl>
    <w:lvl w:ilvl="4" w:tplc="8738EDA8">
      <w:numFmt w:val="bullet"/>
      <w:lvlText w:val="•"/>
      <w:lvlJc w:val="left"/>
      <w:pPr>
        <w:ind w:left="4377" w:hanging="360"/>
      </w:pPr>
      <w:rPr>
        <w:rFonts w:hint="default"/>
        <w:lang w:val="en-US" w:eastAsia="en-US" w:bidi="ar-SA"/>
      </w:rPr>
    </w:lvl>
    <w:lvl w:ilvl="5" w:tplc="FC527D62">
      <w:numFmt w:val="bullet"/>
      <w:lvlText w:val="•"/>
      <w:lvlJc w:val="left"/>
      <w:pPr>
        <w:ind w:left="5256" w:hanging="360"/>
      </w:pPr>
      <w:rPr>
        <w:rFonts w:hint="default"/>
        <w:lang w:val="en-US" w:eastAsia="en-US" w:bidi="ar-SA"/>
      </w:rPr>
    </w:lvl>
    <w:lvl w:ilvl="6" w:tplc="A9243D26">
      <w:numFmt w:val="bullet"/>
      <w:lvlText w:val="•"/>
      <w:lvlJc w:val="left"/>
      <w:pPr>
        <w:ind w:left="6135" w:hanging="360"/>
      </w:pPr>
      <w:rPr>
        <w:rFonts w:hint="default"/>
        <w:lang w:val="en-US" w:eastAsia="en-US" w:bidi="ar-SA"/>
      </w:rPr>
    </w:lvl>
    <w:lvl w:ilvl="7" w:tplc="2D428116">
      <w:numFmt w:val="bullet"/>
      <w:lvlText w:val="•"/>
      <w:lvlJc w:val="left"/>
      <w:pPr>
        <w:ind w:left="7015" w:hanging="360"/>
      </w:pPr>
      <w:rPr>
        <w:rFonts w:hint="default"/>
        <w:lang w:val="en-US" w:eastAsia="en-US" w:bidi="ar-SA"/>
      </w:rPr>
    </w:lvl>
    <w:lvl w:ilvl="8" w:tplc="91C6F984">
      <w:numFmt w:val="bullet"/>
      <w:lvlText w:val="•"/>
      <w:lvlJc w:val="left"/>
      <w:pPr>
        <w:ind w:left="7894" w:hanging="360"/>
      </w:pPr>
      <w:rPr>
        <w:rFonts w:hint="default"/>
        <w:lang w:val="en-US" w:eastAsia="en-US" w:bidi="ar-SA"/>
      </w:rPr>
    </w:lvl>
  </w:abstractNum>
  <w:num w:numId="1" w16cid:durableId="621232912">
    <w:abstractNumId w:val="0"/>
  </w:num>
  <w:num w:numId="2" w16cid:durableId="2018843410">
    <w:abstractNumId w:val="2"/>
  </w:num>
  <w:num w:numId="3" w16cid:durableId="970742700">
    <w:abstractNumId w:val="8"/>
  </w:num>
  <w:num w:numId="4" w16cid:durableId="133181664">
    <w:abstractNumId w:val="7"/>
  </w:num>
  <w:num w:numId="5" w16cid:durableId="1571650425">
    <w:abstractNumId w:val="6"/>
  </w:num>
  <w:num w:numId="6" w16cid:durableId="1034581496">
    <w:abstractNumId w:val="4"/>
  </w:num>
  <w:num w:numId="7" w16cid:durableId="1827436026">
    <w:abstractNumId w:val="3"/>
  </w:num>
  <w:num w:numId="8" w16cid:durableId="1125930915">
    <w:abstractNumId w:val="1"/>
  </w:num>
  <w:num w:numId="9" w16cid:durableId="10621002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66E"/>
    <w:rsid w:val="00037896"/>
    <w:rsid w:val="00051613"/>
    <w:rsid w:val="0006562D"/>
    <w:rsid w:val="0007476D"/>
    <w:rsid w:val="00082FEC"/>
    <w:rsid w:val="000A6580"/>
    <w:rsid w:val="001013DF"/>
    <w:rsid w:val="00124918"/>
    <w:rsid w:val="00133965"/>
    <w:rsid w:val="001622F0"/>
    <w:rsid w:val="00164017"/>
    <w:rsid w:val="00170F5F"/>
    <w:rsid w:val="001A62CB"/>
    <w:rsid w:val="001A720C"/>
    <w:rsid w:val="001B0534"/>
    <w:rsid w:val="0020027A"/>
    <w:rsid w:val="0020292F"/>
    <w:rsid w:val="0021746F"/>
    <w:rsid w:val="00223354"/>
    <w:rsid w:val="00254B5F"/>
    <w:rsid w:val="00265916"/>
    <w:rsid w:val="00277003"/>
    <w:rsid w:val="002F515C"/>
    <w:rsid w:val="00331E7B"/>
    <w:rsid w:val="00347CBB"/>
    <w:rsid w:val="00374A5D"/>
    <w:rsid w:val="003B6E90"/>
    <w:rsid w:val="00413DC8"/>
    <w:rsid w:val="004617A0"/>
    <w:rsid w:val="004B0EC1"/>
    <w:rsid w:val="004C66FC"/>
    <w:rsid w:val="004D3B3E"/>
    <w:rsid w:val="004F3172"/>
    <w:rsid w:val="00502011"/>
    <w:rsid w:val="0050271C"/>
    <w:rsid w:val="00551729"/>
    <w:rsid w:val="00583ECC"/>
    <w:rsid w:val="005A7A2D"/>
    <w:rsid w:val="005A7EAE"/>
    <w:rsid w:val="005B0D22"/>
    <w:rsid w:val="005C3E24"/>
    <w:rsid w:val="005D080E"/>
    <w:rsid w:val="006038B4"/>
    <w:rsid w:val="006363A1"/>
    <w:rsid w:val="00655A36"/>
    <w:rsid w:val="00672EC5"/>
    <w:rsid w:val="006B2762"/>
    <w:rsid w:val="00727684"/>
    <w:rsid w:val="00744F3C"/>
    <w:rsid w:val="00757CAB"/>
    <w:rsid w:val="007720DF"/>
    <w:rsid w:val="00795AE4"/>
    <w:rsid w:val="007A2B1D"/>
    <w:rsid w:val="007C541E"/>
    <w:rsid w:val="007E208A"/>
    <w:rsid w:val="007E45E9"/>
    <w:rsid w:val="007F2D0A"/>
    <w:rsid w:val="007F52F0"/>
    <w:rsid w:val="007F6A10"/>
    <w:rsid w:val="00803672"/>
    <w:rsid w:val="0081488B"/>
    <w:rsid w:val="00842683"/>
    <w:rsid w:val="0085156C"/>
    <w:rsid w:val="008712BF"/>
    <w:rsid w:val="00895E24"/>
    <w:rsid w:val="008A6074"/>
    <w:rsid w:val="008B109E"/>
    <w:rsid w:val="008B6513"/>
    <w:rsid w:val="008C1AF8"/>
    <w:rsid w:val="008D0815"/>
    <w:rsid w:val="008F35DD"/>
    <w:rsid w:val="009407AD"/>
    <w:rsid w:val="009601AE"/>
    <w:rsid w:val="0097793F"/>
    <w:rsid w:val="009810A1"/>
    <w:rsid w:val="0099666E"/>
    <w:rsid w:val="009A34F1"/>
    <w:rsid w:val="009C2010"/>
    <w:rsid w:val="009C3195"/>
    <w:rsid w:val="009D3439"/>
    <w:rsid w:val="00A0470F"/>
    <w:rsid w:val="00A2270E"/>
    <w:rsid w:val="00A56A82"/>
    <w:rsid w:val="00A70C3B"/>
    <w:rsid w:val="00A82735"/>
    <w:rsid w:val="00A97379"/>
    <w:rsid w:val="00AC608D"/>
    <w:rsid w:val="00AF49C0"/>
    <w:rsid w:val="00AF50EF"/>
    <w:rsid w:val="00B0698F"/>
    <w:rsid w:val="00B17501"/>
    <w:rsid w:val="00B267FC"/>
    <w:rsid w:val="00B64D96"/>
    <w:rsid w:val="00B96B17"/>
    <w:rsid w:val="00BA0F89"/>
    <w:rsid w:val="00BA5750"/>
    <w:rsid w:val="00BA6B69"/>
    <w:rsid w:val="00BA7A36"/>
    <w:rsid w:val="00BA7B89"/>
    <w:rsid w:val="00BD6427"/>
    <w:rsid w:val="00C12AA7"/>
    <w:rsid w:val="00C31EF7"/>
    <w:rsid w:val="00CD344A"/>
    <w:rsid w:val="00CE20A6"/>
    <w:rsid w:val="00D030E7"/>
    <w:rsid w:val="00D26D55"/>
    <w:rsid w:val="00D41094"/>
    <w:rsid w:val="00D535C1"/>
    <w:rsid w:val="00D66CFD"/>
    <w:rsid w:val="00D86987"/>
    <w:rsid w:val="00DC0A57"/>
    <w:rsid w:val="00DC2E98"/>
    <w:rsid w:val="00DC44D3"/>
    <w:rsid w:val="00DD734C"/>
    <w:rsid w:val="00DF265B"/>
    <w:rsid w:val="00E3332D"/>
    <w:rsid w:val="00E931C9"/>
    <w:rsid w:val="00EA4A6E"/>
    <w:rsid w:val="00EC7AA5"/>
    <w:rsid w:val="00EF1F71"/>
    <w:rsid w:val="00F10258"/>
    <w:rsid w:val="00F11E4A"/>
    <w:rsid w:val="00F232A5"/>
    <w:rsid w:val="00F337F1"/>
    <w:rsid w:val="00F47C67"/>
    <w:rsid w:val="00F5068D"/>
    <w:rsid w:val="00F75D00"/>
    <w:rsid w:val="00F94622"/>
    <w:rsid w:val="00FB523A"/>
    <w:rsid w:val="00FD4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A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spacing w:before="38"/>
      <w:ind w:right="296"/>
      <w:jc w:val="center"/>
      <w:outlineLvl w:val="0"/>
    </w:pPr>
    <w:rPr>
      <w:b/>
      <w:bCs/>
      <w:sz w:val="20"/>
      <w:szCs w:val="20"/>
    </w:rPr>
  </w:style>
  <w:style w:type="paragraph" w:styleId="Heading2">
    <w:name w:val="heading 2"/>
    <w:basedOn w:val="Normal"/>
    <w:uiPriority w:val="1"/>
    <w:qFormat/>
    <w:pPr>
      <w:ind w:left="8" w:right="15"/>
      <w:outlineLvl w:val="1"/>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62"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75D00"/>
    <w:pPr>
      <w:tabs>
        <w:tab w:val="center" w:pos="4680"/>
        <w:tab w:val="right" w:pos="9360"/>
      </w:tabs>
    </w:pPr>
  </w:style>
  <w:style w:type="character" w:customStyle="1" w:styleId="HeaderChar">
    <w:name w:val="Header Char"/>
    <w:basedOn w:val="DefaultParagraphFont"/>
    <w:link w:val="Header"/>
    <w:uiPriority w:val="99"/>
    <w:rsid w:val="00F75D00"/>
    <w:rPr>
      <w:rFonts w:ascii="Cambria" w:eastAsia="Cambria" w:hAnsi="Cambria" w:cs="Cambria"/>
    </w:rPr>
  </w:style>
  <w:style w:type="paragraph" w:styleId="Footer">
    <w:name w:val="footer"/>
    <w:basedOn w:val="Normal"/>
    <w:link w:val="FooterChar"/>
    <w:uiPriority w:val="99"/>
    <w:unhideWhenUsed/>
    <w:rsid w:val="00F75D00"/>
    <w:pPr>
      <w:tabs>
        <w:tab w:val="center" w:pos="4680"/>
        <w:tab w:val="right" w:pos="9360"/>
      </w:tabs>
    </w:pPr>
  </w:style>
  <w:style w:type="character" w:customStyle="1" w:styleId="FooterChar">
    <w:name w:val="Footer Char"/>
    <w:basedOn w:val="DefaultParagraphFont"/>
    <w:link w:val="Footer"/>
    <w:uiPriority w:val="99"/>
    <w:rsid w:val="00F75D00"/>
    <w:rPr>
      <w:rFonts w:ascii="Cambria" w:eastAsia="Cambria" w:hAnsi="Cambria" w:cs="Cambria"/>
    </w:rPr>
  </w:style>
  <w:style w:type="paragraph" w:styleId="FootnoteText">
    <w:name w:val="footnote text"/>
    <w:basedOn w:val="Normal"/>
    <w:link w:val="FootnoteTextChar"/>
    <w:uiPriority w:val="99"/>
    <w:semiHidden/>
    <w:unhideWhenUsed/>
    <w:rsid w:val="008A6074"/>
    <w:rPr>
      <w:sz w:val="20"/>
      <w:szCs w:val="20"/>
    </w:rPr>
  </w:style>
  <w:style w:type="character" w:customStyle="1" w:styleId="FootnoteTextChar">
    <w:name w:val="Footnote Text Char"/>
    <w:basedOn w:val="DefaultParagraphFont"/>
    <w:link w:val="FootnoteText"/>
    <w:uiPriority w:val="99"/>
    <w:semiHidden/>
    <w:rsid w:val="008A6074"/>
    <w:rPr>
      <w:rFonts w:ascii="Cambria" w:eastAsia="Cambria" w:hAnsi="Cambria" w:cs="Cambria"/>
      <w:sz w:val="20"/>
      <w:szCs w:val="20"/>
    </w:rPr>
  </w:style>
  <w:style w:type="character" w:styleId="FootnoteReference">
    <w:name w:val="footnote reference"/>
    <w:basedOn w:val="DefaultParagraphFont"/>
    <w:uiPriority w:val="99"/>
    <w:semiHidden/>
    <w:unhideWhenUsed/>
    <w:rsid w:val="008A6074"/>
    <w:rPr>
      <w:vertAlign w:val="superscript"/>
    </w:rPr>
  </w:style>
  <w:style w:type="character" w:styleId="Hyperlink">
    <w:name w:val="Hyperlink"/>
    <w:basedOn w:val="DefaultParagraphFont"/>
    <w:uiPriority w:val="99"/>
    <w:unhideWhenUsed/>
    <w:rsid w:val="00A97379"/>
    <w:rPr>
      <w:color w:val="0000FF" w:themeColor="hyperlink"/>
      <w:u w:val="single"/>
    </w:rPr>
  </w:style>
  <w:style w:type="character" w:styleId="UnresolvedMention">
    <w:name w:val="Unresolved Mention"/>
    <w:basedOn w:val="DefaultParagraphFont"/>
    <w:uiPriority w:val="99"/>
    <w:semiHidden/>
    <w:unhideWhenUsed/>
    <w:rsid w:val="00A97379"/>
    <w:rPr>
      <w:color w:val="605E5C"/>
      <w:shd w:val="clear" w:color="auto" w:fill="E1DFDD"/>
    </w:rPr>
  </w:style>
  <w:style w:type="table" w:styleId="TableGrid">
    <w:name w:val="Table Grid"/>
    <w:basedOn w:val="TableNormal"/>
    <w:uiPriority w:val="39"/>
    <w:rsid w:val="00895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F31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s/2023-07-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cat.int/Documents/Recs/compendiopdf-s/2024-05-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Documents/Recs/compendiopdf-s/2022-10-s.pdf"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ccat.int/Documents/CVSP/CV074_2017/n_6/CV07406237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D5204-CC04-441A-92BB-1876ADDE5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1979</Words>
  <Characters>11282</Characters>
  <Application>Microsoft Office Word</Application>
  <DocSecurity>0</DocSecurity>
  <Lines>94</Lines>
  <Paragraphs>26</Paragraphs>
  <ScaleCrop>false</ScaleCrop>
  <Company/>
  <LinksUpToDate>false</LinksUpToDate>
  <CharactersWithSpaces>13235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2025-11-11T13:28:00Z</dcterms:created>
  <dcterms:modified xsi:type="dcterms:W3CDTF">2025-11-11T13:28:00Z</dcterms:modified>
</cp:coreProperties>
</file>