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09D597" w14:textId="77777777" w:rsidR="00D26D55" w:rsidRPr="007E4F8F" w:rsidRDefault="00D26D55" w:rsidP="00D26D55">
      <w:pPr>
        <w:ind w:left="487" w:right="392"/>
        <w:jc w:val="center"/>
        <w:rPr>
          <w:b/>
          <w:sz w:val="20"/>
          <w:szCs w:val="20"/>
        </w:rPr>
      </w:pPr>
      <w:r>
        <w:rPr>
          <w:b/>
          <w:sz w:val="20"/>
        </w:rPr>
        <w:t>Modèle de page de garde pour accompagner les nouvelles propositions</w:t>
      </w:r>
    </w:p>
    <w:p w14:paraId="4553E270" w14:textId="28DC7328" w:rsidR="00D26D55" w:rsidRPr="007E4F8F" w:rsidRDefault="009810A1" w:rsidP="00D26D55">
      <w:pPr>
        <w:jc w:val="center"/>
        <w:rPr>
          <w:i/>
          <w:iCs/>
          <w:sz w:val="20"/>
          <w:szCs w:val="20"/>
        </w:rPr>
      </w:pPr>
      <w:r>
        <w:rPr>
          <w:i/>
          <w:sz w:val="20"/>
        </w:rPr>
        <w:t>(Document soumis par les États-Unis)</w:t>
      </w:r>
    </w:p>
    <w:p w14:paraId="3E22C1B2" w14:textId="77777777" w:rsidR="00D26D55" w:rsidRPr="00FD67D7" w:rsidRDefault="00D26D55" w:rsidP="00D26D55">
      <w:pPr>
        <w:jc w:val="center"/>
        <w:rPr>
          <w:sz w:val="20"/>
          <w:szCs w:val="20"/>
        </w:rPr>
      </w:pPr>
    </w:p>
    <w:p w14:paraId="566DAFCA" w14:textId="77777777" w:rsidR="00D26D55" w:rsidRPr="007E4F8F" w:rsidRDefault="00D26D55" w:rsidP="00D26D55">
      <w:pPr>
        <w:pStyle w:val="BodyText"/>
        <w:rPr>
          <w:b/>
        </w:rPr>
      </w:pPr>
    </w:p>
    <w:p w14:paraId="48FDC853" w14:textId="77777777" w:rsidR="00D26D55" w:rsidRPr="00432AF4" w:rsidRDefault="00D26D55" w:rsidP="00D26D55">
      <w:pPr>
        <w:jc w:val="both"/>
        <w:rPr>
          <w:sz w:val="20"/>
          <w:szCs w:val="20"/>
        </w:rPr>
      </w:pPr>
      <w:r>
        <w:rPr>
          <w:b/>
          <w:sz w:val="20"/>
        </w:rPr>
        <w:t xml:space="preserve">Titre de la proposition de projet de Recommandation/Résolution : </w:t>
      </w:r>
      <w:bookmarkStart w:id="0" w:name="_Hlk213762951"/>
      <w:r w:rsidRPr="00432AF4">
        <w:rPr>
          <w:color w:val="FF0000"/>
          <w:sz w:val="20"/>
        </w:rPr>
        <w:t>Projet de Recommandation de l’ICCAT amendant la Recommandation 22-10 et la Recommandation 24-05</w:t>
      </w:r>
    </w:p>
    <w:bookmarkEnd w:id="0"/>
    <w:p w14:paraId="4AFB003A" w14:textId="77777777" w:rsidR="00D26D55" w:rsidRPr="008C1AF8" w:rsidRDefault="00D26D55" w:rsidP="00D26D55">
      <w:pPr>
        <w:ind w:left="318"/>
        <w:jc w:val="both"/>
        <w:rPr>
          <w:sz w:val="20"/>
          <w:szCs w:val="20"/>
        </w:rPr>
      </w:pPr>
    </w:p>
    <w:p w14:paraId="1A449660" w14:textId="3AA64F5E" w:rsidR="00D26D55" w:rsidRPr="008C1AF8" w:rsidRDefault="00D26D55" w:rsidP="00D26D55">
      <w:pPr>
        <w:jc w:val="both"/>
        <w:rPr>
          <w:sz w:val="20"/>
          <w:szCs w:val="20"/>
        </w:rPr>
      </w:pPr>
      <w:r>
        <w:rPr>
          <w:b/>
          <w:sz w:val="20"/>
        </w:rPr>
        <w:t xml:space="preserve">Titre de la ou des Recommandations ou Résolutions en vigueur traitant des mêmes questions ou de questions connexes : </w:t>
      </w:r>
      <w:r>
        <w:rPr>
          <w:color w:val="FF0000"/>
          <w:sz w:val="20"/>
        </w:rPr>
        <w:t>Recommandation 22-10 (plan de gestion du thon rouge de l’Ouest) et Recommandation 24-05 (plan de gestion du thon rouge de l’Est)</w:t>
      </w:r>
    </w:p>
    <w:p w14:paraId="5449AA87" w14:textId="77777777" w:rsidR="00D26D55" w:rsidRDefault="00D26D55" w:rsidP="00D26D55">
      <w:pPr>
        <w:ind w:left="318"/>
        <w:jc w:val="both"/>
        <w:rPr>
          <w:sz w:val="20"/>
          <w:szCs w:val="20"/>
        </w:rPr>
      </w:pPr>
    </w:p>
    <w:p w14:paraId="291FEC17" w14:textId="77777777" w:rsidR="00D26D55" w:rsidRPr="007E4F8F" w:rsidRDefault="00D26D55" w:rsidP="00D26D55">
      <w:pPr>
        <w:ind w:left="318"/>
        <w:jc w:val="both"/>
        <w:rPr>
          <w:sz w:val="20"/>
          <w:szCs w:val="20"/>
        </w:rPr>
      </w:pPr>
    </w:p>
    <w:p w14:paraId="67378196" w14:textId="56DF15A7" w:rsidR="00B96B17" w:rsidRPr="006C21D8" w:rsidRDefault="00D26D55" w:rsidP="007F52F0">
      <w:pPr>
        <w:pStyle w:val="ListParagraph"/>
        <w:numPr>
          <w:ilvl w:val="0"/>
          <w:numId w:val="4"/>
        </w:numPr>
        <w:ind w:left="426" w:hanging="426"/>
        <w:jc w:val="both"/>
        <w:rPr>
          <w:sz w:val="20"/>
          <w:szCs w:val="20"/>
        </w:rPr>
      </w:pPr>
      <w:r>
        <w:rPr>
          <w:sz w:val="20"/>
        </w:rPr>
        <w:t xml:space="preserve">Cela crée-t-il de nouvelles </w:t>
      </w:r>
      <w:r>
        <w:rPr>
          <w:b/>
          <w:sz w:val="20"/>
        </w:rPr>
        <w:t xml:space="preserve">obligations de déclaration </w:t>
      </w:r>
      <w:r>
        <w:rPr>
          <w:sz w:val="20"/>
        </w:rPr>
        <w:t xml:space="preserve">pour les CPC ?     Oui </w:t>
      </w:r>
      <w:r>
        <w:rPr>
          <w:rFonts w:ascii="Wingdings" w:hAnsi="Wingdings"/>
          <w:sz w:val="20"/>
        </w:rPr>
        <w:t></w:t>
      </w:r>
      <w:r>
        <w:rPr>
          <w:sz w:val="20"/>
        </w:rPr>
        <w:tab/>
        <w:t xml:space="preserve">  </w:t>
      </w:r>
      <w:r>
        <w:rPr>
          <w:color w:val="EE0000"/>
          <w:sz w:val="20"/>
        </w:rPr>
        <w:t xml:space="preserve">Non </w:t>
      </w:r>
      <w:r>
        <w:rPr>
          <w:rFonts w:ascii="Wingdings" w:hAnsi="Wingdings"/>
          <w:color w:val="EE0000"/>
          <w:sz w:val="20"/>
        </w:rPr>
        <w:t>x</w:t>
      </w:r>
    </w:p>
    <w:p w14:paraId="45EE2D60" w14:textId="57734629" w:rsidR="00D26D55" w:rsidRPr="007E4F8F" w:rsidRDefault="00D26D55" w:rsidP="007F52F0">
      <w:pPr>
        <w:pStyle w:val="ListParagraph"/>
        <w:ind w:left="426" w:hanging="426"/>
        <w:jc w:val="both"/>
      </w:pPr>
    </w:p>
    <w:p w14:paraId="5D4FA765" w14:textId="77777777" w:rsidR="00D26D55" w:rsidRPr="007E4F8F" w:rsidRDefault="00D26D55" w:rsidP="00DB6382">
      <w:pPr>
        <w:ind w:left="426"/>
        <w:jc w:val="both"/>
        <w:rPr>
          <w:sz w:val="20"/>
          <w:szCs w:val="20"/>
        </w:rPr>
      </w:pPr>
      <w:r>
        <w:rPr>
          <w:sz w:val="20"/>
        </w:rPr>
        <w:t>Brève description de la ou des nouvelle(s) obligation(s) de déclaration :</w:t>
      </w:r>
    </w:p>
    <w:p w14:paraId="4A4BD2C1" w14:textId="77777777" w:rsidR="00D26D55" w:rsidRPr="007E4F8F" w:rsidRDefault="00D26D55" w:rsidP="007F52F0">
      <w:pPr>
        <w:pStyle w:val="BodyText"/>
        <w:ind w:left="426" w:hanging="426"/>
      </w:pPr>
    </w:p>
    <w:p w14:paraId="2A30B52F" w14:textId="57DE34AB" w:rsidR="00D26D55" w:rsidRPr="007E4F8F" w:rsidRDefault="00D26D55" w:rsidP="007F52F0">
      <w:pPr>
        <w:pStyle w:val="ListParagraph"/>
        <w:numPr>
          <w:ilvl w:val="0"/>
          <w:numId w:val="4"/>
        </w:numPr>
        <w:ind w:left="426" w:hanging="426"/>
        <w:jc w:val="both"/>
        <w:rPr>
          <w:sz w:val="20"/>
          <w:szCs w:val="20"/>
        </w:rPr>
      </w:pPr>
      <w:r>
        <w:rPr>
          <w:sz w:val="20"/>
        </w:rPr>
        <w:t xml:space="preserve">Cela nécessite-t-il une contribution ou un </w:t>
      </w:r>
      <w:r>
        <w:rPr>
          <w:b/>
          <w:sz w:val="20"/>
        </w:rPr>
        <w:t>travail</w:t>
      </w:r>
      <w:r>
        <w:rPr>
          <w:sz w:val="20"/>
        </w:rPr>
        <w:t xml:space="preserve"> supplémentaire </w:t>
      </w:r>
      <w:r>
        <w:rPr>
          <w:b/>
          <w:sz w:val="20"/>
        </w:rPr>
        <w:t>de la part du SCRS</w:t>
      </w:r>
      <w:r>
        <w:rPr>
          <w:sz w:val="20"/>
        </w:rPr>
        <w:t xml:space="preserve"> ? </w:t>
      </w:r>
      <w:r>
        <w:rPr>
          <w:color w:val="EE0000"/>
          <w:sz w:val="20"/>
        </w:rPr>
        <w:t>Oui</w:t>
      </w:r>
      <w:r>
        <w:rPr>
          <w:sz w:val="20"/>
        </w:rPr>
        <w:t xml:space="preserve"> </w:t>
      </w:r>
      <w:r>
        <w:rPr>
          <w:rFonts w:ascii="Wingdings" w:hAnsi="Wingdings"/>
          <w:color w:val="EE0000"/>
          <w:sz w:val="20"/>
        </w:rPr>
        <w:t>x</w:t>
      </w:r>
      <w:r w:rsidR="00DB6382">
        <w:rPr>
          <w:sz w:val="20"/>
        </w:rPr>
        <w:t xml:space="preserve"> </w:t>
      </w:r>
      <w:r>
        <w:rPr>
          <w:sz w:val="20"/>
        </w:rPr>
        <w:t xml:space="preserve">Non </w:t>
      </w:r>
      <w:r>
        <w:rPr>
          <w:rFonts w:ascii="Wingdings" w:hAnsi="Wingdings"/>
          <w:sz w:val="20"/>
        </w:rPr>
        <w:t></w:t>
      </w:r>
    </w:p>
    <w:p w14:paraId="29A3A158" w14:textId="77777777" w:rsidR="00D26D55" w:rsidRPr="007E4F8F" w:rsidRDefault="00D26D55" w:rsidP="007F52F0">
      <w:pPr>
        <w:ind w:left="426" w:hanging="426"/>
        <w:rPr>
          <w:sz w:val="20"/>
          <w:szCs w:val="20"/>
        </w:rPr>
      </w:pPr>
    </w:p>
    <w:p w14:paraId="05717B93" w14:textId="23AA7EEE" w:rsidR="00D26D55" w:rsidRPr="007E4F8F" w:rsidRDefault="00D26D55" w:rsidP="00DB6382">
      <w:pPr>
        <w:ind w:left="426"/>
        <w:jc w:val="both"/>
        <w:rPr>
          <w:sz w:val="20"/>
          <w:szCs w:val="20"/>
        </w:rPr>
      </w:pPr>
      <w:r>
        <w:rPr>
          <w:sz w:val="20"/>
        </w:rPr>
        <w:t xml:space="preserve">Ce travail est-il déjà inclus dans le plan de travail actuel du SCRS?     </w:t>
      </w:r>
      <w:r>
        <w:rPr>
          <w:color w:val="EE0000"/>
          <w:sz w:val="20"/>
        </w:rPr>
        <w:t>Oui</w:t>
      </w:r>
      <w:r>
        <w:rPr>
          <w:sz w:val="20"/>
        </w:rPr>
        <w:t xml:space="preserve"> </w:t>
      </w:r>
      <w:r>
        <w:rPr>
          <w:rFonts w:ascii="Wingdings" w:hAnsi="Wingdings"/>
          <w:color w:val="EE0000"/>
          <w:sz w:val="20"/>
        </w:rPr>
        <w:t>x</w:t>
      </w:r>
      <w:r>
        <w:rPr>
          <w:sz w:val="20"/>
        </w:rPr>
        <w:tab/>
        <w:t xml:space="preserve">Non </w:t>
      </w:r>
      <w:r>
        <w:rPr>
          <w:rFonts w:ascii="Wingdings" w:hAnsi="Wingdings"/>
          <w:sz w:val="20"/>
        </w:rPr>
        <w:t></w:t>
      </w:r>
    </w:p>
    <w:p w14:paraId="6D9E5844" w14:textId="77777777" w:rsidR="00D26D55" w:rsidRPr="007E4F8F" w:rsidRDefault="00D26D55" w:rsidP="007F52F0">
      <w:pPr>
        <w:ind w:left="426" w:hanging="426"/>
        <w:rPr>
          <w:sz w:val="20"/>
          <w:szCs w:val="20"/>
        </w:rPr>
      </w:pPr>
    </w:p>
    <w:p w14:paraId="6EAD2CCD" w14:textId="77777777" w:rsidR="00D26D55" w:rsidRPr="007E4F8F" w:rsidRDefault="00D26D55" w:rsidP="00DB6382">
      <w:pPr>
        <w:ind w:left="426"/>
        <w:jc w:val="both"/>
        <w:rPr>
          <w:sz w:val="20"/>
          <w:szCs w:val="20"/>
        </w:rPr>
      </w:pPr>
      <w:r>
        <w:rPr>
          <w:sz w:val="20"/>
        </w:rPr>
        <w:t>Brève description des nouveaux travaux scientifiques requis (évaluation des stocks, analyse, consultant externe) :</w:t>
      </w:r>
    </w:p>
    <w:p w14:paraId="049C974F" w14:textId="77777777" w:rsidR="00D26D55" w:rsidRPr="007E4F8F" w:rsidRDefault="00D26D55" w:rsidP="007F52F0">
      <w:pPr>
        <w:ind w:left="426" w:hanging="426"/>
        <w:rPr>
          <w:sz w:val="20"/>
          <w:szCs w:val="20"/>
        </w:rPr>
      </w:pPr>
    </w:p>
    <w:p w14:paraId="0665554B" w14:textId="19AF2274" w:rsidR="00D26D55" w:rsidRPr="001B5A7C" w:rsidRDefault="00D26D55" w:rsidP="00254B5F">
      <w:pPr>
        <w:jc w:val="both"/>
        <w:rPr>
          <w:color w:val="FF0000"/>
          <w:sz w:val="20"/>
          <w:szCs w:val="20"/>
        </w:rPr>
      </w:pPr>
      <w:r>
        <w:rPr>
          <w:color w:val="FF0000"/>
          <w:sz w:val="20"/>
        </w:rPr>
        <w:t>Aucun travail supplémentaire n'est nécessaire de la part du SCRS avant l'entrée en vigueur des modifications proposées concernant les TAC et les quotas. Toutefois, ce projet de Recommandation propose également que les dernières recherches génétiques, y compris les données issues de l’approche de marquage-recapture de spécimens étroitement apparentés (CKMR), ainsi que les résultats des programmes de marquage, soient examinés par le SCRS et intégrés dans l’examen de la MP pour le thon rouge d'ici 2028. L’examen de la MP pour le thon rouge est déjà établi dans la Rec. 23-07 et reflétée dans le plan de travail du SCRS.</w:t>
      </w:r>
    </w:p>
    <w:p w14:paraId="7885DC6F" w14:textId="77777777" w:rsidR="00D26D55" w:rsidRPr="007E4F8F" w:rsidRDefault="00D26D55" w:rsidP="007F52F0">
      <w:pPr>
        <w:rPr>
          <w:sz w:val="20"/>
          <w:szCs w:val="20"/>
        </w:rPr>
      </w:pPr>
    </w:p>
    <w:p w14:paraId="42668563" w14:textId="51553FEC" w:rsidR="00D26D55" w:rsidRPr="007E4F8F" w:rsidRDefault="00D26D55" w:rsidP="007F52F0">
      <w:pPr>
        <w:pStyle w:val="ListParagraph"/>
        <w:numPr>
          <w:ilvl w:val="0"/>
          <w:numId w:val="4"/>
        </w:numPr>
        <w:ind w:left="426" w:hanging="426"/>
        <w:jc w:val="both"/>
        <w:rPr>
          <w:sz w:val="20"/>
          <w:szCs w:val="20"/>
        </w:rPr>
      </w:pPr>
      <w:r>
        <w:rPr>
          <w:sz w:val="20"/>
        </w:rPr>
        <w:t xml:space="preserve">Cela implique-t-il la création d'un </w:t>
      </w:r>
      <w:r>
        <w:rPr>
          <w:b/>
          <w:sz w:val="20"/>
        </w:rPr>
        <w:t xml:space="preserve">nouveau groupe de travail ou d'un processus intersessions </w:t>
      </w:r>
      <w:r>
        <w:rPr>
          <w:sz w:val="20"/>
        </w:rPr>
        <w:t xml:space="preserve">?    Oui </w:t>
      </w:r>
      <w:r>
        <w:rPr>
          <w:rFonts w:ascii="Wingdings" w:hAnsi="Wingdings"/>
          <w:sz w:val="20"/>
        </w:rPr>
        <w:t></w:t>
      </w:r>
      <w:r>
        <w:rPr>
          <w:sz w:val="20"/>
        </w:rPr>
        <w:t xml:space="preserve">      </w:t>
      </w:r>
      <w:r>
        <w:rPr>
          <w:color w:val="EE0000"/>
          <w:sz w:val="20"/>
        </w:rPr>
        <w:t xml:space="preserve">Non </w:t>
      </w:r>
      <w:r>
        <w:rPr>
          <w:rFonts w:ascii="Wingdings" w:hAnsi="Wingdings"/>
          <w:color w:val="EE0000"/>
          <w:sz w:val="20"/>
        </w:rPr>
        <w:t>x</w:t>
      </w:r>
    </w:p>
    <w:p w14:paraId="7217F291" w14:textId="77777777" w:rsidR="00D26D55" w:rsidRDefault="00D26D55" w:rsidP="007F52F0">
      <w:pPr>
        <w:ind w:left="426" w:hanging="426"/>
        <w:rPr>
          <w:sz w:val="20"/>
          <w:szCs w:val="20"/>
        </w:rPr>
      </w:pPr>
    </w:p>
    <w:p w14:paraId="1BC18915" w14:textId="77777777" w:rsidR="00D26D55" w:rsidRPr="007E4F8F" w:rsidRDefault="00D26D55" w:rsidP="007F52F0">
      <w:pPr>
        <w:ind w:left="426" w:hanging="426"/>
        <w:rPr>
          <w:sz w:val="20"/>
          <w:szCs w:val="20"/>
        </w:rPr>
      </w:pPr>
    </w:p>
    <w:p w14:paraId="6AB4AD63" w14:textId="77777777" w:rsidR="00D26D55" w:rsidRPr="007E4F8F" w:rsidRDefault="00D26D55" w:rsidP="007F52F0">
      <w:pPr>
        <w:pStyle w:val="ListParagraph"/>
        <w:numPr>
          <w:ilvl w:val="0"/>
          <w:numId w:val="4"/>
        </w:numPr>
        <w:ind w:left="426" w:hanging="426"/>
        <w:jc w:val="both"/>
        <w:rPr>
          <w:sz w:val="20"/>
          <w:szCs w:val="20"/>
        </w:rPr>
      </w:pPr>
      <w:r>
        <w:rPr>
          <w:sz w:val="20"/>
        </w:rPr>
        <w:t xml:space="preserve">Cela nécessite-t-il un nouveau </w:t>
      </w:r>
      <w:r>
        <w:rPr>
          <w:b/>
          <w:sz w:val="20"/>
        </w:rPr>
        <w:t xml:space="preserve">programme ou des activités supplémentaires à gérer par le Secrétariat </w:t>
      </w:r>
      <w:r>
        <w:rPr>
          <w:sz w:val="20"/>
        </w:rPr>
        <w:t xml:space="preserve">?  </w:t>
      </w:r>
    </w:p>
    <w:p w14:paraId="306CA919" w14:textId="77777777" w:rsidR="00D26D55" w:rsidRPr="007E4F8F" w:rsidRDefault="00D26D55" w:rsidP="007F52F0">
      <w:pPr>
        <w:pStyle w:val="ListParagraph"/>
        <w:ind w:left="426" w:hanging="426"/>
        <w:rPr>
          <w:spacing w:val="-2"/>
          <w:sz w:val="20"/>
          <w:szCs w:val="20"/>
        </w:rPr>
      </w:pPr>
    </w:p>
    <w:p w14:paraId="53A000C4" w14:textId="6EE95A97" w:rsidR="00D26D55" w:rsidRPr="001B5A7C" w:rsidRDefault="00D26D55" w:rsidP="00DB6382">
      <w:pPr>
        <w:pStyle w:val="ListParagraph"/>
        <w:ind w:left="426" w:firstLine="0"/>
        <w:rPr>
          <w:rFonts w:asciiTheme="majorHAnsi" w:hAnsiTheme="majorHAnsi"/>
          <w:sz w:val="20"/>
          <w:szCs w:val="20"/>
        </w:rPr>
      </w:pPr>
      <w:r>
        <w:rPr>
          <w:sz w:val="20"/>
        </w:rPr>
        <w:t xml:space="preserve">Oui </w:t>
      </w:r>
      <w:r>
        <w:rPr>
          <w:rFonts w:ascii="Wingdings" w:hAnsi="Wingdings"/>
          <w:sz w:val="20"/>
        </w:rPr>
        <w:t></w:t>
      </w:r>
      <w:r>
        <w:rPr>
          <w:sz w:val="20"/>
        </w:rPr>
        <w:t xml:space="preserve">      </w:t>
      </w:r>
      <w:r>
        <w:rPr>
          <w:color w:val="EE0000"/>
          <w:sz w:val="20"/>
        </w:rPr>
        <w:t xml:space="preserve">Non </w:t>
      </w:r>
      <w:r>
        <w:rPr>
          <w:rFonts w:ascii="Wingdings" w:hAnsi="Wingdings"/>
          <w:color w:val="EE0000"/>
          <w:sz w:val="20"/>
        </w:rPr>
        <w:t>x</w:t>
      </w:r>
    </w:p>
    <w:p w14:paraId="3C4A537E" w14:textId="77777777" w:rsidR="00D26D55" w:rsidRPr="007E4F8F" w:rsidRDefault="00D26D55" w:rsidP="007F52F0">
      <w:pPr>
        <w:ind w:left="426" w:hanging="426"/>
        <w:rPr>
          <w:sz w:val="20"/>
          <w:szCs w:val="20"/>
        </w:rPr>
      </w:pPr>
    </w:p>
    <w:p w14:paraId="0A71DF05" w14:textId="77777777" w:rsidR="00D26D55" w:rsidRPr="007E4F8F" w:rsidRDefault="00D26D55" w:rsidP="00DB6382">
      <w:pPr>
        <w:ind w:left="426"/>
        <w:jc w:val="both"/>
        <w:rPr>
          <w:spacing w:val="-2"/>
          <w:sz w:val="20"/>
          <w:szCs w:val="20"/>
        </w:rPr>
      </w:pPr>
      <w:r>
        <w:rPr>
          <w:sz w:val="20"/>
        </w:rPr>
        <w:t>Brève description du nouveau travail requis pour le Secrétariat :</w:t>
      </w:r>
    </w:p>
    <w:p w14:paraId="4D8578EA" w14:textId="77777777" w:rsidR="00D26D55" w:rsidRDefault="00D26D55" w:rsidP="007F52F0">
      <w:pPr>
        <w:ind w:left="426" w:hanging="426"/>
        <w:rPr>
          <w:spacing w:val="-2"/>
          <w:sz w:val="20"/>
          <w:szCs w:val="20"/>
        </w:rPr>
      </w:pPr>
    </w:p>
    <w:p w14:paraId="147C8865" w14:textId="77777777" w:rsidR="00D26D55" w:rsidRPr="007E4F8F" w:rsidRDefault="00D26D55" w:rsidP="007F52F0">
      <w:pPr>
        <w:ind w:left="426" w:hanging="426"/>
        <w:rPr>
          <w:spacing w:val="-2"/>
          <w:sz w:val="20"/>
          <w:szCs w:val="20"/>
        </w:rPr>
      </w:pPr>
    </w:p>
    <w:p w14:paraId="088946F0" w14:textId="77777777" w:rsidR="00D26D55" w:rsidRPr="007E4F8F" w:rsidRDefault="00D26D55" w:rsidP="007F52F0">
      <w:pPr>
        <w:pStyle w:val="ListParagraph"/>
        <w:numPr>
          <w:ilvl w:val="0"/>
          <w:numId w:val="4"/>
        </w:numPr>
        <w:ind w:left="426" w:hanging="426"/>
        <w:jc w:val="both"/>
        <w:rPr>
          <w:spacing w:val="-2"/>
          <w:sz w:val="20"/>
          <w:szCs w:val="20"/>
        </w:rPr>
      </w:pPr>
      <w:r>
        <w:rPr>
          <w:sz w:val="20"/>
        </w:rPr>
        <w:t>Quel est le calendrier proposé pour la mise en œuvre, et existe-t-il des calendriers spécifiques différents pour certaines CPC, pêcheries, régions, etc. ?</w:t>
      </w:r>
    </w:p>
    <w:p w14:paraId="15731A2A" w14:textId="77777777" w:rsidR="00D26D55" w:rsidRDefault="00D26D55" w:rsidP="007F52F0">
      <w:pPr>
        <w:ind w:left="426" w:hanging="426"/>
        <w:rPr>
          <w:spacing w:val="-2"/>
          <w:sz w:val="20"/>
          <w:szCs w:val="20"/>
        </w:rPr>
      </w:pPr>
    </w:p>
    <w:p w14:paraId="7BBF80D7" w14:textId="77777777" w:rsidR="00D26D55" w:rsidRPr="001B5A7C" w:rsidRDefault="00D26D55" w:rsidP="00DB6382">
      <w:pPr>
        <w:ind w:left="426"/>
        <w:jc w:val="both"/>
        <w:rPr>
          <w:color w:val="FF0000"/>
          <w:spacing w:val="-2"/>
          <w:sz w:val="20"/>
          <w:szCs w:val="20"/>
        </w:rPr>
      </w:pPr>
      <w:r>
        <w:rPr>
          <w:color w:val="FF0000"/>
          <w:sz w:val="20"/>
        </w:rPr>
        <w:t>La mise en œuvre des nouveaux TAC et du nouveau système de quotas proposés est décrite dans la proposition à partir de 2026. L'examen des nouvelles données scientifiques par le SCRS est prévu pour 2026-2028, conformément au calendrier d'examen de la MP pour le thon rouge.</w:t>
      </w:r>
    </w:p>
    <w:p w14:paraId="7CBEB229" w14:textId="77777777" w:rsidR="00D26D55" w:rsidRPr="007E4F8F" w:rsidRDefault="00D26D55" w:rsidP="007F52F0">
      <w:pPr>
        <w:ind w:left="426" w:hanging="426"/>
        <w:rPr>
          <w:spacing w:val="-2"/>
          <w:sz w:val="20"/>
          <w:szCs w:val="20"/>
        </w:rPr>
      </w:pPr>
    </w:p>
    <w:p w14:paraId="3AC5CB0D" w14:textId="77777777" w:rsidR="00D26D55" w:rsidRPr="007E4F8F" w:rsidRDefault="00D26D55" w:rsidP="007F52F0">
      <w:pPr>
        <w:pStyle w:val="ListParagraph"/>
        <w:numPr>
          <w:ilvl w:val="0"/>
          <w:numId w:val="4"/>
        </w:numPr>
        <w:ind w:left="426" w:hanging="426"/>
        <w:jc w:val="both"/>
        <w:rPr>
          <w:spacing w:val="-2"/>
          <w:sz w:val="20"/>
          <w:szCs w:val="20"/>
        </w:rPr>
      </w:pPr>
      <w:r>
        <w:rPr>
          <w:sz w:val="20"/>
        </w:rPr>
        <w:t>Existe-t-il d'autres informations pertinentes concernant les implications de la proposition en termes de ressources et de charge de travail ?</w:t>
      </w:r>
    </w:p>
    <w:p w14:paraId="510B8AD0" w14:textId="77777777" w:rsidR="00D26D55" w:rsidRPr="007E4F8F" w:rsidRDefault="00D26D55" w:rsidP="007F52F0">
      <w:pPr>
        <w:pStyle w:val="ListParagraph"/>
        <w:ind w:left="426" w:hanging="426"/>
        <w:rPr>
          <w:spacing w:val="-2"/>
          <w:sz w:val="20"/>
          <w:szCs w:val="20"/>
        </w:rPr>
      </w:pPr>
    </w:p>
    <w:p w14:paraId="576C69D9" w14:textId="77777777" w:rsidR="00795AE4" w:rsidRDefault="00795AE4" w:rsidP="00254B5F">
      <w:pPr>
        <w:pStyle w:val="Heading1"/>
        <w:spacing w:before="0"/>
        <w:jc w:val="right"/>
      </w:pPr>
    </w:p>
    <w:p w14:paraId="3D3E97E1" w14:textId="77777777" w:rsidR="00795AE4" w:rsidRDefault="00795AE4" w:rsidP="00254B5F">
      <w:pPr>
        <w:pStyle w:val="Heading1"/>
        <w:spacing w:before="0"/>
        <w:jc w:val="right"/>
      </w:pPr>
    </w:p>
    <w:p w14:paraId="4249E74E" w14:textId="77777777" w:rsidR="00BF23AB" w:rsidRDefault="00BF23AB">
      <w:pPr>
        <w:rPr>
          <w:b/>
          <w:bCs/>
          <w:sz w:val="20"/>
          <w:szCs w:val="20"/>
        </w:rPr>
      </w:pPr>
      <w:r>
        <w:br w:type="page"/>
      </w:r>
    </w:p>
    <w:p w14:paraId="4DC006EA" w14:textId="1639CBBE" w:rsidR="00254B5F" w:rsidRDefault="00254B5F" w:rsidP="00254B5F">
      <w:pPr>
        <w:pStyle w:val="Heading1"/>
        <w:spacing w:before="0"/>
        <w:jc w:val="right"/>
      </w:pPr>
      <w:r>
        <w:lastRenderedPageBreak/>
        <w:t xml:space="preserve">Original : anglais </w:t>
      </w:r>
    </w:p>
    <w:p w14:paraId="5F3DFBD5" w14:textId="77777777" w:rsidR="00254B5F" w:rsidRDefault="00254B5F" w:rsidP="00254B5F">
      <w:pPr>
        <w:pStyle w:val="Heading1"/>
        <w:spacing w:before="0"/>
      </w:pPr>
    </w:p>
    <w:p w14:paraId="3A6ADA55" w14:textId="0D9CA704" w:rsidR="00254B5F" w:rsidRDefault="005B0D22" w:rsidP="00254B5F">
      <w:pPr>
        <w:pStyle w:val="Heading1"/>
        <w:spacing w:before="0"/>
        <w:rPr>
          <w:spacing w:val="-8"/>
        </w:rPr>
      </w:pPr>
      <w:r>
        <w:t xml:space="preserve">Note explicative relative au Projet de Recommandation de l’ICCAT amendant la Recommandation 22-10 et la Recommandation 24-05 </w:t>
      </w:r>
    </w:p>
    <w:p w14:paraId="51645241" w14:textId="067B11E9" w:rsidR="0099666E" w:rsidRPr="003B6E90" w:rsidRDefault="0099666E" w:rsidP="00254B5F">
      <w:pPr>
        <w:pStyle w:val="Heading1"/>
        <w:spacing w:before="0"/>
      </w:pPr>
    </w:p>
    <w:p w14:paraId="10B4777C" w14:textId="77777777" w:rsidR="0099666E" w:rsidRPr="003B6E90" w:rsidRDefault="005B0D22" w:rsidP="00254B5F">
      <w:pPr>
        <w:ind w:left="135" w:right="430"/>
        <w:jc w:val="center"/>
        <w:rPr>
          <w:sz w:val="20"/>
        </w:rPr>
      </w:pPr>
      <w:r>
        <w:rPr>
          <w:i/>
          <w:iCs/>
          <w:sz w:val="20"/>
        </w:rPr>
        <w:t>(Document soumis par les États-Unis)</w:t>
      </w:r>
    </w:p>
    <w:p w14:paraId="76588ACA" w14:textId="77777777" w:rsidR="0099666E" w:rsidRPr="003B6E90" w:rsidRDefault="0099666E">
      <w:pPr>
        <w:pStyle w:val="BodyText"/>
        <w:spacing w:before="4"/>
      </w:pPr>
    </w:p>
    <w:p w14:paraId="3DD150CF" w14:textId="77777777" w:rsidR="0099666E" w:rsidRPr="003B6E90" w:rsidRDefault="005B0D22" w:rsidP="00EC7AA5">
      <w:pPr>
        <w:pStyle w:val="BodyText"/>
        <w:ind w:right="-1"/>
        <w:jc w:val="both"/>
      </w:pPr>
      <w:r>
        <w:t>Compte tenu des récentes avancées scientifiques réalisées par le Comité permanent pour la recherche et les statistiques de l’ICCAT (SCRS) dans la compréhension des mouvements, du mélange des populations et de la productivité du thon rouge de l'Atlantique, il est nécessaire d'évaluer si la distribution spatiale actuelle des populations de l'espèce se reflète dans la distribution actuelle des totaux admissibles de captures (TAC) entre les zones de gestion de l’Est et de l’Ouest.</w:t>
      </w:r>
    </w:p>
    <w:p w14:paraId="2215DE8E" w14:textId="77777777" w:rsidR="0099666E" w:rsidRPr="003B6E90" w:rsidRDefault="0099666E" w:rsidP="00EC7AA5">
      <w:pPr>
        <w:pStyle w:val="BodyText"/>
        <w:spacing w:before="8"/>
        <w:ind w:right="-1"/>
      </w:pPr>
    </w:p>
    <w:p w14:paraId="3C07C0C2" w14:textId="38F530A8" w:rsidR="0099666E" w:rsidRPr="003B6E90" w:rsidRDefault="005B0D22" w:rsidP="00EC7AA5">
      <w:pPr>
        <w:pStyle w:val="BodyText"/>
        <w:ind w:right="-1"/>
        <w:jc w:val="both"/>
      </w:pPr>
      <w:r>
        <w:t>L'évaluation des stocks de 2017 a postulé les données gonflées de l’historique de captures pour la période 1998-2007 issues des statistiques commerciales japonaises et les a attribuées à la flottille méditerranéenne de senneurs.</w:t>
      </w:r>
      <w:r w:rsidR="008A6074">
        <w:rPr>
          <w:rStyle w:val="FootnoteReference"/>
        </w:rPr>
        <w:footnoteReference w:id="1"/>
      </w:r>
      <w:r>
        <w:t xml:space="preserve"> Le fait de gonfler les captures et de les intégrer dans l'évaluation des stocks a simplement augmenté le TAC oriental, officialisant ainsi une augmentation de facto de l'allocation accordée à la flottille orientale de senneurs, principale responsable de la pêche illicite, non déclarée et non réglementée (IUU) à cette époque. En outre, la distribution de l'historique des captures entre les zones de gestion orientale et occidentale, dérivée des évaluations des stocks, a été établie à un moment où le stock oriental était surexploité et faisait l'objet d'une pêche IUU généralisée. L'attribution des TAC pour le thon rouge de l’Est et le thon rouge de l’Ouest a également eu lieu bien avant que nous comprenions le mélange important du stock oriental dans l'Atlantique Ouest. Des études récentes de marquage-récupération de marques sur des spécimens étroitement apparentés (CKMR) montrent que le stock occidental est à la fois plus abondant que lors des évaluations précédentes et que son rétablissement pourrait être complet. Les tendances observées dans l'Est indiquent que la population a retrouvé ses niveaux historiques, à tel point que nous assistons actuellement à son retour dans des zones de l'Atlantique où elle n'avait plus été observée depuis de nombreuses années. Cela est dû à une bonne gestion des pêcheries qui a permis aux poissons de grandir et de migrer hors de la mer Méditerranée pour se nourrir dans les régions les plus productives de l'Atlantique, ce qui est avantageux en termes de production et d'augmentation de la reproduction. Il s'agit d'une réussite internationale en matière de gestion des pêches.</w:t>
      </w:r>
    </w:p>
    <w:p w14:paraId="107A9DC8" w14:textId="77777777" w:rsidR="0099666E" w:rsidRPr="003B6E90" w:rsidRDefault="0099666E" w:rsidP="00EC7AA5">
      <w:pPr>
        <w:pStyle w:val="BodyText"/>
        <w:spacing w:before="4"/>
        <w:ind w:right="-1"/>
      </w:pPr>
    </w:p>
    <w:p w14:paraId="4B03CA30" w14:textId="2C20C24E" w:rsidR="0099666E" w:rsidRPr="00EC7AA5" w:rsidRDefault="005B0D22" w:rsidP="00EC7AA5">
      <w:pPr>
        <w:ind w:right="-1"/>
        <w:jc w:val="both"/>
        <w:rPr>
          <w:sz w:val="20"/>
          <w:szCs w:val="20"/>
        </w:rPr>
      </w:pPr>
      <w:r>
        <w:rPr>
          <w:sz w:val="20"/>
        </w:rPr>
        <w:t>Cependant, les proportions relatives des TAC pour le thon rouge de l’Est et le thon rouge de l’Ouest ont continué à stagner et ne reflètent pas les connaissances scientifiques récentes sur le mélange, les mouvements et les schémas migratoires. Compte tenu des investissements mondiaux consacrés à la science et au rétablissement des stocks de thon rouge de l'Atlantique, il est essentiel d’établir des TAC pour le thon rouge de l'Est et le thon rouge de l’Ouest qui reflètent la distribution spatiale de l'espèce. Une partie importante de la biomasse du stock de l'Atlantique Est passe la majeure partie de sa vie dans l'Atlantique Ouest, une région qui, en raison de restrictions strictes en matière de captures, de restrictions spatiales dans les zones de frai et de mesures de suivi, de contrôle et de surveillance (MCS) extrêmement rigoureuses, a servi de refuge spatial à cette composante du stock de l'Est. Dans le même temps, les quotas ont atteint des niveaux records pour les pêcheries opérant directement dans les zones de frai du thon rouge de l'Est, concentrant ainsi les quotas dans les mêmes pêcheries qui ont provoqué la crise des stocks à la fin des années 1990 et dans les années 2000 en raison de la pêche illicite, non déclaré et non réglementé (IUU) et de contrôles de gestion insuffisants.</w:t>
      </w:r>
    </w:p>
    <w:p w14:paraId="6B7066AE" w14:textId="77777777" w:rsidR="0099666E" w:rsidRPr="003B6E90" w:rsidRDefault="005B0D22" w:rsidP="00EC7AA5">
      <w:pPr>
        <w:pStyle w:val="BodyText"/>
        <w:spacing w:before="234"/>
        <w:ind w:right="-1"/>
        <w:jc w:val="both"/>
      </w:pPr>
      <w:r>
        <w:t>Nous pouvons éviter les erreurs du passé en utilisant les meilleures données scientifiques disponibles, qui montrent désormais clairement que l'espèce est présente dans tout l'Atlantique. Par conséquent, nous devons reconsidérer les TAC pour l’Est et l’Ouest afin de refléter la distribution actuelle de l'espèce, en nous basant sur les données scientifiques les plus récentes et les plus fiables disponibles.</w:t>
      </w:r>
    </w:p>
    <w:p w14:paraId="522019D8" w14:textId="77777777" w:rsidR="0099666E" w:rsidRPr="003B6E90" w:rsidRDefault="0099666E" w:rsidP="00EC7AA5">
      <w:pPr>
        <w:pStyle w:val="BodyText"/>
        <w:ind w:right="-1"/>
      </w:pPr>
    </w:p>
    <w:p w14:paraId="603AA6B1" w14:textId="13B85D75" w:rsidR="006F295F" w:rsidRDefault="005B0D22" w:rsidP="006F295F">
      <w:pPr>
        <w:pStyle w:val="BodyText"/>
        <w:ind w:right="-1"/>
        <w:jc w:val="both"/>
      </w:pPr>
      <w:r w:rsidRPr="006F295F">
        <w:t xml:space="preserve">Pour ce faire, les États-Unis demandent que, dans le cadre de l'examen de la procédure de gestion (MP) pour le thon rouge conformément aux dispositions de la </w:t>
      </w:r>
      <w:hyperlink r:id="rId8" w:history="1">
        <w:r w:rsidRPr="006F295F">
          <w:rPr>
            <w:rStyle w:val="Hyperlink"/>
            <w:u w:val="none"/>
          </w:rPr>
          <w:t>Rec. 23-07</w:t>
        </w:r>
      </w:hyperlink>
      <w:r w:rsidRPr="006F295F">
        <w:t>, le SCRS procède à une analyse à partir des données les plus récentes sur les mouvements et le mélange afin de déterminer quels seraient les taux de capture spatiaux durables par rapport à la distribution naturelle de la biomasse des stocks de l’Est et de l’Ouest. Plus précisément, nous demandons que les TAC soient actualisés afin de refléter correctement la distribution spatiale réelle des stocks de thon rouge de l'Atlantique.</w:t>
      </w:r>
      <w:r w:rsidR="006F295F">
        <w:br w:type="page"/>
      </w:r>
    </w:p>
    <w:p w14:paraId="6E87B546" w14:textId="77777777" w:rsidR="0099666E" w:rsidRDefault="005B0D22" w:rsidP="00EC7AA5">
      <w:pPr>
        <w:pStyle w:val="BodyText"/>
        <w:ind w:right="-1"/>
        <w:jc w:val="both"/>
      </w:pPr>
      <w:r>
        <w:lastRenderedPageBreak/>
        <w:t>En attendant que l’examen de la MP pour le thon rouge soit achevé afin de refléter ces changements importants, les États-Unis cherchent à rétablir les niveaux historiques du TAC occidental en proposant qu'une partie du TAC de l'Atlantique Est soit mise à disposition pour être utilisée dans l'Atlantique Ouest, conformément aux dispositions du plan de gestion du thon rouge de l'Atlantique Ouest. Les États-Unis ont également proposé une nouvelle allocation des quotas pour l'Atlantique Est et la Méditerranée, jointe à l’</w:t>
      </w:r>
      <w:r>
        <w:rPr>
          <w:b/>
          <w:bCs/>
        </w:rPr>
        <w:t>appendice 1</w:t>
      </w:r>
      <w:r>
        <w:t>, afin d'en discuter avec les autres CPC.</w:t>
      </w:r>
    </w:p>
    <w:p w14:paraId="71BD51F1" w14:textId="77777777" w:rsidR="006F295F" w:rsidRDefault="006F295F" w:rsidP="00EC7AA5">
      <w:pPr>
        <w:pStyle w:val="BodyText"/>
        <w:ind w:right="-1"/>
        <w:jc w:val="both"/>
      </w:pPr>
    </w:p>
    <w:p w14:paraId="2969F992" w14:textId="727DD3FE" w:rsidR="006F295F" w:rsidRPr="003B6E90" w:rsidRDefault="006F295F" w:rsidP="00EC7AA5">
      <w:pPr>
        <w:pStyle w:val="BodyText"/>
        <w:ind w:right="-1"/>
        <w:jc w:val="both"/>
        <w:sectPr w:rsidR="006F295F" w:rsidRPr="003B6E90" w:rsidSect="00F10258">
          <w:headerReference w:type="default" r:id="rId9"/>
          <w:footerReference w:type="default" r:id="rId10"/>
          <w:type w:val="continuous"/>
          <w:pgSz w:w="11907" w:h="16840" w:code="9"/>
          <w:pgMar w:top="1418" w:right="1418" w:bottom="1418" w:left="1418" w:header="851" w:footer="1134" w:gutter="0"/>
          <w:pgNumType w:start="1"/>
          <w:cols w:space="720"/>
        </w:sectPr>
      </w:pPr>
    </w:p>
    <w:p w14:paraId="57CA3B83" w14:textId="77777777" w:rsidR="00A97379" w:rsidRDefault="005B0D22" w:rsidP="00A97379">
      <w:pPr>
        <w:pStyle w:val="Heading1"/>
        <w:spacing w:before="0"/>
        <w:ind w:right="430"/>
        <w:rPr>
          <w:spacing w:val="3"/>
        </w:rPr>
      </w:pPr>
      <w:r>
        <w:lastRenderedPageBreak/>
        <w:t xml:space="preserve">Projet de Recommandation de l’ICCAT amendant la Recommandation 22-10 et la Recommandation 24-05 </w:t>
      </w:r>
    </w:p>
    <w:p w14:paraId="61982589" w14:textId="67A8F4F5" w:rsidR="0099666E" w:rsidRPr="003B6E90" w:rsidRDefault="0099666E" w:rsidP="00A97379">
      <w:pPr>
        <w:pStyle w:val="Heading1"/>
        <w:spacing w:before="0"/>
        <w:ind w:right="430"/>
      </w:pPr>
    </w:p>
    <w:p w14:paraId="24E4EE42" w14:textId="77777777" w:rsidR="0099666E" w:rsidRPr="004A57C5" w:rsidRDefault="005B0D22" w:rsidP="00A97379">
      <w:pPr>
        <w:ind w:right="430"/>
        <w:jc w:val="center"/>
        <w:rPr>
          <w:i/>
          <w:iCs/>
          <w:sz w:val="20"/>
        </w:rPr>
      </w:pPr>
      <w:r w:rsidRPr="004A57C5">
        <w:rPr>
          <w:i/>
          <w:iCs/>
          <w:sz w:val="20"/>
        </w:rPr>
        <w:t>(Document soumis par les États-Unis)</w:t>
      </w:r>
    </w:p>
    <w:p w14:paraId="7D952C9E" w14:textId="77777777" w:rsidR="0099666E" w:rsidRPr="003B6E90" w:rsidRDefault="0099666E" w:rsidP="00A97379">
      <w:pPr>
        <w:pStyle w:val="BodyText"/>
      </w:pPr>
    </w:p>
    <w:p w14:paraId="5EDDB703" w14:textId="0B3F790D" w:rsidR="0099666E" w:rsidRPr="004A57C5" w:rsidRDefault="005B0D22" w:rsidP="00A97379">
      <w:pPr>
        <w:pStyle w:val="Heading2"/>
        <w:ind w:left="0"/>
        <w:jc w:val="both"/>
        <w:rPr>
          <w:b w:val="0"/>
          <w:bCs w:val="0"/>
          <w:i w:val="0"/>
          <w:iCs w:val="0"/>
        </w:rPr>
      </w:pPr>
      <w:r w:rsidRPr="00CE3F89">
        <w:rPr>
          <w:b w:val="0"/>
          <w:bCs w:val="0"/>
          <w:i w:val="0"/>
          <w:iCs w:val="0"/>
        </w:rPr>
        <w:t xml:space="preserve">Le texte suivant devra être ajouté au préambule de la </w:t>
      </w:r>
      <w:r w:rsidR="004A57C5" w:rsidRPr="00CE3F89">
        <w:rPr>
          <w:b w:val="0"/>
          <w:bCs w:val="0"/>
        </w:rPr>
        <w:t xml:space="preserve">Recommandation </w:t>
      </w:r>
      <w:r w:rsidRPr="00CE3F89">
        <w:rPr>
          <w:b w:val="0"/>
          <w:bCs w:val="0"/>
        </w:rPr>
        <w:t xml:space="preserve">de l’ICCAT concernant un plan de conservation et de gestion du thon rouge de l’Atlantique Ouest </w:t>
      </w:r>
      <w:r w:rsidRPr="00CE3F89">
        <w:rPr>
          <w:b w:val="0"/>
          <w:bCs w:val="0"/>
          <w:i w:val="0"/>
          <w:iCs w:val="0"/>
        </w:rPr>
        <w:t xml:space="preserve">(Rec. 22-10) et de la </w:t>
      </w:r>
      <w:r w:rsidRPr="00CE3F89">
        <w:rPr>
          <w:b w:val="0"/>
          <w:bCs w:val="0"/>
        </w:rPr>
        <w:t xml:space="preserve">Recommandation de l’ICCAT amendant la Recommandation 22-08 établissant un plan pluriannuel de gestion du thon rouge dans l’Atlantique Est et la Méditerranée </w:t>
      </w:r>
      <w:r w:rsidRPr="00CE3F89">
        <w:rPr>
          <w:b w:val="0"/>
          <w:bCs w:val="0"/>
          <w:i w:val="0"/>
          <w:iCs w:val="0"/>
        </w:rPr>
        <w:t>(Rec. 24-05)</w:t>
      </w:r>
      <w:r w:rsidR="00CE3F89" w:rsidRPr="00CE3F89">
        <w:rPr>
          <w:b w:val="0"/>
          <w:bCs w:val="0"/>
          <w:i w:val="0"/>
          <w:iCs w:val="0"/>
        </w:rPr>
        <w:t> :</w:t>
      </w:r>
    </w:p>
    <w:p w14:paraId="7AC2D39D" w14:textId="77777777" w:rsidR="0099666E" w:rsidRPr="003B6E90" w:rsidRDefault="0099666E" w:rsidP="00A97379">
      <w:pPr>
        <w:pStyle w:val="BodyText"/>
        <w:spacing w:before="4"/>
        <w:ind w:right="15"/>
      </w:pPr>
    </w:p>
    <w:p w14:paraId="1F3D32F6" w14:textId="15DEF3B7" w:rsidR="0099666E" w:rsidRPr="00320241" w:rsidRDefault="005B0D22" w:rsidP="00CE20A6">
      <w:pPr>
        <w:pStyle w:val="BodyText"/>
        <w:ind w:right="15" w:firstLine="426"/>
        <w:jc w:val="both"/>
        <w:rPr>
          <w:u w:val="single"/>
        </w:rPr>
      </w:pPr>
      <w:r w:rsidRPr="00320241">
        <w:rPr>
          <w:i/>
          <w:iCs/>
          <w:u w:val="single"/>
        </w:rPr>
        <w:t>RECONNAISSANT</w:t>
      </w:r>
      <w:r w:rsidRPr="00320241">
        <w:rPr>
          <w:u w:val="single"/>
        </w:rPr>
        <w:t xml:space="preserve"> les récentes avancées scientifiques (telles que le marquage et d'autres études) réalisées par le Comité permanent pour la recherche et les statistiques (SCRS) dans la compréhension des mouvements, du mélange des populations et de la productivité du thon rouge de l'Atlantique, qui démontrent qu'une partie importante de la biomasse du stock de l'Atlantique Est passe une grande partie de sa vie dans l'Atlantique Ouest et que la population de l'Atlantique Ouest est plus abondante que ne l'indiquaient les précédentes évaluations des stocks</w:t>
      </w:r>
      <w:r w:rsidR="00320241">
        <w:rPr>
          <w:u w:val="single"/>
        </w:rPr>
        <w:t> ;</w:t>
      </w:r>
    </w:p>
    <w:p w14:paraId="09D8C3D7" w14:textId="77777777" w:rsidR="0099666E" w:rsidRPr="00320241" w:rsidRDefault="0099666E" w:rsidP="00A97379">
      <w:pPr>
        <w:pStyle w:val="BodyText"/>
        <w:spacing w:before="8"/>
        <w:ind w:right="15"/>
        <w:rPr>
          <w:u w:val="single"/>
        </w:rPr>
      </w:pPr>
    </w:p>
    <w:p w14:paraId="5BDDB29F" w14:textId="20E77D9D" w:rsidR="0099666E" w:rsidRPr="00320241" w:rsidRDefault="005B0D22" w:rsidP="00CE20A6">
      <w:pPr>
        <w:pStyle w:val="BodyText"/>
        <w:ind w:right="15" w:firstLine="426"/>
        <w:jc w:val="both"/>
        <w:rPr>
          <w:u w:val="single"/>
        </w:rPr>
      </w:pPr>
      <w:r w:rsidRPr="00320241">
        <w:rPr>
          <w:i/>
          <w:iCs/>
          <w:u w:val="single"/>
        </w:rPr>
        <w:t>SOULIGNANT</w:t>
      </w:r>
      <w:r w:rsidRPr="00320241">
        <w:rPr>
          <w:u w:val="single"/>
        </w:rPr>
        <w:t xml:space="preserve"> que l'accès des CPC à l'allocation et aux possibilités de pêche ne devrait pas être limité par la proximité d'une CPC à l'origine natale d'un stock</w:t>
      </w:r>
      <w:r w:rsidR="00A41BC3">
        <w:rPr>
          <w:u w:val="single"/>
        </w:rPr>
        <w:t> ;</w:t>
      </w:r>
    </w:p>
    <w:p w14:paraId="631A5B58" w14:textId="77777777" w:rsidR="0099666E" w:rsidRPr="00320241" w:rsidRDefault="0099666E" w:rsidP="00A97379">
      <w:pPr>
        <w:pStyle w:val="BodyText"/>
        <w:spacing w:before="8"/>
        <w:ind w:right="15"/>
        <w:rPr>
          <w:u w:val="single"/>
        </w:rPr>
      </w:pPr>
    </w:p>
    <w:p w14:paraId="052F3A28" w14:textId="6EFC2F70" w:rsidR="0099666E" w:rsidRPr="00320241" w:rsidRDefault="005B0D22" w:rsidP="00CE20A6">
      <w:pPr>
        <w:pStyle w:val="BodyText"/>
        <w:ind w:right="15" w:firstLine="426"/>
        <w:jc w:val="both"/>
        <w:rPr>
          <w:u w:val="single"/>
        </w:rPr>
      </w:pPr>
      <w:r w:rsidRPr="00320241">
        <w:rPr>
          <w:i/>
          <w:iCs/>
          <w:u w:val="single"/>
        </w:rPr>
        <w:t>RECONNAISSANT EN OUTRE</w:t>
      </w:r>
      <w:r w:rsidRPr="00320241">
        <w:rPr>
          <w:u w:val="single"/>
        </w:rPr>
        <w:t xml:space="preserve"> qu'une série de postulats concernant l'historique des captures de thon rouge de l'Atlantique Est et </w:t>
      </w:r>
      <w:r w:rsidR="00F36837">
        <w:rPr>
          <w:u w:val="single"/>
        </w:rPr>
        <w:t xml:space="preserve">DE </w:t>
      </w:r>
      <w:r w:rsidRPr="00320241">
        <w:rPr>
          <w:u w:val="single"/>
        </w:rPr>
        <w:t>la Méditerranée ont été intégrés dans l'évaluation des stocks de 2017, ce qui a conduit à une augmentation du TAC oriental fondée sur un historique de pêche illicite, non déclarée et non réglementée (IUU) et qui a été reprise dans les calculs ultérieurs du TAC de l’Est</w:t>
      </w:r>
      <w:r w:rsidR="00A41BC3">
        <w:rPr>
          <w:u w:val="single"/>
        </w:rPr>
        <w:t> ;</w:t>
      </w:r>
    </w:p>
    <w:p w14:paraId="7FD6B551" w14:textId="77777777" w:rsidR="0099666E" w:rsidRPr="003B6E90" w:rsidRDefault="0099666E" w:rsidP="00A97379">
      <w:pPr>
        <w:pStyle w:val="BodyText"/>
        <w:ind w:right="15"/>
      </w:pPr>
    </w:p>
    <w:p w14:paraId="6AF6EBBE" w14:textId="77777777" w:rsidR="0099666E" w:rsidRPr="003B6E90" w:rsidRDefault="0099666E" w:rsidP="00A97379">
      <w:pPr>
        <w:pStyle w:val="BodyText"/>
        <w:ind w:right="15"/>
      </w:pPr>
    </w:p>
    <w:p w14:paraId="3DBEF7B7" w14:textId="02706095" w:rsidR="0099666E" w:rsidRPr="00F36837" w:rsidRDefault="005B0D22" w:rsidP="00A97379">
      <w:pPr>
        <w:ind w:right="15"/>
        <w:rPr>
          <w:sz w:val="20"/>
          <w:szCs w:val="20"/>
        </w:rPr>
      </w:pPr>
      <w:r w:rsidRPr="00F36837">
        <w:rPr>
          <w:sz w:val="20"/>
          <w:szCs w:val="20"/>
        </w:rPr>
        <w:t xml:space="preserve">Les amendements proposés à la </w:t>
      </w:r>
      <w:hyperlink r:id="rId11" w:history="1">
        <w:r w:rsidRPr="00F36837">
          <w:rPr>
            <w:rStyle w:val="Hyperlink"/>
            <w:sz w:val="20"/>
            <w:szCs w:val="20"/>
            <w:highlight w:val="yellow"/>
            <w:u w:val="none"/>
          </w:rPr>
          <w:t>Rec. 22-10</w:t>
        </w:r>
      </w:hyperlink>
      <w:r w:rsidRPr="00F36837">
        <w:rPr>
          <w:sz w:val="20"/>
          <w:szCs w:val="20"/>
        </w:rPr>
        <w:t xml:space="preserve"> sont les suivants</w:t>
      </w:r>
      <w:r w:rsidR="00F36837">
        <w:rPr>
          <w:sz w:val="20"/>
          <w:szCs w:val="20"/>
        </w:rPr>
        <w:t> :</w:t>
      </w:r>
    </w:p>
    <w:p w14:paraId="6231F1A8" w14:textId="77777777" w:rsidR="0099666E" w:rsidRPr="003B6E90" w:rsidRDefault="0099666E" w:rsidP="00A97379">
      <w:pPr>
        <w:pStyle w:val="BodyText"/>
        <w:spacing w:before="1"/>
        <w:ind w:right="15"/>
      </w:pPr>
    </w:p>
    <w:p w14:paraId="3110B37E" w14:textId="14DDA520" w:rsidR="0099666E" w:rsidRPr="006F295F" w:rsidRDefault="006F295F" w:rsidP="006F295F">
      <w:pPr>
        <w:tabs>
          <w:tab w:val="left" w:pos="426"/>
        </w:tabs>
        <w:ind w:right="15"/>
        <w:rPr>
          <w:sz w:val="20"/>
        </w:rPr>
      </w:pPr>
      <w:r w:rsidRPr="006F295F">
        <w:rPr>
          <w:color w:val="211F1F"/>
          <w:sz w:val="20"/>
        </w:rPr>
        <w:t>1.</w:t>
      </w:r>
      <w:r w:rsidRPr="006F295F">
        <w:rPr>
          <w:color w:val="211F1F"/>
          <w:sz w:val="20"/>
        </w:rPr>
        <w:tab/>
      </w:r>
      <w:r w:rsidR="005B0D22" w:rsidRPr="006F295F">
        <w:rPr>
          <w:color w:val="211F1F"/>
          <w:sz w:val="20"/>
        </w:rPr>
        <w:t>Mettre à jour le paragraphe 3 comme suit :</w:t>
      </w:r>
    </w:p>
    <w:p w14:paraId="68C2AD1B" w14:textId="77777777" w:rsidR="0099666E" w:rsidRPr="003B6E90" w:rsidRDefault="0099666E" w:rsidP="00A97379">
      <w:pPr>
        <w:pStyle w:val="BodyText"/>
        <w:spacing w:before="2"/>
        <w:ind w:right="15"/>
      </w:pPr>
    </w:p>
    <w:p w14:paraId="0F77D7D4" w14:textId="6E6CC27F" w:rsidR="0099666E" w:rsidRPr="003B6E90" w:rsidRDefault="000A6580" w:rsidP="004D3B3E">
      <w:pPr>
        <w:pStyle w:val="BodyText"/>
        <w:ind w:left="851" w:right="15" w:hanging="425"/>
        <w:jc w:val="both"/>
      </w:pPr>
      <w:r>
        <w:rPr>
          <w:color w:val="211F1F"/>
          <w:highlight w:val="yellow"/>
        </w:rPr>
        <w:t>3.</w:t>
      </w:r>
      <w:r>
        <w:rPr>
          <w:color w:val="211F1F"/>
        </w:rPr>
        <w:tab/>
        <w:t>Conformément à l’application de la MP établie dans la Rec. 2</w:t>
      </w:r>
      <w:r w:rsidRPr="007958F0">
        <w:rPr>
          <w:color w:val="211F1F"/>
          <w:u w:val="single" w:color="211F1F"/>
        </w:rPr>
        <w:t>3</w:t>
      </w:r>
      <w:r w:rsidRPr="007958F0">
        <w:rPr>
          <w:color w:val="211F1F"/>
          <w:u w:val="single"/>
        </w:rPr>
        <w:t>-0</w:t>
      </w:r>
      <w:r w:rsidRPr="007958F0">
        <w:rPr>
          <w:color w:val="211F1F"/>
          <w:u w:val="single" w:color="211F1F"/>
        </w:rPr>
        <w:t>7 (amendant la Rec. 22-09)</w:t>
      </w:r>
      <w:r>
        <w:rPr>
          <w:color w:val="211F1F"/>
        </w:rPr>
        <w:t xml:space="preserve">, un TAC annuel, rejets morts y compris, à hauteur de </w:t>
      </w:r>
      <w:r w:rsidRPr="007958F0">
        <w:rPr>
          <w:color w:val="211F1F"/>
          <w:u w:val="single"/>
        </w:rPr>
        <w:t>2.568</w:t>
      </w:r>
      <w:r>
        <w:rPr>
          <w:color w:val="211F1F"/>
        </w:rPr>
        <w:t xml:space="preserve"> t est établi au titre de </w:t>
      </w:r>
      <w:r>
        <w:rPr>
          <w:color w:val="211F1F"/>
          <w:u w:val="single" w:color="211F1F"/>
        </w:rPr>
        <w:t>2026, 2027 et 2028</w:t>
      </w:r>
      <w:r>
        <w:rPr>
          <w:color w:val="211F1F"/>
        </w:rPr>
        <w:t xml:space="preserve">. Les TAC pour la période </w:t>
      </w:r>
      <w:r>
        <w:rPr>
          <w:color w:val="211F1F"/>
          <w:u w:val="single" w:color="211F1F"/>
        </w:rPr>
        <w:t>2029-2031</w:t>
      </w:r>
      <w:r>
        <w:rPr>
          <w:color w:val="211F1F"/>
        </w:rPr>
        <w:t xml:space="preserve"> devront être établis à la réunion annuelle de l’ICCAT de </w:t>
      </w:r>
      <w:r w:rsidRPr="007958F0">
        <w:rPr>
          <w:color w:val="211F1F"/>
          <w:u w:val="single"/>
        </w:rPr>
        <w:t>2028</w:t>
      </w:r>
      <w:r>
        <w:rPr>
          <w:color w:val="211F1F"/>
        </w:rPr>
        <w:t>, conformément à l’application de la MP.</w:t>
      </w:r>
    </w:p>
    <w:p w14:paraId="039F8C87" w14:textId="77777777" w:rsidR="0099666E" w:rsidRPr="003B6E90" w:rsidRDefault="0099666E" w:rsidP="00A97379">
      <w:pPr>
        <w:pStyle w:val="BodyText"/>
        <w:spacing w:before="1"/>
        <w:ind w:right="15"/>
      </w:pPr>
    </w:p>
    <w:p w14:paraId="1ADEC67A" w14:textId="59FED833" w:rsidR="0099666E" w:rsidRPr="003B6E90" w:rsidRDefault="006F295F" w:rsidP="006F295F">
      <w:pPr>
        <w:tabs>
          <w:tab w:val="left" w:pos="426"/>
        </w:tabs>
        <w:ind w:right="15"/>
        <w:rPr>
          <w:sz w:val="20"/>
        </w:rPr>
      </w:pPr>
      <w:r>
        <w:rPr>
          <w:sz w:val="20"/>
        </w:rPr>
        <w:t>2.</w:t>
      </w:r>
      <w:r>
        <w:rPr>
          <w:sz w:val="20"/>
        </w:rPr>
        <w:tab/>
      </w:r>
      <w:r w:rsidR="005B0D22">
        <w:rPr>
          <w:sz w:val="20"/>
        </w:rPr>
        <w:t>Remplacer le paragraphe 5 a) par le texte suivant :</w:t>
      </w:r>
    </w:p>
    <w:p w14:paraId="6F70E8F8" w14:textId="77777777" w:rsidR="0099666E" w:rsidRPr="003B6E90" w:rsidRDefault="0099666E" w:rsidP="00A97379">
      <w:pPr>
        <w:pStyle w:val="BodyText"/>
        <w:ind w:right="15"/>
      </w:pPr>
    </w:p>
    <w:p w14:paraId="59A66A34" w14:textId="09A87692" w:rsidR="0099666E" w:rsidRPr="008712BF" w:rsidRDefault="008712BF" w:rsidP="007958F0">
      <w:pPr>
        <w:ind w:left="851" w:right="15" w:hanging="425"/>
        <w:jc w:val="both"/>
        <w:rPr>
          <w:sz w:val="20"/>
          <w:u w:val="single"/>
        </w:rPr>
      </w:pPr>
      <w:r>
        <w:rPr>
          <w:sz w:val="20"/>
          <w:u w:val="single"/>
        </w:rPr>
        <w:t>a)</w:t>
      </w:r>
      <w:r w:rsidR="00E037E8">
        <w:rPr>
          <w:sz w:val="20"/>
          <w:u w:val="single"/>
        </w:rPr>
        <w:tab/>
      </w:r>
      <w:r>
        <w:rPr>
          <w:sz w:val="20"/>
          <w:u w:val="single"/>
        </w:rPr>
        <w:t>Outre le TAC fixé au paragraphe 3, et reconnaissant que le thon rouge de l'Atlantique est présent dans l’ensemble de l'Atlantique et que les meilleures données scientifiques disponibles indiquent clairement la présence significative de thon rouge de l'Atlantique originaire de l'Est dans l'Atlantique Ouest, 6.000 tonnes sont soustraites du TAC du thon rouge de l'Atlantique Est établi dans la Rec. 24-05 et ajoutées au TAC du thon rouge de l'Atlantique Ouest, qui est géré conformément aux dispositions de la Rec. 22-10.</w:t>
      </w:r>
    </w:p>
    <w:p w14:paraId="60452D52" w14:textId="77777777" w:rsidR="0099666E" w:rsidRPr="003B6E90" w:rsidRDefault="0099666E" w:rsidP="00A97379">
      <w:pPr>
        <w:pStyle w:val="BodyText"/>
        <w:ind w:right="15"/>
      </w:pPr>
    </w:p>
    <w:p w14:paraId="58E89A39" w14:textId="7AC52767" w:rsidR="0099666E" w:rsidRPr="0014560D" w:rsidRDefault="0014560D" w:rsidP="0014560D">
      <w:pPr>
        <w:tabs>
          <w:tab w:val="left" w:pos="426"/>
        </w:tabs>
        <w:ind w:right="15"/>
        <w:rPr>
          <w:sz w:val="20"/>
        </w:rPr>
      </w:pPr>
      <w:r>
        <w:rPr>
          <w:sz w:val="20"/>
        </w:rPr>
        <w:t>3.</w:t>
      </w:r>
      <w:r>
        <w:rPr>
          <w:sz w:val="20"/>
        </w:rPr>
        <w:tab/>
      </w:r>
      <w:r w:rsidR="005B0D22" w:rsidRPr="0014560D">
        <w:rPr>
          <w:sz w:val="20"/>
        </w:rPr>
        <w:t>Le premier alinéa du paragraphe 5 b) est modifié comme suit</w:t>
      </w:r>
      <w:r>
        <w:rPr>
          <w:sz w:val="20"/>
        </w:rPr>
        <w:t> :</w:t>
      </w:r>
    </w:p>
    <w:p w14:paraId="6E716B13" w14:textId="77777777" w:rsidR="0099666E" w:rsidRPr="003B6E90" w:rsidRDefault="0099666E" w:rsidP="00A97379">
      <w:pPr>
        <w:pStyle w:val="BodyText"/>
        <w:ind w:right="15"/>
      </w:pPr>
    </w:p>
    <w:p w14:paraId="1025A719" w14:textId="326E4D88" w:rsidR="0099666E" w:rsidRPr="00A97379" w:rsidRDefault="0010441B" w:rsidP="0010441B">
      <w:pPr>
        <w:ind w:left="851" w:right="15" w:hanging="425"/>
        <w:jc w:val="both"/>
        <w:rPr>
          <w:sz w:val="20"/>
        </w:rPr>
      </w:pPr>
      <w:r>
        <w:rPr>
          <w:sz w:val="20"/>
          <w:u w:val="single"/>
        </w:rPr>
        <w:t>b)</w:t>
      </w:r>
      <w:r>
        <w:rPr>
          <w:sz w:val="20"/>
          <w:u w:val="single"/>
        </w:rPr>
        <w:tab/>
      </w:r>
      <w:r w:rsidR="005B0D22" w:rsidRPr="00E037E8">
        <w:rPr>
          <w:sz w:val="20"/>
          <w:u w:val="single"/>
        </w:rPr>
        <w:t>Après</w:t>
      </w:r>
      <w:r w:rsidR="005B0D22">
        <w:rPr>
          <w:color w:val="231F20"/>
          <w:sz w:val="20"/>
        </w:rPr>
        <w:t xml:space="preserve"> </w:t>
      </w:r>
      <w:r w:rsidR="005B0D22">
        <w:rPr>
          <w:color w:val="231F20"/>
          <w:sz w:val="20"/>
          <w:u w:val="thick" w:color="231F20"/>
        </w:rPr>
        <w:t xml:space="preserve">avoir ajouté </w:t>
      </w:r>
      <w:r w:rsidR="005B0D22">
        <w:rPr>
          <w:strike/>
          <w:color w:val="231F20"/>
          <w:sz w:val="20"/>
        </w:rPr>
        <w:t xml:space="preserve">déduction </w:t>
      </w:r>
      <w:r w:rsidR="005B0D22">
        <w:rPr>
          <w:color w:val="231F20"/>
          <w:sz w:val="20"/>
        </w:rPr>
        <w:t>l</w:t>
      </w:r>
      <w:r w:rsidR="005B0D22" w:rsidRPr="00FA3804">
        <w:rPr>
          <w:color w:val="231F20"/>
          <w:sz w:val="20"/>
          <w:u w:val="single"/>
        </w:rPr>
        <w:t xml:space="preserve">e </w:t>
      </w:r>
      <w:r w:rsidR="005B0D22">
        <w:rPr>
          <w:color w:val="231F20"/>
          <w:sz w:val="20"/>
        </w:rPr>
        <w:t>volume</w:t>
      </w:r>
      <w:r w:rsidR="005B0D22">
        <w:rPr>
          <w:strike/>
          <w:color w:val="231F20"/>
          <w:sz w:val="20"/>
        </w:rPr>
        <w:t>s</w:t>
      </w:r>
      <w:r w:rsidR="005B0D22">
        <w:rPr>
          <w:color w:val="231F20"/>
          <w:sz w:val="20"/>
        </w:rPr>
        <w:t xml:space="preserve"> visé</w:t>
      </w:r>
      <w:r w:rsidR="00316B62" w:rsidRPr="00316B62">
        <w:rPr>
          <w:strike/>
          <w:color w:val="231F20"/>
          <w:sz w:val="20"/>
        </w:rPr>
        <w:t>s</w:t>
      </w:r>
      <w:r w:rsidR="005B0D22">
        <w:rPr>
          <w:color w:val="231F20"/>
          <w:sz w:val="20"/>
        </w:rPr>
        <w:t xml:space="preserve"> au paragraphe 5 a) </w:t>
      </w:r>
      <w:r w:rsidR="005B0D22" w:rsidRPr="00316B62">
        <w:rPr>
          <w:color w:val="231F20"/>
          <w:sz w:val="20"/>
          <w:u w:val="single"/>
        </w:rPr>
        <w:t>au TAC établi au paragraphe 3,</w:t>
      </w:r>
      <w:r w:rsidR="005B0D22">
        <w:rPr>
          <w:color w:val="231F20"/>
          <w:sz w:val="20"/>
        </w:rPr>
        <w:t xml:space="preserve"> le </w:t>
      </w:r>
      <w:r w:rsidR="005B0D22">
        <w:rPr>
          <w:strike/>
          <w:color w:val="231F20"/>
          <w:sz w:val="20"/>
        </w:rPr>
        <w:t xml:space="preserve">solde du </w:t>
      </w:r>
      <w:r w:rsidR="005B0D22">
        <w:rPr>
          <w:color w:val="231F20"/>
          <w:sz w:val="20"/>
        </w:rPr>
        <w:t>TAC annuel sera alloué comme suit :</w:t>
      </w:r>
    </w:p>
    <w:p w14:paraId="0F8832D7" w14:textId="77777777" w:rsidR="0099666E" w:rsidRPr="003B6E90" w:rsidRDefault="0099666E" w:rsidP="00A97379">
      <w:pPr>
        <w:pStyle w:val="BodyText"/>
        <w:ind w:right="15"/>
      </w:pPr>
    </w:p>
    <w:p w14:paraId="771323E4" w14:textId="311BA372" w:rsidR="0099666E" w:rsidRPr="00F96931" w:rsidRDefault="00F96931" w:rsidP="00F96931">
      <w:pPr>
        <w:tabs>
          <w:tab w:val="left" w:pos="426"/>
        </w:tabs>
        <w:ind w:right="15"/>
        <w:rPr>
          <w:sz w:val="20"/>
        </w:rPr>
      </w:pPr>
      <w:r>
        <w:rPr>
          <w:sz w:val="20"/>
        </w:rPr>
        <w:t>4.</w:t>
      </w:r>
      <w:r>
        <w:rPr>
          <w:sz w:val="20"/>
        </w:rPr>
        <w:tab/>
      </w:r>
      <w:r w:rsidR="005B0D22" w:rsidRPr="00F96931">
        <w:rPr>
          <w:sz w:val="20"/>
        </w:rPr>
        <w:t>Le paragraphe 5 c) est amendé comme suit</w:t>
      </w:r>
      <w:r>
        <w:rPr>
          <w:sz w:val="20"/>
        </w:rPr>
        <w:t> :</w:t>
      </w:r>
    </w:p>
    <w:p w14:paraId="3454CE1A" w14:textId="77777777" w:rsidR="0099666E" w:rsidRPr="003B6E90" w:rsidRDefault="0099666E" w:rsidP="00A97379">
      <w:pPr>
        <w:pStyle w:val="BodyText"/>
        <w:ind w:right="15"/>
      </w:pPr>
    </w:p>
    <w:p w14:paraId="3473810E" w14:textId="4A462B36" w:rsidR="0099666E" w:rsidRPr="00C12AA7" w:rsidRDefault="0010441B" w:rsidP="0010441B">
      <w:pPr>
        <w:ind w:left="851" w:right="15" w:hanging="425"/>
        <w:jc w:val="both"/>
        <w:rPr>
          <w:sz w:val="20"/>
        </w:rPr>
      </w:pPr>
      <w:r>
        <w:rPr>
          <w:sz w:val="20"/>
          <w:u w:val="single"/>
        </w:rPr>
        <w:t>c)</w:t>
      </w:r>
      <w:r>
        <w:rPr>
          <w:sz w:val="20"/>
          <w:u w:val="single"/>
        </w:rPr>
        <w:tab/>
      </w:r>
      <w:r w:rsidR="005B0D22" w:rsidRPr="0010441B">
        <w:rPr>
          <w:sz w:val="20"/>
          <w:u w:val="single"/>
        </w:rPr>
        <w:t>Conformément</w:t>
      </w:r>
      <w:r w:rsidR="005B0D22">
        <w:rPr>
          <w:color w:val="231F20"/>
          <w:sz w:val="20"/>
        </w:rPr>
        <w:t xml:space="preserve"> aux paragraphes 1, 3 et </w:t>
      </w:r>
      <w:r w:rsidR="005B0D22" w:rsidRPr="00A4193D">
        <w:rPr>
          <w:color w:val="231F20"/>
          <w:sz w:val="20"/>
          <w:u w:val="single"/>
        </w:rPr>
        <w:t xml:space="preserve">5 </w:t>
      </w:r>
      <w:r w:rsidR="00A4193D" w:rsidRPr="00A4193D">
        <w:rPr>
          <w:color w:val="231F20"/>
          <w:sz w:val="20"/>
          <w:u w:val="single"/>
        </w:rPr>
        <w:t>a</w:t>
      </w:r>
      <w:r w:rsidR="00A4193D">
        <w:rPr>
          <w:color w:val="231F20"/>
          <w:sz w:val="20"/>
        </w:rPr>
        <w:t>) et 5</w:t>
      </w:r>
      <w:r w:rsidR="005B0D22">
        <w:rPr>
          <w:color w:val="231F20"/>
          <w:sz w:val="20"/>
        </w:rPr>
        <w:t>b), les TAC annuels pour 202</w:t>
      </w:r>
      <w:r w:rsidR="005B0D22">
        <w:rPr>
          <w:color w:val="231F20"/>
          <w:sz w:val="20"/>
          <w:u w:val="single" w:color="231F20"/>
        </w:rPr>
        <w:t>6</w:t>
      </w:r>
      <w:r w:rsidR="005B0D22">
        <w:rPr>
          <w:strike/>
          <w:color w:val="231F20"/>
          <w:sz w:val="20"/>
        </w:rPr>
        <w:t>3</w:t>
      </w:r>
      <w:r w:rsidR="005B0D22">
        <w:rPr>
          <w:color w:val="231F20"/>
          <w:sz w:val="20"/>
        </w:rPr>
        <w:t>-202</w:t>
      </w:r>
      <w:r w:rsidR="005B0D22">
        <w:rPr>
          <w:color w:val="231F20"/>
          <w:sz w:val="20"/>
          <w:u w:val="single" w:color="231F20"/>
        </w:rPr>
        <w:t>8</w:t>
      </w:r>
      <w:r w:rsidR="005B0D22">
        <w:rPr>
          <w:strike/>
          <w:color w:val="231F20"/>
          <w:sz w:val="20"/>
        </w:rPr>
        <w:t>5</w:t>
      </w:r>
      <w:r w:rsidR="005B0D22">
        <w:rPr>
          <w:color w:val="231F20"/>
          <w:sz w:val="20"/>
        </w:rPr>
        <w:t xml:space="preserve"> donnent lieu aux allocations de quota suivantes spécifiques aux CPC, </w:t>
      </w:r>
      <w:r w:rsidR="005B0D22">
        <w:rPr>
          <w:strike/>
          <w:color w:val="231F20"/>
          <w:sz w:val="20"/>
        </w:rPr>
        <w:t>n’incluant pas les tolérances des prises accessoires visées au paragraphe 5 a)</w:t>
      </w:r>
      <w:r w:rsidR="005B0D22" w:rsidRPr="00E53C93">
        <w:rPr>
          <w:color w:val="231F20"/>
          <w:sz w:val="20"/>
        </w:rPr>
        <w:t xml:space="preserve"> : </w:t>
      </w:r>
    </w:p>
    <w:p w14:paraId="64A4E91E" w14:textId="31C4F01F" w:rsidR="00FA3804" w:rsidRDefault="00FA3804">
      <w:pPr>
        <w:rPr>
          <w:sz w:val="20"/>
          <w:szCs w:val="20"/>
        </w:rPr>
      </w:pPr>
      <w:r>
        <w:br w:type="page"/>
      </w:r>
    </w:p>
    <w:p w14:paraId="34303CBF" w14:textId="77777777" w:rsidR="00895E24" w:rsidRDefault="00895E24" w:rsidP="00895E24">
      <w:pPr>
        <w:ind w:right="15"/>
        <w:jc w:val="center"/>
        <w:rPr>
          <w:i/>
          <w:color w:val="231F20"/>
          <w:spacing w:val="-10"/>
          <w:sz w:val="20"/>
        </w:rPr>
      </w:pPr>
    </w:p>
    <w:tbl>
      <w:tblPr>
        <w:tblStyle w:val="TableGrid"/>
        <w:tblW w:w="0" w:type="auto"/>
        <w:jc w:val="center"/>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2127"/>
      </w:tblGrid>
      <w:tr w:rsidR="00895E24" w14:paraId="46ED2A0B" w14:textId="77777777" w:rsidTr="00B72C1C">
        <w:trPr>
          <w:trHeight w:val="516"/>
          <w:jc w:val="center"/>
        </w:trPr>
        <w:tc>
          <w:tcPr>
            <w:tcW w:w="6658" w:type="dxa"/>
            <w:gridSpan w:val="2"/>
            <w:tcBorders>
              <w:top w:val="single" w:sz="4" w:space="0" w:color="auto"/>
              <w:bottom w:val="single" w:sz="4" w:space="0" w:color="auto"/>
            </w:tcBorders>
            <w:vAlign w:val="center"/>
          </w:tcPr>
          <w:p w14:paraId="01F24928" w14:textId="75EA9ACE" w:rsidR="00895E24" w:rsidRPr="003B6E90" w:rsidRDefault="00895E24" w:rsidP="00895E24">
            <w:pPr>
              <w:ind w:right="15"/>
              <w:jc w:val="center"/>
              <w:rPr>
                <w:color w:val="231F20"/>
                <w:u w:val="single" w:color="231F20"/>
              </w:rPr>
            </w:pPr>
            <w:r>
              <w:rPr>
                <w:i/>
                <w:color w:val="231F20"/>
                <w:sz w:val="20"/>
              </w:rPr>
              <w:t>TAC annuel pour 202</w:t>
            </w:r>
            <w:r>
              <w:rPr>
                <w:i/>
                <w:color w:val="231F20"/>
                <w:sz w:val="20"/>
                <w:u w:val="single" w:color="231F20"/>
              </w:rPr>
              <w:t>6</w:t>
            </w:r>
            <w:r>
              <w:rPr>
                <w:i/>
                <w:strike/>
                <w:color w:val="231F20"/>
                <w:sz w:val="20"/>
              </w:rPr>
              <w:t>3</w:t>
            </w:r>
            <w:r>
              <w:rPr>
                <w:i/>
                <w:color w:val="231F20"/>
                <w:sz w:val="20"/>
              </w:rPr>
              <w:t>-202</w:t>
            </w:r>
            <w:r>
              <w:rPr>
                <w:i/>
                <w:color w:val="231F20"/>
                <w:sz w:val="20"/>
                <w:u w:val="single" w:color="231F20"/>
              </w:rPr>
              <w:t>8</w:t>
            </w:r>
            <w:r>
              <w:rPr>
                <w:i/>
                <w:strike/>
                <w:color w:val="231F20"/>
                <w:sz w:val="20"/>
              </w:rPr>
              <w:t>5</w:t>
            </w:r>
            <w:r>
              <w:rPr>
                <w:i/>
                <w:color w:val="231F20"/>
                <w:sz w:val="20"/>
              </w:rPr>
              <w:t xml:space="preserve">: </w:t>
            </w:r>
            <w:r>
              <w:rPr>
                <w:color w:val="231F20"/>
                <w:sz w:val="20"/>
              </w:rPr>
              <w:t xml:space="preserve">8.568 </w:t>
            </w:r>
            <w:r>
              <w:rPr>
                <w:i/>
                <w:strike/>
                <w:color w:val="231F20"/>
                <w:sz w:val="20"/>
              </w:rPr>
              <w:t>2.726</w:t>
            </w:r>
            <w:r>
              <w:rPr>
                <w:i/>
                <w:color w:val="231F20"/>
                <w:sz w:val="20"/>
              </w:rPr>
              <w:t xml:space="preserve"> t</w:t>
            </w:r>
          </w:p>
        </w:tc>
      </w:tr>
      <w:tr w:rsidR="00895E24" w14:paraId="65AD047A" w14:textId="77777777" w:rsidTr="00B72C1C">
        <w:trPr>
          <w:trHeight w:val="408"/>
          <w:jc w:val="center"/>
        </w:trPr>
        <w:tc>
          <w:tcPr>
            <w:tcW w:w="4531" w:type="dxa"/>
            <w:tcBorders>
              <w:top w:val="single" w:sz="4" w:space="0" w:color="auto"/>
            </w:tcBorders>
            <w:vAlign w:val="center"/>
          </w:tcPr>
          <w:p w14:paraId="50FCCD6A" w14:textId="71B256DC" w:rsidR="00895E24" w:rsidRPr="00895E24" w:rsidRDefault="00895E24" w:rsidP="00895E24">
            <w:pPr>
              <w:ind w:right="15"/>
              <w:rPr>
                <w:i/>
                <w:sz w:val="20"/>
                <w:szCs w:val="20"/>
              </w:rPr>
            </w:pPr>
            <w:r>
              <w:rPr>
                <w:color w:val="231F20"/>
                <w:sz w:val="20"/>
              </w:rPr>
              <w:t>États-Unis</w:t>
            </w:r>
          </w:p>
        </w:tc>
        <w:tc>
          <w:tcPr>
            <w:tcW w:w="2127" w:type="dxa"/>
            <w:tcBorders>
              <w:top w:val="single" w:sz="4" w:space="0" w:color="auto"/>
            </w:tcBorders>
            <w:vAlign w:val="center"/>
          </w:tcPr>
          <w:p w14:paraId="0D6137F9" w14:textId="6A186CBE" w:rsidR="00895E24" w:rsidRPr="00895E24" w:rsidRDefault="00895E24" w:rsidP="00AF50EF">
            <w:pPr>
              <w:pStyle w:val="BodyText"/>
              <w:jc w:val="center"/>
              <w:rPr>
                <w:i/>
              </w:rPr>
            </w:pPr>
            <w:r>
              <w:rPr>
                <w:color w:val="231F20"/>
                <w:u w:val="single" w:color="231F20"/>
              </w:rPr>
              <w:t xml:space="preserve">4.198,32 </w:t>
            </w:r>
            <w:r>
              <w:rPr>
                <w:strike/>
                <w:color w:val="231F20"/>
              </w:rPr>
              <w:t>1.316,14</w:t>
            </w:r>
            <w:r>
              <w:rPr>
                <w:color w:val="231F20"/>
              </w:rPr>
              <w:t xml:space="preserve"> t</w:t>
            </w:r>
          </w:p>
        </w:tc>
      </w:tr>
      <w:tr w:rsidR="00895E24" w14:paraId="40C51D46" w14:textId="77777777" w:rsidTr="00B72C1C">
        <w:trPr>
          <w:trHeight w:val="324"/>
          <w:jc w:val="center"/>
        </w:trPr>
        <w:tc>
          <w:tcPr>
            <w:tcW w:w="4531" w:type="dxa"/>
            <w:vAlign w:val="center"/>
          </w:tcPr>
          <w:p w14:paraId="39919EED" w14:textId="57C4FF65" w:rsidR="00895E24" w:rsidRPr="00895E24" w:rsidRDefault="00895E24" w:rsidP="00895E24">
            <w:pPr>
              <w:ind w:right="15"/>
              <w:rPr>
                <w:i/>
                <w:sz w:val="20"/>
                <w:szCs w:val="20"/>
              </w:rPr>
            </w:pPr>
            <w:r>
              <w:rPr>
                <w:color w:val="231F20"/>
                <w:sz w:val="20"/>
              </w:rPr>
              <w:t>Canada</w:t>
            </w:r>
            <w:r>
              <w:rPr>
                <w:color w:val="231F20"/>
                <w:sz w:val="20"/>
              </w:rPr>
              <w:tab/>
            </w:r>
          </w:p>
        </w:tc>
        <w:tc>
          <w:tcPr>
            <w:tcW w:w="2127" w:type="dxa"/>
            <w:vAlign w:val="center"/>
          </w:tcPr>
          <w:p w14:paraId="228AC570" w14:textId="022626A0" w:rsidR="00895E24" w:rsidRPr="00895E24" w:rsidRDefault="00895E24" w:rsidP="00AF50EF">
            <w:pPr>
              <w:pStyle w:val="BodyText"/>
              <w:jc w:val="center"/>
              <w:rPr>
                <w:i/>
              </w:rPr>
            </w:pPr>
            <w:r>
              <w:rPr>
                <w:color w:val="231F20"/>
                <w:u w:val="single" w:color="231F20"/>
              </w:rPr>
              <w:t xml:space="preserve">1.734,16 </w:t>
            </w:r>
            <w:r>
              <w:rPr>
                <w:strike/>
                <w:color w:val="231F20"/>
              </w:rPr>
              <w:t>543,65</w:t>
            </w:r>
            <w:r>
              <w:rPr>
                <w:color w:val="231F20"/>
              </w:rPr>
              <w:t xml:space="preserve"> t</w:t>
            </w:r>
          </w:p>
        </w:tc>
      </w:tr>
      <w:tr w:rsidR="00895E24" w14:paraId="2304A904" w14:textId="77777777" w:rsidTr="00B72C1C">
        <w:trPr>
          <w:trHeight w:val="342"/>
          <w:jc w:val="center"/>
        </w:trPr>
        <w:tc>
          <w:tcPr>
            <w:tcW w:w="4531" w:type="dxa"/>
            <w:vAlign w:val="center"/>
          </w:tcPr>
          <w:p w14:paraId="6500DA1F" w14:textId="45B7ED46" w:rsidR="00895E24" w:rsidRPr="00895E24" w:rsidRDefault="00895E24" w:rsidP="00895E24">
            <w:pPr>
              <w:ind w:right="15"/>
              <w:rPr>
                <w:i/>
                <w:sz w:val="20"/>
                <w:szCs w:val="20"/>
              </w:rPr>
            </w:pPr>
            <w:r>
              <w:rPr>
                <w:color w:val="231F20"/>
                <w:sz w:val="20"/>
              </w:rPr>
              <w:t>Japon</w:t>
            </w:r>
          </w:p>
        </w:tc>
        <w:tc>
          <w:tcPr>
            <w:tcW w:w="2127" w:type="dxa"/>
            <w:vAlign w:val="center"/>
          </w:tcPr>
          <w:p w14:paraId="6CBCD357" w14:textId="15198291" w:rsidR="00895E24" w:rsidRPr="00895E24" w:rsidRDefault="00895E24" w:rsidP="00AF50EF">
            <w:pPr>
              <w:pStyle w:val="BodyText"/>
              <w:jc w:val="center"/>
              <w:rPr>
                <w:i/>
              </w:rPr>
            </w:pPr>
            <w:r>
              <w:rPr>
                <w:color w:val="231F20"/>
                <w:u w:val="single" w:color="231F20"/>
              </w:rPr>
              <w:t xml:space="preserve">2.119,72 </w:t>
            </w:r>
            <w:r>
              <w:rPr>
                <w:strike/>
                <w:color w:val="231F20"/>
              </w:rPr>
              <w:t>664,52</w:t>
            </w:r>
            <w:r>
              <w:rPr>
                <w:color w:val="231F20"/>
              </w:rPr>
              <w:t xml:space="preserve"> t</w:t>
            </w:r>
          </w:p>
        </w:tc>
      </w:tr>
      <w:tr w:rsidR="00895E24" w14:paraId="35493C72" w14:textId="77777777" w:rsidTr="00B72C1C">
        <w:trPr>
          <w:trHeight w:val="391"/>
          <w:jc w:val="center"/>
        </w:trPr>
        <w:tc>
          <w:tcPr>
            <w:tcW w:w="4531" w:type="dxa"/>
            <w:vAlign w:val="center"/>
          </w:tcPr>
          <w:p w14:paraId="04D4D466" w14:textId="773A880E" w:rsidR="00895E24" w:rsidRPr="00895E24" w:rsidRDefault="00895E24" w:rsidP="00895E24">
            <w:pPr>
              <w:ind w:right="15"/>
              <w:rPr>
                <w:i/>
                <w:sz w:val="20"/>
                <w:szCs w:val="20"/>
              </w:rPr>
            </w:pPr>
            <w:r>
              <w:rPr>
                <w:color w:val="231F20"/>
                <w:sz w:val="20"/>
              </w:rPr>
              <w:t>Royaume-Uni (au titre des Bermudes)</w:t>
            </w:r>
          </w:p>
        </w:tc>
        <w:tc>
          <w:tcPr>
            <w:tcW w:w="2127" w:type="dxa"/>
            <w:vAlign w:val="center"/>
          </w:tcPr>
          <w:p w14:paraId="73E50DA4" w14:textId="1D247271" w:rsidR="00895E24" w:rsidRPr="00895E24" w:rsidRDefault="00895E24" w:rsidP="00AF50EF">
            <w:pPr>
              <w:pStyle w:val="BodyText"/>
              <w:jc w:val="center"/>
              <w:rPr>
                <w:i/>
              </w:rPr>
            </w:pPr>
            <w:r>
              <w:rPr>
                <w:color w:val="231F20"/>
                <w:u w:val="single" w:color="231F20"/>
              </w:rPr>
              <w:t xml:space="preserve">19,71 </w:t>
            </w:r>
            <w:r>
              <w:rPr>
                <w:strike/>
                <w:color w:val="231F20"/>
              </w:rPr>
              <w:t>6,18</w:t>
            </w:r>
            <w:r>
              <w:rPr>
                <w:color w:val="231F20"/>
              </w:rPr>
              <w:t xml:space="preserve"> t</w:t>
            </w:r>
          </w:p>
        </w:tc>
      </w:tr>
      <w:tr w:rsidR="00895E24" w14:paraId="6CBA1931" w14:textId="77777777" w:rsidTr="00B72C1C">
        <w:trPr>
          <w:trHeight w:val="403"/>
          <w:jc w:val="center"/>
        </w:trPr>
        <w:tc>
          <w:tcPr>
            <w:tcW w:w="4531" w:type="dxa"/>
            <w:tcBorders>
              <w:bottom w:val="nil"/>
            </w:tcBorders>
            <w:vAlign w:val="center"/>
          </w:tcPr>
          <w:p w14:paraId="55A0C298" w14:textId="32BD78EF" w:rsidR="00895E24" w:rsidRPr="00895E24" w:rsidRDefault="00895E24" w:rsidP="00895E24">
            <w:pPr>
              <w:ind w:right="15"/>
              <w:rPr>
                <w:i/>
                <w:sz w:val="20"/>
                <w:szCs w:val="20"/>
              </w:rPr>
            </w:pPr>
            <w:r>
              <w:rPr>
                <w:color w:val="231F20"/>
                <w:sz w:val="20"/>
              </w:rPr>
              <w:t>France (au titre de Saint-Pierre-et-Miquelon)</w:t>
            </w:r>
          </w:p>
        </w:tc>
        <w:tc>
          <w:tcPr>
            <w:tcW w:w="2127" w:type="dxa"/>
            <w:tcBorders>
              <w:bottom w:val="nil"/>
            </w:tcBorders>
            <w:vAlign w:val="center"/>
          </w:tcPr>
          <w:p w14:paraId="1356319D" w14:textId="5D36DF61" w:rsidR="00895E24" w:rsidRPr="00895E24" w:rsidRDefault="00895E24" w:rsidP="00AF50EF">
            <w:pPr>
              <w:pStyle w:val="BodyText"/>
              <w:jc w:val="center"/>
              <w:rPr>
                <w:i/>
              </w:rPr>
            </w:pPr>
            <w:r>
              <w:rPr>
                <w:color w:val="231F20"/>
                <w:u w:val="single" w:color="231F20"/>
              </w:rPr>
              <w:t xml:space="preserve">19,71 </w:t>
            </w:r>
            <w:r>
              <w:rPr>
                <w:strike/>
                <w:color w:val="231F20"/>
              </w:rPr>
              <w:t>6,18</w:t>
            </w:r>
            <w:r>
              <w:rPr>
                <w:color w:val="231F20"/>
              </w:rPr>
              <w:t xml:space="preserve"> t</w:t>
            </w:r>
          </w:p>
        </w:tc>
      </w:tr>
      <w:tr w:rsidR="00895E24" w14:paraId="2B0668C1" w14:textId="77777777" w:rsidTr="00B72C1C">
        <w:trPr>
          <w:trHeight w:val="333"/>
          <w:jc w:val="center"/>
        </w:trPr>
        <w:tc>
          <w:tcPr>
            <w:tcW w:w="4531" w:type="dxa"/>
            <w:tcBorders>
              <w:top w:val="nil"/>
              <w:bottom w:val="single" w:sz="4" w:space="0" w:color="auto"/>
            </w:tcBorders>
            <w:vAlign w:val="center"/>
          </w:tcPr>
          <w:p w14:paraId="3A655FBE" w14:textId="435137D8" w:rsidR="00895E24" w:rsidRPr="00895E24" w:rsidRDefault="00895E24" w:rsidP="00895E24">
            <w:pPr>
              <w:ind w:right="15"/>
              <w:rPr>
                <w:i/>
                <w:sz w:val="20"/>
                <w:szCs w:val="20"/>
              </w:rPr>
            </w:pPr>
            <w:r>
              <w:rPr>
                <w:color w:val="231F20"/>
                <w:sz w:val="20"/>
              </w:rPr>
              <w:t>Mexique</w:t>
            </w:r>
          </w:p>
        </w:tc>
        <w:tc>
          <w:tcPr>
            <w:tcW w:w="2127" w:type="dxa"/>
            <w:tcBorders>
              <w:top w:val="nil"/>
              <w:bottom w:val="single" w:sz="4" w:space="0" w:color="auto"/>
            </w:tcBorders>
            <w:vAlign w:val="center"/>
          </w:tcPr>
          <w:p w14:paraId="5E16C813" w14:textId="582D4EDA" w:rsidR="00895E24" w:rsidRPr="00895E24" w:rsidRDefault="00895E24" w:rsidP="00AF50EF">
            <w:pPr>
              <w:pStyle w:val="BodyText"/>
              <w:jc w:val="center"/>
              <w:rPr>
                <w:i/>
              </w:rPr>
            </w:pPr>
            <w:r>
              <w:rPr>
                <w:color w:val="231F20"/>
                <w:u w:val="single" w:color="231F20"/>
              </w:rPr>
              <w:t xml:space="preserve">476,38 </w:t>
            </w:r>
            <w:r>
              <w:rPr>
                <w:strike/>
                <w:color w:val="231F20"/>
              </w:rPr>
              <w:t>149,34</w:t>
            </w:r>
            <w:r>
              <w:rPr>
                <w:color w:val="231F20"/>
              </w:rPr>
              <w:t xml:space="preserve"> t</w:t>
            </w:r>
          </w:p>
        </w:tc>
      </w:tr>
    </w:tbl>
    <w:p w14:paraId="7B83F106" w14:textId="77777777" w:rsidR="00895E24" w:rsidRPr="003B6E90" w:rsidRDefault="00895E24" w:rsidP="00895E24">
      <w:pPr>
        <w:ind w:right="15"/>
        <w:jc w:val="center"/>
        <w:rPr>
          <w:i/>
          <w:sz w:val="20"/>
        </w:rPr>
      </w:pPr>
    </w:p>
    <w:p w14:paraId="76F9CDDC" w14:textId="77777777" w:rsidR="0099666E" w:rsidRDefault="005B0D22" w:rsidP="00895E24">
      <w:pPr>
        <w:pStyle w:val="BodyText"/>
        <w:spacing w:before="185"/>
        <w:ind w:right="15"/>
        <w:jc w:val="both"/>
        <w:rPr>
          <w:color w:val="231F20"/>
          <w:spacing w:val="-2"/>
        </w:rPr>
      </w:pPr>
      <w:r>
        <w:rPr>
          <w:color w:val="231F20"/>
        </w:rPr>
        <w:t>En aucun cas, l’allocation de la France (au titre de Saint-Pierre-et-Miquelon) et du Royaume-Uni (au titre des Bermudes) ne devra être inférieure à 4 t au cours d'une année donnée à moins que la pêcherie ne soit fermée.</w:t>
      </w:r>
    </w:p>
    <w:p w14:paraId="685B5732" w14:textId="77777777" w:rsidR="007F2D0A" w:rsidRPr="007F2D0A" w:rsidRDefault="007F2D0A" w:rsidP="00895E24">
      <w:pPr>
        <w:pStyle w:val="BodyText"/>
        <w:spacing w:before="185"/>
        <w:ind w:right="15"/>
        <w:jc w:val="both"/>
        <w:rPr>
          <w:u w:val="single"/>
        </w:rPr>
      </w:pPr>
      <w:r>
        <w:rPr>
          <w:u w:val="single"/>
        </w:rPr>
        <w:t>Le Japon devra être autorisé à décompter ses captures de thon rouge pêché à l'Est de 45 degrés Ouest de son quota de thon rouge de l'Atlantique Ouest non pêché.</w:t>
      </w:r>
    </w:p>
    <w:p w14:paraId="132D171F" w14:textId="77777777" w:rsidR="0099666E" w:rsidRPr="003B6E90" w:rsidRDefault="0099666E" w:rsidP="00895E24">
      <w:pPr>
        <w:pStyle w:val="BodyText"/>
        <w:spacing w:before="234"/>
        <w:ind w:right="15"/>
      </w:pPr>
    </w:p>
    <w:p w14:paraId="43DCC0B3" w14:textId="29D24229" w:rsidR="0099666E" w:rsidRPr="00895E24" w:rsidRDefault="00963A2E" w:rsidP="00963A2E">
      <w:pPr>
        <w:ind w:left="426" w:right="15" w:hanging="426"/>
        <w:rPr>
          <w:sz w:val="20"/>
        </w:rPr>
      </w:pPr>
      <w:r>
        <w:rPr>
          <w:color w:val="231F20"/>
          <w:sz w:val="20"/>
        </w:rPr>
        <w:t>5.</w:t>
      </w:r>
      <w:r>
        <w:rPr>
          <w:color w:val="231F20"/>
          <w:sz w:val="20"/>
        </w:rPr>
        <w:tab/>
      </w:r>
      <w:r w:rsidR="005B0D22">
        <w:rPr>
          <w:color w:val="231F20"/>
          <w:sz w:val="20"/>
        </w:rPr>
        <w:t xml:space="preserve">Ajouter un nouveau paragraphe 12 bis sous la section « Recherche scientifique et exigences en matière de </w:t>
      </w:r>
      <w:r w:rsidR="005B0D22" w:rsidRPr="00963A2E">
        <w:rPr>
          <w:sz w:val="20"/>
        </w:rPr>
        <w:t>données</w:t>
      </w:r>
      <w:r w:rsidR="005B0D22">
        <w:rPr>
          <w:color w:val="231F20"/>
          <w:sz w:val="20"/>
        </w:rPr>
        <w:t xml:space="preserve"> et de déclaration » :</w:t>
      </w:r>
    </w:p>
    <w:p w14:paraId="5F68C45A" w14:textId="71A62BEA" w:rsidR="0099666E" w:rsidRPr="003B6E90" w:rsidRDefault="005B0D22" w:rsidP="00AF50EF">
      <w:pPr>
        <w:pStyle w:val="BodyText"/>
        <w:tabs>
          <w:tab w:val="left" w:pos="1134"/>
        </w:tabs>
        <w:spacing w:before="230"/>
        <w:ind w:left="1134" w:right="15" w:hanging="708"/>
        <w:jc w:val="both"/>
        <w:rPr>
          <w:u w:val="single"/>
        </w:rPr>
      </w:pPr>
      <w:r>
        <w:rPr>
          <w:u w:val="single"/>
        </w:rPr>
        <w:t>12bis.</w:t>
      </w:r>
      <w:r>
        <w:rPr>
          <w:u w:val="single"/>
        </w:rPr>
        <w:tab/>
        <w:t>Le SCRS devra examiner les dernières recherches génétiques, y compris les données issues du marquage-recapture de spécimens étroitement apparentés, ainsi que les résultats des programmes de marquage, afin de fournir à la Commission un avis actualisé sur la nature et l'ampleur du mélange entre les poissons d'origine orientale et occidentale. Conformément à la Rec. 23-07, ces informations devront être examinées et intégrées dans les composantes pertinentes de la MP pour le thon rouge de l'Atlantique dans le cadre de l’examen de la MP par le SCRS d'ici 2028.</w:t>
      </w:r>
    </w:p>
    <w:p w14:paraId="7D0E1829" w14:textId="77777777" w:rsidR="00895E24" w:rsidRDefault="00895E24" w:rsidP="00895E24">
      <w:pPr>
        <w:pStyle w:val="Heading2"/>
        <w:spacing w:before="1"/>
        <w:ind w:left="0"/>
        <w:rPr>
          <w:b w:val="0"/>
          <w:i w:val="0"/>
        </w:rPr>
      </w:pPr>
    </w:p>
    <w:p w14:paraId="48A1006C" w14:textId="0A9817EA" w:rsidR="0099666E" w:rsidRPr="00D54D81" w:rsidRDefault="005B0D22" w:rsidP="00AF50EF">
      <w:pPr>
        <w:pStyle w:val="Heading2"/>
        <w:spacing w:before="1"/>
        <w:ind w:left="0"/>
        <w:jc w:val="both"/>
        <w:rPr>
          <w:b w:val="0"/>
          <w:bCs w:val="0"/>
          <w:i w:val="0"/>
          <w:iCs w:val="0"/>
        </w:rPr>
      </w:pPr>
      <w:r w:rsidRPr="00D54D81">
        <w:rPr>
          <w:b w:val="0"/>
          <w:bCs w:val="0"/>
          <w:i w:val="0"/>
          <w:iCs w:val="0"/>
        </w:rPr>
        <w:t xml:space="preserve">Les amendements proposés à la </w:t>
      </w:r>
      <w:hyperlink r:id="rId12" w:history="1">
        <w:r w:rsidRPr="00D54D81">
          <w:rPr>
            <w:rStyle w:val="Hyperlink"/>
            <w:b w:val="0"/>
            <w:bCs w:val="0"/>
            <w:i w:val="0"/>
            <w:iCs w:val="0"/>
            <w:u w:val="none"/>
          </w:rPr>
          <w:t>Rec. 24-05</w:t>
        </w:r>
      </w:hyperlink>
      <w:r w:rsidRPr="00D54D81">
        <w:rPr>
          <w:b w:val="0"/>
          <w:bCs w:val="0"/>
          <w:i w:val="0"/>
          <w:iCs w:val="0"/>
        </w:rPr>
        <w:t xml:space="preserve"> sont les suivants</w:t>
      </w:r>
      <w:r w:rsidR="00A9021B">
        <w:rPr>
          <w:b w:val="0"/>
          <w:bCs w:val="0"/>
          <w:i w:val="0"/>
          <w:iCs w:val="0"/>
        </w:rPr>
        <w:t> :</w:t>
      </w:r>
    </w:p>
    <w:p w14:paraId="639A1A9B" w14:textId="05207F75" w:rsidR="0099666E" w:rsidRPr="003B6E90" w:rsidRDefault="005B0D22" w:rsidP="00895E24">
      <w:pPr>
        <w:pStyle w:val="ListParagraph"/>
        <w:numPr>
          <w:ilvl w:val="0"/>
          <w:numId w:val="1"/>
        </w:numPr>
        <w:tabs>
          <w:tab w:val="left" w:pos="426"/>
        </w:tabs>
        <w:spacing w:before="234"/>
        <w:ind w:left="0" w:right="15" w:firstLine="0"/>
        <w:rPr>
          <w:sz w:val="20"/>
        </w:rPr>
      </w:pPr>
      <w:r>
        <w:rPr>
          <w:sz w:val="20"/>
        </w:rPr>
        <w:t>Mettre à jour les deux premières sections du paragraphe 4 comme suit</w:t>
      </w:r>
      <w:r w:rsidR="00A9021B">
        <w:rPr>
          <w:sz w:val="20"/>
        </w:rPr>
        <w:t> :</w:t>
      </w:r>
    </w:p>
    <w:p w14:paraId="29FB9150" w14:textId="77777777" w:rsidR="0099666E" w:rsidRPr="003B6E90" w:rsidRDefault="0099666E" w:rsidP="00895E24">
      <w:pPr>
        <w:pStyle w:val="BodyText"/>
        <w:ind w:right="15"/>
      </w:pPr>
    </w:p>
    <w:p w14:paraId="33027E35" w14:textId="4AC6704A" w:rsidR="0099666E" w:rsidRPr="003B6E90" w:rsidRDefault="005B0D22" w:rsidP="00895E24">
      <w:pPr>
        <w:pStyle w:val="BodyText"/>
        <w:ind w:left="720" w:right="15" w:hanging="294"/>
        <w:jc w:val="both"/>
      </w:pPr>
      <w:r>
        <w:t>4.</w:t>
      </w:r>
      <w:r>
        <w:tab/>
        <w:t xml:space="preserve">Les totaux admissibles de captures (TAC), rejets morts y compris, pour </w:t>
      </w:r>
      <w:r>
        <w:rPr>
          <w:u w:val="single"/>
        </w:rPr>
        <w:t>2026-2028</w:t>
      </w:r>
      <w:r>
        <w:t xml:space="preserve"> devront être fixés à </w:t>
      </w:r>
      <w:r>
        <w:rPr>
          <w:u w:val="single"/>
        </w:rPr>
        <w:t>48.403</w:t>
      </w:r>
      <w:r>
        <w:t xml:space="preserve"> t, conformément à la MP. Les TAC pour </w:t>
      </w:r>
      <w:r>
        <w:rPr>
          <w:u w:val="single"/>
        </w:rPr>
        <w:t>2029</w:t>
      </w:r>
      <w:r>
        <w:t xml:space="preserve"> et les années suivantes devront être décidés lors de la réunion annuelle de la Commission de </w:t>
      </w:r>
      <w:r w:rsidRPr="00A9021B">
        <w:rPr>
          <w:u w:val="single"/>
        </w:rPr>
        <w:t>2028</w:t>
      </w:r>
      <w:r>
        <w:t xml:space="preserve"> conformément à la MP.</w:t>
      </w:r>
    </w:p>
    <w:p w14:paraId="01B0906C" w14:textId="77777777" w:rsidR="0099666E" w:rsidRPr="003B6E90" w:rsidRDefault="0099666E" w:rsidP="00895E24">
      <w:pPr>
        <w:pStyle w:val="BodyText"/>
        <w:ind w:right="15"/>
      </w:pPr>
    </w:p>
    <w:p w14:paraId="6DA1388D" w14:textId="77777777" w:rsidR="0099666E" w:rsidRPr="003B6E90" w:rsidRDefault="005B0D22" w:rsidP="00672EC5">
      <w:pPr>
        <w:pStyle w:val="BodyText"/>
        <w:ind w:left="720" w:right="15"/>
        <w:jc w:val="both"/>
        <w:rPr>
          <w:u w:val="single"/>
        </w:rPr>
      </w:pPr>
      <w:r>
        <w:rPr>
          <w:u w:val="single"/>
        </w:rPr>
        <w:t>Toutefois, compte tenu du fait que le thon rouge de l'Atlantique est présent dans l’ensemble de l'Atlantique et que les meilleures données scientifiques disponibles indiquent clairement la présence significative de thon rouge de l'Atlantique originaire de l'Est dans l'Atlantique Ouest, 6.000 tonnes de poissons originaires de l'Est sont soustraites du TAC susmentionné afin d'être ajoutées au TAC de thon rouge de l'Atlantique Ouest et gérées conformément aux dispositions de la Rec. 22-10.</w:t>
      </w:r>
    </w:p>
    <w:p w14:paraId="5D0377B4" w14:textId="77777777" w:rsidR="0099666E" w:rsidRPr="003B6E90" w:rsidRDefault="0099666E" w:rsidP="00895E24">
      <w:pPr>
        <w:pStyle w:val="BodyText"/>
        <w:ind w:right="15"/>
      </w:pPr>
    </w:p>
    <w:p w14:paraId="69141652" w14:textId="51EB889E" w:rsidR="0099666E" w:rsidRPr="00672EC5" w:rsidRDefault="005B0D22" w:rsidP="00672EC5">
      <w:pPr>
        <w:pStyle w:val="BodyText"/>
        <w:ind w:left="720" w:right="17"/>
        <w:jc w:val="both"/>
        <w:rPr>
          <w:b/>
          <w:bCs/>
        </w:rPr>
      </w:pPr>
      <w:r>
        <w:t>Les</w:t>
      </w:r>
      <w:r>
        <w:rPr>
          <w:u w:val="single"/>
        </w:rPr>
        <w:t xml:space="preserve"> 42.403</w:t>
      </w:r>
      <w:r>
        <w:t xml:space="preserve"> t devront être allouées en </w:t>
      </w:r>
      <w:r>
        <w:rPr>
          <w:u w:val="single"/>
        </w:rPr>
        <w:t>2026</w:t>
      </w:r>
      <w:r>
        <w:t xml:space="preserve"> jusqu’en </w:t>
      </w:r>
      <w:r>
        <w:rPr>
          <w:u w:val="single"/>
        </w:rPr>
        <w:t>2028</w:t>
      </w:r>
      <w:r>
        <w:t xml:space="preserve"> selon le schéma suivant</w:t>
      </w:r>
      <w:r w:rsidR="000D1609">
        <w:t> :</w:t>
      </w:r>
      <w:r>
        <w:t xml:space="preserve"> (</w:t>
      </w:r>
      <w:r w:rsidR="000D1609">
        <w:t>c</w:t>
      </w:r>
      <w:r>
        <w:t xml:space="preserve">f. </w:t>
      </w:r>
      <w:r>
        <w:rPr>
          <w:b/>
          <w:bCs/>
        </w:rPr>
        <w:t>appendice</w:t>
      </w:r>
      <w:r w:rsidR="000D1609">
        <w:rPr>
          <w:b/>
          <w:bCs/>
        </w:rPr>
        <w:t> </w:t>
      </w:r>
      <w:r>
        <w:rPr>
          <w:b/>
          <w:bCs/>
        </w:rPr>
        <w:t>1</w:t>
      </w:r>
      <w:r>
        <w:t>).</w:t>
      </w:r>
    </w:p>
    <w:sectPr w:rsidR="0099666E" w:rsidRPr="00672EC5" w:rsidSect="00C31EF7">
      <w:pgSz w:w="11907" w:h="16840" w:code="9"/>
      <w:pgMar w:top="1418" w:right="1418" w:bottom="1418" w:left="1418" w:header="851" w:footer="11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8270A6" w14:textId="77777777" w:rsidR="001B0534" w:rsidRDefault="001B0534">
      <w:r>
        <w:separator/>
      </w:r>
    </w:p>
  </w:endnote>
  <w:endnote w:type="continuationSeparator" w:id="0">
    <w:p w14:paraId="342885B8" w14:textId="77777777" w:rsidR="001B0534" w:rsidRDefault="001B05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8914E" w14:textId="608511C3" w:rsidR="0099666E" w:rsidRDefault="008A6074" w:rsidP="008A6074">
    <w:pPr>
      <w:widowControl/>
      <w:tabs>
        <w:tab w:val="center" w:pos="4535"/>
        <w:tab w:val="center" w:pos="4680"/>
        <w:tab w:val="left" w:pos="6150"/>
        <w:tab w:val="right" w:pos="9360"/>
      </w:tabs>
      <w:autoSpaceDE/>
      <w:autoSpaceDN/>
      <w:jc w:val="center"/>
    </w:pPr>
    <w:r w:rsidRPr="001F2E99">
      <w:rPr>
        <w:rFonts w:eastAsia="Calibri" w:cs="Calibri"/>
        <w:sz w:val="20"/>
      </w:rPr>
      <w:fldChar w:fldCharType="begin"/>
    </w:r>
    <w:r w:rsidRPr="001F2E99">
      <w:rPr>
        <w:rFonts w:eastAsia="Calibri" w:cs="Calibri"/>
        <w:sz w:val="20"/>
      </w:rPr>
      <w:instrText xml:space="preserve"> PAGE </w:instrText>
    </w:r>
    <w:r w:rsidRPr="001F2E99">
      <w:rPr>
        <w:rFonts w:eastAsia="Calibri" w:cs="Calibri"/>
        <w:sz w:val="20"/>
      </w:rPr>
      <w:fldChar w:fldCharType="separate"/>
    </w:r>
    <w:r>
      <w:rPr>
        <w:rFonts w:eastAsia="Calibri" w:cs="Calibri"/>
        <w:sz w:val="20"/>
      </w:rPr>
      <w:t>1</w:t>
    </w:r>
    <w:r w:rsidRPr="001F2E99">
      <w:rPr>
        <w:rFonts w:eastAsia="Calibri" w:cs="Calibri"/>
        <w:sz w:val="20"/>
      </w:rPr>
      <w:fldChar w:fldCharType="end"/>
    </w:r>
    <w:r>
      <w:rPr>
        <w:sz w:val="20"/>
      </w:rPr>
      <w:t xml:space="preserve"> / </w:t>
    </w:r>
    <w:r w:rsidRPr="001F2E99">
      <w:rPr>
        <w:rFonts w:eastAsia="Calibri" w:cs="Calibri"/>
        <w:sz w:val="20"/>
      </w:rPr>
      <w:fldChar w:fldCharType="begin"/>
    </w:r>
    <w:r w:rsidRPr="001F2E99">
      <w:rPr>
        <w:rFonts w:eastAsia="Calibri" w:cs="Calibri"/>
        <w:sz w:val="20"/>
      </w:rPr>
      <w:instrText xml:space="preserve"> NUMPAGES  </w:instrText>
    </w:r>
    <w:r w:rsidRPr="001F2E99">
      <w:rPr>
        <w:rFonts w:eastAsia="Calibri" w:cs="Calibri"/>
        <w:sz w:val="20"/>
      </w:rPr>
      <w:fldChar w:fldCharType="separate"/>
    </w:r>
    <w:r>
      <w:rPr>
        <w:rFonts w:eastAsia="Calibri" w:cs="Calibri"/>
        <w:sz w:val="20"/>
      </w:rPr>
      <w:t>8</w:t>
    </w:r>
    <w:r w:rsidRPr="001F2E99">
      <w:rPr>
        <w:rFonts w:eastAsia="Calibri" w:cs="Calibri"/>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A93123" w14:textId="77777777" w:rsidR="001B0534" w:rsidRDefault="001B0534">
      <w:r>
        <w:separator/>
      </w:r>
    </w:p>
  </w:footnote>
  <w:footnote w:type="continuationSeparator" w:id="0">
    <w:p w14:paraId="6FCEF463" w14:textId="77777777" w:rsidR="001B0534" w:rsidRDefault="001B0534">
      <w:r>
        <w:continuationSeparator/>
      </w:r>
    </w:p>
  </w:footnote>
  <w:footnote w:id="1">
    <w:p w14:paraId="55100724" w14:textId="0F55180B" w:rsidR="008A6074" w:rsidRPr="008A6074" w:rsidRDefault="008A6074" w:rsidP="008A6074">
      <w:pPr>
        <w:rPr>
          <w:sz w:val="16"/>
          <w:szCs w:val="16"/>
        </w:rPr>
      </w:pPr>
      <w:r w:rsidRPr="006F295F">
        <w:rPr>
          <w:rStyle w:val="FootnoteReference"/>
          <w:sz w:val="16"/>
          <w:szCs w:val="16"/>
        </w:rPr>
        <w:footnoteRef/>
      </w:r>
      <w:r w:rsidRPr="006F295F">
        <w:rPr>
          <w:sz w:val="16"/>
        </w:rPr>
        <w:t xml:space="preserve"> </w:t>
      </w:r>
      <w:hyperlink r:id="rId1" w:history="1">
        <w:r w:rsidRPr="006F295F">
          <w:rPr>
            <w:rStyle w:val="Hyperlink"/>
            <w:sz w:val="16"/>
            <w:u w:val="none"/>
          </w:rPr>
          <w:t>Rapport de la réunion de 2017 de l'ICCAT d’évaluation des stocks de thon rouge.</w:t>
        </w:r>
      </w:hyperlink>
      <w:r w:rsidRPr="006F295F">
        <w:rPr>
          <w:sz w:val="16"/>
        </w:rPr>
        <w:t>. Madrid, Espagne, 20-28 juillet 2017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B3115" w14:textId="09DE6228" w:rsidR="00F75D00" w:rsidRPr="00793F38" w:rsidRDefault="00F75D00" w:rsidP="00F75D00">
    <w:pPr>
      <w:tabs>
        <w:tab w:val="center" w:pos="4680"/>
        <w:tab w:val="left" w:pos="6520"/>
        <w:tab w:val="right" w:pos="9360"/>
        <w:tab w:val="right" w:pos="14240"/>
      </w:tabs>
      <w:jc w:val="right"/>
      <w:rPr>
        <w:rFonts w:eastAsia="Calibri"/>
        <w:b/>
        <w:bCs/>
        <w:sz w:val="20"/>
        <w:szCs w:val="20"/>
      </w:rPr>
    </w:pPr>
    <w:bookmarkStart w:id="1" w:name="_Hlk107908354"/>
    <w:bookmarkStart w:id="2" w:name="_Hlk107908355"/>
    <w:bookmarkStart w:id="3" w:name="_Hlk107908359"/>
    <w:bookmarkStart w:id="4" w:name="_Hlk107908360"/>
    <w:bookmarkStart w:id="5" w:name="_Hlk107908361"/>
    <w:bookmarkStart w:id="6" w:name="_Hlk107908362"/>
    <w:r>
      <w:rPr>
        <w:b/>
        <w:sz w:val="20"/>
      </w:rPr>
      <w:t>PA2_617/2025</w:t>
    </w:r>
  </w:p>
  <w:p w14:paraId="0B64DA13" w14:textId="2E5C5375" w:rsidR="00F75D00" w:rsidRDefault="00F75D00" w:rsidP="00F75D00">
    <w:pPr>
      <w:tabs>
        <w:tab w:val="left" w:pos="7320"/>
      </w:tabs>
      <w:spacing w:line="240" w:lineRule="exact"/>
      <w:jc w:val="right"/>
    </w:pPr>
    <w:r w:rsidRPr="00793F38">
      <w:rPr>
        <w:b/>
        <w:sz w:val="16"/>
      </w:rPr>
      <w:fldChar w:fldCharType="begin"/>
    </w:r>
    <w:r w:rsidRPr="00793F38">
      <w:rPr>
        <w:b/>
        <w:sz w:val="16"/>
      </w:rPr>
      <w:instrText xml:space="preserve"> TIME \@ "dd/MM/yyyy H:mm" </w:instrText>
    </w:r>
    <w:r w:rsidRPr="00793F38">
      <w:rPr>
        <w:b/>
        <w:sz w:val="16"/>
      </w:rPr>
      <w:fldChar w:fldCharType="separate"/>
    </w:r>
    <w:r w:rsidR="003E0163">
      <w:rPr>
        <w:b/>
        <w:noProof/>
        <w:sz w:val="16"/>
      </w:rPr>
      <w:t>11/11/2025 12:48</w:t>
    </w:r>
    <w:r w:rsidRPr="00793F38">
      <w:rPr>
        <w:b/>
        <w:bCs/>
        <w:sz w:val="16"/>
        <w:szCs w:val="16"/>
        <w:lang w:val="es-ES_tradnl"/>
      </w:rPr>
      <w:fldChar w:fldCharType="end"/>
    </w:r>
    <w:bookmarkEnd w:id="1"/>
    <w:bookmarkEnd w:id="2"/>
    <w:bookmarkEnd w:id="3"/>
    <w:bookmarkEnd w:id="4"/>
    <w:bookmarkEnd w:id="5"/>
    <w:bookmarkEnd w:id="6"/>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9B01C2"/>
    <w:multiLevelType w:val="hybridMultilevel"/>
    <w:tmpl w:val="5F3A9798"/>
    <w:lvl w:ilvl="0" w:tplc="24622DDC">
      <w:start w:val="1"/>
      <w:numFmt w:val="decimal"/>
      <w:lvlText w:val="%1."/>
      <w:lvlJc w:val="left"/>
      <w:pPr>
        <w:ind w:left="863" w:hanging="360"/>
      </w:pPr>
      <w:rPr>
        <w:rFonts w:ascii="Cambria" w:eastAsia="Cambria" w:hAnsi="Cambria" w:cs="Cambria" w:hint="default"/>
        <w:b w:val="0"/>
        <w:bCs w:val="0"/>
        <w:i w:val="0"/>
        <w:iCs w:val="0"/>
        <w:spacing w:val="-1"/>
        <w:w w:val="100"/>
        <w:sz w:val="20"/>
        <w:szCs w:val="20"/>
        <w:lang w:val="en-US" w:eastAsia="en-US" w:bidi="ar-SA"/>
      </w:rPr>
    </w:lvl>
    <w:lvl w:ilvl="1" w:tplc="AF3AEA74">
      <w:numFmt w:val="bullet"/>
      <w:lvlText w:val="•"/>
      <w:lvlJc w:val="left"/>
      <w:pPr>
        <w:ind w:left="1739" w:hanging="360"/>
      </w:pPr>
      <w:rPr>
        <w:rFonts w:hint="default"/>
        <w:lang w:val="en-US" w:eastAsia="en-US" w:bidi="ar-SA"/>
      </w:rPr>
    </w:lvl>
    <w:lvl w:ilvl="2" w:tplc="F95E4510">
      <w:numFmt w:val="bullet"/>
      <w:lvlText w:val="•"/>
      <w:lvlJc w:val="left"/>
      <w:pPr>
        <w:ind w:left="2618" w:hanging="360"/>
      </w:pPr>
      <w:rPr>
        <w:rFonts w:hint="default"/>
        <w:lang w:val="en-US" w:eastAsia="en-US" w:bidi="ar-SA"/>
      </w:rPr>
    </w:lvl>
    <w:lvl w:ilvl="3" w:tplc="EA902B06">
      <w:numFmt w:val="bullet"/>
      <w:lvlText w:val="•"/>
      <w:lvlJc w:val="left"/>
      <w:pPr>
        <w:ind w:left="3497" w:hanging="360"/>
      </w:pPr>
      <w:rPr>
        <w:rFonts w:hint="default"/>
        <w:lang w:val="en-US" w:eastAsia="en-US" w:bidi="ar-SA"/>
      </w:rPr>
    </w:lvl>
    <w:lvl w:ilvl="4" w:tplc="13ECC308">
      <w:numFmt w:val="bullet"/>
      <w:lvlText w:val="•"/>
      <w:lvlJc w:val="left"/>
      <w:pPr>
        <w:ind w:left="4377" w:hanging="360"/>
      </w:pPr>
      <w:rPr>
        <w:rFonts w:hint="default"/>
        <w:lang w:val="en-US" w:eastAsia="en-US" w:bidi="ar-SA"/>
      </w:rPr>
    </w:lvl>
    <w:lvl w:ilvl="5" w:tplc="80E66F46">
      <w:numFmt w:val="bullet"/>
      <w:lvlText w:val="•"/>
      <w:lvlJc w:val="left"/>
      <w:pPr>
        <w:ind w:left="5256" w:hanging="360"/>
      </w:pPr>
      <w:rPr>
        <w:rFonts w:hint="default"/>
        <w:lang w:val="en-US" w:eastAsia="en-US" w:bidi="ar-SA"/>
      </w:rPr>
    </w:lvl>
    <w:lvl w:ilvl="6" w:tplc="419202C6">
      <w:numFmt w:val="bullet"/>
      <w:lvlText w:val="•"/>
      <w:lvlJc w:val="left"/>
      <w:pPr>
        <w:ind w:left="6135" w:hanging="360"/>
      </w:pPr>
      <w:rPr>
        <w:rFonts w:hint="default"/>
        <w:lang w:val="en-US" w:eastAsia="en-US" w:bidi="ar-SA"/>
      </w:rPr>
    </w:lvl>
    <w:lvl w:ilvl="7" w:tplc="E8886F46">
      <w:numFmt w:val="bullet"/>
      <w:lvlText w:val="•"/>
      <w:lvlJc w:val="left"/>
      <w:pPr>
        <w:ind w:left="7015" w:hanging="360"/>
      </w:pPr>
      <w:rPr>
        <w:rFonts w:hint="default"/>
        <w:lang w:val="en-US" w:eastAsia="en-US" w:bidi="ar-SA"/>
      </w:rPr>
    </w:lvl>
    <w:lvl w:ilvl="8" w:tplc="3AE6ECD8">
      <w:numFmt w:val="bullet"/>
      <w:lvlText w:val="•"/>
      <w:lvlJc w:val="left"/>
      <w:pPr>
        <w:ind w:left="7894" w:hanging="360"/>
      </w:pPr>
      <w:rPr>
        <w:rFonts w:hint="default"/>
        <w:lang w:val="en-US" w:eastAsia="en-US" w:bidi="ar-SA"/>
      </w:rPr>
    </w:lvl>
  </w:abstractNum>
  <w:abstractNum w:abstractNumId="1" w15:restartNumberingAfterBreak="0">
    <w:nsid w:val="30DB07A5"/>
    <w:multiLevelType w:val="hybridMultilevel"/>
    <w:tmpl w:val="8F32083A"/>
    <w:lvl w:ilvl="0" w:tplc="965AA528">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4EA13BF4"/>
    <w:multiLevelType w:val="hybridMultilevel"/>
    <w:tmpl w:val="756C4B38"/>
    <w:lvl w:ilvl="0" w:tplc="24FE9E54">
      <w:start w:val="2"/>
      <w:numFmt w:val="lowerLetter"/>
      <w:lvlText w:val="%1)"/>
      <w:lvlJc w:val="left"/>
      <w:pPr>
        <w:ind w:left="998" w:hanging="435"/>
      </w:pPr>
      <w:rPr>
        <w:rFonts w:ascii="Cambria" w:eastAsia="Cambria" w:hAnsi="Cambria" w:cs="Cambria" w:hint="default"/>
        <w:b w:val="0"/>
        <w:bCs w:val="0"/>
        <w:i w:val="0"/>
        <w:iCs w:val="0"/>
        <w:spacing w:val="-1"/>
        <w:w w:val="100"/>
        <w:sz w:val="20"/>
        <w:szCs w:val="20"/>
        <w:lang w:val="en-US" w:eastAsia="en-US" w:bidi="ar-SA"/>
      </w:rPr>
    </w:lvl>
    <w:lvl w:ilvl="1" w:tplc="85D0DBA0">
      <w:numFmt w:val="bullet"/>
      <w:lvlText w:val="•"/>
      <w:lvlJc w:val="left"/>
      <w:pPr>
        <w:ind w:left="1865" w:hanging="435"/>
      </w:pPr>
      <w:rPr>
        <w:rFonts w:hint="default"/>
        <w:lang w:val="en-US" w:eastAsia="en-US" w:bidi="ar-SA"/>
      </w:rPr>
    </w:lvl>
    <w:lvl w:ilvl="2" w:tplc="410CC992">
      <w:numFmt w:val="bullet"/>
      <w:lvlText w:val="•"/>
      <w:lvlJc w:val="left"/>
      <w:pPr>
        <w:ind w:left="2730" w:hanging="435"/>
      </w:pPr>
      <w:rPr>
        <w:rFonts w:hint="default"/>
        <w:lang w:val="en-US" w:eastAsia="en-US" w:bidi="ar-SA"/>
      </w:rPr>
    </w:lvl>
    <w:lvl w:ilvl="3" w:tplc="9CBC898C">
      <w:numFmt w:val="bullet"/>
      <w:lvlText w:val="•"/>
      <w:lvlJc w:val="left"/>
      <w:pPr>
        <w:ind w:left="3595" w:hanging="435"/>
      </w:pPr>
      <w:rPr>
        <w:rFonts w:hint="default"/>
        <w:lang w:val="en-US" w:eastAsia="en-US" w:bidi="ar-SA"/>
      </w:rPr>
    </w:lvl>
    <w:lvl w:ilvl="4" w:tplc="22D0E13A">
      <w:numFmt w:val="bullet"/>
      <w:lvlText w:val="•"/>
      <w:lvlJc w:val="left"/>
      <w:pPr>
        <w:ind w:left="4461" w:hanging="435"/>
      </w:pPr>
      <w:rPr>
        <w:rFonts w:hint="default"/>
        <w:lang w:val="en-US" w:eastAsia="en-US" w:bidi="ar-SA"/>
      </w:rPr>
    </w:lvl>
    <w:lvl w:ilvl="5" w:tplc="00842094">
      <w:numFmt w:val="bullet"/>
      <w:lvlText w:val="•"/>
      <w:lvlJc w:val="left"/>
      <w:pPr>
        <w:ind w:left="5326" w:hanging="435"/>
      </w:pPr>
      <w:rPr>
        <w:rFonts w:hint="default"/>
        <w:lang w:val="en-US" w:eastAsia="en-US" w:bidi="ar-SA"/>
      </w:rPr>
    </w:lvl>
    <w:lvl w:ilvl="6" w:tplc="395A79EE">
      <w:numFmt w:val="bullet"/>
      <w:lvlText w:val="•"/>
      <w:lvlJc w:val="left"/>
      <w:pPr>
        <w:ind w:left="6191" w:hanging="435"/>
      </w:pPr>
      <w:rPr>
        <w:rFonts w:hint="default"/>
        <w:lang w:val="en-US" w:eastAsia="en-US" w:bidi="ar-SA"/>
      </w:rPr>
    </w:lvl>
    <w:lvl w:ilvl="7" w:tplc="0CF68B4C">
      <w:numFmt w:val="bullet"/>
      <w:lvlText w:val="•"/>
      <w:lvlJc w:val="left"/>
      <w:pPr>
        <w:ind w:left="7057" w:hanging="435"/>
      </w:pPr>
      <w:rPr>
        <w:rFonts w:hint="default"/>
        <w:lang w:val="en-US" w:eastAsia="en-US" w:bidi="ar-SA"/>
      </w:rPr>
    </w:lvl>
    <w:lvl w:ilvl="8" w:tplc="7512D62C">
      <w:numFmt w:val="bullet"/>
      <w:lvlText w:val="•"/>
      <w:lvlJc w:val="left"/>
      <w:pPr>
        <w:ind w:left="7922" w:hanging="435"/>
      </w:pPr>
      <w:rPr>
        <w:rFonts w:hint="default"/>
        <w:lang w:val="en-US" w:eastAsia="en-US" w:bidi="ar-SA"/>
      </w:rPr>
    </w:lvl>
  </w:abstractNum>
  <w:abstractNum w:abstractNumId="3" w15:restartNumberingAfterBreak="0">
    <w:nsid w:val="6552427C"/>
    <w:multiLevelType w:val="hybridMultilevel"/>
    <w:tmpl w:val="2EBC3C88"/>
    <w:lvl w:ilvl="0" w:tplc="8A823030">
      <w:start w:val="5"/>
      <w:numFmt w:val="decimal"/>
      <w:lvlText w:val="%1"/>
      <w:lvlJc w:val="left"/>
      <w:pPr>
        <w:ind w:left="1215" w:hanging="360"/>
      </w:pPr>
      <w:rPr>
        <w:rFonts w:hint="default"/>
      </w:rPr>
    </w:lvl>
    <w:lvl w:ilvl="1" w:tplc="04090019" w:tentative="1">
      <w:start w:val="1"/>
      <w:numFmt w:val="lowerLetter"/>
      <w:lvlText w:val="%2."/>
      <w:lvlJc w:val="left"/>
      <w:pPr>
        <w:ind w:left="1935" w:hanging="360"/>
      </w:pPr>
    </w:lvl>
    <w:lvl w:ilvl="2" w:tplc="0409001B" w:tentative="1">
      <w:start w:val="1"/>
      <w:numFmt w:val="lowerRoman"/>
      <w:lvlText w:val="%3."/>
      <w:lvlJc w:val="right"/>
      <w:pPr>
        <w:ind w:left="2655" w:hanging="180"/>
      </w:pPr>
    </w:lvl>
    <w:lvl w:ilvl="3" w:tplc="0409000F" w:tentative="1">
      <w:start w:val="1"/>
      <w:numFmt w:val="decimal"/>
      <w:lvlText w:val="%4."/>
      <w:lvlJc w:val="left"/>
      <w:pPr>
        <w:ind w:left="3375" w:hanging="360"/>
      </w:pPr>
    </w:lvl>
    <w:lvl w:ilvl="4" w:tplc="04090019" w:tentative="1">
      <w:start w:val="1"/>
      <w:numFmt w:val="lowerLetter"/>
      <w:lvlText w:val="%5."/>
      <w:lvlJc w:val="left"/>
      <w:pPr>
        <w:ind w:left="4095" w:hanging="360"/>
      </w:pPr>
    </w:lvl>
    <w:lvl w:ilvl="5" w:tplc="0409001B" w:tentative="1">
      <w:start w:val="1"/>
      <w:numFmt w:val="lowerRoman"/>
      <w:lvlText w:val="%6."/>
      <w:lvlJc w:val="right"/>
      <w:pPr>
        <w:ind w:left="4815" w:hanging="180"/>
      </w:pPr>
    </w:lvl>
    <w:lvl w:ilvl="6" w:tplc="0409000F" w:tentative="1">
      <w:start w:val="1"/>
      <w:numFmt w:val="decimal"/>
      <w:lvlText w:val="%7."/>
      <w:lvlJc w:val="left"/>
      <w:pPr>
        <w:ind w:left="5535" w:hanging="360"/>
      </w:pPr>
    </w:lvl>
    <w:lvl w:ilvl="7" w:tplc="04090019" w:tentative="1">
      <w:start w:val="1"/>
      <w:numFmt w:val="lowerLetter"/>
      <w:lvlText w:val="%8."/>
      <w:lvlJc w:val="left"/>
      <w:pPr>
        <w:ind w:left="6255" w:hanging="360"/>
      </w:pPr>
    </w:lvl>
    <w:lvl w:ilvl="8" w:tplc="0409001B" w:tentative="1">
      <w:start w:val="1"/>
      <w:numFmt w:val="lowerRoman"/>
      <w:lvlText w:val="%9."/>
      <w:lvlJc w:val="right"/>
      <w:pPr>
        <w:ind w:left="6975" w:hanging="180"/>
      </w:pPr>
    </w:lvl>
  </w:abstractNum>
  <w:abstractNum w:abstractNumId="4" w15:restartNumberingAfterBreak="0">
    <w:nsid w:val="67CD76B4"/>
    <w:multiLevelType w:val="hybridMultilevel"/>
    <w:tmpl w:val="35EC01EA"/>
    <w:lvl w:ilvl="0" w:tplc="0D723074">
      <w:start w:val="3"/>
      <w:numFmt w:val="lowerLetter"/>
      <w:lvlText w:val="%1)"/>
      <w:lvlJc w:val="left"/>
      <w:pPr>
        <w:ind w:left="1365" w:hanging="360"/>
      </w:pPr>
      <w:rPr>
        <w:rFonts w:hint="default"/>
        <w:color w:val="231F20"/>
      </w:rPr>
    </w:lvl>
    <w:lvl w:ilvl="1" w:tplc="04090019" w:tentative="1">
      <w:start w:val="1"/>
      <w:numFmt w:val="lowerLetter"/>
      <w:lvlText w:val="%2."/>
      <w:lvlJc w:val="left"/>
      <w:pPr>
        <w:ind w:left="2085" w:hanging="360"/>
      </w:pPr>
    </w:lvl>
    <w:lvl w:ilvl="2" w:tplc="0409001B" w:tentative="1">
      <w:start w:val="1"/>
      <w:numFmt w:val="lowerRoman"/>
      <w:lvlText w:val="%3."/>
      <w:lvlJc w:val="right"/>
      <w:pPr>
        <w:ind w:left="2805" w:hanging="180"/>
      </w:pPr>
    </w:lvl>
    <w:lvl w:ilvl="3" w:tplc="0409000F" w:tentative="1">
      <w:start w:val="1"/>
      <w:numFmt w:val="decimal"/>
      <w:lvlText w:val="%4."/>
      <w:lvlJc w:val="left"/>
      <w:pPr>
        <w:ind w:left="3525" w:hanging="360"/>
      </w:pPr>
    </w:lvl>
    <w:lvl w:ilvl="4" w:tplc="04090019" w:tentative="1">
      <w:start w:val="1"/>
      <w:numFmt w:val="lowerLetter"/>
      <w:lvlText w:val="%5."/>
      <w:lvlJc w:val="left"/>
      <w:pPr>
        <w:ind w:left="4245" w:hanging="360"/>
      </w:pPr>
    </w:lvl>
    <w:lvl w:ilvl="5" w:tplc="0409001B" w:tentative="1">
      <w:start w:val="1"/>
      <w:numFmt w:val="lowerRoman"/>
      <w:lvlText w:val="%6."/>
      <w:lvlJc w:val="right"/>
      <w:pPr>
        <w:ind w:left="4965" w:hanging="180"/>
      </w:pPr>
    </w:lvl>
    <w:lvl w:ilvl="6" w:tplc="0409000F" w:tentative="1">
      <w:start w:val="1"/>
      <w:numFmt w:val="decimal"/>
      <w:lvlText w:val="%7."/>
      <w:lvlJc w:val="left"/>
      <w:pPr>
        <w:ind w:left="5685" w:hanging="360"/>
      </w:pPr>
    </w:lvl>
    <w:lvl w:ilvl="7" w:tplc="04090019" w:tentative="1">
      <w:start w:val="1"/>
      <w:numFmt w:val="lowerLetter"/>
      <w:lvlText w:val="%8."/>
      <w:lvlJc w:val="left"/>
      <w:pPr>
        <w:ind w:left="6405" w:hanging="360"/>
      </w:pPr>
    </w:lvl>
    <w:lvl w:ilvl="8" w:tplc="0409001B" w:tentative="1">
      <w:start w:val="1"/>
      <w:numFmt w:val="lowerRoman"/>
      <w:lvlText w:val="%9."/>
      <w:lvlJc w:val="right"/>
      <w:pPr>
        <w:ind w:left="7125" w:hanging="180"/>
      </w:pPr>
    </w:lvl>
  </w:abstractNum>
  <w:abstractNum w:abstractNumId="5" w15:restartNumberingAfterBreak="0">
    <w:nsid w:val="76E44DA5"/>
    <w:multiLevelType w:val="hybridMultilevel"/>
    <w:tmpl w:val="3B4AFF00"/>
    <w:lvl w:ilvl="0" w:tplc="290C110C">
      <w:start w:val="2"/>
      <w:numFmt w:val="lowerLetter"/>
      <w:lvlText w:val="%1)"/>
      <w:lvlJc w:val="left"/>
      <w:pPr>
        <w:ind w:left="1215" w:hanging="360"/>
      </w:pPr>
      <w:rPr>
        <w:rFonts w:hint="default"/>
        <w:color w:val="231F20"/>
      </w:rPr>
    </w:lvl>
    <w:lvl w:ilvl="1" w:tplc="04090019" w:tentative="1">
      <w:start w:val="1"/>
      <w:numFmt w:val="lowerLetter"/>
      <w:lvlText w:val="%2."/>
      <w:lvlJc w:val="left"/>
      <w:pPr>
        <w:ind w:left="1935" w:hanging="360"/>
      </w:pPr>
    </w:lvl>
    <w:lvl w:ilvl="2" w:tplc="0409001B" w:tentative="1">
      <w:start w:val="1"/>
      <w:numFmt w:val="lowerRoman"/>
      <w:lvlText w:val="%3."/>
      <w:lvlJc w:val="right"/>
      <w:pPr>
        <w:ind w:left="2655" w:hanging="180"/>
      </w:pPr>
    </w:lvl>
    <w:lvl w:ilvl="3" w:tplc="0409000F" w:tentative="1">
      <w:start w:val="1"/>
      <w:numFmt w:val="decimal"/>
      <w:lvlText w:val="%4."/>
      <w:lvlJc w:val="left"/>
      <w:pPr>
        <w:ind w:left="3375" w:hanging="360"/>
      </w:pPr>
    </w:lvl>
    <w:lvl w:ilvl="4" w:tplc="04090019" w:tentative="1">
      <w:start w:val="1"/>
      <w:numFmt w:val="lowerLetter"/>
      <w:lvlText w:val="%5."/>
      <w:lvlJc w:val="left"/>
      <w:pPr>
        <w:ind w:left="4095" w:hanging="360"/>
      </w:pPr>
    </w:lvl>
    <w:lvl w:ilvl="5" w:tplc="0409001B" w:tentative="1">
      <w:start w:val="1"/>
      <w:numFmt w:val="lowerRoman"/>
      <w:lvlText w:val="%6."/>
      <w:lvlJc w:val="right"/>
      <w:pPr>
        <w:ind w:left="4815" w:hanging="180"/>
      </w:pPr>
    </w:lvl>
    <w:lvl w:ilvl="6" w:tplc="0409000F" w:tentative="1">
      <w:start w:val="1"/>
      <w:numFmt w:val="decimal"/>
      <w:lvlText w:val="%7."/>
      <w:lvlJc w:val="left"/>
      <w:pPr>
        <w:ind w:left="5535" w:hanging="360"/>
      </w:pPr>
    </w:lvl>
    <w:lvl w:ilvl="7" w:tplc="04090019" w:tentative="1">
      <w:start w:val="1"/>
      <w:numFmt w:val="lowerLetter"/>
      <w:lvlText w:val="%8."/>
      <w:lvlJc w:val="left"/>
      <w:pPr>
        <w:ind w:left="6255" w:hanging="360"/>
      </w:pPr>
    </w:lvl>
    <w:lvl w:ilvl="8" w:tplc="0409001B" w:tentative="1">
      <w:start w:val="1"/>
      <w:numFmt w:val="lowerRoman"/>
      <w:lvlText w:val="%9."/>
      <w:lvlJc w:val="right"/>
      <w:pPr>
        <w:ind w:left="6975" w:hanging="180"/>
      </w:pPr>
    </w:lvl>
  </w:abstractNum>
  <w:abstractNum w:abstractNumId="6" w15:restartNumberingAfterBreak="0">
    <w:nsid w:val="79F02DB5"/>
    <w:multiLevelType w:val="hybridMultilevel"/>
    <w:tmpl w:val="33C8C794"/>
    <w:lvl w:ilvl="0" w:tplc="88B89608">
      <w:start w:val="3"/>
      <w:numFmt w:val="lowerLetter"/>
      <w:lvlText w:val="%1)"/>
      <w:lvlJc w:val="left"/>
      <w:pPr>
        <w:ind w:left="1211" w:hanging="360"/>
      </w:pPr>
      <w:rPr>
        <w:rFonts w:hint="default"/>
        <w:color w:val="231F20"/>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7" w15:restartNumberingAfterBreak="0">
    <w:nsid w:val="7ABE2167"/>
    <w:multiLevelType w:val="hybridMultilevel"/>
    <w:tmpl w:val="77626E28"/>
    <w:lvl w:ilvl="0" w:tplc="58F88792">
      <w:start w:val="1"/>
      <w:numFmt w:val="decimal"/>
      <w:lvlText w:val="%1."/>
      <w:lvlJc w:val="left"/>
      <w:pPr>
        <w:ind w:left="678" w:hanging="360"/>
      </w:pPr>
      <w:rPr>
        <w:rFonts w:hint="default"/>
      </w:rPr>
    </w:lvl>
    <w:lvl w:ilvl="1" w:tplc="04090019" w:tentative="1">
      <w:start w:val="1"/>
      <w:numFmt w:val="lowerLetter"/>
      <w:lvlText w:val="%2."/>
      <w:lvlJc w:val="left"/>
      <w:pPr>
        <w:ind w:left="1398" w:hanging="360"/>
      </w:pPr>
    </w:lvl>
    <w:lvl w:ilvl="2" w:tplc="0409001B" w:tentative="1">
      <w:start w:val="1"/>
      <w:numFmt w:val="lowerRoman"/>
      <w:lvlText w:val="%3."/>
      <w:lvlJc w:val="right"/>
      <w:pPr>
        <w:ind w:left="2118" w:hanging="180"/>
      </w:pPr>
    </w:lvl>
    <w:lvl w:ilvl="3" w:tplc="0409000F" w:tentative="1">
      <w:start w:val="1"/>
      <w:numFmt w:val="decimal"/>
      <w:lvlText w:val="%4."/>
      <w:lvlJc w:val="left"/>
      <w:pPr>
        <w:ind w:left="2838" w:hanging="360"/>
      </w:pPr>
    </w:lvl>
    <w:lvl w:ilvl="4" w:tplc="04090019" w:tentative="1">
      <w:start w:val="1"/>
      <w:numFmt w:val="lowerLetter"/>
      <w:lvlText w:val="%5."/>
      <w:lvlJc w:val="left"/>
      <w:pPr>
        <w:ind w:left="3558" w:hanging="360"/>
      </w:pPr>
    </w:lvl>
    <w:lvl w:ilvl="5" w:tplc="0409001B" w:tentative="1">
      <w:start w:val="1"/>
      <w:numFmt w:val="lowerRoman"/>
      <w:lvlText w:val="%6."/>
      <w:lvlJc w:val="right"/>
      <w:pPr>
        <w:ind w:left="4278" w:hanging="180"/>
      </w:pPr>
    </w:lvl>
    <w:lvl w:ilvl="6" w:tplc="0409000F" w:tentative="1">
      <w:start w:val="1"/>
      <w:numFmt w:val="decimal"/>
      <w:lvlText w:val="%7."/>
      <w:lvlJc w:val="left"/>
      <w:pPr>
        <w:ind w:left="4998" w:hanging="360"/>
      </w:pPr>
    </w:lvl>
    <w:lvl w:ilvl="7" w:tplc="04090019" w:tentative="1">
      <w:start w:val="1"/>
      <w:numFmt w:val="lowerLetter"/>
      <w:lvlText w:val="%8."/>
      <w:lvlJc w:val="left"/>
      <w:pPr>
        <w:ind w:left="5718" w:hanging="360"/>
      </w:pPr>
    </w:lvl>
    <w:lvl w:ilvl="8" w:tplc="0409001B" w:tentative="1">
      <w:start w:val="1"/>
      <w:numFmt w:val="lowerRoman"/>
      <w:lvlText w:val="%9."/>
      <w:lvlJc w:val="right"/>
      <w:pPr>
        <w:ind w:left="6438" w:hanging="180"/>
      </w:pPr>
    </w:lvl>
  </w:abstractNum>
  <w:abstractNum w:abstractNumId="8" w15:restartNumberingAfterBreak="0">
    <w:nsid w:val="7DD76A34"/>
    <w:multiLevelType w:val="hybridMultilevel"/>
    <w:tmpl w:val="29F882DC"/>
    <w:lvl w:ilvl="0" w:tplc="903241E0">
      <w:start w:val="1"/>
      <w:numFmt w:val="decimal"/>
      <w:lvlText w:val="%1."/>
      <w:lvlJc w:val="left"/>
      <w:pPr>
        <w:ind w:left="863" w:hanging="360"/>
      </w:pPr>
      <w:rPr>
        <w:rFonts w:ascii="Cambria" w:eastAsia="Cambria" w:hAnsi="Cambria" w:cs="Cambria" w:hint="default"/>
        <w:b w:val="0"/>
        <w:bCs w:val="0"/>
        <w:i w:val="0"/>
        <w:iCs w:val="0"/>
        <w:spacing w:val="-1"/>
        <w:w w:val="100"/>
        <w:sz w:val="20"/>
        <w:szCs w:val="20"/>
        <w:lang w:val="en-US" w:eastAsia="en-US" w:bidi="ar-SA"/>
      </w:rPr>
    </w:lvl>
    <w:lvl w:ilvl="1" w:tplc="970662CE">
      <w:start w:val="1"/>
      <w:numFmt w:val="lowerLetter"/>
      <w:lvlText w:val="%2)"/>
      <w:lvlJc w:val="left"/>
      <w:pPr>
        <w:ind w:left="863" w:hanging="360"/>
      </w:pPr>
      <w:rPr>
        <w:rFonts w:ascii="Cambria" w:eastAsia="Cambria" w:hAnsi="Cambria" w:cs="Cambria" w:hint="default"/>
        <w:b w:val="0"/>
        <w:bCs w:val="0"/>
        <w:i w:val="0"/>
        <w:iCs w:val="0"/>
        <w:spacing w:val="-1"/>
        <w:w w:val="100"/>
        <w:sz w:val="20"/>
        <w:szCs w:val="20"/>
        <w:lang w:val="en-US" w:eastAsia="en-US" w:bidi="ar-SA"/>
      </w:rPr>
    </w:lvl>
    <w:lvl w:ilvl="2" w:tplc="0F2A16DA">
      <w:numFmt w:val="bullet"/>
      <w:lvlText w:val="•"/>
      <w:lvlJc w:val="left"/>
      <w:pPr>
        <w:ind w:left="2618" w:hanging="360"/>
      </w:pPr>
      <w:rPr>
        <w:rFonts w:hint="default"/>
        <w:lang w:val="en-US" w:eastAsia="en-US" w:bidi="ar-SA"/>
      </w:rPr>
    </w:lvl>
    <w:lvl w:ilvl="3" w:tplc="1908B162">
      <w:numFmt w:val="bullet"/>
      <w:lvlText w:val="•"/>
      <w:lvlJc w:val="left"/>
      <w:pPr>
        <w:ind w:left="3497" w:hanging="360"/>
      </w:pPr>
      <w:rPr>
        <w:rFonts w:hint="default"/>
        <w:lang w:val="en-US" w:eastAsia="en-US" w:bidi="ar-SA"/>
      </w:rPr>
    </w:lvl>
    <w:lvl w:ilvl="4" w:tplc="8738EDA8">
      <w:numFmt w:val="bullet"/>
      <w:lvlText w:val="•"/>
      <w:lvlJc w:val="left"/>
      <w:pPr>
        <w:ind w:left="4377" w:hanging="360"/>
      </w:pPr>
      <w:rPr>
        <w:rFonts w:hint="default"/>
        <w:lang w:val="en-US" w:eastAsia="en-US" w:bidi="ar-SA"/>
      </w:rPr>
    </w:lvl>
    <w:lvl w:ilvl="5" w:tplc="FC527D62">
      <w:numFmt w:val="bullet"/>
      <w:lvlText w:val="•"/>
      <w:lvlJc w:val="left"/>
      <w:pPr>
        <w:ind w:left="5256" w:hanging="360"/>
      </w:pPr>
      <w:rPr>
        <w:rFonts w:hint="default"/>
        <w:lang w:val="en-US" w:eastAsia="en-US" w:bidi="ar-SA"/>
      </w:rPr>
    </w:lvl>
    <w:lvl w:ilvl="6" w:tplc="A9243D26">
      <w:numFmt w:val="bullet"/>
      <w:lvlText w:val="•"/>
      <w:lvlJc w:val="left"/>
      <w:pPr>
        <w:ind w:left="6135" w:hanging="360"/>
      </w:pPr>
      <w:rPr>
        <w:rFonts w:hint="default"/>
        <w:lang w:val="en-US" w:eastAsia="en-US" w:bidi="ar-SA"/>
      </w:rPr>
    </w:lvl>
    <w:lvl w:ilvl="7" w:tplc="2D428116">
      <w:numFmt w:val="bullet"/>
      <w:lvlText w:val="•"/>
      <w:lvlJc w:val="left"/>
      <w:pPr>
        <w:ind w:left="7015" w:hanging="360"/>
      </w:pPr>
      <w:rPr>
        <w:rFonts w:hint="default"/>
        <w:lang w:val="en-US" w:eastAsia="en-US" w:bidi="ar-SA"/>
      </w:rPr>
    </w:lvl>
    <w:lvl w:ilvl="8" w:tplc="91C6F984">
      <w:numFmt w:val="bullet"/>
      <w:lvlText w:val="•"/>
      <w:lvlJc w:val="left"/>
      <w:pPr>
        <w:ind w:left="7894" w:hanging="360"/>
      </w:pPr>
      <w:rPr>
        <w:rFonts w:hint="default"/>
        <w:lang w:val="en-US" w:eastAsia="en-US" w:bidi="ar-SA"/>
      </w:rPr>
    </w:lvl>
  </w:abstractNum>
  <w:num w:numId="1" w16cid:durableId="621232912">
    <w:abstractNumId w:val="0"/>
  </w:num>
  <w:num w:numId="2" w16cid:durableId="2018843410">
    <w:abstractNumId w:val="2"/>
  </w:num>
  <w:num w:numId="3" w16cid:durableId="970742700">
    <w:abstractNumId w:val="8"/>
  </w:num>
  <w:num w:numId="4" w16cid:durableId="133181664">
    <w:abstractNumId w:val="7"/>
  </w:num>
  <w:num w:numId="5" w16cid:durableId="1571650425">
    <w:abstractNumId w:val="5"/>
  </w:num>
  <w:num w:numId="6" w16cid:durableId="1034581496">
    <w:abstractNumId w:val="4"/>
  </w:num>
  <w:num w:numId="7" w16cid:durableId="1827436026">
    <w:abstractNumId w:val="3"/>
  </w:num>
  <w:num w:numId="8" w16cid:durableId="1125930915">
    <w:abstractNumId w:val="1"/>
  </w:num>
  <w:num w:numId="9" w16cid:durableId="135122387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666E"/>
    <w:rsid w:val="00051613"/>
    <w:rsid w:val="0006562D"/>
    <w:rsid w:val="000A6580"/>
    <w:rsid w:val="000D1609"/>
    <w:rsid w:val="0010441B"/>
    <w:rsid w:val="00124918"/>
    <w:rsid w:val="0014560D"/>
    <w:rsid w:val="001B0534"/>
    <w:rsid w:val="002046D4"/>
    <w:rsid w:val="0021746F"/>
    <w:rsid w:val="00254B5F"/>
    <w:rsid w:val="00314653"/>
    <w:rsid w:val="00316B62"/>
    <w:rsid w:val="00320241"/>
    <w:rsid w:val="00331E7B"/>
    <w:rsid w:val="003B6E90"/>
    <w:rsid w:val="003E0163"/>
    <w:rsid w:val="00432AF4"/>
    <w:rsid w:val="004A57C5"/>
    <w:rsid w:val="004D3B3E"/>
    <w:rsid w:val="00583ECC"/>
    <w:rsid w:val="005B0D22"/>
    <w:rsid w:val="005D080E"/>
    <w:rsid w:val="00672EC5"/>
    <w:rsid w:val="006F295F"/>
    <w:rsid w:val="007720DF"/>
    <w:rsid w:val="007958F0"/>
    <w:rsid w:val="00795AE4"/>
    <w:rsid w:val="007D0163"/>
    <w:rsid w:val="007F2D0A"/>
    <w:rsid w:val="007F52F0"/>
    <w:rsid w:val="00803672"/>
    <w:rsid w:val="008712BF"/>
    <w:rsid w:val="00895E24"/>
    <w:rsid w:val="008A6074"/>
    <w:rsid w:val="008B6513"/>
    <w:rsid w:val="008C1AF8"/>
    <w:rsid w:val="00931173"/>
    <w:rsid w:val="009407AD"/>
    <w:rsid w:val="00963A2E"/>
    <w:rsid w:val="009810A1"/>
    <w:rsid w:val="0099666E"/>
    <w:rsid w:val="009A34F1"/>
    <w:rsid w:val="00A0470F"/>
    <w:rsid w:val="00A4193D"/>
    <w:rsid w:val="00A41BC3"/>
    <w:rsid w:val="00A9021B"/>
    <w:rsid w:val="00A97379"/>
    <w:rsid w:val="00AA5BBD"/>
    <w:rsid w:val="00AC608D"/>
    <w:rsid w:val="00AF50EF"/>
    <w:rsid w:val="00B07FEB"/>
    <w:rsid w:val="00B72C1C"/>
    <w:rsid w:val="00B96B17"/>
    <w:rsid w:val="00BA0F89"/>
    <w:rsid w:val="00BA5750"/>
    <w:rsid w:val="00BA7A36"/>
    <w:rsid w:val="00BF23AB"/>
    <w:rsid w:val="00C12AA7"/>
    <w:rsid w:val="00C31EF7"/>
    <w:rsid w:val="00CE20A6"/>
    <w:rsid w:val="00CE3F89"/>
    <w:rsid w:val="00D26D55"/>
    <w:rsid w:val="00D54D81"/>
    <w:rsid w:val="00D9542F"/>
    <w:rsid w:val="00DB6382"/>
    <w:rsid w:val="00DC0A57"/>
    <w:rsid w:val="00DC2E98"/>
    <w:rsid w:val="00E037E8"/>
    <w:rsid w:val="00E3332D"/>
    <w:rsid w:val="00E53C93"/>
    <w:rsid w:val="00EC7AA5"/>
    <w:rsid w:val="00F10258"/>
    <w:rsid w:val="00F36837"/>
    <w:rsid w:val="00F75D00"/>
    <w:rsid w:val="00F96931"/>
    <w:rsid w:val="00FA3804"/>
    <w:rsid w:val="00FB52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A3A9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mbria" w:eastAsia="Cambria" w:hAnsi="Cambria" w:cs="Cambria"/>
    </w:rPr>
  </w:style>
  <w:style w:type="paragraph" w:styleId="Heading1">
    <w:name w:val="heading 1"/>
    <w:basedOn w:val="Normal"/>
    <w:uiPriority w:val="1"/>
    <w:qFormat/>
    <w:pPr>
      <w:spacing w:before="38"/>
      <w:ind w:right="296"/>
      <w:jc w:val="center"/>
      <w:outlineLvl w:val="0"/>
    </w:pPr>
    <w:rPr>
      <w:b/>
      <w:bCs/>
      <w:sz w:val="20"/>
      <w:szCs w:val="20"/>
    </w:rPr>
  </w:style>
  <w:style w:type="paragraph" w:styleId="Heading2">
    <w:name w:val="heading 2"/>
    <w:basedOn w:val="Normal"/>
    <w:uiPriority w:val="1"/>
    <w:qFormat/>
    <w:pPr>
      <w:ind w:left="8" w:right="15"/>
      <w:outlineLvl w:val="1"/>
    </w:pPr>
    <w:rPr>
      <w:b/>
      <w:bCs/>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862" w:hanging="359"/>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75D00"/>
    <w:pPr>
      <w:tabs>
        <w:tab w:val="center" w:pos="4680"/>
        <w:tab w:val="right" w:pos="9360"/>
      </w:tabs>
    </w:pPr>
  </w:style>
  <w:style w:type="character" w:customStyle="1" w:styleId="HeaderChar">
    <w:name w:val="Header Char"/>
    <w:basedOn w:val="DefaultParagraphFont"/>
    <w:link w:val="Header"/>
    <w:uiPriority w:val="99"/>
    <w:rsid w:val="00F75D00"/>
    <w:rPr>
      <w:rFonts w:ascii="Cambria" w:eastAsia="Cambria" w:hAnsi="Cambria" w:cs="Cambria"/>
    </w:rPr>
  </w:style>
  <w:style w:type="paragraph" w:styleId="Footer">
    <w:name w:val="footer"/>
    <w:basedOn w:val="Normal"/>
    <w:link w:val="FooterChar"/>
    <w:uiPriority w:val="99"/>
    <w:unhideWhenUsed/>
    <w:rsid w:val="00F75D00"/>
    <w:pPr>
      <w:tabs>
        <w:tab w:val="center" w:pos="4680"/>
        <w:tab w:val="right" w:pos="9360"/>
      </w:tabs>
    </w:pPr>
  </w:style>
  <w:style w:type="character" w:customStyle="1" w:styleId="FooterChar">
    <w:name w:val="Footer Char"/>
    <w:basedOn w:val="DefaultParagraphFont"/>
    <w:link w:val="Footer"/>
    <w:uiPriority w:val="99"/>
    <w:rsid w:val="00F75D00"/>
    <w:rPr>
      <w:rFonts w:ascii="Cambria" w:eastAsia="Cambria" w:hAnsi="Cambria" w:cs="Cambria"/>
    </w:rPr>
  </w:style>
  <w:style w:type="paragraph" w:styleId="FootnoteText">
    <w:name w:val="footnote text"/>
    <w:basedOn w:val="Normal"/>
    <w:link w:val="FootnoteTextChar"/>
    <w:uiPriority w:val="99"/>
    <w:semiHidden/>
    <w:unhideWhenUsed/>
    <w:rsid w:val="008A6074"/>
    <w:rPr>
      <w:sz w:val="20"/>
      <w:szCs w:val="20"/>
    </w:rPr>
  </w:style>
  <w:style w:type="character" w:customStyle="1" w:styleId="FootnoteTextChar">
    <w:name w:val="Footnote Text Char"/>
    <w:basedOn w:val="DefaultParagraphFont"/>
    <w:link w:val="FootnoteText"/>
    <w:uiPriority w:val="99"/>
    <w:semiHidden/>
    <w:rsid w:val="008A6074"/>
    <w:rPr>
      <w:rFonts w:ascii="Cambria" w:eastAsia="Cambria" w:hAnsi="Cambria" w:cs="Cambria"/>
      <w:sz w:val="20"/>
      <w:szCs w:val="20"/>
    </w:rPr>
  </w:style>
  <w:style w:type="character" w:styleId="FootnoteReference">
    <w:name w:val="footnote reference"/>
    <w:basedOn w:val="DefaultParagraphFont"/>
    <w:uiPriority w:val="99"/>
    <w:semiHidden/>
    <w:unhideWhenUsed/>
    <w:rsid w:val="008A6074"/>
    <w:rPr>
      <w:vertAlign w:val="superscript"/>
    </w:rPr>
  </w:style>
  <w:style w:type="character" w:styleId="Hyperlink">
    <w:name w:val="Hyperlink"/>
    <w:basedOn w:val="DefaultParagraphFont"/>
    <w:uiPriority w:val="99"/>
    <w:unhideWhenUsed/>
    <w:rsid w:val="00A97379"/>
    <w:rPr>
      <w:color w:val="0000FF" w:themeColor="hyperlink"/>
      <w:u w:val="single"/>
    </w:rPr>
  </w:style>
  <w:style w:type="character" w:styleId="UnresolvedMention">
    <w:name w:val="Unresolved Mention"/>
    <w:basedOn w:val="DefaultParagraphFont"/>
    <w:uiPriority w:val="99"/>
    <w:semiHidden/>
    <w:unhideWhenUsed/>
    <w:rsid w:val="00A97379"/>
    <w:rPr>
      <w:color w:val="605E5C"/>
      <w:shd w:val="clear" w:color="auto" w:fill="E1DFDD"/>
    </w:rPr>
  </w:style>
  <w:style w:type="table" w:styleId="TableGrid">
    <w:name w:val="Table Grid"/>
    <w:basedOn w:val="TableNormal"/>
    <w:uiPriority w:val="39"/>
    <w:rsid w:val="00895E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iccat.int/Documents/Recs/compendiopdf-f/2023-07-f.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ccat.int/Documents/Recs/compendiopdf-f/2024-05-f.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ccat.int/Documents/Recs/compendiopdf-f/2022-10-f.pdf"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iccat.int/Documents/CVSP/CV074_2017/n_6/CV07406237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BD5204-CC04-441A-92BB-1876ADDE53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2040</Words>
  <Characters>11631</Characters>
  <Application>Microsoft Office Word</Application>
  <DocSecurity>0</DocSecurity>
  <Lines>96</Lines>
  <Paragraphs>27</Paragraphs>
  <ScaleCrop>false</ScaleCrop>
  <Company/>
  <LinksUpToDate>false</LinksUpToDate>
  <CharactersWithSpaces>13644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2025-11-11T11:49:00Z</dcterms:created>
  <dcterms:modified xsi:type="dcterms:W3CDTF">2025-11-11T13:16:00Z</dcterms:modified>
</cp:coreProperties>
</file>