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343C" w14:textId="77777777" w:rsidR="00D0462D" w:rsidRPr="00D0462D" w:rsidRDefault="00D0462D" w:rsidP="00D0462D">
      <w:pPr>
        <w:widowControl/>
        <w:spacing w:line="276" w:lineRule="auto"/>
        <w:jc w:val="center"/>
        <w:rPr>
          <w:rFonts w:ascii="Cambria" w:eastAsia="Cambria" w:hAnsi="Cambria" w:cs="Cambria"/>
          <w:b/>
          <w:sz w:val="20"/>
        </w:rPr>
      </w:pPr>
      <w:r w:rsidRPr="00D0462D">
        <w:rPr>
          <w:rFonts w:ascii="Cambria" w:eastAsia="Cambria" w:hAnsi="Cambria" w:cs="Cambria"/>
          <w:b/>
          <w:sz w:val="20"/>
        </w:rPr>
        <w:t>Portada para acompañar nuevas propuestas</w:t>
      </w:r>
    </w:p>
    <w:p w14:paraId="28ACA469" w14:textId="77777777" w:rsidR="00D0462D" w:rsidRPr="00D0462D" w:rsidRDefault="00D0462D" w:rsidP="00D0462D">
      <w:pPr>
        <w:widowControl/>
        <w:spacing w:line="276" w:lineRule="auto"/>
        <w:jc w:val="center"/>
        <w:rPr>
          <w:rFonts w:ascii="Cambria" w:eastAsia="Cambria" w:hAnsi="Cambria" w:cs="Cambria"/>
          <w:b/>
          <w:sz w:val="20"/>
        </w:rPr>
      </w:pPr>
    </w:p>
    <w:p w14:paraId="61141EED" w14:textId="7DAE66CD" w:rsidR="00D0462D" w:rsidRPr="00EA15ED" w:rsidRDefault="00D0462D" w:rsidP="00D0462D">
      <w:pPr>
        <w:widowControl/>
        <w:spacing w:line="276" w:lineRule="auto"/>
        <w:jc w:val="center"/>
        <w:rPr>
          <w:rFonts w:ascii="Cambria" w:eastAsia="Cambria" w:hAnsi="Cambria" w:cs="Cambria"/>
          <w:bCs/>
          <w:i/>
          <w:iCs/>
          <w:sz w:val="20"/>
        </w:rPr>
      </w:pPr>
      <w:r w:rsidRPr="00D0462D">
        <w:rPr>
          <w:rFonts w:ascii="Cambria" w:eastAsia="Cambria" w:hAnsi="Cambria" w:cs="Cambria"/>
          <w:bCs/>
          <w:i/>
          <w:iCs/>
          <w:sz w:val="20"/>
        </w:rPr>
        <w:t>(presentado por Canadá</w:t>
      </w:r>
      <w:r w:rsidRPr="00EA15ED">
        <w:rPr>
          <w:rFonts w:ascii="Cambria" w:eastAsia="Cambria" w:hAnsi="Cambria" w:cs="Cambria"/>
          <w:bCs/>
          <w:i/>
          <w:iCs/>
          <w:sz w:val="20"/>
        </w:rPr>
        <w:t>)</w:t>
      </w:r>
    </w:p>
    <w:p w14:paraId="021B9B03" w14:textId="77777777" w:rsidR="00D0462D" w:rsidRPr="00D0462D" w:rsidRDefault="00D0462D" w:rsidP="00D0462D">
      <w:pPr>
        <w:widowControl/>
        <w:spacing w:line="276" w:lineRule="auto"/>
        <w:jc w:val="center"/>
        <w:rPr>
          <w:rFonts w:ascii="Cambria" w:eastAsia="Cambria" w:hAnsi="Cambria" w:cs="Cambria"/>
          <w:bCs/>
          <w:i/>
          <w:iCs/>
          <w:spacing w:val="-2"/>
          <w:sz w:val="20"/>
          <w:szCs w:val="20"/>
        </w:rPr>
      </w:pPr>
    </w:p>
    <w:p w14:paraId="0C46A56A" w14:textId="460AF742" w:rsidR="00D0462D" w:rsidRPr="00EA15ED" w:rsidRDefault="00D0462D" w:rsidP="00D0462D">
      <w:pPr>
        <w:jc w:val="both"/>
        <w:rPr>
          <w:rFonts w:ascii="Cambria" w:eastAsia="Arial" w:hAnsi="Cambria" w:cs="Arial"/>
          <w:bCs/>
          <w:color w:val="FF0000"/>
          <w:sz w:val="20"/>
          <w:szCs w:val="20"/>
        </w:rPr>
      </w:pPr>
      <w:r w:rsidRPr="00D0462D">
        <w:rPr>
          <w:rFonts w:ascii="Cambria" w:eastAsia="Cambria" w:hAnsi="Cambria" w:cs="Cambria"/>
          <w:b/>
          <w:sz w:val="20"/>
        </w:rPr>
        <w:t>Título de la propuesta de Proyecto de Recomendación/Resolución:</w:t>
      </w:r>
      <w:r w:rsidRPr="00D0462D">
        <w:rPr>
          <w:rFonts w:ascii="Cambria" w:eastAsia="Cambria" w:hAnsi="Cambria" w:cs="Cambria"/>
          <w:bCs/>
          <w:color w:val="FF0000"/>
          <w:sz w:val="20"/>
        </w:rPr>
        <w:t xml:space="preserve"> </w:t>
      </w:r>
      <w:r w:rsidRPr="00EA15ED">
        <w:rPr>
          <w:rFonts w:ascii="Cambria" w:eastAsia="Arial" w:hAnsi="Cambria" w:cs="Arial"/>
          <w:bCs/>
          <w:color w:val="FF0000"/>
          <w:sz w:val="20"/>
          <w:szCs w:val="20"/>
        </w:rPr>
        <w:t>Proyecto de Recomendación de ICCAT para un plan de conservación y ordenación para el atún rojo del Atlántico oeste</w:t>
      </w:r>
    </w:p>
    <w:p w14:paraId="5BF35E76" w14:textId="0D449021" w:rsidR="00D0462D" w:rsidRPr="00D0462D" w:rsidRDefault="00D0462D" w:rsidP="00D0462D">
      <w:pPr>
        <w:jc w:val="both"/>
        <w:rPr>
          <w:rFonts w:ascii="Cambria" w:eastAsia="Arial" w:hAnsi="Cambria" w:cs="Arial"/>
          <w:bCs/>
          <w:i/>
          <w:iCs/>
          <w:color w:val="FF0000"/>
          <w:sz w:val="20"/>
          <w:szCs w:val="20"/>
        </w:rPr>
      </w:pPr>
    </w:p>
    <w:p w14:paraId="16C5B8B8" w14:textId="77777777" w:rsidR="009B4E47" w:rsidRPr="00EA15ED" w:rsidRDefault="00D0462D" w:rsidP="00D0462D">
      <w:pPr>
        <w:autoSpaceDE w:val="0"/>
        <w:autoSpaceDN w:val="0"/>
        <w:jc w:val="both"/>
        <w:rPr>
          <w:rFonts w:ascii="Cambria" w:eastAsia="Cambria" w:hAnsi="Cambria" w:cs="Cambria"/>
          <w:b/>
          <w:sz w:val="20"/>
        </w:rPr>
      </w:pPr>
      <w:r w:rsidRPr="00D0462D">
        <w:rPr>
          <w:rFonts w:ascii="Cambria" w:eastAsia="Cambria" w:hAnsi="Cambria" w:cs="Cambria"/>
          <w:b/>
          <w:sz w:val="20"/>
        </w:rPr>
        <w:t xml:space="preserve">Título de la(s) recomendación(es) o resolución(es) actualmente vigente(s) que aborda(n) la misma cuestión o cuestiones relacionadas: </w:t>
      </w:r>
    </w:p>
    <w:p w14:paraId="15E079B4" w14:textId="77777777" w:rsidR="009B4E47" w:rsidRPr="00EA15ED" w:rsidRDefault="009B4E47" w:rsidP="00D0462D">
      <w:pPr>
        <w:autoSpaceDE w:val="0"/>
        <w:autoSpaceDN w:val="0"/>
        <w:jc w:val="both"/>
        <w:rPr>
          <w:rFonts w:ascii="Cambria" w:eastAsia="Cambria" w:hAnsi="Cambria" w:cs="Cambria"/>
          <w:b/>
          <w:sz w:val="20"/>
        </w:rPr>
      </w:pPr>
    </w:p>
    <w:p w14:paraId="7E6B819A" w14:textId="0CD2AF5F" w:rsidR="00D0462D" w:rsidRPr="00EA15ED" w:rsidRDefault="00D0462D" w:rsidP="00D0462D">
      <w:pPr>
        <w:autoSpaceDE w:val="0"/>
        <w:autoSpaceDN w:val="0"/>
        <w:jc w:val="both"/>
        <w:rPr>
          <w:rFonts w:ascii="Cambria" w:eastAsia="Cambria" w:hAnsi="Cambria" w:cs="Cambria"/>
          <w:bCs/>
          <w:color w:val="FF0000"/>
          <w:sz w:val="20"/>
        </w:rPr>
      </w:pPr>
      <w:r w:rsidRPr="00EA15ED">
        <w:rPr>
          <w:rFonts w:ascii="Cambria" w:eastAsia="Cambria" w:hAnsi="Cambria" w:cs="Cambria"/>
          <w:bCs/>
          <w:i/>
          <w:iCs/>
          <w:color w:val="FF0000"/>
          <w:sz w:val="20"/>
        </w:rPr>
        <w:t xml:space="preserve">Recomendación de ICCAT para un plan de conservación y ordenación para el atún rojo del Atlántico oeste </w:t>
      </w:r>
      <w:r w:rsidRPr="00EA15ED">
        <w:rPr>
          <w:rFonts w:ascii="Cambria" w:eastAsia="Cambria" w:hAnsi="Cambria" w:cs="Cambria"/>
          <w:bCs/>
          <w:color w:val="FF0000"/>
          <w:sz w:val="20"/>
        </w:rPr>
        <w:t>(Rec.</w:t>
      </w:r>
      <w:r w:rsidR="009B4E47" w:rsidRPr="00EA15ED">
        <w:rPr>
          <w:rFonts w:ascii="Cambria" w:eastAsia="Cambria" w:hAnsi="Cambria" w:cs="Cambria"/>
          <w:bCs/>
          <w:color w:val="FF0000"/>
          <w:sz w:val="20"/>
        </w:rPr>
        <w:t> </w:t>
      </w:r>
      <w:r w:rsidRPr="00EA15ED">
        <w:rPr>
          <w:rFonts w:ascii="Cambria" w:eastAsia="Cambria" w:hAnsi="Cambria" w:cs="Cambria"/>
          <w:bCs/>
          <w:color w:val="FF0000"/>
          <w:sz w:val="20"/>
        </w:rPr>
        <w:t>22-10)</w:t>
      </w:r>
    </w:p>
    <w:p w14:paraId="7FC6E1DC" w14:textId="77777777" w:rsidR="009B4E47" w:rsidRPr="00EA15ED" w:rsidRDefault="009B4E47" w:rsidP="00D0462D">
      <w:pPr>
        <w:autoSpaceDE w:val="0"/>
        <w:autoSpaceDN w:val="0"/>
        <w:jc w:val="both"/>
        <w:rPr>
          <w:rFonts w:ascii="Cambria" w:eastAsia="Cambria" w:hAnsi="Cambria" w:cs="Cambria"/>
          <w:bCs/>
          <w:color w:val="FF0000"/>
          <w:sz w:val="20"/>
        </w:rPr>
      </w:pPr>
    </w:p>
    <w:p w14:paraId="555C83EA" w14:textId="4FD5B55D" w:rsidR="009B4E47" w:rsidRPr="00D0462D" w:rsidRDefault="009B4E47" w:rsidP="00D0462D">
      <w:pPr>
        <w:autoSpaceDE w:val="0"/>
        <w:autoSpaceDN w:val="0"/>
        <w:jc w:val="both"/>
        <w:rPr>
          <w:rFonts w:ascii="Cambria" w:eastAsia="Cambria" w:hAnsi="Cambria" w:cs="Cambria"/>
          <w:bCs/>
          <w:color w:val="FF0000"/>
          <w:sz w:val="20"/>
        </w:rPr>
      </w:pPr>
      <w:r w:rsidRPr="00EA15ED">
        <w:rPr>
          <w:rFonts w:ascii="Cambria" w:eastAsia="Cambria" w:hAnsi="Cambria" w:cs="Cambria"/>
          <w:bCs/>
          <w:i/>
          <w:iCs/>
          <w:color w:val="FF0000"/>
          <w:sz w:val="20"/>
        </w:rPr>
        <w:t xml:space="preserve">Recomendación de ICCAT que modifica la Recomendación 22-09 que establece un procedimiento de ordenación para el atún rojo del Atlántico que se utilizará para las zonas de ordenación del Atlántico occidental y del Atlántico oriental y Mediterráneo </w:t>
      </w:r>
      <w:r w:rsidRPr="00EA15ED">
        <w:rPr>
          <w:rFonts w:ascii="Cambria" w:eastAsia="Cambria" w:hAnsi="Cambria" w:cs="Cambria"/>
          <w:bCs/>
          <w:color w:val="FF0000"/>
          <w:sz w:val="20"/>
        </w:rPr>
        <w:t>(Rec. 23-07)</w:t>
      </w:r>
    </w:p>
    <w:p w14:paraId="7D57F710" w14:textId="77777777" w:rsidR="00D0462D" w:rsidRPr="00D0462D" w:rsidRDefault="00D0462D" w:rsidP="00D0462D">
      <w:pPr>
        <w:autoSpaceDE w:val="0"/>
        <w:autoSpaceDN w:val="0"/>
        <w:ind w:left="318"/>
        <w:jc w:val="both"/>
        <w:rPr>
          <w:rFonts w:ascii="Cambria" w:eastAsia="Cambria" w:hAnsi="Cambria" w:cs="Cambria"/>
          <w:sz w:val="20"/>
          <w:szCs w:val="20"/>
        </w:rPr>
      </w:pPr>
    </w:p>
    <w:p w14:paraId="32AE2669" w14:textId="77777777" w:rsidR="00D0462D" w:rsidRPr="00D0462D" w:rsidRDefault="00D0462D" w:rsidP="00D0462D">
      <w:pPr>
        <w:autoSpaceDE w:val="0"/>
        <w:autoSpaceDN w:val="0"/>
        <w:ind w:left="318"/>
        <w:jc w:val="both"/>
        <w:rPr>
          <w:rFonts w:ascii="Cambria" w:eastAsia="Cambria" w:hAnsi="Cambria" w:cs="Cambria"/>
          <w:sz w:val="20"/>
          <w:szCs w:val="20"/>
        </w:rPr>
      </w:pPr>
    </w:p>
    <w:p w14:paraId="5E045EE3" w14:textId="77777777" w:rsidR="00D0462D" w:rsidRPr="00D0462D" w:rsidRDefault="00D0462D" w:rsidP="00D0462D">
      <w:pPr>
        <w:widowControl/>
        <w:numPr>
          <w:ilvl w:val="0"/>
          <w:numId w:val="8"/>
        </w:numPr>
        <w:autoSpaceDE w:val="0"/>
        <w:autoSpaceDN w:val="0"/>
        <w:spacing w:after="160" w:line="259" w:lineRule="auto"/>
        <w:ind w:left="426" w:hanging="426"/>
        <w:jc w:val="both"/>
        <w:rPr>
          <w:rFonts w:ascii="Cambria" w:eastAsia="Cambria" w:hAnsi="Cambria" w:cs="Cambria"/>
          <w:color w:val="FF0000"/>
          <w:sz w:val="20"/>
          <w:szCs w:val="20"/>
        </w:rPr>
      </w:pPr>
      <w:r w:rsidRPr="00D0462D">
        <w:rPr>
          <w:rFonts w:ascii="Cambria" w:eastAsia="Cambria" w:hAnsi="Cambria" w:cs="Cambria"/>
          <w:sz w:val="20"/>
        </w:rPr>
        <w:t xml:space="preserve">¿Crea nuevas </w:t>
      </w:r>
      <w:r w:rsidRPr="00D0462D">
        <w:rPr>
          <w:rFonts w:ascii="Cambria" w:eastAsia="Cambria" w:hAnsi="Cambria" w:cs="Cambria"/>
          <w:b/>
          <w:sz w:val="20"/>
        </w:rPr>
        <w:t xml:space="preserve">obligaciones de comunicación </w:t>
      </w:r>
      <w:r w:rsidRPr="00D0462D">
        <w:rPr>
          <w:rFonts w:ascii="Cambria" w:eastAsia="Cambria" w:hAnsi="Cambria" w:cs="Cambria"/>
          <w:sz w:val="20"/>
        </w:rPr>
        <w:t xml:space="preserve">para las CPC?     Sí </w:t>
      </w:r>
      <w:sdt>
        <w:sdtPr>
          <w:rPr>
            <w:rFonts w:ascii="Cambria" w:eastAsia="Cambria" w:hAnsi="Cambria" w:cs="Cambria"/>
            <w:sz w:val="20"/>
          </w:rPr>
          <w:id w:val="279852826"/>
          <w14:checkbox>
            <w14:checked w14:val="0"/>
            <w14:checkedState w14:val="2612" w14:font="MS Gothic"/>
            <w14:uncheckedState w14:val="2610" w14:font="MS Gothic"/>
          </w14:checkbox>
        </w:sdtPr>
        <w:sdtContent>
          <w:r w:rsidRPr="00D0462D">
            <w:rPr>
              <w:rFonts w:ascii="Segoe UI Symbol" w:eastAsia="Cambria" w:hAnsi="Segoe UI Symbol" w:cs="Segoe UI Symbol"/>
              <w:sz w:val="20"/>
            </w:rPr>
            <w:t>☐</w:t>
          </w:r>
        </w:sdtContent>
      </w:sdt>
      <w:r w:rsidRPr="00D0462D">
        <w:rPr>
          <w:rFonts w:ascii="Cambria" w:eastAsia="Cambria" w:hAnsi="Cambria" w:cs="Cambria"/>
          <w:sz w:val="20"/>
        </w:rPr>
        <w:tab/>
      </w:r>
      <w:r w:rsidRPr="00D0462D">
        <w:rPr>
          <w:rFonts w:ascii="Cambria" w:eastAsia="Cambria" w:hAnsi="Cambria" w:cs="Cambria"/>
          <w:color w:val="FF0000"/>
          <w:sz w:val="20"/>
        </w:rPr>
        <w:t xml:space="preserve">No </w:t>
      </w:r>
      <w:sdt>
        <w:sdtPr>
          <w:rPr>
            <w:rFonts w:ascii="Cambria" w:eastAsia="Cambria" w:hAnsi="Cambria" w:cs="Cambria"/>
            <w:color w:val="FF0000"/>
            <w:spacing w:val="-2"/>
            <w:sz w:val="20"/>
            <w:szCs w:val="20"/>
          </w:rPr>
          <w:id w:val="-1068185848"/>
          <w14:checkbox>
            <w14:checked w14:val="1"/>
            <w14:checkedState w14:val="2612" w14:font="MS Gothic"/>
            <w14:uncheckedState w14:val="2610" w14:font="MS Gothic"/>
          </w14:checkbox>
        </w:sdtPr>
        <w:sdtContent>
          <w:r w:rsidRPr="00D0462D">
            <w:rPr>
              <w:rFonts w:ascii="Segoe UI Symbol" w:eastAsia="Cambria" w:hAnsi="Segoe UI Symbol" w:cs="Segoe UI Symbol"/>
              <w:color w:val="FF0000"/>
              <w:spacing w:val="-2"/>
              <w:sz w:val="20"/>
              <w:szCs w:val="20"/>
            </w:rPr>
            <w:t>☒</w:t>
          </w:r>
        </w:sdtContent>
      </w:sdt>
    </w:p>
    <w:p w14:paraId="68B91503" w14:textId="77777777" w:rsidR="00D0462D" w:rsidRPr="00D0462D" w:rsidRDefault="00D0462D" w:rsidP="00D0462D">
      <w:pPr>
        <w:autoSpaceDE w:val="0"/>
        <w:autoSpaceDN w:val="0"/>
        <w:rPr>
          <w:rFonts w:ascii="Cambria" w:eastAsia="Cambria" w:hAnsi="Cambria" w:cs="Cambria"/>
          <w:sz w:val="20"/>
          <w:szCs w:val="20"/>
        </w:rPr>
      </w:pPr>
    </w:p>
    <w:p w14:paraId="1F67F92C" w14:textId="77777777" w:rsidR="00D0462D" w:rsidRPr="00D0462D" w:rsidRDefault="00D0462D" w:rsidP="00D0462D">
      <w:pPr>
        <w:autoSpaceDE w:val="0"/>
        <w:autoSpaceDN w:val="0"/>
        <w:ind w:left="426"/>
        <w:jc w:val="both"/>
        <w:rPr>
          <w:rFonts w:ascii="Cambria" w:eastAsia="Cambria" w:hAnsi="Cambria" w:cs="Cambria"/>
          <w:sz w:val="20"/>
        </w:rPr>
      </w:pPr>
      <w:r w:rsidRPr="00D0462D">
        <w:rPr>
          <w:rFonts w:ascii="Cambria" w:eastAsia="Cambria" w:hAnsi="Cambria" w:cs="Cambria"/>
          <w:sz w:val="20"/>
        </w:rPr>
        <w:t xml:space="preserve">Breve descripción de la(s) nueva(s) obligación(es) de comunicación: </w:t>
      </w:r>
    </w:p>
    <w:p w14:paraId="72CEC1BB" w14:textId="77777777" w:rsidR="00D0462D" w:rsidRPr="00D0462D" w:rsidRDefault="00D0462D" w:rsidP="00D0462D">
      <w:pPr>
        <w:autoSpaceDE w:val="0"/>
        <w:autoSpaceDN w:val="0"/>
        <w:ind w:left="426"/>
        <w:jc w:val="both"/>
        <w:rPr>
          <w:rFonts w:ascii="Cambria" w:eastAsia="Cambria" w:hAnsi="Cambria" w:cs="Cambria"/>
          <w:color w:val="FF0000"/>
          <w:sz w:val="20"/>
        </w:rPr>
      </w:pPr>
    </w:p>
    <w:p w14:paraId="7BE96138" w14:textId="77777777" w:rsidR="00D0462D" w:rsidRPr="00D0462D" w:rsidRDefault="00D0462D" w:rsidP="00D0462D">
      <w:pPr>
        <w:autoSpaceDE w:val="0"/>
        <w:autoSpaceDN w:val="0"/>
        <w:rPr>
          <w:rFonts w:ascii="Cambria" w:eastAsia="Cambria" w:hAnsi="Cambria" w:cs="Cambria"/>
          <w:sz w:val="20"/>
          <w:szCs w:val="20"/>
        </w:rPr>
      </w:pPr>
    </w:p>
    <w:p w14:paraId="4343ABA9" w14:textId="77777777" w:rsidR="00D0462D" w:rsidRPr="00D0462D" w:rsidRDefault="00D0462D" w:rsidP="00D0462D">
      <w:pPr>
        <w:widowControl/>
        <w:numPr>
          <w:ilvl w:val="0"/>
          <w:numId w:val="8"/>
        </w:numPr>
        <w:tabs>
          <w:tab w:val="left" w:pos="6804"/>
        </w:tabs>
        <w:autoSpaceDE w:val="0"/>
        <w:autoSpaceDN w:val="0"/>
        <w:spacing w:after="160" w:line="259" w:lineRule="auto"/>
        <w:ind w:left="426" w:hanging="426"/>
        <w:jc w:val="both"/>
        <w:rPr>
          <w:rFonts w:ascii="Cambria" w:eastAsia="Cambria" w:hAnsi="Cambria" w:cs="Cambria"/>
          <w:sz w:val="20"/>
          <w:szCs w:val="20"/>
        </w:rPr>
      </w:pPr>
      <w:r w:rsidRPr="00D0462D">
        <w:rPr>
          <w:rFonts w:ascii="Cambria" w:eastAsia="Cambria" w:hAnsi="Cambria" w:cs="Cambria"/>
          <w:sz w:val="20"/>
        </w:rPr>
        <w:t xml:space="preserve">¿Requiere aportaciones o </w:t>
      </w:r>
      <w:r w:rsidRPr="00D0462D">
        <w:rPr>
          <w:rFonts w:ascii="Cambria" w:eastAsia="Cambria" w:hAnsi="Cambria" w:cs="Cambria"/>
          <w:b/>
          <w:sz w:val="20"/>
        </w:rPr>
        <w:t xml:space="preserve">trabajo </w:t>
      </w:r>
      <w:r w:rsidRPr="00D0462D">
        <w:rPr>
          <w:rFonts w:ascii="Cambria" w:eastAsia="Cambria" w:hAnsi="Cambria" w:cs="Cambria"/>
          <w:bCs/>
          <w:sz w:val="20"/>
        </w:rPr>
        <w:t>adicional</w:t>
      </w:r>
      <w:r w:rsidRPr="00D0462D">
        <w:rPr>
          <w:rFonts w:ascii="Cambria" w:eastAsia="Cambria" w:hAnsi="Cambria" w:cs="Cambria"/>
          <w:b/>
          <w:sz w:val="20"/>
        </w:rPr>
        <w:t xml:space="preserve"> por parte del SCRS</w:t>
      </w:r>
      <w:r w:rsidRPr="00D0462D">
        <w:rPr>
          <w:rFonts w:ascii="Cambria" w:eastAsia="Cambria" w:hAnsi="Cambria" w:cs="Cambria"/>
          <w:sz w:val="20"/>
        </w:rPr>
        <w:t xml:space="preserve">?  Sí </w:t>
      </w:r>
      <w:sdt>
        <w:sdtPr>
          <w:rPr>
            <w:rFonts w:ascii="Cambria" w:eastAsia="Cambria" w:hAnsi="Cambria" w:cs="Cambria"/>
            <w:sz w:val="20"/>
          </w:rPr>
          <w:id w:val="89124157"/>
          <w14:checkbox>
            <w14:checked w14:val="0"/>
            <w14:checkedState w14:val="2612" w14:font="MS Gothic"/>
            <w14:uncheckedState w14:val="2610" w14:font="MS Gothic"/>
          </w14:checkbox>
        </w:sdtPr>
        <w:sdtContent>
          <w:r w:rsidRPr="00D0462D">
            <w:rPr>
              <w:rFonts w:ascii="Segoe UI Symbol" w:eastAsia="Cambria" w:hAnsi="Segoe UI Symbol" w:cs="Segoe UI Symbol"/>
              <w:sz w:val="20"/>
            </w:rPr>
            <w:t>☐</w:t>
          </w:r>
        </w:sdtContent>
      </w:sdt>
      <w:r w:rsidRPr="00D0462D">
        <w:rPr>
          <w:rFonts w:ascii="Cambria" w:eastAsia="Cambria" w:hAnsi="Cambria" w:cs="Cambria"/>
          <w:sz w:val="20"/>
        </w:rPr>
        <w:tab/>
      </w:r>
      <w:r w:rsidRPr="00D0462D">
        <w:rPr>
          <w:rFonts w:ascii="Cambria" w:eastAsia="Cambria" w:hAnsi="Cambria" w:cs="Cambria"/>
          <w:color w:val="FF0000"/>
          <w:sz w:val="20"/>
        </w:rPr>
        <w:t xml:space="preserve">No </w:t>
      </w:r>
      <w:sdt>
        <w:sdtPr>
          <w:rPr>
            <w:rFonts w:ascii="Cambria" w:eastAsia="Cambria" w:hAnsi="Cambria" w:cs="Cambria"/>
            <w:color w:val="FF0000"/>
            <w:spacing w:val="-2"/>
            <w:sz w:val="20"/>
            <w:szCs w:val="20"/>
          </w:rPr>
          <w:id w:val="-1209718574"/>
          <w14:checkbox>
            <w14:checked w14:val="1"/>
            <w14:checkedState w14:val="2612" w14:font="MS Gothic"/>
            <w14:uncheckedState w14:val="2610" w14:font="MS Gothic"/>
          </w14:checkbox>
        </w:sdtPr>
        <w:sdtContent>
          <w:r w:rsidRPr="00D0462D">
            <w:rPr>
              <w:rFonts w:ascii="Segoe UI Symbol" w:eastAsia="Cambria" w:hAnsi="Segoe UI Symbol" w:cs="Segoe UI Symbol"/>
              <w:color w:val="FF0000"/>
              <w:spacing w:val="-2"/>
              <w:sz w:val="20"/>
              <w:szCs w:val="20"/>
            </w:rPr>
            <w:t>☒</w:t>
          </w:r>
        </w:sdtContent>
      </w:sdt>
    </w:p>
    <w:p w14:paraId="161D583A" w14:textId="77777777" w:rsidR="00D0462D" w:rsidRPr="00D0462D" w:rsidRDefault="00D0462D" w:rsidP="00D0462D">
      <w:pPr>
        <w:autoSpaceDE w:val="0"/>
        <w:autoSpaceDN w:val="0"/>
        <w:ind w:left="360"/>
        <w:rPr>
          <w:rFonts w:ascii="Cambria" w:eastAsia="Cambria" w:hAnsi="Cambria" w:cs="Cambria"/>
          <w:sz w:val="20"/>
          <w:szCs w:val="20"/>
        </w:rPr>
      </w:pPr>
    </w:p>
    <w:p w14:paraId="7ECE56C6" w14:textId="77777777" w:rsidR="00D0462D" w:rsidRPr="00D0462D" w:rsidRDefault="00D0462D" w:rsidP="00D0462D">
      <w:pPr>
        <w:tabs>
          <w:tab w:val="left" w:pos="6804"/>
          <w:tab w:val="left" w:pos="7371"/>
        </w:tabs>
        <w:autoSpaceDE w:val="0"/>
        <w:autoSpaceDN w:val="0"/>
        <w:ind w:left="360" w:firstLine="66"/>
        <w:jc w:val="both"/>
        <w:rPr>
          <w:rFonts w:ascii="Cambria" w:eastAsia="Cambria" w:hAnsi="Cambria" w:cs="Cambria"/>
          <w:sz w:val="20"/>
          <w:szCs w:val="20"/>
        </w:rPr>
      </w:pPr>
      <w:r w:rsidRPr="00D0462D">
        <w:rPr>
          <w:rFonts w:ascii="Cambria" w:eastAsia="Cambria" w:hAnsi="Cambria" w:cs="Cambria"/>
          <w:sz w:val="20"/>
        </w:rPr>
        <w:t>¿Está este trabajo ya incluido en el Plan de trabajo actual del SCRS?</w:t>
      </w:r>
      <w:r w:rsidRPr="00D0462D">
        <w:rPr>
          <w:rFonts w:ascii="Cambria" w:eastAsia="Cambria" w:hAnsi="Cambria" w:cs="Cambria"/>
          <w:sz w:val="20"/>
        </w:rPr>
        <w:tab/>
        <w:t xml:space="preserve">Sí </w:t>
      </w:r>
      <w:sdt>
        <w:sdtPr>
          <w:rPr>
            <w:rFonts w:ascii="Cambria" w:eastAsia="Cambria" w:hAnsi="Cambria" w:cs="Cambria"/>
            <w:sz w:val="20"/>
          </w:rPr>
          <w:id w:val="-1260672485"/>
          <w14:checkbox>
            <w14:checked w14:val="0"/>
            <w14:checkedState w14:val="2612" w14:font="MS Gothic"/>
            <w14:uncheckedState w14:val="2610" w14:font="MS Gothic"/>
          </w14:checkbox>
        </w:sdtPr>
        <w:sdtContent>
          <w:r w:rsidRPr="00D0462D">
            <w:rPr>
              <w:rFonts w:ascii="Segoe UI Symbol" w:eastAsia="Cambria" w:hAnsi="Segoe UI Symbol" w:cs="Segoe UI Symbol"/>
              <w:sz w:val="20"/>
            </w:rPr>
            <w:t>☐</w:t>
          </w:r>
        </w:sdtContent>
      </w:sdt>
      <w:r w:rsidRPr="00D0462D">
        <w:rPr>
          <w:rFonts w:ascii="Cambria" w:eastAsia="Cambria" w:hAnsi="Cambria" w:cs="Cambria"/>
          <w:sz w:val="20"/>
        </w:rPr>
        <w:tab/>
      </w:r>
      <w:r w:rsidRPr="00D0462D">
        <w:rPr>
          <w:rFonts w:ascii="Cambria" w:eastAsia="Cambria" w:hAnsi="Cambria" w:cs="Cambria"/>
          <w:color w:val="000000"/>
          <w:sz w:val="20"/>
        </w:rPr>
        <w:t xml:space="preserve">No </w:t>
      </w:r>
      <w:sdt>
        <w:sdtPr>
          <w:rPr>
            <w:rFonts w:ascii="Cambria" w:eastAsia="Cambria" w:hAnsi="Cambria" w:cs="Cambria"/>
            <w:color w:val="000000"/>
            <w:spacing w:val="-2"/>
            <w:sz w:val="20"/>
            <w:szCs w:val="20"/>
          </w:rPr>
          <w:id w:val="818388141"/>
          <w14:checkbox>
            <w14:checked w14:val="0"/>
            <w14:checkedState w14:val="2612" w14:font="MS Gothic"/>
            <w14:uncheckedState w14:val="2610" w14:font="MS Gothic"/>
          </w14:checkbox>
        </w:sdtPr>
        <w:sdtContent>
          <w:r w:rsidRPr="00D0462D">
            <w:rPr>
              <w:rFonts w:ascii="Segoe UI Symbol" w:eastAsia="Cambria" w:hAnsi="Segoe UI Symbol" w:cs="Segoe UI Symbol"/>
              <w:color w:val="000000"/>
              <w:spacing w:val="-2"/>
              <w:sz w:val="20"/>
              <w:szCs w:val="20"/>
            </w:rPr>
            <w:t>☐</w:t>
          </w:r>
        </w:sdtContent>
      </w:sdt>
    </w:p>
    <w:p w14:paraId="4CE3E27D" w14:textId="77777777" w:rsidR="00D0462D" w:rsidRPr="00D0462D" w:rsidRDefault="00D0462D" w:rsidP="00D0462D">
      <w:pPr>
        <w:autoSpaceDE w:val="0"/>
        <w:autoSpaceDN w:val="0"/>
        <w:ind w:left="360"/>
        <w:rPr>
          <w:rFonts w:ascii="Cambria" w:eastAsia="Cambria" w:hAnsi="Cambria" w:cs="Cambria"/>
          <w:sz w:val="20"/>
          <w:szCs w:val="20"/>
        </w:rPr>
      </w:pPr>
    </w:p>
    <w:p w14:paraId="5D74B94A" w14:textId="77777777" w:rsidR="00D0462D" w:rsidRPr="00D0462D" w:rsidRDefault="00D0462D" w:rsidP="00D0462D">
      <w:pPr>
        <w:autoSpaceDE w:val="0"/>
        <w:autoSpaceDN w:val="0"/>
        <w:ind w:left="360"/>
        <w:jc w:val="both"/>
        <w:rPr>
          <w:rFonts w:ascii="Cambria" w:eastAsia="Cambria" w:hAnsi="Cambria" w:cs="Cambria"/>
          <w:sz w:val="20"/>
          <w:szCs w:val="20"/>
        </w:rPr>
      </w:pPr>
      <w:r w:rsidRPr="00D0462D">
        <w:rPr>
          <w:rFonts w:ascii="Cambria" w:eastAsia="Cambria" w:hAnsi="Cambria" w:cs="Cambria"/>
          <w:sz w:val="20"/>
        </w:rPr>
        <w:t xml:space="preserve">Breve descripción del nuevo trabajo científico necesario (es decir, evaluación del stock, análisis, consultor externo): </w:t>
      </w:r>
      <w:r w:rsidRPr="00D0462D">
        <w:rPr>
          <w:rFonts w:ascii="Cambria" w:eastAsia="Cambria" w:hAnsi="Cambria" w:cs="Cambria"/>
          <w:color w:val="FF0000"/>
          <w:sz w:val="20"/>
        </w:rPr>
        <w:t>No aplicable</w:t>
      </w:r>
    </w:p>
    <w:p w14:paraId="61F52A97" w14:textId="77777777" w:rsidR="00D0462D" w:rsidRPr="00D0462D" w:rsidRDefault="00D0462D" w:rsidP="00D0462D">
      <w:pPr>
        <w:autoSpaceDE w:val="0"/>
        <w:autoSpaceDN w:val="0"/>
        <w:ind w:left="318"/>
        <w:rPr>
          <w:rFonts w:ascii="Cambria" w:eastAsia="Cambria" w:hAnsi="Cambria" w:cs="Cambria"/>
          <w:sz w:val="20"/>
          <w:szCs w:val="20"/>
        </w:rPr>
      </w:pPr>
    </w:p>
    <w:p w14:paraId="156FD37A" w14:textId="77777777" w:rsidR="00D0462D" w:rsidRPr="00D0462D" w:rsidRDefault="00D0462D" w:rsidP="00D0462D">
      <w:pPr>
        <w:autoSpaceDE w:val="0"/>
        <w:autoSpaceDN w:val="0"/>
        <w:ind w:left="318"/>
        <w:rPr>
          <w:rFonts w:ascii="Cambria" w:eastAsia="Cambria" w:hAnsi="Cambria" w:cs="Cambria"/>
          <w:sz w:val="20"/>
          <w:szCs w:val="20"/>
        </w:rPr>
      </w:pPr>
    </w:p>
    <w:p w14:paraId="7E10A304" w14:textId="77777777" w:rsidR="00D0462D" w:rsidRPr="00D0462D" w:rsidRDefault="00D0462D" w:rsidP="00D0462D">
      <w:pPr>
        <w:widowControl/>
        <w:numPr>
          <w:ilvl w:val="0"/>
          <w:numId w:val="8"/>
        </w:numPr>
        <w:autoSpaceDE w:val="0"/>
        <w:autoSpaceDN w:val="0"/>
        <w:spacing w:after="160" w:line="259" w:lineRule="auto"/>
        <w:ind w:left="426" w:hanging="426"/>
        <w:jc w:val="both"/>
        <w:rPr>
          <w:rFonts w:ascii="Cambria" w:eastAsia="Cambria" w:hAnsi="Cambria" w:cs="Cambria"/>
          <w:sz w:val="20"/>
          <w:szCs w:val="20"/>
        </w:rPr>
      </w:pPr>
      <w:r w:rsidRPr="00D0462D">
        <w:rPr>
          <w:rFonts w:ascii="Cambria" w:eastAsia="Cambria" w:hAnsi="Cambria" w:cs="Cambria"/>
          <w:sz w:val="20"/>
        </w:rPr>
        <w:t xml:space="preserve">¿Implica la creación de un </w:t>
      </w:r>
      <w:r w:rsidRPr="00D0462D">
        <w:rPr>
          <w:rFonts w:ascii="Cambria" w:eastAsia="Cambria" w:hAnsi="Cambria" w:cs="Cambria"/>
          <w:b/>
          <w:sz w:val="20"/>
        </w:rPr>
        <w:t>nuevo grupo de trabajo o proceso intersesiones</w:t>
      </w:r>
      <w:r w:rsidRPr="00D0462D">
        <w:rPr>
          <w:rFonts w:ascii="Cambria" w:eastAsia="Cambria" w:hAnsi="Cambria" w:cs="Cambria"/>
          <w:sz w:val="20"/>
        </w:rPr>
        <w:t xml:space="preserve">?    Sí </w:t>
      </w:r>
      <w:sdt>
        <w:sdtPr>
          <w:rPr>
            <w:rFonts w:ascii="Cambria" w:eastAsia="Cambria" w:hAnsi="Cambria" w:cs="Cambria"/>
            <w:sz w:val="20"/>
          </w:rPr>
          <w:id w:val="1144702017"/>
          <w14:checkbox>
            <w14:checked w14:val="0"/>
            <w14:checkedState w14:val="2612" w14:font="MS Gothic"/>
            <w14:uncheckedState w14:val="2610" w14:font="MS Gothic"/>
          </w14:checkbox>
        </w:sdtPr>
        <w:sdtContent>
          <w:r w:rsidRPr="00D0462D">
            <w:rPr>
              <w:rFonts w:ascii="Segoe UI Symbol" w:eastAsia="Cambria" w:hAnsi="Segoe UI Symbol" w:cs="Segoe UI Symbol"/>
              <w:sz w:val="20"/>
            </w:rPr>
            <w:t>☐</w:t>
          </w:r>
        </w:sdtContent>
      </w:sdt>
      <w:r w:rsidRPr="00D0462D">
        <w:rPr>
          <w:rFonts w:ascii="Cambria" w:eastAsia="Cambria" w:hAnsi="Cambria" w:cs="Cambria"/>
          <w:sz w:val="20"/>
        </w:rPr>
        <w:tab/>
      </w:r>
      <w:r w:rsidRPr="00D0462D">
        <w:rPr>
          <w:rFonts w:ascii="Cambria" w:eastAsia="Cambria" w:hAnsi="Cambria" w:cs="Cambria"/>
          <w:color w:val="FF0000"/>
          <w:sz w:val="20"/>
        </w:rPr>
        <w:t xml:space="preserve">No </w:t>
      </w:r>
      <w:sdt>
        <w:sdtPr>
          <w:rPr>
            <w:rFonts w:ascii="Cambria" w:eastAsia="Cambria" w:hAnsi="Cambria" w:cs="Cambria"/>
            <w:color w:val="FF0000"/>
            <w:spacing w:val="-2"/>
            <w:sz w:val="20"/>
            <w:szCs w:val="20"/>
          </w:rPr>
          <w:id w:val="1655565838"/>
          <w14:checkbox>
            <w14:checked w14:val="1"/>
            <w14:checkedState w14:val="2612" w14:font="MS Gothic"/>
            <w14:uncheckedState w14:val="2610" w14:font="MS Gothic"/>
          </w14:checkbox>
        </w:sdtPr>
        <w:sdtContent>
          <w:r w:rsidRPr="00D0462D">
            <w:rPr>
              <w:rFonts w:ascii="Segoe UI Symbol" w:eastAsia="Cambria" w:hAnsi="Segoe UI Symbol" w:cs="Segoe UI Symbol"/>
              <w:color w:val="FF0000"/>
              <w:spacing w:val="-2"/>
              <w:sz w:val="20"/>
              <w:szCs w:val="20"/>
            </w:rPr>
            <w:t>☒</w:t>
          </w:r>
        </w:sdtContent>
      </w:sdt>
    </w:p>
    <w:p w14:paraId="5F4ADD64" w14:textId="77777777" w:rsidR="00D0462D" w:rsidRPr="00D0462D" w:rsidRDefault="00D0462D" w:rsidP="00D0462D">
      <w:pPr>
        <w:autoSpaceDE w:val="0"/>
        <w:autoSpaceDN w:val="0"/>
        <w:ind w:left="318"/>
        <w:rPr>
          <w:rFonts w:ascii="Cambria" w:eastAsia="Cambria" w:hAnsi="Cambria" w:cs="Cambria"/>
          <w:sz w:val="20"/>
          <w:szCs w:val="20"/>
        </w:rPr>
      </w:pPr>
    </w:p>
    <w:p w14:paraId="561C38CB" w14:textId="77777777" w:rsidR="00D0462D" w:rsidRPr="00D0462D" w:rsidRDefault="00D0462D" w:rsidP="00D0462D">
      <w:pPr>
        <w:autoSpaceDE w:val="0"/>
        <w:autoSpaceDN w:val="0"/>
        <w:ind w:left="318"/>
        <w:rPr>
          <w:rFonts w:ascii="Cambria" w:eastAsia="Cambria" w:hAnsi="Cambria" w:cs="Cambria"/>
          <w:sz w:val="20"/>
          <w:szCs w:val="20"/>
        </w:rPr>
      </w:pPr>
    </w:p>
    <w:p w14:paraId="13BB9A11" w14:textId="77777777" w:rsidR="00D0462D" w:rsidRPr="00D0462D" w:rsidRDefault="00D0462D" w:rsidP="00D0462D">
      <w:pPr>
        <w:widowControl/>
        <w:numPr>
          <w:ilvl w:val="0"/>
          <w:numId w:val="8"/>
        </w:numPr>
        <w:autoSpaceDE w:val="0"/>
        <w:autoSpaceDN w:val="0"/>
        <w:spacing w:after="160" w:line="259" w:lineRule="auto"/>
        <w:ind w:left="426" w:hanging="426"/>
        <w:jc w:val="both"/>
        <w:rPr>
          <w:rFonts w:ascii="Cambria" w:eastAsia="Cambria" w:hAnsi="Cambria" w:cs="Cambria"/>
          <w:sz w:val="20"/>
          <w:szCs w:val="20"/>
        </w:rPr>
      </w:pPr>
      <w:r w:rsidRPr="00D0462D">
        <w:rPr>
          <w:rFonts w:ascii="Cambria" w:eastAsia="Cambria" w:hAnsi="Cambria" w:cs="Cambria"/>
          <w:sz w:val="20"/>
        </w:rPr>
        <w:t xml:space="preserve">¿Requiere un nuevo </w:t>
      </w:r>
      <w:r w:rsidRPr="00D0462D">
        <w:rPr>
          <w:rFonts w:ascii="Cambria" w:eastAsia="Cambria" w:hAnsi="Cambria" w:cs="Cambria"/>
          <w:b/>
          <w:sz w:val="20"/>
        </w:rPr>
        <w:t>programa o actividades adicionales que deba gestionar la Secretaría</w:t>
      </w:r>
      <w:r w:rsidRPr="00D0462D">
        <w:rPr>
          <w:rFonts w:ascii="Cambria" w:eastAsia="Cambria" w:hAnsi="Cambria" w:cs="Cambria"/>
          <w:sz w:val="20"/>
        </w:rPr>
        <w:t xml:space="preserve">?  </w:t>
      </w:r>
    </w:p>
    <w:p w14:paraId="1F123B3F" w14:textId="77777777" w:rsidR="00D0462D" w:rsidRPr="00D0462D" w:rsidRDefault="00D0462D" w:rsidP="00D0462D">
      <w:pPr>
        <w:autoSpaceDE w:val="0"/>
        <w:autoSpaceDN w:val="0"/>
        <w:ind w:left="426"/>
        <w:rPr>
          <w:rFonts w:ascii="Cambria" w:eastAsia="Cambria" w:hAnsi="Cambria" w:cs="Cambria"/>
          <w:spacing w:val="-2"/>
          <w:sz w:val="20"/>
          <w:szCs w:val="20"/>
        </w:rPr>
      </w:pPr>
    </w:p>
    <w:p w14:paraId="197794CA" w14:textId="77777777" w:rsidR="00D0462D" w:rsidRPr="00D0462D" w:rsidRDefault="00D0462D" w:rsidP="00D0462D">
      <w:pPr>
        <w:autoSpaceDE w:val="0"/>
        <w:autoSpaceDN w:val="0"/>
        <w:ind w:left="318"/>
        <w:rPr>
          <w:rFonts w:ascii="Cambria" w:eastAsia="Cambria" w:hAnsi="Cambria" w:cs="Cambria"/>
          <w:color w:val="FF0000"/>
          <w:spacing w:val="-2"/>
          <w:sz w:val="20"/>
          <w:szCs w:val="20"/>
        </w:rPr>
      </w:pPr>
      <w:r w:rsidRPr="00D0462D">
        <w:rPr>
          <w:rFonts w:ascii="Cambria" w:eastAsia="Cambria" w:hAnsi="Cambria" w:cs="Cambria"/>
          <w:sz w:val="20"/>
        </w:rPr>
        <w:t xml:space="preserve">   Sí </w:t>
      </w:r>
      <w:sdt>
        <w:sdtPr>
          <w:rPr>
            <w:rFonts w:ascii="Cambria" w:eastAsia="Cambria" w:hAnsi="Cambria" w:cs="Cambria"/>
            <w:sz w:val="20"/>
          </w:rPr>
          <w:id w:val="1536081079"/>
          <w14:checkbox>
            <w14:checked w14:val="0"/>
            <w14:checkedState w14:val="2612" w14:font="MS Gothic"/>
            <w14:uncheckedState w14:val="2610" w14:font="MS Gothic"/>
          </w14:checkbox>
        </w:sdtPr>
        <w:sdtContent>
          <w:r w:rsidRPr="00D0462D">
            <w:rPr>
              <w:rFonts w:ascii="Segoe UI Symbol" w:eastAsia="Cambria" w:hAnsi="Segoe UI Symbol" w:cs="Segoe UI Symbol"/>
              <w:sz w:val="20"/>
            </w:rPr>
            <w:t>☐</w:t>
          </w:r>
        </w:sdtContent>
      </w:sdt>
      <w:r w:rsidRPr="00D0462D">
        <w:rPr>
          <w:rFonts w:ascii="Cambria" w:eastAsia="Cambria" w:hAnsi="Cambria" w:cs="Cambria"/>
          <w:sz w:val="20"/>
        </w:rPr>
        <w:tab/>
      </w:r>
      <w:r w:rsidRPr="00D0462D">
        <w:rPr>
          <w:rFonts w:ascii="Cambria" w:eastAsia="Cambria" w:hAnsi="Cambria" w:cs="Cambria"/>
          <w:color w:val="FF0000"/>
          <w:sz w:val="20"/>
        </w:rPr>
        <w:t xml:space="preserve">No </w:t>
      </w:r>
      <w:sdt>
        <w:sdtPr>
          <w:rPr>
            <w:rFonts w:ascii="Cambria" w:eastAsia="Cambria" w:hAnsi="Cambria" w:cs="Cambria"/>
            <w:color w:val="FF0000"/>
            <w:spacing w:val="-2"/>
            <w:sz w:val="20"/>
            <w:szCs w:val="20"/>
          </w:rPr>
          <w:id w:val="560759300"/>
          <w14:checkbox>
            <w14:checked w14:val="1"/>
            <w14:checkedState w14:val="2612" w14:font="MS Gothic"/>
            <w14:uncheckedState w14:val="2610" w14:font="MS Gothic"/>
          </w14:checkbox>
        </w:sdtPr>
        <w:sdtContent>
          <w:r w:rsidRPr="00D0462D">
            <w:rPr>
              <w:rFonts w:ascii="Segoe UI Symbol" w:eastAsia="Cambria" w:hAnsi="Segoe UI Symbol" w:cs="Segoe UI Symbol"/>
              <w:color w:val="FF0000"/>
              <w:spacing w:val="-2"/>
              <w:sz w:val="20"/>
              <w:szCs w:val="20"/>
            </w:rPr>
            <w:t>☒</w:t>
          </w:r>
        </w:sdtContent>
      </w:sdt>
    </w:p>
    <w:p w14:paraId="1B93C601" w14:textId="77777777" w:rsidR="00D0462D" w:rsidRPr="00D0462D" w:rsidRDefault="00D0462D" w:rsidP="00D0462D">
      <w:pPr>
        <w:autoSpaceDE w:val="0"/>
        <w:autoSpaceDN w:val="0"/>
        <w:ind w:left="318"/>
        <w:rPr>
          <w:rFonts w:ascii="Cambria" w:eastAsia="Cambria" w:hAnsi="Cambria" w:cs="Cambria"/>
          <w:sz w:val="20"/>
          <w:szCs w:val="20"/>
        </w:rPr>
      </w:pPr>
    </w:p>
    <w:p w14:paraId="0F1FC5D2" w14:textId="77777777" w:rsidR="00D0462D" w:rsidRPr="00D0462D" w:rsidRDefault="00D0462D" w:rsidP="00D0462D">
      <w:pPr>
        <w:autoSpaceDE w:val="0"/>
        <w:autoSpaceDN w:val="0"/>
        <w:ind w:left="360" w:firstLine="66"/>
        <w:jc w:val="both"/>
        <w:rPr>
          <w:rFonts w:ascii="Cambria" w:eastAsia="Cambria" w:hAnsi="Cambria" w:cs="Cambria"/>
          <w:spacing w:val="-2"/>
          <w:sz w:val="20"/>
          <w:szCs w:val="20"/>
        </w:rPr>
      </w:pPr>
      <w:r w:rsidRPr="00D0462D">
        <w:rPr>
          <w:rFonts w:ascii="Cambria" w:eastAsia="Cambria" w:hAnsi="Cambria" w:cs="Cambria"/>
          <w:sz w:val="20"/>
        </w:rPr>
        <w:t xml:space="preserve">Breve descripción del nuevo trabajo necesario de la Secretaría: </w:t>
      </w:r>
      <w:r w:rsidRPr="00D0462D">
        <w:rPr>
          <w:rFonts w:ascii="Cambria" w:eastAsia="Cambria" w:hAnsi="Cambria" w:cs="Cambria"/>
          <w:color w:val="FF0000"/>
          <w:sz w:val="20"/>
        </w:rPr>
        <w:t>No aplicable</w:t>
      </w:r>
    </w:p>
    <w:p w14:paraId="50F4B845" w14:textId="77777777" w:rsidR="00D0462D" w:rsidRPr="00D0462D" w:rsidRDefault="00D0462D" w:rsidP="00D0462D">
      <w:pPr>
        <w:autoSpaceDE w:val="0"/>
        <w:autoSpaceDN w:val="0"/>
        <w:rPr>
          <w:rFonts w:ascii="Cambria" w:eastAsia="Cambria" w:hAnsi="Cambria" w:cs="Cambria"/>
          <w:spacing w:val="-2"/>
          <w:sz w:val="20"/>
          <w:szCs w:val="20"/>
        </w:rPr>
      </w:pPr>
    </w:p>
    <w:p w14:paraId="574E04A2" w14:textId="77777777" w:rsidR="00D0462D" w:rsidRPr="00D0462D" w:rsidRDefault="00D0462D" w:rsidP="00D0462D">
      <w:pPr>
        <w:autoSpaceDE w:val="0"/>
        <w:autoSpaceDN w:val="0"/>
        <w:rPr>
          <w:rFonts w:ascii="Cambria" w:eastAsia="Cambria" w:hAnsi="Cambria" w:cs="Cambria"/>
          <w:spacing w:val="-2"/>
          <w:sz w:val="20"/>
          <w:szCs w:val="20"/>
        </w:rPr>
      </w:pPr>
    </w:p>
    <w:p w14:paraId="6714A553" w14:textId="77777777" w:rsidR="00D0462D" w:rsidRPr="00D0462D" w:rsidRDefault="00D0462D" w:rsidP="00D0462D">
      <w:pPr>
        <w:widowControl/>
        <w:numPr>
          <w:ilvl w:val="0"/>
          <w:numId w:val="8"/>
        </w:numPr>
        <w:autoSpaceDE w:val="0"/>
        <w:autoSpaceDN w:val="0"/>
        <w:spacing w:after="160" w:line="259" w:lineRule="auto"/>
        <w:ind w:left="426" w:hanging="426"/>
        <w:jc w:val="both"/>
        <w:rPr>
          <w:rFonts w:ascii="Cambria" w:eastAsia="Cambria" w:hAnsi="Cambria" w:cs="Cambria"/>
          <w:spacing w:val="-2"/>
          <w:sz w:val="20"/>
          <w:szCs w:val="20"/>
        </w:rPr>
      </w:pPr>
      <w:r w:rsidRPr="00D0462D">
        <w:rPr>
          <w:rFonts w:ascii="Cambria" w:eastAsia="Cambria" w:hAnsi="Cambria" w:cs="Cambria"/>
          <w:sz w:val="20"/>
        </w:rPr>
        <w:t>¿Cuál es el calendario propuesto para la implementación? ¿Existen distintos calendarios específicos para determinadas CPC, pesquerías, regiones, etc.?</w:t>
      </w:r>
    </w:p>
    <w:p w14:paraId="1E173F44" w14:textId="77777777" w:rsidR="00D0462D" w:rsidRPr="00D0462D" w:rsidRDefault="00D0462D" w:rsidP="00D0462D">
      <w:pPr>
        <w:autoSpaceDE w:val="0"/>
        <w:autoSpaceDN w:val="0"/>
        <w:ind w:left="426"/>
        <w:jc w:val="both"/>
        <w:rPr>
          <w:rFonts w:ascii="Cambria" w:eastAsia="Cambria" w:hAnsi="Cambria" w:cs="Cambria"/>
          <w:spacing w:val="-2"/>
          <w:sz w:val="20"/>
          <w:szCs w:val="20"/>
        </w:rPr>
      </w:pPr>
    </w:p>
    <w:p w14:paraId="7CE2CC92" w14:textId="77777777" w:rsidR="00D0462D" w:rsidRPr="00D0462D" w:rsidRDefault="00D0462D" w:rsidP="00D0462D">
      <w:pPr>
        <w:autoSpaceDE w:val="0"/>
        <w:autoSpaceDN w:val="0"/>
        <w:ind w:left="426"/>
        <w:rPr>
          <w:rFonts w:ascii="Cambria" w:eastAsia="Cambria" w:hAnsi="Cambria" w:cs="Cambria"/>
          <w:color w:val="FF0000"/>
          <w:spacing w:val="-2"/>
          <w:sz w:val="20"/>
          <w:szCs w:val="20"/>
        </w:rPr>
      </w:pPr>
      <w:r w:rsidRPr="00D0462D">
        <w:rPr>
          <w:rFonts w:ascii="Cambria" w:eastAsia="Cambria" w:hAnsi="Cambria" w:cs="Cambria"/>
          <w:color w:val="FF0000"/>
          <w:spacing w:val="-2"/>
          <w:sz w:val="20"/>
          <w:szCs w:val="20"/>
        </w:rPr>
        <w:t>Entrada en vigor en 2026.</w:t>
      </w:r>
    </w:p>
    <w:p w14:paraId="23CEF813" w14:textId="77777777" w:rsidR="00D0462D" w:rsidRPr="00D0462D" w:rsidRDefault="00D0462D" w:rsidP="00D0462D">
      <w:pPr>
        <w:autoSpaceDE w:val="0"/>
        <w:autoSpaceDN w:val="0"/>
        <w:rPr>
          <w:rFonts w:ascii="Cambria" w:eastAsia="Cambria" w:hAnsi="Cambria" w:cs="Cambria"/>
          <w:b/>
          <w:bCs/>
          <w:spacing w:val="-2"/>
          <w:sz w:val="20"/>
          <w:szCs w:val="20"/>
        </w:rPr>
      </w:pPr>
    </w:p>
    <w:p w14:paraId="560FAE45" w14:textId="77777777" w:rsidR="00D0462D" w:rsidRPr="00D0462D" w:rsidRDefault="00D0462D" w:rsidP="00D0462D">
      <w:pPr>
        <w:widowControl/>
        <w:numPr>
          <w:ilvl w:val="0"/>
          <w:numId w:val="8"/>
        </w:numPr>
        <w:autoSpaceDE w:val="0"/>
        <w:autoSpaceDN w:val="0"/>
        <w:spacing w:after="160" w:line="259" w:lineRule="auto"/>
        <w:ind w:left="426" w:hanging="426"/>
        <w:jc w:val="both"/>
        <w:rPr>
          <w:rFonts w:ascii="Cambria" w:eastAsia="Cambria" w:hAnsi="Cambria" w:cs="Cambria"/>
          <w:spacing w:val="-2"/>
          <w:sz w:val="20"/>
          <w:szCs w:val="20"/>
        </w:rPr>
      </w:pPr>
      <w:bookmarkStart w:id="0" w:name="_Hlk211955220"/>
      <w:r w:rsidRPr="00D0462D">
        <w:rPr>
          <w:rFonts w:ascii="Cambria" w:eastAsia="Cambria" w:hAnsi="Cambria" w:cs="Cambria"/>
          <w:sz w:val="20"/>
        </w:rPr>
        <w:t>¿Hay alguna otra información pertinente sobre las repercusiones de la propuesta en lo referente a los recursos y a la carga de trabajo?</w:t>
      </w:r>
    </w:p>
    <w:bookmarkEnd w:id="0"/>
    <w:p w14:paraId="329D5DD7" w14:textId="77777777" w:rsidR="00D0462D" w:rsidRPr="00D0462D" w:rsidRDefault="00D0462D" w:rsidP="00D0462D">
      <w:pPr>
        <w:autoSpaceDE w:val="0"/>
        <w:autoSpaceDN w:val="0"/>
        <w:ind w:left="426"/>
        <w:rPr>
          <w:rFonts w:ascii="Cambria" w:eastAsia="Cambria" w:hAnsi="Cambria" w:cs="Cambria"/>
          <w:spacing w:val="-2"/>
          <w:sz w:val="20"/>
          <w:szCs w:val="20"/>
        </w:rPr>
      </w:pPr>
    </w:p>
    <w:p w14:paraId="78339442" w14:textId="77777777" w:rsidR="00D0462D" w:rsidRPr="00D0462D" w:rsidRDefault="00D0462D" w:rsidP="00D0462D">
      <w:pPr>
        <w:autoSpaceDE w:val="0"/>
        <w:autoSpaceDN w:val="0"/>
        <w:ind w:left="426"/>
        <w:jc w:val="both"/>
        <w:rPr>
          <w:rFonts w:ascii="Cambria" w:eastAsia="Cambria" w:hAnsi="Cambria" w:cs="Cambria"/>
          <w:i/>
          <w:sz w:val="20"/>
        </w:rPr>
      </w:pPr>
    </w:p>
    <w:p w14:paraId="6DCB9598" w14:textId="77777777" w:rsidR="00D0462D" w:rsidRPr="00D0462D" w:rsidRDefault="00D0462D" w:rsidP="00D0462D">
      <w:pPr>
        <w:widowControl/>
        <w:spacing w:line="276" w:lineRule="auto"/>
        <w:rPr>
          <w:rFonts w:ascii="Cambria" w:eastAsia="Arial" w:hAnsi="Cambria" w:cs="Arial"/>
          <w:sz w:val="20"/>
          <w:szCs w:val="20"/>
        </w:rPr>
      </w:pPr>
      <w:r w:rsidRPr="00D0462D">
        <w:rPr>
          <w:rFonts w:ascii="Cambria" w:hAnsi="Cambria" w:cs="Arial"/>
          <w:b/>
          <w:kern w:val="2"/>
          <w:sz w:val="20"/>
          <w14:ligatures w14:val="standardContextual"/>
        </w:rPr>
        <w:br w:type="page"/>
      </w:r>
    </w:p>
    <w:p w14:paraId="736DD8EF" w14:textId="77777777" w:rsidR="00D0462D" w:rsidRPr="00EA15ED" w:rsidRDefault="00D0462D" w:rsidP="00D0462D">
      <w:pPr>
        <w:tabs>
          <w:tab w:val="left" w:pos="426"/>
          <w:tab w:val="center" w:pos="4680"/>
          <w:tab w:val="left" w:pos="6430"/>
        </w:tabs>
        <w:jc w:val="right"/>
        <w:rPr>
          <w:rFonts w:ascii="Cambria" w:hAnsi="Cambria"/>
          <w:b/>
          <w:bCs/>
          <w:sz w:val="20"/>
          <w:szCs w:val="20"/>
        </w:rPr>
      </w:pPr>
      <w:r w:rsidRPr="00EA15ED">
        <w:rPr>
          <w:rFonts w:ascii="Cambria" w:hAnsi="Cambria"/>
          <w:b/>
          <w:bCs/>
          <w:sz w:val="20"/>
          <w:szCs w:val="20"/>
        </w:rPr>
        <w:t>Original: inglés</w:t>
      </w:r>
    </w:p>
    <w:p w14:paraId="4A106E8C" w14:textId="77777777" w:rsidR="00D0462D" w:rsidRPr="00EA15ED" w:rsidRDefault="00D0462D" w:rsidP="00D0462D">
      <w:pPr>
        <w:jc w:val="center"/>
        <w:rPr>
          <w:rFonts w:ascii="Cambria" w:hAnsi="Cambria"/>
          <w:b/>
          <w:bCs/>
          <w:sz w:val="20"/>
          <w:szCs w:val="20"/>
        </w:rPr>
      </w:pPr>
    </w:p>
    <w:p w14:paraId="34B59D58" w14:textId="6DCDBDB4" w:rsidR="00D0462D" w:rsidRPr="00EA15ED" w:rsidRDefault="00D0462D" w:rsidP="00D0462D">
      <w:pPr>
        <w:jc w:val="center"/>
        <w:rPr>
          <w:rFonts w:ascii="Cambria" w:eastAsia="Cambria" w:hAnsi="Cambria" w:cs="Cambria"/>
          <w:b/>
          <w:sz w:val="20"/>
          <w:szCs w:val="20"/>
        </w:rPr>
      </w:pPr>
      <w:r w:rsidRPr="00EA15ED">
        <w:rPr>
          <w:rFonts w:ascii="Cambria" w:eastAsia="Times New Roman" w:hAnsi="Cambria" w:cs="Times New Roman"/>
          <w:b/>
          <w:sz w:val="20"/>
          <w:szCs w:val="24"/>
        </w:rPr>
        <w:t xml:space="preserve">Nota explicativa al </w:t>
      </w:r>
      <w:r w:rsidRPr="00EA15ED">
        <w:rPr>
          <w:rFonts w:ascii="Cambria" w:eastAsia="Times New Roman" w:hAnsi="Cambria" w:cs="Times New Roman"/>
          <w:b/>
          <w:sz w:val="20"/>
          <w:szCs w:val="24"/>
        </w:rPr>
        <w:t xml:space="preserve">Proyecto de Recomendación de ICCAT para un plan de conservación y ordenación para el atún rojo del Atlántico oeste </w:t>
      </w:r>
    </w:p>
    <w:p w14:paraId="4FE1A105" w14:textId="77777777" w:rsidR="00D0462D" w:rsidRPr="00EA15ED" w:rsidRDefault="00D0462D" w:rsidP="00D0462D">
      <w:pPr>
        <w:widowControl/>
        <w:rPr>
          <w:rFonts w:ascii="Cambria" w:eastAsia="Cambria" w:hAnsi="Cambria" w:cs="Cambria"/>
          <w:b/>
          <w:sz w:val="20"/>
          <w:szCs w:val="20"/>
        </w:rPr>
      </w:pPr>
    </w:p>
    <w:p w14:paraId="6A366F5A" w14:textId="07158C46" w:rsidR="00D0462D" w:rsidRPr="00D0462D" w:rsidRDefault="00D0462D" w:rsidP="00D0462D">
      <w:pPr>
        <w:widowControl/>
        <w:jc w:val="center"/>
        <w:rPr>
          <w:rFonts w:ascii="Cambria" w:eastAsia="Cambria" w:hAnsi="Cambria" w:cs="Cambria"/>
          <w:bCs/>
          <w:i/>
          <w:iCs/>
          <w:sz w:val="20"/>
          <w:szCs w:val="20"/>
        </w:rPr>
      </w:pPr>
      <w:r w:rsidRPr="00EA15ED">
        <w:rPr>
          <w:rFonts w:ascii="Cambria" w:eastAsia="Cambria" w:hAnsi="Cambria" w:cs="Cambria"/>
          <w:bCs/>
          <w:i/>
          <w:iCs/>
          <w:sz w:val="20"/>
          <w:szCs w:val="20"/>
        </w:rPr>
        <w:t>(presentado</w:t>
      </w:r>
      <w:r w:rsidRPr="00EA15ED">
        <w:rPr>
          <w:rFonts w:ascii="Cambria" w:eastAsia="Times New Roman" w:hAnsi="Cambria" w:cs="Times New Roman"/>
          <w:bCs/>
          <w:i/>
          <w:iCs/>
          <w:sz w:val="20"/>
          <w:szCs w:val="24"/>
        </w:rPr>
        <w:t xml:space="preserve"> </w:t>
      </w:r>
      <w:r w:rsidRPr="00D0462D">
        <w:rPr>
          <w:rFonts w:ascii="Cambria" w:eastAsia="Times New Roman" w:hAnsi="Cambria" w:cs="Times New Roman"/>
          <w:bCs/>
          <w:i/>
          <w:iCs/>
          <w:sz w:val="20"/>
          <w:szCs w:val="24"/>
        </w:rPr>
        <w:t>por Canadá</w:t>
      </w:r>
      <w:r w:rsidRPr="00EA15ED">
        <w:rPr>
          <w:rFonts w:ascii="Cambria" w:eastAsia="Times New Roman" w:hAnsi="Cambria" w:cs="Times New Roman"/>
          <w:bCs/>
          <w:i/>
          <w:iCs/>
          <w:sz w:val="20"/>
          <w:szCs w:val="24"/>
        </w:rPr>
        <w:t>)</w:t>
      </w:r>
    </w:p>
    <w:p w14:paraId="0B25FD2A" w14:textId="77777777" w:rsidR="00D0462D" w:rsidRPr="00D0462D" w:rsidRDefault="00D0462D" w:rsidP="00D0462D">
      <w:pPr>
        <w:widowControl/>
        <w:jc w:val="both"/>
        <w:rPr>
          <w:rFonts w:ascii="Cambria" w:eastAsia="Cambria" w:hAnsi="Cambria" w:cs="Cambria"/>
          <w:b/>
          <w:sz w:val="20"/>
          <w:szCs w:val="20"/>
        </w:rPr>
      </w:pPr>
    </w:p>
    <w:p w14:paraId="53E9B740" w14:textId="364669AC" w:rsidR="00D0462D" w:rsidRPr="00D0462D" w:rsidRDefault="00D0462D" w:rsidP="00D0462D">
      <w:pPr>
        <w:widowControl/>
        <w:jc w:val="both"/>
        <w:rPr>
          <w:rFonts w:ascii="Cambria" w:eastAsia="Cambria" w:hAnsi="Cambria" w:cs="Cambria"/>
          <w:sz w:val="20"/>
          <w:szCs w:val="24"/>
        </w:rPr>
      </w:pPr>
      <w:r w:rsidRPr="00D0462D">
        <w:rPr>
          <w:rFonts w:ascii="Cambria" w:eastAsia="Times New Roman" w:hAnsi="Cambria" w:cs="Times New Roman"/>
          <w:sz w:val="20"/>
          <w:szCs w:val="24"/>
        </w:rPr>
        <w:t xml:space="preserve">Este Proyecto de Recomendación revoca y sustituye la </w:t>
      </w:r>
      <w:r w:rsidRPr="00D0462D">
        <w:rPr>
          <w:rFonts w:ascii="Cambria" w:eastAsia="Times New Roman" w:hAnsi="Cambria" w:cs="Times New Roman"/>
          <w:i/>
          <w:iCs/>
          <w:sz w:val="20"/>
          <w:szCs w:val="24"/>
        </w:rPr>
        <w:t xml:space="preserve">Recomendación de ICCAT para un plan de conservación y ordenación para el atún rojo del Atlántico oeste </w:t>
      </w:r>
      <w:r w:rsidRPr="00D0462D">
        <w:rPr>
          <w:rFonts w:ascii="Cambria" w:eastAsia="Times New Roman" w:hAnsi="Cambria" w:cs="Times New Roman"/>
          <w:sz w:val="20"/>
          <w:szCs w:val="24"/>
        </w:rPr>
        <w:t>(Rec. 22-10). Canadá propone establecer un TAC de 2.963 t para el stock del Atlántico occidental, calculado mediante el ensayo del procedimiento de ordenación BR*.</w:t>
      </w:r>
    </w:p>
    <w:p w14:paraId="4827F681" w14:textId="77777777" w:rsidR="00D0462D" w:rsidRPr="00D0462D" w:rsidRDefault="00D0462D" w:rsidP="00D0462D">
      <w:pPr>
        <w:widowControl/>
        <w:jc w:val="both"/>
        <w:rPr>
          <w:rFonts w:ascii="Cambria" w:eastAsia="Cambria" w:hAnsi="Cambria" w:cs="Cambria"/>
          <w:sz w:val="20"/>
          <w:szCs w:val="24"/>
        </w:rPr>
      </w:pPr>
    </w:p>
    <w:p w14:paraId="40288E0D" w14:textId="44AD28D8" w:rsidR="00D0462D" w:rsidRPr="00D0462D" w:rsidRDefault="00D0462D" w:rsidP="00D0462D">
      <w:pPr>
        <w:widowControl/>
        <w:jc w:val="both"/>
        <w:rPr>
          <w:rFonts w:ascii="Cambria" w:eastAsia="Cambria" w:hAnsi="Cambria" w:cs="Cambria"/>
          <w:sz w:val="20"/>
          <w:szCs w:val="24"/>
        </w:rPr>
      </w:pPr>
      <w:r w:rsidRPr="00D0462D">
        <w:rPr>
          <w:rFonts w:ascii="Cambria" w:eastAsia="Times New Roman" w:hAnsi="Cambria" w:cs="Times New Roman"/>
          <w:sz w:val="20"/>
          <w:szCs w:val="24"/>
        </w:rPr>
        <w:t xml:space="preserve">El TAC del BR* aborda la incertidumbre más influyente en la MSE del atún rojo y garantiza que el MP existente y acordado siga cumpliendo los objetivos de ordenación acordados por la Subcomisión 2 en 2022. La MSE del atún rojo se desarrolló con una gran incertidumbre </w:t>
      </w:r>
      <w:r w:rsidR="00D47D29" w:rsidRPr="00EA15ED">
        <w:rPr>
          <w:rFonts w:ascii="Cambria" w:eastAsia="Times New Roman" w:hAnsi="Cambria" w:cs="Times New Roman"/>
          <w:sz w:val="20"/>
          <w:szCs w:val="24"/>
        </w:rPr>
        <w:t>en cuanto a</w:t>
      </w:r>
      <w:r w:rsidRPr="00D0462D">
        <w:rPr>
          <w:rFonts w:ascii="Cambria" w:eastAsia="Times New Roman" w:hAnsi="Cambria" w:cs="Times New Roman"/>
          <w:sz w:val="20"/>
          <w:szCs w:val="24"/>
        </w:rPr>
        <w:t xml:space="preserve"> la escala de las dos poblaciones. Esta incertidumbre tuvo una gran influencia en el desempeño del procedimiento de ordenación. El proyecto de marcado y recaptura de individuos estrechamente emparentados (</w:t>
      </w:r>
      <w:proofErr w:type="spellStart"/>
      <w:r w:rsidRPr="00D0462D">
        <w:rPr>
          <w:rFonts w:ascii="Cambria" w:eastAsia="Times New Roman" w:hAnsi="Cambria" w:cs="Times New Roman"/>
          <w:sz w:val="20"/>
          <w:szCs w:val="24"/>
        </w:rPr>
        <w:t>CKMR</w:t>
      </w:r>
      <w:proofErr w:type="spellEnd"/>
      <w:r w:rsidRPr="00D0462D">
        <w:rPr>
          <w:rFonts w:ascii="Cambria" w:eastAsia="Times New Roman" w:hAnsi="Cambria" w:cs="Times New Roman"/>
          <w:sz w:val="20"/>
          <w:szCs w:val="24"/>
        </w:rPr>
        <w:t xml:space="preserve">) ha permitido mejorar considerablemente nuestra comprensión de la escala del stock occidental y muestra que esta era significativamente mayor que los valores considerados cuando se adoptó el MP. Cuando el SCRS incorporó esta nueva información del </w:t>
      </w:r>
      <w:proofErr w:type="spellStart"/>
      <w:r w:rsidRPr="00D0462D">
        <w:rPr>
          <w:rFonts w:ascii="Cambria" w:eastAsia="Times New Roman" w:hAnsi="Cambria" w:cs="Times New Roman"/>
          <w:sz w:val="20"/>
          <w:szCs w:val="24"/>
        </w:rPr>
        <w:t>CKMR</w:t>
      </w:r>
      <w:proofErr w:type="spellEnd"/>
      <w:r w:rsidRPr="00D0462D">
        <w:rPr>
          <w:rFonts w:ascii="Cambria" w:eastAsia="Times New Roman" w:hAnsi="Cambria" w:cs="Times New Roman"/>
          <w:sz w:val="20"/>
          <w:szCs w:val="24"/>
        </w:rPr>
        <w:t xml:space="preserve"> en los modelos operativos, el MP BR no cumplió los objetivos de seguridad del stock oriental (valor de merma más bajo) ni los objetivos de rendimiento del occidental (maximizar las capturas). El BR* ha actualizado los parámetros de calibración para garantizar que el MP siga cumpliendo los objetivos de ordenación acordados, asegurando mejor la conservación y la utilización del recurso.</w:t>
      </w:r>
    </w:p>
    <w:p w14:paraId="6EDE64BB" w14:textId="77777777" w:rsidR="00D0462D" w:rsidRPr="00D0462D" w:rsidRDefault="00D0462D" w:rsidP="00D0462D">
      <w:pPr>
        <w:widowControl/>
        <w:jc w:val="both"/>
        <w:rPr>
          <w:rFonts w:ascii="Cambria" w:eastAsia="Cambria" w:hAnsi="Cambria" w:cs="Cambria"/>
          <w:sz w:val="20"/>
          <w:szCs w:val="24"/>
        </w:rPr>
      </w:pPr>
    </w:p>
    <w:p w14:paraId="64CB5C3B" w14:textId="77777777" w:rsidR="00D0462D" w:rsidRPr="00EA15ED" w:rsidRDefault="00D0462D" w:rsidP="00D0462D">
      <w:pPr>
        <w:widowControl/>
        <w:jc w:val="both"/>
        <w:rPr>
          <w:rFonts w:ascii="Cambria" w:eastAsia="Times New Roman" w:hAnsi="Cambria" w:cs="Times New Roman"/>
          <w:sz w:val="20"/>
          <w:szCs w:val="24"/>
        </w:rPr>
      </w:pPr>
      <w:r w:rsidRPr="00D0462D">
        <w:rPr>
          <w:rFonts w:ascii="Cambria" w:eastAsia="Times New Roman" w:hAnsi="Cambria" w:cs="Times New Roman"/>
          <w:sz w:val="20"/>
          <w:szCs w:val="24"/>
        </w:rPr>
        <w:t xml:space="preserve">Canadá considera que la Subcomisión 2 debería adoptar el BR*, ya que, a diferencia del BR, refleja los conocimientos adquiridos en el estudio de </w:t>
      </w:r>
      <w:proofErr w:type="spellStart"/>
      <w:r w:rsidRPr="00D0462D">
        <w:rPr>
          <w:rFonts w:ascii="Cambria" w:eastAsia="Times New Roman" w:hAnsi="Cambria" w:cs="Times New Roman"/>
          <w:sz w:val="20"/>
          <w:szCs w:val="24"/>
        </w:rPr>
        <w:t>CKMR</w:t>
      </w:r>
      <w:proofErr w:type="spellEnd"/>
      <w:r w:rsidRPr="00D0462D">
        <w:rPr>
          <w:rFonts w:ascii="Cambria" w:eastAsia="Times New Roman" w:hAnsi="Cambria" w:cs="Times New Roman"/>
          <w:sz w:val="20"/>
          <w:szCs w:val="24"/>
        </w:rPr>
        <w:t xml:space="preserve"> para el oeste, que el SCRS ha calificado de "avance decisivo en la evaluación de stock de atún rojo". Utilizando los mejores conocimientos científicos disponibles, BR* ahora alcanza los objetivos de ordenación. Además, BR* ofrece una distribución más equitativa del aumento del TAC entre el este y el oeste. Esto es especialmente importante dado el creciente número de peces del este que migran hacia el oeste para alimentarse y crecer durante la recuperación del stock del este.</w:t>
      </w:r>
    </w:p>
    <w:p w14:paraId="3BE62D2F" w14:textId="77777777" w:rsidR="00D0462D" w:rsidRPr="00D0462D" w:rsidRDefault="00D0462D" w:rsidP="00D0462D">
      <w:pPr>
        <w:widowControl/>
        <w:jc w:val="both"/>
        <w:rPr>
          <w:rFonts w:ascii="Cambria" w:eastAsia="Cambria" w:hAnsi="Cambria" w:cs="Cambria"/>
          <w:sz w:val="20"/>
          <w:szCs w:val="24"/>
        </w:rPr>
      </w:pPr>
    </w:p>
    <w:p w14:paraId="100FB591" w14:textId="39497289" w:rsidR="00D0462D" w:rsidRPr="00EA15ED" w:rsidRDefault="00D0462D" w:rsidP="00D0462D">
      <w:pPr>
        <w:jc w:val="both"/>
        <w:rPr>
          <w:rFonts w:ascii="Cambria" w:eastAsia="Times New Roman" w:hAnsi="Cambria" w:cs="Times New Roman"/>
          <w:b/>
          <w:sz w:val="20"/>
          <w:szCs w:val="24"/>
        </w:rPr>
      </w:pPr>
      <w:r w:rsidRPr="00EA15ED">
        <w:rPr>
          <w:rFonts w:ascii="Cambria" w:eastAsia="Times New Roman" w:hAnsi="Cambria" w:cs="Times New Roman"/>
          <w:sz w:val="20"/>
          <w:szCs w:val="24"/>
        </w:rPr>
        <w:t>Esta propuesta se basa en los mejores datos científicos disponibles, está en consonancia con los objetivos de ordenación del MP y con los compromisos previos de ICCAT, y constituye un paso positivo para encontrar un equilibrio más equitativo entre las capturas orientales y occidentales.</w:t>
      </w:r>
      <w:r w:rsidRPr="00EA15ED">
        <w:rPr>
          <w:rFonts w:ascii="Cambria" w:eastAsia="Times New Roman" w:hAnsi="Cambria" w:cs="Times New Roman"/>
          <w:b/>
          <w:sz w:val="20"/>
          <w:szCs w:val="24"/>
        </w:rPr>
        <w:t xml:space="preserve"> </w:t>
      </w:r>
    </w:p>
    <w:p w14:paraId="51BBBE1F" w14:textId="77777777" w:rsidR="00D0462D" w:rsidRPr="00EA15ED" w:rsidRDefault="00D0462D">
      <w:pPr>
        <w:rPr>
          <w:rFonts w:ascii="Cambria" w:eastAsia="Times New Roman" w:hAnsi="Cambria" w:cs="Times New Roman"/>
          <w:b/>
          <w:sz w:val="20"/>
          <w:szCs w:val="24"/>
        </w:rPr>
      </w:pPr>
      <w:r w:rsidRPr="00EA15ED">
        <w:rPr>
          <w:rFonts w:ascii="Cambria" w:eastAsia="Times New Roman" w:hAnsi="Cambria" w:cs="Times New Roman"/>
          <w:b/>
          <w:sz w:val="20"/>
          <w:szCs w:val="24"/>
        </w:rPr>
        <w:br w:type="page"/>
      </w:r>
    </w:p>
    <w:p w14:paraId="1189FC1D" w14:textId="594D9310" w:rsidR="00B04D97" w:rsidRPr="00EA15ED" w:rsidRDefault="00B04D97" w:rsidP="00B04D97">
      <w:pPr>
        <w:tabs>
          <w:tab w:val="left" w:pos="426"/>
          <w:tab w:val="center" w:pos="4680"/>
          <w:tab w:val="left" w:pos="6430"/>
        </w:tabs>
        <w:jc w:val="right"/>
        <w:rPr>
          <w:rFonts w:ascii="Cambria" w:hAnsi="Cambria"/>
          <w:b/>
          <w:bCs/>
          <w:sz w:val="20"/>
          <w:szCs w:val="20"/>
        </w:rPr>
      </w:pPr>
      <w:r w:rsidRPr="00EA15ED">
        <w:rPr>
          <w:rFonts w:ascii="Cambria" w:hAnsi="Cambria"/>
          <w:b/>
          <w:bCs/>
          <w:sz w:val="20"/>
          <w:szCs w:val="20"/>
        </w:rPr>
        <w:t>Original: inglés</w:t>
      </w:r>
    </w:p>
    <w:p w14:paraId="29591E72" w14:textId="77777777" w:rsidR="00B04D97" w:rsidRPr="00EA15ED" w:rsidRDefault="00B04D97" w:rsidP="00B04D97">
      <w:pPr>
        <w:tabs>
          <w:tab w:val="left" w:pos="426"/>
          <w:tab w:val="center" w:pos="4680"/>
          <w:tab w:val="left" w:pos="6430"/>
        </w:tabs>
        <w:jc w:val="right"/>
        <w:rPr>
          <w:rFonts w:ascii="Cambria" w:hAnsi="Cambria"/>
          <w:b/>
          <w:bCs/>
          <w:sz w:val="20"/>
          <w:szCs w:val="20"/>
        </w:rPr>
      </w:pPr>
    </w:p>
    <w:p w14:paraId="7BE54AF7" w14:textId="1C555AD2" w:rsidR="00532281" w:rsidRPr="00EA15ED" w:rsidRDefault="00532281" w:rsidP="00532281">
      <w:pPr>
        <w:tabs>
          <w:tab w:val="left" w:pos="426"/>
          <w:tab w:val="center" w:pos="4680"/>
          <w:tab w:val="left" w:pos="6430"/>
        </w:tabs>
        <w:jc w:val="center"/>
        <w:rPr>
          <w:rFonts w:ascii="Cambria" w:hAnsi="Cambria"/>
          <w:b/>
          <w:bCs/>
          <w:sz w:val="20"/>
          <w:szCs w:val="20"/>
        </w:rPr>
      </w:pPr>
      <w:bookmarkStart w:id="1" w:name="_Hlk213755112"/>
      <w:r w:rsidRPr="00EA15ED">
        <w:rPr>
          <w:rFonts w:ascii="Cambria" w:hAnsi="Cambria"/>
          <w:b/>
          <w:bCs/>
          <w:sz w:val="20"/>
          <w:szCs w:val="20"/>
        </w:rPr>
        <w:t xml:space="preserve">Proyecto de </w:t>
      </w:r>
      <w:bookmarkStart w:id="2" w:name="_Hlk213752685"/>
      <w:r w:rsidRPr="00EA15ED">
        <w:rPr>
          <w:rFonts w:ascii="Cambria" w:hAnsi="Cambria"/>
          <w:b/>
          <w:bCs/>
          <w:sz w:val="20"/>
          <w:szCs w:val="20"/>
        </w:rPr>
        <w:t xml:space="preserve">Recomendación de ICCAT para un plan de conservación </w:t>
      </w:r>
    </w:p>
    <w:p w14:paraId="72FD4986" w14:textId="0B84B6F0" w:rsidR="00F51AFC" w:rsidRPr="00EA15ED" w:rsidRDefault="00532281" w:rsidP="00532281">
      <w:pPr>
        <w:tabs>
          <w:tab w:val="left" w:pos="426"/>
          <w:tab w:val="center" w:pos="4680"/>
          <w:tab w:val="left" w:pos="6430"/>
        </w:tabs>
        <w:jc w:val="center"/>
        <w:rPr>
          <w:rFonts w:ascii="Cambria" w:hAnsi="Cambria"/>
          <w:b/>
          <w:bCs/>
          <w:sz w:val="20"/>
          <w:szCs w:val="20"/>
        </w:rPr>
      </w:pPr>
      <w:r w:rsidRPr="00EA15ED">
        <w:rPr>
          <w:rFonts w:ascii="Cambria" w:hAnsi="Cambria"/>
          <w:b/>
          <w:bCs/>
          <w:sz w:val="20"/>
          <w:szCs w:val="20"/>
        </w:rPr>
        <w:t>y ordenación para el atún rojo del Atlántico oeste</w:t>
      </w:r>
      <w:bookmarkEnd w:id="2"/>
    </w:p>
    <w:bookmarkEnd w:id="1"/>
    <w:p w14:paraId="7250A1F8" w14:textId="77777777" w:rsidR="005D5654" w:rsidRPr="00EA15ED" w:rsidRDefault="005D5654" w:rsidP="005D5654">
      <w:pPr>
        <w:tabs>
          <w:tab w:val="left" w:pos="426"/>
          <w:tab w:val="center" w:pos="4680"/>
          <w:tab w:val="left" w:pos="6430"/>
        </w:tabs>
        <w:jc w:val="both"/>
        <w:rPr>
          <w:rFonts w:ascii="Cambria" w:hAnsi="Cambria"/>
          <w:i/>
          <w:iCs/>
          <w:sz w:val="20"/>
          <w:szCs w:val="20"/>
        </w:rPr>
      </w:pPr>
    </w:p>
    <w:p w14:paraId="4BA2E4C0" w14:textId="359A2C86" w:rsidR="00D47D29" w:rsidRPr="00EA15ED" w:rsidRDefault="00D47D29" w:rsidP="00D47D29">
      <w:pPr>
        <w:tabs>
          <w:tab w:val="left" w:pos="426"/>
          <w:tab w:val="center" w:pos="4680"/>
          <w:tab w:val="left" w:pos="6430"/>
        </w:tabs>
        <w:jc w:val="center"/>
        <w:rPr>
          <w:rFonts w:ascii="Cambria" w:hAnsi="Cambria"/>
          <w:i/>
          <w:iCs/>
          <w:sz w:val="20"/>
          <w:szCs w:val="20"/>
        </w:rPr>
      </w:pPr>
      <w:r w:rsidRPr="00EA15ED">
        <w:rPr>
          <w:rFonts w:ascii="Cambria" w:hAnsi="Cambria"/>
          <w:i/>
          <w:iCs/>
          <w:sz w:val="20"/>
          <w:szCs w:val="20"/>
        </w:rPr>
        <w:t>(presentado por Canadá)</w:t>
      </w:r>
    </w:p>
    <w:p w14:paraId="1427D6AF" w14:textId="77777777" w:rsidR="00D47D29" w:rsidRPr="00EA15ED" w:rsidRDefault="00D47D29" w:rsidP="00D47D29">
      <w:pPr>
        <w:tabs>
          <w:tab w:val="left" w:pos="426"/>
          <w:tab w:val="center" w:pos="4680"/>
          <w:tab w:val="left" w:pos="6430"/>
        </w:tabs>
        <w:jc w:val="center"/>
        <w:rPr>
          <w:rFonts w:ascii="Cambria" w:hAnsi="Cambria"/>
          <w:i/>
          <w:iCs/>
          <w:sz w:val="20"/>
          <w:szCs w:val="20"/>
        </w:rPr>
      </w:pPr>
    </w:p>
    <w:p w14:paraId="1A62AA98" w14:textId="77777777" w:rsidR="005D5654" w:rsidRPr="00EA15ED" w:rsidRDefault="005D5654" w:rsidP="005D5654">
      <w:pPr>
        <w:tabs>
          <w:tab w:val="left" w:pos="426"/>
          <w:tab w:val="center" w:pos="4680"/>
          <w:tab w:val="left" w:pos="6430"/>
        </w:tabs>
        <w:jc w:val="both"/>
        <w:rPr>
          <w:rFonts w:ascii="Cambria" w:eastAsia="Cambria" w:hAnsi="Cambria" w:cs="Cambria"/>
          <w:i/>
          <w:sz w:val="20"/>
          <w:szCs w:val="20"/>
        </w:rPr>
      </w:pPr>
      <w:r w:rsidRPr="00EA15ED">
        <w:rPr>
          <w:rFonts w:ascii="Cambria" w:hAnsi="Cambria"/>
          <w:i/>
          <w:color w:val="231F20"/>
          <w:sz w:val="20"/>
          <w:szCs w:val="20"/>
        </w:rPr>
        <w:tab/>
      </w:r>
      <w:r w:rsidRPr="00EA15ED">
        <w:rPr>
          <w:rFonts w:ascii="Cambria" w:hAnsi="Cambria"/>
          <w:i/>
          <w:iCs/>
          <w:sz w:val="20"/>
          <w:szCs w:val="20"/>
        </w:rPr>
        <w:t>CONSTATANDO</w:t>
      </w:r>
      <w:r w:rsidRPr="00EA15ED">
        <w:rPr>
          <w:rFonts w:ascii="Cambria" w:hAnsi="Cambria"/>
          <w:sz w:val="20"/>
          <w:szCs w:val="20"/>
        </w:rPr>
        <w:t xml:space="preserve"> que el objetivo del Convenio es mantener las poblaciones de túnidos y especies afines en niveles que permitan el rendimiento máximo sostenible (RMS);</w:t>
      </w:r>
    </w:p>
    <w:p w14:paraId="56375AAA" w14:textId="77777777" w:rsidR="005D5654" w:rsidRPr="00EA15ED" w:rsidRDefault="005D5654" w:rsidP="005D5654">
      <w:pPr>
        <w:tabs>
          <w:tab w:val="left" w:pos="426"/>
          <w:tab w:val="center" w:pos="4680"/>
          <w:tab w:val="left" w:pos="6430"/>
        </w:tabs>
        <w:jc w:val="both"/>
        <w:rPr>
          <w:rFonts w:ascii="Cambria" w:eastAsia="Cambria" w:hAnsi="Cambria" w:cs="Cambria"/>
          <w:i/>
          <w:sz w:val="20"/>
          <w:szCs w:val="20"/>
        </w:rPr>
      </w:pPr>
    </w:p>
    <w:p w14:paraId="249E169C" w14:textId="77777777" w:rsidR="005D5654" w:rsidRPr="00EA15ED" w:rsidRDefault="005D5654" w:rsidP="005D5654">
      <w:pPr>
        <w:tabs>
          <w:tab w:val="left" w:pos="426"/>
          <w:tab w:val="center" w:pos="4680"/>
          <w:tab w:val="left" w:pos="6430"/>
        </w:tabs>
        <w:jc w:val="both"/>
        <w:rPr>
          <w:rFonts w:ascii="Cambria" w:eastAsia="Cambria" w:hAnsi="Cambria" w:cs="Cambria"/>
          <w:sz w:val="20"/>
          <w:szCs w:val="20"/>
        </w:rPr>
      </w:pPr>
      <w:r w:rsidRPr="00EA15ED">
        <w:rPr>
          <w:rFonts w:ascii="Cambria" w:hAnsi="Cambria"/>
          <w:i/>
          <w:sz w:val="20"/>
          <w:szCs w:val="20"/>
        </w:rPr>
        <w:tab/>
      </w:r>
      <w:r w:rsidRPr="00EA15ED">
        <w:rPr>
          <w:rFonts w:ascii="Cambria" w:hAnsi="Cambria"/>
          <w:i/>
          <w:iCs/>
          <w:sz w:val="20"/>
          <w:szCs w:val="20"/>
        </w:rPr>
        <w:t>TENIENDO EN CUENTA</w:t>
      </w:r>
      <w:r w:rsidRPr="00EA15ED">
        <w:rPr>
          <w:rFonts w:ascii="Cambria" w:hAnsi="Cambria"/>
          <w:sz w:val="20"/>
          <w:szCs w:val="20"/>
        </w:rPr>
        <w:t xml:space="preserve"> que, en previsión de la finalización de un programa de recuperación de 20 años en 2018, la Comisión adoptó la </w:t>
      </w:r>
      <w:r w:rsidRPr="00EA15ED">
        <w:rPr>
          <w:rFonts w:ascii="Cambria" w:hAnsi="Cambria"/>
          <w:i/>
          <w:iCs/>
          <w:sz w:val="20"/>
          <w:szCs w:val="20"/>
        </w:rPr>
        <w:t xml:space="preserve">Recomendación de ICCAT para un plan provisional de conservación y ordenación para el atún rojo del Atlántico oeste </w:t>
      </w:r>
      <w:r w:rsidRPr="00EA15ED">
        <w:rPr>
          <w:rFonts w:ascii="Cambria" w:hAnsi="Cambria"/>
          <w:sz w:val="20"/>
          <w:szCs w:val="20"/>
        </w:rPr>
        <w:t>(Rec.</w:t>
      </w:r>
      <w:r w:rsidRPr="00EA15ED">
        <w:rPr>
          <w:rFonts w:ascii="Cambria" w:hAnsi="Cambria"/>
          <w:i/>
          <w:iCs/>
          <w:sz w:val="20"/>
          <w:szCs w:val="20"/>
        </w:rPr>
        <w:t xml:space="preserve"> </w:t>
      </w:r>
      <w:r w:rsidRPr="00EA15ED">
        <w:rPr>
          <w:rFonts w:ascii="Cambria" w:hAnsi="Cambria"/>
          <w:sz w:val="20"/>
          <w:szCs w:val="20"/>
        </w:rPr>
        <w:t>17-06);</w:t>
      </w:r>
    </w:p>
    <w:p w14:paraId="5FD612E5" w14:textId="77777777" w:rsidR="005D5654" w:rsidRPr="00EA15ED" w:rsidRDefault="005D5654" w:rsidP="005D5654">
      <w:pPr>
        <w:tabs>
          <w:tab w:val="left" w:pos="426"/>
          <w:tab w:val="center" w:pos="4680"/>
          <w:tab w:val="left" w:pos="6430"/>
        </w:tabs>
        <w:jc w:val="both"/>
        <w:rPr>
          <w:rFonts w:ascii="Cambria" w:eastAsia="Cambria" w:hAnsi="Cambria" w:cs="Cambria"/>
          <w:i/>
          <w:sz w:val="20"/>
          <w:szCs w:val="20"/>
        </w:rPr>
      </w:pPr>
    </w:p>
    <w:p w14:paraId="1BB14740" w14:textId="00DBC1C2" w:rsidR="005D5654" w:rsidRPr="00EA15ED" w:rsidRDefault="00532281" w:rsidP="00532281">
      <w:pPr>
        <w:tabs>
          <w:tab w:val="left" w:pos="426"/>
          <w:tab w:val="center" w:pos="4680"/>
          <w:tab w:val="left" w:pos="6430"/>
        </w:tabs>
        <w:jc w:val="both"/>
        <w:rPr>
          <w:rFonts w:ascii="Cambria" w:hAnsi="Cambria"/>
          <w:iCs/>
          <w:sz w:val="20"/>
          <w:szCs w:val="20"/>
        </w:rPr>
      </w:pPr>
      <w:r w:rsidRPr="00EA15ED">
        <w:rPr>
          <w:rFonts w:ascii="Cambria" w:hAnsi="Cambria"/>
          <w:iCs/>
          <w:sz w:val="20"/>
          <w:szCs w:val="20"/>
        </w:rPr>
        <w:t>[…]</w:t>
      </w:r>
    </w:p>
    <w:p w14:paraId="1BB69BD2" w14:textId="301A35F1" w:rsidR="00532281" w:rsidRPr="00EA15ED" w:rsidRDefault="00532281" w:rsidP="00532281">
      <w:pPr>
        <w:tabs>
          <w:tab w:val="left" w:pos="426"/>
          <w:tab w:val="center" w:pos="4680"/>
          <w:tab w:val="left" w:pos="6430"/>
        </w:tabs>
        <w:jc w:val="both"/>
        <w:rPr>
          <w:rFonts w:ascii="Cambria" w:hAnsi="Cambria"/>
          <w:iCs/>
          <w:sz w:val="20"/>
          <w:szCs w:val="20"/>
        </w:rPr>
      </w:pPr>
      <w:r w:rsidRPr="00EA15ED">
        <w:rPr>
          <w:rFonts w:ascii="Cambria" w:hAnsi="Cambria"/>
          <w:iCs/>
          <w:sz w:val="20"/>
          <w:szCs w:val="20"/>
        </w:rPr>
        <w:t>[…]</w:t>
      </w:r>
    </w:p>
    <w:p w14:paraId="787E0348" w14:textId="28A9B50B" w:rsidR="00532281" w:rsidRPr="00EA15ED" w:rsidRDefault="00532281" w:rsidP="00532281">
      <w:pPr>
        <w:tabs>
          <w:tab w:val="left" w:pos="426"/>
          <w:tab w:val="center" w:pos="4680"/>
          <w:tab w:val="left" w:pos="6430"/>
        </w:tabs>
        <w:jc w:val="both"/>
        <w:rPr>
          <w:rFonts w:ascii="Cambria" w:hAnsi="Cambria"/>
          <w:iCs/>
          <w:sz w:val="20"/>
          <w:szCs w:val="20"/>
        </w:rPr>
      </w:pPr>
      <w:r w:rsidRPr="00EA15ED">
        <w:rPr>
          <w:rFonts w:ascii="Cambria" w:hAnsi="Cambria"/>
          <w:iCs/>
          <w:sz w:val="20"/>
          <w:szCs w:val="20"/>
        </w:rPr>
        <w:t>[…]</w:t>
      </w:r>
    </w:p>
    <w:p w14:paraId="7B072F7F" w14:textId="77777777" w:rsidR="005D5654" w:rsidRPr="00EA15ED" w:rsidRDefault="005D5654" w:rsidP="005D5654">
      <w:pPr>
        <w:tabs>
          <w:tab w:val="left" w:pos="426"/>
          <w:tab w:val="center" w:pos="4680"/>
          <w:tab w:val="left" w:pos="6430"/>
        </w:tabs>
        <w:jc w:val="both"/>
        <w:rPr>
          <w:rFonts w:ascii="Cambria" w:eastAsia="Cambria" w:hAnsi="Cambria" w:cs="Cambria"/>
          <w:i/>
          <w:sz w:val="20"/>
          <w:szCs w:val="20"/>
        </w:rPr>
      </w:pPr>
    </w:p>
    <w:p w14:paraId="5DB625C1" w14:textId="77777777" w:rsidR="005D5654" w:rsidRPr="00EA15ED" w:rsidRDefault="005D5654" w:rsidP="005D5654">
      <w:pPr>
        <w:tabs>
          <w:tab w:val="left" w:pos="426"/>
          <w:tab w:val="center" w:pos="4680"/>
          <w:tab w:val="left" w:pos="6430"/>
        </w:tabs>
        <w:jc w:val="both"/>
        <w:rPr>
          <w:rFonts w:ascii="Cambria" w:eastAsia="Cambria" w:hAnsi="Cambria" w:cs="Cambria"/>
          <w:sz w:val="20"/>
          <w:szCs w:val="20"/>
        </w:rPr>
      </w:pPr>
      <w:r w:rsidRPr="00EA15ED">
        <w:rPr>
          <w:rFonts w:ascii="Cambria" w:hAnsi="Cambria"/>
          <w:i/>
          <w:sz w:val="20"/>
          <w:szCs w:val="20"/>
        </w:rPr>
        <w:tab/>
      </w:r>
      <w:r w:rsidRPr="00EA15ED">
        <w:rPr>
          <w:rFonts w:ascii="Cambria" w:hAnsi="Cambria"/>
          <w:i/>
          <w:iCs/>
          <w:sz w:val="20"/>
          <w:szCs w:val="20"/>
        </w:rPr>
        <w:t>APRECIANDO</w:t>
      </w:r>
      <w:r w:rsidRPr="00EA15ED">
        <w:rPr>
          <w:rFonts w:ascii="Cambria" w:hAnsi="Cambria"/>
          <w:sz w:val="20"/>
          <w:szCs w:val="20"/>
        </w:rPr>
        <w:t xml:space="preserve"> el importante trabajo realizado por ICCAT para avanzar en la MSE para el atún rojo, lo que incluye la adopción de la R</w:t>
      </w:r>
      <w:r w:rsidRPr="00EA15ED">
        <w:rPr>
          <w:rFonts w:ascii="Cambria" w:hAnsi="Cambria"/>
          <w:i/>
          <w:iCs/>
          <w:sz w:val="20"/>
          <w:szCs w:val="20"/>
        </w:rPr>
        <w:t xml:space="preserve">esolución de ICCAT sobre el desarrollo de objetivos de ordenación iniciales para el atún rojo del este y del oeste </w:t>
      </w:r>
      <w:r w:rsidRPr="00EA15ED">
        <w:rPr>
          <w:rFonts w:ascii="Cambria" w:hAnsi="Cambria"/>
          <w:sz w:val="20"/>
          <w:szCs w:val="20"/>
        </w:rPr>
        <w:t xml:space="preserve">(Res. 18-03), y las actividades intersesiones realizadas para finalizar estos objetivos de ordenación en consonancia con el Convenio, con la </w:t>
      </w:r>
      <w:r w:rsidRPr="00EA15ED">
        <w:rPr>
          <w:rFonts w:ascii="Cambria" w:hAnsi="Cambria"/>
          <w:i/>
          <w:iCs/>
          <w:sz w:val="20"/>
          <w:szCs w:val="20"/>
        </w:rPr>
        <w:t>Recomendación de ICCAT sobre los principios de toma de decisiones para las medidas de conservación y ordenación de ICCA</w:t>
      </w:r>
      <w:r w:rsidRPr="00EA15ED">
        <w:rPr>
          <w:rFonts w:ascii="Cambria" w:hAnsi="Cambria"/>
          <w:sz w:val="20"/>
          <w:szCs w:val="20"/>
        </w:rPr>
        <w:t xml:space="preserve">T (Rec. 11-13) y con la </w:t>
      </w:r>
      <w:r w:rsidRPr="00EA15ED">
        <w:rPr>
          <w:rFonts w:ascii="Cambria" w:hAnsi="Cambria"/>
          <w:i/>
          <w:iCs/>
          <w:sz w:val="20"/>
          <w:szCs w:val="20"/>
        </w:rPr>
        <w:t>Recomendación de ICCAT sobre el desarrollo de normas de control de capturas y de evaluación de estrategias de ordenació</w:t>
      </w:r>
      <w:r w:rsidRPr="00EA15ED">
        <w:rPr>
          <w:rFonts w:ascii="Cambria" w:hAnsi="Cambria"/>
          <w:sz w:val="20"/>
          <w:szCs w:val="20"/>
        </w:rPr>
        <w:t>n (Rec. 15-07);</w:t>
      </w:r>
    </w:p>
    <w:p w14:paraId="2FD33874" w14:textId="77777777" w:rsidR="005D5654" w:rsidRPr="00EA15ED" w:rsidRDefault="005D5654" w:rsidP="005D5654">
      <w:pPr>
        <w:tabs>
          <w:tab w:val="left" w:pos="426"/>
          <w:tab w:val="center" w:pos="4680"/>
          <w:tab w:val="left" w:pos="6430"/>
        </w:tabs>
        <w:jc w:val="both"/>
        <w:rPr>
          <w:rFonts w:ascii="Cambria" w:eastAsia="Cambria" w:hAnsi="Cambria" w:cs="Cambria"/>
          <w:i/>
          <w:sz w:val="20"/>
          <w:szCs w:val="20"/>
        </w:rPr>
      </w:pPr>
    </w:p>
    <w:p w14:paraId="55297DBA" w14:textId="4506DAE4" w:rsidR="005D5654" w:rsidRPr="00EA15ED" w:rsidRDefault="005D5654" w:rsidP="005D5654">
      <w:pPr>
        <w:tabs>
          <w:tab w:val="left" w:pos="426"/>
          <w:tab w:val="center" w:pos="4680"/>
          <w:tab w:val="left" w:pos="6430"/>
        </w:tabs>
        <w:jc w:val="both"/>
        <w:rPr>
          <w:rFonts w:ascii="Cambria" w:eastAsia="Cambria" w:hAnsi="Cambria" w:cs="Cambria"/>
          <w:sz w:val="20"/>
          <w:szCs w:val="20"/>
        </w:rPr>
      </w:pPr>
      <w:r w:rsidRPr="00EA15ED">
        <w:rPr>
          <w:rFonts w:ascii="Cambria" w:hAnsi="Cambria"/>
          <w:i/>
          <w:sz w:val="20"/>
          <w:szCs w:val="20"/>
        </w:rPr>
        <w:tab/>
      </w:r>
      <w:bookmarkStart w:id="3" w:name="_Hlk213755213"/>
      <w:r w:rsidRPr="00EA15ED">
        <w:rPr>
          <w:rFonts w:ascii="Cambria" w:hAnsi="Cambria"/>
          <w:i/>
          <w:iCs/>
          <w:sz w:val="20"/>
          <w:szCs w:val="20"/>
        </w:rPr>
        <w:t>RECONOCIENDO</w:t>
      </w:r>
      <w:r w:rsidRPr="00EA15ED">
        <w:rPr>
          <w:rFonts w:ascii="Cambria" w:hAnsi="Cambria"/>
          <w:sz w:val="20"/>
          <w:szCs w:val="20"/>
        </w:rPr>
        <w:t xml:space="preserve"> el marco de MSE completo desarrollado por el SCRS que se ha utilizado para poner a prueba los </w:t>
      </w:r>
      <w:r w:rsidR="00006F00" w:rsidRPr="00EA15ED">
        <w:rPr>
          <w:rFonts w:ascii="Cambria" w:hAnsi="Cambria"/>
          <w:sz w:val="20"/>
          <w:szCs w:val="20"/>
        </w:rPr>
        <w:t>procedimientos de ordenación (</w:t>
      </w:r>
      <w:r w:rsidRPr="00EA15ED">
        <w:rPr>
          <w:rFonts w:ascii="Cambria" w:hAnsi="Cambria"/>
          <w:sz w:val="20"/>
          <w:szCs w:val="20"/>
        </w:rPr>
        <w:t>MP</w:t>
      </w:r>
      <w:r w:rsidR="00006F00" w:rsidRPr="00EA15ED">
        <w:rPr>
          <w:rFonts w:ascii="Cambria" w:hAnsi="Cambria"/>
          <w:sz w:val="20"/>
          <w:szCs w:val="20"/>
        </w:rPr>
        <w:t>)</w:t>
      </w:r>
      <w:r w:rsidRPr="00EA15ED">
        <w:rPr>
          <w:rFonts w:ascii="Cambria" w:hAnsi="Cambria"/>
          <w:sz w:val="20"/>
          <w:szCs w:val="20"/>
        </w:rPr>
        <w:t xml:space="preserve"> candidatos con el fin de demostrar las compensaciones de factores entre los objetivos de ordenación identificados por la Subcomisión 2 con respecto al estado del stock, la seguridad, la estabilidad y el rendimiento, y considerando el resultado de dichas pruebas, que también incluían el examen de los ciclos de ordenación de dos y tres años y el posible establecimiento de un umbral mínimo de cambio de</w:t>
      </w:r>
      <w:r w:rsidR="00EA15ED" w:rsidRPr="00EA15ED">
        <w:rPr>
          <w:rFonts w:ascii="Cambria" w:hAnsi="Cambria"/>
          <w:sz w:val="20"/>
          <w:szCs w:val="20"/>
        </w:rPr>
        <w:t>l</w:t>
      </w:r>
      <w:r w:rsidRPr="00EA15ED">
        <w:rPr>
          <w:rFonts w:ascii="Cambria" w:hAnsi="Cambria"/>
          <w:sz w:val="20"/>
          <w:szCs w:val="20"/>
        </w:rPr>
        <w:t xml:space="preserve"> </w:t>
      </w:r>
      <w:r w:rsidR="00EA15ED" w:rsidRPr="00EA15ED">
        <w:rPr>
          <w:rFonts w:ascii="Cambria" w:hAnsi="Cambria"/>
          <w:sz w:val="20"/>
          <w:szCs w:val="20"/>
        </w:rPr>
        <w:t>total admisible de capturas (</w:t>
      </w:r>
      <w:r w:rsidRPr="00EA15ED">
        <w:rPr>
          <w:rFonts w:ascii="Cambria" w:hAnsi="Cambria"/>
          <w:sz w:val="20"/>
          <w:szCs w:val="20"/>
        </w:rPr>
        <w:t>TAC</w:t>
      </w:r>
      <w:r w:rsidR="00EA15ED" w:rsidRPr="00EA15ED">
        <w:rPr>
          <w:rFonts w:ascii="Cambria" w:hAnsi="Cambria"/>
          <w:sz w:val="20"/>
          <w:szCs w:val="20"/>
        </w:rPr>
        <w:t>)</w:t>
      </w:r>
      <w:r w:rsidRPr="00EA15ED">
        <w:rPr>
          <w:rFonts w:ascii="Cambria" w:hAnsi="Cambria"/>
          <w:sz w:val="20"/>
          <w:szCs w:val="20"/>
        </w:rPr>
        <w:t>;</w:t>
      </w:r>
    </w:p>
    <w:bookmarkEnd w:id="3"/>
    <w:p w14:paraId="33C91C44" w14:textId="77777777" w:rsidR="005D5654" w:rsidRPr="00EA15ED" w:rsidRDefault="005D5654" w:rsidP="005D5654">
      <w:pPr>
        <w:tabs>
          <w:tab w:val="left" w:pos="426"/>
          <w:tab w:val="center" w:pos="4680"/>
          <w:tab w:val="left" w:pos="6430"/>
        </w:tabs>
        <w:jc w:val="both"/>
        <w:rPr>
          <w:rFonts w:ascii="Cambria" w:eastAsia="Cambria" w:hAnsi="Cambria" w:cs="Cambria"/>
          <w:i/>
          <w:sz w:val="20"/>
          <w:szCs w:val="20"/>
        </w:rPr>
      </w:pPr>
    </w:p>
    <w:p w14:paraId="454E326C" w14:textId="47F3E500" w:rsidR="005D5654" w:rsidRPr="00EA15ED" w:rsidRDefault="005D5654" w:rsidP="005D5654">
      <w:pPr>
        <w:tabs>
          <w:tab w:val="left" w:pos="426"/>
          <w:tab w:val="center" w:pos="4680"/>
          <w:tab w:val="left" w:pos="6430"/>
        </w:tabs>
        <w:jc w:val="both"/>
        <w:rPr>
          <w:rFonts w:ascii="Cambria" w:eastAsia="Cambria" w:hAnsi="Cambria" w:cs="Cambria"/>
          <w:sz w:val="20"/>
          <w:szCs w:val="20"/>
        </w:rPr>
      </w:pPr>
      <w:r w:rsidRPr="00EA15ED">
        <w:rPr>
          <w:rFonts w:ascii="Cambria" w:hAnsi="Cambria"/>
          <w:i/>
          <w:sz w:val="20"/>
          <w:szCs w:val="20"/>
        </w:rPr>
        <w:tab/>
      </w:r>
      <w:r w:rsidR="00B04D97" w:rsidRPr="00EA15ED">
        <w:rPr>
          <w:rFonts w:ascii="Cambria" w:hAnsi="Cambria"/>
          <w:i/>
          <w:iCs/>
          <w:sz w:val="20"/>
          <w:szCs w:val="20"/>
          <w:u w:val="single"/>
        </w:rPr>
        <w:t xml:space="preserve">RECONOCIENDO </w:t>
      </w:r>
      <w:r w:rsidR="00D47D29" w:rsidRPr="00EA15ED">
        <w:rPr>
          <w:rFonts w:ascii="Cambria" w:hAnsi="Cambria"/>
          <w:i/>
          <w:iCs/>
          <w:sz w:val="20"/>
          <w:szCs w:val="20"/>
          <w:u w:val="single"/>
        </w:rPr>
        <w:t xml:space="preserve">ADEMÁS </w:t>
      </w:r>
      <w:r w:rsidRPr="00EA15ED">
        <w:rPr>
          <w:rFonts w:ascii="Cambria" w:hAnsi="Cambria"/>
          <w:sz w:val="20"/>
          <w:szCs w:val="20"/>
        </w:rPr>
        <w:t>la adopción de un MP en 2022 para establecer los TAC tanto para las zonas de ordenación del atún rojo del Atlántico este y Mediterráneo como del Atlántico occidental, a partir de 2023;</w:t>
      </w:r>
    </w:p>
    <w:p w14:paraId="410DC6BC" w14:textId="77777777" w:rsidR="00D47D29" w:rsidRPr="00EA15ED" w:rsidRDefault="005D5654" w:rsidP="00B04D97">
      <w:pPr>
        <w:tabs>
          <w:tab w:val="left" w:pos="426"/>
          <w:tab w:val="center" w:pos="4680"/>
          <w:tab w:val="left" w:pos="6430"/>
        </w:tabs>
        <w:ind w:firstLine="426"/>
        <w:jc w:val="both"/>
        <w:rPr>
          <w:rFonts w:ascii="Cambria" w:hAnsi="Cambria"/>
          <w:i/>
          <w:color w:val="231F20"/>
          <w:sz w:val="20"/>
          <w:szCs w:val="20"/>
        </w:rPr>
      </w:pPr>
      <w:r w:rsidRPr="00EA15ED">
        <w:rPr>
          <w:rFonts w:ascii="Cambria" w:hAnsi="Cambria"/>
          <w:i/>
          <w:color w:val="231F20"/>
          <w:sz w:val="20"/>
          <w:szCs w:val="20"/>
        </w:rPr>
        <w:tab/>
      </w:r>
    </w:p>
    <w:p w14:paraId="4F968B65" w14:textId="05B173C6" w:rsidR="00B04D97" w:rsidRPr="00EA15ED" w:rsidRDefault="00B04D97" w:rsidP="00B04D97">
      <w:pPr>
        <w:tabs>
          <w:tab w:val="left" w:pos="426"/>
          <w:tab w:val="center" w:pos="4680"/>
          <w:tab w:val="left" w:pos="6430"/>
        </w:tabs>
        <w:ind w:firstLine="426"/>
        <w:jc w:val="both"/>
        <w:rPr>
          <w:rFonts w:ascii="Cambria" w:eastAsia="Cambria" w:hAnsi="Cambria" w:cs="Cambria"/>
          <w:strike/>
          <w:sz w:val="20"/>
          <w:szCs w:val="24"/>
          <w:u w:val="single"/>
        </w:rPr>
      </w:pPr>
      <w:r w:rsidRPr="00EA15ED">
        <w:rPr>
          <w:rFonts w:ascii="Cambria" w:eastAsia="Times New Roman" w:hAnsi="Cambria" w:cs="Times New Roman"/>
          <w:i/>
          <w:iCs/>
          <w:sz w:val="20"/>
          <w:szCs w:val="24"/>
          <w:u w:val="single"/>
        </w:rPr>
        <w:t xml:space="preserve">RECONOCIENDO </w:t>
      </w:r>
      <w:r w:rsidR="00D47D29" w:rsidRPr="00EA15ED">
        <w:rPr>
          <w:rFonts w:ascii="Cambria" w:eastAsia="Times New Roman" w:hAnsi="Cambria" w:cs="Times New Roman"/>
          <w:i/>
          <w:iCs/>
          <w:sz w:val="20"/>
          <w:szCs w:val="24"/>
          <w:u w:val="single"/>
        </w:rPr>
        <w:t xml:space="preserve">ADEMÁS </w:t>
      </w:r>
      <w:r w:rsidRPr="00EA15ED">
        <w:rPr>
          <w:rFonts w:ascii="Cambria" w:eastAsia="Times New Roman" w:hAnsi="Cambria" w:cs="Times New Roman"/>
          <w:sz w:val="20"/>
          <w:szCs w:val="24"/>
          <w:u w:val="single"/>
        </w:rPr>
        <w:t>que el SCRS tiene la obligación de evaluar anualmente la existencia de circunstancias excepcionales;</w:t>
      </w:r>
    </w:p>
    <w:p w14:paraId="712CF198" w14:textId="68C38501" w:rsidR="00B04D97" w:rsidRPr="00B04D97" w:rsidRDefault="00B04D97" w:rsidP="00B04D97">
      <w:pPr>
        <w:widowControl/>
        <w:tabs>
          <w:tab w:val="left" w:pos="426"/>
          <w:tab w:val="center" w:pos="4680"/>
          <w:tab w:val="left" w:pos="6430"/>
        </w:tabs>
        <w:spacing w:before="240" w:after="240"/>
        <w:jc w:val="both"/>
        <w:rPr>
          <w:rFonts w:ascii="Cambria" w:eastAsia="Cambria" w:hAnsi="Cambria" w:cs="Cambria"/>
          <w:iCs/>
          <w:color w:val="231F20"/>
          <w:sz w:val="20"/>
          <w:szCs w:val="20"/>
          <w:u w:val="single"/>
        </w:rPr>
      </w:pPr>
      <w:r w:rsidRPr="00B04D97">
        <w:rPr>
          <w:rFonts w:ascii="Cambria" w:eastAsia="Times New Roman" w:hAnsi="Cambria" w:cs="Times New Roman"/>
          <w:i/>
          <w:color w:val="231F20"/>
          <w:sz w:val="20"/>
          <w:szCs w:val="24"/>
        </w:rPr>
        <w:tab/>
      </w:r>
      <w:r w:rsidRPr="00B04D97">
        <w:rPr>
          <w:rFonts w:ascii="Cambria" w:eastAsia="Times New Roman" w:hAnsi="Cambria" w:cs="Times New Roman"/>
          <w:i/>
          <w:iCs/>
          <w:color w:val="231F20"/>
          <w:sz w:val="20"/>
          <w:szCs w:val="24"/>
          <w:u w:val="single"/>
        </w:rPr>
        <w:t>CONSCIENTE</w:t>
      </w:r>
      <w:r w:rsidRPr="00B04D97">
        <w:rPr>
          <w:rFonts w:ascii="Cambria" w:eastAsia="Times New Roman" w:hAnsi="Cambria" w:cs="Times New Roman"/>
          <w:color w:val="231F20"/>
          <w:sz w:val="20"/>
          <w:szCs w:val="24"/>
          <w:u w:val="single"/>
        </w:rPr>
        <w:t xml:space="preserve"> de que en 2025 el SCRS evaluó la existencia de circunstancias excepcionales, pero no pudo llegar a un consenso, lo que dio lugar a la </w:t>
      </w:r>
      <w:r w:rsidR="00006F00" w:rsidRPr="00EA15ED">
        <w:rPr>
          <w:rFonts w:ascii="Cambria" w:eastAsia="Times New Roman" w:hAnsi="Cambria" w:cs="Times New Roman"/>
          <w:color w:val="231F20"/>
          <w:sz w:val="20"/>
          <w:szCs w:val="24"/>
          <w:u w:val="single"/>
        </w:rPr>
        <w:t>formulación</w:t>
      </w:r>
      <w:r w:rsidRPr="00B04D97">
        <w:rPr>
          <w:rFonts w:ascii="Cambria" w:eastAsia="Times New Roman" w:hAnsi="Cambria" w:cs="Times New Roman"/>
          <w:color w:val="231F20"/>
          <w:sz w:val="20"/>
          <w:szCs w:val="24"/>
          <w:u w:val="single"/>
        </w:rPr>
        <w:t xml:space="preserve"> de dos conjuntos de asesoramiento sobre el TAC (BR y BR*);</w:t>
      </w:r>
    </w:p>
    <w:p w14:paraId="643D4FC6" w14:textId="77777777" w:rsidR="00B04D97" w:rsidRPr="00B04D97" w:rsidRDefault="00B04D97" w:rsidP="00B04D97">
      <w:pPr>
        <w:widowControl/>
        <w:tabs>
          <w:tab w:val="left" w:pos="426"/>
          <w:tab w:val="center" w:pos="4680"/>
          <w:tab w:val="left" w:pos="6430"/>
        </w:tabs>
        <w:spacing w:before="240" w:after="240"/>
        <w:jc w:val="both"/>
        <w:rPr>
          <w:rFonts w:ascii="Cambria" w:eastAsia="Cambria" w:hAnsi="Cambria" w:cs="Cambria"/>
          <w:iCs/>
          <w:color w:val="231F20"/>
          <w:sz w:val="20"/>
          <w:szCs w:val="20"/>
          <w:u w:val="single"/>
        </w:rPr>
      </w:pPr>
      <w:r w:rsidRPr="00B04D97">
        <w:rPr>
          <w:rFonts w:ascii="Cambria" w:eastAsia="Times New Roman" w:hAnsi="Cambria" w:cs="Times New Roman"/>
          <w:color w:val="231F20"/>
          <w:sz w:val="20"/>
          <w:szCs w:val="24"/>
        </w:rPr>
        <w:tab/>
      </w:r>
      <w:r w:rsidRPr="00B04D97">
        <w:rPr>
          <w:rFonts w:ascii="Cambria" w:eastAsia="Times New Roman" w:hAnsi="Cambria" w:cs="Times New Roman"/>
          <w:i/>
          <w:iCs/>
          <w:color w:val="231F20"/>
          <w:sz w:val="20"/>
          <w:szCs w:val="24"/>
          <w:u w:val="single"/>
        </w:rPr>
        <w:t>OBSERVANDO</w:t>
      </w:r>
      <w:r w:rsidRPr="00B04D97">
        <w:rPr>
          <w:rFonts w:ascii="Cambria" w:eastAsia="Times New Roman" w:hAnsi="Cambria" w:cs="Times New Roman"/>
          <w:color w:val="231F20"/>
          <w:sz w:val="20"/>
          <w:szCs w:val="24"/>
          <w:u w:val="single"/>
        </w:rPr>
        <w:t xml:space="preserve"> que los resultados para el marcado y recaptura de individuos estrechamente emparentados (</w:t>
      </w:r>
      <w:proofErr w:type="spellStart"/>
      <w:r w:rsidRPr="00B04D97">
        <w:rPr>
          <w:rFonts w:ascii="Cambria" w:eastAsia="Times New Roman" w:hAnsi="Cambria" w:cs="Times New Roman"/>
          <w:color w:val="231F20"/>
          <w:sz w:val="20"/>
          <w:szCs w:val="24"/>
          <w:u w:val="single"/>
        </w:rPr>
        <w:t>CKMR</w:t>
      </w:r>
      <w:proofErr w:type="spellEnd"/>
      <w:r w:rsidRPr="00B04D97">
        <w:rPr>
          <w:rFonts w:ascii="Cambria" w:eastAsia="Times New Roman" w:hAnsi="Cambria" w:cs="Times New Roman"/>
          <w:color w:val="231F20"/>
          <w:sz w:val="20"/>
          <w:szCs w:val="24"/>
          <w:u w:val="single"/>
        </w:rPr>
        <w:t>) para el stock occidental muestran que la escala de la biomasa en la región occidental se encuentra en el límite superior de lo que se utilizó en el desarrollo del MP;</w:t>
      </w:r>
    </w:p>
    <w:p w14:paraId="1F2A4D00" w14:textId="00307C9A" w:rsidR="00B04D97" w:rsidRPr="00B04D97" w:rsidRDefault="00B04D97" w:rsidP="00B04D97">
      <w:pPr>
        <w:widowControl/>
        <w:tabs>
          <w:tab w:val="left" w:pos="426"/>
          <w:tab w:val="center" w:pos="4680"/>
          <w:tab w:val="left" w:pos="6430"/>
        </w:tabs>
        <w:spacing w:before="240" w:after="240"/>
        <w:jc w:val="both"/>
        <w:rPr>
          <w:rFonts w:ascii="Cambria" w:eastAsia="Cambria" w:hAnsi="Cambria" w:cs="Cambria"/>
          <w:color w:val="231F20"/>
          <w:sz w:val="20"/>
          <w:szCs w:val="24"/>
          <w:u w:val="single"/>
        </w:rPr>
      </w:pPr>
      <w:r w:rsidRPr="00B04D97">
        <w:rPr>
          <w:rFonts w:ascii="Cambria" w:eastAsia="Times New Roman" w:hAnsi="Cambria" w:cs="Times New Roman"/>
          <w:color w:val="231F20"/>
          <w:sz w:val="20"/>
          <w:szCs w:val="24"/>
        </w:rPr>
        <w:tab/>
      </w:r>
      <w:r w:rsidRPr="00B04D97">
        <w:rPr>
          <w:rFonts w:ascii="Cambria" w:eastAsia="Times New Roman" w:hAnsi="Cambria" w:cs="Times New Roman"/>
          <w:i/>
          <w:iCs/>
          <w:color w:val="231F20"/>
          <w:sz w:val="20"/>
          <w:szCs w:val="24"/>
          <w:u w:val="single"/>
        </w:rPr>
        <w:t>CONSCIENTE</w:t>
      </w:r>
      <w:r w:rsidRPr="00B04D97">
        <w:rPr>
          <w:rFonts w:ascii="Cambria" w:eastAsia="Times New Roman" w:hAnsi="Cambria" w:cs="Times New Roman"/>
          <w:color w:val="231F20"/>
          <w:sz w:val="20"/>
          <w:szCs w:val="24"/>
          <w:u w:val="single"/>
        </w:rPr>
        <w:t xml:space="preserve"> de que la incertidumbre en la escala era la incertidumbre más influyente incorporada en la MSE del atún rojo y tenía una gran influencia en el desarrollo y el desempeño de</w:t>
      </w:r>
      <w:r w:rsidR="00006F00" w:rsidRPr="00EA15ED">
        <w:rPr>
          <w:rFonts w:ascii="Cambria" w:eastAsia="Times New Roman" w:hAnsi="Cambria" w:cs="Times New Roman"/>
          <w:color w:val="231F20"/>
          <w:sz w:val="20"/>
          <w:szCs w:val="24"/>
          <w:u w:val="single"/>
        </w:rPr>
        <w:t>l MP</w:t>
      </w:r>
      <w:r w:rsidRPr="00B04D97">
        <w:rPr>
          <w:rFonts w:ascii="Cambria" w:eastAsia="Times New Roman" w:hAnsi="Cambria" w:cs="Times New Roman"/>
          <w:color w:val="231F20"/>
          <w:sz w:val="20"/>
          <w:szCs w:val="24"/>
          <w:u w:val="single"/>
        </w:rPr>
        <w:t xml:space="preserve">, y que, por lo tanto, es imperativo que los resultados del </w:t>
      </w:r>
      <w:proofErr w:type="spellStart"/>
      <w:r w:rsidRPr="00B04D97">
        <w:rPr>
          <w:rFonts w:ascii="Cambria" w:eastAsia="Times New Roman" w:hAnsi="Cambria" w:cs="Times New Roman"/>
          <w:color w:val="231F20"/>
          <w:sz w:val="20"/>
          <w:szCs w:val="24"/>
          <w:u w:val="single"/>
        </w:rPr>
        <w:t>CKMR</w:t>
      </w:r>
      <w:proofErr w:type="spellEnd"/>
      <w:r w:rsidRPr="00B04D97">
        <w:rPr>
          <w:rFonts w:ascii="Cambria" w:eastAsia="Times New Roman" w:hAnsi="Cambria" w:cs="Times New Roman"/>
          <w:color w:val="231F20"/>
          <w:sz w:val="20"/>
          <w:szCs w:val="24"/>
          <w:u w:val="single"/>
        </w:rPr>
        <w:t xml:space="preserve"> para el stock occidental se incorporen a la MSE;</w:t>
      </w:r>
    </w:p>
    <w:p w14:paraId="34D8CC52" w14:textId="77777777" w:rsidR="00B04D97" w:rsidRPr="00B04D97" w:rsidRDefault="00B04D97" w:rsidP="00B04D97">
      <w:pPr>
        <w:widowControl/>
        <w:tabs>
          <w:tab w:val="left" w:pos="426"/>
          <w:tab w:val="center" w:pos="4680"/>
          <w:tab w:val="left" w:pos="6430"/>
        </w:tabs>
        <w:spacing w:before="240" w:after="240"/>
        <w:jc w:val="both"/>
        <w:rPr>
          <w:rFonts w:ascii="Cambria" w:eastAsia="Cambria" w:hAnsi="Cambria" w:cs="Cambria"/>
          <w:iCs/>
          <w:color w:val="231F20"/>
          <w:sz w:val="20"/>
          <w:szCs w:val="20"/>
          <w:u w:val="single"/>
        </w:rPr>
      </w:pPr>
      <w:r w:rsidRPr="00B04D97">
        <w:rPr>
          <w:rFonts w:ascii="Cambria" w:eastAsia="Times New Roman" w:hAnsi="Cambria" w:cs="Times New Roman"/>
          <w:color w:val="231F20"/>
          <w:sz w:val="20"/>
          <w:szCs w:val="24"/>
        </w:rPr>
        <w:tab/>
      </w:r>
      <w:r w:rsidRPr="00B04D97">
        <w:rPr>
          <w:rFonts w:ascii="Cambria" w:eastAsia="Times New Roman" w:hAnsi="Cambria" w:cs="Times New Roman"/>
          <w:i/>
          <w:iCs/>
          <w:color w:val="231F20"/>
          <w:sz w:val="20"/>
          <w:szCs w:val="24"/>
          <w:u w:val="single"/>
        </w:rPr>
        <w:t>DESTACANDO</w:t>
      </w:r>
      <w:r w:rsidRPr="00B04D97">
        <w:rPr>
          <w:rFonts w:ascii="Cambria" w:eastAsia="Times New Roman" w:hAnsi="Cambria" w:cs="Times New Roman"/>
          <w:color w:val="231F20"/>
          <w:sz w:val="20"/>
          <w:szCs w:val="24"/>
          <w:u w:val="single"/>
        </w:rPr>
        <w:t xml:space="preserve"> que, tras la inclusión de los resultados de </w:t>
      </w:r>
      <w:proofErr w:type="spellStart"/>
      <w:r w:rsidRPr="00B04D97">
        <w:rPr>
          <w:rFonts w:ascii="Cambria" w:eastAsia="Times New Roman" w:hAnsi="Cambria" w:cs="Times New Roman"/>
          <w:color w:val="231F20"/>
          <w:sz w:val="20"/>
          <w:szCs w:val="24"/>
          <w:u w:val="single"/>
        </w:rPr>
        <w:t>CKMR</w:t>
      </w:r>
      <w:proofErr w:type="spellEnd"/>
      <w:r w:rsidRPr="00B04D97">
        <w:rPr>
          <w:rFonts w:ascii="Cambria" w:eastAsia="Times New Roman" w:hAnsi="Cambria" w:cs="Times New Roman"/>
          <w:color w:val="231F20"/>
          <w:sz w:val="20"/>
          <w:szCs w:val="24"/>
          <w:u w:val="single"/>
        </w:rPr>
        <w:t xml:space="preserve"> para el stock occidental, BR no cumple la medición de desempeño de nivel de merma más bajo acordada previamente para el objetivo de ordenación de seguridad y, por lo tanto, su implementación infringiría la </w:t>
      </w:r>
      <w:r w:rsidRPr="00B04D97">
        <w:rPr>
          <w:rFonts w:ascii="Cambria" w:eastAsia="Times New Roman" w:hAnsi="Cambria" w:cs="Times New Roman"/>
          <w:i/>
          <w:iCs/>
          <w:color w:val="231F20"/>
          <w:sz w:val="20"/>
          <w:szCs w:val="24"/>
          <w:u w:val="single"/>
        </w:rPr>
        <w:t xml:space="preserve">Recomendación de ICCAT para establecer un procedimiento de ordenación para el atún rojo del Atlántico que se utilizará para las zonas de ordenación del Atlántico occidental y del Atlántico oriental y Mediterráneo </w:t>
      </w:r>
      <w:r w:rsidRPr="00B04D97">
        <w:rPr>
          <w:rFonts w:ascii="Cambria" w:eastAsia="Times New Roman" w:hAnsi="Cambria" w:cs="Times New Roman"/>
          <w:color w:val="231F20"/>
          <w:sz w:val="20"/>
          <w:szCs w:val="24"/>
          <w:u w:val="single"/>
        </w:rPr>
        <w:t xml:space="preserve">(Rec. 22-09); </w:t>
      </w:r>
    </w:p>
    <w:p w14:paraId="7C233F06" w14:textId="77777777" w:rsidR="00B04D97" w:rsidRPr="00B04D97" w:rsidRDefault="00B04D97" w:rsidP="00B04D97">
      <w:pPr>
        <w:widowControl/>
        <w:tabs>
          <w:tab w:val="left" w:pos="426"/>
          <w:tab w:val="center" w:pos="4680"/>
          <w:tab w:val="left" w:pos="6430"/>
        </w:tabs>
        <w:spacing w:before="240" w:after="240"/>
        <w:jc w:val="both"/>
        <w:rPr>
          <w:rFonts w:ascii="Cambria" w:eastAsia="Cambria" w:hAnsi="Cambria" w:cs="Cambria"/>
          <w:iCs/>
          <w:color w:val="231F20"/>
          <w:sz w:val="20"/>
          <w:szCs w:val="20"/>
          <w:u w:val="single"/>
        </w:rPr>
      </w:pPr>
      <w:r w:rsidRPr="00B04D97">
        <w:rPr>
          <w:rFonts w:ascii="Cambria" w:eastAsia="Times New Roman" w:hAnsi="Cambria" w:cs="Times New Roman"/>
          <w:color w:val="231F20"/>
          <w:sz w:val="20"/>
          <w:szCs w:val="24"/>
        </w:rPr>
        <w:tab/>
      </w:r>
      <w:r w:rsidRPr="00B04D97">
        <w:rPr>
          <w:rFonts w:ascii="Cambria" w:eastAsia="Times New Roman" w:hAnsi="Cambria" w:cs="Times New Roman"/>
          <w:i/>
          <w:iCs/>
          <w:color w:val="231F20"/>
          <w:sz w:val="20"/>
          <w:szCs w:val="24"/>
          <w:u w:val="single"/>
        </w:rPr>
        <w:t>OBSERVANDO</w:t>
      </w:r>
      <w:r w:rsidRPr="00B04D97">
        <w:rPr>
          <w:rFonts w:ascii="Cambria" w:eastAsia="Times New Roman" w:hAnsi="Cambria" w:cs="Times New Roman"/>
          <w:color w:val="231F20"/>
          <w:sz w:val="20"/>
          <w:szCs w:val="24"/>
          <w:u w:val="single"/>
        </w:rPr>
        <w:t xml:space="preserve"> que BR* se ajusta a la </w:t>
      </w:r>
      <w:r w:rsidRPr="00B04D97">
        <w:rPr>
          <w:rFonts w:ascii="Cambria" w:eastAsia="Times New Roman" w:hAnsi="Cambria" w:cs="Times New Roman"/>
          <w:i/>
          <w:iCs/>
          <w:color w:val="231F20"/>
          <w:sz w:val="20"/>
          <w:szCs w:val="24"/>
          <w:u w:val="single"/>
        </w:rPr>
        <w:t xml:space="preserve">Recomendación de ICCAT para establecer un procedimiento de ordenación para el atún rojo del Atlántico que se utilizará para las zonas de ordenación del Atlántico occidental y del Atlántico oriental y Mediterráneo </w:t>
      </w:r>
      <w:r w:rsidRPr="00B04D97">
        <w:rPr>
          <w:rFonts w:ascii="Cambria" w:eastAsia="Times New Roman" w:hAnsi="Cambria" w:cs="Times New Roman"/>
          <w:color w:val="231F20"/>
          <w:sz w:val="20"/>
          <w:szCs w:val="24"/>
          <w:u w:val="single"/>
        </w:rPr>
        <w:t xml:space="preserve">(Rec. 22-09), cumple todos los objetivos de ordenación y, por lo tanto, debería implementarse para el ciclo de ordenación 2026-2028; </w:t>
      </w:r>
    </w:p>
    <w:p w14:paraId="5F910E32" w14:textId="550373B8" w:rsidR="00B04D97" w:rsidRPr="00EA15ED" w:rsidRDefault="005D5654" w:rsidP="00B04D97">
      <w:pPr>
        <w:tabs>
          <w:tab w:val="left" w:pos="426"/>
          <w:tab w:val="center" w:pos="4680"/>
          <w:tab w:val="left" w:pos="6430"/>
        </w:tabs>
        <w:spacing w:before="240" w:after="240"/>
        <w:jc w:val="both"/>
        <w:rPr>
          <w:rFonts w:ascii="Cambria" w:hAnsi="Cambria"/>
          <w:color w:val="231F20"/>
          <w:sz w:val="20"/>
          <w:szCs w:val="20"/>
        </w:rPr>
      </w:pPr>
      <w:r w:rsidRPr="00EA15ED">
        <w:rPr>
          <w:rFonts w:ascii="Cambria" w:hAnsi="Cambria"/>
          <w:i/>
          <w:color w:val="231F20"/>
          <w:sz w:val="20"/>
          <w:szCs w:val="20"/>
        </w:rPr>
        <w:tab/>
      </w:r>
      <w:r w:rsidRPr="00EA15ED">
        <w:rPr>
          <w:rFonts w:ascii="Cambria" w:hAnsi="Cambria"/>
          <w:i/>
          <w:iCs/>
          <w:color w:val="231F20"/>
          <w:sz w:val="20"/>
          <w:szCs w:val="20"/>
        </w:rPr>
        <w:t>RECONOCIENDO</w:t>
      </w:r>
      <w:r w:rsidRPr="00EA15ED">
        <w:rPr>
          <w:rFonts w:ascii="Cambria" w:hAnsi="Cambria"/>
          <w:color w:val="231F20"/>
          <w:sz w:val="20"/>
          <w:szCs w:val="20"/>
        </w:rPr>
        <w:t xml:space="preserve"> que un elemento importante del MP es su revisión y que el SCRS ha recomendado que la primera revisión se realice </w:t>
      </w:r>
      <w:r w:rsidR="00B04D97" w:rsidRPr="00EA15ED">
        <w:rPr>
          <w:rFonts w:ascii="Cambria" w:hAnsi="Cambria"/>
          <w:color w:val="231F20"/>
          <w:sz w:val="20"/>
          <w:szCs w:val="20"/>
          <w:u w:val="single"/>
        </w:rPr>
        <w:t>a más tardar en</w:t>
      </w:r>
      <w:r w:rsidR="00B04D97" w:rsidRPr="00EA15ED">
        <w:rPr>
          <w:rFonts w:ascii="Cambria" w:hAnsi="Cambria"/>
          <w:color w:val="231F20"/>
          <w:sz w:val="20"/>
          <w:szCs w:val="20"/>
        </w:rPr>
        <w:t xml:space="preserve"> </w:t>
      </w:r>
      <w:r w:rsidRPr="00EA15ED">
        <w:rPr>
          <w:rFonts w:ascii="Cambria" w:hAnsi="Cambria"/>
          <w:color w:val="231F20"/>
          <w:sz w:val="20"/>
          <w:szCs w:val="20"/>
        </w:rPr>
        <w:t xml:space="preserve">2028 para garantizar que el MP tiene el desempeño previsto y para determinar si existen condiciones que justifiquen: el recondicionamiento de los modelos operativos de la MSE; la recalibración del MP existente; y/o la consideración de procedimientos de ordenación candidatos alternativos o de una nueva MSE completa; </w:t>
      </w:r>
    </w:p>
    <w:p w14:paraId="0E7CA92B" w14:textId="5ADA6ED3" w:rsidR="005D5654" w:rsidRPr="00EA15ED" w:rsidRDefault="00B04D97" w:rsidP="00B04D97">
      <w:pPr>
        <w:tabs>
          <w:tab w:val="left" w:pos="426"/>
          <w:tab w:val="center" w:pos="4680"/>
          <w:tab w:val="left" w:pos="6430"/>
        </w:tabs>
        <w:spacing w:before="240" w:after="240"/>
        <w:jc w:val="both"/>
        <w:rPr>
          <w:rFonts w:ascii="Cambria" w:eastAsia="Cambria" w:hAnsi="Cambria" w:cs="Cambria"/>
          <w:color w:val="231F20"/>
          <w:sz w:val="20"/>
          <w:szCs w:val="20"/>
        </w:rPr>
      </w:pPr>
      <w:r w:rsidRPr="00EA15ED">
        <w:rPr>
          <w:rFonts w:ascii="Cambria" w:hAnsi="Cambria"/>
          <w:color w:val="231F20"/>
          <w:sz w:val="20"/>
          <w:szCs w:val="20"/>
        </w:rPr>
        <w:tab/>
      </w:r>
      <w:r w:rsidR="005D5654" w:rsidRPr="00EA15ED">
        <w:rPr>
          <w:rFonts w:ascii="Cambria" w:hAnsi="Cambria"/>
          <w:i/>
          <w:iCs/>
          <w:color w:val="231F20"/>
          <w:sz w:val="20"/>
          <w:szCs w:val="20"/>
        </w:rPr>
        <w:t>DESTACANDO</w:t>
      </w:r>
      <w:r w:rsidR="005D5654" w:rsidRPr="00EA15ED">
        <w:rPr>
          <w:rFonts w:ascii="Cambria" w:hAnsi="Cambria"/>
          <w:color w:val="231F20"/>
          <w:sz w:val="20"/>
          <w:szCs w:val="20"/>
        </w:rPr>
        <w:t xml:space="preserve"> el valor de la investigación continuada sobre el stock, lo que incluye el aumento del muestreo biológico y de las pesquerías, para proporcionar apoyo adicional para abordar algunas incertidumbres clave en la evaluación de stock y en la MSE, incluyendo la estructura de tallas de las capturas y liberaciones, las muestras genéticas para la identificación del stock y los estudios genéticos de marcado-recaptura, la estimación de la edad y el crecimiento, y el marcado electrónico para el seguimiento de las migraciones del stock y las tasas de mezcla;</w:t>
      </w:r>
    </w:p>
    <w:p w14:paraId="5F727DE2" w14:textId="77777777" w:rsidR="005D5654" w:rsidRPr="00EA15ED" w:rsidRDefault="005D5654" w:rsidP="005D5654">
      <w:pPr>
        <w:tabs>
          <w:tab w:val="left" w:pos="426"/>
          <w:tab w:val="center" w:pos="4680"/>
          <w:tab w:val="left" w:pos="6430"/>
        </w:tabs>
        <w:spacing w:before="240" w:after="240"/>
        <w:jc w:val="both"/>
        <w:rPr>
          <w:rFonts w:ascii="Cambria" w:eastAsia="Cambria" w:hAnsi="Cambria" w:cs="Cambria"/>
          <w:color w:val="231F20"/>
          <w:sz w:val="20"/>
          <w:szCs w:val="20"/>
        </w:rPr>
      </w:pPr>
      <w:r w:rsidRPr="00EA15ED">
        <w:rPr>
          <w:rFonts w:ascii="Cambria" w:hAnsi="Cambria"/>
          <w:i/>
          <w:color w:val="231F20"/>
          <w:sz w:val="20"/>
          <w:szCs w:val="20"/>
        </w:rPr>
        <w:tab/>
      </w:r>
      <w:r w:rsidRPr="00EA15ED">
        <w:rPr>
          <w:rFonts w:ascii="Cambria" w:hAnsi="Cambria"/>
          <w:i/>
          <w:color w:val="231F20"/>
          <w:sz w:val="20"/>
          <w:szCs w:val="20"/>
        </w:rPr>
        <w:tab/>
      </w:r>
      <w:r w:rsidRPr="00EA15ED">
        <w:rPr>
          <w:rFonts w:ascii="Cambria" w:hAnsi="Cambria"/>
          <w:i/>
          <w:iCs/>
          <w:color w:val="231F20"/>
          <w:sz w:val="20"/>
          <w:szCs w:val="20"/>
        </w:rPr>
        <w:t xml:space="preserve">RECONOCIENDO </w:t>
      </w:r>
      <w:r w:rsidRPr="00EA15ED">
        <w:rPr>
          <w:rFonts w:ascii="Cambria" w:hAnsi="Cambria"/>
          <w:color w:val="231F20"/>
          <w:sz w:val="20"/>
          <w:szCs w:val="20"/>
        </w:rPr>
        <w:t xml:space="preserve">la </w:t>
      </w:r>
      <w:r w:rsidRPr="00EA15ED">
        <w:rPr>
          <w:rFonts w:ascii="Cambria" w:hAnsi="Cambria"/>
          <w:i/>
          <w:iCs/>
          <w:color w:val="231F20"/>
          <w:sz w:val="20"/>
          <w:szCs w:val="20"/>
        </w:rPr>
        <w:t>Resolución de ICCAT sobre los criterios de ICCAT para la asignación de posibilidades de pesca</w:t>
      </w:r>
      <w:r w:rsidRPr="00EA15ED">
        <w:rPr>
          <w:rFonts w:ascii="Cambria" w:hAnsi="Cambria"/>
          <w:color w:val="231F20"/>
          <w:sz w:val="20"/>
          <w:szCs w:val="20"/>
        </w:rPr>
        <w:t xml:space="preserve"> (Res. 15-13);</w:t>
      </w:r>
    </w:p>
    <w:p w14:paraId="465427D5" w14:textId="77777777" w:rsidR="005D5654" w:rsidRPr="00EA15ED" w:rsidRDefault="005D5654" w:rsidP="005D5654">
      <w:pPr>
        <w:tabs>
          <w:tab w:val="left" w:pos="426"/>
          <w:tab w:val="center" w:pos="4680"/>
          <w:tab w:val="left" w:pos="6430"/>
        </w:tabs>
        <w:spacing w:before="240" w:after="240"/>
        <w:jc w:val="both"/>
        <w:rPr>
          <w:rFonts w:ascii="Cambria" w:eastAsia="Cambria" w:hAnsi="Cambria" w:cs="Cambria"/>
          <w:color w:val="231F20"/>
          <w:sz w:val="20"/>
          <w:szCs w:val="20"/>
        </w:rPr>
      </w:pPr>
      <w:r w:rsidRPr="00EA15ED">
        <w:rPr>
          <w:rFonts w:ascii="Cambria" w:hAnsi="Cambria"/>
          <w:i/>
          <w:color w:val="231F20"/>
          <w:sz w:val="20"/>
          <w:szCs w:val="20"/>
        </w:rPr>
        <w:tab/>
        <w:t>RENOVANDO</w:t>
      </w:r>
      <w:r w:rsidRPr="00EA15ED">
        <w:rPr>
          <w:rFonts w:ascii="Cambria" w:hAnsi="Cambria"/>
          <w:color w:val="231F20"/>
          <w:sz w:val="20"/>
          <w:szCs w:val="20"/>
        </w:rPr>
        <w:t xml:space="preserve"> el compromiso con la plena implementación de las obligaciones de comunicación existentes, incluyendo las establecidas en la </w:t>
      </w:r>
      <w:r w:rsidRPr="00EA15ED">
        <w:rPr>
          <w:rFonts w:ascii="Cambria" w:hAnsi="Cambria"/>
          <w:i/>
          <w:iCs/>
          <w:color w:val="231F20"/>
          <w:sz w:val="20"/>
          <w:szCs w:val="20"/>
        </w:rPr>
        <w:t>Recomendación de ICCAT sobre el registro de capturas realizadas por barcos en la zona del Convenio ICCAT</w:t>
      </w:r>
      <w:r w:rsidRPr="00EA15ED">
        <w:rPr>
          <w:rFonts w:ascii="Cambria" w:hAnsi="Cambria"/>
          <w:color w:val="231F20"/>
          <w:sz w:val="20"/>
          <w:szCs w:val="20"/>
        </w:rPr>
        <w:t xml:space="preserve"> (Rec. 03-13);</w:t>
      </w:r>
    </w:p>
    <w:p w14:paraId="25890354" w14:textId="77777777" w:rsidR="005D5654" w:rsidRPr="00EA15ED" w:rsidRDefault="005D5654" w:rsidP="005D5654">
      <w:pPr>
        <w:ind w:left="2092" w:right="1457" w:hanging="455"/>
        <w:jc w:val="center"/>
        <w:rPr>
          <w:rFonts w:ascii="Cambria" w:hAnsi="Cambria"/>
          <w:color w:val="231F20"/>
          <w:sz w:val="20"/>
          <w:szCs w:val="20"/>
        </w:rPr>
      </w:pPr>
      <w:r w:rsidRPr="00EA15ED">
        <w:rPr>
          <w:rFonts w:ascii="Cambria" w:hAnsi="Cambria"/>
          <w:color w:val="231F20"/>
          <w:sz w:val="20"/>
          <w:szCs w:val="20"/>
        </w:rPr>
        <w:t xml:space="preserve">LA COMISIÓN INTERNACIONAL PARA LA CONSERVACIÓN </w:t>
      </w:r>
    </w:p>
    <w:p w14:paraId="1451650A" w14:textId="77777777" w:rsidR="005D5654" w:rsidRPr="00EA15ED" w:rsidRDefault="005D5654" w:rsidP="005D5654">
      <w:pPr>
        <w:ind w:left="2092" w:right="1457" w:hanging="455"/>
        <w:jc w:val="center"/>
        <w:rPr>
          <w:rFonts w:ascii="Cambria" w:hAnsi="Cambria"/>
          <w:color w:val="231F20"/>
          <w:sz w:val="20"/>
          <w:szCs w:val="20"/>
        </w:rPr>
      </w:pPr>
      <w:r w:rsidRPr="00EA15ED">
        <w:rPr>
          <w:rFonts w:ascii="Cambria" w:hAnsi="Cambria"/>
          <w:color w:val="231F20"/>
          <w:sz w:val="20"/>
          <w:szCs w:val="20"/>
        </w:rPr>
        <w:t>DEL ATÚN ATLÁNTICO (ICCAT) RECOMIENDA LO SIGUIENTE:</w:t>
      </w:r>
    </w:p>
    <w:p w14:paraId="119DFAF7" w14:textId="77777777" w:rsidR="005D5654" w:rsidRPr="00EA15ED" w:rsidRDefault="005D5654" w:rsidP="005D5654">
      <w:pPr>
        <w:rPr>
          <w:rFonts w:ascii="Cambria" w:eastAsia="Cambria" w:hAnsi="Cambria" w:cs="Cambria"/>
          <w:sz w:val="20"/>
          <w:szCs w:val="20"/>
        </w:rPr>
      </w:pPr>
    </w:p>
    <w:p w14:paraId="74B19065" w14:textId="219C3B25" w:rsidR="005D5654" w:rsidRPr="00EA15ED" w:rsidRDefault="005D5654" w:rsidP="005D5654">
      <w:pPr>
        <w:widowControl/>
        <w:numPr>
          <w:ilvl w:val="0"/>
          <w:numId w:val="5"/>
        </w:numPr>
        <w:ind w:left="426" w:hanging="426"/>
        <w:jc w:val="both"/>
        <w:rPr>
          <w:rFonts w:ascii="Cambria" w:eastAsia="Cambria" w:hAnsi="Cambria" w:cs="Cambria"/>
          <w:strike/>
          <w:sz w:val="20"/>
          <w:szCs w:val="20"/>
        </w:rPr>
      </w:pPr>
      <w:r w:rsidRPr="00EA15ED">
        <w:rPr>
          <w:rFonts w:ascii="Cambria" w:hAnsi="Cambria"/>
          <w:color w:val="231F20"/>
          <w:sz w:val="20"/>
          <w:szCs w:val="20"/>
        </w:rPr>
        <w:t xml:space="preserve">Las Partes contratantes y las Partes, Entidades o Entidades pesqueras no contratantes colaboradoras (CPC) cuyos buques hayan estado pescando activamente atún rojo en el Atlántico occidental implementarán el siguiente plan de conservación y ordenación a partir de </w:t>
      </w:r>
      <w:r w:rsidR="00B04D97" w:rsidRPr="00EA15ED">
        <w:rPr>
          <w:rFonts w:ascii="Cambria" w:hAnsi="Cambria"/>
          <w:color w:val="231F20"/>
          <w:sz w:val="20"/>
          <w:szCs w:val="20"/>
          <w:u w:val="single"/>
        </w:rPr>
        <w:t>2026</w:t>
      </w:r>
      <w:r w:rsidRPr="00EA15ED">
        <w:rPr>
          <w:rFonts w:ascii="Cambria" w:hAnsi="Cambria"/>
          <w:color w:val="231F20"/>
          <w:sz w:val="20"/>
          <w:szCs w:val="20"/>
        </w:rPr>
        <w:t xml:space="preserve">, lo que incluye el establecimiento de TAC basados en la aplicación del procedimiento de ordenación (MP) para el atún rojo adoptado en la </w:t>
      </w:r>
      <w:r w:rsidRPr="00EA15ED">
        <w:rPr>
          <w:rFonts w:ascii="Cambria" w:hAnsi="Cambria"/>
          <w:i/>
          <w:iCs/>
          <w:color w:val="231F20"/>
          <w:sz w:val="20"/>
          <w:szCs w:val="20"/>
        </w:rPr>
        <w:t>Recomendación de ICCAT para establecer un procedimiento de ordenación para el atún rojo del Atlántico que se utilizará para las zonas de ordenación del Atlántico occidental y del Atlántico oriental y Mediterráneo</w:t>
      </w:r>
      <w:r w:rsidRPr="00EA15ED">
        <w:rPr>
          <w:rFonts w:ascii="Cambria" w:hAnsi="Cambria"/>
          <w:color w:val="231F20"/>
          <w:sz w:val="20"/>
          <w:szCs w:val="20"/>
        </w:rPr>
        <w:t xml:space="preserve"> (Rec. 22-09</w:t>
      </w:r>
      <w:r w:rsidRPr="00EA15ED">
        <w:rPr>
          <w:rFonts w:ascii="Cambria" w:hAnsi="Cambria"/>
          <w:color w:val="231F20"/>
          <w:sz w:val="20"/>
          <w:szCs w:val="20"/>
          <w:vertAlign w:val="superscript"/>
        </w:rPr>
        <w:footnoteReference w:id="1"/>
      </w:r>
      <w:r w:rsidRPr="00EA15ED">
        <w:rPr>
          <w:rFonts w:ascii="Cambria" w:hAnsi="Cambria"/>
          <w:color w:val="231F20"/>
          <w:sz w:val="20"/>
          <w:szCs w:val="20"/>
        </w:rPr>
        <w:t xml:space="preserve">). </w:t>
      </w:r>
    </w:p>
    <w:p w14:paraId="5AFD7B82" w14:textId="77777777" w:rsidR="005D5654" w:rsidRPr="00EA15ED" w:rsidRDefault="005D5654" w:rsidP="005D5654">
      <w:pPr>
        <w:tabs>
          <w:tab w:val="left" w:pos="535"/>
        </w:tabs>
        <w:jc w:val="both"/>
        <w:rPr>
          <w:rFonts w:ascii="Cambria" w:eastAsia="Cambria" w:hAnsi="Cambria" w:cs="Cambria"/>
          <w:strike/>
          <w:sz w:val="20"/>
          <w:szCs w:val="20"/>
        </w:rPr>
      </w:pPr>
    </w:p>
    <w:p w14:paraId="49781E24" w14:textId="77777777" w:rsidR="005D5654" w:rsidRPr="00EA15ED" w:rsidRDefault="005D5654" w:rsidP="005D5654">
      <w:pPr>
        <w:outlineLvl w:val="0"/>
        <w:rPr>
          <w:rFonts w:ascii="Cambria" w:eastAsia="Cambria" w:hAnsi="Cambria" w:cs="Cambria"/>
          <w:iCs/>
          <w:sz w:val="20"/>
          <w:szCs w:val="20"/>
        </w:rPr>
      </w:pPr>
      <w:r w:rsidRPr="00EA15ED">
        <w:rPr>
          <w:rFonts w:ascii="Cambria" w:eastAsia="Times New Roman" w:hAnsi="Cambria" w:cs="Times New Roman"/>
          <w:b/>
          <w:iCs/>
          <w:color w:val="231F20"/>
          <w:sz w:val="20"/>
          <w:szCs w:val="20"/>
        </w:rPr>
        <w:t>Límites de capacidad y esfuerzo</w:t>
      </w:r>
    </w:p>
    <w:p w14:paraId="202924D8" w14:textId="77777777" w:rsidR="005D5654" w:rsidRPr="00EA15ED" w:rsidRDefault="005D5654" w:rsidP="005D5654">
      <w:pPr>
        <w:rPr>
          <w:rFonts w:ascii="Cambria" w:eastAsia="Cambria" w:hAnsi="Cambria" w:cs="Cambria"/>
          <w:b/>
          <w:i/>
          <w:sz w:val="20"/>
          <w:szCs w:val="20"/>
        </w:rPr>
      </w:pPr>
    </w:p>
    <w:p w14:paraId="65773D2C" w14:textId="0C8E527E" w:rsidR="005D5654" w:rsidRPr="00EA15ED" w:rsidRDefault="005D5654" w:rsidP="005D5654">
      <w:pPr>
        <w:widowControl/>
        <w:numPr>
          <w:ilvl w:val="0"/>
          <w:numId w:val="5"/>
        </w:numPr>
        <w:ind w:left="425" w:hanging="425"/>
        <w:jc w:val="both"/>
        <w:rPr>
          <w:rFonts w:ascii="Cambria" w:eastAsia="Cambria" w:hAnsi="Cambria" w:cs="Cambria"/>
          <w:sz w:val="20"/>
          <w:szCs w:val="20"/>
        </w:rPr>
      </w:pPr>
      <w:r w:rsidRPr="00EA15ED">
        <w:rPr>
          <w:rFonts w:ascii="Cambria" w:hAnsi="Cambria"/>
          <w:color w:val="231F20"/>
          <w:sz w:val="20"/>
          <w:szCs w:val="20"/>
        </w:rPr>
        <w:t xml:space="preserve">Con el fin de evitar el aumento de la mortalidad por pesca del atún rojo en el Atlántico este u oeste, las CPC continuarán tomando medidas para prohibir cualquier transferencia </w:t>
      </w:r>
      <w:r w:rsidR="00B04D97" w:rsidRPr="00EA15ED">
        <w:rPr>
          <w:rFonts w:ascii="Cambria" w:hAnsi="Cambria"/>
          <w:i/>
          <w:iCs/>
          <w:color w:val="231F20"/>
          <w:sz w:val="20"/>
          <w:szCs w:val="20"/>
          <w:u w:val="single"/>
        </w:rPr>
        <w:t>ad hoc</w:t>
      </w:r>
      <w:r w:rsidR="00B04D97" w:rsidRPr="00EA15ED">
        <w:rPr>
          <w:rFonts w:ascii="Cambria" w:hAnsi="Cambria"/>
          <w:i/>
          <w:iCs/>
          <w:color w:val="231F20"/>
          <w:sz w:val="20"/>
          <w:szCs w:val="20"/>
        </w:rPr>
        <w:t xml:space="preserve"> </w:t>
      </w:r>
      <w:r w:rsidRPr="00EA15ED">
        <w:rPr>
          <w:rFonts w:ascii="Cambria" w:hAnsi="Cambria"/>
          <w:color w:val="231F20"/>
          <w:sz w:val="20"/>
          <w:szCs w:val="20"/>
        </w:rPr>
        <w:t>del esfuerzo de pesca desde el Atlántico occidental hacia el Atlántico oriental y Mediterráneo, y desde el Atlántico oriental y Mediterráneo hacia el Atlántico occidental.</w:t>
      </w:r>
    </w:p>
    <w:p w14:paraId="2A729E7F" w14:textId="77777777" w:rsidR="005D5654" w:rsidRPr="00EA15ED" w:rsidRDefault="005D5654" w:rsidP="005D5654">
      <w:pPr>
        <w:jc w:val="both"/>
        <w:rPr>
          <w:rFonts w:ascii="Cambria" w:eastAsia="Cambria" w:hAnsi="Cambria" w:cs="Cambria"/>
          <w:sz w:val="20"/>
          <w:szCs w:val="20"/>
        </w:rPr>
      </w:pPr>
    </w:p>
    <w:p w14:paraId="0A373BFE" w14:textId="77777777" w:rsidR="005D5654" w:rsidRPr="00EA15ED" w:rsidRDefault="005D5654" w:rsidP="005D5654">
      <w:pPr>
        <w:jc w:val="both"/>
        <w:outlineLvl w:val="0"/>
        <w:rPr>
          <w:rFonts w:ascii="Cambria" w:eastAsia="Cambria" w:hAnsi="Cambria" w:cs="Cambria"/>
          <w:iCs/>
          <w:sz w:val="20"/>
          <w:szCs w:val="20"/>
        </w:rPr>
      </w:pPr>
      <w:r w:rsidRPr="00EA15ED">
        <w:rPr>
          <w:rFonts w:ascii="Cambria" w:eastAsia="Times New Roman" w:hAnsi="Cambria" w:cs="Times New Roman"/>
          <w:b/>
          <w:iCs/>
          <w:color w:val="231F20"/>
          <w:sz w:val="20"/>
          <w:szCs w:val="20"/>
        </w:rPr>
        <w:t>TAC, asignaciones de TAC y límites de captura</w:t>
      </w:r>
    </w:p>
    <w:p w14:paraId="04052830" w14:textId="77777777" w:rsidR="005D5654" w:rsidRPr="00EA15ED" w:rsidRDefault="005D5654" w:rsidP="005D5654">
      <w:pPr>
        <w:jc w:val="both"/>
        <w:rPr>
          <w:rFonts w:ascii="Cambria" w:eastAsia="Cambria" w:hAnsi="Cambria" w:cs="Cambria"/>
          <w:b/>
          <w:i/>
          <w:sz w:val="20"/>
          <w:szCs w:val="20"/>
        </w:rPr>
      </w:pPr>
    </w:p>
    <w:p w14:paraId="54E373A8" w14:textId="4B525E0F" w:rsidR="005D5654" w:rsidRPr="00EA15ED" w:rsidRDefault="00B04D97" w:rsidP="005D5654">
      <w:pPr>
        <w:widowControl/>
        <w:numPr>
          <w:ilvl w:val="0"/>
          <w:numId w:val="5"/>
        </w:numPr>
        <w:ind w:left="425" w:hanging="425"/>
        <w:jc w:val="both"/>
        <w:rPr>
          <w:rFonts w:ascii="Cambria" w:eastAsia="Cambria" w:hAnsi="Cambria" w:cs="Cambria"/>
          <w:sz w:val="20"/>
          <w:szCs w:val="20"/>
        </w:rPr>
      </w:pPr>
      <w:r w:rsidRPr="00EA15ED">
        <w:rPr>
          <w:rFonts w:ascii="Cambria" w:hAnsi="Cambria"/>
          <w:color w:val="231F20"/>
          <w:sz w:val="20"/>
          <w:szCs w:val="20"/>
          <w:u w:val="single"/>
        </w:rPr>
        <w:t>S</w:t>
      </w:r>
      <w:r w:rsidR="005D5654" w:rsidRPr="00EA15ED">
        <w:rPr>
          <w:rFonts w:ascii="Cambria" w:hAnsi="Cambria"/>
          <w:color w:val="231F20"/>
          <w:sz w:val="20"/>
          <w:szCs w:val="20"/>
        </w:rPr>
        <w:t xml:space="preserve">e establece un TAC anual, incluidos los descartes de peces muertos, de </w:t>
      </w:r>
      <w:r w:rsidR="005D5654" w:rsidRPr="00EA15ED">
        <w:rPr>
          <w:rFonts w:ascii="Cambria" w:hAnsi="Cambria"/>
          <w:color w:val="231F20"/>
          <w:sz w:val="20"/>
          <w:szCs w:val="20"/>
          <w:u w:val="single"/>
        </w:rPr>
        <w:t>2.</w:t>
      </w:r>
      <w:r w:rsidRPr="00EA15ED">
        <w:rPr>
          <w:rFonts w:ascii="Cambria" w:hAnsi="Cambria"/>
          <w:color w:val="231F20"/>
          <w:sz w:val="20"/>
          <w:szCs w:val="20"/>
          <w:u w:val="single"/>
        </w:rPr>
        <w:t>963</w:t>
      </w:r>
      <w:r w:rsidR="005D5654" w:rsidRPr="00EA15ED">
        <w:rPr>
          <w:rFonts w:ascii="Cambria" w:hAnsi="Cambria"/>
          <w:color w:val="231F20"/>
          <w:sz w:val="20"/>
          <w:szCs w:val="20"/>
        </w:rPr>
        <w:t xml:space="preserve"> t para </w:t>
      </w:r>
      <w:r w:rsidRPr="00EA15ED">
        <w:rPr>
          <w:rFonts w:ascii="Cambria" w:eastAsia="Cambria" w:hAnsi="Cambria" w:cs="Cambria"/>
          <w:color w:val="231F20"/>
          <w:sz w:val="20"/>
          <w:szCs w:val="20"/>
          <w:u w:val="single"/>
        </w:rPr>
        <w:t>2026, 2027</w:t>
      </w:r>
      <w:r w:rsidRPr="00EA15ED">
        <w:rPr>
          <w:rFonts w:ascii="Cambria" w:eastAsia="Cambria" w:hAnsi="Cambria" w:cs="Cambria"/>
          <w:color w:val="231F20"/>
          <w:sz w:val="20"/>
          <w:szCs w:val="20"/>
        </w:rPr>
        <w:t xml:space="preserve"> y </w:t>
      </w:r>
      <w:r w:rsidRPr="00EA15ED">
        <w:rPr>
          <w:rFonts w:ascii="Cambria" w:eastAsia="Cambria" w:hAnsi="Cambria" w:cs="Cambria"/>
          <w:color w:val="231F20"/>
          <w:sz w:val="20"/>
          <w:szCs w:val="20"/>
          <w:u w:val="single"/>
        </w:rPr>
        <w:t>2028</w:t>
      </w:r>
      <w:r w:rsidR="005D5654" w:rsidRPr="00EA15ED">
        <w:rPr>
          <w:rFonts w:ascii="Cambria" w:eastAsia="Cambria" w:hAnsi="Cambria" w:cs="Cambria"/>
          <w:color w:val="231F20"/>
          <w:sz w:val="20"/>
          <w:szCs w:val="20"/>
        </w:rPr>
        <w:t xml:space="preserve">. </w:t>
      </w:r>
      <w:r w:rsidR="005D5654" w:rsidRPr="00EA15ED">
        <w:rPr>
          <w:rFonts w:ascii="Cambria" w:hAnsi="Cambria"/>
          <w:color w:val="231F20"/>
          <w:sz w:val="20"/>
          <w:szCs w:val="20"/>
        </w:rPr>
        <w:t xml:space="preserve">Los TAC para el periodo </w:t>
      </w:r>
      <w:r w:rsidR="005D5654" w:rsidRPr="00EA15ED">
        <w:rPr>
          <w:rFonts w:ascii="Cambria" w:hAnsi="Cambria"/>
          <w:color w:val="231F20"/>
          <w:sz w:val="20"/>
          <w:szCs w:val="20"/>
          <w:u w:val="single"/>
        </w:rPr>
        <w:t>202</w:t>
      </w:r>
      <w:r w:rsidRPr="00EA15ED">
        <w:rPr>
          <w:rFonts w:ascii="Cambria" w:hAnsi="Cambria"/>
          <w:color w:val="231F20"/>
          <w:sz w:val="20"/>
          <w:szCs w:val="20"/>
          <w:u w:val="single"/>
        </w:rPr>
        <w:t>9-2031</w:t>
      </w:r>
      <w:r w:rsidR="005D5654" w:rsidRPr="00EA15ED">
        <w:rPr>
          <w:rFonts w:ascii="Cambria" w:hAnsi="Cambria"/>
          <w:color w:val="231F20"/>
          <w:sz w:val="20"/>
          <w:szCs w:val="20"/>
        </w:rPr>
        <w:t xml:space="preserve"> se establecerán en la reunión anual de ICCAT de </w:t>
      </w:r>
      <w:r w:rsidR="00006F00" w:rsidRPr="00EA15ED">
        <w:rPr>
          <w:rFonts w:ascii="Cambria" w:hAnsi="Cambria"/>
          <w:color w:val="231F20"/>
          <w:sz w:val="20"/>
          <w:szCs w:val="20"/>
          <w:u w:val="single"/>
        </w:rPr>
        <w:t>2028</w:t>
      </w:r>
      <w:r w:rsidR="005D5654" w:rsidRPr="00EA15ED">
        <w:rPr>
          <w:rFonts w:ascii="Cambria" w:hAnsi="Cambria"/>
          <w:color w:val="231F20"/>
          <w:sz w:val="20"/>
          <w:szCs w:val="20"/>
        </w:rPr>
        <w:t xml:space="preserve"> de acuerdo con la aplicación del MP</w:t>
      </w:r>
      <w:r w:rsidRPr="00EA15ED">
        <w:rPr>
          <w:rFonts w:ascii="Cambria" w:hAnsi="Cambria"/>
          <w:color w:val="231F20"/>
          <w:sz w:val="20"/>
          <w:szCs w:val="20"/>
        </w:rPr>
        <w:t xml:space="preserve"> </w:t>
      </w:r>
      <w:r w:rsidRPr="00EA15ED">
        <w:rPr>
          <w:rFonts w:ascii="Cambria" w:hAnsi="Cambria"/>
          <w:color w:val="231F20"/>
          <w:sz w:val="20"/>
          <w:szCs w:val="20"/>
          <w:u w:val="single"/>
        </w:rPr>
        <w:t xml:space="preserve">tras una revisión prevista en la </w:t>
      </w:r>
      <w:r w:rsidR="00006F00" w:rsidRPr="00EA15ED">
        <w:rPr>
          <w:rFonts w:ascii="Cambria" w:hAnsi="Cambria"/>
          <w:i/>
          <w:iCs/>
          <w:color w:val="231F20"/>
          <w:sz w:val="20"/>
          <w:szCs w:val="20"/>
          <w:u w:val="single"/>
        </w:rPr>
        <w:t>Recomendación de ICCAT que modifica la Recomendación 22-09 que establece un procedimiento de ordenación para el atún rojo del Atlántico que se utilizará para las zonas de ordenación del Atlántico occidental y del Atlántico oriental y Mediterráneo</w:t>
      </w:r>
      <w:r w:rsidR="00006F00" w:rsidRPr="00EA15ED">
        <w:rPr>
          <w:rFonts w:ascii="Cambria" w:hAnsi="Cambria"/>
          <w:color w:val="231F20"/>
          <w:sz w:val="20"/>
          <w:szCs w:val="20"/>
          <w:u w:val="single"/>
        </w:rPr>
        <w:t xml:space="preserve"> (</w:t>
      </w:r>
      <w:r w:rsidRPr="00EA15ED">
        <w:rPr>
          <w:rFonts w:ascii="Cambria" w:hAnsi="Cambria"/>
          <w:color w:val="231F20"/>
          <w:sz w:val="20"/>
          <w:szCs w:val="20"/>
          <w:u w:val="single"/>
        </w:rPr>
        <w:t>Rec. 23-07</w:t>
      </w:r>
      <w:r w:rsidR="00006F00" w:rsidRPr="00EA15ED">
        <w:rPr>
          <w:rFonts w:ascii="Cambria" w:hAnsi="Cambria"/>
          <w:color w:val="231F20"/>
          <w:sz w:val="20"/>
          <w:szCs w:val="20"/>
          <w:u w:val="single"/>
        </w:rPr>
        <w:t>)</w:t>
      </w:r>
      <w:r w:rsidR="005D5654" w:rsidRPr="00EA15ED">
        <w:rPr>
          <w:rFonts w:ascii="Cambria" w:hAnsi="Cambria"/>
          <w:color w:val="231F20"/>
          <w:sz w:val="20"/>
          <w:szCs w:val="20"/>
        </w:rPr>
        <w:t>.</w:t>
      </w:r>
    </w:p>
    <w:p w14:paraId="34D8D30B" w14:textId="77777777" w:rsidR="005D5654" w:rsidRPr="00EA15ED" w:rsidRDefault="005D5654" w:rsidP="005D5654">
      <w:pPr>
        <w:tabs>
          <w:tab w:val="left" w:pos="530"/>
        </w:tabs>
        <w:ind w:left="7347"/>
        <w:jc w:val="both"/>
        <w:rPr>
          <w:rFonts w:ascii="Cambria" w:eastAsia="Cambria" w:hAnsi="Cambria" w:cs="Cambria"/>
          <w:color w:val="231F20"/>
          <w:sz w:val="20"/>
          <w:szCs w:val="20"/>
        </w:rPr>
      </w:pPr>
    </w:p>
    <w:p w14:paraId="7D250CC2" w14:textId="79B4EAA1" w:rsidR="005D5654" w:rsidRPr="00EA15ED" w:rsidRDefault="005D5654" w:rsidP="005D5654">
      <w:pPr>
        <w:widowControl/>
        <w:numPr>
          <w:ilvl w:val="0"/>
          <w:numId w:val="5"/>
        </w:numPr>
        <w:ind w:left="425" w:hanging="425"/>
        <w:jc w:val="both"/>
        <w:rPr>
          <w:rFonts w:ascii="Cambria" w:eastAsia="Cambria" w:hAnsi="Cambria" w:cs="Cambria"/>
          <w:sz w:val="20"/>
          <w:szCs w:val="20"/>
        </w:rPr>
      </w:pPr>
      <w:r w:rsidRPr="00EA15ED">
        <w:rPr>
          <w:rFonts w:ascii="Cambria" w:hAnsi="Cambria"/>
          <w:color w:val="231F20"/>
          <w:sz w:val="20"/>
          <w:szCs w:val="20"/>
        </w:rPr>
        <w:t xml:space="preserve">Las CPC actualizarán anualmente los índices de abundancia y los indicadores de la pesquería y los proporcionarán al SCRS cuando se les solicite para apoyar la evaluación anual del SCRS sobre la aparición de circunstancias excepcionales, tal y como se especifica en la Rec. </w:t>
      </w:r>
      <w:r w:rsidRPr="00EA15ED">
        <w:rPr>
          <w:rFonts w:ascii="Cambria" w:hAnsi="Cambria"/>
          <w:color w:val="231F20"/>
          <w:sz w:val="20"/>
          <w:szCs w:val="20"/>
          <w:u w:val="single"/>
        </w:rPr>
        <w:t>2</w:t>
      </w:r>
      <w:r w:rsidR="00B04D97" w:rsidRPr="00EA15ED">
        <w:rPr>
          <w:rFonts w:ascii="Cambria" w:hAnsi="Cambria"/>
          <w:color w:val="231F20"/>
          <w:sz w:val="20"/>
          <w:szCs w:val="20"/>
          <w:u w:val="single"/>
        </w:rPr>
        <w:t>3-07</w:t>
      </w:r>
      <w:r w:rsidRPr="00EA15ED">
        <w:rPr>
          <w:rFonts w:ascii="Cambria" w:hAnsi="Cambria"/>
          <w:color w:val="231F20"/>
          <w:sz w:val="20"/>
          <w:szCs w:val="20"/>
        </w:rPr>
        <w:t xml:space="preserve">, y para otros fines científicos pertinentes que determine el SCRS. </w:t>
      </w:r>
    </w:p>
    <w:p w14:paraId="11675E6C" w14:textId="77777777" w:rsidR="005D5654" w:rsidRPr="00EA15ED" w:rsidRDefault="005D5654" w:rsidP="005D5654">
      <w:pPr>
        <w:jc w:val="both"/>
        <w:rPr>
          <w:rFonts w:ascii="Cambria" w:eastAsia="Cambria" w:hAnsi="Cambria" w:cs="Cambria"/>
          <w:sz w:val="20"/>
          <w:szCs w:val="20"/>
        </w:rPr>
      </w:pPr>
    </w:p>
    <w:p w14:paraId="459E1719" w14:textId="77777777" w:rsidR="005D5654" w:rsidRPr="00EA15ED" w:rsidRDefault="005D5654" w:rsidP="005D5654">
      <w:pPr>
        <w:widowControl/>
        <w:numPr>
          <w:ilvl w:val="0"/>
          <w:numId w:val="5"/>
        </w:numPr>
        <w:ind w:left="425" w:hanging="425"/>
        <w:jc w:val="both"/>
        <w:rPr>
          <w:rFonts w:ascii="Cambria" w:eastAsia="Cambria" w:hAnsi="Cambria" w:cs="Cambria"/>
          <w:sz w:val="20"/>
          <w:szCs w:val="20"/>
        </w:rPr>
      </w:pPr>
      <w:r w:rsidRPr="00EA15ED">
        <w:rPr>
          <w:rFonts w:ascii="Cambria" w:hAnsi="Cambria"/>
          <w:sz w:val="20"/>
          <w:szCs w:val="20"/>
        </w:rPr>
        <w:t>La asignación del TAC anual, incluidos los descartes de ejemplares muertos, se indicará de la siguiente manera:</w:t>
      </w:r>
    </w:p>
    <w:p w14:paraId="5CE8E6F5" w14:textId="77777777" w:rsidR="005D5654" w:rsidRPr="00EA15ED" w:rsidRDefault="005D5654" w:rsidP="005D5654">
      <w:pPr>
        <w:pBdr>
          <w:top w:val="nil"/>
          <w:left w:val="nil"/>
          <w:bottom w:val="nil"/>
          <w:right w:val="nil"/>
          <w:between w:val="nil"/>
        </w:pBdr>
        <w:ind w:left="720"/>
        <w:rPr>
          <w:rFonts w:ascii="Cambria" w:eastAsia="Cambria" w:hAnsi="Cambria" w:cs="Cambria"/>
          <w:color w:val="000000"/>
          <w:sz w:val="20"/>
          <w:szCs w:val="20"/>
        </w:rPr>
      </w:pPr>
    </w:p>
    <w:p w14:paraId="6DF12CC7" w14:textId="77777777" w:rsidR="005D5654" w:rsidRPr="00EA15ED" w:rsidRDefault="005D5654" w:rsidP="005D5654">
      <w:pPr>
        <w:widowControl/>
        <w:numPr>
          <w:ilvl w:val="1"/>
          <w:numId w:val="3"/>
        </w:numPr>
        <w:tabs>
          <w:tab w:val="left" w:pos="993"/>
        </w:tabs>
        <w:spacing w:after="160" w:line="259" w:lineRule="auto"/>
        <w:ind w:left="993" w:hanging="426"/>
        <w:jc w:val="both"/>
        <w:rPr>
          <w:rFonts w:ascii="Cambria" w:eastAsia="Cambria" w:hAnsi="Cambria" w:cs="Cambria"/>
          <w:sz w:val="20"/>
          <w:szCs w:val="20"/>
        </w:rPr>
      </w:pPr>
      <w:r w:rsidRPr="00EA15ED">
        <w:rPr>
          <w:rFonts w:ascii="Cambria" w:hAnsi="Cambria"/>
          <w:color w:val="231F20"/>
          <w:sz w:val="20"/>
          <w:szCs w:val="20"/>
        </w:rPr>
        <w:t>El TAC anual incluirá las siguientes asignaciones:</w:t>
      </w:r>
    </w:p>
    <w:p w14:paraId="584FBE16" w14:textId="77777777" w:rsidR="005D5654" w:rsidRPr="00EA15ED" w:rsidRDefault="005D5654" w:rsidP="005D5654">
      <w:pPr>
        <w:spacing w:before="11"/>
        <w:rPr>
          <w:rFonts w:ascii="Cambria" w:eastAsia="Cambria" w:hAnsi="Cambria" w:cs="Cambria"/>
          <w:sz w:val="20"/>
          <w:szCs w:val="20"/>
        </w:rPr>
      </w:pPr>
    </w:p>
    <w:tbl>
      <w:tblPr>
        <w:tblW w:w="8784" w:type="dxa"/>
        <w:tblInd w:w="425" w:type="dxa"/>
        <w:tblLayout w:type="fixed"/>
        <w:tblLook w:val="0000" w:firstRow="0" w:lastRow="0" w:firstColumn="0" w:lastColumn="0" w:noHBand="0" w:noVBand="0"/>
      </w:tblPr>
      <w:tblGrid>
        <w:gridCol w:w="7650"/>
        <w:gridCol w:w="1134"/>
      </w:tblGrid>
      <w:tr w:rsidR="005D5654" w:rsidRPr="00EA15ED" w14:paraId="3D73DFAD" w14:textId="77777777" w:rsidTr="00885113">
        <w:trPr>
          <w:trHeight w:val="380"/>
        </w:trPr>
        <w:tc>
          <w:tcPr>
            <w:tcW w:w="7650" w:type="dxa"/>
            <w:tcBorders>
              <w:top w:val="single" w:sz="4" w:space="0" w:color="231F20"/>
              <w:left w:val="single" w:sz="4" w:space="0" w:color="231F20"/>
              <w:bottom w:val="single" w:sz="4" w:space="0" w:color="231F20"/>
              <w:right w:val="single" w:sz="4" w:space="0" w:color="231F20"/>
            </w:tcBorders>
          </w:tcPr>
          <w:p w14:paraId="063C2C23" w14:textId="77777777" w:rsidR="005D5654" w:rsidRPr="00EA15ED" w:rsidRDefault="005D5654" w:rsidP="005D5654">
            <w:pPr>
              <w:spacing w:before="72"/>
              <w:ind w:left="396"/>
              <w:jc w:val="center"/>
              <w:rPr>
                <w:rFonts w:ascii="Cambria" w:eastAsia="Cambria" w:hAnsi="Cambria" w:cs="Cambria"/>
                <w:sz w:val="20"/>
                <w:szCs w:val="20"/>
              </w:rPr>
            </w:pPr>
            <w:r w:rsidRPr="00EA15ED">
              <w:rPr>
                <w:rFonts w:ascii="Cambria" w:hAnsi="Cambria"/>
                <w:i/>
                <w:color w:val="231F20"/>
                <w:sz w:val="20"/>
                <w:szCs w:val="20"/>
              </w:rPr>
              <w:t>CPC</w:t>
            </w:r>
          </w:p>
        </w:tc>
        <w:tc>
          <w:tcPr>
            <w:tcW w:w="1134" w:type="dxa"/>
            <w:tcBorders>
              <w:top w:val="single" w:sz="4" w:space="0" w:color="231F20"/>
              <w:left w:val="single" w:sz="4" w:space="0" w:color="231F20"/>
              <w:bottom w:val="single" w:sz="4" w:space="0" w:color="231F20"/>
              <w:right w:val="single" w:sz="4" w:space="0" w:color="231F20"/>
            </w:tcBorders>
          </w:tcPr>
          <w:p w14:paraId="4D75DB88" w14:textId="77777777" w:rsidR="005D5654" w:rsidRPr="00EA15ED" w:rsidRDefault="005D5654" w:rsidP="005D5654">
            <w:pPr>
              <w:spacing w:before="72"/>
              <w:ind w:left="-2"/>
              <w:rPr>
                <w:rFonts w:ascii="Cambria" w:eastAsia="Cambria" w:hAnsi="Cambria" w:cs="Cambria"/>
                <w:sz w:val="20"/>
                <w:szCs w:val="20"/>
              </w:rPr>
            </w:pPr>
            <w:r w:rsidRPr="00EA15ED">
              <w:rPr>
                <w:rFonts w:ascii="Cambria" w:hAnsi="Cambria"/>
                <w:i/>
                <w:color w:val="231F20"/>
                <w:sz w:val="20"/>
                <w:szCs w:val="20"/>
              </w:rPr>
              <w:t>Asignación</w:t>
            </w:r>
          </w:p>
        </w:tc>
      </w:tr>
      <w:tr w:rsidR="005D5654" w:rsidRPr="00EA15ED" w14:paraId="54A000D2" w14:textId="77777777" w:rsidTr="00885113">
        <w:trPr>
          <w:trHeight w:val="380"/>
        </w:trPr>
        <w:tc>
          <w:tcPr>
            <w:tcW w:w="7650" w:type="dxa"/>
            <w:tcBorders>
              <w:top w:val="single" w:sz="4" w:space="0" w:color="231F20"/>
              <w:left w:val="single" w:sz="4" w:space="0" w:color="231F20"/>
              <w:bottom w:val="single" w:sz="4" w:space="0" w:color="231F20"/>
              <w:right w:val="single" w:sz="4" w:space="0" w:color="231F20"/>
            </w:tcBorders>
          </w:tcPr>
          <w:p w14:paraId="2158BF93" w14:textId="77777777" w:rsidR="005D5654" w:rsidRPr="00EA15ED" w:rsidRDefault="005D5654" w:rsidP="005D5654">
            <w:pPr>
              <w:spacing w:before="151"/>
              <w:ind w:left="94"/>
              <w:rPr>
                <w:rFonts w:ascii="Cambria" w:eastAsia="Cambria" w:hAnsi="Cambria" w:cs="Cambria"/>
                <w:sz w:val="20"/>
                <w:szCs w:val="20"/>
              </w:rPr>
            </w:pPr>
            <w:r w:rsidRPr="00EA15ED">
              <w:rPr>
                <w:rFonts w:ascii="Cambria" w:hAnsi="Cambria"/>
                <w:color w:val="231F20"/>
                <w:sz w:val="20"/>
                <w:szCs w:val="20"/>
              </w:rPr>
              <w:t>Estados Unidos (captura fortuita relacionada con las pesquerías de palangre en las inmediaciones de la línea divisoria de la zona de ordenación)</w:t>
            </w:r>
          </w:p>
        </w:tc>
        <w:tc>
          <w:tcPr>
            <w:tcW w:w="1134" w:type="dxa"/>
            <w:tcBorders>
              <w:top w:val="single" w:sz="4" w:space="0" w:color="231F20"/>
              <w:left w:val="single" w:sz="4" w:space="0" w:color="231F20"/>
              <w:bottom w:val="single" w:sz="4" w:space="0" w:color="231F20"/>
              <w:right w:val="single" w:sz="4" w:space="0" w:color="231F20"/>
            </w:tcBorders>
          </w:tcPr>
          <w:p w14:paraId="64BA2811" w14:textId="77777777" w:rsidR="005D5654" w:rsidRPr="00EA15ED" w:rsidRDefault="005D5654" w:rsidP="005D5654">
            <w:pPr>
              <w:spacing w:before="151"/>
              <w:jc w:val="center"/>
              <w:rPr>
                <w:rFonts w:ascii="Cambria" w:eastAsia="Cambria" w:hAnsi="Cambria" w:cs="Cambria"/>
                <w:sz w:val="20"/>
                <w:szCs w:val="20"/>
              </w:rPr>
            </w:pPr>
            <w:r w:rsidRPr="00EA15ED">
              <w:rPr>
                <w:rFonts w:ascii="Cambria" w:hAnsi="Cambria"/>
                <w:color w:val="231F20"/>
                <w:sz w:val="20"/>
                <w:szCs w:val="20"/>
              </w:rPr>
              <w:t>25 t</w:t>
            </w:r>
          </w:p>
        </w:tc>
      </w:tr>
      <w:tr w:rsidR="005D5654" w:rsidRPr="00EA15ED" w14:paraId="085EA494" w14:textId="77777777" w:rsidTr="00885113">
        <w:trPr>
          <w:trHeight w:val="380"/>
        </w:trPr>
        <w:tc>
          <w:tcPr>
            <w:tcW w:w="7650" w:type="dxa"/>
            <w:tcBorders>
              <w:top w:val="single" w:sz="4" w:space="0" w:color="231F20"/>
              <w:left w:val="single" w:sz="4" w:space="0" w:color="231F20"/>
              <w:bottom w:val="single" w:sz="4" w:space="0" w:color="231F20"/>
              <w:right w:val="single" w:sz="4" w:space="0" w:color="231F20"/>
            </w:tcBorders>
          </w:tcPr>
          <w:p w14:paraId="194C60AB" w14:textId="77777777" w:rsidR="005D5654" w:rsidRPr="00EA15ED" w:rsidRDefault="005D5654" w:rsidP="005D5654">
            <w:pPr>
              <w:spacing w:before="151"/>
              <w:ind w:left="94"/>
              <w:rPr>
                <w:rFonts w:ascii="Cambria" w:eastAsia="Cambria" w:hAnsi="Cambria" w:cs="Cambria"/>
                <w:sz w:val="20"/>
                <w:szCs w:val="20"/>
              </w:rPr>
            </w:pPr>
            <w:r w:rsidRPr="00EA15ED">
              <w:rPr>
                <w:rFonts w:ascii="Cambria" w:hAnsi="Cambria"/>
                <w:color w:val="231F20"/>
                <w:sz w:val="20"/>
                <w:szCs w:val="20"/>
              </w:rPr>
              <w:t>Canadá (captura fortuita relacionada con las pesquerías de palangre en las inmediaciones de la línea divisoria de la zona de ordenación.)</w:t>
            </w:r>
          </w:p>
        </w:tc>
        <w:tc>
          <w:tcPr>
            <w:tcW w:w="1134" w:type="dxa"/>
            <w:tcBorders>
              <w:top w:val="single" w:sz="4" w:space="0" w:color="231F20"/>
              <w:left w:val="single" w:sz="4" w:space="0" w:color="231F20"/>
              <w:bottom w:val="single" w:sz="4" w:space="0" w:color="231F20"/>
              <w:right w:val="single" w:sz="4" w:space="0" w:color="231F20"/>
            </w:tcBorders>
          </w:tcPr>
          <w:p w14:paraId="22253493" w14:textId="77777777" w:rsidR="005D5654" w:rsidRPr="00EA15ED" w:rsidRDefault="005D5654" w:rsidP="005D5654">
            <w:pPr>
              <w:spacing w:before="151"/>
              <w:jc w:val="center"/>
              <w:rPr>
                <w:rFonts w:ascii="Cambria" w:eastAsia="Cambria" w:hAnsi="Cambria" w:cs="Cambria"/>
                <w:sz w:val="20"/>
                <w:szCs w:val="20"/>
              </w:rPr>
            </w:pPr>
            <w:r w:rsidRPr="00EA15ED">
              <w:rPr>
                <w:rFonts w:ascii="Cambria" w:hAnsi="Cambria"/>
                <w:color w:val="231F20"/>
                <w:sz w:val="20"/>
                <w:szCs w:val="20"/>
              </w:rPr>
              <w:t>15 t</w:t>
            </w:r>
          </w:p>
        </w:tc>
      </w:tr>
    </w:tbl>
    <w:p w14:paraId="31DC6595" w14:textId="77777777" w:rsidR="005D5654" w:rsidRPr="00EA15ED" w:rsidRDefault="005D5654" w:rsidP="005D5654">
      <w:pPr>
        <w:widowControl/>
        <w:numPr>
          <w:ilvl w:val="1"/>
          <w:numId w:val="3"/>
        </w:numPr>
        <w:tabs>
          <w:tab w:val="left" w:pos="993"/>
        </w:tabs>
        <w:spacing w:after="160" w:line="259" w:lineRule="auto"/>
        <w:ind w:left="993" w:hanging="426"/>
        <w:jc w:val="both"/>
        <w:rPr>
          <w:rFonts w:ascii="Cambria" w:hAnsi="Cambria"/>
          <w:color w:val="231F20"/>
          <w:sz w:val="20"/>
          <w:szCs w:val="20"/>
        </w:rPr>
      </w:pPr>
      <w:r w:rsidRPr="00EA15ED">
        <w:rPr>
          <w:rFonts w:ascii="Cambria" w:hAnsi="Cambria"/>
          <w:color w:val="231F20"/>
          <w:sz w:val="20"/>
          <w:szCs w:val="20"/>
        </w:rPr>
        <w:lastRenderedPageBreak/>
        <w:t>Tras sustraer las cantidades mencionadas en el párrafo 5 a), el resto del TAC anual se asignará del siguiente modo:</w:t>
      </w:r>
    </w:p>
    <w:tbl>
      <w:tblPr>
        <w:tblW w:w="9066" w:type="dxa"/>
        <w:tblInd w:w="285" w:type="dxa"/>
        <w:tblLayout w:type="fixed"/>
        <w:tblLook w:val="0000" w:firstRow="0" w:lastRow="0" w:firstColumn="0" w:lastColumn="0" w:noHBand="0" w:noVBand="0"/>
      </w:tblPr>
      <w:tblGrid>
        <w:gridCol w:w="2042"/>
        <w:gridCol w:w="1779"/>
        <w:gridCol w:w="1559"/>
        <w:gridCol w:w="2127"/>
        <w:gridCol w:w="1559"/>
      </w:tblGrid>
      <w:tr w:rsidR="005D5654" w:rsidRPr="00EA15ED" w14:paraId="63E07B6E" w14:textId="77777777" w:rsidTr="00885113">
        <w:trPr>
          <w:trHeight w:val="260"/>
        </w:trPr>
        <w:tc>
          <w:tcPr>
            <w:tcW w:w="2042" w:type="dxa"/>
            <w:tcBorders>
              <w:top w:val="single" w:sz="4" w:space="0" w:color="231F20"/>
              <w:left w:val="single" w:sz="4" w:space="0" w:color="231F20"/>
              <w:bottom w:val="single" w:sz="4" w:space="0" w:color="231F20"/>
              <w:right w:val="single" w:sz="4" w:space="0" w:color="231F20"/>
            </w:tcBorders>
          </w:tcPr>
          <w:p w14:paraId="6F31D839" w14:textId="77777777" w:rsidR="005D5654" w:rsidRPr="00EA15ED" w:rsidRDefault="005D5654" w:rsidP="005D5654">
            <w:pPr>
              <w:rPr>
                <w:rFonts w:ascii="Cambria" w:eastAsia="Cambria" w:hAnsi="Cambria" w:cs="Cambria"/>
                <w:sz w:val="20"/>
                <w:szCs w:val="20"/>
              </w:rPr>
            </w:pPr>
          </w:p>
        </w:tc>
        <w:tc>
          <w:tcPr>
            <w:tcW w:w="7024" w:type="dxa"/>
            <w:gridSpan w:val="4"/>
            <w:tcBorders>
              <w:top w:val="single" w:sz="4" w:space="0" w:color="231F20"/>
              <w:left w:val="single" w:sz="4" w:space="0" w:color="231F20"/>
              <w:bottom w:val="single" w:sz="4" w:space="0" w:color="231F20"/>
              <w:right w:val="single" w:sz="4" w:space="0" w:color="231F20"/>
            </w:tcBorders>
          </w:tcPr>
          <w:p w14:paraId="6640ED67" w14:textId="77777777" w:rsidR="005D5654" w:rsidRPr="00EA15ED" w:rsidRDefault="005D5654" w:rsidP="005D5654">
            <w:pPr>
              <w:spacing w:line="213" w:lineRule="auto"/>
              <w:ind w:left="1636"/>
              <w:rPr>
                <w:rFonts w:ascii="Cambria" w:eastAsia="Cambria" w:hAnsi="Cambria" w:cs="Cambria"/>
                <w:sz w:val="20"/>
                <w:szCs w:val="20"/>
              </w:rPr>
            </w:pPr>
            <w:r w:rsidRPr="00EA15ED">
              <w:rPr>
                <w:rFonts w:ascii="Cambria" w:hAnsi="Cambria"/>
                <w:i/>
                <w:color w:val="231F20"/>
                <w:sz w:val="20"/>
                <w:szCs w:val="20"/>
              </w:rPr>
              <w:t>Si el resto del TAC anual es:</w:t>
            </w:r>
          </w:p>
        </w:tc>
      </w:tr>
      <w:tr w:rsidR="005D5654" w:rsidRPr="00EA15ED" w14:paraId="6C1B5475" w14:textId="77777777" w:rsidTr="00885113">
        <w:trPr>
          <w:trHeight w:val="440"/>
        </w:trPr>
        <w:tc>
          <w:tcPr>
            <w:tcW w:w="2042" w:type="dxa"/>
            <w:tcBorders>
              <w:top w:val="single" w:sz="4" w:space="0" w:color="231F20"/>
              <w:left w:val="single" w:sz="4" w:space="0" w:color="231F20"/>
              <w:bottom w:val="single" w:sz="4" w:space="0" w:color="231F20"/>
              <w:right w:val="single" w:sz="4" w:space="0" w:color="231F20"/>
            </w:tcBorders>
            <w:vAlign w:val="center"/>
          </w:tcPr>
          <w:p w14:paraId="35EC2432" w14:textId="77777777" w:rsidR="005D5654" w:rsidRPr="00EA15ED" w:rsidRDefault="005D5654" w:rsidP="005D5654">
            <w:pPr>
              <w:spacing w:line="215" w:lineRule="auto"/>
              <w:ind w:left="96"/>
              <w:rPr>
                <w:rFonts w:ascii="Cambria" w:eastAsia="Cambria" w:hAnsi="Cambria" w:cs="Cambria"/>
                <w:sz w:val="20"/>
                <w:szCs w:val="20"/>
              </w:rPr>
            </w:pPr>
            <w:r w:rsidRPr="00EA15ED">
              <w:rPr>
                <w:rFonts w:ascii="Cambria" w:hAnsi="Cambria"/>
                <w:color w:val="231F20"/>
                <w:sz w:val="20"/>
                <w:szCs w:val="20"/>
              </w:rPr>
              <w:t>CPC</w:t>
            </w:r>
          </w:p>
        </w:tc>
        <w:tc>
          <w:tcPr>
            <w:tcW w:w="1779" w:type="dxa"/>
            <w:tcBorders>
              <w:top w:val="single" w:sz="4" w:space="0" w:color="231F20"/>
              <w:left w:val="single" w:sz="4" w:space="0" w:color="231F20"/>
              <w:bottom w:val="single" w:sz="4" w:space="0" w:color="231F20"/>
              <w:right w:val="single" w:sz="4" w:space="0" w:color="231F20"/>
            </w:tcBorders>
            <w:vAlign w:val="center"/>
          </w:tcPr>
          <w:p w14:paraId="3F3567F5" w14:textId="77777777" w:rsidR="005D5654" w:rsidRPr="00EA15ED" w:rsidRDefault="005D5654" w:rsidP="005D5654">
            <w:pPr>
              <w:spacing w:before="1" w:line="216" w:lineRule="auto"/>
              <w:ind w:left="662" w:right="472" w:hanging="190"/>
              <w:rPr>
                <w:rFonts w:ascii="Cambria" w:eastAsia="Cambria" w:hAnsi="Cambria" w:cs="Cambria"/>
                <w:sz w:val="20"/>
                <w:szCs w:val="20"/>
              </w:rPr>
            </w:pPr>
            <w:r w:rsidRPr="00EA15ED">
              <w:rPr>
                <w:rFonts w:ascii="Cambria" w:hAnsi="Cambria"/>
                <w:color w:val="231F20"/>
                <w:sz w:val="20"/>
                <w:szCs w:val="20"/>
              </w:rPr>
              <w:t>&lt;2.413 t (A)</w:t>
            </w:r>
          </w:p>
        </w:tc>
        <w:tc>
          <w:tcPr>
            <w:tcW w:w="1559" w:type="dxa"/>
            <w:tcBorders>
              <w:top w:val="single" w:sz="4" w:space="0" w:color="231F20"/>
              <w:left w:val="single" w:sz="4" w:space="0" w:color="231F20"/>
              <w:bottom w:val="single" w:sz="4" w:space="0" w:color="231F20"/>
              <w:right w:val="single" w:sz="4" w:space="0" w:color="231F20"/>
            </w:tcBorders>
            <w:vAlign w:val="center"/>
          </w:tcPr>
          <w:p w14:paraId="7EE1FB04" w14:textId="77777777" w:rsidR="005D5654" w:rsidRPr="00EA15ED" w:rsidRDefault="005D5654" w:rsidP="005D5654">
            <w:pPr>
              <w:spacing w:before="1" w:line="216" w:lineRule="auto"/>
              <w:ind w:left="589" w:right="446" w:hanging="141"/>
              <w:rPr>
                <w:rFonts w:ascii="Cambria" w:eastAsia="Cambria" w:hAnsi="Cambria" w:cs="Cambria"/>
                <w:sz w:val="20"/>
                <w:szCs w:val="20"/>
              </w:rPr>
            </w:pPr>
            <w:r w:rsidRPr="00EA15ED">
              <w:rPr>
                <w:rFonts w:ascii="Cambria" w:hAnsi="Cambria"/>
                <w:color w:val="231F20"/>
                <w:sz w:val="20"/>
                <w:szCs w:val="20"/>
              </w:rPr>
              <w:t>2.413 t (B)</w:t>
            </w:r>
          </w:p>
        </w:tc>
        <w:tc>
          <w:tcPr>
            <w:tcW w:w="2127" w:type="dxa"/>
            <w:tcBorders>
              <w:top w:val="single" w:sz="4" w:space="0" w:color="231F20"/>
              <w:left w:val="single" w:sz="4" w:space="0" w:color="231F20"/>
              <w:bottom w:val="single" w:sz="4" w:space="0" w:color="231F20"/>
              <w:right w:val="single" w:sz="4" w:space="0" w:color="231F20"/>
            </w:tcBorders>
            <w:vAlign w:val="center"/>
          </w:tcPr>
          <w:p w14:paraId="3E67C090" w14:textId="77777777" w:rsidR="005D5654" w:rsidRPr="00EA15ED" w:rsidRDefault="005D5654" w:rsidP="005D5654">
            <w:pPr>
              <w:spacing w:before="1" w:line="216" w:lineRule="auto"/>
              <w:ind w:left="764" w:right="330" w:hanging="433"/>
              <w:rPr>
                <w:rFonts w:ascii="Cambria" w:eastAsia="Cambria" w:hAnsi="Cambria" w:cs="Cambria"/>
                <w:sz w:val="20"/>
                <w:szCs w:val="20"/>
              </w:rPr>
            </w:pPr>
            <w:r w:rsidRPr="00EA15ED">
              <w:rPr>
                <w:rFonts w:ascii="Cambria" w:hAnsi="Cambria"/>
                <w:color w:val="231F20"/>
                <w:sz w:val="20"/>
                <w:szCs w:val="20"/>
              </w:rPr>
              <w:t>&gt;2.413-2.660 t (C)</w:t>
            </w:r>
          </w:p>
        </w:tc>
        <w:tc>
          <w:tcPr>
            <w:tcW w:w="1559" w:type="dxa"/>
            <w:tcBorders>
              <w:top w:val="single" w:sz="4" w:space="0" w:color="231F20"/>
              <w:left w:val="single" w:sz="4" w:space="0" w:color="231F20"/>
              <w:bottom w:val="single" w:sz="4" w:space="0" w:color="231F20"/>
              <w:right w:val="single" w:sz="4" w:space="0" w:color="231F20"/>
            </w:tcBorders>
            <w:vAlign w:val="center"/>
          </w:tcPr>
          <w:p w14:paraId="2D5334BF" w14:textId="77777777" w:rsidR="005D5654" w:rsidRPr="00EA15ED" w:rsidRDefault="005D5654" w:rsidP="005D5654">
            <w:pPr>
              <w:spacing w:before="1" w:line="216" w:lineRule="auto"/>
              <w:ind w:left="530" w:right="339" w:hanging="190"/>
              <w:rPr>
                <w:rFonts w:ascii="Cambria" w:eastAsia="Cambria" w:hAnsi="Cambria" w:cs="Cambria"/>
                <w:sz w:val="20"/>
                <w:szCs w:val="20"/>
              </w:rPr>
            </w:pPr>
            <w:r w:rsidRPr="00EA15ED">
              <w:rPr>
                <w:rFonts w:ascii="Cambria" w:hAnsi="Cambria"/>
                <w:color w:val="231F20"/>
                <w:sz w:val="20"/>
                <w:szCs w:val="20"/>
              </w:rPr>
              <w:t>&gt;2.660 t (D)</w:t>
            </w:r>
          </w:p>
        </w:tc>
      </w:tr>
      <w:tr w:rsidR="005D5654" w:rsidRPr="00EA15ED" w14:paraId="66D19869" w14:textId="77777777" w:rsidTr="00885113">
        <w:trPr>
          <w:trHeight w:val="220"/>
        </w:trPr>
        <w:tc>
          <w:tcPr>
            <w:tcW w:w="2042" w:type="dxa"/>
            <w:tcBorders>
              <w:top w:val="single" w:sz="4" w:space="0" w:color="231F20"/>
              <w:left w:val="single" w:sz="4" w:space="0" w:color="231F20"/>
              <w:bottom w:val="single" w:sz="4" w:space="0" w:color="231F20"/>
              <w:right w:val="single" w:sz="4" w:space="0" w:color="231F20"/>
            </w:tcBorders>
          </w:tcPr>
          <w:p w14:paraId="6F83FADF" w14:textId="77777777" w:rsidR="005D5654" w:rsidRPr="00EA15ED" w:rsidRDefault="005D5654" w:rsidP="005D5654">
            <w:pPr>
              <w:spacing w:line="214" w:lineRule="auto"/>
              <w:ind w:left="96"/>
              <w:rPr>
                <w:rFonts w:ascii="Cambria" w:eastAsia="Cambria" w:hAnsi="Cambria" w:cs="Cambria"/>
                <w:sz w:val="20"/>
                <w:szCs w:val="20"/>
              </w:rPr>
            </w:pPr>
            <w:r w:rsidRPr="00EA15ED">
              <w:rPr>
                <w:rFonts w:ascii="Cambria" w:hAnsi="Cambria"/>
                <w:color w:val="231F20"/>
                <w:sz w:val="20"/>
                <w:szCs w:val="20"/>
              </w:rPr>
              <w:t>Estados Unidos</w:t>
            </w:r>
          </w:p>
        </w:tc>
        <w:tc>
          <w:tcPr>
            <w:tcW w:w="1779" w:type="dxa"/>
            <w:tcBorders>
              <w:top w:val="single" w:sz="4" w:space="0" w:color="231F20"/>
              <w:left w:val="single" w:sz="4" w:space="0" w:color="231F20"/>
              <w:bottom w:val="single" w:sz="4" w:space="0" w:color="231F20"/>
              <w:right w:val="single" w:sz="4" w:space="0" w:color="231F20"/>
            </w:tcBorders>
          </w:tcPr>
          <w:p w14:paraId="353C2C48" w14:textId="77777777" w:rsidR="005D5654" w:rsidRPr="00EA15ED" w:rsidRDefault="005D5654" w:rsidP="005D5654">
            <w:pPr>
              <w:spacing w:line="214" w:lineRule="auto"/>
              <w:ind w:left="502"/>
              <w:rPr>
                <w:rFonts w:ascii="Cambria" w:eastAsia="Cambria" w:hAnsi="Cambria" w:cs="Cambria"/>
                <w:sz w:val="20"/>
                <w:szCs w:val="20"/>
              </w:rPr>
            </w:pPr>
            <w:r w:rsidRPr="00EA15ED">
              <w:rPr>
                <w:rFonts w:ascii="Cambria" w:hAnsi="Cambria"/>
                <w:color w:val="231F20"/>
                <w:sz w:val="20"/>
                <w:szCs w:val="20"/>
              </w:rPr>
              <w:t>54,02 %</w:t>
            </w:r>
          </w:p>
        </w:tc>
        <w:tc>
          <w:tcPr>
            <w:tcW w:w="1559" w:type="dxa"/>
            <w:tcBorders>
              <w:top w:val="single" w:sz="4" w:space="0" w:color="231F20"/>
              <w:left w:val="single" w:sz="4" w:space="0" w:color="231F20"/>
              <w:bottom w:val="single" w:sz="4" w:space="0" w:color="231F20"/>
              <w:right w:val="single" w:sz="4" w:space="0" w:color="231F20"/>
            </w:tcBorders>
          </w:tcPr>
          <w:p w14:paraId="607B95F4" w14:textId="77777777" w:rsidR="005D5654" w:rsidRPr="00EA15ED" w:rsidRDefault="005D5654" w:rsidP="005D5654">
            <w:pPr>
              <w:spacing w:line="214" w:lineRule="auto"/>
              <w:ind w:left="452"/>
              <w:rPr>
                <w:rFonts w:ascii="Cambria" w:eastAsia="Cambria" w:hAnsi="Cambria" w:cs="Cambria"/>
                <w:sz w:val="20"/>
                <w:szCs w:val="20"/>
              </w:rPr>
            </w:pPr>
            <w:r w:rsidRPr="00EA15ED">
              <w:rPr>
                <w:rFonts w:ascii="Cambria" w:hAnsi="Cambria"/>
                <w:color w:val="231F20"/>
                <w:sz w:val="20"/>
                <w:szCs w:val="20"/>
              </w:rPr>
              <w:t>1.303 t</w:t>
            </w:r>
          </w:p>
        </w:tc>
        <w:tc>
          <w:tcPr>
            <w:tcW w:w="2127" w:type="dxa"/>
            <w:tcBorders>
              <w:top w:val="single" w:sz="4" w:space="0" w:color="231F20"/>
              <w:left w:val="single" w:sz="4" w:space="0" w:color="231F20"/>
              <w:bottom w:val="single" w:sz="4" w:space="0" w:color="231F20"/>
              <w:right w:val="single" w:sz="4" w:space="0" w:color="231F20"/>
            </w:tcBorders>
          </w:tcPr>
          <w:p w14:paraId="00349CA4" w14:textId="77777777" w:rsidR="005D5654" w:rsidRPr="00EA15ED" w:rsidRDefault="005D5654" w:rsidP="005D5654">
            <w:pPr>
              <w:spacing w:line="214" w:lineRule="auto"/>
              <w:jc w:val="center"/>
              <w:rPr>
                <w:rFonts w:ascii="Cambria" w:eastAsia="Cambria" w:hAnsi="Cambria" w:cs="Cambria"/>
                <w:sz w:val="20"/>
                <w:szCs w:val="20"/>
              </w:rPr>
            </w:pPr>
            <w:r w:rsidRPr="00EA15ED">
              <w:rPr>
                <w:rFonts w:ascii="Cambria" w:hAnsi="Cambria"/>
                <w:color w:val="231F20"/>
                <w:sz w:val="20"/>
                <w:szCs w:val="20"/>
              </w:rPr>
              <w:t>1.303 t</w:t>
            </w:r>
          </w:p>
        </w:tc>
        <w:tc>
          <w:tcPr>
            <w:tcW w:w="1559" w:type="dxa"/>
            <w:tcBorders>
              <w:top w:val="single" w:sz="4" w:space="0" w:color="231F20"/>
              <w:left w:val="single" w:sz="4" w:space="0" w:color="231F20"/>
              <w:bottom w:val="single" w:sz="4" w:space="0" w:color="231F20"/>
              <w:right w:val="single" w:sz="4" w:space="0" w:color="231F20"/>
            </w:tcBorders>
          </w:tcPr>
          <w:p w14:paraId="7D6A01BD" w14:textId="77777777" w:rsidR="005D5654" w:rsidRPr="00EA15ED" w:rsidRDefault="005D5654" w:rsidP="005D5654">
            <w:pPr>
              <w:spacing w:line="214" w:lineRule="auto"/>
              <w:ind w:left="370"/>
              <w:rPr>
                <w:rFonts w:ascii="Cambria" w:eastAsia="Cambria" w:hAnsi="Cambria" w:cs="Cambria"/>
                <w:sz w:val="20"/>
                <w:szCs w:val="20"/>
              </w:rPr>
            </w:pPr>
            <w:r w:rsidRPr="00EA15ED">
              <w:rPr>
                <w:rFonts w:ascii="Cambria" w:hAnsi="Cambria"/>
                <w:color w:val="231F20"/>
                <w:sz w:val="20"/>
                <w:szCs w:val="20"/>
              </w:rPr>
              <w:t>49,00 %</w:t>
            </w:r>
          </w:p>
        </w:tc>
      </w:tr>
      <w:tr w:rsidR="005D5654" w:rsidRPr="00EA15ED" w14:paraId="5F550298" w14:textId="77777777" w:rsidTr="00885113">
        <w:trPr>
          <w:trHeight w:val="220"/>
        </w:trPr>
        <w:tc>
          <w:tcPr>
            <w:tcW w:w="2042" w:type="dxa"/>
            <w:tcBorders>
              <w:top w:val="single" w:sz="4" w:space="0" w:color="231F20"/>
              <w:left w:val="single" w:sz="4" w:space="0" w:color="231F20"/>
              <w:bottom w:val="single" w:sz="4" w:space="0" w:color="231F20"/>
              <w:right w:val="single" w:sz="4" w:space="0" w:color="231F20"/>
            </w:tcBorders>
          </w:tcPr>
          <w:p w14:paraId="11D0D9D3" w14:textId="77777777" w:rsidR="005D5654" w:rsidRPr="00EA15ED" w:rsidRDefault="005D5654" w:rsidP="005D5654">
            <w:pPr>
              <w:spacing w:line="214" w:lineRule="auto"/>
              <w:ind w:left="96"/>
              <w:rPr>
                <w:rFonts w:ascii="Cambria" w:eastAsia="Cambria" w:hAnsi="Cambria" w:cs="Cambria"/>
                <w:sz w:val="20"/>
                <w:szCs w:val="20"/>
              </w:rPr>
            </w:pPr>
            <w:r w:rsidRPr="00EA15ED">
              <w:rPr>
                <w:rFonts w:ascii="Cambria" w:hAnsi="Cambria"/>
                <w:color w:val="231F20"/>
                <w:sz w:val="20"/>
                <w:szCs w:val="20"/>
              </w:rPr>
              <w:t>Canadá</w:t>
            </w:r>
          </w:p>
        </w:tc>
        <w:tc>
          <w:tcPr>
            <w:tcW w:w="1779" w:type="dxa"/>
            <w:tcBorders>
              <w:top w:val="single" w:sz="4" w:space="0" w:color="231F20"/>
              <w:left w:val="single" w:sz="4" w:space="0" w:color="231F20"/>
              <w:bottom w:val="single" w:sz="4" w:space="0" w:color="231F20"/>
              <w:right w:val="single" w:sz="4" w:space="0" w:color="231F20"/>
            </w:tcBorders>
          </w:tcPr>
          <w:p w14:paraId="144139CA" w14:textId="77777777" w:rsidR="005D5654" w:rsidRPr="00EA15ED" w:rsidRDefault="005D5654" w:rsidP="005D5654">
            <w:pPr>
              <w:spacing w:line="214" w:lineRule="auto"/>
              <w:ind w:left="502"/>
              <w:rPr>
                <w:rFonts w:ascii="Cambria" w:eastAsia="Cambria" w:hAnsi="Cambria" w:cs="Cambria"/>
                <w:sz w:val="20"/>
                <w:szCs w:val="20"/>
              </w:rPr>
            </w:pPr>
            <w:r w:rsidRPr="00EA15ED">
              <w:rPr>
                <w:rFonts w:ascii="Cambria" w:hAnsi="Cambria"/>
                <w:color w:val="231F20"/>
                <w:sz w:val="20"/>
                <w:szCs w:val="20"/>
              </w:rPr>
              <w:t>22,32 %</w:t>
            </w:r>
          </w:p>
        </w:tc>
        <w:tc>
          <w:tcPr>
            <w:tcW w:w="1559" w:type="dxa"/>
            <w:tcBorders>
              <w:top w:val="single" w:sz="4" w:space="0" w:color="231F20"/>
              <w:left w:val="single" w:sz="4" w:space="0" w:color="231F20"/>
              <w:bottom w:val="single" w:sz="4" w:space="0" w:color="231F20"/>
              <w:right w:val="single" w:sz="4" w:space="0" w:color="231F20"/>
            </w:tcBorders>
          </w:tcPr>
          <w:p w14:paraId="2552AE76" w14:textId="77777777" w:rsidR="005D5654" w:rsidRPr="00EA15ED" w:rsidRDefault="005D5654" w:rsidP="005D5654">
            <w:pPr>
              <w:spacing w:line="214" w:lineRule="auto"/>
              <w:ind w:left="1"/>
              <w:jc w:val="center"/>
              <w:rPr>
                <w:rFonts w:ascii="Cambria" w:eastAsia="Cambria" w:hAnsi="Cambria" w:cs="Cambria"/>
                <w:sz w:val="20"/>
                <w:szCs w:val="20"/>
              </w:rPr>
            </w:pPr>
            <w:r w:rsidRPr="00EA15ED">
              <w:rPr>
                <w:rFonts w:ascii="Cambria" w:hAnsi="Cambria"/>
                <w:color w:val="231F20"/>
                <w:sz w:val="20"/>
                <w:szCs w:val="20"/>
              </w:rPr>
              <w:t>539 t</w:t>
            </w:r>
          </w:p>
        </w:tc>
        <w:tc>
          <w:tcPr>
            <w:tcW w:w="2127" w:type="dxa"/>
            <w:tcBorders>
              <w:top w:val="single" w:sz="4" w:space="0" w:color="231F20"/>
              <w:left w:val="single" w:sz="4" w:space="0" w:color="231F20"/>
              <w:bottom w:val="single" w:sz="4" w:space="0" w:color="231F20"/>
              <w:right w:val="single" w:sz="4" w:space="0" w:color="231F20"/>
            </w:tcBorders>
          </w:tcPr>
          <w:p w14:paraId="6FFBA18E" w14:textId="77777777" w:rsidR="005D5654" w:rsidRPr="00EA15ED" w:rsidRDefault="005D5654" w:rsidP="005D5654">
            <w:pPr>
              <w:spacing w:line="214" w:lineRule="auto"/>
              <w:ind w:left="1"/>
              <w:jc w:val="center"/>
              <w:rPr>
                <w:rFonts w:ascii="Cambria" w:eastAsia="Cambria" w:hAnsi="Cambria" w:cs="Cambria"/>
                <w:sz w:val="20"/>
                <w:szCs w:val="20"/>
              </w:rPr>
            </w:pPr>
            <w:r w:rsidRPr="00EA15ED">
              <w:rPr>
                <w:rFonts w:ascii="Cambria" w:hAnsi="Cambria"/>
                <w:color w:val="231F20"/>
                <w:sz w:val="20"/>
                <w:szCs w:val="20"/>
              </w:rPr>
              <w:t>539 t</w:t>
            </w:r>
          </w:p>
        </w:tc>
        <w:tc>
          <w:tcPr>
            <w:tcW w:w="1559" w:type="dxa"/>
            <w:tcBorders>
              <w:top w:val="single" w:sz="4" w:space="0" w:color="231F20"/>
              <w:left w:val="single" w:sz="4" w:space="0" w:color="231F20"/>
              <w:bottom w:val="single" w:sz="4" w:space="0" w:color="231F20"/>
              <w:right w:val="single" w:sz="4" w:space="0" w:color="231F20"/>
            </w:tcBorders>
          </w:tcPr>
          <w:p w14:paraId="2371C9BC" w14:textId="77777777" w:rsidR="005D5654" w:rsidRPr="00EA15ED" w:rsidRDefault="005D5654" w:rsidP="005D5654">
            <w:pPr>
              <w:spacing w:line="214" w:lineRule="auto"/>
              <w:ind w:left="370"/>
              <w:rPr>
                <w:rFonts w:ascii="Cambria" w:eastAsia="Cambria" w:hAnsi="Cambria" w:cs="Cambria"/>
                <w:sz w:val="20"/>
                <w:szCs w:val="20"/>
              </w:rPr>
            </w:pPr>
            <w:r w:rsidRPr="00EA15ED">
              <w:rPr>
                <w:rFonts w:ascii="Cambria" w:hAnsi="Cambria"/>
                <w:color w:val="231F20"/>
                <w:sz w:val="20"/>
                <w:szCs w:val="20"/>
              </w:rPr>
              <w:t>20,24 %</w:t>
            </w:r>
          </w:p>
        </w:tc>
      </w:tr>
      <w:tr w:rsidR="005D5654" w:rsidRPr="00EA15ED" w14:paraId="165FBC7A" w14:textId="77777777" w:rsidTr="00885113">
        <w:trPr>
          <w:trHeight w:val="800"/>
        </w:trPr>
        <w:tc>
          <w:tcPr>
            <w:tcW w:w="2042" w:type="dxa"/>
            <w:tcBorders>
              <w:top w:val="single" w:sz="4" w:space="0" w:color="231F20"/>
              <w:left w:val="single" w:sz="4" w:space="0" w:color="231F20"/>
              <w:bottom w:val="single" w:sz="4" w:space="0" w:color="231F20"/>
              <w:right w:val="single" w:sz="4" w:space="0" w:color="231F20"/>
            </w:tcBorders>
          </w:tcPr>
          <w:p w14:paraId="5B515E21" w14:textId="77777777" w:rsidR="005D5654" w:rsidRPr="00EA15ED" w:rsidRDefault="005D5654" w:rsidP="005D5654">
            <w:pPr>
              <w:spacing w:before="4"/>
              <w:rPr>
                <w:rFonts w:ascii="Cambria" w:eastAsia="Cambria" w:hAnsi="Cambria" w:cs="Cambria"/>
                <w:sz w:val="20"/>
                <w:szCs w:val="20"/>
              </w:rPr>
            </w:pPr>
          </w:p>
          <w:p w14:paraId="5B94FAD1" w14:textId="77777777" w:rsidR="005D5654" w:rsidRPr="00EA15ED" w:rsidRDefault="005D5654" w:rsidP="005D5654">
            <w:pPr>
              <w:ind w:left="96"/>
              <w:rPr>
                <w:rFonts w:ascii="Cambria" w:eastAsia="Cambria" w:hAnsi="Cambria" w:cs="Cambria"/>
                <w:sz w:val="20"/>
                <w:szCs w:val="20"/>
              </w:rPr>
            </w:pPr>
            <w:r w:rsidRPr="00EA15ED">
              <w:rPr>
                <w:rFonts w:ascii="Cambria" w:hAnsi="Cambria"/>
                <w:color w:val="231F20"/>
                <w:sz w:val="20"/>
                <w:szCs w:val="20"/>
              </w:rPr>
              <w:t>Japón</w:t>
            </w:r>
          </w:p>
        </w:tc>
        <w:tc>
          <w:tcPr>
            <w:tcW w:w="1779" w:type="dxa"/>
            <w:tcBorders>
              <w:top w:val="single" w:sz="4" w:space="0" w:color="231F20"/>
              <w:left w:val="single" w:sz="4" w:space="0" w:color="231F20"/>
              <w:bottom w:val="single" w:sz="4" w:space="0" w:color="231F20"/>
              <w:right w:val="single" w:sz="4" w:space="0" w:color="231F20"/>
            </w:tcBorders>
          </w:tcPr>
          <w:p w14:paraId="7D67142A" w14:textId="77777777" w:rsidR="005D5654" w:rsidRPr="00EA15ED" w:rsidRDefault="005D5654" w:rsidP="005D5654">
            <w:pPr>
              <w:spacing w:before="4"/>
              <w:rPr>
                <w:rFonts w:ascii="Cambria" w:eastAsia="Cambria" w:hAnsi="Cambria" w:cs="Cambria"/>
                <w:sz w:val="20"/>
                <w:szCs w:val="20"/>
              </w:rPr>
            </w:pPr>
          </w:p>
          <w:p w14:paraId="767D9334" w14:textId="77777777" w:rsidR="005D5654" w:rsidRPr="00EA15ED" w:rsidRDefault="005D5654" w:rsidP="005D5654">
            <w:pPr>
              <w:ind w:left="502"/>
              <w:rPr>
                <w:rFonts w:ascii="Cambria" w:eastAsia="Cambria" w:hAnsi="Cambria" w:cs="Cambria"/>
                <w:sz w:val="20"/>
                <w:szCs w:val="20"/>
              </w:rPr>
            </w:pPr>
            <w:r w:rsidRPr="00EA15ED">
              <w:rPr>
                <w:rFonts w:ascii="Cambria" w:hAnsi="Cambria"/>
                <w:color w:val="231F20"/>
                <w:sz w:val="20"/>
                <w:szCs w:val="20"/>
              </w:rPr>
              <w:t>17,64 %</w:t>
            </w:r>
          </w:p>
        </w:tc>
        <w:tc>
          <w:tcPr>
            <w:tcW w:w="1559" w:type="dxa"/>
            <w:tcBorders>
              <w:top w:val="single" w:sz="4" w:space="0" w:color="231F20"/>
              <w:left w:val="single" w:sz="4" w:space="0" w:color="231F20"/>
              <w:bottom w:val="single" w:sz="4" w:space="0" w:color="231F20"/>
              <w:right w:val="single" w:sz="4" w:space="0" w:color="231F20"/>
            </w:tcBorders>
          </w:tcPr>
          <w:p w14:paraId="4A852D26" w14:textId="77777777" w:rsidR="005D5654" w:rsidRPr="00EA15ED" w:rsidRDefault="005D5654" w:rsidP="005D5654">
            <w:pPr>
              <w:spacing w:before="4"/>
              <w:rPr>
                <w:rFonts w:ascii="Cambria" w:eastAsia="Cambria" w:hAnsi="Cambria" w:cs="Cambria"/>
                <w:sz w:val="20"/>
                <w:szCs w:val="20"/>
              </w:rPr>
            </w:pPr>
          </w:p>
          <w:p w14:paraId="7221DD00" w14:textId="77777777" w:rsidR="005D5654" w:rsidRPr="00EA15ED" w:rsidRDefault="005D5654" w:rsidP="005D5654">
            <w:pPr>
              <w:ind w:left="1"/>
              <w:jc w:val="center"/>
              <w:rPr>
                <w:rFonts w:ascii="Cambria" w:eastAsia="Cambria" w:hAnsi="Cambria" w:cs="Cambria"/>
                <w:sz w:val="20"/>
                <w:szCs w:val="20"/>
              </w:rPr>
            </w:pPr>
            <w:r w:rsidRPr="00EA15ED">
              <w:rPr>
                <w:rFonts w:ascii="Cambria" w:hAnsi="Cambria"/>
                <w:color w:val="231F20"/>
                <w:sz w:val="20"/>
                <w:szCs w:val="20"/>
              </w:rPr>
              <w:t>426 t</w:t>
            </w:r>
          </w:p>
        </w:tc>
        <w:tc>
          <w:tcPr>
            <w:tcW w:w="2127" w:type="dxa"/>
            <w:tcBorders>
              <w:top w:val="single" w:sz="4" w:space="0" w:color="231F20"/>
              <w:left w:val="single" w:sz="4" w:space="0" w:color="231F20"/>
              <w:bottom w:val="single" w:sz="4" w:space="0" w:color="231F20"/>
              <w:right w:val="single" w:sz="4" w:space="0" w:color="231F20"/>
            </w:tcBorders>
          </w:tcPr>
          <w:p w14:paraId="18282CCF" w14:textId="77777777" w:rsidR="005D5654" w:rsidRPr="00EA15ED" w:rsidRDefault="005D5654" w:rsidP="005D5654">
            <w:pPr>
              <w:spacing w:line="237" w:lineRule="auto"/>
              <w:ind w:left="136" w:right="135"/>
              <w:jc w:val="center"/>
              <w:rPr>
                <w:rFonts w:ascii="Cambria" w:eastAsia="Cambria" w:hAnsi="Cambria" w:cs="Cambria"/>
                <w:color w:val="231F20"/>
                <w:sz w:val="20"/>
                <w:szCs w:val="20"/>
              </w:rPr>
            </w:pPr>
            <w:r w:rsidRPr="00EA15ED">
              <w:rPr>
                <w:rFonts w:ascii="Cambria" w:hAnsi="Cambria"/>
                <w:color w:val="231F20"/>
                <w:sz w:val="20"/>
                <w:szCs w:val="20"/>
              </w:rPr>
              <w:t xml:space="preserve">426 t + </w:t>
            </w:r>
          </w:p>
          <w:p w14:paraId="584BB293" w14:textId="77777777" w:rsidR="005D5654" w:rsidRPr="00EA15ED" w:rsidRDefault="005D5654" w:rsidP="005D5654">
            <w:pPr>
              <w:spacing w:line="237" w:lineRule="auto"/>
              <w:ind w:left="136" w:right="135"/>
              <w:jc w:val="center"/>
              <w:rPr>
                <w:rFonts w:ascii="Cambria" w:eastAsia="Cambria" w:hAnsi="Cambria" w:cs="Cambria"/>
                <w:color w:val="231F20"/>
                <w:sz w:val="20"/>
                <w:szCs w:val="20"/>
              </w:rPr>
            </w:pPr>
            <w:r w:rsidRPr="00EA15ED">
              <w:rPr>
                <w:rFonts w:ascii="Cambria" w:hAnsi="Cambria"/>
                <w:color w:val="231F20"/>
                <w:sz w:val="20"/>
                <w:szCs w:val="20"/>
              </w:rPr>
              <w:t xml:space="preserve">todo incremento entre </w:t>
            </w:r>
          </w:p>
          <w:p w14:paraId="6B0EA623" w14:textId="77777777" w:rsidR="005D5654" w:rsidRPr="00EA15ED" w:rsidRDefault="005D5654" w:rsidP="005D5654">
            <w:pPr>
              <w:spacing w:line="237" w:lineRule="auto"/>
              <w:ind w:left="136" w:right="135"/>
              <w:jc w:val="center"/>
              <w:rPr>
                <w:rFonts w:ascii="Cambria" w:eastAsia="Cambria" w:hAnsi="Cambria" w:cs="Cambria"/>
                <w:sz w:val="20"/>
                <w:szCs w:val="20"/>
              </w:rPr>
            </w:pPr>
            <w:r w:rsidRPr="00EA15ED">
              <w:rPr>
                <w:rFonts w:ascii="Cambria" w:hAnsi="Cambria"/>
                <w:color w:val="231F20"/>
                <w:sz w:val="20"/>
                <w:szCs w:val="20"/>
              </w:rPr>
              <w:t>2.413 t y 2.660 t</w:t>
            </w:r>
          </w:p>
        </w:tc>
        <w:tc>
          <w:tcPr>
            <w:tcW w:w="1559" w:type="dxa"/>
            <w:tcBorders>
              <w:top w:val="single" w:sz="4" w:space="0" w:color="231F20"/>
              <w:left w:val="single" w:sz="4" w:space="0" w:color="231F20"/>
              <w:bottom w:val="single" w:sz="4" w:space="0" w:color="231F20"/>
              <w:right w:val="single" w:sz="4" w:space="0" w:color="231F20"/>
            </w:tcBorders>
          </w:tcPr>
          <w:p w14:paraId="2C088CC5" w14:textId="77777777" w:rsidR="005D5654" w:rsidRPr="00EA15ED" w:rsidRDefault="005D5654" w:rsidP="005D5654">
            <w:pPr>
              <w:spacing w:before="4"/>
              <w:rPr>
                <w:rFonts w:ascii="Cambria" w:eastAsia="Cambria" w:hAnsi="Cambria" w:cs="Cambria"/>
                <w:sz w:val="20"/>
                <w:szCs w:val="20"/>
              </w:rPr>
            </w:pPr>
          </w:p>
          <w:p w14:paraId="5F0D2560" w14:textId="77777777" w:rsidR="005D5654" w:rsidRPr="00EA15ED" w:rsidRDefault="005D5654" w:rsidP="005D5654">
            <w:pPr>
              <w:ind w:left="370"/>
              <w:rPr>
                <w:rFonts w:ascii="Cambria" w:eastAsia="Cambria" w:hAnsi="Cambria" w:cs="Cambria"/>
                <w:sz w:val="20"/>
                <w:szCs w:val="20"/>
              </w:rPr>
            </w:pPr>
            <w:r w:rsidRPr="00EA15ED">
              <w:rPr>
                <w:rFonts w:ascii="Cambria" w:hAnsi="Cambria"/>
                <w:color w:val="231F20"/>
                <w:sz w:val="20"/>
                <w:szCs w:val="20"/>
              </w:rPr>
              <w:t>24,74 %</w:t>
            </w:r>
          </w:p>
        </w:tc>
      </w:tr>
      <w:tr w:rsidR="005D5654" w:rsidRPr="00EA15ED" w14:paraId="69F32DF3" w14:textId="77777777" w:rsidTr="00885113">
        <w:trPr>
          <w:trHeight w:val="700"/>
        </w:trPr>
        <w:tc>
          <w:tcPr>
            <w:tcW w:w="2042" w:type="dxa"/>
            <w:tcBorders>
              <w:top w:val="single" w:sz="4" w:space="0" w:color="231F20"/>
              <w:left w:val="single" w:sz="4" w:space="0" w:color="231F20"/>
              <w:bottom w:val="single" w:sz="4" w:space="0" w:color="231F20"/>
              <w:right w:val="single" w:sz="4" w:space="0" w:color="231F20"/>
            </w:tcBorders>
          </w:tcPr>
          <w:p w14:paraId="71CE5DAC" w14:textId="77777777" w:rsidR="005D5654" w:rsidRPr="00EA15ED" w:rsidRDefault="005D5654" w:rsidP="005D5654">
            <w:pPr>
              <w:spacing w:line="238" w:lineRule="auto"/>
              <w:ind w:left="96" w:right="397"/>
              <w:rPr>
                <w:rFonts w:ascii="Cambria" w:eastAsia="Cambria" w:hAnsi="Cambria" w:cs="Cambria"/>
                <w:sz w:val="20"/>
                <w:szCs w:val="20"/>
              </w:rPr>
            </w:pPr>
            <w:r w:rsidRPr="00EA15ED">
              <w:rPr>
                <w:rFonts w:ascii="Cambria" w:hAnsi="Cambria"/>
                <w:color w:val="231F20"/>
                <w:sz w:val="20"/>
                <w:szCs w:val="20"/>
              </w:rPr>
              <w:t>Reino Unido (por Bermudas)</w:t>
            </w:r>
          </w:p>
        </w:tc>
        <w:tc>
          <w:tcPr>
            <w:tcW w:w="1779" w:type="dxa"/>
            <w:tcBorders>
              <w:top w:val="single" w:sz="4" w:space="0" w:color="231F20"/>
              <w:left w:val="single" w:sz="4" w:space="0" w:color="231F20"/>
              <w:bottom w:val="single" w:sz="4" w:space="0" w:color="231F20"/>
              <w:right w:val="single" w:sz="4" w:space="0" w:color="231F20"/>
            </w:tcBorders>
          </w:tcPr>
          <w:p w14:paraId="14EC8905" w14:textId="77777777" w:rsidR="005D5654" w:rsidRPr="00EA15ED" w:rsidRDefault="005D5654" w:rsidP="005D5654">
            <w:pPr>
              <w:spacing w:before="102"/>
              <w:jc w:val="center"/>
              <w:rPr>
                <w:rFonts w:ascii="Cambria" w:eastAsia="Cambria" w:hAnsi="Cambria" w:cs="Cambria"/>
                <w:sz w:val="20"/>
                <w:szCs w:val="20"/>
              </w:rPr>
            </w:pPr>
            <w:r w:rsidRPr="00EA15ED">
              <w:rPr>
                <w:rFonts w:ascii="Cambria" w:hAnsi="Cambria"/>
                <w:color w:val="231F20"/>
                <w:sz w:val="20"/>
                <w:szCs w:val="20"/>
              </w:rPr>
              <w:t>0,23 %</w:t>
            </w:r>
          </w:p>
        </w:tc>
        <w:tc>
          <w:tcPr>
            <w:tcW w:w="1559" w:type="dxa"/>
            <w:tcBorders>
              <w:top w:val="single" w:sz="4" w:space="0" w:color="231F20"/>
              <w:left w:val="single" w:sz="4" w:space="0" w:color="231F20"/>
              <w:bottom w:val="single" w:sz="4" w:space="0" w:color="231F20"/>
              <w:right w:val="single" w:sz="4" w:space="0" w:color="231F20"/>
            </w:tcBorders>
          </w:tcPr>
          <w:p w14:paraId="51515045" w14:textId="77777777" w:rsidR="005D5654" w:rsidRPr="00EA15ED" w:rsidRDefault="005D5654" w:rsidP="005D5654">
            <w:pPr>
              <w:spacing w:before="102"/>
              <w:ind w:left="547"/>
              <w:rPr>
                <w:rFonts w:ascii="Cambria" w:eastAsia="Cambria" w:hAnsi="Cambria" w:cs="Cambria"/>
                <w:sz w:val="20"/>
                <w:szCs w:val="20"/>
              </w:rPr>
            </w:pPr>
            <w:r w:rsidRPr="00EA15ED">
              <w:rPr>
                <w:rFonts w:ascii="Cambria" w:hAnsi="Cambria"/>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tcPr>
          <w:p w14:paraId="37813D89" w14:textId="77777777" w:rsidR="005D5654" w:rsidRPr="00EA15ED" w:rsidRDefault="005D5654" w:rsidP="005D5654">
            <w:pPr>
              <w:spacing w:before="102"/>
              <w:ind w:left="728"/>
              <w:rPr>
                <w:rFonts w:ascii="Cambria" w:eastAsia="Cambria" w:hAnsi="Cambria" w:cs="Cambria"/>
                <w:sz w:val="20"/>
                <w:szCs w:val="20"/>
              </w:rPr>
            </w:pPr>
            <w:r w:rsidRPr="00EA15ED">
              <w:rPr>
                <w:rFonts w:ascii="Cambria" w:hAnsi="Cambria"/>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tcPr>
          <w:p w14:paraId="74227BC5" w14:textId="77777777" w:rsidR="005D5654" w:rsidRPr="00EA15ED" w:rsidRDefault="005D5654" w:rsidP="005D5654">
            <w:pPr>
              <w:spacing w:before="102"/>
              <w:ind w:left="417"/>
              <w:rPr>
                <w:rFonts w:ascii="Cambria" w:eastAsia="Cambria" w:hAnsi="Cambria" w:cs="Cambria"/>
                <w:sz w:val="20"/>
                <w:szCs w:val="20"/>
              </w:rPr>
            </w:pPr>
            <w:r w:rsidRPr="00EA15ED">
              <w:rPr>
                <w:rFonts w:ascii="Cambria" w:hAnsi="Cambria"/>
                <w:color w:val="231F20"/>
                <w:sz w:val="20"/>
                <w:szCs w:val="20"/>
              </w:rPr>
              <w:t>0,23 %</w:t>
            </w:r>
          </w:p>
        </w:tc>
      </w:tr>
      <w:tr w:rsidR="005D5654" w:rsidRPr="00EA15ED" w14:paraId="456BF16E" w14:textId="77777777" w:rsidTr="00885113">
        <w:trPr>
          <w:trHeight w:val="700"/>
        </w:trPr>
        <w:tc>
          <w:tcPr>
            <w:tcW w:w="2042" w:type="dxa"/>
            <w:tcBorders>
              <w:top w:val="single" w:sz="4" w:space="0" w:color="231F20"/>
              <w:left w:val="single" w:sz="4" w:space="0" w:color="231F20"/>
              <w:bottom w:val="single" w:sz="4" w:space="0" w:color="231F20"/>
              <w:right w:val="single" w:sz="4" w:space="0" w:color="231F20"/>
            </w:tcBorders>
          </w:tcPr>
          <w:p w14:paraId="3136A702" w14:textId="77777777" w:rsidR="005D5654" w:rsidRPr="00EA15ED" w:rsidRDefault="005D5654" w:rsidP="005D5654">
            <w:pPr>
              <w:spacing w:line="216" w:lineRule="auto"/>
              <w:ind w:left="96" w:right="128"/>
              <w:rPr>
                <w:rFonts w:ascii="Cambria" w:eastAsia="Cambria" w:hAnsi="Cambria" w:cs="Cambria"/>
                <w:sz w:val="20"/>
                <w:szCs w:val="20"/>
              </w:rPr>
            </w:pPr>
            <w:r w:rsidRPr="00EA15ED">
              <w:rPr>
                <w:rFonts w:ascii="Cambria" w:hAnsi="Cambria"/>
                <w:color w:val="231F20"/>
                <w:sz w:val="20"/>
                <w:szCs w:val="20"/>
              </w:rPr>
              <w:t>Francia (por San Pedro y Miquelón)</w:t>
            </w:r>
          </w:p>
        </w:tc>
        <w:tc>
          <w:tcPr>
            <w:tcW w:w="1779" w:type="dxa"/>
            <w:tcBorders>
              <w:top w:val="single" w:sz="4" w:space="0" w:color="231F20"/>
              <w:left w:val="single" w:sz="4" w:space="0" w:color="231F20"/>
              <w:bottom w:val="single" w:sz="4" w:space="0" w:color="231F20"/>
              <w:right w:val="single" w:sz="4" w:space="0" w:color="231F20"/>
            </w:tcBorders>
          </w:tcPr>
          <w:p w14:paraId="18B1C881" w14:textId="77777777" w:rsidR="005D5654" w:rsidRPr="00EA15ED" w:rsidRDefault="005D5654" w:rsidP="005D5654">
            <w:pPr>
              <w:spacing w:before="103"/>
              <w:jc w:val="center"/>
              <w:rPr>
                <w:rFonts w:ascii="Cambria" w:eastAsia="Cambria" w:hAnsi="Cambria" w:cs="Cambria"/>
                <w:sz w:val="20"/>
                <w:szCs w:val="20"/>
              </w:rPr>
            </w:pPr>
            <w:r w:rsidRPr="00EA15ED">
              <w:rPr>
                <w:rFonts w:ascii="Cambria" w:hAnsi="Cambria"/>
                <w:color w:val="231F20"/>
                <w:sz w:val="20"/>
                <w:szCs w:val="20"/>
              </w:rPr>
              <w:t>0,23 %</w:t>
            </w:r>
          </w:p>
        </w:tc>
        <w:tc>
          <w:tcPr>
            <w:tcW w:w="1559" w:type="dxa"/>
            <w:tcBorders>
              <w:top w:val="single" w:sz="4" w:space="0" w:color="231F20"/>
              <w:left w:val="single" w:sz="4" w:space="0" w:color="231F20"/>
              <w:bottom w:val="single" w:sz="4" w:space="0" w:color="231F20"/>
              <w:right w:val="single" w:sz="4" w:space="0" w:color="231F20"/>
            </w:tcBorders>
          </w:tcPr>
          <w:p w14:paraId="7765A8FE" w14:textId="77777777" w:rsidR="005D5654" w:rsidRPr="00EA15ED" w:rsidRDefault="005D5654" w:rsidP="005D5654">
            <w:pPr>
              <w:spacing w:before="103"/>
              <w:ind w:left="547"/>
              <w:rPr>
                <w:rFonts w:ascii="Cambria" w:eastAsia="Cambria" w:hAnsi="Cambria" w:cs="Cambria"/>
                <w:sz w:val="20"/>
                <w:szCs w:val="20"/>
              </w:rPr>
            </w:pPr>
            <w:r w:rsidRPr="00EA15ED">
              <w:rPr>
                <w:rFonts w:ascii="Cambria" w:hAnsi="Cambria"/>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tcPr>
          <w:p w14:paraId="121117F4" w14:textId="77777777" w:rsidR="005D5654" w:rsidRPr="00EA15ED" w:rsidRDefault="005D5654" w:rsidP="005D5654">
            <w:pPr>
              <w:spacing w:before="103"/>
              <w:ind w:left="728"/>
              <w:rPr>
                <w:rFonts w:ascii="Cambria" w:eastAsia="Cambria" w:hAnsi="Cambria" w:cs="Cambria"/>
                <w:sz w:val="20"/>
                <w:szCs w:val="20"/>
              </w:rPr>
            </w:pPr>
            <w:r w:rsidRPr="00EA15ED">
              <w:rPr>
                <w:rFonts w:ascii="Cambria" w:hAnsi="Cambria"/>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tcPr>
          <w:p w14:paraId="34D0B2E6" w14:textId="77777777" w:rsidR="005D5654" w:rsidRPr="00EA15ED" w:rsidRDefault="005D5654" w:rsidP="005D5654">
            <w:pPr>
              <w:spacing w:before="103"/>
              <w:ind w:left="417"/>
              <w:rPr>
                <w:rFonts w:ascii="Cambria" w:eastAsia="Cambria" w:hAnsi="Cambria" w:cs="Cambria"/>
                <w:sz w:val="20"/>
                <w:szCs w:val="20"/>
              </w:rPr>
            </w:pPr>
            <w:r w:rsidRPr="00EA15ED">
              <w:rPr>
                <w:rFonts w:ascii="Cambria" w:hAnsi="Cambria"/>
                <w:color w:val="231F20"/>
                <w:sz w:val="20"/>
                <w:szCs w:val="20"/>
              </w:rPr>
              <w:t>0,23 %</w:t>
            </w:r>
          </w:p>
        </w:tc>
      </w:tr>
      <w:tr w:rsidR="005D5654" w:rsidRPr="00EA15ED" w14:paraId="5551D091" w14:textId="77777777" w:rsidTr="00885113">
        <w:trPr>
          <w:trHeight w:val="220"/>
        </w:trPr>
        <w:tc>
          <w:tcPr>
            <w:tcW w:w="2042" w:type="dxa"/>
            <w:tcBorders>
              <w:top w:val="single" w:sz="4" w:space="0" w:color="231F20"/>
              <w:left w:val="single" w:sz="4" w:space="0" w:color="231F20"/>
              <w:bottom w:val="single" w:sz="4" w:space="0" w:color="231F20"/>
              <w:right w:val="single" w:sz="4" w:space="0" w:color="231F20"/>
            </w:tcBorders>
          </w:tcPr>
          <w:p w14:paraId="5919D490" w14:textId="77777777" w:rsidR="005D5654" w:rsidRPr="00EA15ED" w:rsidRDefault="005D5654" w:rsidP="005D5654">
            <w:pPr>
              <w:spacing w:line="213" w:lineRule="auto"/>
              <w:ind w:left="96"/>
              <w:rPr>
                <w:rFonts w:ascii="Cambria" w:eastAsia="Cambria" w:hAnsi="Cambria" w:cs="Cambria"/>
                <w:sz w:val="20"/>
                <w:szCs w:val="20"/>
              </w:rPr>
            </w:pPr>
            <w:r w:rsidRPr="00EA15ED">
              <w:rPr>
                <w:rFonts w:ascii="Cambria" w:hAnsi="Cambria"/>
                <w:color w:val="231F20"/>
                <w:sz w:val="20"/>
                <w:szCs w:val="20"/>
              </w:rPr>
              <w:t>México</w:t>
            </w:r>
          </w:p>
        </w:tc>
        <w:tc>
          <w:tcPr>
            <w:tcW w:w="1779" w:type="dxa"/>
            <w:tcBorders>
              <w:top w:val="single" w:sz="4" w:space="0" w:color="231F20"/>
              <w:left w:val="single" w:sz="4" w:space="0" w:color="231F20"/>
              <w:bottom w:val="single" w:sz="4" w:space="0" w:color="231F20"/>
              <w:right w:val="single" w:sz="4" w:space="0" w:color="231F20"/>
            </w:tcBorders>
          </w:tcPr>
          <w:p w14:paraId="4EFC7CB7" w14:textId="77777777" w:rsidR="005D5654" w:rsidRPr="00EA15ED" w:rsidRDefault="005D5654" w:rsidP="005D5654">
            <w:pPr>
              <w:spacing w:line="213" w:lineRule="auto"/>
              <w:jc w:val="center"/>
              <w:rPr>
                <w:rFonts w:ascii="Cambria" w:eastAsia="Cambria" w:hAnsi="Cambria" w:cs="Cambria"/>
                <w:sz w:val="20"/>
                <w:szCs w:val="20"/>
              </w:rPr>
            </w:pPr>
            <w:r w:rsidRPr="00EA15ED">
              <w:rPr>
                <w:rFonts w:ascii="Cambria" w:hAnsi="Cambria"/>
                <w:color w:val="231F20"/>
                <w:sz w:val="20"/>
                <w:szCs w:val="20"/>
              </w:rPr>
              <w:t>5,56%</w:t>
            </w:r>
          </w:p>
        </w:tc>
        <w:tc>
          <w:tcPr>
            <w:tcW w:w="1559" w:type="dxa"/>
            <w:tcBorders>
              <w:top w:val="single" w:sz="4" w:space="0" w:color="231F20"/>
              <w:left w:val="single" w:sz="4" w:space="0" w:color="231F20"/>
              <w:bottom w:val="single" w:sz="4" w:space="0" w:color="231F20"/>
              <w:right w:val="single" w:sz="4" w:space="0" w:color="231F20"/>
            </w:tcBorders>
          </w:tcPr>
          <w:p w14:paraId="4749619B" w14:textId="77777777" w:rsidR="005D5654" w:rsidRPr="00EA15ED" w:rsidRDefault="005D5654" w:rsidP="005D5654">
            <w:pPr>
              <w:spacing w:line="213" w:lineRule="auto"/>
              <w:ind w:left="1"/>
              <w:jc w:val="center"/>
              <w:rPr>
                <w:rFonts w:ascii="Cambria" w:eastAsia="Cambria" w:hAnsi="Cambria" w:cs="Cambria"/>
                <w:sz w:val="20"/>
                <w:szCs w:val="20"/>
              </w:rPr>
            </w:pPr>
            <w:r w:rsidRPr="00EA15ED">
              <w:rPr>
                <w:rFonts w:ascii="Cambria" w:hAnsi="Cambria"/>
                <w:color w:val="231F20"/>
                <w:sz w:val="20"/>
                <w:szCs w:val="20"/>
              </w:rPr>
              <w:t>134 t</w:t>
            </w:r>
          </w:p>
        </w:tc>
        <w:tc>
          <w:tcPr>
            <w:tcW w:w="2127" w:type="dxa"/>
            <w:tcBorders>
              <w:top w:val="single" w:sz="4" w:space="0" w:color="231F20"/>
              <w:left w:val="single" w:sz="4" w:space="0" w:color="231F20"/>
              <w:bottom w:val="single" w:sz="4" w:space="0" w:color="231F20"/>
              <w:right w:val="single" w:sz="4" w:space="0" w:color="231F20"/>
            </w:tcBorders>
          </w:tcPr>
          <w:p w14:paraId="65324B14" w14:textId="77777777" w:rsidR="005D5654" w:rsidRPr="00EA15ED" w:rsidRDefault="005D5654" w:rsidP="005D5654">
            <w:pPr>
              <w:spacing w:line="213" w:lineRule="auto"/>
              <w:ind w:left="1"/>
              <w:jc w:val="center"/>
              <w:rPr>
                <w:rFonts w:ascii="Cambria" w:eastAsia="Cambria" w:hAnsi="Cambria" w:cs="Cambria"/>
                <w:sz w:val="20"/>
                <w:szCs w:val="20"/>
              </w:rPr>
            </w:pPr>
            <w:r w:rsidRPr="00EA15ED">
              <w:rPr>
                <w:rFonts w:ascii="Cambria" w:hAnsi="Cambria"/>
                <w:color w:val="231F20"/>
                <w:sz w:val="20"/>
                <w:szCs w:val="20"/>
              </w:rPr>
              <w:t>134 t</w:t>
            </w:r>
          </w:p>
        </w:tc>
        <w:tc>
          <w:tcPr>
            <w:tcW w:w="1559" w:type="dxa"/>
            <w:tcBorders>
              <w:top w:val="single" w:sz="4" w:space="0" w:color="231F20"/>
              <w:left w:val="single" w:sz="4" w:space="0" w:color="231F20"/>
              <w:bottom w:val="single" w:sz="4" w:space="0" w:color="231F20"/>
              <w:right w:val="single" w:sz="4" w:space="0" w:color="231F20"/>
            </w:tcBorders>
          </w:tcPr>
          <w:p w14:paraId="55771AF3" w14:textId="77777777" w:rsidR="005D5654" w:rsidRPr="00EA15ED" w:rsidRDefault="005D5654" w:rsidP="005D5654">
            <w:pPr>
              <w:spacing w:line="213" w:lineRule="auto"/>
              <w:ind w:left="417"/>
              <w:rPr>
                <w:rFonts w:ascii="Cambria" w:eastAsia="Cambria" w:hAnsi="Cambria" w:cs="Cambria"/>
                <w:sz w:val="20"/>
                <w:szCs w:val="20"/>
              </w:rPr>
            </w:pPr>
            <w:r w:rsidRPr="00EA15ED">
              <w:rPr>
                <w:rFonts w:ascii="Cambria" w:hAnsi="Cambria"/>
                <w:color w:val="231F20"/>
                <w:sz w:val="20"/>
                <w:szCs w:val="20"/>
              </w:rPr>
              <w:t>5,56 %</w:t>
            </w:r>
          </w:p>
        </w:tc>
      </w:tr>
    </w:tbl>
    <w:p w14:paraId="3EBB20EB" w14:textId="77777777" w:rsidR="005D5654" w:rsidRPr="00EA15ED" w:rsidRDefault="005D5654" w:rsidP="005D5654">
      <w:pPr>
        <w:spacing w:line="213" w:lineRule="auto"/>
        <w:rPr>
          <w:rFonts w:ascii="Cambria" w:eastAsia="Cambria" w:hAnsi="Cambria" w:cs="Cambria"/>
          <w:sz w:val="20"/>
          <w:szCs w:val="20"/>
        </w:rPr>
      </w:pPr>
    </w:p>
    <w:p w14:paraId="2BEAB3D6" w14:textId="40265983" w:rsidR="005D5654" w:rsidRPr="00EA15ED" w:rsidRDefault="005D5654" w:rsidP="005D5654">
      <w:pPr>
        <w:widowControl/>
        <w:numPr>
          <w:ilvl w:val="1"/>
          <w:numId w:val="3"/>
        </w:numPr>
        <w:tabs>
          <w:tab w:val="left" w:pos="993"/>
        </w:tabs>
        <w:spacing w:after="160" w:line="259" w:lineRule="auto"/>
        <w:ind w:left="993" w:hanging="426"/>
        <w:jc w:val="both"/>
        <w:rPr>
          <w:rFonts w:ascii="Cambria" w:eastAsia="Cambria" w:hAnsi="Cambria" w:cs="Cambria"/>
          <w:sz w:val="20"/>
          <w:szCs w:val="20"/>
        </w:rPr>
      </w:pPr>
      <w:r w:rsidRPr="00EA15ED">
        <w:rPr>
          <w:rFonts w:ascii="Cambria" w:hAnsi="Cambria"/>
          <w:color w:val="231F20"/>
          <w:sz w:val="20"/>
          <w:szCs w:val="20"/>
        </w:rPr>
        <w:t xml:space="preserve">De conformidad con los párrafos 1, 3 y 5 </w:t>
      </w:r>
      <w:r w:rsidR="00B04D97" w:rsidRPr="00EA15ED">
        <w:rPr>
          <w:rFonts w:ascii="Cambria" w:hAnsi="Cambria"/>
          <w:color w:val="231F20"/>
          <w:sz w:val="20"/>
          <w:szCs w:val="20"/>
          <w:u w:val="single"/>
        </w:rPr>
        <w:t>a</w:t>
      </w:r>
      <w:r w:rsidRPr="00EA15ED">
        <w:rPr>
          <w:rFonts w:ascii="Cambria" w:hAnsi="Cambria"/>
          <w:color w:val="231F20"/>
          <w:sz w:val="20"/>
          <w:szCs w:val="20"/>
          <w:u w:val="single"/>
        </w:rPr>
        <w:t>)</w:t>
      </w:r>
      <w:r w:rsidRPr="00EA15ED">
        <w:rPr>
          <w:rFonts w:ascii="Cambria" w:hAnsi="Cambria"/>
          <w:color w:val="231F20"/>
          <w:sz w:val="20"/>
          <w:szCs w:val="20"/>
        </w:rPr>
        <w:t xml:space="preserve">, los TAC anuales para </w:t>
      </w:r>
      <w:r w:rsidR="00892310" w:rsidRPr="00EA15ED">
        <w:rPr>
          <w:rFonts w:ascii="Cambria" w:hAnsi="Cambria"/>
          <w:color w:val="231F20"/>
          <w:sz w:val="20"/>
          <w:szCs w:val="20"/>
          <w:u w:val="single"/>
        </w:rPr>
        <w:t>2026-2028</w:t>
      </w:r>
      <w:r w:rsidR="00892310" w:rsidRPr="00EA15ED">
        <w:rPr>
          <w:rFonts w:ascii="Cambria" w:hAnsi="Cambria"/>
          <w:color w:val="231F20"/>
          <w:sz w:val="20"/>
          <w:szCs w:val="20"/>
        </w:rPr>
        <w:t xml:space="preserve"> </w:t>
      </w:r>
      <w:r w:rsidRPr="00EA15ED">
        <w:rPr>
          <w:rFonts w:ascii="Cambria" w:hAnsi="Cambria"/>
          <w:color w:val="231F20"/>
          <w:sz w:val="20"/>
          <w:szCs w:val="20"/>
        </w:rPr>
        <w:t>darán lugar a las siguientes asignaciones de cuota específicas de cada CPC, sin incluir la tolerancia para captura fortuita mencionada en el párrafo 5 a):</w:t>
      </w:r>
    </w:p>
    <w:p w14:paraId="6601D1C3" w14:textId="77777777" w:rsidR="005D5654" w:rsidRPr="00EA15ED" w:rsidRDefault="005D5654" w:rsidP="005D5654">
      <w:pPr>
        <w:ind w:left="1722"/>
        <w:rPr>
          <w:rFonts w:ascii="Cambria" w:eastAsia="Cambria" w:hAnsi="Cambria" w:cs="Cambria"/>
          <w:sz w:val="20"/>
          <w:szCs w:val="20"/>
        </w:rPr>
      </w:pPr>
    </w:p>
    <w:p w14:paraId="6ED90871" w14:textId="24B959C1" w:rsidR="005D5654" w:rsidRPr="00EA15ED" w:rsidRDefault="005D5654" w:rsidP="005D5654">
      <w:pPr>
        <w:tabs>
          <w:tab w:val="left" w:pos="4621"/>
        </w:tabs>
        <w:spacing w:before="28"/>
        <w:ind w:left="1"/>
        <w:jc w:val="center"/>
        <w:rPr>
          <w:rFonts w:ascii="Cambria" w:hAnsi="Cambria"/>
          <w:i/>
          <w:color w:val="231F20"/>
          <w:sz w:val="20"/>
          <w:szCs w:val="20"/>
        </w:rPr>
      </w:pPr>
      <w:r w:rsidRPr="00EA15ED">
        <w:rPr>
          <w:rFonts w:ascii="Cambria" w:hAnsi="Cambria"/>
          <w:i/>
          <w:color w:val="231F20"/>
          <w:sz w:val="20"/>
          <w:szCs w:val="20"/>
        </w:rPr>
        <w:t xml:space="preserve">TAC </w:t>
      </w:r>
      <w:r w:rsidRPr="00EA15ED">
        <w:rPr>
          <w:rFonts w:ascii="Cambria" w:hAnsi="Cambria"/>
          <w:i/>
          <w:iCs/>
          <w:color w:val="231F20"/>
          <w:sz w:val="20"/>
          <w:szCs w:val="20"/>
        </w:rPr>
        <w:t>anual</w:t>
      </w:r>
      <w:r w:rsidRPr="00EA15ED">
        <w:rPr>
          <w:rFonts w:ascii="Cambria" w:hAnsi="Cambria"/>
          <w:i/>
          <w:color w:val="231F20"/>
          <w:sz w:val="20"/>
          <w:szCs w:val="20"/>
        </w:rPr>
        <w:t xml:space="preserve"> para </w:t>
      </w:r>
      <w:r w:rsidRPr="00EA15ED">
        <w:rPr>
          <w:rFonts w:ascii="Cambria" w:hAnsi="Cambria"/>
          <w:i/>
          <w:iCs/>
          <w:color w:val="231F20"/>
          <w:sz w:val="20"/>
          <w:szCs w:val="20"/>
          <w:u w:val="single"/>
        </w:rPr>
        <w:t>202</w:t>
      </w:r>
      <w:r w:rsidR="00892310" w:rsidRPr="00EA15ED">
        <w:rPr>
          <w:rFonts w:ascii="Cambria" w:hAnsi="Cambria"/>
          <w:i/>
          <w:iCs/>
          <w:color w:val="231F20"/>
          <w:sz w:val="20"/>
          <w:szCs w:val="20"/>
          <w:u w:val="single"/>
        </w:rPr>
        <w:t>6</w:t>
      </w:r>
      <w:r w:rsidRPr="00EA15ED">
        <w:rPr>
          <w:rFonts w:ascii="Cambria" w:hAnsi="Cambria"/>
          <w:i/>
          <w:iCs/>
          <w:color w:val="231F20"/>
          <w:sz w:val="20"/>
          <w:szCs w:val="20"/>
          <w:u w:val="single"/>
        </w:rPr>
        <w:t>-202</w:t>
      </w:r>
      <w:r w:rsidR="00892310" w:rsidRPr="00EA15ED">
        <w:rPr>
          <w:rFonts w:ascii="Cambria" w:hAnsi="Cambria"/>
          <w:i/>
          <w:iCs/>
          <w:color w:val="231F20"/>
          <w:sz w:val="20"/>
          <w:szCs w:val="20"/>
          <w:u w:val="single"/>
        </w:rPr>
        <w:t>8</w:t>
      </w:r>
      <w:r w:rsidRPr="00EA15ED">
        <w:rPr>
          <w:rFonts w:ascii="Cambria" w:hAnsi="Cambria"/>
          <w:i/>
          <w:color w:val="231F20"/>
          <w:sz w:val="20"/>
          <w:szCs w:val="20"/>
        </w:rPr>
        <w:t xml:space="preserve">: </w:t>
      </w:r>
      <w:r w:rsidRPr="00EA15ED">
        <w:rPr>
          <w:rFonts w:ascii="Cambria" w:hAnsi="Cambria"/>
          <w:i/>
          <w:color w:val="231F20"/>
          <w:sz w:val="20"/>
          <w:szCs w:val="20"/>
          <w:u w:val="single"/>
        </w:rPr>
        <w:t>2.</w:t>
      </w:r>
      <w:r w:rsidR="00892310" w:rsidRPr="00EA15ED">
        <w:rPr>
          <w:rFonts w:ascii="Cambria" w:hAnsi="Cambria"/>
          <w:i/>
          <w:color w:val="231F20"/>
          <w:sz w:val="20"/>
          <w:szCs w:val="20"/>
          <w:u w:val="single"/>
        </w:rPr>
        <w:t>963</w:t>
      </w:r>
      <w:r w:rsidR="00892310" w:rsidRPr="00EA15ED">
        <w:rPr>
          <w:rFonts w:ascii="Cambria" w:hAnsi="Cambria"/>
          <w:i/>
          <w:color w:val="231F20"/>
          <w:sz w:val="20"/>
          <w:szCs w:val="20"/>
        </w:rPr>
        <w:t xml:space="preserve"> </w:t>
      </w:r>
      <w:r w:rsidRPr="00EA15ED">
        <w:rPr>
          <w:rFonts w:ascii="Cambria" w:hAnsi="Cambria"/>
          <w:i/>
          <w:color w:val="231F20"/>
          <w:sz w:val="20"/>
          <w:szCs w:val="20"/>
        </w:rPr>
        <w:t>t</w:t>
      </w:r>
    </w:p>
    <w:p w14:paraId="1725D8C1" w14:textId="77777777" w:rsidR="005D5654" w:rsidRPr="00EA15ED" w:rsidRDefault="005D5654" w:rsidP="005D5654">
      <w:pPr>
        <w:tabs>
          <w:tab w:val="left" w:pos="4621"/>
        </w:tabs>
        <w:spacing w:before="28"/>
        <w:ind w:left="1"/>
        <w:jc w:val="center"/>
        <w:rPr>
          <w:rFonts w:ascii="Cambria" w:eastAsia="Cambria" w:hAnsi="Cambria" w:cs="Cambria"/>
          <w:i/>
          <w:color w:val="231F20"/>
          <w:sz w:val="20"/>
          <w:szCs w:val="20"/>
        </w:rPr>
      </w:pPr>
    </w:p>
    <w:p w14:paraId="0C78ACEE" w14:textId="0F6486B0" w:rsidR="00892310" w:rsidRPr="00EA15ED" w:rsidRDefault="005D5654" w:rsidP="00892310">
      <w:pPr>
        <w:spacing w:before="28"/>
        <w:ind w:left="2"/>
        <w:rPr>
          <w:rFonts w:ascii="Cambria" w:hAnsi="Cambria"/>
          <w:sz w:val="20"/>
          <w:szCs w:val="24"/>
        </w:rPr>
      </w:pPr>
      <w:r w:rsidRPr="00EA15ED">
        <w:rPr>
          <w:rFonts w:ascii="Cambria" w:hAnsi="Cambria"/>
          <w:color w:val="231F20"/>
          <w:sz w:val="20"/>
          <w:szCs w:val="20"/>
        </w:rPr>
        <w:tab/>
      </w:r>
      <w:r w:rsidR="00892310" w:rsidRPr="00EA15ED">
        <w:rPr>
          <w:rFonts w:ascii="Cambria" w:hAnsi="Cambria"/>
          <w:color w:val="231F20"/>
          <w:sz w:val="20"/>
          <w:szCs w:val="20"/>
        </w:rPr>
        <w:tab/>
      </w:r>
      <w:r w:rsidR="00892310" w:rsidRPr="00EA15ED">
        <w:rPr>
          <w:rFonts w:ascii="Cambria" w:hAnsi="Cambria"/>
          <w:color w:val="231F20"/>
          <w:sz w:val="20"/>
          <w:szCs w:val="20"/>
        </w:rPr>
        <w:tab/>
      </w:r>
      <w:r w:rsidR="00892310" w:rsidRPr="00EA15ED">
        <w:rPr>
          <w:rFonts w:ascii="Cambria" w:eastAsia="Times New Roman" w:hAnsi="Cambria" w:cs="Times New Roman"/>
          <w:color w:val="231F20"/>
          <w:sz w:val="20"/>
          <w:szCs w:val="24"/>
        </w:rPr>
        <w:t>Estados Unidos</w:t>
      </w:r>
      <w:r w:rsidR="00892310" w:rsidRPr="00EA15ED">
        <w:rPr>
          <w:rFonts w:ascii="Cambria" w:eastAsia="Times New Roman" w:hAnsi="Cambria" w:cs="Times New Roman"/>
          <w:color w:val="231F20"/>
          <w:sz w:val="20"/>
          <w:szCs w:val="24"/>
        </w:rPr>
        <w:tab/>
      </w:r>
      <w:r w:rsidR="00892310" w:rsidRPr="00EA15ED">
        <w:rPr>
          <w:rFonts w:ascii="Cambria" w:eastAsia="Times New Roman" w:hAnsi="Cambria" w:cs="Times New Roman"/>
          <w:color w:val="231F20"/>
          <w:sz w:val="20"/>
          <w:szCs w:val="24"/>
        </w:rPr>
        <w:tab/>
      </w:r>
      <w:r w:rsidR="00892310" w:rsidRPr="00EA15ED">
        <w:rPr>
          <w:rFonts w:ascii="Cambria" w:eastAsia="Times New Roman" w:hAnsi="Cambria" w:cs="Times New Roman"/>
          <w:color w:val="231F20"/>
          <w:sz w:val="20"/>
          <w:szCs w:val="24"/>
        </w:rPr>
        <w:tab/>
      </w:r>
      <w:r w:rsidR="00892310" w:rsidRPr="00EA15ED">
        <w:rPr>
          <w:rFonts w:ascii="Cambria" w:eastAsia="Times New Roman" w:hAnsi="Cambria" w:cs="Times New Roman"/>
          <w:color w:val="231F20"/>
          <w:sz w:val="20"/>
          <w:szCs w:val="24"/>
        </w:rPr>
        <w:tab/>
      </w:r>
      <w:r w:rsidR="00892310" w:rsidRPr="00EA15ED">
        <w:rPr>
          <w:rFonts w:ascii="Cambria" w:eastAsia="Times New Roman" w:hAnsi="Cambria" w:cs="Times New Roman"/>
          <w:color w:val="231F20"/>
          <w:sz w:val="20"/>
          <w:szCs w:val="24"/>
        </w:rPr>
        <w:tab/>
      </w:r>
      <w:r w:rsidR="00892310" w:rsidRPr="00EA15ED">
        <w:rPr>
          <w:rFonts w:ascii="Cambria" w:eastAsia="Times New Roman" w:hAnsi="Cambria" w:cs="Times New Roman"/>
          <w:color w:val="231F20"/>
          <w:sz w:val="20"/>
          <w:szCs w:val="24"/>
          <w:u w:val="single"/>
        </w:rPr>
        <w:t>1.432,27 t</w:t>
      </w:r>
    </w:p>
    <w:p w14:paraId="0C8EDAD7" w14:textId="77777777" w:rsidR="00892310" w:rsidRPr="00892310" w:rsidRDefault="00892310" w:rsidP="00892310">
      <w:pPr>
        <w:widowControl/>
        <w:spacing w:before="48"/>
        <w:ind w:left="2"/>
        <w:rPr>
          <w:rFonts w:ascii="Cambria" w:eastAsia="Times New Roman" w:hAnsi="Cambria" w:cs="Times New Roman"/>
          <w:color w:val="231F20"/>
          <w:sz w:val="20"/>
          <w:szCs w:val="24"/>
          <w:u w:val="single"/>
        </w:rPr>
      </w:pP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t>Canadá</w:t>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u w:val="single"/>
        </w:rPr>
        <w:t>591,62 t</w:t>
      </w:r>
    </w:p>
    <w:p w14:paraId="5F6E1C4E" w14:textId="77777777" w:rsidR="00892310" w:rsidRPr="00892310" w:rsidRDefault="00892310" w:rsidP="00892310">
      <w:pPr>
        <w:widowControl/>
        <w:spacing w:before="49"/>
        <w:ind w:left="2"/>
        <w:rPr>
          <w:rFonts w:ascii="Cambria" w:eastAsia="Times New Roman" w:hAnsi="Cambria" w:cs="Times New Roman"/>
          <w:color w:val="231F20"/>
          <w:sz w:val="20"/>
          <w:szCs w:val="24"/>
        </w:rPr>
      </w:pP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t>Japón</w:t>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u w:val="single"/>
        </w:rPr>
        <w:t>723,15 t</w:t>
      </w:r>
    </w:p>
    <w:p w14:paraId="1E40D100" w14:textId="3914654A" w:rsidR="00892310" w:rsidRPr="00892310" w:rsidRDefault="00892310" w:rsidP="00892310">
      <w:pPr>
        <w:widowControl/>
        <w:spacing w:before="49"/>
        <w:ind w:left="2"/>
        <w:rPr>
          <w:rFonts w:ascii="Cambria" w:eastAsia="Times New Roman" w:hAnsi="Cambria" w:cs="Times New Roman"/>
          <w:color w:val="231F20"/>
          <w:sz w:val="20"/>
          <w:szCs w:val="24"/>
        </w:rPr>
      </w:pP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t>Reino Unido (por Bermudas)</w:t>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u w:val="single"/>
        </w:rPr>
        <w:t>6,72 t</w:t>
      </w:r>
    </w:p>
    <w:p w14:paraId="379EBFB9" w14:textId="5E7E8E9D" w:rsidR="00892310" w:rsidRPr="00892310" w:rsidRDefault="00892310" w:rsidP="00892310">
      <w:pPr>
        <w:widowControl/>
        <w:spacing w:before="48"/>
        <w:rPr>
          <w:rFonts w:ascii="Cambria" w:eastAsia="Cambria" w:hAnsi="Cambria" w:cs="Cambria"/>
          <w:sz w:val="20"/>
          <w:szCs w:val="20"/>
        </w:rPr>
      </w:pP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t xml:space="preserve">Francia (por San Pedro y Miquelón) </w:t>
      </w:r>
      <w:r w:rsidRPr="00892310">
        <w:rPr>
          <w:rFonts w:ascii="Cambria" w:eastAsia="Times New Roman" w:hAnsi="Cambria" w:cs="Times New Roman"/>
          <w:color w:val="231F20"/>
          <w:sz w:val="20"/>
          <w:szCs w:val="24"/>
        </w:rPr>
        <w:tab/>
      </w:r>
      <w:r w:rsidRPr="00EA15ED">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u w:val="single"/>
        </w:rPr>
        <w:t>6,72 t</w:t>
      </w:r>
    </w:p>
    <w:p w14:paraId="602DE410" w14:textId="3A88FA5D" w:rsidR="00892310" w:rsidRPr="00892310" w:rsidRDefault="00892310" w:rsidP="00892310">
      <w:pPr>
        <w:widowControl/>
        <w:spacing w:before="49"/>
        <w:ind w:right="9"/>
        <w:rPr>
          <w:rFonts w:ascii="Cambria" w:hAnsi="Cambria"/>
          <w:color w:val="231F20"/>
          <w:sz w:val="20"/>
          <w:u w:val="single"/>
        </w:rPr>
      </w:pP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t>México</w:t>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rPr>
        <w:tab/>
      </w:r>
      <w:r w:rsidRPr="00892310">
        <w:rPr>
          <w:rFonts w:ascii="Cambria" w:eastAsia="Times New Roman" w:hAnsi="Cambria" w:cs="Times New Roman"/>
          <w:color w:val="231F20"/>
          <w:sz w:val="20"/>
          <w:szCs w:val="24"/>
          <w:u w:val="single"/>
        </w:rPr>
        <w:t>162</w:t>
      </w:r>
      <w:r w:rsidR="00006F00" w:rsidRPr="00EA15ED">
        <w:rPr>
          <w:rFonts w:ascii="Cambria" w:eastAsia="Times New Roman" w:hAnsi="Cambria" w:cs="Times New Roman"/>
          <w:color w:val="231F20"/>
          <w:sz w:val="20"/>
          <w:szCs w:val="24"/>
          <w:u w:val="single"/>
        </w:rPr>
        <w:t>,</w:t>
      </w:r>
      <w:r w:rsidRPr="00892310">
        <w:rPr>
          <w:rFonts w:ascii="Cambria" w:eastAsia="Times New Roman" w:hAnsi="Cambria" w:cs="Times New Roman"/>
          <w:color w:val="231F20"/>
          <w:sz w:val="20"/>
          <w:szCs w:val="24"/>
          <w:u w:val="single"/>
        </w:rPr>
        <w:t>52 t</w:t>
      </w:r>
    </w:p>
    <w:p w14:paraId="544A43C5" w14:textId="5B931B11" w:rsidR="005D5654" w:rsidRPr="00EA15ED" w:rsidRDefault="005D5654" w:rsidP="00892310">
      <w:pPr>
        <w:pBdr>
          <w:top w:val="none" w:sz="0" w:space="0" w:color="000000"/>
          <w:left w:val="none" w:sz="0" w:space="0" w:color="000000"/>
          <w:bottom w:val="none" w:sz="0" w:space="0" w:color="000000"/>
          <w:right w:val="none" w:sz="0" w:space="0" w:color="000000"/>
          <w:between w:val="none" w:sz="0" w:space="0" w:color="000000"/>
        </w:pBdr>
        <w:tabs>
          <w:tab w:val="left" w:pos="2268"/>
          <w:tab w:val="right" w:pos="6521"/>
        </w:tabs>
        <w:spacing w:before="28"/>
        <w:ind w:left="2"/>
        <w:rPr>
          <w:rFonts w:ascii="Cambria" w:eastAsia="Cambria" w:hAnsi="Cambria" w:cs="Cambria"/>
          <w:sz w:val="20"/>
          <w:szCs w:val="20"/>
        </w:rPr>
      </w:pPr>
    </w:p>
    <w:p w14:paraId="4016BDD3" w14:textId="77777777" w:rsidR="005D5654" w:rsidRPr="00EA15ED" w:rsidRDefault="005D5654" w:rsidP="005D5654">
      <w:pPr>
        <w:ind w:left="993"/>
        <w:jc w:val="both"/>
        <w:rPr>
          <w:rFonts w:ascii="Cambria" w:eastAsia="Cambria" w:hAnsi="Cambria" w:cs="Cambria"/>
          <w:color w:val="231F20"/>
          <w:sz w:val="20"/>
          <w:szCs w:val="20"/>
        </w:rPr>
      </w:pPr>
      <w:r w:rsidRPr="00EA15ED">
        <w:rPr>
          <w:rFonts w:ascii="Cambria" w:hAnsi="Cambria"/>
          <w:color w:val="231F20"/>
          <w:sz w:val="20"/>
          <w:szCs w:val="20"/>
        </w:rPr>
        <w:t>En ningún caso las asignaciones a Francia (por San Pedro y Miquelón) y Reino Unido (por Bermudas) serán inferiores a 4 t en un año determinado, a menos que la pesquería esté cerrada.</w:t>
      </w:r>
    </w:p>
    <w:p w14:paraId="437D18A6" w14:textId="77777777" w:rsidR="005D5654" w:rsidRPr="00EA15ED" w:rsidRDefault="005D5654" w:rsidP="005D5654">
      <w:pPr>
        <w:ind w:left="993"/>
        <w:jc w:val="both"/>
        <w:rPr>
          <w:rFonts w:ascii="Cambria" w:eastAsia="Cambria" w:hAnsi="Cambria" w:cs="Cambria"/>
          <w:sz w:val="20"/>
          <w:szCs w:val="20"/>
        </w:rPr>
      </w:pPr>
    </w:p>
    <w:p w14:paraId="31277FB5" w14:textId="284638E7" w:rsidR="005D5654" w:rsidRPr="00EA15ED" w:rsidRDefault="00892310" w:rsidP="005D5654">
      <w:pPr>
        <w:widowControl/>
        <w:numPr>
          <w:ilvl w:val="1"/>
          <w:numId w:val="3"/>
        </w:numPr>
        <w:tabs>
          <w:tab w:val="left" w:pos="993"/>
        </w:tabs>
        <w:spacing w:after="160" w:line="259" w:lineRule="auto"/>
        <w:ind w:left="993" w:hanging="426"/>
        <w:jc w:val="both"/>
        <w:rPr>
          <w:rFonts w:ascii="Cambria" w:eastAsia="Cambria" w:hAnsi="Cambria" w:cs="Cambria"/>
          <w:color w:val="231F20"/>
          <w:sz w:val="20"/>
          <w:szCs w:val="20"/>
        </w:rPr>
      </w:pPr>
      <w:r w:rsidRPr="00EA15ED">
        <w:rPr>
          <w:rFonts w:ascii="Cambria" w:hAnsi="Cambria"/>
          <w:color w:val="231F20"/>
          <w:sz w:val="20"/>
          <w:szCs w:val="20"/>
          <w:u w:val="single"/>
        </w:rPr>
        <w:t>[</w:t>
      </w:r>
      <w:r w:rsidR="005D5654" w:rsidRPr="00EA15ED">
        <w:rPr>
          <w:rFonts w:ascii="Cambria" w:hAnsi="Cambria"/>
          <w:color w:val="231F20"/>
          <w:sz w:val="20"/>
          <w:szCs w:val="20"/>
        </w:rPr>
        <w:t xml:space="preserve">Dependiendo de la disponibilidad, México puede transferir a Canadá hasta </w:t>
      </w:r>
      <w:r w:rsidRPr="00EA15ED">
        <w:rPr>
          <w:rFonts w:ascii="Cambria" w:hAnsi="Cambria"/>
          <w:color w:val="231F20"/>
          <w:sz w:val="20"/>
          <w:szCs w:val="20"/>
          <w:u w:val="single"/>
        </w:rPr>
        <w:t>la cantidad</w:t>
      </w:r>
      <w:r w:rsidRPr="00EA15ED">
        <w:rPr>
          <w:rFonts w:ascii="Cambria" w:hAnsi="Cambria"/>
          <w:color w:val="231F20"/>
          <w:sz w:val="20"/>
          <w:szCs w:val="20"/>
        </w:rPr>
        <w:t xml:space="preserve"> </w:t>
      </w:r>
      <w:r w:rsidR="005D5654" w:rsidRPr="00EA15ED">
        <w:rPr>
          <w:rFonts w:ascii="Cambria" w:hAnsi="Cambria"/>
          <w:color w:val="231F20"/>
          <w:sz w:val="20"/>
          <w:szCs w:val="20"/>
        </w:rPr>
        <w:t xml:space="preserve">de su cuota ajustada, en cada uno de los años del periodo </w:t>
      </w:r>
      <w:r w:rsidR="005D5654" w:rsidRPr="00EA15ED">
        <w:rPr>
          <w:rFonts w:ascii="Cambria" w:hAnsi="Cambria"/>
          <w:color w:val="231F20"/>
          <w:sz w:val="20"/>
          <w:szCs w:val="20"/>
          <w:u w:val="single"/>
        </w:rPr>
        <w:t>202</w:t>
      </w:r>
      <w:r w:rsidRPr="00EA15ED">
        <w:rPr>
          <w:rFonts w:ascii="Cambria" w:hAnsi="Cambria"/>
          <w:color w:val="231F20"/>
          <w:sz w:val="20"/>
          <w:szCs w:val="20"/>
          <w:u w:val="single"/>
        </w:rPr>
        <w:t>6</w:t>
      </w:r>
      <w:r w:rsidR="005D5654" w:rsidRPr="00EA15ED">
        <w:rPr>
          <w:rFonts w:ascii="Cambria" w:hAnsi="Cambria"/>
          <w:color w:val="231F20"/>
          <w:sz w:val="20"/>
          <w:szCs w:val="20"/>
          <w:u w:val="single"/>
        </w:rPr>
        <w:t>-202</w:t>
      </w:r>
      <w:r w:rsidRPr="00EA15ED">
        <w:rPr>
          <w:rFonts w:ascii="Cambria" w:hAnsi="Cambria"/>
          <w:color w:val="231F20"/>
          <w:sz w:val="20"/>
          <w:szCs w:val="20"/>
          <w:u w:val="single"/>
        </w:rPr>
        <w:t>8</w:t>
      </w:r>
      <w:r w:rsidR="005D5654" w:rsidRPr="00EA15ED">
        <w:rPr>
          <w:rFonts w:ascii="Cambria" w:hAnsi="Cambria"/>
          <w:color w:val="231F20"/>
          <w:sz w:val="20"/>
          <w:szCs w:val="20"/>
        </w:rPr>
        <w:t>, para respaldar los trabajos de investigación en colaboración, tal y como se especifican en el párrafo 14.</w:t>
      </w:r>
      <w:r w:rsidRPr="00EA15ED">
        <w:rPr>
          <w:rFonts w:ascii="Cambria" w:hAnsi="Cambria"/>
          <w:color w:val="231F20"/>
          <w:sz w:val="20"/>
          <w:szCs w:val="20"/>
          <w:u w:val="single"/>
        </w:rPr>
        <w:t>]</w:t>
      </w:r>
    </w:p>
    <w:p w14:paraId="535B0FB4" w14:textId="3D7D7120" w:rsidR="005D5654" w:rsidRPr="00EA15ED" w:rsidRDefault="00892310" w:rsidP="005D5654">
      <w:pPr>
        <w:widowControl/>
        <w:numPr>
          <w:ilvl w:val="1"/>
          <w:numId w:val="3"/>
        </w:numPr>
        <w:tabs>
          <w:tab w:val="left" w:pos="993"/>
        </w:tabs>
        <w:spacing w:after="160" w:line="259" w:lineRule="auto"/>
        <w:ind w:left="993" w:hanging="426"/>
        <w:jc w:val="both"/>
        <w:rPr>
          <w:rFonts w:ascii="Cambria" w:eastAsia="Cambria" w:hAnsi="Cambria" w:cs="Cambria"/>
          <w:sz w:val="20"/>
          <w:szCs w:val="20"/>
        </w:rPr>
      </w:pPr>
      <w:r w:rsidRPr="00EA15ED">
        <w:rPr>
          <w:rFonts w:ascii="Cambria" w:hAnsi="Cambria"/>
          <w:color w:val="231F20"/>
          <w:sz w:val="20"/>
          <w:szCs w:val="20"/>
          <w:u w:val="single"/>
        </w:rPr>
        <w:t>[</w:t>
      </w:r>
      <w:r w:rsidR="005D5654" w:rsidRPr="00EA15ED">
        <w:rPr>
          <w:rFonts w:ascii="Cambria" w:hAnsi="Cambria"/>
          <w:color w:val="231F20"/>
          <w:sz w:val="20"/>
          <w:szCs w:val="20"/>
        </w:rPr>
        <w:t xml:space="preserve">Dependiendo de la disponibilidad, el Reino Unido (con respecto a Bermudas) puede transferir a Estados Unidos una cantidad que no supere su cuota ajustada, en cada uno de los años del periodo </w:t>
      </w:r>
      <w:r w:rsidRPr="00EA15ED">
        <w:rPr>
          <w:rFonts w:ascii="Cambria" w:hAnsi="Cambria"/>
          <w:color w:val="231F20"/>
          <w:sz w:val="20"/>
          <w:szCs w:val="20"/>
          <w:u w:val="single"/>
        </w:rPr>
        <w:t>2026-2028</w:t>
      </w:r>
      <w:r w:rsidRPr="00EA15ED">
        <w:rPr>
          <w:rFonts w:ascii="Cambria" w:hAnsi="Cambria"/>
          <w:color w:val="231F20"/>
          <w:sz w:val="20"/>
          <w:szCs w:val="20"/>
          <w:u w:val="single"/>
        </w:rPr>
        <w:t xml:space="preserve"> </w:t>
      </w:r>
      <w:r w:rsidR="005D5654" w:rsidRPr="00EA15ED">
        <w:rPr>
          <w:rFonts w:ascii="Cambria" w:hAnsi="Cambria"/>
          <w:color w:val="231F20"/>
          <w:sz w:val="20"/>
          <w:szCs w:val="20"/>
        </w:rPr>
        <w:t>para respaldar los trabajos de investigación en colaboración, tal y como se especifican en el párrafo 14.</w:t>
      </w:r>
      <w:r w:rsidRPr="00EA15ED">
        <w:rPr>
          <w:rFonts w:ascii="Cambria" w:hAnsi="Cambria"/>
          <w:color w:val="231F20"/>
          <w:sz w:val="20"/>
          <w:szCs w:val="20"/>
          <w:u w:val="single"/>
        </w:rPr>
        <w:t>]</w:t>
      </w:r>
    </w:p>
    <w:p w14:paraId="67765B22" w14:textId="43C1FBF4" w:rsidR="005D5654" w:rsidRPr="00EA15ED" w:rsidRDefault="00892310" w:rsidP="005D5654">
      <w:pPr>
        <w:widowControl/>
        <w:numPr>
          <w:ilvl w:val="1"/>
          <w:numId w:val="3"/>
        </w:numPr>
        <w:tabs>
          <w:tab w:val="left" w:pos="993"/>
        </w:tabs>
        <w:spacing w:after="160" w:line="259" w:lineRule="auto"/>
        <w:ind w:left="993" w:hanging="426"/>
        <w:jc w:val="both"/>
        <w:rPr>
          <w:rFonts w:ascii="Cambria" w:eastAsia="Cambria" w:hAnsi="Cambria" w:cs="Cambria"/>
          <w:sz w:val="20"/>
          <w:szCs w:val="20"/>
        </w:rPr>
      </w:pPr>
      <w:r w:rsidRPr="00EA15ED">
        <w:rPr>
          <w:rFonts w:ascii="Cambria" w:hAnsi="Cambria"/>
          <w:color w:val="231F20"/>
          <w:sz w:val="20"/>
          <w:szCs w:val="20"/>
          <w:u w:val="single"/>
        </w:rPr>
        <w:t>[</w:t>
      </w:r>
      <w:r w:rsidR="005D5654" w:rsidRPr="00EA15ED">
        <w:rPr>
          <w:rFonts w:ascii="Cambria" w:hAnsi="Cambria"/>
          <w:color w:val="231F20"/>
          <w:sz w:val="20"/>
          <w:szCs w:val="20"/>
        </w:rPr>
        <w:t xml:space="preserve">Dependiendo de la disponibilidad, Francia (con respecto a San Pedro y Miquelón) puede transferir a Canadá una cantidad que no supere su cuota ajustada, en cada uno de los años del periodo </w:t>
      </w:r>
      <w:r w:rsidRPr="00EA15ED">
        <w:rPr>
          <w:rFonts w:ascii="Cambria" w:hAnsi="Cambria"/>
          <w:color w:val="231F20"/>
          <w:sz w:val="20"/>
          <w:szCs w:val="20"/>
          <w:u w:val="single"/>
        </w:rPr>
        <w:t>2026-2028</w:t>
      </w:r>
      <w:r w:rsidR="005D5654" w:rsidRPr="00EA15ED">
        <w:rPr>
          <w:rFonts w:ascii="Cambria" w:hAnsi="Cambria"/>
          <w:color w:val="231F20"/>
          <w:sz w:val="20"/>
          <w:szCs w:val="20"/>
        </w:rPr>
        <w:t>, para respaldar los trabajos de investigación en colaboración, tal y como se especifican en el párrafo 14.</w:t>
      </w:r>
      <w:r w:rsidRPr="00EA15ED">
        <w:rPr>
          <w:rFonts w:ascii="Cambria" w:hAnsi="Cambria"/>
          <w:color w:val="231F20"/>
          <w:sz w:val="20"/>
          <w:szCs w:val="20"/>
          <w:u w:val="single"/>
        </w:rPr>
        <w:t>]</w:t>
      </w:r>
    </w:p>
    <w:p w14:paraId="1F4DA7B2" w14:textId="7C7B0EA7" w:rsidR="005D5654" w:rsidRPr="00EA15ED" w:rsidRDefault="00892310" w:rsidP="00892310">
      <w:pPr>
        <w:widowControl/>
        <w:numPr>
          <w:ilvl w:val="1"/>
          <w:numId w:val="3"/>
        </w:numPr>
        <w:tabs>
          <w:tab w:val="left" w:pos="993"/>
        </w:tabs>
        <w:ind w:left="992" w:hanging="425"/>
        <w:jc w:val="both"/>
        <w:rPr>
          <w:rFonts w:ascii="Cambria" w:eastAsia="Cambria" w:hAnsi="Cambria" w:cs="Cambria"/>
          <w:sz w:val="20"/>
          <w:szCs w:val="20"/>
        </w:rPr>
      </w:pPr>
      <w:r w:rsidRPr="00EA15ED">
        <w:rPr>
          <w:rFonts w:ascii="Cambria" w:hAnsi="Cambria"/>
          <w:color w:val="231F20"/>
          <w:sz w:val="20"/>
          <w:szCs w:val="20"/>
          <w:u w:val="single"/>
        </w:rPr>
        <w:t>[</w:t>
      </w:r>
      <w:r w:rsidR="005D5654" w:rsidRPr="00EA15ED">
        <w:rPr>
          <w:rFonts w:ascii="Cambria" w:hAnsi="Cambria"/>
          <w:color w:val="231F20"/>
          <w:sz w:val="20"/>
          <w:szCs w:val="20"/>
        </w:rPr>
        <w:t>Las CPC que tengan previsto participar en las actividades de investigación en colaboración especificadas en los párrafos 5 d), 5e) y 5f) anteriores notificarán al SCRS y a la Comisión información detallada sobre los programas de investigación que van a emprender antes de que se inicien, y presentarán los resultados de la investigación al SCRS.</w:t>
      </w:r>
      <w:r w:rsidRPr="00EA15ED">
        <w:rPr>
          <w:rFonts w:ascii="Cambria" w:hAnsi="Cambria"/>
          <w:color w:val="231F20"/>
          <w:sz w:val="20"/>
          <w:szCs w:val="20"/>
          <w:u w:val="single"/>
        </w:rPr>
        <w:t>]</w:t>
      </w:r>
    </w:p>
    <w:p w14:paraId="55563E09" w14:textId="77777777" w:rsidR="00892310" w:rsidRPr="00EA15ED" w:rsidRDefault="00892310" w:rsidP="00892310">
      <w:pPr>
        <w:widowControl/>
        <w:ind w:left="425"/>
        <w:jc w:val="both"/>
        <w:rPr>
          <w:rFonts w:ascii="Cambria" w:eastAsia="Cambria" w:hAnsi="Cambria" w:cs="Cambria"/>
          <w:sz w:val="20"/>
          <w:szCs w:val="20"/>
        </w:rPr>
      </w:pPr>
    </w:p>
    <w:p w14:paraId="01271B54" w14:textId="652847C5" w:rsidR="005D5654" w:rsidRPr="00EA15ED" w:rsidRDefault="005D5654" w:rsidP="005D5654">
      <w:pPr>
        <w:widowControl/>
        <w:numPr>
          <w:ilvl w:val="0"/>
          <w:numId w:val="5"/>
        </w:numPr>
        <w:ind w:left="425" w:hanging="425"/>
        <w:jc w:val="both"/>
        <w:rPr>
          <w:rFonts w:ascii="Cambria" w:eastAsia="Cambria" w:hAnsi="Cambria" w:cs="Cambria"/>
          <w:sz w:val="20"/>
          <w:szCs w:val="20"/>
        </w:rPr>
      </w:pPr>
      <w:r w:rsidRPr="00EA15ED">
        <w:rPr>
          <w:rFonts w:ascii="Cambria" w:hAnsi="Cambria"/>
          <w:color w:val="231F20"/>
          <w:sz w:val="20"/>
          <w:szCs w:val="20"/>
        </w:rPr>
        <w:t>La cuota total de una CPC incluirá sus asignaciones establecidas en el párrafo 5, ajustadas según el exceso o remanente de captura en coherencia con el resto de este párrafo. Cada año se considerará un periodo de ordenación independiente a efectos del resto de este párrafo:</w:t>
      </w:r>
    </w:p>
    <w:p w14:paraId="545019D1" w14:textId="77777777" w:rsidR="005D5654" w:rsidRPr="00EA15ED" w:rsidRDefault="005D5654" w:rsidP="005D5654">
      <w:pPr>
        <w:tabs>
          <w:tab w:val="left" w:pos="529"/>
        </w:tabs>
        <w:ind w:left="528"/>
        <w:jc w:val="both"/>
        <w:rPr>
          <w:rFonts w:ascii="Cambria" w:eastAsia="Cambria" w:hAnsi="Cambria" w:cs="Cambria"/>
          <w:color w:val="231F20"/>
          <w:sz w:val="20"/>
          <w:szCs w:val="20"/>
        </w:rPr>
      </w:pPr>
    </w:p>
    <w:p w14:paraId="1FFB3887" w14:textId="1F2BCDAE" w:rsidR="005D5654" w:rsidRPr="00EA15ED" w:rsidRDefault="005D5654" w:rsidP="005D5654">
      <w:pPr>
        <w:widowControl/>
        <w:numPr>
          <w:ilvl w:val="0"/>
          <w:numId w:val="1"/>
        </w:numPr>
        <w:spacing w:after="160"/>
        <w:ind w:left="990" w:hanging="423"/>
        <w:jc w:val="both"/>
        <w:rPr>
          <w:rFonts w:ascii="Cambria" w:eastAsia="Cambria" w:hAnsi="Cambria" w:cs="Cambria"/>
          <w:color w:val="231F20"/>
          <w:sz w:val="20"/>
          <w:szCs w:val="20"/>
        </w:rPr>
      </w:pPr>
      <w:r w:rsidRPr="00EA15ED">
        <w:rPr>
          <w:rFonts w:ascii="Cambria" w:hAnsi="Cambria"/>
          <w:color w:val="231F20"/>
          <w:sz w:val="20"/>
          <w:szCs w:val="20"/>
        </w:rPr>
        <w:t xml:space="preserve">Cualquier remanente de una cuota total de una CPC en un año determinado podría traspasarse al año siguiente. Sin embargo, el remanente que se traspase no podrá superar en ningún caso el </w:t>
      </w:r>
      <w:r w:rsidR="00892310" w:rsidRPr="00EA15ED">
        <w:rPr>
          <w:rFonts w:ascii="Cambria" w:hAnsi="Cambria"/>
          <w:color w:val="231F20"/>
          <w:sz w:val="20"/>
          <w:szCs w:val="20"/>
          <w:u w:val="single"/>
        </w:rPr>
        <w:t>2</w:t>
      </w:r>
      <w:r w:rsidRPr="00EA15ED">
        <w:rPr>
          <w:rFonts w:ascii="Cambria" w:hAnsi="Cambria"/>
          <w:color w:val="231F20"/>
          <w:sz w:val="20"/>
          <w:szCs w:val="20"/>
          <w:u w:val="single"/>
        </w:rPr>
        <w:t>0</w:t>
      </w:r>
      <w:r w:rsidRPr="00EA15ED">
        <w:rPr>
          <w:rFonts w:ascii="Cambria" w:hAnsi="Cambria"/>
          <w:color w:val="231F20"/>
          <w:sz w:val="20"/>
          <w:szCs w:val="20"/>
        </w:rPr>
        <w:t xml:space="preserve"> % de la asignación inicial de cuota de la CPC, establecida de conformidad con el párrafo </w:t>
      </w:r>
      <w:r w:rsidRPr="00EA15ED">
        <w:rPr>
          <w:rFonts w:ascii="Cambria" w:hAnsi="Cambria"/>
          <w:i/>
          <w:iCs/>
          <w:color w:val="231F20"/>
          <w:sz w:val="20"/>
          <w:szCs w:val="20"/>
        </w:rPr>
        <w:t>5</w:t>
      </w:r>
      <w:r w:rsidRPr="00EA15ED">
        <w:rPr>
          <w:rFonts w:ascii="Cambria" w:hAnsi="Cambria"/>
          <w:color w:val="231F20"/>
          <w:sz w:val="20"/>
          <w:szCs w:val="20"/>
        </w:rPr>
        <w:t xml:space="preserve">, con  la excepción de Reino Unido (por Bermudas), Francia (por San Pedro y Miquelón) y México (es decir, las Partes contratantes con asignaciones iniciales de </w:t>
      </w:r>
      <w:r w:rsidR="00892310" w:rsidRPr="00EA15ED">
        <w:rPr>
          <w:rFonts w:ascii="Cambria" w:hAnsi="Cambria"/>
          <w:color w:val="231F20"/>
          <w:sz w:val="20"/>
          <w:szCs w:val="20"/>
          <w:u w:val="single"/>
        </w:rPr>
        <w:t>162,52</w:t>
      </w:r>
      <w:r w:rsidRPr="00EA15ED">
        <w:rPr>
          <w:rFonts w:ascii="Cambria" w:hAnsi="Cambria"/>
          <w:color w:val="231F20"/>
          <w:sz w:val="20"/>
          <w:szCs w:val="20"/>
        </w:rPr>
        <w:t xml:space="preserve"> t  o menos), para las que el remanente que se traspase no superará en ningún caso el 100 % de la asignación inicial establecida en el párrafo 5 (a saber, la cuota total para dicha CPC no debe superar el doble de su cuota anual en cualquier año).</w:t>
      </w:r>
    </w:p>
    <w:p w14:paraId="03B44A92" w14:textId="77777777" w:rsidR="005D5654" w:rsidRPr="00EA15ED" w:rsidRDefault="005D5654" w:rsidP="005D5654">
      <w:pPr>
        <w:widowControl/>
        <w:numPr>
          <w:ilvl w:val="0"/>
          <w:numId w:val="1"/>
        </w:numPr>
        <w:tabs>
          <w:tab w:val="left" w:pos="798"/>
        </w:tabs>
        <w:spacing w:after="160"/>
        <w:ind w:left="990"/>
        <w:jc w:val="both"/>
        <w:rPr>
          <w:rFonts w:ascii="Cambria" w:eastAsia="Cambria" w:hAnsi="Cambria" w:cs="Cambria"/>
          <w:color w:val="231F20"/>
          <w:sz w:val="20"/>
          <w:szCs w:val="20"/>
        </w:rPr>
      </w:pPr>
      <w:r w:rsidRPr="00EA15ED">
        <w:rPr>
          <w:rFonts w:ascii="Cambria" w:hAnsi="Cambria"/>
          <w:color w:val="231F20"/>
          <w:sz w:val="20"/>
          <w:szCs w:val="20"/>
        </w:rPr>
        <w:t>Si, en el periodo de ordenación aplicable, y en cada periodo de ordenación subsiguiente, cualquier CPC tiene un exceso de captura con respecto a su cuota total, en el periodo de ordenación posterior se deducirá de su cuota inicial el 100 % de la cantidad de exceso de captura respecto a dicha cuota total, e ICCAT podría autorizar otras acciones apropiadas.</w:t>
      </w:r>
    </w:p>
    <w:p w14:paraId="369D6701" w14:textId="77777777" w:rsidR="005D5654" w:rsidRPr="00EA15ED" w:rsidRDefault="005D5654" w:rsidP="005D5654">
      <w:pPr>
        <w:widowControl/>
        <w:numPr>
          <w:ilvl w:val="0"/>
          <w:numId w:val="1"/>
        </w:numPr>
        <w:tabs>
          <w:tab w:val="left" w:pos="993"/>
        </w:tabs>
        <w:spacing w:after="160"/>
        <w:ind w:left="990"/>
        <w:jc w:val="both"/>
        <w:rPr>
          <w:rFonts w:ascii="Cambria" w:eastAsia="Cambria" w:hAnsi="Cambria" w:cs="Cambria"/>
          <w:color w:val="231F20"/>
          <w:sz w:val="20"/>
          <w:szCs w:val="20"/>
        </w:rPr>
      </w:pPr>
      <w:r w:rsidRPr="00EA15ED">
        <w:rPr>
          <w:rFonts w:ascii="Cambria" w:hAnsi="Cambria"/>
          <w:color w:val="231F20"/>
          <w:sz w:val="20"/>
          <w:szCs w:val="20"/>
        </w:rPr>
        <w:t>No obstante el párrafo 6 b), si una CPC tiene un exceso de captura de su cuota total durante dos periodos de ordenación consecutivos, la Comisión recomendará las medidas apropiadas, que pueden incluir, sin limitarse a ello, una reducción de la cuota total de la CPC igual a un mínimo del 125 % de la cantidad de exceso de captura y, si es necesario, medidas comerciales restrictivas. Cualquier medida comercial adoptada con arreglo a este párrafo consistirá en restricciones a la importación de la especie en cuestión y será acorde con las obligaciones internacionales de cada CPC. Las medidas comerciales tendrán la duración y las condiciones que determine la Comisión.</w:t>
      </w:r>
    </w:p>
    <w:p w14:paraId="4F857265" w14:textId="77777777" w:rsidR="005D5654" w:rsidRPr="00EA15ED" w:rsidRDefault="005D5654" w:rsidP="005D5654">
      <w:pPr>
        <w:jc w:val="both"/>
        <w:outlineLvl w:val="0"/>
        <w:rPr>
          <w:rFonts w:ascii="Cambria" w:eastAsia="Cambria" w:hAnsi="Cambria" w:cs="Cambria"/>
          <w:iCs/>
          <w:sz w:val="20"/>
          <w:szCs w:val="20"/>
        </w:rPr>
      </w:pPr>
      <w:r w:rsidRPr="00EA15ED">
        <w:rPr>
          <w:rFonts w:ascii="Cambria" w:eastAsia="Times New Roman" w:hAnsi="Cambria" w:cs="Times New Roman"/>
          <w:b/>
          <w:iCs/>
          <w:color w:val="231F20"/>
          <w:sz w:val="20"/>
          <w:szCs w:val="20"/>
        </w:rPr>
        <w:t>Requisitos de talla mínima de los peces y protección de los peces pequeños</w:t>
      </w:r>
    </w:p>
    <w:p w14:paraId="4D826F26" w14:textId="77777777" w:rsidR="005D5654" w:rsidRPr="00EA15ED" w:rsidRDefault="005D5654" w:rsidP="005D5654">
      <w:pPr>
        <w:jc w:val="both"/>
        <w:rPr>
          <w:rFonts w:ascii="Cambria" w:eastAsia="Cambria" w:hAnsi="Cambria" w:cs="Cambria"/>
          <w:b/>
          <w:i/>
          <w:sz w:val="20"/>
          <w:szCs w:val="20"/>
        </w:rPr>
      </w:pPr>
    </w:p>
    <w:p w14:paraId="1FEED235" w14:textId="77777777" w:rsidR="005D5654" w:rsidRPr="00EA15ED" w:rsidRDefault="005D5654" w:rsidP="005D5654">
      <w:pPr>
        <w:widowControl/>
        <w:numPr>
          <w:ilvl w:val="0"/>
          <w:numId w:val="5"/>
        </w:numPr>
        <w:ind w:left="425" w:hanging="425"/>
        <w:jc w:val="both"/>
        <w:rPr>
          <w:rFonts w:ascii="Cambria" w:eastAsia="Cambria" w:hAnsi="Cambria" w:cs="Cambria"/>
          <w:sz w:val="20"/>
          <w:szCs w:val="20"/>
        </w:rPr>
      </w:pPr>
      <w:r w:rsidRPr="00EA15ED">
        <w:rPr>
          <w:rFonts w:ascii="Cambria" w:hAnsi="Cambria"/>
          <w:color w:val="231F20"/>
          <w:sz w:val="20"/>
          <w:szCs w:val="20"/>
        </w:rPr>
        <w:t>Las CPC prohibirán la pesca y desembarque de atún rojo del Atlántico oeste que pesen menos de 30 kg, o como alternativa, con una longitud a la horquilla inferior a 115 cm.</w:t>
      </w:r>
    </w:p>
    <w:p w14:paraId="28030715" w14:textId="77777777" w:rsidR="005D5654" w:rsidRPr="00EA15ED" w:rsidRDefault="005D5654" w:rsidP="005D5654">
      <w:pPr>
        <w:jc w:val="both"/>
        <w:rPr>
          <w:rFonts w:ascii="Cambria" w:eastAsia="Cambria" w:hAnsi="Cambria" w:cs="Cambria"/>
          <w:sz w:val="20"/>
          <w:szCs w:val="20"/>
        </w:rPr>
      </w:pPr>
    </w:p>
    <w:p w14:paraId="17338394" w14:textId="77777777" w:rsidR="005D5654" w:rsidRPr="00EA15ED" w:rsidRDefault="005D5654" w:rsidP="005D5654">
      <w:pPr>
        <w:widowControl/>
        <w:numPr>
          <w:ilvl w:val="0"/>
          <w:numId w:val="5"/>
        </w:numPr>
        <w:ind w:left="425" w:hanging="425"/>
        <w:jc w:val="both"/>
        <w:rPr>
          <w:rFonts w:ascii="Cambria" w:eastAsia="Cambria" w:hAnsi="Cambria" w:cs="Cambria"/>
          <w:sz w:val="20"/>
          <w:szCs w:val="20"/>
        </w:rPr>
      </w:pPr>
      <w:r w:rsidRPr="00EA15ED">
        <w:rPr>
          <w:rFonts w:ascii="Cambria" w:hAnsi="Cambria"/>
          <w:color w:val="231F20"/>
          <w:sz w:val="20"/>
          <w:szCs w:val="20"/>
        </w:rPr>
        <w:t>No obstante las medidas anteriores, las CPC podrían conceder tolerancias de captura de atún rojo del Atlántico oeste con un peso inferior a 30 kg o, como alternativa, con una longitud a la horquilla inferior a 115 cm, siempre que limiten la pesca de estos peces a no más del 10 % en peso de la cuota total de atún rojo para cada CPC y que implementen medidas para que los pescadores no obtengan beneficios económicos de estos peces. Cualquier exceso de captura de dicho límite de tolerancia en un año deberá restarse del límite de tolerancia aplicable en el siguiente año o en el año posterior al siguiente. Las CPC que concedan dicha tolerancia prohibirán la captura y el desembarque de atún rojo del Atlántico occidental con una longitud a la horquilla inferior a 67 cm, excepto como objeto de un proyecto de investigación notificado al SCRS, desarrollado teniendo en cuenta las prioridades de investigación recomendadas por el SCRS y realizado por personas debidamente autorizadas por la CPC para llevar a cabo dicha investigación.</w:t>
      </w:r>
    </w:p>
    <w:p w14:paraId="2E4B7B2A" w14:textId="77777777" w:rsidR="005D5654" w:rsidRPr="00EA15ED" w:rsidRDefault="005D5654" w:rsidP="005D5654">
      <w:pPr>
        <w:rPr>
          <w:rFonts w:ascii="Cambria" w:eastAsia="Cambria" w:hAnsi="Cambria" w:cs="Cambria"/>
          <w:color w:val="231F20"/>
          <w:sz w:val="20"/>
          <w:szCs w:val="20"/>
        </w:rPr>
      </w:pPr>
    </w:p>
    <w:p w14:paraId="20C0CF27" w14:textId="77777777" w:rsidR="005D5654" w:rsidRPr="00EA15ED" w:rsidRDefault="005D5654" w:rsidP="005D5654">
      <w:pPr>
        <w:widowControl/>
        <w:numPr>
          <w:ilvl w:val="0"/>
          <w:numId w:val="5"/>
        </w:numPr>
        <w:ind w:left="425" w:hanging="425"/>
        <w:jc w:val="both"/>
        <w:rPr>
          <w:rFonts w:ascii="Cambria" w:eastAsia="Cambria" w:hAnsi="Cambria" w:cs="Cambria"/>
          <w:sz w:val="20"/>
          <w:szCs w:val="20"/>
        </w:rPr>
      </w:pPr>
      <w:r w:rsidRPr="00EA15ED">
        <w:rPr>
          <w:rFonts w:ascii="Cambria" w:hAnsi="Cambria"/>
          <w:color w:val="231F20"/>
          <w:sz w:val="20"/>
          <w:szCs w:val="20"/>
        </w:rPr>
        <w:t>Las CPC prohibirán a los pescadores vender u ofrecer para su venta peces de cualquier talla capturados en pesquerías de recreo.</w:t>
      </w:r>
    </w:p>
    <w:p w14:paraId="1FD7DD4B" w14:textId="77777777" w:rsidR="005D5654" w:rsidRPr="00EA15ED" w:rsidRDefault="005D5654" w:rsidP="005D5654">
      <w:pPr>
        <w:rPr>
          <w:rFonts w:ascii="Cambria" w:eastAsia="Cambria" w:hAnsi="Cambria" w:cs="Cambria"/>
          <w:sz w:val="20"/>
          <w:szCs w:val="20"/>
        </w:rPr>
      </w:pPr>
    </w:p>
    <w:p w14:paraId="37513CB8" w14:textId="77777777" w:rsidR="005D5654" w:rsidRPr="00EA15ED" w:rsidRDefault="005D5654" w:rsidP="005D5654">
      <w:pPr>
        <w:widowControl/>
        <w:numPr>
          <w:ilvl w:val="0"/>
          <w:numId w:val="5"/>
        </w:numPr>
        <w:ind w:left="425" w:hanging="425"/>
        <w:jc w:val="both"/>
        <w:rPr>
          <w:rFonts w:ascii="Cambria" w:eastAsia="Cambria" w:hAnsi="Cambria" w:cs="Cambria"/>
          <w:sz w:val="20"/>
          <w:szCs w:val="20"/>
        </w:rPr>
      </w:pPr>
      <w:r w:rsidRPr="00EA15ED">
        <w:rPr>
          <w:rFonts w:ascii="Cambria" w:hAnsi="Cambria"/>
          <w:color w:val="231F20"/>
          <w:sz w:val="20"/>
          <w:szCs w:val="20"/>
        </w:rPr>
        <w:t>Las CPC instarán a su pescadores comerciales y de recreo a que marquen y liberen todos los peces de menos de 30 kg o, como alternativa, con una longitud a la horquilla inferior a 115 cm, y comunicarán en su informe anual las acciones emprendidas a este efecto.</w:t>
      </w:r>
    </w:p>
    <w:p w14:paraId="42933AB5" w14:textId="77777777" w:rsidR="005D5654" w:rsidRPr="00EA15ED" w:rsidRDefault="005D5654" w:rsidP="005D5654">
      <w:pPr>
        <w:outlineLvl w:val="0"/>
        <w:rPr>
          <w:rFonts w:ascii="Cambria" w:eastAsia="Times New Roman" w:hAnsi="Cambria" w:cs="Times New Roman"/>
          <w:b/>
          <w:iCs/>
          <w:color w:val="231F20"/>
          <w:sz w:val="20"/>
          <w:szCs w:val="20"/>
        </w:rPr>
      </w:pPr>
    </w:p>
    <w:p w14:paraId="253FFFC2" w14:textId="77777777" w:rsidR="005D5654" w:rsidRPr="00EA15ED" w:rsidRDefault="005D5654" w:rsidP="005D5654">
      <w:pPr>
        <w:outlineLvl w:val="0"/>
        <w:rPr>
          <w:rFonts w:ascii="Cambria" w:eastAsia="Cambria" w:hAnsi="Cambria" w:cs="Cambria"/>
          <w:iCs/>
          <w:sz w:val="20"/>
          <w:szCs w:val="20"/>
        </w:rPr>
      </w:pPr>
      <w:r w:rsidRPr="00EA15ED">
        <w:rPr>
          <w:rFonts w:ascii="Cambria" w:eastAsia="Times New Roman" w:hAnsi="Cambria" w:cs="Times New Roman"/>
          <w:b/>
          <w:iCs/>
          <w:color w:val="231F20"/>
          <w:sz w:val="20"/>
          <w:szCs w:val="20"/>
        </w:rPr>
        <w:t>Restricciones de zona y tiempo</w:t>
      </w:r>
    </w:p>
    <w:p w14:paraId="23436C53" w14:textId="77777777" w:rsidR="005D5654" w:rsidRPr="00EA15ED" w:rsidRDefault="005D5654" w:rsidP="005D5654">
      <w:pPr>
        <w:rPr>
          <w:rFonts w:ascii="Cambria" w:eastAsia="Cambria" w:hAnsi="Cambria" w:cs="Cambria"/>
          <w:b/>
          <w:i/>
          <w:sz w:val="20"/>
          <w:szCs w:val="20"/>
        </w:rPr>
      </w:pPr>
    </w:p>
    <w:p w14:paraId="6C9F847E" w14:textId="2FE3CC85" w:rsidR="005D5654" w:rsidRPr="00EA15ED" w:rsidRDefault="005D5654" w:rsidP="005D5654">
      <w:pPr>
        <w:widowControl/>
        <w:numPr>
          <w:ilvl w:val="0"/>
          <w:numId w:val="5"/>
        </w:numPr>
        <w:ind w:left="425" w:hanging="425"/>
        <w:jc w:val="both"/>
        <w:rPr>
          <w:rFonts w:ascii="Cambria" w:hAnsi="Cambria"/>
          <w:b/>
          <w:bCs/>
          <w:i/>
          <w:iCs/>
          <w:color w:val="231F20"/>
          <w:sz w:val="20"/>
          <w:szCs w:val="20"/>
        </w:rPr>
      </w:pPr>
      <w:r w:rsidRPr="00EA15ED">
        <w:rPr>
          <w:rFonts w:ascii="Cambria" w:hAnsi="Cambria"/>
          <w:color w:val="231F20"/>
          <w:sz w:val="20"/>
          <w:szCs w:val="20"/>
        </w:rPr>
        <w:t>No habrá una pesquería dirigida al stock reproductor de atún rojo en las zonas de reproducción del Atlántico occidental (a saber, el golfo de México). Teniendo en cuenta el asesoramiento recibido del SCRS de conformidad con el párrafo 18, la Comisión considerará examinar esta medida</w:t>
      </w:r>
      <w:r w:rsidRPr="00EA15ED">
        <w:rPr>
          <w:rFonts w:ascii="Cambria" w:hAnsi="Cambria"/>
          <w:color w:val="231F20"/>
          <w:sz w:val="20"/>
          <w:szCs w:val="20"/>
          <w:u w:val="single"/>
        </w:rPr>
        <w:t xml:space="preserve"> </w:t>
      </w:r>
      <w:r w:rsidR="00892310" w:rsidRPr="00EA15ED">
        <w:rPr>
          <w:rFonts w:ascii="Cambria" w:hAnsi="Cambria"/>
          <w:color w:val="231F20"/>
          <w:sz w:val="20"/>
          <w:szCs w:val="20"/>
          <w:u w:val="single"/>
        </w:rPr>
        <w:t xml:space="preserve">en espera de la evaluación de la zona de desove de </w:t>
      </w:r>
      <w:proofErr w:type="spellStart"/>
      <w:r w:rsidR="00892310" w:rsidRPr="00EA15ED">
        <w:rPr>
          <w:rFonts w:ascii="Cambria" w:hAnsi="Cambria"/>
          <w:color w:val="231F20"/>
          <w:sz w:val="20"/>
          <w:szCs w:val="20"/>
          <w:u w:val="single"/>
        </w:rPr>
        <w:t>Slope</w:t>
      </w:r>
      <w:proofErr w:type="spellEnd"/>
      <w:r w:rsidR="00892310" w:rsidRPr="00EA15ED">
        <w:rPr>
          <w:rFonts w:ascii="Cambria" w:hAnsi="Cambria"/>
          <w:color w:val="231F20"/>
          <w:sz w:val="20"/>
          <w:szCs w:val="20"/>
          <w:u w:val="single"/>
        </w:rPr>
        <w:t xml:space="preserve"> Sea en relación con la productividad global del stock del oeste</w:t>
      </w:r>
      <w:r w:rsidR="00892310" w:rsidRPr="00EA15ED">
        <w:rPr>
          <w:rFonts w:ascii="Cambria" w:hAnsi="Cambria"/>
          <w:color w:val="231F20"/>
          <w:sz w:val="20"/>
          <w:szCs w:val="20"/>
        </w:rPr>
        <w:t xml:space="preserve"> </w:t>
      </w:r>
      <w:r w:rsidRPr="00EA15ED">
        <w:rPr>
          <w:rFonts w:ascii="Cambria" w:hAnsi="Cambria"/>
          <w:color w:val="231F20"/>
          <w:sz w:val="20"/>
          <w:szCs w:val="20"/>
        </w:rPr>
        <w:t xml:space="preserve">y la necesidad de acciones de ordenación </w:t>
      </w:r>
      <w:r w:rsidR="00892310" w:rsidRPr="00EA15ED">
        <w:rPr>
          <w:rFonts w:ascii="Cambria" w:hAnsi="Cambria"/>
          <w:color w:val="231F20"/>
          <w:sz w:val="20"/>
          <w:szCs w:val="20"/>
          <w:u w:val="single"/>
        </w:rPr>
        <w:t xml:space="preserve">adicionales </w:t>
      </w:r>
      <w:r w:rsidR="00892310" w:rsidRPr="00EA15ED">
        <w:rPr>
          <w:rFonts w:ascii="Cambria" w:hAnsi="Cambria"/>
          <w:color w:val="231F20"/>
          <w:sz w:val="20"/>
          <w:szCs w:val="20"/>
          <w:u w:val="single"/>
        </w:rPr>
        <w:t>en el golfo de México</w:t>
      </w:r>
      <w:r w:rsidRPr="00EA15ED">
        <w:rPr>
          <w:rFonts w:ascii="Cambria" w:hAnsi="Cambria"/>
          <w:color w:val="231F20"/>
          <w:sz w:val="20"/>
          <w:szCs w:val="20"/>
        </w:rPr>
        <w:t xml:space="preserve">, teniendo en cuenta los esfuerzos de </w:t>
      </w:r>
      <w:r w:rsidR="00892310" w:rsidRPr="00EA15ED">
        <w:rPr>
          <w:rFonts w:ascii="Cambria" w:hAnsi="Cambria"/>
          <w:color w:val="231F20"/>
          <w:sz w:val="20"/>
          <w:szCs w:val="20"/>
          <w:u w:val="single"/>
        </w:rPr>
        <w:t>todas</w:t>
      </w:r>
      <w:r w:rsidR="005236A2" w:rsidRPr="00EA15ED">
        <w:rPr>
          <w:rFonts w:ascii="Cambria" w:hAnsi="Cambria"/>
          <w:color w:val="231F20"/>
          <w:sz w:val="20"/>
          <w:szCs w:val="20"/>
          <w:u w:val="single"/>
        </w:rPr>
        <w:t xml:space="preserve"> las</w:t>
      </w:r>
      <w:r w:rsidR="00892310" w:rsidRPr="00EA15ED">
        <w:rPr>
          <w:rFonts w:ascii="Cambria" w:hAnsi="Cambria"/>
          <w:color w:val="231F20"/>
          <w:sz w:val="20"/>
          <w:szCs w:val="20"/>
        </w:rPr>
        <w:t xml:space="preserve"> </w:t>
      </w:r>
      <w:r w:rsidRPr="00EA15ED">
        <w:rPr>
          <w:rFonts w:ascii="Cambria" w:hAnsi="Cambria"/>
          <w:color w:val="231F20"/>
          <w:sz w:val="20"/>
          <w:szCs w:val="20"/>
        </w:rPr>
        <w:t>CPC para conservar el atún rojo del Atlántico occidental, lo que incluye mediante la reducción de la captura fortuita.</w:t>
      </w:r>
    </w:p>
    <w:p w14:paraId="3EAAB588" w14:textId="666F8F80" w:rsidR="005D5654" w:rsidRPr="00EA15ED" w:rsidRDefault="005D5654" w:rsidP="005D5654">
      <w:pPr>
        <w:widowControl/>
        <w:rPr>
          <w:rFonts w:ascii="Cambria" w:hAnsi="Cambria"/>
          <w:b/>
          <w:bCs/>
          <w:color w:val="231F20"/>
          <w:sz w:val="20"/>
          <w:szCs w:val="20"/>
        </w:rPr>
      </w:pPr>
    </w:p>
    <w:p w14:paraId="360301A4" w14:textId="77777777" w:rsidR="005D5654" w:rsidRPr="00EA15ED" w:rsidRDefault="005D5654" w:rsidP="005D5654">
      <w:pPr>
        <w:tabs>
          <w:tab w:val="left" w:pos="536"/>
        </w:tabs>
        <w:jc w:val="both"/>
        <w:rPr>
          <w:rFonts w:ascii="Cambria" w:eastAsia="Cambria" w:hAnsi="Cambria" w:cs="Cambria"/>
          <w:b/>
          <w:bCs/>
          <w:sz w:val="20"/>
          <w:szCs w:val="20"/>
        </w:rPr>
      </w:pPr>
      <w:r w:rsidRPr="00EA15ED">
        <w:rPr>
          <w:rFonts w:ascii="Cambria" w:hAnsi="Cambria"/>
          <w:b/>
          <w:bCs/>
          <w:color w:val="231F20"/>
          <w:sz w:val="20"/>
          <w:szCs w:val="20"/>
        </w:rPr>
        <w:t>Transbordo</w:t>
      </w:r>
    </w:p>
    <w:p w14:paraId="2C62C540" w14:textId="77777777" w:rsidR="005D5654" w:rsidRPr="00EA15ED" w:rsidRDefault="005D5654" w:rsidP="005D5654">
      <w:pPr>
        <w:jc w:val="both"/>
        <w:rPr>
          <w:rFonts w:ascii="Cambria" w:eastAsia="Cambria" w:hAnsi="Cambria" w:cs="Cambria"/>
          <w:b/>
          <w:i/>
          <w:sz w:val="20"/>
          <w:szCs w:val="20"/>
        </w:rPr>
      </w:pPr>
    </w:p>
    <w:p w14:paraId="6435E577" w14:textId="77777777" w:rsidR="005D5654" w:rsidRPr="00EA15ED" w:rsidRDefault="005D5654" w:rsidP="005D5654">
      <w:pPr>
        <w:widowControl/>
        <w:numPr>
          <w:ilvl w:val="0"/>
          <w:numId w:val="5"/>
        </w:numPr>
        <w:ind w:left="425" w:hanging="425"/>
        <w:jc w:val="both"/>
        <w:rPr>
          <w:rFonts w:ascii="Cambria" w:eastAsia="Cambria" w:hAnsi="Cambria" w:cs="Cambria"/>
          <w:color w:val="231F20"/>
          <w:sz w:val="20"/>
          <w:szCs w:val="20"/>
        </w:rPr>
      </w:pPr>
      <w:r w:rsidRPr="00EA15ED">
        <w:rPr>
          <w:rFonts w:ascii="Cambria" w:hAnsi="Cambria"/>
          <w:color w:val="231F20"/>
          <w:sz w:val="20"/>
          <w:szCs w:val="20"/>
        </w:rPr>
        <w:t>Quedarán prohibidos los transbordos en el mar.</w:t>
      </w:r>
    </w:p>
    <w:p w14:paraId="02B0EF6F" w14:textId="77777777" w:rsidR="005D5654" w:rsidRPr="00EA15ED" w:rsidRDefault="005D5654" w:rsidP="005D5654">
      <w:pPr>
        <w:tabs>
          <w:tab w:val="left" w:pos="536"/>
        </w:tabs>
        <w:jc w:val="both"/>
        <w:rPr>
          <w:rFonts w:ascii="Cambria" w:hAnsi="Cambria"/>
          <w:iCs/>
          <w:color w:val="231F20"/>
          <w:sz w:val="20"/>
          <w:szCs w:val="20"/>
        </w:rPr>
      </w:pPr>
    </w:p>
    <w:p w14:paraId="58DE29B3" w14:textId="77777777" w:rsidR="005D5654" w:rsidRPr="00EA15ED" w:rsidRDefault="005D5654" w:rsidP="005D5654">
      <w:pPr>
        <w:outlineLvl w:val="0"/>
        <w:rPr>
          <w:rFonts w:ascii="Cambria" w:eastAsia="Cambria" w:hAnsi="Cambria" w:cs="Cambria"/>
          <w:iCs/>
          <w:sz w:val="20"/>
          <w:szCs w:val="20"/>
        </w:rPr>
      </w:pPr>
      <w:bookmarkStart w:id="4" w:name="_1fob9te"/>
      <w:bookmarkEnd w:id="4"/>
      <w:r w:rsidRPr="00EA15ED">
        <w:rPr>
          <w:rFonts w:ascii="Cambria" w:eastAsia="Times New Roman" w:hAnsi="Cambria" w:cs="Times New Roman"/>
          <w:b/>
          <w:iCs/>
          <w:color w:val="231F20"/>
          <w:sz w:val="20"/>
          <w:szCs w:val="20"/>
        </w:rPr>
        <w:t>Investigación científica y requisitos en materia de datos y comunicaciones</w:t>
      </w:r>
    </w:p>
    <w:p w14:paraId="5DF29098" w14:textId="77777777" w:rsidR="005D5654" w:rsidRPr="00EA15ED" w:rsidRDefault="005D5654" w:rsidP="005D5654">
      <w:pPr>
        <w:rPr>
          <w:rFonts w:ascii="Cambria" w:eastAsia="Cambria" w:hAnsi="Cambria" w:cs="Cambria"/>
          <w:b/>
          <w:i/>
          <w:sz w:val="20"/>
          <w:szCs w:val="20"/>
        </w:rPr>
      </w:pPr>
    </w:p>
    <w:p w14:paraId="3DA1FC86" w14:textId="77777777" w:rsidR="005D5654" w:rsidRPr="00EA15ED" w:rsidRDefault="005D5654" w:rsidP="005D5654">
      <w:pPr>
        <w:widowControl/>
        <w:numPr>
          <w:ilvl w:val="0"/>
          <w:numId w:val="5"/>
        </w:numPr>
        <w:ind w:left="425" w:hanging="425"/>
        <w:jc w:val="both"/>
        <w:rPr>
          <w:rFonts w:ascii="Cambria" w:eastAsia="Cambria" w:hAnsi="Cambria" w:cs="Cambria"/>
          <w:sz w:val="20"/>
          <w:szCs w:val="20"/>
        </w:rPr>
      </w:pPr>
      <w:r w:rsidRPr="00EA15ED">
        <w:rPr>
          <w:rFonts w:ascii="Cambria" w:hAnsi="Cambria"/>
          <w:color w:val="231F20"/>
          <w:sz w:val="20"/>
          <w:szCs w:val="20"/>
        </w:rPr>
        <w:t xml:space="preserve">Canadá, Estados Unidos, Japón, México y, cuando proceda, otras CPC que capturan atún rojo del Atlántico occidental continuarán colaborando para mejorar los índices de abundancia existentes y para desarrollar nuevos índices combinados. </w:t>
      </w:r>
    </w:p>
    <w:p w14:paraId="0A616A56" w14:textId="77777777" w:rsidR="005D5654" w:rsidRPr="00EA15ED" w:rsidRDefault="005D5654" w:rsidP="005D5654">
      <w:pPr>
        <w:rPr>
          <w:rFonts w:ascii="Cambria" w:eastAsia="Cambria" w:hAnsi="Cambria" w:cs="Cambria"/>
          <w:sz w:val="20"/>
          <w:szCs w:val="20"/>
        </w:rPr>
      </w:pPr>
    </w:p>
    <w:p w14:paraId="56392DEC" w14:textId="59F27DDB" w:rsidR="005D5654" w:rsidRPr="00EA15ED" w:rsidRDefault="005D5654" w:rsidP="005D5654">
      <w:pPr>
        <w:widowControl/>
        <w:numPr>
          <w:ilvl w:val="0"/>
          <w:numId w:val="5"/>
        </w:numPr>
        <w:ind w:left="425" w:hanging="425"/>
        <w:jc w:val="both"/>
        <w:rPr>
          <w:rFonts w:ascii="Cambria" w:eastAsia="Cambria" w:hAnsi="Cambria" w:cs="Cambria"/>
          <w:sz w:val="20"/>
          <w:szCs w:val="20"/>
        </w:rPr>
      </w:pPr>
      <w:r w:rsidRPr="00EA15ED">
        <w:rPr>
          <w:rFonts w:ascii="Cambria" w:hAnsi="Cambria"/>
          <w:color w:val="231F20"/>
          <w:sz w:val="20"/>
          <w:szCs w:val="20"/>
        </w:rPr>
        <w:t>Las CPC que capturan atún rojo del Atlántico en el Atlántico occidental deberían hacer todos los esfuerzos posibles para contribuir a las actividades de investigación prioritarias y a otras actividades científicas, lo que incluye las que se están llevando a cabo en el marco del GBYP de ICCAT o en colaboración con dicho programa.</w:t>
      </w:r>
      <w:r w:rsidRPr="00EA15ED">
        <w:rPr>
          <w:rFonts w:ascii="Cambria" w:eastAsia="Cambria" w:hAnsi="Cambria" w:cs="Cambria"/>
          <w:sz w:val="20"/>
          <w:szCs w:val="20"/>
        </w:rPr>
        <w:t xml:space="preserve"> </w:t>
      </w:r>
      <w:r w:rsidRPr="00EA15ED">
        <w:rPr>
          <w:rFonts w:ascii="Cambria" w:hAnsi="Cambria"/>
          <w:color w:val="231F20"/>
          <w:sz w:val="20"/>
          <w:szCs w:val="20"/>
        </w:rPr>
        <w:t xml:space="preserve">Con el fin de facilitar </w:t>
      </w:r>
      <w:r w:rsidR="00892310" w:rsidRPr="00EA15ED">
        <w:rPr>
          <w:rFonts w:ascii="Cambria" w:hAnsi="Cambria"/>
          <w:color w:val="231F20"/>
          <w:sz w:val="20"/>
          <w:szCs w:val="20"/>
          <w:u w:val="single"/>
        </w:rPr>
        <w:t>las evaluaciones de circunstancias excepcionales,</w:t>
      </w:r>
      <w:r w:rsidR="00892310" w:rsidRPr="00EA15ED">
        <w:rPr>
          <w:rFonts w:ascii="Cambria" w:hAnsi="Cambria"/>
          <w:color w:val="231F20"/>
          <w:sz w:val="20"/>
          <w:szCs w:val="20"/>
        </w:rPr>
        <w:t xml:space="preserve"> </w:t>
      </w:r>
      <w:r w:rsidRPr="00EA15ED">
        <w:rPr>
          <w:rFonts w:ascii="Cambria" w:hAnsi="Cambria"/>
          <w:color w:val="231F20"/>
          <w:sz w:val="20"/>
          <w:szCs w:val="20"/>
        </w:rPr>
        <w:t xml:space="preserve">el recondicionamiento de los modelos operativos de la MSE y apoyar la revisión del MP desde ahora hasta 2028, las CPC deberían apoyar al SCRS en la realización de las </w:t>
      </w:r>
      <w:r w:rsidR="00892310" w:rsidRPr="00EA15ED">
        <w:rPr>
          <w:rFonts w:ascii="Cambria" w:hAnsi="Cambria"/>
          <w:color w:val="231F20"/>
          <w:sz w:val="20"/>
          <w:szCs w:val="20"/>
          <w:u w:val="single"/>
        </w:rPr>
        <w:t>cinco</w:t>
      </w:r>
      <w:r w:rsidRPr="00EA15ED">
        <w:rPr>
          <w:rFonts w:ascii="Cambria" w:hAnsi="Cambria"/>
          <w:color w:val="231F20"/>
          <w:sz w:val="20"/>
          <w:szCs w:val="20"/>
        </w:rPr>
        <w:t xml:space="preserve"> iniciativas estratégicas identificadas en el informe del SCRS:</w:t>
      </w:r>
    </w:p>
    <w:p w14:paraId="6AA397EA" w14:textId="77777777" w:rsidR="005D5654" w:rsidRPr="00EA15ED" w:rsidRDefault="005D5654" w:rsidP="005D5654">
      <w:pPr>
        <w:widowControl/>
        <w:ind w:left="720"/>
        <w:jc w:val="both"/>
        <w:rPr>
          <w:rFonts w:ascii="Cambria" w:eastAsia="Cambria" w:hAnsi="Cambria" w:cs="Cambria"/>
          <w:sz w:val="20"/>
          <w:szCs w:val="20"/>
          <w:lang w:eastAsia="ja-JP"/>
        </w:rPr>
      </w:pPr>
    </w:p>
    <w:p w14:paraId="2107DC67" w14:textId="77777777" w:rsidR="005D5654" w:rsidRPr="00EA15ED" w:rsidRDefault="005D5654" w:rsidP="005D5654">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EA15ED">
        <w:rPr>
          <w:rFonts w:ascii="Cambria" w:hAnsi="Cambria" w:cs="Cambria"/>
          <w:sz w:val="20"/>
          <w:szCs w:val="20"/>
        </w:rPr>
        <w:t>coordinación del marcado del atún rojo,</w:t>
      </w:r>
    </w:p>
    <w:p w14:paraId="459F2094" w14:textId="77777777" w:rsidR="005D5654" w:rsidRPr="00EA15ED" w:rsidRDefault="005D5654" w:rsidP="005D5654">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EA15ED">
        <w:rPr>
          <w:rFonts w:ascii="Cambria" w:hAnsi="Cambria"/>
          <w:sz w:val="20"/>
        </w:rPr>
        <w:t>coordinación de prospecciones de larvas,</w:t>
      </w:r>
    </w:p>
    <w:p w14:paraId="49A575D4" w14:textId="57A3814F" w:rsidR="00892310" w:rsidRPr="00EA15ED" w:rsidRDefault="005D5654" w:rsidP="00892310">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EA15ED">
        <w:rPr>
          <w:rFonts w:ascii="Cambria" w:hAnsi="Cambria"/>
          <w:sz w:val="20"/>
        </w:rPr>
        <w:t>coordinación del muestreo biológico del atún rojo</w:t>
      </w:r>
      <w:r w:rsidR="00892310" w:rsidRPr="00EA15ED">
        <w:rPr>
          <w:rFonts w:ascii="Cambria" w:hAnsi="Cambria"/>
          <w:sz w:val="20"/>
        </w:rPr>
        <w:t>,</w:t>
      </w:r>
    </w:p>
    <w:p w14:paraId="6F47B110" w14:textId="56F2E352" w:rsidR="00892310" w:rsidRPr="00892310" w:rsidRDefault="00892310" w:rsidP="00892310">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892310">
        <w:rPr>
          <w:rFonts w:ascii="Cambria" w:eastAsia="Times New Roman" w:hAnsi="Cambria" w:cs="Times New Roman"/>
          <w:sz w:val="20"/>
          <w:szCs w:val="24"/>
          <w:u w:val="single"/>
        </w:rPr>
        <w:t>coordinación de la estimación del tamaño y la mezcla de la población (</w:t>
      </w:r>
      <w:proofErr w:type="spellStart"/>
      <w:r w:rsidRPr="00892310">
        <w:rPr>
          <w:rFonts w:ascii="Cambria" w:eastAsia="Times New Roman" w:hAnsi="Cambria" w:cs="Times New Roman"/>
          <w:sz w:val="20"/>
          <w:szCs w:val="24"/>
          <w:u w:val="single"/>
        </w:rPr>
        <w:t>CKMR</w:t>
      </w:r>
      <w:proofErr w:type="spellEnd"/>
      <w:r w:rsidRPr="00892310">
        <w:rPr>
          <w:rFonts w:ascii="Cambria" w:eastAsia="Times New Roman" w:hAnsi="Cambria" w:cs="Times New Roman"/>
          <w:sz w:val="20"/>
          <w:szCs w:val="24"/>
          <w:u w:val="single"/>
        </w:rPr>
        <w:t>)</w:t>
      </w:r>
      <w:r w:rsidRPr="00EA15ED">
        <w:rPr>
          <w:rFonts w:ascii="Cambria" w:eastAsia="Times New Roman" w:hAnsi="Cambria" w:cs="Times New Roman"/>
          <w:sz w:val="20"/>
          <w:szCs w:val="24"/>
          <w:u w:val="single"/>
        </w:rPr>
        <w:t>,</w:t>
      </w:r>
    </w:p>
    <w:p w14:paraId="2C7AEDDF" w14:textId="60714E1A" w:rsidR="005D5654" w:rsidRPr="00EA15ED" w:rsidRDefault="00892310" w:rsidP="00892310">
      <w:pPr>
        <w:widowControl/>
        <w:numPr>
          <w:ilvl w:val="0"/>
          <w:numId w:val="7"/>
        </w:numPr>
        <w:autoSpaceDE w:val="0"/>
        <w:autoSpaceDN w:val="0"/>
        <w:adjustRightInd w:val="0"/>
        <w:spacing w:after="80" w:line="259" w:lineRule="auto"/>
        <w:ind w:left="851" w:hanging="425"/>
        <w:contextualSpacing/>
        <w:jc w:val="both"/>
        <w:rPr>
          <w:rFonts w:ascii="Cambria" w:hAnsi="Cambria"/>
          <w:sz w:val="20"/>
          <w:u w:val="single"/>
        </w:rPr>
      </w:pPr>
      <w:r w:rsidRPr="00EA15ED">
        <w:rPr>
          <w:rFonts w:ascii="Cambria" w:eastAsia="Times New Roman" w:hAnsi="Cambria" w:cs="Times New Roman"/>
          <w:sz w:val="20"/>
          <w:szCs w:val="24"/>
          <w:u w:val="single"/>
        </w:rPr>
        <w:t>c</w:t>
      </w:r>
      <w:r w:rsidRPr="00EA15ED">
        <w:rPr>
          <w:rFonts w:ascii="Cambria" w:eastAsia="Times New Roman" w:hAnsi="Cambria" w:cs="Times New Roman"/>
          <w:sz w:val="20"/>
          <w:szCs w:val="24"/>
          <w:u w:val="single"/>
        </w:rPr>
        <w:t xml:space="preserve">oordinación para identificar las fuentes de variabilidad medioambiental que afectan a la productividad del stock. </w:t>
      </w:r>
    </w:p>
    <w:p w14:paraId="03045DEE" w14:textId="77777777" w:rsidR="005D5654" w:rsidRPr="00EA15ED" w:rsidRDefault="005D5654" w:rsidP="005D5654">
      <w:pPr>
        <w:widowControl/>
        <w:autoSpaceDE w:val="0"/>
        <w:autoSpaceDN w:val="0"/>
        <w:adjustRightInd w:val="0"/>
        <w:ind w:left="540"/>
        <w:rPr>
          <w:rFonts w:ascii="Cambria" w:hAnsi="Cambria"/>
          <w:sz w:val="20"/>
        </w:rPr>
      </w:pPr>
    </w:p>
    <w:p w14:paraId="599425BD" w14:textId="77777777" w:rsidR="005D5654" w:rsidRPr="00EA15ED" w:rsidRDefault="005D5654" w:rsidP="005D5654">
      <w:pPr>
        <w:widowControl/>
        <w:numPr>
          <w:ilvl w:val="0"/>
          <w:numId w:val="5"/>
        </w:numPr>
        <w:ind w:left="425" w:hanging="425"/>
        <w:jc w:val="both"/>
        <w:rPr>
          <w:rFonts w:ascii="Cambria" w:hAnsi="Cambria"/>
          <w:color w:val="231F20"/>
          <w:sz w:val="20"/>
        </w:rPr>
      </w:pPr>
      <w:r w:rsidRPr="00EA15ED">
        <w:rPr>
          <w:rFonts w:ascii="Cambria" w:hAnsi="Cambria"/>
          <w:color w:val="231F20"/>
          <w:sz w:val="20"/>
        </w:rPr>
        <w:t xml:space="preserve">Al llevar a cabo el trabajo especificado en el párrafo 14, como contribución a la investigación del SCRS, las CPC deberían realizar o continuar los esfuerzos especiales para mejorar el muestreo de las pesquerías de atún rojo del Atlántico, lo que incluye: proporcionar información sobre la talla y/o el peso de </w:t>
      </w:r>
      <w:r w:rsidRPr="00EA15ED">
        <w:rPr>
          <w:rFonts w:ascii="Cambria" w:hAnsi="Cambria"/>
          <w:color w:val="231F20"/>
          <w:sz w:val="20"/>
          <w:szCs w:val="20"/>
        </w:rPr>
        <w:t>los</w:t>
      </w:r>
      <w:r w:rsidRPr="00EA15ED">
        <w:rPr>
          <w:rFonts w:ascii="Cambria" w:hAnsi="Cambria"/>
          <w:color w:val="231F20"/>
          <w:sz w:val="20"/>
        </w:rPr>
        <w:t xml:space="preserve"> peces por flota, mes y zona; y la recopilación de muestras biológicas, lo que incluye tejidos y otolitos, que son fundamentales para los análisis genéticos de marcado y recuperación de ejemplares de parentesco estrecho y de stock de origen.</w:t>
      </w:r>
    </w:p>
    <w:p w14:paraId="237898EF" w14:textId="77777777" w:rsidR="005D5654" w:rsidRPr="00EA15ED" w:rsidRDefault="005D5654" w:rsidP="005D5654">
      <w:pPr>
        <w:tabs>
          <w:tab w:val="left" w:pos="528"/>
        </w:tabs>
        <w:jc w:val="both"/>
        <w:rPr>
          <w:rFonts w:ascii="Cambria" w:eastAsia="Cambria" w:hAnsi="Cambria" w:cs="Cambria"/>
          <w:color w:val="231F20"/>
          <w:sz w:val="20"/>
          <w:szCs w:val="20"/>
        </w:rPr>
      </w:pPr>
    </w:p>
    <w:p w14:paraId="648FC810" w14:textId="77777777" w:rsidR="005D5654" w:rsidRPr="00EA15ED" w:rsidRDefault="005D5654" w:rsidP="005D5654">
      <w:pPr>
        <w:widowControl/>
        <w:numPr>
          <w:ilvl w:val="0"/>
          <w:numId w:val="5"/>
        </w:numPr>
        <w:ind w:left="425" w:hanging="425"/>
        <w:jc w:val="both"/>
        <w:rPr>
          <w:rFonts w:ascii="Cambria" w:eastAsia="Cambria" w:hAnsi="Cambria" w:cs="Cambria"/>
          <w:color w:val="231F20"/>
          <w:sz w:val="20"/>
          <w:szCs w:val="20"/>
        </w:rPr>
      </w:pPr>
      <w:r w:rsidRPr="00EA15ED">
        <w:rPr>
          <w:rFonts w:ascii="Cambria" w:hAnsi="Cambria"/>
          <w:color w:val="231F20"/>
          <w:sz w:val="20"/>
          <w:szCs w:val="20"/>
        </w:rPr>
        <w:t>Todas las CPC realizarán un seguimiento e informarán acerca de todas las fuentes de mortalidad por pesca, lo que incluye los descartes de peces muertos, y reducirán al mínimo estos descartes de peces muertos en la medida de lo posible.</w:t>
      </w:r>
    </w:p>
    <w:p w14:paraId="7AFAF356" w14:textId="77777777" w:rsidR="005D5654" w:rsidRPr="00EA15ED" w:rsidRDefault="005D5654" w:rsidP="005D5654">
      <w:pPr>
        <w:tabs>
          <w:tab w:val="left" w:pos="528"/>
        </w:tabs>
        <w:ind w:left="7347"/>
        <w:jc w:val="both"/>
        <w:rPr>
          <w:rFonts w:ascii="Cambria" w:eastAsia="Cambria" w:hAnsi="Cambria" w:cs="Cambria"/>
          <w:color w:val="231F20"/>
          <w:sz w:val="20"/>
          <w:szCs w:val="20"/>
        </w:rPr>
      </w:pPr>
    </w:p>
    <w:p w14:paraId="08562F2B" w14:textId="77777777" w:rsidR="005D5654" w:rsidRPr="00EA15ED" w:rsidRDefault="005D5654" w:rsidP="005D5654">
      <w:pPr>
        <w:widowControl/>
        <w:numPr>
          <w:ilvl w:val="0"/>
          <w:numId w:val="5"/>
        </w:numPr>
        <w:ind w:left="425" w:hanging="425"/>
        <w:jc w:val="both"/>
        <w:rPr>
          <w:rFonts w:ascii="Cambria" w:eastAsia="Cambria" w:hAnsi="Cambria" w:cs="Cambria"/>
          <w:color w:val="231F20"/>
          <w:sz w:val="20"/>
          <w:szCs w:val="20"/>
        </w:rPr>
      </w:pPr>
      <w:r w:rsidRPr="00EA15ED">
        <w:rPr>
          <w:rFonts w:ascii="Cambria" w:hAnsi="Cambria"/>
          <w:color w:val="231F20"/>
          <w:sz w:val="20"/>
          <w:szCs w:val="20"/>
        </w:rPr>
        <w:t xml:space="preserve">Cada CPC se asegurará de que sus buques pesqueros que desembarcan atún rojo están sujetos a un sistema de recopilación de datos, de conformidad con la </w:t>
      </w:r>
      <w:r w:rsidRPr="00EA15ED">
        <w:rPr>
          <w:rFonts w:ascii="Cambria" w:hAnsi="Cambria"/>
          <w:i/>
          <w:iCs/>
          <w:color w:val="231F20"/>
          <w:sz w:val="20"/>
          <w:szCs w:val="20"/>
        </w:rPr>
        <w:t>Recomendación de ICCAT sobre el registro de capturas realizadas por barcos pesqueros en la zona del Convenio ICCAT</w:t>
      </w:r>
      <w:r w:rsidRPr="00EA15ED">
        <w:rPr>
          <w:rFonts w:ascii="Cambria" w:hAnsi="Cambria"/>
          <w:color w:val="231F20"/>
          <w:sz w:val="20"/>
          <w:szCs w:val="20"/>
        </w:rPr>
        <w:t xml:space="preserve"> (Rec. 03-13).</w:t>
      </w:r>
    </w:p>
    <w:p w14:paraId="6D5C4116" w14:textId="77777777" w:rsidR="005D5654" w:rsidRPr="00EA15ED" w:rsidRDefault="005D5654" w:rsidP="005D5654">
      <w:pPr>
        <w:tabs>
          <w:tab w:val="left" w:pos="528"/>
        </w:tabs>
        <w:jc w:val="both"/>
        <w:rPr>
          <w:rFonts w:ascii="Cambria" w:eastAsia="Cambria" w:hAnsi="Cambria" w:cs="Cambria"/>
          <w:i/>
          <w:color w:val="231F20"/>
          <w:sz w:val="20"/>
          <w:szCs w:val="20"/>
        </w:rPr>
      </w:pPr>
    </w:p>
    <w:p w14:paraId="0739D93D" w14:textId="22705C67" w:rsidR="005D5654" w:rsidRPr="00EA15ED" w:rsidRDefault="005D5654" w:rsidP="005D5654">
      <w:pPr>
        <w:widowControl/>
        <w:numPr>
          <w:ilvl w:val="0"/>
          <w:numId w:val="5"/>
        </w:numPr>
        <w:ind w:left="425" w:hanging="425"/>
        <w:jc w:val="both"/>
        <w:rPr>
          <w:rFonts w:ascii="Cambria" w:eastAsia="Cambria" w:hAnsi="Cambria" w:cs="Cambria"/>
          <w:color w:val="231F20"/>
          <w:sz w:val="20"/>
          <w:szCs w:val="20"/>
        </w:rPr>
      </w:pPr>
      <w:r w:rsidRPr="00EA15ED">
        <w:rPr>
          <w:rFonts w:ascii="Cambria" w:hAnsi="Cambria"/>
          <w:color w:val="231F20"/>
          <w:sz w:val="20"/>
          <w:szCs w:val="20"/>
        </w:rPr>
        <w:t xml:space="preserve">En relación con el párrafo 11, el SCRS revisará cualquier nueva información disponible relacionada con la identificación de zonas y periodos específicos de reproducción del atún rojo dentro del océano Atlántico occidental, lo que incluye la información procedente de aquellas CPC que capturan atún rojo del Atlántico occidental, e informará a la Comisión sobre los resultados de esta revisión para su consideración. Se insta a las CPC afectadas a trabajar, a través del SCRS, con el fin de desarrollar un asesoramiento con miras a gestionar cualquier periodo identificado y zonas específicas en el marco de un enfoque precautorio. </w:t>
      </w:r>
      <w:r w:rsidR="00892310" w:rsidRPr="00EA15ED">
        <w:rPr>
          <w:rFonts w:ascii="Cambria" w:hAnsi="Cambria"/>
          <w:color w:val="231F20"/>
          <w:sz w:val="20"/>
          <w:szCs w:val="20"/>
          <w:u w:val="single"/>
        </w:rPr>
        <w:t>E</w:t>
      </w:r>
      <w:r w:rsidRPr="00EA15ED">
        <w:rPr>
          <w:rFonts w:ascii="Cambria" w:hAnsi="Cambria"/>
          <w:color w:val="231F20"/>
          <w:sz w:val="20"/>
          <w:szCs w:val="20"/>
          <w:u w:val="single"/>
        </w:rPr>
        <w:t>l</w:t>
      </w:r>
      <w:r w:rsidRPr="00EA15ED">
        <w:rPr>
          <w:rFonts w:ascii="Cambria" w:hAnsi="Cambria"/>
          <w:color w:val="231F20"/>
          <w:sz w:val="20"/>
          <w:szCs w:val="20"/>
        </w:rPr>
        <w:t xml:space="preserve"> SCRS asesorará sobre la eficacia de la restricción de la pesca dirigida en el golfo de México para reducir la mortalidad del atún rojo en edad de reproducción.</w:t>
      </w:r>
    </w:p>
    <w:p w14:paraId="514FB088" w14:textId="77777777" w:rsidR="005D5654" w:rsidRPr="00EA15ED" w:rsidRDefault="005D5654" w:rsidP="005D5654">
      <w:pPr>
        <w:rPr>
          <w:rFonts w:ascii="Cambria" w:eastAsia="Cambria" w:hAnsi="Cambria" w:cs="Cambria"/>
          <w:sz w:val="16"/>
          <w:szCs w:val="16"/>
        </w:rPr>
      </w:pPr>
    </w:p>
    <w:p w14:paraId="79343429" w14:textId="77777777" w:rsidR="005D5654" w:rsidRPr="00EA15ED" w:rsidRDefault="005D5654" w:rsidP="005D5654">
      <w:pPr>
        <w:widowControl/>
        <w:numPr>
          <w:ilvl w:val="0"/>
          <w:numId w:val="5"/>
        </w:numPr>
        <w:ind w:left="425" w:hanging="425"/>
        <w:jc w:val="both"/>
        <w:rPr>
          <w:rFonts w:ascii="Cambria" w:eastAsia="Cambria" w:hAnsi="Cambria" w:cs="Cambria"/>
          <w:sz w:val="20"/>
          <w:szCs w:val="20"/>
        </w:rPr>
      </w:pPr>
      <w:r w:rsidRPr="00EA15ED">
        <w:rPr>
          <w:rFonts w:ascii="Cambria" w:hAnsi="Cambria"/>
          <w:color w:val="231F20"/>
          <w:sz w:val="20"/>
          <w:szCs w:val="20"/>
        </w:rPr>
        <w:t>Cada CPC declarará sus capturas mensuales provisionales de atún rojo. Este informe se enviará a la Secretaría en los 30 días posteriores al fin del mes civil en el que se realizaron las capturas.</w:t>
      </w:r>
    </w:p>
    <w:p w14:paraId="62C1F22B" w14:textId="77777777" w:rsidR="005D5654" w:rsidRPr="00EA15ED" w:rsidRDefault="005D5654" w:rsidP="005D5654">
      <w:pPr>
        <w:rPr>
          <w:rFonts w:ascii="Cambria" w:eastAsia="Cambria" w:hAnsi="Cambria" w:cs="Cambria"/>
          <w:sz w:val="20"/>
          <w:szCs w:val="20"/>
        </w:rPr>
      </w:pPr>
    </w:p>
    <w:p w14:paraId="45743D67" w14:textId="77777777" w:rsidR="005D5654" w:rsidRPr="00EA15ED" w:rsidRDefault="005D5654" w:rsidP="005D5654">
      <w:pPr>
        <w:widowControl/>
        <w:numPr>
          <w:ilvl w:val="0"/>
          <w:numId w:val="5"/>
        </w:numPr>
        <w:ind w:left="425" w:hanging="425"/>
        <w:jc w:val="both"/>
        <w:rPr>
          <w:rFonts w:ascii="Cambria" w:eastAsia="Cambria" w:hAnsi="Cambria" w:cs="Cambria"/>
          <w:sz w:val="20"/>
          <w:szCs w:val="20"/>
        </w:rPr>
      </w:pPr>
      <w:r w:rsidRPr="00EA15ED">
        <w:rPr>
          <w:rFonts w:ascii="Cambria" w:hAnsi="Cambria"/>
          <w:color w:val="231F20"/>
          <w:sz w:val="20"/>
          <w:szCs w:val="20"/>
        </w:rPr>
        <w:t>La Secretaría de ICCAT, en los 10 días posteriores a las fechas límite mensuales para la recepción de las estadísticas provisionales de captura, recopilará la información recibida y la circulará entre las CPC, junto con las estadísticas de captura agregadas.</w:t>
      </w:r>
      <w:r w:rsidRPr="00EA15ED">
        <w:rPr>
          <w:rFonts w:ascii="Cambria" w:hAnsi="Cambria"/>
          <w:sz w:val="20"/>
          <w:szCs w:val="20"/>
        </w:rPr>
        <w:t xml:space="preserve"> </w:t>
      </w:r>
    </w:p>
    <w:p w14:paraId="176473D5" w14:textId="77777777" w:rsidR="005D5654" w:rsidRPr="00EA15ED" w:rsidRDefault="005D5654" w:rsidP="005D5654">
      <w:pPr>
        <w:widowControl/>
        <w:ind w:left="720"/>
        <w:jc w:val="both"/>
        <w:rPr>
          <w:rFonts w:ascii="Cambria" w:eastAsia="Cambria" w:hAnsi="Cambria" w:cs="Cambria"/>
          <w:sz w:val="20"/>
          <w:szCs w:val="20"/>
          <w:lang w:eastAsia="ja-JP"/>
        </w:rPr>
      </w:pPr>
    </w:p>
    <w:p w14:paraId="03BC7CF0" w14:textId="77777777" w:rsidR="005D5654" w:rsidRPr="00EA15ED" w:rsidRDefault="005D5654" w:rsidP="005D5654">
      <w:pPr>
        <w:widowControl/>
        <w:numPr>
          <w:ilvl w:val="0"/>
          <w:numId w:val="5"/>
        </w:numPr>
        <w:ind w:left="425" w:hanging="425"/>
        <w:jc w:val="both"/>
        <w:rPr>
          <w:rFonts w:ascii="Cambria" w:hAnsi="Cambria"/>
          <w:color w:val="231F20"/>
          <w:sz w:val="20"/>
          <w:szCs w:val="20"/>
        </w:rPr>
      </w:pPr>
      <w:r w:rsidRPr="00EA15ED">
        <w:rPr>
          <w:rFonts w:ascii="Cambria" w:hAnsi="Cambria"/>
          <w:color w:val="231F20"/>
          <w:sz w:val="20"/>
          <w:szCs w:val="20"/>
        </w:rPr>
        <w:t>Todas las CPC facilitarán los mejores datos de que dispongan para la evaluación del stock del SCRS, incluyendo información sobre capturas del rango más amplio de todas las clases de edad que se encuentren en sus pesquerías, de acuerdo con las restricciones sobre talla mínima.</w:t>
      </w:r>
    </w:p>
    <w:p w14:paraId="7111AC65" w14:textId="77777777" w:rsidR="005D5654" w:rsidRPr="00EA15ED" w:rsidRDefault="005D5654" w:rsidP="005D5654">
      <w:pPr>
        <w:tabs>
          <w:tab w:val="left" w:pos="530"/>
        </w:tabs>
        <w:ind w:left="528"/>
        <w:jc w:val="both"/>
        <w:rPr>
          <w:rFonts w:ascii="Cambria" w:hAnsi="Cambria"/>
          <w:color w:val="231F20"/>
          <w:sz w:val="20"/>
          <w:szCs w:val="20"/>
        </w:rPr>
      </w:pPr>
    </w:p>
    <w:p w14:paraId="4E0F9B26" w14:textId="77777777" w:rsidR="005D5654" w:rsidRPr="00EA15ED" w:rsidRDefault="005D5654" w:rsidP="005D5654">
      <w:pPr>
        <w:tabs>
          <w:tab w:val="left" w:pos="530"/>
        </w:tabs>
        <w:ind w:left="528"/>
        <w:jc w:val="both"/>
        <w:rPr>
          <w:rFonts w:ascii="Cambria" w:hAnsi="Cambria"/>
          <w:color w:val="231F20"/>
          <w:sz w:val="20"/>
          <w:szCs w:val="20"/>
        </w:rPr>
      </w:pPr>
    </w:p>
    <w:p w14:paraId="47BFCF68" w14:textId="77777777" w:rsidR="005D5654" w:rsidRPr="00EA15ED" w:rsidRDefault="005D5654" w:rsidP="005D5654">
      <w:pPr>
        <w:widowControl/>
        <w:numPr>
          <w:ilvl w:val="0"/>
          <w:numId w:val="5"/>
        </w:numPr>
        <w:ind w:left="425" w:hanging="425"/>
        <w:jc w:val="both"/>
        <w:rPr>
          <w:rFonts w:ascii="Cambria" w:eastAsia="Cambria" w:hAnsi="Cambria" w:cs="Cambria"/>
          <w:sz w:val="20"/>
          <w:szCs w:val="20"/>
        </w:rPr>
      </w:pPr>
      <w:r w:rsidRPr="00EA15ED">
        <w:rPr>
          <w:rFonts w:ascii="Cambria" w:hAnsi="Cambria"/>
          <w:color w:val="231F20"/>
          <w:sz w:val="20"/>
          <w:szCs w:val="20"/>
        </w:rPr>
        <w:t>El SCRS debería proporcionar orientaciones sobre una gama de medidas de ordenación relacionadas con la talla de los peces para el atún rojo del Atlántico occidental y sobre su impacto en las consideraciones sobre rendimiento por recluta y reproductor por recluta. El SCRS debería comentar también el efecto de las medidas de ordenación relacionadas con la talla de los peces en su capacidad de hacer un seguimiento del estado del stock.</w:t>
      </w:r>
    </w:p>
    <w:p w14:paraId="24849104" w14:textId="77777777" w:rsidR="005D5654" w:rsidRPr="00EA15ED" w:rsidRDefault="005D5654" w:rsidP="005D5654">
      <w:pPr>
        <w:ind w:right="129"/>
        <w:jc w:val="both"/>
        <w:rPr>
          <w:rFonts w:ascii="Cambria" w:eastAsia="Cambria" w:hAnsi="Cambria" w:cs="Cambria"/>
          <w:sz w:val="20"/>
          <w:szCs w:val="20"/>
        </w:rPr>
      </w:pPr>
    </w:p>
    <w:p w14:paraId="0CBBFDD4" w14:textId="2F00A7C2" w:rsidR="005D5654" w:rsidRPr="00EA15ED" w:rsidRDefault="005D5654" w:rsidP="00892310">
      <w:pPr>
        <w:widowControl/>
        <w:numPr>
          <w:ilvl w:val="0"/>
          <w:numId w:val="5"/>
        </w:numPr>
        <w:ind w:left="426"/>
        <w:jc w:val="both"/>
        <w:rPr>
          <w:rFonts w:ascii="Cambria" w:hAnsi="Cambria"/>
          <w:color w:val="231F20"/>
          <w:sz w:val="20"/>
          <w:szCs w:val="20"/>
          <w:u w:val="single"/>
        </w:rPr>
      </w:pPr>
      <w:r w:rsidRPr="00EA15ED">
        <w:rPr>
          <w:rFonts w:ascii="Cambria" w:hAnsi="Cambria"/>
          <w:color w:val="231F20"/>
          <w:sz w:val="20"/>
          <w:szCs w:val="20"/>
        </w:rPr>
        <w:t xml:space="preserve">Esta Recomendación revoca y sustituye la </w:t>
      </w:r>
      <w:r w:rsidR="00892310" w:rsidRPr="00EA15ED">
        <w:rPr>
          <w:rFonts w:ascii="Cambria" w:hAnsi="Cambria"/>
          <w:i/>
          <w:iCs/>
          <w:color w:val="231F20"/>
          <w:sz w:val="20"/>
          <w:szCs w:val="20"/>
          <w:u w:val="single"/>
        </w:rPr>
        <w:t>Recomendación de ICCAT para un plan de conservación y ordenación para el atún rojo del Atlántico oeste</w:t>
      </w:r>
      <w:r w:rsidR="00892310" w:rsidRPr="00EA15ED">
        <w:rPr>
          <w:rFonts w:ascii="Cambria" w:hAnsi="Cambria"/>
          <w:i/>
          <w:iCs/>
          <w:color w:val="231F20"/>
          <w:sz w:val="20"/>
          <w:szCs w:val="20"/>
          <w:u w:val="single"/>
        </w:rPr>
        <w:t xml:space="preserve"> </w:t>
      </w:r>
      <w:r w:rsidRPr="00EA15ED">
        <w:rPr>
          <w:rFonts w:ascii="Cambria" w:hAnsi="Cambria"/>
          <w:color w:val="231F20"/>
          <w:sz w:val="20"/>
          <w:szCs w:val="20"/>
          <w:u w:val="single"/>
        </w:rPr>
        <w:t>(Rec. 2</w:t>
      </w:r>
      <w:r w:rsidR="00892310" w:rsidRPr="00EA15ED">
        <w:rPr>
          <w:rFonts w:ascii="Cambria" w:hAnsi="Cambria"/>
          <w:color w:val="231F20"/>
          <w:sz w:val="20"/>
          <w:szCs w:val="20"/>
          <w:u w:val="single"/>
        </w:rPr>
        <w:t>2-10</w:t>
      </w:r>
      <w:r w:rsidRPr="00EA15ED">
        <w:rPr>
          <w:rFonts w:ascii="Cambria" w:hAnsi="Cambria"/>
          <w:color w:val="231F20"/>
          <w:sz w:val="20"/>
          <w:szCs w:val="20"/>
          <w:u w:val="single"/>
        </w:rPr>
        <w:t>).</w:t>
      </w:r>
    </w:p>
    <w:p w14:paraId="23056A69" w14:textId="77777777" w:rsidR="005D5654" w:rsidRPr="005D5654" w:rsidRDefault="005D5654" w:rsidP="005D5654">
      <w:pPr>
        <w:widowControl/>
        <w:spacing w:after="160" w:line="259" w:lineRule="auto"/>
        <w:rPr>
          <w:rFonts w:ascii="Cambria" w:hAnsi="Cambria"/>
          <w:color w:val="231F20"/>
          <w:sz w:val="20"/>
          <w:szCs w:val="20"/>
        </w:rPr>
      </w:pPr>
    </w:p>
    <w:p w14:paraId="7A841C58" w14:textId="7796E15D" w:rsidR="00F51AFC" w:rsidRPr="00B608F5" w:rsidRDefault="00F51AFC" w:rsidP="005D5654">
      <w:pPr>
        <w:tabs>
          <w:tab w:val="left" w:pos="426"/>
          <w:tab w:val="center" w:pos="4680"/>
          <w:tab w:val="left" w:pos="6430"/>
        </w:tabs>
        <w:jc w:val="center"/>
        <w:rPr>
          <w:rFonts w:ascii="Cambria" w:eastAsia="Cambria" w:hAnsi="Cambria" w:cs="Cambria"/>
          <w:sz w:val="20"/>
          <w:szCs w:val="20"/>
        </w:rPr>
      </w:pPr>
    </w:p>
    <w:sectPr w:rsidR="00F51AFC" w:rsidRPr="00B608F5">
      <w:headerReference w:type="default" r:id="rId7"/>
      <w:footerReference w:type="default" r:id="rId8"/>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B9C9" w14:textId="77777777" w:rsidR="00633750" w:rsidRDefault="00633750">
      <w:r>
        <w:separator/>
      </w:r>
    </w:p>
  </w:endnote>
  <w:endnote w:type="continuationSeparator" w:id="0">
    <w:p w14:paraId="37B79AD6" w14:textId="77777777" w:rsidR="00633750" w:rsidRDefault="0063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395C" w14:textId="68158B53" w:rsidR="00F51AFC" w:rsidRPr="00D0462D" w:rsidRDefault="00D0462D" w:rsidP="00D0462D">
    <w:pPr>
      <w:pStyle w:val="Footer"/>
      <w:jc w:val="center"/>
    </w:pPr>
    <w:sdt>
      <w:sdtPr>
        <w:rPr>
          <w:rFonts w:eastAsia="Yu Mincho" w:cs="Times New Roman"/>
        </w:rPr>
        <w:id w:val="-60483211"/>
        <w:docPartObj>
          <w:docPartGallery w:val="Page Numbers (Top of Page)"/>
          <w:docPartUnique/>
        </w:docPartObj>
      </w:sdtPr>
      <w:sdtContent>
        <w:r w:rsidRPr="00F6039D">
          <w:rPr>
            <w:rFonts w:ascii="Cambria" w:eastAsia="Yu Mincho" w:hAnsi="Cambria" w:cs="Times New Roman"/>
            <w:sz w:val="20"/>
          </w:rPr>
          <w:fldChar w:fldCharType="begin"/>
        </w:r>
        <w:r w:rsidRPr="00F6039D">
          <w:rPr>
            <w:rFonts w:ascii="Cambria" w:eastAsia="Yu Mincho" w:hAnsi="Cambria" w:cs="Times New Roman"/>
            <w:sz w:val="20"/>
          </w:rPr>
          <w:instrText xml:space="preserve"> PAGE </w:instrText>
        </w:r>
        <w:r w:rsidRPr="00F6039D">
          <w:rPr>
            <w:rFonts w:ascii="Cambria" w:eastAsia="Yu Mincho" w:hAnsi="Cambria" w:cs="Times New Roman"/>
            <w:sz w:val="20"/>
          </w:rPr>
          <w:fldChar w:fldCharType="separate"/>
        </w:r>
        <w:r>
          <w:rPr>
            <w:rFonts w:ascii="Cambria" w:eastAsia="Yu Mincho" w:hAnsi="Cambria" w:cs="Times New Roman"/>
            <w:sz w:val="20"/>
          </w:rPr>
          <w:t>1</w:t>
        </w:r>
        <w:r w:rsidRPr="00F6039D">
          <w:rPr>
            <w:rFonts w:ascii="Cambria" w:eastAsia="Yu Mincho" w:hAnsi="Cambria" w:cs="Times New Roman"/>
            <w:sz w:val="20"/>
          </w:rPr>
          <w:fldChar w:fldCharType="end"/>
        </w:r>
        <w:r>
          <w:rPr>
            <w:rFonts w:ascii="Cambria" w:hAnsi="Cambria"/>
            <w:sz w:val="20"/>
          </w:rPr>
          <w:t xml:space="preserve"> / </w:t>
        </w:r>
        <w:r w:rsidRPr="00F6039D">
          <w:rPr>
            <w:rFonts w:ascii="Cambria" w:eastAsia="Yu Mincho" w:hAnsi="Cambria" w:cs="Times New Roman"/>
            <w:sz w:val="20"/>
          </w:rPr>
          <w:fldChar w:fldCharType="begin"/>
        </w:r>
        <w:r w:rsidRPr="00F6039D">
          <w:rPr>
            <w:rFonts w:ascii="Cambria" w:eastAsia="Yu Mincho" w:hAnsi="Cambria" w:cs="Times New Roman"/>
            <w:sz w:val="20"/>
          </w:rPr>
          <w:instrText xml:space="preserve"> NUMPAGES  </w:instrText>
        </w:r>
        <w:r w:rsidRPr="00F6039D">
          <w:rPr>
            <w:rFonts w:ascii="Cambria" w:eastAsia="Yu Mincho" w:hAnsi="Cambria" w:cs="Times New Roman"/>
            <w:sz w:val="20"/>
          </w:rPr>
          <w:fldChar w:fldCharType="separate"/>
        </w:r>
        <w:r>
          <w:rPr>
            <w:rFonts w:ascii="Cambria" w:eastAsia="Yu Mincho" w:hAnsi="Cambria" w:cs="Times New Roman"/>
            <w:sz w:val="20"/>
          </w:rPr>
          <w:t>5</w:t>
        </w:r>
        <w:r w:rsidRPr="00F6039D">
          <w:rPr>
            <w:rFonts w:ascii="Cambria" w:eastAsia="Yu Mincho" w:hAnsi="Cambria" w:cs="Times New Roman"/>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8B90" w14:textId="77777777" w:rsidR="00633750" w:rsidRDefault="00633750">
      <w:r>
        <w:separator/>
      </w:r>
    </w:p>
  </w:footnote>
  <w:footnote w:type="continuationSeparator" w:id="0">
    <w:p w14:paraId="27E8D46E" w14:textId="77777777" w:rsidR="00633750" w:rsidRDefault="00633750">
      <w:r>
        <w:continuationSeparator/>
      </w:r>
    </w:p>
  </w:footnote>
  <w:footnote w:id="1">
    <w:p w14:paraId="21D0010F" w14:textId="77777777" w:rsidR="005D5654" w:rsidRPr="00AD6039" w:rsidRDefault="005D5654" w:rsidP="005D5654">
      <w:pPr>
        <w:pStyle w:val="FootnoteText"/>
        <w:rPr>
          <w:rFonts w:ascii="Cambria" w:hAnsi="Cambria"/>
          <w:sz w:val="16"/>
          <w:szCs w:val="16"/>
          <w:lang w:val="es-ES"/>
        </w:rPr>
      </w:pPr>
      <w:r w:rsidRPr="00AD6039">
        <w:rPr>
          <w:rStyle w:val="FootnoteReference"/>
          <w:rFonts w:ascii="Cambria" w:hAnsi="Cambria"/>
          <w:sz w:val="16"/>
          <w:szCs w:val="16"/>
          <w:vertAlign w:val="superscript"/>
        </w:rPr>
        <w:footnoteRef/>
      </w:r>
      <w:r w:rsidRPr="00A0712D">
        <w:rPr>
          <w:rFonts w:ascii="Cambria" w:hAnsi="Cambria"/>
          <w:sz w:val="16"/>
          <w:szCs w:val="16"/>
          <w:vertAlign w:val="superscript"/>
          <w:lang w:val="es-ES"/>
        </w:rPr>
        <w:t xml:space="preserve"> </w:t>
      </w:r>
      <w:r>
        <w:rPr>
          <w:rFonts w:ascii="Cambria" w:hAnsi="Cambria"/>
          <w:sz w:val="16"/>
          <w:szCs w:val="16"/>
          <w:lang w:val="es-ES"/>
        </w:rPr>
        <w:t>Esta medida fue r</w:t>
      </w:r>
      <w:r w:rsidRPr="00AD6039">
        <w:rPr>
          <w:rFonts w:ascii="Cambria" w:hAnsi="Cambria"/>
          <w:sz w:val="16"/>
          <w:szCs w:val="16"/>
          <w:lang w:val="es-ES"/>
        </w:rPr>
        <w:t>evocada y sustituida por la R</w:t>
      </w:r>
      <w:r>
        <w:rPr>
          <w:rFonts w:ascii="Cambria" w:hAnsi="Cambria"/>
          <w:sz w:val="16"/>
          <w:szCs w:val="16"/>
          <w:lang w:val="es-ES"/>
        </w:rPr>
        <w:t>e</w:t>
      </w:r>
      <w:r w:rsidRPr="00AD6039">
        <w:rPr>
          <w:rFonts w:ascii="Cambria" w:hAnsi="Cambria"/>
          <w:sz w:val="16"/>
          <w:szCs w:val="16"/>
          <w:lang w:val="es-ES"/>
        </w:rPr>
        <w:t>c</w:t>
      </w:r>
      <w:r>
        <w:rPr>
          <w:rFonts w:ascii="Cambria" w:hAnsi="Cambria"/>
          <w:sz w:val="16"/>
          <w:szCs w:val="16"/>
          <w:lang w:val="es-ES"/>
        </w:rPr>
        <w:t>omendación</w:t>
      </w:r>
      <w:r w:rsidRPr="00AD6039">
        <w:rPr>
          <w:rFonts w:ascii="Cambria" w:hAnsi="Cambria"/>
          <w:sz w:val="16"/>
          <w:szCs w:val="16"/>
          <w:lang w:val="es-ES"/>
        </w:rPr>
        <w:t xml:space="preserve"> 23-07.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C1B1" w14:textId="77777777" w:rsidR="00B04D97" w:rsidRPr="00B04D97" w:rsidRDefault="00B04D97" w:rsidP="00B04D97">
    <w:pPr>
      <w:tabs>
        <w:tab w:val="center" w:pos="4680"/>
        <w:tab w:val="left" w:pos="6520"/>
        <w:tab w:val="right" w:pos="9360"/>
        <w:tab w:val="right" w:pos="14240"/>
      </w:tabs>
      <w:jc w:val="right"/>
      <w:rPr>
        <w:rFonts w:ascii="Cambria" w:hAnsi="Cambria" w:cs="Times New Roman"/>
        <w:b/>
        <w:bCs/>
        <w:sz w:val="20"/>
        <w:szCs w:val="20"/>
        <w:lang w:val="en-US"/>
      </w:rPr>
    </w:pPr>
    <w:r w:rsidRPr="00B04D97">
      <w:rPr>
        <w:rFonts w:ascii="Cambria" w:hAnsi="Cambria" w:cs="Times New Roman"/>
        <w:b/>
        <w:bCs/>
        <w:sz w:val="20"/>
        <w:szCs w:val="20"/>
        <w:lang w:val="en-US"/>
      </w:rPr>
      <w:t>PA2_616/2025</w:t>
    </w:r>
  </w:p>
  <w:p w14:paraId="00D220E1" w14:textId="55AB0115" w:rsidR="00B04D97" w:rsidRPr="00B04D97" w:rsidRDefault="00B04D97" w:rsidP="00B04D97">
    <w:pPr>
      <w:widowControl/>
      <w:tabs>
        <w:tab w:val="center" w:pos="4513"/>
        <w:tab w:val="right" w:pos="9026"/>
      </w:tabs>
      <w:jc w:val="right"/>
      <w:rPr>
        <w:rFonts w:cs="Times New Roman"/>
        <w:kern w:val="2"/>
        <w:lang w:val="en-GB"/>
        <w14:ligatures w14:val="standardContextual"/>
      </w:rPr>
    </w:pPr>
    <w:r w:rsidRPr="00B04D97">
      <w:rPr>
        <w:rFonts w:ascii="Cambria" w:hAnsi="Cambria" w:cs="Times New Roman"/>
        <w:b/>
        <w:bCs/>
        <w:sz w:val="16"/>
        <w:szCs w:val="16"/>
        <w:lang w:val="es-ES_tradnl"/>
      </w:rPr>
      <w:fldChar w:fldCharType="begin"/>
    </w:r>
    <w:r w:rsidRPr="00B04D97">
      <w:rPr>
        <w:rFonts w:ascii="Cambria" w:hAnsi="Cambria" w:cs="Times New Roman"/>
        <w:b/>
        <w:bCs/>
        <w:sz w:val="16"/>
        <w:szCs w:val="16"/>
        <w:lang w:val="es-ES_tradnl"/>
      </w:rPr>
      <w:instrText xml:space="preserve"> TIME \@ "dd/MM/yyyy H:mm" </w:instrText>
    </w:r>
    <w:r w:rsidRPr="00B04D97">
      <w:rPr>
        <w:rFonts w:ascii="Cambria" w:hAnsi="Cambria" w:cs="Times New Roman"/>
        <w:b/>
        <w:bCs/>
        <w:sz w:val="16"/>
        <w:szCs w:val="16"/>
        <w:lang w:val="es-ES_tradnl"/>
      </w:rPr>
      <w:fldChar w:fldCharType="separate"/>
    </w:r>
    <w:r w:rsidRPr="00B04D97">
      <w:rPr>
        <w:rFonts w:ascii="Cambria" w:hAnsi="Cambria" w:cs="Times New Roman"/>
        <w:b/>
        <w:bCs/>
        <w:noProof/>
        <w:sz w:val="16"/>
        <w:szCs w:val="16"/>
        <w:lang w:val="es-ES_tradnl"/>
      </w:rPr>
      <w:t>11/11/2025 11:07</w:t>
    </w:r>
    <w:r w:rsidRPr="00B04D97">
      <w:rPr>
        <w:rFonts w:ascii="Cambria" w:hAnsi="Cambria" w:cs="Times New Roman"/>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760"/>
    <w:multiLevelType w:val="multilevel"/>
    <w:tmpl w:val="C818CD58"/>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 w15:restartNumberingAfterBreak="0">
    <w:nsid w:val="08AE3E57"/>
    <w:multiLevelType w:val="multilevel"/>
    <w:tmpl w:val="F8F2E606"/>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2" w15:restartNumberingAfterBreak="0">
    <w:nsid w:val="0AF63789"/>
    <w:multiLevelType w:val="multilevel"/>
    <w:tmpl w:val="00200CEE"/>
    <w:lvl w:ilvl="0">
      <w:start w:val="18"/>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 w15:restartNumberingAfterBreak="0">
    <w:nsid w:val="347112AF"/>
    <w:multiLevelType w:val="multilevel"/>
    <w:tmpl w:val="2A54204A"/>
    <w:lvl w:ilvl="0">
      <w:start w:val="1"/>
      <w:numFmt w:val="decimal"/>
      <w:lvlText w:val="%1."/>
      <w:lvlJc w:val="left"/>
      <w:pPr>
        <w:ind w:left="7347" w:hanging="401"/>
      </w:pPr>
      <w:rPr>
        <w:rFonts w:ascii="Cambria" w:eastAsia="Cambria" w:hAnsi="Cambria" w:cs="Cambria"/>
        <w:b w:val="0"/>
        <w:bCs w:val="0"/>
        <w:i w:val="0"/>
        <w:iCs w:val="0"/>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 w15:restartNumberingAfterBreak="0">
    <w:nsid w:val="4DE17F30"/>
    <w:multiLevelType w:val="multilevel"/>
    <w:tmpl w:val="355EDBBA"/>
    <w:lvl w:ilvl="0">
      <w:start w:val="16"/>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5"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788D79E2"/>
    <w:multiLevelType w:val="multilevel"/>
    <w:tmpl w:val="88745E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1334213823">
    <w:abstractNumId w:val="6"/>
  </w:num>
  <w:num w:numId="2" w16cid:durableId="1999772464">
    <w:abstractNumId w:val="4"/>
  </w:num>
  <w:num w:numId="3" w16cid:durableId="1466775541">
    <w:abstractNumId w:val="1"/>
  </w:num>
  <w:num w:numId="4" w16cid:durableId="1769110195">
    <w:abstractNumId w:val="2"/>
  </w:num>
  <w:num w:numId="5" w16cid:durableId="790323733">
    <w:abstractNumId w:val="3"/>
  </w:num>
  <w:num w:numId="6" w16cid:durableId="1265111111">
    <w:abstractNumId w:val="0"/>
  </w:num>
  <w:num w:numId="7" w16cid:durableId="1240600125">
    <w:abstractNumId w:val="5"/>
  </w:num>
  <w:num w:numId="8" w16cid:durableId="3243630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FC"/>
    <w:rsid w:val="00006F00"/>
    <w:rsid w:val="000343DA"/>
    <w:rsid w:val="00062DE8"/>
    <w:rsid w:val="00070ED2"/>
    <w:rsid w:val="0007696E"/>
    <w:rsid w:val="00085CAE"/>
    <w:rsid w:val="000B4724"/>
    <w:rsid w:val="000B79F1"/>
    <w:rsid w:val="000C2F6B"/>
    <w:rsid w:val="000F0AAA"/>
    <w:rsid w:val="000F4DA7"/>
    <w:rsid w:val="0015158D"/>
    <w:rsid w:val="00181183"/>
    <w:rsid w:val="001913D7"/>
    <w:rsid w:val="001B06E2"/>
    <w:rsid w:val="001B6778"/>
    <w:rsid w:val="001D01C5"/>
    <w:rsid w:val="001F4B30"/>
    <w:rsid w:val="002078C2"/>
    <w:rsid w:val="00267873"/>
    <w:rsid w:val="002754DF"/>
    <w:rsid w:val="002979C6"/>
    <w:rsid w:val="002B07B3"/>
    <w:rsid w:val="002E4FB5"/>
    <w:rsid w:val="002F0939"/>
    <w:rsid w:val="002F5405"/>
    <w:rsid w:val="00367B46"/>
    <w:rsid w:val="003847B9"/>
    <w:rsid w:val="003B4E85"/>
    <w:rsid w:val="003C3446"/>
    <w:rsid w:val="003F3D45"/>
    <w:rsid w:val="00416E35"/>
    <w:rsid w:val="004639DD"/>
    <w:rsid w:val="004C13E1"/>
    <w:rsid w:val="004F6611"/>
    <w:rsid w:val="00522BD1"/>
    <w:rsid w:val="005236A2"/>
    <w:rsid w:val="005252E2"/>
    <w:rsid w:val="00532281"/>
    <w:rsid w:val="005476F0"/>
    <w:rsid w:val="00573C3D"/>
    <w:rsid w:val="005814D5"/>
    <w:rsid w:val="00595393"/>
    <w:rsid w:val="005B54F4"/>
    <w:rsid w:val="005B695E"/>
    <w:rsid w:val="005D5654"/>
    <w:rsid w:val="00633750"/>
    <w:rsid w:val="00641984"/>
    <w:rsid w:val="00642DD9"/>
    <w:rsid w:val="006442A8"/>
    <w:rsid w:val="006A14F8"/>
    <w:rsid w:val="006F2A01"/>
    <w:rsid w:val="007057A8"/>
    <w:rsid w:val="00773F9B"/>
    <w:rsid w:val="0077450F"/>
    <w:rsid w:val="00782999"/>
    <w:rsid w:val="007B2ADD"/>
    <w:rsid w:val="007D322F"/>
    <w:rsid w:val="007D6A95"/>
    <w:rsid w:val="00892310"/>
    <w:rsid w:val="008B48B4"/>
    <w:rsid w:val="008E739C"/>
    <w:rsid w:val="00924B5C"/>
    <w:rsid w:val="0094279B"/>
    <w:rsid w:val="0096539A"/>
    <w:rsid w:val="0099145B"/>
    <w:rsid w:val="009A5DB5"/>
    <w:rsid w:val="009B4E47"/>
    <w:rsid w:val="009D1852"/>
    <w:rsid w:val="009D3F12"/>
    <w:rsid w:val="009E4642"/>
    <w:rsid w:val="00A168A4"/>
    <w:rsid w:val="00A20149"/>
    <w:rsid w:val="00AA5339"/>
    <w:rsid w:val="00AC6383"/>
    <w:rsid w:val="00B04D97"/>
    <w:rsid w:val="00B608F5"/>
    <w:rsid w:val="00BB586E"/>
    <w:rsid w:val="00BB709E"/>
    <w:rsid w:val="00C660AE"/>
    <w:rsid w:val="00C85FA9"/>
    <w:rsid w:val="00C95149"/>
    <w:rsid w:val="00CC781B"/>
    <w:rsid w:val="00D0462D"/>
    <w:rsid w:val="00D47D29"/>
    <w:rsid w:val="00D57518"/>
    <w:rsid w:val="00D57A59"/>
    <w:rsid w:val="00DA0817"/>
    <w:rsid w:val="00E30342"/>
    <w:rsid w:val="00E56549"/>
    <w:rsid w:val="00E73F93"/>
    <w:rsid w:val="00E81F89"/>
    <w:rsid w:val="00EA15ED"/>
    <w:rsid w:val="00EA3638"/>
    <w:rsid w:val="00EA4C98"/>
    <w:rsid w:val="00EB50CC"/>
    <w:rsid w:val="00EC0E9E"/>
    <w:rsid w:val="00F02495"/>
    <w:rsid w:val="00F132C2"/>
    <w:rsid w:val="00F1736F"/>
    <w:rsid w:val="00F221C2"/>
    <w:rsid w:val="00F329D7"/>
    <w:rsid w:val="00F339B2"/>
    <w:rsid w:val="00F51AFC"/>
    <w:rsid w:val="00F67376"/>
    <w:rsid w:val="00FA4697"/>
    <w:rsid w:val="00FA7565"/>
    <w:rsid w:val="00FB1F47"/>
    <w:rsid w:val="00FE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DE36"/>
  <w15:docId w15:val="{795600D6-16B8-4B8F-8F08-4F2387E1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33"/>
      <w:outlineLvl w:val="0"/>
    </w:pPr>
    <w:rPr>
      <w:rFonts w:ascii="Times New Roman" w:eastAsia="Times New Roman" w:hAnsi="Times New Roman" w:cs="Times New Roman"/>
      <w:b/>
      <w:i/>
      <w:sz w:val="19"/>
      <w:szCs w:val="19"/>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1"/>
    <w:qFormat/>
    <w:rsid w:val="00416E35"/>
    <w:pPr>
      <w:ind w:left="720"/>
      <w:contextualSpacing/>
    </w:pPr>
  </w:style>
  <w:style w:type="paragraph" w:styleId="BalloonText">
    <w:name w:val="Balloon Text"/>
    <w:basedOn w:val="Normal"/>
    <w:link w:val="BalloonTextChar"/>
    <w:uiPriority w:val="99"/>
    <w:semiHidden/>
    <w:unhideWhenUsed/>
    <w:rsid w:val="00EB5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0CC"/>
    <w:rPr>
      <w:rFonts w:ascii="Segoe UI" w:hAnsi="Segoe UI" w:cs="Segoe UI"/>
      <w:sz w:val="18"/>
      <w:szCs w:val="18"/>
    </w:rPr>
  </w:style>
  <w:style w:type="paragraph" w:styleId="Revision">
    <w:name w:val="Revision"/>
    <w:hidden/>
    <w:uiPriority w:val="99"/>
    <w:semiHidden/>
    <w:rsid w:val="00070ED2"/>
    <w:pPr>
      <w:widowControl/>
    </w:pPr>
  </w:style>
  <w:style w:type="paragraph" w:styleId="Header">
    <w:name w:val="header"/>
    <w:basedOn w:val="Normal"/>
    <w:link w:val="HeaderChar"/>
    <w:uiPriority w:val="99"/>
    <w:unhideWhenUsed/>
    <w:rsid w:val="007057A8"/>
    <w:pPr>
      <w:tabs>
        <w:tab w:val="center" w:pos="4680"/>
        <w:tab w:val="right" w:pos="9360"/>
      </w:tabs>
    </w:pPr>
  </w:style>
  <w:style w:type="character" w:customStyle="1" w:styleId="HeaderChar">
    <w:name w:val="Header Char"/>
    <w:basedOn w:val="DefaultParagraphFont"/>
    <w:link w:val="Header"/>
    <w:uiPriority w:val="99"/>
    <w:rsid w:val="007057A8"/>
  </w:style>
  <w:style w:type="paragraph" w:styleId="Footer">
    <w:name w:val="footer"/>
    <w:basedOn w:val="Normal"/>
    <w:link w:val="FooterChar"/>
    <w:uiPriority w:val="99"/>
    <w:unhideWhenUsed/>
    <w:rsid w:val="007057A8"/>
    <w:pPr>
      <w:tabs>
        <w:tab w:val="center" w:pos="4680"/>
        <w:tab w:val="right" w:pos="9360"/>
      </w:tabs>
    </w:pPr>
  </w:style>
  <w:style w:type="character" w:customStyle="1" w:styleId="FooterChar">
    <w:name w:val="Footer Char"/>
    <w:basedOn w:val="DefaultParagraphFont"/>
    <w:link w:val="Footer"/>
    <w:uiPriority w:val="99"/>
    <w:rsid w:val="007057A8"/>
  </w:style>
  <w:style w:type="character" w:styleId="FootnoteReference">
    <w:name w:val="footnote reference"/>
    <w:aliases w:val="fr"/>
    <w:uiPriority w:val="99"/>
    <w:rsid w:val="005D5654"/>
  </w:style>
  <w:style w:type="paragraph" w:styleId="FootnoteText">
    <w:name w:val="footnote text"/>
    <w:aliases w:val="ft"/>
    <w:basedOn w:val="Normal"/>
    <w:link w:val="FootnoteTextChar"/>
    <w:uiPriority w:val="99"/>
    <w:rsid w:val="005D5654"/>
    <w:pPr>
      <w:widowControl/>
      <w:jc w:val="both"/>
    </w:pPr>
    <w:rPr>
      <w:rFonts w:ascii="Times New Roman" w:eastAsia="Times New Roman" w:hAnsi="Times New Roman" w:cs="Times New Roman"/>
      <w:sz w:val="20"/>
      <w:szCs w:val="20"/>
      <w:lang w:val="en-US"/>
    </w:rPr>
  </w:style>
  <w:style w:type="character" w:customStyle="1" w:styleId="FootnoteTextChar">
    <w:name w:val="Footnote Text Char"/>
    <w:aliases w:val="ft Char"/>
    <w:basedOn w:val="DefaultParagraphFont"/>
    <w:link w:val="FootnoteText"/>
    <w:uiPriority w:val="99"/>
    <w:rsid w:val="005D565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3602</Words>
  <Characters>19816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Author</cp:lastModifiedBy>
  <cp:revision>10</cp:revision>
  <dcterms:created xsi:type="dcterms:W3CDTF">2022-11-20T16:42:00Z</dcterms:created>
  <dcterms:modified xsi:type="dcterms:W3CDTF">2025-11-11T11:09:00Z</dcterms:modified>
</cp:coreProperties>
</file>