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B56806" w14:textId="77777777" w:rsidR="00AB2628" w:rsidRPr="005B7169" w:rsidRDefault="00AB2628" w:rsidP="009D6FA2">
      <w:pPr>
        <w:widowControl w:val="0"/>
        <w:autoSpaceDE w:val="0"/>
        <w:autoSpaceDN w:val="0"/>
        <w:jc w:val="center"/>
        <w:rPr>
          <w:rFonts w:ascii="Cambria" w:eastAsia="Cambria" w:hAnsi="Cambria" w:cs="Cambria"/>
          <w:b/>
          <w:sz w:val="20"/>
          <w:szCs w:val="20"/>
        </w:rPr>
      </w:pPr>
      <w:r w:rsidRPr="005B7169">
        <w:rPr>
          <w:rFonts w:ascii="Cambria" w:eastAsia="Cambria" w:hAnsi="Cambria" w:cs="Cambria"/>
          <w:b/>
          <w:sz w:val="20"/>
          <w:szCs w:val="20"/>
        </w:rPr>
        <w:t>Page de garde accompagnant les nouvelles propositions</w:t>
      </w:r>
    </w:p>
    <w:p w14:paraId="0564B7FA" w14:textId="77777777" w:rsidR="00AB2628" w:rsidRPr="005B7169" w:rsidRDefault="00AB2628" w:rsidP="009D6FA2">
      <w:pPr>
        <w:widowControl w:val="0"/>
        <w:autoSpaceDE w:val="0"/>
        <w:autoSpaceDN w:val="0"/>
        <w:rPr>
          <w:rFonts w:ascii="Cambria" w:eastAsia="Cambria" w:hAnsi="Cambria" w:cs="Cambria"/>
          <w:b/>
          <w:sz w:val="20"/>
          <w:szCs w:val="20"/>
        </w:rPr>
      </w:pPr>
    </w:p>
    <w:p w14:paraId="03F2A6CC" w14:textId="071905D8" w:rsidR="00AB2628" w:rsidRPr="005B7169" w:rsidRDefault="00AB2628" w:rsidP="009D6FA2">
      <w:pPr>
        <w:widowControl w:val="0"/>
        <w:autoSpaceDE w:val="0"/>
        <w:autoSpaceDN w:val="0"/>
        <w:ind w:right="201"/>
        <w:jc w:val="center"/>
        <w:rPr>
          <w:rFonts w:ascii="Cambria" w:eastAsia="Cambria" w:hAnsi="Cambria" w:cs="Cambria"/>
          <w:i/>
          <w:sz w:val="20"/>
          <w:szCs w:val="20"/>
        </w:rPr>
      </w:pPr>
      <w:r w:rsidRPr="005B7169">
        <w:rPr>
          <w:rFonts w:ascii="Cambria" w:eastAsia="Cambria" w:hAnsi="Cambria" w:cs="Cambria"/>
          <w:i/>
          <w:sz w:val="20"/>
          <w:szCs w:val="20"/>
        </w:rPr>
        <w:t xml:space="preserve">(Document soumis par </w:t>
      </w:r>
      <w:r w:rsidR="0064072E" w:rsidRPr="005B7169">
        <w:rPr>
          <w:rFonts w:ascii="Cambria" w:eastAsia="Cambria" w:hAnsi="Cambria" w:cs="Cambria"/>
          <w:i/>
          <w:sz w:val="20"/>
          <w:szCs w:val="20"/>
        </w:rPr>
        <w:t>le Canada</w:t>
      </w:r>
      <w:r w:rsidRPr="005B7169">
        <w:rPr>
          <w:rFonts w:ascii="Cambria" w:eastAsia="Cambria" w:hAnsi="Cambria" w:cs="Cambria"/>
          <w:i/>
          <w:sz w:val="20"/>
          <w:szCs w:val="20"/>
        </w:rPr>
        <w:t>)</w:t>
      </w:r>
    </w:p>
    <w:p w14:paraId="0EF5A3B3" w14:textId="77777777" w:rsidR="00AB2628" w:rsidRPr="005B7169" w:rsidRDefault="00AB2628" w:rsidP="009D6FA2">
      <w:pPr>
        <w:widowControl w:val="0"/>
        <w:autoSpaceDE w:val="0"/>
        <w:autoSpaceDN w:val="0"/>
        <w:ind w:left="281" w:right="201"/>
        <w:jc w:val="center"/>
        <w:rPr>
          <w:rFonts w:ascii="Cambria" w:eastAsia="Cambria" w:hAnsi="Cambria" w:cs="Cambria"/>
          <w:i/>
          <w:sz w:val="20"/>
          <w:szCs w:val="20"/>
        </w:rPr>
      </w:pPr>
    </w:p>
    <w:p w14:paraId="3B0BE7E1" w14:textId="77777777" w:rsidR="00214ED7" w:rsidRPr="005B7169" w:rsidRDefault="00AB2628" w:rsidP="00237C70">
      <w:pPr>
        <w:tabs>
          <w:tab w:val="left" w:pos="426"/>
          <w:tab w:val="center" w:pos="4680"/>
          <w:tab w:val="left" w:pos="6430"/>
        </w:tabs>
        <w:jc w:val="both"/>
        <w:rPr>
          <w:rFonts w:ascii="Cambria" w:eastAsia="Cambria" w:hAnsi="Cambria" w:cs="Cambria"/>
          <w:color w:val="EE0000"/>
          <w:sz w:val="20"/>
          <w:szCs w:val="20"/>
        </w:rPr>
      </w:pPr>
      <w:r w:rsidRPr="005B7169">
        <w:rPr>
          <w:rFonts w:ascii="Cambria" w:eastAsia="Cambria" w:hAnsi="Cambria" w:cs="Cambria"/>
          <w:b/>
          <w:sz w:val="20"/>
          <w:szCs w:val="20"/>
        </w:rPr>
        <w:t xml:space="preserve">Titre de la proposition de projet de Recommandation/Résolution : </w:t>
      </w:r>
      <w:r w:rsidR="00214ED7" w:rsidRPr="005B7169">
        <w:rPr>
          <w:rFonts w:ascii="Cambria" w:eastAsia="Cambria" w:hAnsi="Cambria" w:cs="Cambria"/>
          <w:color w:val="EE0000"/>
          <w:sz w:val="20"/>
          <w:szCs w:val="20"/>
        </w:rPr>
        <w:t>Projet de Recommandation de l’ICCAT concernant un plan de conservation et de gestion du thon rouge de l’Atlantique Ouest</w:t>
      </w:r>
    </w:p>
    <w:p w14:paraId="0095B75D" w14:textId="52CB87BE" w:rsidR="00AB2628" w:rsidRPr="005B7169" w:rsidRDefault="00AB2628" w:rsidP="009D6FA2">
      <w:pPr>
        <w:widowControl w:val="0"/>
        <w:autoSpaceDE w:val="0"/>
        <w:autoSpaceDN w:val="0"/>
        <w:ind w:left="224" w:right="138"/>
        <w:jc w:val="both"/>
        <w:rPr>
          <w:rFonts w:ascii="Cambria" w:eastAsia="Cambria" w:hAnsi="Cambria" w:cs="Cambria"/>
          <w:i/>
          <w:sz w:val="20"/>
          <w:szCs w:val="20"/>
        </w:rPr>
      </w:pPr>
    </w:p>
    <w:p w14:paraId="0AA81A25" w14:textId="77777777" w:rsidR="00AB2628" w:rsidRPr="005B7169" w:rsidRDefault="00AB2628" w:rsidP="009D6FA2">
      <w:pPr>
        <w:widowControl w:val="0"/>
        <w:autoSpaceDE w:val="0"/>
        <w:autoSpaceDN w:val="0"/>
        <w:rPr>
          <w:rFonts w:ascii="Cambria" w:eastAsia="Cambria" w:hAnsi="Cambria" w:cs="Cambria"/>
          <w:i/>
          <w:sz w:val="20"/>
          <w:szCs w:val="20"/>
        </w:rPr>
      </w:pPr>
    </w:p>
    <w:p w14:paraId="6DFFA920" w14:textId="384866E1" w:rsidR="00AB2628" w:rsidRPr="005B7169" w:rsidRDefault="00AB2628" w:rsidP="00237C70">
      <w:pPr>
        <w:widowControl w:val="0"/>
        <w:autoSpaceDE w:val="0"/>
        <w:autoSpaceDN w:val="0"/>
        <w:ind w:right="156"/>
        <w:jc w:val="both"/>
        <w:rPr>
          <w:rFonts w:ascii="Cambria" w:eastAsia="Cambria" w:hAnsi="Cambria" w:cs="Cambria"/>
          <w:b/>
          <w:sz w:val="20"/>
          <w:szCs w:val="20"/>
        </w:rPr>
      </w:pPr>
      <w:r w:rsidRPr="005B7169">
        <w:rPr>
          <w:rFonts w:ascii="Cambria" w:eastAsia="Cambria" w:hAnsi="Cambria" w:cs="Cambria"/>
          <w:b/>
          <w:sz w:val="20"/>
          <w:szCs w:val="20"/>
        </w:rPr>
        <w:t xml:space="preserve">Titre de la ou des Recommandations ou Résolutions en vigueur traitant des mêmes questions ou de questions connexes : </w:t>
      </w:r>
    </w:p>
    <w:p w14:paraId="20529E1E" w14:textId="77777777" w:rsidR="009021E3" w:rsidRPr="005B7169" w:rsidRDefault="009021E3" w:rsidP="00237C70">
      <w:pPr>
        <w:widowControl w:val="0"/>
        <w:autoSpaceDE w:val="0"/>
        <w:autoSpaceDN w:val="0"/>
        <w:ind w:right="156"/>
        <w:jc w:val="both"/>
        <w:rPr>
          <w:rFonts w:ascii="Cambria" w:eastAsia="Cambria" w:hAnsi="Cambria" w:cs="Cambria"/>
          <w:b/>
          <w:sz w:val="20"/>
          <w:szCs w:val="20"/>
        </w:rPr>
      </w:pPr>
    </w:p>
    <w:p w14:paraId="006BFC39" w14:textId="77777777" w:rsidR="00765301" w:rsidRPr="005B7169" w:rsidRDefault="009021E3" w:rsidP="009D6FA2">
      <w:pPr>
        <w:widowControl w:val="0"/>
        <w:autoSpaceDE w:val="0"/>
        <w:autoSpaceDN w:val="0"/>
        <w:jc w:val="both"/>
        <w:rPr>
          <w:rFonts w:ascii="Cambria" w:eastAsia="Cambria" w:hAnsi="Cambria" w:cs="Cambria"/>
          <w:color w:val="EE0000"/>
          <w:sz w:val="20"/>
          <w:szCs w:val="20"/>
        </w:rPr>
      </w:pPr>
      <w:r w:rsidRPr="005B7169">
        <w:rPr>
          <w:rFonts w:ascii="Cambria" w:eastAsia="Cambria" w:hAnsi="Cambria" w:cs="Cambria"/>
          <w:i/>
          <w:iCs/>
          <w:color w:val="EE0000"/>
          <w:sz w:val="20"/>
          <w:szCs w:val="20"/>
        </w:rPr>
        <w:t>Recommandation de l’ICCAT concernant un plan de conservation et de gestion du thon rouge de l’Atlantique Ouest</w:t>
      </w:r>
      <w:r w:rsidRPr="005B7169">
        <w:rPr>
          <w:rFonts w:ascii="Cambria" w:eastAsia="Cambria" w:hAnsi="Cambria" w:cs="Cambria"/>
          <w:color w:val="EE0000"/>
          <w:sz w:val="20"/>
          <w:szCs w:val="20"/>
        </w:rPr>
        <w:t xml:space="preserve"> </w:t>
      </w:r>
      <w:r w:rsidR="00765301" w:rsidRPr="005B7169">
        <w:rPr>
          <w:rFonts w:ascii="Cambria" w:eastAsia="Cambria" w:hAnsi="Cambria" w:cs="Cambria"/>
          <w:color w:val="EE0000"/>
          <w:sz w:val="20"/>
          <w:szCs w:val="20"/>
        </w:rPr>
        <w:t>(Rec. 22-10)</w:t>
      </w:r>
    </w:p>
    <w:p w14:paraId="3F27EE19" w14:textId="49B7BE0B" w:rsidR="009021E3" w:rsidRPr="005B7169" w:rsidRDefault="009021E3" w:rsidP="009D6FA2">
      <w:pPr>
        <w:widowControl w:val="0"/>
        <w:autoSpaceDE w:val="0"/>
        <w:autoSpaceDN w:val="0"/>
        <w:ind w:left="226" w:right="156"/>
        <w:jc w:val="both"/>
        <w:rPr>
          <w:rFonts w:ascii="Cambria" w:eastAsia="Cambria" w:hAnsi="Cambria" w:cs="Cambria"/>
          <w:sz w:val="20"/>
          <w:szCs w:val="20"/>
        </w:rPr>
      </w:pPr>
    </w:p>
    <w:p w14:paraId="04081200" w14:textId="5DB4A718" w:rsidR="00AB2628" w:rsidRPr="005B7169" w:rsidRDefault="0040017C" w:rsidP="009D6FA2">
      <w:pPr>
        <w:widowControl w:val="0"/>
        <w:autoSpaceDE w:val="0"/>
        <w:autoSpaceDN w:val="0"/>
        <w:jc w:val="both"/>
        <w:rPr>
          <w:rFonts w:ascii="Cambria" w:eastAsia="Cambria" w:hAnsi="Cambria" w:cs="Cambria"/>
          <w:color w:val="EE0000"/>
          <w:sz w:val="20"/>
          <w:szCs w:val="20"/>
        </w:rPr>
      </w:pPr>
      <w:hyperlink r:id="rId7" w:history="1">
        <w:r w:rsidRPr="005B7169">
          <w:rPr>
            <w:rFonts w:ascii="Cambria" w:hAnsi="Cambria" w:cs="Calibri"/>
            <w:i/>
            <w:iCs/>
            <w:color w:val="EE0000"/>
            <w:sz w:val="20"/>
            <w:szCs w:val="20"/>
            <w:lang w:eastAsia="fr-FR" w:bidi="fr-FR"/>
          </w:rPr>
          <w:t>Recommandation de l'ICCAT amendant la Recommandation 22-09 établissant une procédure de gestion pour le thon rouge de l'Atlantique à appliquer dans les zones de gestion de l'Atlantique Ouest et de l'Atlantique Est et de la Méditerranée</w:t>
        </w:r>
      </w:hyperlink>
      <w:r w:rsidR="00E83C33" w:rsidRPr="005B7169">
        <w:rPr>
          <w:rFonts w:ascii="Cambria" w:hAnsi="Cambria"/>
          <w:color w:val="EE0000"/>
          <w:sz w:val="20"/>
          <w:szCs w:val="20"/>
        </w:rPr>
        <w:t xml:space="preserve"> </w:t>
      </w:r>
      <w:r w:rsidR="00E83C33" w:rsidRPr="005B7169">
        <w:rPr>
          <w:rFonts w:ascii="Cambria" w:eastAsia="Cambria" w:hAnsi="Cambria" w:cs="Cambria"/>
          <w:color w:val="EE0000"/>
          <w:sz w:val="20"/>
          <w:szCs w:val="20"/>
        </w:rPr>
        <w:t xml:space="preserve">(Rec. 23-07).     </w:t>
      </w:r>
    </w:p>
    <w:p w14:paraId="1D58E551" w14:textId="77777777" w:rsidR="00E83C33" w:rsidRPr="005B7169" w:rsidRDefault="00E83C33" w:rsidP="009D6FA2">
      <w:pPr>
        <w:widowControl w:val="0"/>
        <w:autoSpaceDE w:val="0"/>
        <w:autoSpaceDN w:val="0"/>
        <w:rPr>
          <w:rFonts w:ascii="Cambria" w:eastAsia="Cambria" w:hAnsi="Cambria" w:cs="Cambria"/>
          <w:color w:val="EE0000"/>
          <w:sz w:val="20"/>
          <w:szCs w:val="20"/>
        </w:rPr>
      </w:pPr>
    </w:p>
    <w:p w14:paraId="44A72BF1" w14:textId="46AC229C" w:rsidR="00AB2628" w:rsidRPr="005B7169" w:rsidRDefault="00AB2628" w:rsidP="009D6FA2">
      <w:pPr>
        <w:widowControl w:val="0"/>
        <w:numPr>
          <w:ilvl w:val="0"/>
          <w:numId w:val="12"/>
        </w:numPr>
        <w:tabs>
          <w:tab w:val="left" w:pos="620"/>
        </w:tabs>
        <w:autoSpaceDE w:val="0"/>
        <w:autoSpaceDN w:val="0"/>
        <w:rPr>
          <w:rFonts w:ascii="Cambria" w:eastAsia="Cambria" w:hAnsi="Cambria" w:cs="Cambria"/>
          <w:color w:val="FF0000"/>
          <w:sz w:val="20"/>
          <w:szCs w:val="20"/>
        </w:rPr>
      </w:pPr>
      <w:r w:rsidRPr="005B7169">
        <w:rPr>
          <w:rFonts w:ascii="Cambria" w:eastAsia="Cambria" w:hAnsi="Cambria" w:cs="Cambria"/>
          <w:sz w:val="20"/>
          <w:szCs w:val="20"/>
        </w:rPr>
        <w:t xml:space="preserve">Cela crée-t-il de nouvelles </w:t>
      </w:r>
      <w:r w:rsidRPr="005B7169">
        <w:rPr>
          <w:rFonts w:ascii="Cambria" w:eastAsia="Cambria" w:hAnsi="Cambria" w:cs="Cambria"/>
          <w:b/>
          <w:sz w:val="20"/>
          <w:szCs w:val="20"/>
        </w:rPr>
        <w:t xml:space="preserve">obligations de déclaration </w:t>
      </w:r>
      <w:r w:rsidRPr="005B7169">
        <w:rPr>
          <w:rFonts w:ascii="Cambria" w:eastAsia="Cambria" w:hAnsi="Cambria" w:cs="Cambria"/>
          <w:sz w:val="20"/>
          <w:szCs w:val="20"/>
        </w:rPr>
        <w:t xml:space="preserve">pour les CPC ?  Oui </w:t>
      </w:r>
      <w:r w:rsidRPr="005B7169">
        <w:rPr>
          <w:rFonts w:ascii="Segoe UI Symbol" w:eastAsia="Cambria" w:hAnsi="Segoe UI Symbol" w:cs="Segoe UI Symbol"/>
          <w:sz w:val="20"/>
          <w:szCs w:val="20"/>
        </w:rPr>
        <w:t>☐</w:t>
      </w:r>
      <w:r w:rsidRPr="005B7169">
        <w:rPr>
          <w:rFonts w:ascii="Cambria" w:eastAsia="Cambria" w:hAnsi="Cambria" w:cs="Cambria"/>
          <w:sz w:val="20"/>
          <w:szCs w:val="20"/>
        </w:rPr>
        <w:t xml:space="preserve"> </w:t>
      </w:r>
      <w:r w:rsidR="00F02B7F" w:rsidRPr="005B7169">
        <w:rPr>
          <w:rFonts w:ascii="Cambria" w:eastAsia="Cambria" w:hAnsi="Cambria" w:cs="Cambria"/>
          <w:sz w:val="20"/>
          <w:szCs w:val="20"/>
        </w:rPr>
        <w:t xml:space="preserve">   </w:t>
      </w:r>
      <w:r w:rsidRPr="005B7169">
        <w:rPr>
          <w:rFonts w:ascii="Cambria" w:eastAsia="Cambria" w:hAnsi="Cambria" w:cs="Cambria"/>
          <w:sz w:val="20"/>
          <w:szCs w:val="20"/>
        </w:rPr>
        <w:t xml:space="preserve"> </w:t>
      </w:r>
      <w:r w:rsidRPr="005B7169">
        <w:rPr>
          <w:rFonts w:ascii="Cambria" w:eastAsia="Cambria" w:hAnsi="Cambria" w:cs="Cambria"/>
          <w:color w:val="FF0000"/>
          <w:sz w:val="20"/>
          <w:szCs w:val="20"/>
        </w:rPr>
        <w:t xml:space="preserve">Non </w:t>
      </w:r>
      <w:r w:rsidRPr="005B7169">
        <w:rPr>
          <w:rFonts w:ascii="Segoe UI Symbol" w:eastAsia="Cambria" w:hAnsi="Segoe UI Symbol" w:cs="Segoe UI Symbol"/>
          <w:color w:val="FF0000"/>
          <w:sz w:val="20"/>
          <w:szCs w:val="20"/>
        </w:rPr>
        <w:t>☒</w:t>
      </w:r>
    </w:p>
    <w:p w14:paraId="5C4DA141" w14:textId="77777777" w:rsidR="00AB2628" w:rsidRPr="005B7169" w:rsidRDefault="00AB2628" w:rsidP="009D6FA2">
      <w:pPr>
        <w:widowControl w:val="0"/>
        <w:autoSpaceDE w:val="0"/>
        <w:autoSpaceDN w:val="0"/>
        <w:rPr>
          <w:rFonts w:ascii="Cambria" w:eastAsia="Cambria" w:hAnsi="Cambria" w:cs="Cambria"/>
          <w:sz w:val="20"/>
          <w:szCs w:val="20"/>
        </w:rPr>
      </w:pPr>
    </w:p>
    <w:p w14:paraId="29301940" w14:textId="31E9120F" w:rsidR="00AB2628" w:rsidRPr="005B7169" w:rsidRDefault="00AB2628" w:rsidP="009D6FA2">
      <w:pPr>
        <w:widowControl w:val="0"/>
        <w:autoSpaceDE w:val="0"/>
        <w:autoSpaceDN w:val="0"/>
        <w:ind w:left="620"/>
        <w:rPr>
          <w:rFonts w:ascii="Cambria" w:eastAsia="Cambria" w:hAnsi="Cambria" w:cs="Cambria"/>
          <w:i/>
          <w:sz w:val="20"/>
          <w:szCs w:val="20"/>
        </w:rPr>
      </w:pPr>
      <w:r w:rsidRPr="005B7169">
        <w:rPr>
          <w:rFonts w:ascii="Cambria" w:eastAsia="Cambria" w:hAnsi="Cambria" w:cs="Cambria"/>
          <w:sz w:val="20"/>
          <w:szCs w:val="20"/>
        </w:rPr>
        <w:t>Brève description de la ou des nouvelle(s) obligation(s) de déclaration :</w:t>
      </w:r>
    </w:p>
    <w:p w14:paraId="35456F89" w14:textId="77777777" w:rsidR="00AB2628" w:rsidRPr="005B7169" w:rsidRDefault="00AB2628" w:rsidP="009D6FA2">
      <w:pPr>
        <w:widowControl w:val="0"/>
        <w:autoSpaceDE w:val="0"/>
        <w:autoSpaceDN w:val="0"/>
        <w:rPr>
          <w:rFonts w:ascii="Cambria" w:eastAsia="Cambria" w:hAnsi="Cambria" w:cs="Cambria"/>
          <w:i/>
          <w:sz w:val="20"/>
          <w:szCs w:val="20"/>
        </w:rPr>
      </w:pPr>
    </w:p>
    <w:p w14:paraId="43D4B8F4" w14:textId="77777777" w:rsidR="00AB2628" w:rsidRPr="005B7169" w:rsidRDefault="00AB2628" w:rsidP="009D6FA2">
      <w:pPr>
        <w:widowControl w:val="0"/>
        <w:autoSpaceDE w:val="0"/>
        <w:autoSpaceDN w:val="0"/>
        <w:rPr>
          <w:rFonts w:ascii="Cambria" w:eastAsia="Cambria" w:hAnsi="Cambria" w:cs="Cambria"/>
          <w:i/>
          <w:sz w:val="20"/>
          <w:szCs w:val="20"/>
        </w:rPr>
      </w:pPr>
    </w:p>
    <w:p w14:paraId="303D4D13" w14:textId="77777777" w:rsidR="005C7EFC" w:rsidRPr="005B7169" w:rsidRDefault="00AB2628" w:rsidP="009D6FA2">
      <w:pPr>
        <w:widowControl w:val="0"/>
        <w:numPr>
          <w:ilvl w:val="0"/>
          <w:numId w:val="12"/>
        </w:numPr>
        <w:tabs>
          <w:tab w:val="left" w:pos="620"/>
          <w:tab w:val="left" w:pos="6092"/>
        </w:tabs>
        <w:autoSpaceDE w:val="0"/>
        <w:autoSpaceDN w:val="0"/>
        <w:rPr>
          <w:rFonts w:ascii="Cambria" w:eastAsia="Cambria" w:hAnsi="Cambria" w:cs="Cambria"/>
          <w:color w:val="FF0000"/>
          <w:sz w:val="20"/>
          <w:szCs w:val="20"/>
        </w:rPr>
      </w:pPr>
      <w:r w:rsidRPr="005B7169">
        <w:rPr>
          <w:rFonts w:ascii="Cambria" w:eastAsia="Cambria" w:hAnsi="Cambria" w:cs="Cambria"/>
          <w:sz w:val="20"/>
          <w:szCs w:val="20"/>
        </w:rPr>
        <w:t xml:space="preserve">Cela nécessite-t-il une contribution ou un </w:t>
      </w:r>
      <w:r w:rsidRPr="005B7169">
        <w:rPr>
          <w:rFonts w:ascii="Cambria" w:eastAsia="Cambria" w:hAnsi="Cambria" w:cs="Cambria"/>
          <w:b/>
          <w:sz w:val="20"/>
          <w:szCs w:val="20"/>
        </w:rPr>
        <w:t>travail</w:t>
      </w:r>
      <w:r w:rsidRPr="005B7169">
        <w:rPr>
          <w:rFonts w:ascii="Cambria" w:eastAsia="Cambria" w:hAnsi="Cambria" w:cs="Cambria"/>
          <w:sz w:val="20"/>
          <w:szCs w:val="20"/>
        </w:rPr>
        <w:t xml:space="preserve"> supplémentaire </w:t>
      </w:r>
      <w:r w:rsidRPr="005B7169">
        <w:rPr>
          <w:rFonts w:ascii="Cambria" w:eastAsia="Cambria" w:hAnsi="Cambria" w:cs="Cambria"/>
          <w:b/>
          <w:sz w:val="20"/>
          <w:szCs w:val="20"/>
        </w:rPr>
        <w:t>de la part du SCRS</w:t>
      </w:r>
      <w:r w:rsidRPr="005B7169">
        <w:rPr>
          <w:rFonts w:ascii="Cambria" w:eastAsia="Cambria" w:hAnsi="Cambria" w:cs="Cambria"/>
          <w:sz w:val="20"/>
          <w:szCs w:val="20"/>
        </w:rPr>
        <w:t xml:space="preserve"> ?</w:t>
      </w:r>
    </w:p>
    <w:p w14:paraId="52C84ED8" w14:textId="0EE632F3" w:rsidR="00AB2628" w:rsidRPr="005B7169" w:rsidRDefault="00AB2628" w:rsidP="009D6FA2">
      <w:pPr>
        <w:widowControl w:val="0"/>
        <w:tabs>
          <w:tab w:val="left" w:pos="620"/>
          <w:tab w:val="left" w:pos="1843"/>
        </w:tabs>
        <w:autoSpaceDE w:val="0"/>
        <w:autoSpaceDN w:val="0"/>
        <w:ind w:left="620"/>
        <w:rPr>
          <w:rFonts w:ascii="Cambria" w:eastAsia="Cambria" w:hAnsi="Cambria" w:cs="Cambria"/>
          <w:color w:val="FF0000"/>
          <w:sz w:val="20"/>
          <w:szCs w:val="20"/>
        </w:rPr>
      </w:pPr>
      <w:r w:rsidRPr="005B7169">
        <w:rPr>
          <w:rFonts w:ascii="Cambria" w:eastAsia="Cambria" w:hAnsi="Cambria" w:cs="Cambria"/>
          <w:sz w:val="20"/>
          <w:szCs w:val="20"/>
        </w:rPr>
        <w:t xml:space="preserve"> Oui </w:t>
      </w:r>
      <w:r w:rsidRPr="005B7169">
        <w:rPr>
          <w:rFonts w:ascii="Segoe UI Symbol" w:eastAsia="Cambria" w:hAnsi="Segoe UI Symbol" w:cs="Segoe UI Symbol"/>
          <w:sz w:val="20"/>
          <w:szCs w:val="20"/>
        </w:rPr>
        <w:t>☐</w:t>
      </w:r>
      <w:r w:rsidRPr="005B7169">
        <w:rPr>
          <w:rFonts w:ascii="Cambria" w:eastAsia="Cambria" w:hAnsi="Cambria" w:cs="Cambria"/>
          <w:sz w:val="20"/>
          <w:szCs w:val="20"/>
        </w:rPr>
        <w:tab/>
      </w:r>
      <w:r w:rsidRPr="005B7169">
        <w:rPr>
          <w:rFonts w:ascii="Cambria" w:eastAsia="Cambria" w:hAnsi="Cambria" w:cs="Cambria"/>
          <w:color w:val="FF0000"/>
          <w:sz w:val="20"/>
          <w:szCs w:val="20"/>
        </w:rPr>
        <w:t xml:space="preserve">Non </w:t>
      </w:r>
      <w:r w:rsidRPr="005B7169">
        <w:rPr>
          <w:rFonts w:ascii="Segoe UI Symbol" w:eastAsia="Cambria" w:hAnsi="Segoe UI Symbol" w:cs="Segoe UI Symbol"/>
          <w:color w:val="FF0000"/>
          <w:sz w:val="20"/>
          <w:szCs w:val="20"/>
        </w:rPr>
        <w:t>☒</w:t>
      </w:r>
    </w:p>
    <w:p w14:paraId="69858504" w14:textId="77777777" w:rsidR="00AB2628" w:rsidRPr="005B7169" w:rsidRDefault="00AB2628" w:rsidP="009D6FA2">
      <w:pPr>
        <w:widowControl w:val="0"/>
        <w:autoSpaceDE w:val="0"/>
        <w:autoSpaceDN w:val="0"/>
        <w:rPr>
          <w:rFonts w:ascii="Cambria" w:eastAsia="Cambria" w:hAnsi="Cambria" w:cs="Cambria"/>
          <w:sz w:val="20"/>
          <w:szCs w:val="20"/>
        </w:rPr>
      </w:pPr>
    </w:p>
    <w:p w14:paraId="424CCE68" w14:textId="5E4483E1" w:rsidR="00AB2628" w:rsidRPr="005B7169" w:rsidRDefault="00AB2628" w:rsidP="009D6FA2">
      <w:pPr>
        <w:widowControl w:val="0"/>
        <w:autoSpaceDE w:val="0"/>
        <w:autoSpaceDN w:val="0"/>
        <w:ind w:left="620"/>
        <w:rPr>
          <w:rFonts w:ascii="Cambria" w:eastAsia="Cambria" w:hAnsi="Cambria" w:cs="Cambria"/>
          <w:sz w:val="20"/>
          <w:szCs w:val="20"/>
        </w:rPr>
      </w:pPr>
      <w:r w:rsidRPr="005B7169">
        <w:rPr>
          <w:rFonts w:ascii="Cambria" w:eastAsia="Cambria" w:hAnsi="Cambria" w:cs="Cambria"/>
          <w:sz w:val="20"/>
          <w:szCs w:val="20"/>
        </w:rPr>
        <w:t xml:space="preserve">Ce travail est-il déjà inclus dans le plan de travail actuel du SCRS ? Oui </w:t>
      </w:r>
      <w:proofErr w:type="gramStart"/>
      <w:r w:rsidRPr="005B7169">
        <w:rPr>
          <w:rFonts w:ascii="Segoe UI Symbol" w:eastAsia="Cambria" w:hAnsi="Segoe UI Symbol" w:cs="Segoe UI Symbol"/>
          <w:sz w:val="20"/>
          <w:szCs w:val="20"/>
        </w:rPr>
        <w:t>☐</w:t>
      </w:r>
      <w:r w:rsidRPr="005B7169">
        <w:rPr>
          <w:rFonts w:ascii="Cambria" w:eastAsia="Cambria" w:hAnsi="Cambria" w:cs="Cambria"/>
          <w:sz w:val="20"/>
          <w:szCs w:val="20"/>
        </w:rPr>
        <w:t xml:space="preserve">  Non</w:t>
      </w:r>
      <w:proofErr w:type="gramEnd"/>
      <w:r w:rsidRPr="005B7169">
        <w:rPr>
          <w:rFonts w:ascii="Cambria" w:eastAsia="Cambria" w:hAnsi="Cambria" w:cs="Cambria"/>
          <w:sz w:val="20"/>
          <w:szCs w:val="20"/>
        </w:rPr>
        <w:t xml:space="preserve"> </w:t>
      </w:r>
      <w:r w:rsidR="000F45BD" w:rsidRPr="005B7169">
        <w:rPr>
          <w:rFonts w:ascii="Segoe UI Symbol" w:eastAsia="Cambria" w:hAnsi="Segoe UI Symbol" w:cs="Segoe UI Symbol"/>
          <w:sz w:val="20"/>
          <w:szCs w:val="20"/>
        </w:rPr>
        <w:t>☐</w:t>
      </w:r>
    </w:p>
    <w:p w14:paraId="17975176" w14:textId="77777777" w:rsidR="00AB2628" w:rsidRPr="005B7169" w:rsidRDefault="00AB2628" w:rsidP="009D6FA2">
      <w:pPr>
        <w:widowControl w:val="0"/>
        <w:autoSpaceDE w:val="0"/>
        <w:autoSpaceDN w:val="0"/>
        <w:rPr>
          <w:rFonts w:ascii="Cambria" w:eastAsia="Cambria" w:hAnsi="Cambria" w:cs="Cambria"/>
          <w:sz w:val="20"/>
          <w:szCs w:val="20"/>
        </w:rPr>
      </w:pPr>
    </w:p>
    <w:p w14:paraId="231CE201" w14:textId="1984DCB4" w:rsidR="00AB2628" w:rsidRPr="005B7169" w:rsidRDefault="00AB2628" w:rsidP="009D6FA2">
      <w:pPr>
        <w:widowControl w:val="0"/>
        <w:autoSpaceDE w:val="0"/>
        <w:autoSpaceDN w:val="0"/>
        <w:ind w:left="620"/>
        <w:rPr>
          <w:rFonts w:ascii="Cambria" w:eastAsia="Cambria" w:hAnsi="Cambria" w:cs="Cambria"/>
          <w:i/>
          <w:sz w:val="20"/>
          <w:szCs w:val="20"/>
        </w:rPr>
      </w:pPr>
      <w:r w:rsidRPr="005B7169">
        <w:rPr>
          <w:rFonts w:ascii="Cambria" w:eastAsia="Cambria" w:hAnsi="Cambria" w:cs="Cambria"/>
          <w:sz w:val="20"/>
          <w:szCs w:val="20"/>
        </w:rPr>
        <w:t xml:space="preserve">Brève description des nouveaux travaux scientifiques requis (évaluation des stocks, analyse, consultant externe) : </w:t>
      </w:r>
      <w:r w:rsidR="000F45BD" w:rsidRPr="005B7169">
        <w:rPr>
          <w:rFonts w:ascii="Cambria" w:eastAsia="Cambria" w:hAnsi="Cambria" w:cs="Cambria"/>
          <w:i/>
          <w:color w:val="FF0000"/>
          <w:sz w:val="20"/>
          <w:szCs w:val="20"/>
        </w:rPr>
        <w:t>NA</w:t>
      </w:r>
      <w:r w:rsidRPr="005B7169">
        <w:rPr>
          <w:rFonts w:ascii="Cambria" w:eastAsia="Cambria" w:hAnsi="Cambria" w:cs="Cambria"/>
          <w:i/>
          <w:color w:val="FF0000"/>
          <w:sz w:val="20"/>
          <w:szCs w:val="20"/>
        </w:rPr>
        <w:t>.</w:t>
      </w:r>
    </w:p>
    <w:p w14:paraId="2616F471" w14:textId="77777777" w:rsidR="00AB2628" w:rsidRPr="005B7169" w:rsidRDefault="00AB2628" w:rsidP="009D6FA2">
      <w:pPr>
        <w:widowControl w:val="0"/>
        <w:autoSpaceDE w:val="0"/>
        <w:autoSpaceDN w:val="0"/>
        <w:rPr>
          <w:rFonts w:ascii="Cambria" w:eastAsia="Cambria" w:hAnsi="Cambria" w:cs="Cambria"/>
          <w:i/>
          <w:sz w:val="20"/>
          <w:szCs w:val="20"/>
        </w:rPr>
      </w:pPr>
    </w:p>
    <w:p w14:paraId="59AC4FBE" w14:textId="77777777" w:rsidR="00AB2628" w:rsidRPr="005B7169" w:rsidRDefault="00AB2628" w:rsidP="009D6FA2">
      <w:pPr>
        <w:widowControl w:val="0"/>
        <w:autoSpaceDE w:val="0"/>
        <w:autoSpaceDN w:val="0"/>
        <w:rPr>
          <w:rFonts w:ascii="Cambria" w:eastAsia="Cambria" w:hAnsi="Cambria" w:cs="Cambria"/>
          <w:i/>
          <w:sz w:val="20"/>
          <w:szCs w:val="20"/>
        </w:rPr>
      </w:pPr>
    </w:p>
    <w:p w14:paraId="427C0ACF" w14:textId="77777777" w:rsidR="00AB2628" w:rsidRPr="005B7169" w:rsidRDefault="00AB2628" w:rsidP="009D6FA2">
      <w:pPr>
        <w:widowControl w:val="0"/>
        <w:numPr>
          <w:ilvl w:val="0"/>
          <w:numId w:val="12"/>
        </w:numPr>
        <w:tabs>
          <w:tab w:val="left" w:pos="620"/>
          <w:tab w:val="left" w:pos="7882"/>
        </w:tabs>
        <w:autoSpaceDE w:val="0"/>
        <w:autoSpaceDN w:val="0"/>
        <w:rPr>
          <w:rFonts w:ascii="Cambria" w:eastAsia="Cambria" w:hAnsi="Cambria" w:cs="Cambria"/>
          <w:color w:val="FF0000"/>
          <w:sz w:val="20"/>
          <w:szCs w:val="20"/>
        </w:rPr>
      </w:pPr>
      <w:r w:rsidRPr="005B7169">
        <w:rPr>
          <w:rFonts w:ascii="Cambria" w:eastAsia="Cambria" w:hAnsi="Cambria" w:cs="Cambria"/>
          <w:sz w:val="20"/>
          <w:szCs w:val="20"/>
        </w:rPr>
        <w:t xml:space="preserve">Cela implique-t-il la création d'un </w:t>
      </w:r>
      <w:r w:rsidRPr="005B7169">
        <w:rPr>
          <w:rFonts w:ascii="Cambria" w:eastAsia="Cambria" w:hAnsi="Cambria" w:cs="Cambria"/>
          <w:b/>
          <w:sz w:val="20"/>
          <w:szCs w:val="20"/>
        </w:rPr>
        <w:t xml:space="preserve">nouveau groupe de travail ou d'un processus intersessions </w:t>
      </w:r>
      <w:r w:rsidRPr="005B7169">
        <w:rPr>
          <w:rFonts w:ascii="Cambria" w:eastAsia="Cambria" w:hAnsi="Cambria" w:cs="Cambria"/>
          <w:sz w:val="20"/>
          <w:szCs w:val="20"/>
        </w:rPr>
        <w:t xml:space="preserve">?  </w:t>
      </w:r>
    </w:p>
    <w:p w14:paraId="2BB7786C" w14:textId="77777777" w:rsidR="00AB2628" w:rsidRPr="005B7169" w:rsidRDefault="00AB2628" w:rsidP="009D6FA2">
      <w:pPr>
        <w:widowControl w:val="0"/>
        <w:tabs>
          <w:tab w:val="left" w:pos="620"/>
          <w:tab w:val="left" w:pos="7882"/>
        </w:tabs>
        <w:autoSpaceDE w:val="0"/>
        <w:autoSpaceDN w:val="0"/>
        <w:ind w:left="620"/>
        <w:rPr>
          <w:rFonts w:ascii="Cambria" w:eastAsia="Cambria" w:hAnsi="Cambria" w:cs="Cambria"/>
          <w:sz w:val="20"/>
          <w:szCs w:val="20"/>
        </w:rPr>
      </w:pPr>
    </w:p>
    <w:p w14:paraId="38939D2E" w14:textId="77777777" w:rsidR="00AB2628" w:rsidRPr="005B7169" w:rsidRDefault="00AB2628" w:rsidP="009D6FA2">
      <w:pPr>
        <w:widowControl w:val="0"/>
        <w:tabs>
          <w:tab w:val="left" w:pos="620"/>
          <w:tab w:val="left" w:pos="7882"/>
        </w:tabs>
        <w:autoSpaceDE w:val="0"/>
        <w:autoSpaceDN w:val="0"/>
        <w:ind w:left="620"/>
        <w:rPr>
          <w:rFonts w:ascii="Cambria" w:eastAsia="Cambria" w:hAnsi="Cambria" w:cs="Cambria"/>
          <w:color w:val="FF0000"/>
          <w:sz w:val="20"/>
          <w:szCs w:val="20"/>
        </w:rPr>
      </w:pPr>
      <w:r w:rsidRPr="005B7169">
        <w:rPr>
          <w:rFonts w:ascii="Cambria" w:eastAsia="Cambria" w:hAnsi="Cambria" w:cs="Cambria"/>
          <w:sz w:val="20"/>
          <w:szCs w:val="20"/>
        </w:rPr>
        <w:t xml:space="preserve">Oui </w:t>
      </w:r>
      <w:proofErr w:type="gramStart"/>
      <w:r w:rsidRPr="005B7169">
        <w:rPr>
          <w:rFonts w:ascii="Segoe UI Symbol" w:eastAsia="Cambria" w:hAnsi="Segoe UI Symbol" w:cs="Segoe UI Symbol"/>
          <w:sz w:val="20"/>
          <w:szCs w:val="20"/>
        </w:rPr>
        <w:t>☐</w:t>
      </w:r>
      <w:r w:rsidRPr="005B7169">
        <w:rPr>
          <w:rFonts w:ascii="Cambria" w:eastAsia="Cambria" w:hAnsi="Cambria" w:cs="Cambria"/>
          <w:sz w:val="20"/>
          <w:szCs w:val="20"/>
        </w:rPr>
        <w:t xml:space="preserve">  </w:t>
      </w:r>
      <w:r w:rsidRPr="005B7169">
        <w:rPr>
          <w:rFonts w:ascii="Cambria" w:eastAsia="Cambria" w:hAnsi="Cambria" w:cs="Cambria"/>
          <w:color w:val="FF0000"/>
          <w:sz w:val="20"/>
          <w:szCs w:val="20"/>
        </w:rPr>
        <w:t>Non</w:t>
      </w:r>
      <w:proofErr w:type="gramEnd"/>
      <w:r w:rsidRPr="005B7169">
        <w:rPr>
          <w:rFonts w:ascii="Cambria" w:eastAsia="Cambria" w:hAnsi="Cambria" w:cs="Cambria"/>
          <w:color w:val="FF0000"/>
          <w:sz w:val="20"/>
          <w:szCs w:val="20"/>
        </w:rPr>
        <w:t xml:space="preserve"> </w:t>
      </w:r>
      <w:r w:rsidRPr="005B7169">
        <w:rPr>
          <w:rFonts w:ascii="Segoe UI Symbol" w:eastAsia="Cambria" w:hAnsi="Segoe UI Symbol" w:cs="Segoe UI Symbol"/>
          <w:color w:val="FF0000"/>
          <w:sz w:val="20"/>
          <w:szCs w:val="20"/>
        </w:rPr>
        <w:t>☒</w:t>
      </w:r>
    </w:p>
    <w:p w14:paraId="1201AE4D" w14:textId="77777777" w:rsidR="00AB2628" w:rsidRPr="005B7169" w:rsidRDefault="00AB2628" w:rsidP="009D6FA2">
      <w:pPr>
        <w:widowControl w:val="0"/>
        <w:autoSpaceDE w:val="0"/>
        <w:autoSpaceDN w:val="0"/>
        <w:rPr>
          <w:rFonts w:ascii="Cambria" w:eastAsia="Cambria" w:hAnsi="Cambria" w:cs="Cambria"/>
          <w:sz w:val="20"/>
          <w:szCs w:val="20"/>
        </w:rPr>
      </w:pPr>
    </w:p>
    <w:p w14:paraId="6588897A" w14:textId="77777777" w:rsidR="00AB2628" w:rsidRPr="005B7169" w:rsidRDefault="00AB2628" w:rsidP="009D6FA2">
      <w:pPr>
        <w:widowControl w:val="0"/>
        <w:autoSpaceDE w:val="0"/>
        <w:autoSpaceDN w:val="0"/>
        <w:rPr>
          <w:rFonts w:ascii="Cambria" w:eastAsia="Cambria" w:hAnsi="Cambria" w:cs="Cambria"/>
          <w:sz w:val="20"/>
          <w:szCs w:val="20"/>
        </w:rPr>
      </w:pPr>
    </w:p>
    <w:p w14:paraId="420EEE6D" w14:textId="77777777" w:rsidR="00AB2628" w:rsidRPr="005B7169" w:rsidRDefault="00AB2628" w:rsidP="009D6FA2">
      <w:pPr>
        <w:widowControl w:val="0"/>
        <w:numPr>
          <w:ilvl w:val="0"/>
          <w:numId w:val="12"/>
        </w:numPr>
        <w:tabs>
          <w:tab w:val="left" w:pos="620"/>
        </w:tabs>
        <w:autoSpaceDE w:val="0"/>
        <w:autoSpaceDN w:val="0"/>
        <w:rPr>
          <w:rFonts w:ascii="Cambria" w:eastAsia="Cambria" w:hAnsi="Cambria" w:cs="Cambria"/>
          <w:sz w:val="20"/>
          <w:szCs w:val="20"/>
        </w:rPr>
      </w:pPr>
      <w:r w:rsidRPr="005B7169">
        <w:rPr>
          <w:rFonts w:ascii="Cambria" w:eastAsia="Cambria" w:hAnsi="Cambria" w:cs="Cambria"/>
          <w:sz w:val="20"/>
          <w:szCs w:val="20"/>
        </w:rPr>
        <w:t xml:space="preserve">Cela nécessite-t-il un nouveau </w:t>
      </w:r>
      <w:r w:rsidRPr="005B7169">
        <w:rPr>
          <w:rFonts w:ascii="Cambria" w:eastAsia="Cambria" w:hAnsi="Cambria" w:cs="Cambria"/>
          <w:b/>
          <w:sz w:val="20"/>
          <w:szCs w:val="20"/>
        </w:rPr>
        <w:t xml:space="preserve">programme ou des activités supplémentaires à gérer par le Secrétariat </w:t>
      </w:r>
      <w:r w:rsidRPr="005B7169">
        <w:rPr>
          <w:rFonts w:ascii="Cambria" w:eastAsia="Cambria" w:hAnsi="Cambria" w:cs="Cambria"/>
          <w:sz w:val="20"/>
          <w:szCs w:val="20"/>
        </w:rPr>
        <w:t>?</w:t>
      </w:r>
    </w:p>
    <w:p w14:paraId="51DDB505" w14:textId="77777777" w:rsidR="00AB2628" w:rsidRPr="005B7169" w:rsidRDefault="00AB2628" w:rsidP="009D6FA2">
      <w:pPr>
        <w:widowControl w:val="0"/>
        <w:autoSpaceDE w:val="0"/>
        <w:autoSpaceDN w:val="0"/>
        <w:rPr>
          <w:rFonts w:ascii="Cambria" w:eastAsia="Cambria" w:hAnsi="Cambria" w:cs="Cambria"/>
          <w:sz w:val="20"/>
          <w:szCs w:val="20"/>
        </w:rPr>
      </w:pPr>
    </w:p>
    <w:p w14:paraId="41767076" w14:textId="77777777" w:rsidR="00AB2628" w:rsidRPr="005B7169" w:rsidRDefault="00AB2628" w:rsidP="009D6FA2">
      <w:pPr>
        <w:widowControl w:val="0"/>
        <w:tabs>
          <w:tab w:val="left" w:pos="1320"/>
        </w:tabs>
        <w:autoSpaceDE w:val="0"/>
        <w:autoSpaceDN w:val="0"/>
        <w:ind w:left="620"/>
        <w:rPr>
          <w:rFonts w:ascii="Cambria" w:eastAsia="Cambria" w:hAnsi="Cambria" w:cs="Cambria"/>
          <w:color w:val="FF0000"/>
          <w:sz w:val="20"/>
          <w:szCs w:val="20"/>
        </w:rPr>
      </w:pPr>
      <w:r w:rsidRPr="005B7169">
        <w:rPr>
          <w:rFonts w:ascii="Cambria" w:eastAsia="Cambria" w:hAnsi="Cambria" w:cs="Cambria"/>
          <w:sz w:val="20"/>
          <w:szCs w:val="20"/>
        </w:rPr>
        <w:t xml:space="preserve">Oui </w:t>
      </w:r>
      <w:r w:rsidRPr="005B7169">
        <w:rPr>
          <w:rFonts w:ascii="Segoe UI Symbol" w:eastAsia="Cambria" w:hAnsi="Segoe UI Symbol" w:cs="Segoe UI Symbol"/>
          <w:sz w:val="20"/>
          <w:szCs w:val="20"/>
        </w:rPr>
        <w:t>☐</w:t>
      </w:r>
      <w:r w:rsidRPr="005B7169">
        <w:rPr>
          <w:rFonts w:ascii="Cambria" w:eastAsia="Cambria" w:hAnsi="Cambria" w:cs="Cambria"/>
          <w:sz w:val="20"/>
          <w:szCs w:val="20"/>
        </w:rPr>
        <w:tab/>
      </w:r>
      <w:r w:rsidRPr="005B7169">
        <w:rPr>
          <w:rFonts w:ascii="Cambria" w:eastAsia="Cambria" w:hAnsi="Cambria" w:cs="Cambria"/>
          <w:color w:val="FF0000"/>
          <w:sz w:val="20"/>
          <w:szCs w:val="20"/>
        </w:rPr>
        <w:t xml:space="preserve">Non </w:t>
      </w:r>
      <w:r w:rsidRPr="005B7169">
        <w:rPr>
          <w:rFonts w:ascii="Segoe UI Symbol" w:eastAsia="Cambria" w:hAnsi="Segoe UI Symbol" w:cs="Segoe UI Symbol"/>
          <w:color w:val="FF0000"/>
          <w:sz w:val="20"/>
          <w:szCs w:val="20"/>
        </w:rPr>
        <w:t>☒</w:t>
      </w:r>
    </w:p>
    <w:p w14:paraId="77C52B11" w14:textId="77777777" w:rsidR="00AB2628" w:rsidRPr="005B7169" w:rsidRDefault="00AB2628" w:rsidP="009D6FA2">
      <w:pPr>
        <w:widowControl w:val="0"/>
        <w:tabs>
          <w:tab w:val="left" w:pos="1320"/>
        </w:tabs>
        <w:autoSpaceDE w:val="0"/>
        <w:autoSpaceDN w:val="0"/>
        <w:ind w:left="620"/>
        <w:rPr>
          <w:rFonts w:ascii="Cambria" w:eastAsia="Cambria" w:hAnsi="Cambria" w:cs="Cambria"/>
          <w:sz w:val="20"/>
          <w:szCs w:val="20"/>
        </w:rPr>
      </w:pPr>
    </w:p>
    <w:p w14:paraId="621220F6" w14:textId="598544CF" w:rsidR="00AB2628" w:rsidRPr="005B7169" w:rsidRDefault="00AB2628" w:rsidP="009D6FA2">
      <w:pPr>
        <w:widowControl w:val="0"/>
        <w:autoSpaceDE w:val="0"/>
        <w:autoSpaceDN w:val="0"/>
        <w:ind w:left="619"/>
        <w:rPr>
          <w:rFonts w:ascii="Cambria" w:eastAsia="Cambria" w:hAnsi="Cambria" w:cs="Cambria"/>
          <w:i/>
          <w:sz w:val="20"/>
          <w:szCs w:val="20"/>
        </w:rPr>
      </w:pPr>
      <w:r w:rsidRPr="005B7169">
        <w:rPr>
          <w:rFonts w:ascii="Cambria" w:eastAsia="Cambria" w:hAnsi="Cambria" w:cs="Cambria"/>
          <w:sz w:val="20"/>
          <w:szCs w:val="20"/>
        </w:rPr>
        <w:t xml:space="preserve">Brève description du nouveau travail requis pour le Secrétariat : </w:t>
      </w:r>
      <w:r w:rsidR="00D75328" w:rsidRPr="005B7169">
        <w:rPr>
          <w:rFonts w:ascii="Cambria" w:eastAsia="Cambria" w:hAnsi="Cambria" w:cs="Cambria"/>
          <w:i/>
          <w:color w:val="FF0000"/>
          <w:sz w:val="20"/>
          <w:szCs w:val="20"/>
        </w:rPr>
        <w:t>NA</w:t>
      </w:r>
      <w:r w:rsidRPr="005B7169">
        <w:rPr>
          <w:rFonts w:ascii="Cambria" w:eastAsia="Cambria" w:hAnsi="Cambria" w:cs="Cambria"/>
          <w:i/>
          <w:color w:val="FF0000"/>
          <w:sz w:val="20"/>
          <w:szCs w:val="20"/>
        </w:rPr>
        <w:t>.</w:t>
      </w:r>
    </w:p>
    <w:p w14:paraId="6C876BE2" w14:textId="77777777" w:rsidR="00AB2628" w:rsidRPr="005B7169" w:rsidRDefault="00AB2628" w:rsidP="009D6FA2">
      <w:pPr>
        <w:widowControl w:val="0"/>
        <w:autoSpaceDE w:val="0"/>
        <w:autoSpaceDN w:val="0"/>
        <w:rPr>
          <w:rFonts w:ascii="Cambria" w:eastAsia="Cambria" w:hAnsi="Cambria" w:cs="Cambria"/>
          <w:i/>
          <w:sz w:val="20"/>
          <w:szCs w:val="20"/>
        </w:rPr>
      </w:pPr>
    </w:p>
    <w:p w14:paraId="2242BA3C" w14:textId="77777777" w:rsidR="00AB2628" w:rsidRPr="005B7169" w:rsidRDefault="00AB2628" w:rsidP="009D6FA2">
      <w:pPr>
        <w:widowControl w:val="0"/>
        <w:autoSpaceDE w:val="0"/>
        <w:autoSpaceDN w:val="0"/>
        <w:rPr>
          <w:rFonts w:ascii="Cambria" w:eastAsia="Cambria" w:hAnsi="Cambria" w:cs="Cambria"/>
          <w:i/>
          <w:sz w:val="20"/>
          <w:szCs w:val="20"/>
        </w:rPr>
      </w:pPr>
    </w:p>
    <w:p w14:paraId="74EF5075" w14:textId="77777777" w:rsidR="00AB2628" w:rsidRPr="005B7169" w:rsidRDefault="00AB2628" w:rsidP="009D6FA2">
      <w:pPr>
        <w:widowControl w:val="0"/>
        <w:numPr>
          <w:ilvl w:val="0"/>
          <w:numId w:val="12"/>
        </w:numPr>
        <w:tabs>
          <w:tab w:val="left" w:pos="620"/>
        </w:tabs>
        <w:autoSpaceDE w:val="0"/>
        <w:autoSpaceDN w:val="0"/>
        <w:ind w:right="358"/>
        <w:rPr>
          <w:rFonts w:ascii="Cambria" w:eastAsia="Cambria" w:hAnsi="Cambria" w:cs="Cambria"/>
          <w:sz w:val="20"/>
          <w:szCs w:val="20"/>
        </w:rPr>
      </w:pPr>
      <w:r w:rsidRPr="005B7169">
        <w:rPr>
          <w:rFonts w:ascii="Cambria" w:eastAsia="Cambria" w:hAnsi="Cambria" w:cs="Cambria"/>
          <w:sz w:val="20"/>
          <w:szCs w:val="20"/>
        </w:rPr>
        <w:t>Quel est le calendrier proposé pour la mise en œuvre, et existe-t-il des calendriers spécifiques différents pour certaines CPC, pêcheries, régions, etc. ?</w:t>
      </w:r>
    </w:p>
    <w:p w14:paraId="1BEE8F58" w14:textId="77777777" w:rsidR="00AB2628" w:rsidRPr="005B7169" w:rsidRDefault="00AB2628" w:rsidP="009D6FA2">
      <w:pPr>
        <w:widowControl w:val="0"/>
        <w:autoSpaceDE w:val="0"/>
        <w:autoSpaceDN w:val="0"/>
        <w:rPr>
          <w:rFonts w:ascii="Cambria" w:eastAsia="Cambria" w:hAnsi="Cambria" w:cs="Cambria"/>
          <w:sz w:val="20"/>
          <w:szCs w:val="20"/>
        </w:rPr>
      </w:pPr>
    </w:p>
    <w:p w14:paraId="29FDD9BE" w14:textId="12DED82A" w:rsidR="00AB2628" w:rsidRPr="005B7169" w:rsidRDefault="00D75328" w:rsidP="009D6FA2">
      <w:pPr>
        <w:widowControl w:val="0"/>
        <w:autoSpaceDE w:val="0"/>
        <w:autoSpaceDN w:val="0"/>
        <w:ind w:left="620"/>
        <w:rPr>
          <w:rFonts w:ascii="Cambria" w:eastAsia="Cambria" w:hAnsi="Cambria" w:cs="Cambria"/>
          <w:iCs/>
          <w:sz w:val="20"/>
          <w:szCs w:val="20"/>
        </w:rPr>
      </w:pPr>
      <w:r w:rsidRPr="005B7169">
        <w:rPr>
          <w:rFonts w:ascii="Cambria" w:eastAsia="Cambria" w:hAnsi="Cambria" w:cs="Cambria"/>
          <w:iCs/>
          <w:color w:val="FF0000"/>
          <w:sz w:val="20"/>
          <w:szCs w:val="20"/>
        </w:rPr>
        <w:t>Entrée en vigueur en 2026</w:t>
      </w:r>
      <w:r w:rsidR="00AB2628" w:rsidRPr="005B7169">
        <w:rPr>
          <w:rFonts w:ascii="Cambria" w:eastAsia="Cambria" w:hAnsi="Cambria" w:cs="Cambria"/>
          <w:iCs/>
          <w:color w:val="FF0000"/>
          <w:sz w:val="20"/>
          <w:szCs w:val="20"/>
        </w:rPr>
        <w:t>.</w:t>
      </w:r>
    </w:p>
    <w:p w14:paraId="0A971F66" w14:textId="77777777" w:rsidR="00AB2628" w:rsidRPr="005B7169" w:rsidRDefault="00AB2628" w:rsidP="009D6FA2">
      <w:pPr>
        <w:widowControl w:val="0"/>
        <w:autoSpaceDE w:val="0"/>
        <w:autoSpaceDN w:val="0"/>
        <w:rPr>
          <w:rFonts w:ascii="Cambria" w:eastAsia="Cambria" w:hAnsi="Cambria" w:cs="Cambria"/>
          <w:i/>
          <w:sz w:val="20"/>
          <w:szCs w:val="20"/>
        </w:rPr>
      </w:pPr>
    </w:p>
    <w:p w14:paraId="629C4992" w14:textId="77777777" w:rsidR="00AB2628" w:rsidRPr="005B7169" w:rsidRDefault="00AB2628" w:rsidP="009D6FA2">
      <w:pPr>
        <w:widowControl w:val="0"/>
        <w:autoSpaceDE w:val="0"/>
        <w:autoSpaceDN w:val="0"/>
        <w:rPr>
          <w:rFonts w:ascii="Cambria" w:eastAsia="Cambria" w:hAnsi="Cambria" w:cs="Cambria"/>
          <w:i/>
          <w:sz w:val="20"/>
          <w:szCs w:val="20"/>
        </w:rPr>
      </w:pPr>
    </w:p>
    <w:p w14:paraId="20BF44C0" w14:textId="77777777" w:rsidR="00AB2628" w:rsidRPr="005B7169" w:rsidRDefault="00AB2628" w:rsidP="009D6FA2">
      <w:pPr>
        <w:widowControl w:val="0"/>
        <w:numPr>
          <w:ilvl w:val="0"/>
          <w:numId w:val="12"/>
        </w:numPr>
        <w:tabs>
          <w:tab w:val="left" w:pos="620"/>
        </w:tabs>
        <w:autoSpaceDE w:val="0"/>
        <w:autoSpaceDN w:val="0"/>
        <w:ind w:right="356" w:hanging="395"/>
        <w:rPr>
          <w:rFonts w:ascii="Cambria" w:eastAsia="Cambria" w:hAnsi="Cambria" w:cs="Cambria"/>
          <w:sz w:val="20"/>
          <w:szCs w:val="20"/>
        </w:rPr>
      </w:pPr>
      <w:r w:rsidRPr="005B7169">
        <w:rPr>
          <w:rFonts w:ascii="Cambria" w:eastAsia="Cambria" w:hAnsi="Cambria" w:cs="Cambria"/>
          <w:sz w:val="20"/>
          <w:szCs w:val="20"/>
        </w:rPr>
        <w:t>Existe-t-il d'autres informations pertinentes concernant les implications de la proposition en termes de ressources et de charge de travail ?</w:t>
      </w:r>
    </w:p>
    <w:p w14:paraId="64BD4401" w14:textId="77777777" w:rsidR="00AB2628" w:rsidRPr="005B7169" w:rsidRDefault="00AB2628" w:rsidP="009D6FA2">
      <w:pPr>
        <w:widowControl w:val="0"/>
        <w:autoSpaceDE w:val="0"/>
        <w:autoSpaceDN w:val="0"/>
        <w:rPr>
          <w:rFonts w:ascii="Cambria" w:eastAsia="Cambria" w:hAnsi="Cambria" w:cs="Cambria"/>
          <w:sz w:val="20"/>
          <w:szCs w:val="20"/>
        </w:rPr>
      </w:pPr>
    </w:p>
    <w:p w14:paraId="4BE6B46D" w14:textId="3E2C0A5C" w:rsidR="00AB2628" w:rsidRPr="005B7169" w:rsidRDefault="00AB2628" w:rsidP="009D6FA2">
      <w:pPr>
        <w:widowControl w:val="0"/>
        <w:autoSpaceDE w:val="0"/>
        <w:autoSpaceDN w:val="0"/>
        <w:ind w:left="620"/>
        <w:rPr>
          <w:rFonts w:ascii="Cambria" w:eastAsia="Cambria" w:hAnsi="Cambria" w:cs="Cambria"/>
          <w:i/>
          <w:sz w:val="20"/>
          <w:szCs w:val="20"/>
        </w:rPr>
      </w:pPr>
    </w:p>
    <w:p w14:paraId="6CA4A02C" w14:textId="77777777" w:rsidR="00AB2628" w:rsidRPr="005B7169" w:rsidRDefault="00AB2628" w:rsidP="009D6FA2">
      <w:pPr>
        <w:widowControl w:val="0"/>
        <w:autoSpaceDE w:val="0"/>
        <w:autoSpaceDN w:val="0"/>
        <w:rPr>
          <w:rFonts w:ascii="Cambria" w:eastAsia="Cambria" w:hAnsi="Cambria" w:cs="Cambria"/>
          <w:sz w:val="20"/>
          <w:szCs w:val="20"/>
        </w:rPr>
      </w:pPr>
    </w:p>
    <w:p w14:paraId="3C720DE0" w14:textId="6AEB689F" w:rsidR="00D75328" w:rsidRPr="005B7169" w:rsidRDefault="00D75328" w:rsidP="009D6FA2">
      <w:pPr>
        <w:rPr>
          <w:rFonts w:ascii="Cambria" w:eastAsia="Cambria" w:hAnsi="Cambria" w:cs="Cambria"/>
          <w:sz w:val="20"/>
          <w:szCs w:val="20"/>
        </w:rPr>
      </w:pPr>
      <w:r w:rsidRPr="005B7169">
        <w:rPr>
          <w:rFonts w:ascii="Cambria" w:eastAsia="Cambria" w:hAnsi="Cambria" w:cs="Cambria"/>
          <w:sz w:val="20"/>
          <w:szCs w:val="20"/>
        </w:rPr>
        <w:br w:type="page"/>
      </w:r>
    </w:p>
    <w:p w14:paraId="5E32AFD1" w14:textId="77777777" w:rsidR="00D75328" w:rsidRPr="005B7169" w:rsidRDefault="00D75328" w:rsidP="009D6FA2">
      <w:pPr>
        <w:jc w:val="right"/>
        <w:rPr>
          <w:rFonts w:ascii="Cambria" w:hAnsi="Cambria"/>
          <w:b/>
          <w:bCs/>
          <w:sz w:val="20"/>
          <w:szCs w:val="20"/>
        </w:rPr>
      </w:pPr>
      <w:bookmarkStart w:id="0" w:name="_Hlk104196551"/>
      <w:bookmarkStart w:id="1" w:name="_Hlk21091310"/>
      <w:r w:rsidRPr="005B7169">
        <w:rPr>
          <w:rFonts w:ascii="Cambria" w:hAnsi="Cambria"/>
          <w:b/>
          <w:sz w:val="20"/>
          <w:szCs w:val="20"/>
        </w:rPr>
        <w:lastRenderedPageBreak/>
        <w:t xml:space="preserve">Original : </w:t>
      </w:r>
      <w:r w:rsidRPr="005B7169">
        <w:rPr>
          <w:rFonts w:ascii="Cambria" w:hAnsi="Cambria"/>
          <w:b/>
          <w:bCs/>
          <w:sz w:val="20"/>
          <w:szCs w:val="20"/>
        </w:rPr>
        <w:t>anglais</w:t>
      </w:r>
    </w:p>
    <w:p w14:paraId="4ACEBA17" w14:textId="77777777" w:rsidR="009106F3" w:rsidRPr="005B7169" w:rsidRDefault="009106F3" w:rsidP="009D6FA2">
      <w:pPr>
        <w:jc w:val="right"/>
        <w:rPr>
          <w:rFonts w:ascii="Cambria" w:hAnsi="Cambria"/>
          <w:b/>
          <w:sz w:val="20"/>
          <w:szCs w:val="20"/>
        </w:rPr>
      </w:pPr>
    </w:p>
    <w:bookmarkEnd w:id="0"/>
    <w:bookmarkEnd w:id="1"/>
    <w:p w14:paraId="69FF68F2" w14:textId="53CE3B64" w:rsidR="009E502B" w:rsidRPr="005B7169" w:rsidRDefault="0004004E" w:rsidP="009D6FA2">
      <w:pPr>
        <w:jc w:val="center"/>
        <w:rPr>
          <w:rFonts w:ascii="Cambria" w:eastAsia="Cambria" w:hAnsi="Cambria" w:cs="Cambria"/>
          <w:b/>
          <w:sz w:val="20"/>
          <w:szCs w:val="20"/>
        </w:rPr>
      </w:pPr>
      <w:r w:rsidRPr="005B7169">
        <w:rPr>
          <w:rFonts w:ascii="Cambria" w:hAnsi="Cambria"/>
          <w:b/>
          <w:sz w:val="20"/>
          <w:szCs w:val="20"/>
        </w:rPr>
        <w:t>Note explicative sur le p</w:t>
      </w:r>
      <w:r w:rsidR="009E502B" w:rsidRPr="005B7169">
        <w:rPr>
          <w:rFonts w:ascii="Cambria" w:hAnsi="Cambria"/>
          <w:b/>
          <w:sz w:val="20"/>
          <w:szCs w:val="20"/>
        </w:rPr>
        <w:t xml:space="preserve">rojet de Recommandation de l’ICCAT concernant un </w:t>
      </w:r>
    </w:p>
    <w:p w14:paraId="066A0740" w14:textId="77777777" w:rsidR="009E502B" w:rsidRPr="005B7169" w:rsidRDefault="009E502B" w:rsidP="009D6FA2">
      <w:pPr>
        <w:jc w:val="center"/>
        <w:rPr>
          <w:rFonts w:ascii="Cambria" w:eastAsia="Cambria" w:hAnsi="Cambria" w:cs="Cambria"/>
          <w:b/>
          <w:sz w:val="20"/>
          <w:szCs w:val="20"/>
        </w:rPr>
      </w:pPr>
      <w:proofErr w:type="gramStart"/>
      <w:r w:rsidRPr="005B7169">
        <w:rPr>
          <w:rFonts w:ascii="Cambria" w:hAnsi="Cambria"/>
          <w:b/>
          <w:sz w:val="20"/>
          <w:szCs w:val="20"/>
        </w:rPr>
        <w:t>plan</w:t>
      </w:r>
      <w:proofErr w:type="gramEnd"/>
      <w:r w:rsidRPr="005B7169">
        <w:rPr>
          <w:rFonts w:ascii="Cambria" w:hAnsi="Cambria"/>
          <w:b/>
          <w:sz w:val="20"/>
          <w:szCs w:val="20"/>
        </w:rPr>
        <w:t xml:space="preserve"> de conservation et de gestion du thon rouge de l’Atlantique Ouest</w:t>
      </w:r>
    </w:p>
    <w:p w14:paraId="0822582F" w14:textId="77777777" w:rsidR="00126D1B" w:rsidRPr="005B7169" w:rsidRDefault="00126D1B" w:rsidP="009D6FA2">
      <w:pPr>
        <w:jc w:val="center"/>
        <w:rPr>
          <w:rFonts w:ascii="Cambria" w:hAnsi="Cambria"/>
          <w:bCs/>
          <w:i/>
          <w:sz w:val="20"/>
          <w:szCs w:val="20"/>
        </w:rPr>
      </w:pPr>
    </w:p>
    <w:p w14:paraId="2CA4D4FA" w14:textId="69B2B6F9" w:rsidR="009E502B" w:rsidRPr="005B7169" w:rsidRDefault="009E502B" w:rsidP="009D6FA2">
      <w:pPr>
        <w:jc w:val="center"/>
        <w:rPr>
          <w:rFonts w:ascii="Cambria" w:eastAsia="Cambria" w:hAnsi="Cambria" w:cs="Cambria"/>
          <w:bCs/>
          <w:i/>
          <w:iCs/>
          <w:sz w:val="20"/>
          <w:szCs w:val="20"/>
        </w:rPr>
      </w:pPr>
      <w:r w:rsidRPr="005B7169">
        <w:rPr>
          <w:rFonts w:ascii="Cambria" w:hAnsi="Cambria"/>
          <w:bCs/>
          <w:i/>
          <w:sz w:val="20"/>
          <w:szCs w:val="20"/>
        </w:rPr>
        <w:t>(Document soumis par le Canada)</w:t>
      </w:r>
    </w:p>
    <w:p w14:paraId="4A8B5389" w14:textId="77777777" w:rsidR="009E502B" w:rsidRPr="005B7169" w:rsidRDefault="009E502B" w:rsidP="009D6FA2">
      <w:pPr>
        <w:jc w:val="center"/>
        <w:rPr>
          <w:rFonts w:ascii="Cambria" w:eastAsia="Cambria" w:hAnsi="Cambria" w:cs="Cambria"/>
          <w:b/>
          <w:i/>
          <w:iCs/>
          <w:sz w:val="20"/>
          <w:szCs w:val="20"/>
        </w:rPr>
      </w:pPr>
    </w:p>
    <w:p w14:paraId="26DC37DC" w14:textId="77777777" w:rsidR="009E502B" w:rsidRPr="005B7169" w:rsidRDefault="009E502B" w:rsidP="009D6FA2">
      <w:pPr>
        <w:jc w:val="both"/>
        <w:rPr>
          <w:rFonts w:ascii="Cambria" w:eastAsia="Cambria" w:hAnsi="Cambria" w:cs="Cambria"/>
          <w:b/>
          <w:sz w:val="20"/>
          <w:szCs w:val="20"/>
        </w:rPr>
      </w:pPr>
    </w:p>
    <w:p w14:paraId="6957CD22" w14:textId="77777777" w:rsidR="009E502B" w:rsidRPr="005B7169" w:rsidRDefault="009E502B" w:rsidP="009D6FA2">
      <w:pPr>
        <w:jc w:val="center"/>
        <w:rPr>
          <w:rFonts w:ascii="Cambria" w:eastAsia="Cambria" w:hAnsi="Cambria" w:cs="Cambria"/>
          <w:b/>
          <w:sz w:val="20"/>
          <w:szCs w:val="20"/>
        </w:rPr>
      </w:pPr>
    </w:p>
    <w:p w14:paraId="686585DD" w14:textId="3441735A" w:rsidR="009E502B" w:rsidRPr="005B7169" w:rsidRDefault="009E502B" w:rsidP="009D6FA2">
      <w:pPr>
        <w:jc w:val="both"/>
        <w:rPr>
          <w:rFonts w:ascii="Cambria" w:eastAsia="Cambria" w:hAnsi="Cambria" w:cs="Cambria"/>
          <w:sz w:val="20"/>
          <w:szCs w:val="20"/>
        </w:rPr>
      </w:pPr>
      <w:r w:rsidRPr="005B7169">
        <w:rPr>
          <w:rFonts w:ascii="Cambria" w:hAnsi="Cambria"/>
          <w:sz w:val="20"/>
          <w:szCs w:val="20"/>
        </w:rPr>
        <w:t xml:space="preserve">Le présent projet de Recommandation abroge et remplace la </w:t>
      </w:r>
      <w:r w:rsidRPr="005B7169">
        <w:rPr>
          <w:rFonts w:ascii="Cambria" w:hAnsi="Cambria"/>
          <w:i/>
          <w:iCs/>
          <w:sz w:val="20"/>
          <w:szCs w:val="20"/>
        </w:rPr>
        <w:t>Recommandation de l’ICCAT concernant un plan de conservation et de gestion du thon rouge de l’Atlantique Ouest</w:t>
      </w:r>
      <w:r w:rsidRPr="005B7169">
        <w:rPr>
          <w:rFonts w:ascii="Cambria" w:hAnsi="Cambria"/>
          <w:sz w:val="20"/>
          <w:szCs w:val="20"/>
        </w:rPr>
        <w:t xml:space="preserve"> (Rec. 22-10). Le Canada propose d'établir un TAC de 2.963 t pour le stock de l'Atlantique Ouest, tel que calculé par l'exécution de la procédure de gestion (MP)</w:t>
      </w:r>
      <w:r w:rsidR="00B62C4C" w:rsidRPr="005B7169">
        <w:rPr>
          <w:rFonts w:ascii="Cambria" w:hAnsi="Cambria"/>
          <w:sz w:val="20"/>
          <w:szCs w:val="20"/>
        </w:rPr>
        <w:t xml:space="preserve"> </w:t>
      </w:r>
      <w:r w:rsidR="009E3DC6" w:rsidRPr="005B7169">
        <w:rPr>
          <w:rFonts w:ascii="Cambria" w:hAnsi="Cambria"/>
          <w:sz w:val="20"/>
          <w:szCs w:val="20"/>
        </w:rPr>
        <w:t>BR*</w:t>
      </w:r>
      <w:r w:rsidRPr="005B7169">
        <w:rPr>
          <w:rFonts w:ascii="Cambria" w:hAnsi="Cambria"/>
          <w:sz w:val="20"/>
          <w:szCs w:val="20"/>
        </w:rPr>
        <w:t xml:space="preserve">. </w:t>
      </w:r>
    </w:p>
    <w:p w14:paraId="19CD5A6F" w14:textId="77777777" w:rsidR="009E502B" w:rsidRPr="005B7169" w:rsidRDefault="009E502B" w:rsidP="009D6FA2">
      <w:pPr>
        <w:jc w:val="both"/>
        <w:rPr>
          <w:rFonts w:ascii="Cambria" w:eastAsia="Cambria" w:hAnsi="Cambria" w:cs="Cambria"/>
          <w:sz w:val="20"/>
          <w:szCs w:val="20"/>
        </w:rPr>
      </w:pPr>
    </w:p>
    <w:p w14:paraId="576923BE" w14:textId="6282355C" w:rsidR="009E502B" w:rsidRPr="005B7169" w:rsidRDefault="009E502B" w:rsidP="009D6FA2">
      <w:pPr>
        <w:jc w:val="both"/>
        <w:rPr>
          <w:rFonts w:ascii="Cambria" w:eastAsia="Cambria" w:hAnsi="Cambria" w:cs="Cambria"/>
          <w:sz w:val="20"/>
          <w:szCs w:val="20"/>
        </w:rPr>
      </w:pPr>
      <w:r w:rsidRPr="005B7169">
        <w:rPr>
          <w:rFonts w:ascii="Cambria" w:hAnsi="Cambria"/>
          <w:sz w:val="20"/>
          <w:szCs w:val="20"/>
        </w:rPr>
        <w:t xml:space="preserve">Le TAC </w:t>
      </w:r>
      <w:r w:rsidR="009E3DC6" w:rsidRPr="005B7169">
        <w:rPr>
          <w:rFonts w:ascii="Cambria" w:hAnsi="Cambria"/>
          <w:sz w:val="20"/>
          <w:szCs w:val="20"/>
        </w:rPr>
        <w:t xml:space="preserve">du </w:t>
      </w:r>
      <w:r w:rsidRPr="005B7169">
        <w:rPr>
          <w:rFonts w:ascii="Cambria" w:hAnsi="Cambria"/>
          <w:sz w:val="20"/>
          <w:szCs w:val="20"/>
        </w:rPr>
        <w:t>BR* aborde l'incertitude la plus influente dans la MSE pour le thon rouge et garantit que la MP existante</w:t>
      </w:r>
      <w:r w:rsidR="009E3DC6" w:rsidRPr="005B7169">
        <w:rPr>
          <w:rFonts w:ascii="Cambria" w:hAnsi="Cambria"/>
          <w:sz w:val="20"/>
          <w:szCs w:val="20"/>
        </w:rPr>
        <w:t xml:space="preserve"> et</w:t>
      </w:r>
      <w:r w:rsidRPr="005B7169">
        <w:rPr>
          <w:rFonts w:ascii="Cambria" w:hAnsi="Cambria"/>
          <w:sz w:val="20"/>
          <w:szCs w:val="20"/>
        </w:rPr>
        <w:t xml:space="preserve"> convenue, répond toujours aux objectifs de gestion convenus par la Sous-commission 2 en 2022. La MSE pour le thon rouge a été élaborée avec une grande incertitude quant à l'échelle des deux populations. Cette incertitude a </w:t>
      </w:r>
      <w:r w:rsidR="00F913B1" w:rsidRPr="005B7169">
        <w:rPr>
          <w:rFonts w:ascii="Cambria" w:hAnsi="Cambria"/>
          <w:sz w:val="20"/>
          <w:szCs w:val="20"/>
        </w:rPr>
        <w:t>exercé</w:t>
      </w:r>
      <w:r w:rsidRPr="005B7169">
        <w:rPr>
          <w:rFonts w:ascii="Cambria" w:hAnsi="Cambria"/>
          <w:sz w:val="20"/>
          <w:szCs w:val="20"/>
        </w:rPr>
        <w:t xml:space="preserve"> une grande influence sur les performances de la procédure de gestion. Le projet de marquage-récupération de marques sur des spécimens étroitement apparentés (CKMR) a permis d'améliorer considérablement notre compréhension de l'échelle du stock occidental et montre que l'échelle du stock occidental était nettement plus importante que les valeurs prises en compte lors de l'adoption de la MP. Lorsque le SCRS a intégré ces nouvelles informations sur le CKMR dans les modèles opérationnels, la MP BR n'a pas atteint les objectifs de sécurité du stock oriental (épuisement le plus faible) et n'a pas atteint les objectifs de production occidentaux (maximisation des captures). BR* a mis à jour les paramètres de calibrage afin de s'assurer que la MP répond toujours aux objectifs de gestion convenus, ce qui permet de mieux garantir la conservation et l'utilisation de la ressource.</w:t>
      </w:r>
    </w:p>
    <w:p w14:paraId="778D0810" w14:textId="77777777" w:rsidR="009E502B" w:rsidRPr="005B7169" w:rsidRDefault="009E502B" w:rsidP="009D6FA2">
      <w:pPr>
        <w:jc w:val="both"/>
        <w:rPr>
          <w:rFonts w:ascii="Cambria" w:eastAsia="Cambria" w:hAnsi="Cambria" w:cs="Cambria"/>
          <w:sz w:val="20"/>
          <w:szCs w:val="20"/>
        </w:rPr>
      </w:pPr>
    </w:p>
    <w:p w14:paraId="787B380F" w14:textId="77777777" w:rsidR="009E502B" w:rsidRPr="005B7169" w:rsidRDefault="009E502B" w:rsidP="009D6FA2">
      <w:pPr>
        <w:jc w:val="both"/>
        <w:rPr>
          <w:rFonts w:ascii="Cambria" w:hAnsi="Cambria"/>
          <w:sz w:val="20"/>
          <w:szCs w:val="20"/>
        </w:rPr>
      </w:pPr>
      <w:r w:rsidRPr="005B7169">
        <w:rPr>
          <w:rFonts w:ascii="Cambria" w:hAnsi="Cambria"/>
          <w:sz w:val="20"/>
          <w:szCs w:val="20"/>
        </w:rPr>
        <w:t>Le Canada est d'avis que la Sous-commission 2 devrait adopter BR* car, contrairement à BR, il reflète les connaissances acquises dans le cadre de l'étude du CKMR occidental que le SCRS a qualifiée de " percée dans l'évaluation du stock de thon rouge". Sur la base des meilleures données scientifiques disponibles, BR* atteint désormais les objectifs de gestion. En outre, BR* offre une répartition plus équitable de l'augmentation du TAC entre l'Est et l'Ouest. Ceci est particulièrement important étant donné le nombre croissant de poissons de l'Est qui migrent vers l'Ouest pour s'alimenter et grandir tout au long du rétablissement du stock de l'Est.</w:t>
      </w:r>
    </w:p>
    <w:p w14:paraId="3A9279A5" w14:textId="77777777" w:rsidR="0004004E" w:rsidRPr="005B7169" w:rsidRDefault="0004004E" w:rsidP="009D6FA2">
      <w:pPr>
        <w:jc w:val="both"/>
        <w:rPr>
          <w:rFonts w:ascii="Cambria" w:eastAsia="Cambria" w:hAnsi="Cambria" w:cs="Cambria"/>
          <w:sz w:val="20"/>
          <w:szCs w:val="20"/>
        </w:rPr>
      </w:pPr>
    </w:p>
    <w:p w14:paraId="64198F26" w14:textId="2A22872B" w:rsidR="00EC2C7C" w:rsidRPr="005B7169" w:rsidRDefault="009E502B" w:rsidP="00974348">
      <w:pPr>
        <w:jc w:val="both"/>
        <w:rPr>
          <w:rFonts w:ascii="Cambria" w:eastAsia="Cambria" w:hAnsi="Cambria" w:cs="Cambria"/>
          <w:sz w:val="20"/>
          <w:szCs w:val="20"/>
        </w:rPr>
      </w:pPr>
      <w:r w:rsidRPr="005B7169">
        <w:rPr>
          <w:rFonts w:ascii="Cambria" w:hAnsi="Cambria"/>
          <w:sz w:val="20"/>
          <w:szCs w:val="20"/>
        </w:rPr>
        <w:t>Cette proposition se fonde sur les meilleures données scientifiques disponibles, est conforme aux objectifs de gestion de la MP et aux engagements antérieurs de l’ICCAT, et constitue une étape positive dans la recherche d'un équilibre plus équitable entre les captures à l'Est et à l'Ouest.</w:t>
      </w:r>
    </w:p>
    <w:p w14:paraId="38CAAEE7" w14:textId="2D1FEA73" w:rsidR="007634D4" w:rsidRPr="005B7169" w:rsidRDefault="007634D4" w:rsidP="009D6FA2">
      <w:pPr>
        <w:rPr>
          <w:rFonts w:ascii="Cambria" w:eastAsia="Cambria" w:hAnsi="Cambria" w:cs="Cambria"/>
          <w:sz w:val="20"/>
          <w:szCs w:val="20"/>
        </w:rPr>
      </w:pPr>
      <w:r w:rsidRPr="005B7169">
        <w:rPr>
          <w:rFonts w:ascii="Cambria" w:eastAsia="Cambria" w:hAnsi="Cambria" w:cs="Cambria"/>
          <w:sz w:val="20"/>
          <w:szCs w:val="20"/>
        </w:rPr>
        <w:br w:type="page"/>
      </w:r>
    </w:p>
    <w:p w14:paraId="0CFC52CD" w14:textId="77777777" w:rsidR="009106F3" w:rsidRPr="005B7169" w:rsidRDefault="009106F3" w:rsidP="009D6FA2">
      <w:pPr>
        <w:jc w:val="right"/>
        <w:rPr>
          <w:rFonts w:ascii="Cambria" w:hAnsi="Cambria"/>
          <w:b/>
          <w:sz w:val="20"/>
          <w:szCs w:val="20"/>
        </w:rPr>
      </w:pPr>
      <w:r w:rsidRPr="005B7169">
        <w:rPr>
          <w:rFonts w:ascii="Cambria" w:hAnsi="Cambria"/>
          <w:b/>
          <w:sz w:val="20"/>
          <w:szCs w:val="20"/>
        </w:rPr>
        <w:lastRenderedPageBreak/>
        <w:t xml:space="preserve">Original : </w:t>
      </w:r>
      <w:r w:rsidRPr="005B7169">
        <w:rPr>
          <w:rFonts w:ascii="Cambria" w:hAnsi="Cambria"/>
          <w:b/>
          <w:bCs/>
          <w:sz w:val="20"/>
          <w:szCs w:val="20"/>
        </w:rPr>
        <w:t>anglais</w:t>
      </w:r>
    </w:p>
    <w:p w14:paraId="22A6B118" w14:textId="77777777" w:rsidR="002753FF" w:rsidRPr="005B7169" w:rsidRDefault="002753FF" w:rsidP="009D6FA2">
      <w:pPr>
        <w:tabs>
          <w:tab w:val="left" w:pos="426"/>
          <w:tab w:val="center" w:pos="4680"/>
          <w:tab w:val="left" w:pos="6430"/>
        </w:tabs>
        <w:rPr>
          <w:rFonts w:ascii="Cambria" w:eastAsia="Cambria" w:hAnsi="Cambria" w:cs="Cambria"/>
          <w:sz w:val="20"/>
          <w:szCs w:val="20"/>
        </w:rPr>
      </w:pPr>
    </w:p>
    <w:p w14:paraId="5605C5F6" w14:textId="77777777" w:rsidR="009106F3" w:rsidRPr="005B7169" w:rsidRDefault="009106F3" w:rsidP="009D6FA2">
      <w:pPr>
        <w:tabs>
          <w:tab w:val="left" w:pos="426"/>
          <w:tab w:val="center" w:pos="4680"/>
          <w:tab w:val="left" w:pos="6430"/>
        </w:tabs>
        <w:rPr>
          <w:rFonts w:ascii="Cambria" w:eastAsia="Cambria" w:hAnsi="Cambria" w:cs="Cambria"/>
          <w:sz w:val="20"/>
          <w:szCs w:val="20"/>
        </w:rPr>
      </w:pPr>
    </w:p>
    <w:p w14:paraId="0FEAC7BD" w14:textId="4AB69AE4" w:rsidR="007634D4" w:rsidRPr="005B7169" w:rsidRDefault="00214ED7" w:rsidP="009D6FA2">
      <w:pPr>
        <w:tabs>
          <w:tab w:val="left" w:pos="426"/>
          <w:tab w:val="center" w:pos="4680"/>
          <w:tab w:val="left" w:pos="6430"/>
        </w:tabs>
        <w:jc w:val="center"/>
        <w:rPr>
          <w:rFonts w:ascii="Cambria" w:eastAsia="Cambria" w:hAnsi="Cambria" w:cs="Cambria"/>
          <w:b/>
          <w:bCs/>
          <w:sz w:val="20"/>
          <w:szCs w:val="20"/>
        </w:rPr>
      </w:pPr>
      <w:r w:rsidRPr="005B7169">
        <w:rPr>
          <w:rFonts w:ascii="Cambria" w:eastAsia="Cambria" w:hAnsi="Cambria" w:cs="Cambria"/>
          <w:b/>
          <w:bCs/>
          <w:sz w:val="20"/>
          <w:szCs w:val="20"/>
        </w:rPr>
        <w:t xml:space="preserve">Projet de </w:t>
      </w:r>
      <w:r w:rsidR="007634D4" w:rsidRPr="005B7169">
        <w:rPr>
          <w:rFonts w:ascii="Cambria" w:eastAsia="Cambria" w:hAnsi="Cambria" w:cs="Cambria"/>
          <w:b/>
          <w:bCs/>
          <w:sz w:val="20"/>
          <w:szCs w:val="20"/>
        </w:rPr>
        <w:t>Recommandation de l’ICCAT concernant un plan de conservation et de gestion du thon rouge de l’Atlantique Ouest</w:t>
      </w:r>
    </w:p>
    <w:p w14:paraId="080D1C45" w14:textId="77777777" w:rsidR="0004004E" w:rsidRPr="005B7169" w:rsidRDefault="0004004E" w:rsidP="009D6FA2">
      <w:pPr>
        <w:tabs>
          <w:tab w:val="left" w:pos="426"/>
          <w:tab w:val="center" w:pos="4680"/>
          <w:tab w:val="left" w:pos="6430"/>
        </w:tabs>
        <w:jc w:val="center"/>
        <w:rPr>
          <w:rFonts w:ascii="Cambria" w:eastAsia="Cambria" w:hAnsi="Cambria" w:cs="Cambria"/>
          <w:b/>
          <w:bCs/>
          <w:sz w:val="20"/>
          <w:szCs w:val="20"/>
        </w:rPr>
      </w:pPr>
    </w:p>
    <w:p w14:paraId="3A95EA1A" w14:textId="77777777" w:rsidR="0004004E" w:rsidRPr="005B7169" w:rsidRDefault="0004004E" w:rsidP="0004004E">
      <w:pPr>
        <w:jc w:val="center"/>
        <w:rPr>
          <w:rFonts w:ascii="Cambria" w:eastAsia="Cambria" w:hAnsi="Cambria" w:cs="Cambria"/>
          <w:bCs/>
          <w:i/>
          <w:iCs/>
          <w:sz w:val="20"/>
          <w:szCs w:val="20"/>
        </w:rPr>
      </w:pPr>
      <w:r w:rsidRPr="005B7169">
        <w:rPr>
          <w:rFonts w:ascii="Cambria" w:hAnsi="Cambria"/>
          <w:bCs/>
          <w:i/>
          <w:sz w:val="20"/>
          <w:szCs w:val="20"/>
        </w:rPr>
        <w:t>(Document soumis par le Canada)</w:t>
      </w:r>
    </w:p>
    <w:p w14:paraId="2442A856" w14:textId="77777777" w:rsidR="0004004E" w:rsidRPr="005B7169" w:rsidRDefault="0004004E" w:rsidP="0004004E">
      <w:pPr>
        <w:jc w:val="center"/>
        <w:rPr>
          <w:rFonts w:ascii="Cambria" w:eastAsia="Cambria" w:hAnsi="Cambria" w:cs="Cambria"/>
          <w:b/>
          <w:i/>
          <w:iCs/>
          <w:sz w:val="20"/>
          <w:szCs w:val="20"/>
        </w:rPr>
      </w:pPr>
    </w:p>
    <w:p w14:paraId="42F1E10C" w14:textId="77777777" w:rsidR="007634D4" w:rsidRPr="005B7169" w:rsidRDefault="007634D4" w:rsidP="009D6FA2">
      <w:pPr>
        <w:tabs>
          <w:tab w:val="left" w:pos="426"/>
          <w:tab w:val="center" w:pos="4680"/>
          <w:tab w:val="left" w:pos="6430"/>
        </w:tabs>
        <w:rPr>
          <w:rFonts w:ascii="Cambria" w:eastAsia="Cambria" w:hAnsi="Cambria" w:cs="Cambria"/>
          <w:sz w:val="20"/>
          <w:szCs w:val="20"/>
        </w:rPr>
      </w:pPr>
    </w:p>
    <w:p w14:paraId="52A49D0C" w14:textId="77777777" w:rsidR="002753FF" w:rsidRPr="005B7169" w:rsidRDefault="002753FF" w:rsidP="009D6FA2">
      <w:pPr>
        <w:tabs>
          <w:tab w:val="center" w:pos="4680"/>
          <w:tab w:val="left" w:pos="6430"/>
        </w:tabs>
        <w:ind w:firstLine="426"/>
        <w:jc w:val="both"/>
        <w:rPr>
          <w:rFonts w:ascii="Cambria" w:eastAsia="Cambria" w:hAnsi="Cambria" w:cs="Cambria"/>
          <w:i/>
          <w:sz w:val="20"/>
          <w:szCs w:val="20"/>
        </w:rPr>
      </w:pPr>
      <w:r w:rsidRPr="005B7169">
        <w:rPr>
          <w:rFonts w:ascii="Cambria" w:hAnsi="Cambria"/>
          <w:i/>
          <w:color w:val="231F20"/>
          <w:sz w:val="20"/>
          <w:szCs w:val="20"/>
        </w:rPr>
        <w:tab/>
      </w:r>
      <w:r w:rsidRPr="005B7169">
        <w:rPr>
          <w:rFonts w:ascii="Cambria" w:hAnsi="Cambria"/>
          <w:i/>
          <w:sz w:val="20"/>
          <w:szCs w:val="20"/>
        </w:rPr>
        <w:t>NOTANT</w:t>
      </w:r>
      <w:r w:rsidRPr="005B7169">
        <w:rPr>
          <w:rFonts w:ascii="Cambria" w:hAnsi="Cambria"/>
          <w:sz w:val="20"/>
          <w:szCs w:val="20"/>
        </w:rPr>
        <w:t xml:space="preserve"> que l’objectif de la Convention est de maintenir les populations de thonidés et d’espèces apparentées à des niveaux qui permettront la prise maximale équilibrée (dénommée généralement « production maximale équilibrée » (PME)) ;</w:t>
      </w:r>
    </w:p>
    <w:p w14:paraId="1029B9FE" w14:textId="77777777" w:rsidR="002753FF" w:rsidRPr="005B7169" w:rsidRDefault="002753FF" w:rsidP="009D6FA2">
      <w:pPr>
        <w:tabs>
          <w:tab w:val="left" w:pos="426"/>
          <w:tab w:val="center" w:pos="4680"/>
          <w:tab w:val="left" w:pos="6430"/>
        </w:tabs>
        <w:jc w:val="both"/>
        <w:rPr>
          <w:rFonts w:ascii="Cambria" w:eastAsia="Cambria" w:hAnsi="Cambria" w:cs="Cambria"/>
          <w:i/>
          <w:sz w:val="20"/>
          <w:szCs w:val="20"/>
        </w:rPr>
      </w:pPr>
    </w:p>
    <w:p w14:paraId="2BD0F694" w14:textId="77777777" w:rsidR="002753FF" w:rsidRPr="005B7169" w:rsidRDefault="002753FF" w:rsidP="009D6FA2">
      <w:pPr>
        <w:tabs>
          <w:tab w:val="left" w:pos="426"/>
          <w:tab w:val="center" w:pos="4680"/>
          <w:tab w:val="left" w:pos="6430"/>
        </w:tabs>
        <w:ind w:firstLine="426"/>
        <w:jc w:val="both"/>
        <w:rPr>
          <w:rFonts w:ascii="Cambria" w:eastAsia="Cambria" w:hAnsi="Cambria" w:cs="Cambria"/>
          <w:sz w:val="20"/>
          <w:szCs w:val="20"/>
        </w:rPr>
      </w:pPr>
      <w:r w:rsidRPr="005B7169">
        <w:rPr>
          <w:rFonts w:ascii="Cambria" w:hAnsi="Cambria"/>
          <w:i/>
          <w:sz w:val="20"/>
          <w:szCs w:val="20"/>
        </w:rPr>
        <w:t>CONSCIENTE</w:t>
      </w:r>
      <w:r w:rsidRPr="005B7169">
        <w:rPr>
          <w:rFonts w:ascii="Cambria" w:hAnsi="Cambria"/>
          <w:sz w:val="20"/>
          <w:szCs w:val="20"/>
        </w:rPr>
        <w:t xml:space="preserve"> qu’en prévision de l’achèvement d’un programme de rétablissement sur 20 ans en 2018, la Commission a adopté la </w:t>
      </w:r>
      <w:r w:rsidRPr="005B7169">
        <w:rPr>
          <w:rFonts w:ascii="Cambria" w:hAnsi="Cambria"/>
          <w:i/>
          <w:sz w:val="20"/>
          <w:szCs w:val="20"/>
        </w:rPr>
        <w:t xml:space="preserve">Recommandation de l’ICCAT concernant un plan provisoire de conservation et de gestion du thon rouge de l’Atlantique Ouest </w:t>
      </w:r>
      <w:r w:rsidRPr="005B7169">
        <w:rPr>
          <w:rFonts w:ascii="Cambria" w:hAnsi="Cambria"/>
          <w:sz w:val="20"/>
          <w:szCs w:val="20"/>
        </w:rPr>
        <w:t>(Rec. 17-06) ;</w:t>
      </w:r>
    </w:p>
    <w:p w14:paraId="0A90532D" w14:textId="77777777" w:rsidR="002753FF" w:rsidRPr="005B7169" w:rsidRDefault="002753FF" w:rsidP="009D6FA2">
      <w:pPr>
        <w:tabs>
          <w:tab w:val="left" w:pos="426"/>
          <w:tab w:val="center" w:pos="4680"/>
          <w:tab w:val="left" w:pos="6430"/>
        </w:tabs>
        <w:jc w:val="both"/>
        <w:rPr>
          <w:rFonts w:ascii="Cambria" w:eastAsia="Cambria" w:hAnsi="Cambria" w:cs="Cambria"/>
          <w:i/>
          <w:sz w:val="20"/>
          <w:szCs w:val="20"/>
        </w:rPr>
      </w:pPr>
    </w:p>
    <w:p w14:paraId="622DC1DC" w14:textId="185C7900" w:rsidR="009106F3" w:rsidRPr="005B7169" w:rsidRDefault="009106F3" w:rsidP="009D6FA2">
      <w:pPr>
        <w:tabs>
          <w:tab w:val="left" w:pos="426"/>
          <w:tab w:val="center" w:pos="4680"/>
          <w:tab w:val="left" w:pos="6430"/>
        </w:tabs>
        <w:ind w:firstLine="426"/>
        <w:jc w:val="both"/>
        <w:rPr>
          <w:rFonts w:ascii="Cambria" w:hAnsi="Cambria"/>
          <w:iCs/>
          <w:sz w:val="20"/>
          <w:szCs w:val="20"/>
        </w:rPr>
      </w:pPr>
      <w:r w:rsidRPr="005B7169">
        <w:rPr>
          <w:rFonts w:ascii="Cambria" w:hAnsi="Cambria"/>
          <w:iCs/>
          <w:sz w:val="20"/>
          <w:szCs w:val="20"/>
        </w:rPr>
        <w:t>[…]</w:t>
      </w:r>
    </w:p>
    <w:p w14:paraId="0694E78D" w14:textId="77777777" w:rsidR="009106F3" w:rsidRPr="005B7169" w:rsidRDefault="009106F3" w:rsidP="009D6FA2">
      <w:pPr>
        <w:tabs>
          <w:tab w:val="left" w:pos="426"/>
          <w:tab w:val="center" w:pos="4680"/>
          <w:tab w:val="left" w:pos="6430"/>
        </w:tabs>
        <w:ind w:firstLine="426"/>
        <w:jc w:val="both"/>
        <w:rPr>
          <w:rFonts w:ascii="Cambria" w:hAnsi="Cambria"/>
          <w:iCs/>
          <w:sz w:val="20"/>
          <w:szCs w:val="20"/>
        </w:rPr>
      </w:pPr>
      <w:r w:rsidRPr="005B7169">
        <w:rPr>
          <w:rFonts w:ascii="Cambria" w:hAnsi="Cambria"/>
          <w:iCs/>
          <w:sz w:val="20"/>
          <w:szCs w:val="20"/>
        </w:rPr>
        <w:t>[…]</w:t>
      </w:r>
    </w:p>
    <w:p w14:paraId="310D1974" w14:textId="77777777" w:rsidR="00A128D8" w:rsidRPr="005B7169" w:rsidRDefault="00A128D8" w:rsidP="009D6FA2">
      <w:pPr>
        <w:tabs>
          <w:tab w:val="left" w:pos="426"/>
          <w:tab w:val="center" w:pos="4680"/>
          <w:tab w:val="left" w:pos="6430"/>
        </w:tabs>
        <w:ind w:firstLine="426"/>
        <w:jc w:val="both"/>
        <w:rPr>
          <w:rFonts w:ascii="Cambria" w:hAnsi="Cambria"/>
          <w:iCs/>
          <w:sz w:val="20"/>
          <w:szCs w:val="20"/>
        </w:rPr>
      </w:pPr>
      <w:r w:rsidRPr="005B7169">
        <w:rPr>
          <w:rFonts w:ascii="Cambria" w:hAnsi="Cambria"/>
          <w:iCs/>
          <w:sz w:val="20"/>
          <w:szCs w:val="20"/>
        </w:rPr>
        <w:t>[…]</w:t>
      </w:r>
    </w:p>
    <w:p w14:paraId="38A3F1D3" w14:textId="1072F283" w:rsidR="009106F3" w:rsidRPr="005B7169" w:rsidRDefault="009106F3" w:rsidP="009D6FA2">
      <w:pPr>
        <w:tabs>
          <w:tab w:val="left" w:pos="426"/>
          <w:tab w:val="center" w:pos="4680"/>
          <w:tab w:val="left" w:pos="6430"/>
        </w:tabs>
        <w:ind w:firstLine="426"/>
        <w:jc w:val="both"/>
        <w:rPr>
          <w:rFonts w:ascii="Cambria" w:eastAsia="Cambria" w:hAnsi="Cambria" w:cs="Cambria"/>
          <w:sz w:val="20"/>
          <w:szCs w:val="20"/>
        </w:rPr>
      </w:pPr>
    </w:p>
    <w:p w14:paraId="0E113E64" w14:textId="77777777" w:rsidR="002753FF" w:rsidRPr="005B7169" w:rsidRDefault="002753FF" w:rsidP="009D6FA2">
      <w:pPr>
        <w:tabs>
          <w:tab w:val="left" w:pos="426"/>
          <w:tab w:val="center" w:pos="4680"/>
          <w:tab w:val="left" w:pos="6430"/>
        </w:tabs>
        <w:jc w:val="both"/>
        <w:rPr>
          <w:rFonts w:ascii="Cambria" w:eastAsia="Cambria" w:hAnsi="Cambria" w:cs="Cambria"/>
          <w:i/>
          <w:sz w:val="20"/>
          <w:szCs w:val="20"/>
        </w:rPr>
      </w:pPr>
    </w:p>
    <w:p w14:paraId="46932D0A" w14:textId="77777777" w:rsidR="002753FF" w:rsidRPr="005B7169" w:rsidRDefault="002753FF" w:rsidP="009D6FA2">
      <w:pPr>
        <w:tabs>
          <w:tab w:val="center" w:pos="4680"/>
          <w:tab w:val="left" w:pos="6430"/>
        </w:tabs>
        <w:ind w:firstLine="426"/>
        <w:jc w:val="both"/>
        <w:rPr>
          <w:rFonts w:ascii="Cambria" w:eastAsia="Cambria" w:hAnsi="Cambria" w:cs="Cambria"/>
          <w:sz w:val="20"/>
          <w:szCs w:val="20"/>
        </w:rPr>
      </w:pPr>
      <w:r w:rsidRPr="005B7169">
        <w:rPr>
          <w:rFonts w:ascii="Cambria" w:hAnsi="Cambria"/>
          <w:i/>
          <w:sz w:val="20"/>
          <w:szCs w:val="20"/>
        </w:rPr>
        <w:tab/>
        <w:t>APPRÉCIANT</w:t>
      </w:r>
      <w:r w:rsidRPr="005B7169">
        <w:rPr>
          <w:rFonts w:ascii="Cambria" w:hAnsi="Cambria"/>
          <w:sz w:val="20"/>
          <w:szCs w:val="20"/>
        </w:rPr>
        <w:t xml:space="preserve"> les travaux considérables réalisés par l’ICCAT en vue de faire progresser la MSE pour le thon rouge, notamment l’adoption de la </w:t>
      </w:r>
      <w:r w:rsidRPr="005B7169">
        <w:rPr>
          <w:rFonts w:ascii="Cambria" w:hAnsi="Cambria"/>
          <w:i/>
          <w:sz w:val="20"/>
          <w:szCs w:val="20"/>
        </w:rPr>
        <w:t xml:space="preserve">Résolution de l’ICCAT sur le développement d’objectifs de gestion initiaux s’appliquant au thon rouge de l’Est et de l’Ouest </w:t>
      </w:r>
      <w:r w:rsidRPr="005B7169">
        <w:rPr>
          <w:rFonts w:ascii="Cambria" w:hAnsi="Cambria"/>
          <w:sz w:val="20"/>
          <w:szCs w:val="20"/>
        </w:rPr>
        <w:t xml:space="preserve">(Rés. 18-03), et les activités intersessions visant à finaliser ces objectifs de gestion conformément à la Convention, à la </w:t>
      </w:r>
      <w:r w:rsidRPr="005B7169">
        <w:rPr>
          <w:rFonts w:ascii="Cambria" w:hAnsi="Cambria"/>
          <w:i/>
          <w:sz w:val="20"/>
          <w:szCs w:val="20"/>
        </w:rPr>
        <w:t>Recommandation de l'ICCAT sur les principes de la prise de décisions sur des mesures de conservation et de gestion de l’ICCAT</w:t>
      </w:r>
      <w:r w:rsidRPr="005B7169">
        <w:rPr>
          <w:rFonts w:ascii="Cambria" w:hAnsi="Cambria"/>
          <w:sz w:val="20"/>
          <w:szCs w:val="20"/>
        </w:rPr>
        <w:t xml:space="preserve"> (Rec. 11-13) et à la </w:t>
      </w:r>
      <w:r w:rsidRPr="005B7169">
        <w:rPr>
          <w:rFonts w:ascii="Cambria" w:hAnsi="Cambria"/>
          <w:i/>
          <w:sz w:val="20"/>
          <w:szCs w:val="20"/>
        </w:rPr>
        <w:t>Recommandation de l’ICCAT sur le développement de règles de contrôle de l’exploitation et d'une évaluation de la stratégie de gestion</w:t>
      </w:r>
      <w:r w:rsidRPr="005B7169">
        <w:rPr>
          <w:rFonts w:ascii="Cambria" w:hAnsi="Cambria"/>
          <w:sz w:val="20"/>
          <w:szCs w:val="20"/>
        </w:rPr>
        <w:t xml:space="preserve"> (Rec. 15-07) ;</w:t>
      </w:r>
    </w:p>
    <w:p w14:paraId="1733A0A4" w14:textId="77777777" w:rsidR="002753FF" w:rsidRPr="005B7169" w:rsidRDefault="002753FF" w:rsidP="009D6FA2">
      <w:pPr>
        <w:tabs>
          <w:tab w:val="left" w:pos="426"/>
          <w:tab w:val="center" w:pos="4680"/>
          <w:tab w:val="left" w:pos="6430"/>
        </w:tabs>
        <w:jc w:val="both"/>
        <w:rPr>
          <w:rFonts w:ascii="Cambria" w:eastAsia="Cambria" w:hAnsi="Cambria" w:cs="Cambria"/>
          <w:i/>
          <w:sz w:val="20"/>
          <w:szCs w:val="20"/>
        </w:rPr>
      </w:pPr>
    </w:p>
    <w:p w14:paraId="32A67C69" w14:textId="4BB4EC8F" w:rsidR="002753FF" w:rsidRPr="005B7169" w:rsidRDefault="002753FF" w:rsidP="009D6FA2">
      <w:pPr>
        <w:tabs>
          <w:tab w:val="center" w:pos="4680"/>
          <w:tab w:val="left" w:pos="6430"/>
        </w:tabs>
        <w:ind w:firstLine="426"/>
        <w:jc w:val="both"/>
        <w:rPr>
          <w:rFonts w:ascii="Cambria" w:eastAsia="Cambria" w:hAnsi="Cambria" w:cs="Cambria"/>
          <w:sz w:val="20"/>
          <w:szCs w:val="20"/>
        </w:rPr>
      </w:pPr>
      <w:r w:rsidRPr="005B7169">
        <w:rPr>
          <w:rFonts w:ascii="Cambria" w:hAnsi="Cambria"/>
          <w:i/>
          <w:sz w:val="20"/>
          <w:szCs w:val="20"/>
        </w:rPr>
        <w:tab/>
        <w:t xml:space="preserve">RECONNAISSANT </w:t>
      </w:r>
      <w:r w:rsidRPr="005B7169">
        <w:rPr>
          <w:rFonts w:ascii="Cambria" w:hAnsi="Cambria"/>
          <w:sz w:val="20"/>
          <w:szCs w:val="20"/>
        </w:rPr>
        <w:t xml:space="preserve">le cadre complet de MSE, développé par le SCRS, qui a été utilisé pour tester les </w:t>
      </w:r>
      <w:r w:rsidR="00540D89" w:rsidRPr="005B7169">
        <w:rPr>
          <w:rFonts w:ascii="Cambria" w:hAnsi="Cambria"/>
          <w:sz w:val="20"/>
          <w:szCs w:val="20"/>
        </w:rPr>
        <w:t>procédures de gestion (</w:t>
      </w:r>
      <w:r w:rsidRPr="005B7169">
        <w:rPr>
          <w:rFonts w:ascii="Cambria" w:hAnsi="Cambria"/>
          <w:sz w:val="20"/>
          <w:szCs w:val="20"/>
        </w:rPr>
        <w:t>MP</w:t>
      </w:r>
      <w:r w:rsidR="00540D89" w:rsidRPr="005B7169">
        <w:rPr>
          <w:rFonts w:ascii="Cambria" w:hAnsi="Cambria"/>
          <w:sz w:val="20"/>
          <w:szCs w:val="20"/>
        </w:rPr>
        <w:t>)</w:t>
      </w:r>
      <w:r w:rsidRPr="005B7169">
        <w:rPr>
          <w:rFonts w:ascii="Cambria" w:hAnsi="Cambria"/>
          <w:sz w:val="20"/>
          <w:szCs w:val="20"/>
        </w:rPr>
        <w:t xml:space="preserve"> potentielles afin de démontrer les compromis entre les objectifs de gestion identifiés par la Sous-commission 2 en ce qui concerne l’état du stock, la sécurité, la stabilité et la production et l’examen du résultat de ces tests, incluant également l’étude de cycles de gestion de 2 et 3 ans et l’éventuel établissement d’un seuil minimum de changement du TAC ;</w:t>
      </w:r>
    </w:p>
    <w:p w14:paraId="37FF90E7" w14:textId="77777777" w:rsidR="002753FF" w:rsidRPr="005B7169" w:rsidRDefault="002753FF" w:rsidP="009D6FA2">
      <w:pPr>
        <w:tabs>
          <w:tab w:val="left" w:pos="426"/>
          <w:tab w:val="center" w:pos="4680"/>
          <w:tab w:val="left" w:pos="6430"/>
        </w:tabs>
        <w:jc w:val="both"/>
        <w:rPr>
          <w:rFonts w:ascii="Cambria" w:eastAsia="Cambria" w:hAnsi="Cambria" w:cs="Cambria"/>
          <w:i/>
          <w:sz w:val="20"/>
          <w:szCs w:val="20"/>
        </w:rPr>
      </w:pPr>
    </w:p>
    <w:p w14:paraId="6266AFB4" w14:textId="6B6A77A8" w:rsidR="002753FF" w:rsidRPr="005B7169" w:rsidRDefault="002753FF" w:rsidP="009D6FA2">
      <w:pPr>
        <w:tabs>
          <w:tab w:val="center" w:pos="4680"/>
          <w:tab w:val="left" w:pos="6430"/>
        </w:tabs>
        <w:ind w:firstLine="426"/>
        <w:jc w:val="both"/>
        <w:rPr>
          <w:rFonts w:ascii="Cambria" w:eastAsia="Cambria" w:hAnsi="Cambria" w:cs="Cambria"/>
          <w:sz w:val="20"/>
          <w:szCs w:val="20"/>
        </w:rPr>
      </w:pPr>
      <w:r w:rsidRPr="005B7169">
        <w:rPr>
          <w:rFonts w:ascii="Cambria" w:hAnsi="Cambria"/>
          <w:i/>
          <w:sz w:val="20"/>
          <w:szCs w:val="20"/>
        </w:rPr>
        <w:tab/>
      </w:r>
      <w:r w:rsidR="00A128D8" w:rsidRPr="005B7169">
        <w:rPr>
          <w:rFonts w:ascii="Cambria" w:hAnsi="Cambria"/>
          <w:i/>
          <w:sz w:val="20"/>
          <w:szCs w:val="20"/>
          <w:u w:val="single"/>
        </w:rPr>
        <w:t>RECONNAISSANT EN OUTRE</w:t>
      </w:r>
      <w:r w:rsidRPr="005B7169">
        <w:rPr>
          <w:rFonts w:ascii="Cambria" w:hAnsi="Cambria"/>
          <w:sz w:val="20"/>
          <w:szCs w:val="20"/>
        </w:rPr>
        <w:t xml:space="preserve"> l’adoption d’une MP en 2022 visant à établir les TAC tant pour les zones de gestion du thon rouge de l’Atlantique Est et de la Méditerranée que de l’Atlantique Ouest à compter de 2023 ;</w:t>
      </w:r>
    </w:p>
    <w:p w14:paraId="186F78AA" w14:textId="77777777" w:rsidR="002753FF" w:rsidRPr="005B7169" w:rsidRDefault="002753FF" w:rsidP="009D6FA2">
      <w:pPr>
        <w:tabs>
          <w:tab w:val="center" w:pos="4680"/>
          <w:tab w:val="left" w:pos="6430"/>
        </w:tabs>
        <w:ind w:firstLine="426"/>
        <w:jc w:val="both"/>
        <w:rPr>
          <w:rFonts w:ascii="Cambria" w:hAnsi="Cambria"/>
          <w:i/>
          <w:color w:val="231F20"/>
          <w:sz w:val="20"/>
          <w:szCs w:val="20"/>
        </w:rPr>
      </w:pPr>
    </w:p>
    <w:p w14:paraId="009FDDDE" w14:textId="032273DA" w:rsidR="00720124" w:rsidRPr="005B7169" w:rsidRDefault="00720124" w:rsidP="009D6FA2">
      <w:pPr>
        <w:tabs>
          <w:tab w:val="left" w:pos="426"/>
          <w:tab w:val="center" w:pos="4680"/>
          <w:tab w:val="left" w:pos="6430"/>
        </w:tabs>
        <w:ind w:firstLine="426"/>
        <w:jc w:val="both"/>
        <w:rPr>
          <w:rFonts w:ascii="Cambria" w:eastAsia="Cambria" w:hAnsi="Cambria" w:cs="Cambria"/>
          <w:strike/>
          <w:sz w:val="20"/>
          <w:szCs w:val="20"/>
          <w:u w:val="single"/>
        </w:rPr>
      </w:pPr>
      <w:r w:rsidRPr="005B7169">
        <w:rPr>
          <w:rFonts w:ascii="Cambria" w:hAnsi="Cambria"/>
          <w:i/>
          <w:sz w:val="20"/>
          <w:szCs w:val="20"/>
          <w:u w:val="single"/>
        </w:rPr>
        <w:t xml:space="preserve">RECONNAISSANT </w:t>
      </w:r>
      <w:r w:rsidR="00AF2D54" w:rsidRPr="005B7169">
        <w:rPr>
          <w:rFonts w:ascii="Cambria" w:hAnsi="Cambria"/>
          <w:i/>
          <w:sz w:val="20"/>
          <w:szCs w:val="20"/>
          <w:u w:val="single"/>
        </w:rPr>
        <w:t xml:space="preserve">DE SURCROÎT </w:t>
      </w:r>
      <w:r w:rsidR="003C52CA" w:rsidRPr="005B7169">
        <w:rPr>
          <w:rFonts w:ascii="Cambria" w:hAnsi="Cambria"/>
          <w:sz w:val="20"/>
          <w:szCs w:val="20"/>
          <w:u w:val="single"/>
        </w:rPr>
        <w:t>q</w:t>
      </w:r>
      <w:r w:rsidRPr="005B7169">
        <w:rPr>
          <w:rFonts w:ascii="Cambria" w:hAnsi="Cambria"/>
          <w:sz w:val="20"/>
          <w:szCs w:val="20"/>
          <w:u w:val="single"/>
        </w:rPr>
        <w:t>ue</w:t>
      </w:r>
      <w:r w:rsidRPr="005B7169">
        <w:rPr>
          <w:rFonts w:ascii="Cambria" w:hAnsi="Cambria"/>
          <w:i/>
          <w:sz w:val="20"/>
          <w:szCs w:val="20"/>
          <w:u w:val="single"/>
        </w:rPr>
        <w:t xml:space="preserve"> </w:t>
      </w:r>
      <w:r w:rsidRPr="005B7169">
        <w:rPr>
          <w:rFonts w:ascii="Cambria" w:hAnsi="Cambria"/>
          <w:sz w:val="20"/>
          <w:szCs w:val="20"/>
          <w:u w:val="single"/>
        </w:rPr>
        <w:t>le SCRS est tenu d'évaluer chaque année la survenance de circonstances exceptionnelles ;</w:t>
      </w:r>
    </w:p>
    <w:p w14:paraId="100F32BE" w14:textId="77777777" w:rsidR="00720124" w:rsidRPr="005B7169" w:rsidRDefault="00720124" w:rsidP="009D6FA2">
      <w:pPr>
        <w:rPr>
          <w:rFonts w:ascii="Cambria" w:hAnsi="Cambria"/>
          <w:sz w:val="20"/>
          <w:szCs w:val="20"/>
        </w:rPr>
      </w:pPr>
    </w:p>
    <w:p w14:paraId="321A5321" w14:textId="43FCA6C5" w:rsidR="00720124" w:rsidRPr="005B7169" w:rsidRDefault="00720124" w:rsidP="009D6FA2">
      <w:pPr>
        <w:tabs>
          <w:tab w:val="left" w:pos="426"/>
          <w:tab w:val="center" w:pos="4680"/>
          <w:tab w:val="left" w:pos="6430"/>
        </w:tabs>
        <w:jc w:val="both"/>
        <w:rPr>
          <w:rFonts w:ascii="Cambria" w:hAnsi="Cambria"/>
          <w:color w:val="231F20"/>
          <w:sz w:val="20"/>
          <w:szCs w:val="20"/>
          <w:u w:val="single"/>
        </w:rPr>
      </w:pPr>
      <w:r w:rsidRPr="005B7169">
        <w:rPr>
          <w:rFonts w:ascii="Cambria" w:hAnsi="Cambria"/>
          <w:i/>
          <w:color w:val="231F20"/>
          <w:sz w:val="20"/>
          <w:szCs w:val="20"/>
        </w:rPr>
        <w:tab/>
      </w:r>
      <w:r w:rsidRPr="005B7169">
        <w:rPr>
          <w:rFonts w:ascii="Cambria" w:hAnsi="Cambria"/>
          <w:i/>
          <w:iCs/>
          <w:color w:val="231F20"/>
          <w:sz w:val="20"/>
          <w:szCs w:val="20"/>
          <w:u w:val="single"/>
        </w:rPr>
        <w:t>CONSCIENTE</w:t>
      </w:r>
      <w:r w:rsidRPr="005B7169">
        <w:rPr>
          <w:rFonts w:ascii="Cambria" w:hAnsi="Cambria"/>
          <w:color w:val="231F20"/>
          <w:sz w:val="20"/>
          <w:szCs w:val="20"/>
          <w:u w:val="single"/>
        </w:rPr>
        <w:t xml:space="preserve"> qu'en 2025, le SCRS a évalué la survenance de circonstances exceptionnelles, mais n'a pas été en mesure de parvenir à un consensus, ce qui a conduit à la formulation de deux séries d'avis sur le</w:t>
      </w:r>
      <w:r w:rsidR="00090575" w:rsidRPr="005B7169">
        <w:rPr>
          <w:rFonts w:ascii="Cambria" w:hAnsi="Cambria"/>
          <w:color w:val="231F20"/>
          <w:sz w:val="20"/>
          <w:szCs w:val="20"/>
          <w:u w:val="single"/>
        </w:rPr>
        <w:t xml:space="preserve"> </w:t>
      </w:r>
      <w:r w:rsidRPr="005B7169">
        <w:rPr>
          <w:rFonts w:ascii="Cambria" w:hAnsi="Cambria"/>
          <w:color w:val="231F20"/>
          <w:sz w:val="20"/>
          <w:szCs w:val="20"/>
          <w:u w:val="single"/>
        </w:rPr>
        <w:t>TAC (BR et BR</w:t>
      </w:r>
      <w:r w:rsidR="00621BBF" w:rsidRPr="005B7169">
        <w:rPr>
          <w:rFonts w:ascii="Cambria" w:hAnsi="Cambria"/>
          <w:color w:val="231F20"/>
          <w:sz w:val="20"/>
          <w:szCs w:val="20"/>
          <w:u w:val="single"/>
        </w:rPr>
        <w:t>*)</w:t>
      </w:r>
      <w:r w:rsidRPr="005B7169">
        <w:rPr>
          <w:rFonts w:ascii="Cambria" w:hAnsi="Cambria"/>
          <w:color w:val="231F20"/>
          <w:sz w:val="20"/>
          <w:szCs w:val="20"/>
          <w:u w:val="single"/>
        </w:rPr>
        <w:t xml:space="preserve"> ;</w:t>
      </w:r>
    </w:p>
    <w:p w14:paraId="445446FE" w14:textId="77777777" w:rsidR="0015357D" w:rsidRPr="005B7169" w:rsidRDefault="0015357D" w:rsidP="009D6FA2">
      <w:pPr>
        <w:tabs>
          <w:tab w:val="left" w:pos="426"/>
          <w:tab w:val="center" w:pos="4680"/>
          <w:tab w:val="left" w:pos="6430"/>
        </w:tabs>
        <w:jc w:val="both"/>
        <w:rPr>
          <w:rFonts w:ascii="Cambria" w:eastAsia="Cambria" w:hAnsi="Cambria" w:cs="Cambria"/>
          <w:iCs/>
          <w:color w:val="231F20"/>
          <w:sz w:val="20"/>
          <w:szCs w:val="20"/>
          <w:u w:val="single"/>
        </w:rPr>
      </w:pPr>
    </w:p>
    <w:p w14:paraId="36F3EF7E" w14:textId="77777777" w:rsidR="00720124" w:rsidRPr="005B7169" w:rsidRDefault="00720124" w:rsidP="009D6FA2">
      <w:pPr>
        <w:tabs>
          <w:tab w:val="left" w:pos="426"/>
          <w:tab w:val="center" w:pos="4680"/>
          <w:tab w:val="left" w:pos="6430"/>
        </w:tabs>
        <w:jc w:val="both"/>
        <w:rPr>
          <w:rFonts w:ascii="Cambria" w:hAnsi="Cambria"/>
          <w:color w:val="231F20"/>
          <w:sz w:val="20"/>
          <w:szCs w:val="20"/>
          <w:u w:val="single"/>
        </w:rPr>
      </w:pPr>
      <w:r w:rsidRPr="005B7169">
        <w:rPr>
          <w:rFonts w:ascii="Cambria" w:hAnsi="Cambria"/>
          <w:color w:val="231F20"/>
          <w:sz w:val="20"/>
          <w:szCs w:val="20"/>
          <w:u w:val="single"/>
        </w:rPr>
        <w:tab/>
      </w:r>
      <w:r w:rsidRPr="005B7169">
        <w:rPr>
          <w:rFonts w:ascii="Cambria" w:hAnsi="Cambria"/>
          <w:i/>
          <w:iCs/>
          <w:color w:val="231F20"/>
          <w:sz w:val="20"/>
          <w:szCs w:val="20"/>
          <w:u w:val="single"/>
        </w:rPr>
        <w:t>NOTANT</w:t>
      </w:r>
      <w:r w:rsidRPr="005B7169">
        <w:rPr>
          <w:rFonts w:ascii="Cambria" w:hAnsi="Cambria"/>
          <w:color w:val="231F20"/>
          <w:sz w:val="20"/>
          <w:szCs w:val="20"/>
          <w:u w:val="single"/>
        </w:rPr>
        <w:t xml:space="preserve"> que les résultats du marquage-récupération de marques sur des spécimens étroitement apparentés (CKMR) pour le stock occidental montrent que l'échelle de la biomasse dans la région occidentale se situe à la limite supérieure de celle qui a été utilisée dans l'élaboration de la MP ;</w:t>
      </w:r>
    </w:p>
    <w:p w14:paraId="24F10D84" w14:textId="77777777" w:rsidR="0015357D" w:rsidRPr="005B7169" w:rsidRDefault="0015357D" w:rsidP="009D6FA2">
      <w:pPr>
        <w:tabs>
          <w:tab w:val="left" w:pos="426"/>
          <w:tab w:val="center" w:pos="4680"/>
          <w:tab w:val="left" w:pos="6430"/>
        </w:tabs>
        <w:jc w:val="both"/>
        <w:rPr>
          <w:rFonts w:ascii="Cambria" w:eastAsia="Cambria" w:hAnsi="Cambria" w:cs="Cambria"/>
          <w:iCs/>
          <w:color w:val="231F20"/>
          <w:sz w:val="20"/>
          <w:szCs w:val="20"/>
          <w:u w:val="single"/>
        </w:rPr>
      </w:pPr>
    </w:p>
    <w:p w14:paraId="47379671" w14:textId="3748B804" w:rsidR="00720124" w:rsidRPr="005B7169" w:rsidRDefault="00720124" w:rsidP="009D6FA2">
      <w:pPr>
        <w:tabs>
          <w:tab w:val="left" w:pos="426"/>
          <w:tab w:val="center" w:pos="4680"/>
          <w:tab w:val="left" w:pos="6430"/>
        </w:tabs>
        <w:jc w:val="both"/>
        <w:rPr>
          <w:rFonts w:ascii="Cambria" w:hAnsi="Cambria"/>
          <w:color w:val="231F20"/>
          <w:sz w:val="20"/>
          <w:szCs w:val="20"/>
          <w:u w:val="single"/>
        </w:rPr>
      </w:pPr>
      <w:r w:rsidRPr="005B7169">
        <w:rPr>
          <w:rFonts w:ascii="Cambria" w:hAnsi="Cambria"/>
          <w:color w:val="231F20"/>
          <w:sz w:val="20"/>
          <w:szCs w:val="20"/>
          <w:u w:val="single"/>
        </w:rPr>
        <w:tab/>
      </w:r>
      <w:r w:rsidRPr="005B7169">
        <w:rPr>
          <w:rFonts w:ascii="Cambria" w:hAnsi="Cambria"/>
          <w:i/>
          <w:iCs/>
          <w:color w:val="231F20"/>
          <w:sz w:val="20"/>
          <w:szCs w:val="20"/>
          <w:u w:val="single"/>
        </w:rPr>
        <w:t>SACHANT</w:t>
      </w:r>
      <w:r w:rsidRPr="005B7169">
        <w:rPr>
          <w:rFonts w:ascii="Cambria" w:hAnsi="Cambria"/>
          <w:color w:val="231F20"/>
          <w:sz w:val="20"/>
          <w:szCs w:val="20"/>
          <w:u w:val="single"/>
        </w:rPr>
        <w:t xml:space="preserve"> que l'incertitude de l'échelle était l'incertitude la plus influente incorporée dans la MSE pour le thon rouge et qu'elle </w:t>
      </w:r>
      <w:proofErr w:type="gramStart"/>
      <w:r w:rsidRPr="005B7169">
        <w:rPr>
          <w:rFonts w:ascii="Cambria" w:hAnsi="Cambria"/>
          <w:color w:val="231F20"/>
          <w:sz w:val="20"/>
          <w:szCs w:val="20"/>
          <w:u w:val="single"/>
        </w:rPr>
        <w:t>avait</w:t>
      </w:r>
      <w:proofErr w:type="gramEnd"/>
      <w:r w:rsidRPr="005B7169">
        <w:rPr>
          <w:rFonts w:ascii="Cambria" w:hAnsi="Cambria"/>
          <w:color w:val="231F20"/>
          <w:sz w:val="20"/>
          <w:szCs w:val="20"/>
          <w:u w:val="single"/>
        </w:rPr>
        <w:t xml:space="preserve"> une grande influence sur le développement et la performance de la </w:t>
      </w:r>
      <w:r w:rsidR="00852CBF" w:rsidRPr="005B7169">
        <w:rPr>
          <w:rFonts w:ascii="Cambria" w:hAnsi="Cambria"/>
          <w:color w:val="231F20"/>
          <w:sz w:val="20"/>
          <w:szCs w:val="20"/>
          <w:u w:val="single"/>
        </w:rPr>
        <w:t>MP</w:t>
      </w:r>
      <w:r w:rsidRPr="005B7169">
        <w:rPr>
          <w:rFonts w:ascii="Cambria" w:hAnsi="Cambria"/>
          <w:color w:val="231F20"/>
          <w:sz w:val="20"/>
          <w:szCs w:val="20"/>
          <w:u w:val="single"/>
        </w:rPr>
        <w:t>, et qu'il est donc impératif que les résultats du CKMR pour le stock occidental soient incorporés dans la MSE ;</w:t>
      </w:r>
    </w:p>
    <w:p w14:paraId="77A87C59" w14:textId="77777777" w:rsidR="0015357D" w:rsidRPr="005B7169" w:rsidRDefault="0015357D" w:rsidP="009D6FA2">
      <w:pPr>
        <w:tabs>
          <w:tab w:val="left" w:pos="426"/>
          <w:tab w:val="center" w:pos="4680"/>
          <w:tab w:val="left" w:pos="6430"/>
        </w:tabs>
        <w:jc w:val="both"/>
        <w:rPr>
          <w:rFonts w:ascii="Cambria" w:eastAsia="Cambria" w:hAnsi="Cambria" w:cs="Cambria"/>
          <w:color w:val="231F20"/>
          <w:sz w:val="20"/>
          <w:szCs w:val="20"/>
          <w:u w:val="single"/>
        </w:rPr>
      </w:pPr>
    </w:p>
    <w:p w14:paraId="3A935128" w14:textId="20DCA0BB" w:rsidR="00720124" w:rsidRPr="005B7169" w:rsidRDefault="00720124" w:rsidP="009D6FA2">
      <w:pPr>
        <w:tabs>
          <w:tab w:val="left" w:pos="426"/>
          <w:tab w:val="center" w:pos="4680"/>
          <w:tab w:val="left" w:pos="6430"/>
        </w:tabs>
        <w:jc w:val="both"/>
        <w:rPr>
          <w:rFonts w:ascii="Cambria" w:hAnsi="Cambria"/>
          <w:color w:val="231F20"/>
          <w:sz w:val="20"/>
          <w:szCs w:val="20"/>
          <w:u w:val="single"/>
        </w:rPr>
      </w:pPr>
      <w:r w:rsidRPr="005B7169">
        <w:rPr>
          <w:rFonts w:ascii="Cambria" w:hAnsi="Cambria"/>
          <w:color w:val="231F20"/>
          <w:sz w:val="20"/>
          <w:szCs w:val="20"/>
          <w:u w:val="single"/>
        </w:rPr>
        <w:tab/>
      </w:r>
      <w:r w:rsidRPr="005B7169">
        <w:rPr>
          <w:rFonts w:ascii="Cambria" w:hAnsi="Cambria"/>
          <w:i/>
          <w:iCs/>
          <w:color w:val="231F20"/>
          <w:sz w:val="20"/>
          <w:szCs w:val="20"/>
          <w:u w:val="single"/>
        </w:rPr>
        <w:t>SOULIGNANT</w:t>
      </w:r>
      <w:r w:rsidRPr="005B7169">
        <w:rPr>
          <w:rFonts w:ascii="Cambria" w:hAnsi="Cambria"/>
          <w:color w:val="231F20"/>
          <w:sz w:val="20"/>
          <w:szCs w:val="20"/>
          <w:u w:val="single"/>
        </w:rPr>
        <w:t xml:space="preserve"> qu'après l'inclusion des résultats du CKMR pour le stock occidental, BR ne satisfait pas à la mesure de la performance </w:t>
      </w:r>
      <w:r w:rsidR="003B1D7A" w:rsidRPr="005B7169">
        <w:rPr>
          <w:rFonts w:ascii="Cambria" w:hAnsi="Cambria"/>
          <w:color w:val="231F20"/>
          <w:sz w:val="20"/>
          <w:szCs w:val="20"/>
          <w:u w:val="single"/>
        </w:rPr>
        <w:t>de l’épuisement le plus faible</w:t>
      </w:r>
      <w:r w:rsidRPr="005B7169">
        <w:rPr>
          <w:rFonts w:ascii="Cambria" w:hAnsi="Cambria"/>
          <w:color w:val="231F20"/>
          <w:sz w:val="20"/>
          <w:szCs w:val="20"/>
          <w:u w:val="single"/>
        </w:rPr>
        <w:t xml:space="preserve"> précédemment convenue pour l'objectif de gestion de la sécurité et que, par conséquent, sa mise en œuvre serait contraire à la</w:t>
      </w:r>
      <w:r w:rsidRPr="005B7169">
        <w:rPr>
          <w:rFonts w:ascii="Cambria" w:hAnsi="Cambria"/>
          <w:i/>
          <w:iCs/>
          <w:color w:val="231F20"/>
          <w:sz w:val="20"/>
          <w:szCs w:val="20"/>
          <w:u w:val="single"/>
        </w:rPr>
        <w:t xml:space="preserve"> Recommandation de l'ICCAT établissant une procédure de gestion pour le thon rouge de l'Atlantique à appliquer dans les zones de gestion de l'Atlantique Ouest et de l'Atlantique Est et de la Méditerranée</w:t>
      </w:r>
      <w:r w:rsidRPr="005B7169">
        <w:rPr>
          <w:rFonts w:ascii="Cambria" w:hAnsi="Cambria"/>
          <w:color w:val="231F20"/>
          <w:sz w:val="20"/>
          <w:szCs w:val="20"/>
          <w:u w:val="single"/>
        </w:rPr>
        <w:t xml:space="preserve"> (Rec. 22-09) ; </w:t>
      </w:r>
    </w:p>
    <w:p w14:paraId="3BBC8D78" w14:textId="77777777" w:rsidR="0074229F" w:rsidRPr="005B7169" w:rsidRDefault="0074229F" w:rsidP="009D6FA2">
      <w:pPr>
        <w:tabs>
          <w:tab w:val="left" w:pos="426"/>
          <w:tab w:val="center" w:pos="4680"/>
          <w:tab w:val="left" w:pos="6430"/>
        </w:tabs>
        <w:jc w:val="both"/>
        <w:rPr>
          <w:rFonts w:ascii="Cambria" w:eastAsia="Cambria" w:hAnsi="Cambria" w:cs="Cambria"/>
          <w:iCs/>
          <w:color w:val="231F20"/>
          <w:sz w:val="20"/>
          <w:szCs w:val="20"/>
          <w:u w:val="single"/>
        </w:rPr>
      </w:pPr>
    </w:p>
    <w:p w14:paraId="409D38C8" w14:textId="77777777" w:rsidR="00720124" w:rsidRPr="005B7169" w:rsidRDefault="00720124" w:rsidP="009D6FA2">
      <w:pPr>
        <w:tabs>
          <w:tab w:val="left" w:pos="426"/>
          <w:tab w:val="center" w:pos="4680"/>
          <w:tab w:val="left" w:pos="6430"/>
        </w:tabs>
        <w:jc w:val="both"/>
        <w:rPr>
          <w:rFonts w:ascii="Cambria" w:eastAsia="Cambria" w:hAnsi="Cambria" w:cs="Cambria"/>
          <w:iCs/>
          <w:color w:val="231F20"/>
          <w:sz w:val="20"/>
          <w:szCs w:val="20"/>
          <w:u w:val="single"/>
        </w:rPr>
      </w:pPr>
      <w:r w:rsidRPr="005B7169">
        <w:rPr>
          <w:rFonts w:ascii="Cambria" w:hAnsi="Cambria"/>
          <w:color w:val="231F20"/>
          <w:sz w:val="20"/>
          <w:szCs w:val="20"/>
          <w:u w:val="single"/>
        </w:rPr>
        <w:tab/>
      </w:r>
      <w:r w:rsidRPr="005B7169">
        <w:rPr>
          <w:rFonts w:ascii="Cambria" w:hAnsi="Cambria"/>
          <w:i/>
          <w:iCs/>
          <w:color w:val="231F20"/>
          <w:sz w:val="20"/>
          <w:szCs w:val="20"/>
          <w:u w:val="single"/>
        </w:rPr>
        <w:t>NOTANT</w:t>
      </w:r>
      <w:r w:rsidRPr="005B7169">
        <w:rPr>
          <w:rFonts w:ascii="Cambria" w:hAnsi="Cambria"/>
          <w:color w:val="231F20"/>
          <w:sz w:val="20"/>
          <w:szCs w:val="20"/>
          <w:u w:val="single"/>
        </w:rPr>
        <w:t xml:space="preserve"> que BR* est conforme à la</w:t>
      </w:r>
      <w:r w:rsidRPr="005B7169">
        <w:rPr>
          <w:rFonts w:ascii="Cambria" w:hAnsi="Cambria"/>
          <w:i/>
          <w:iCs/>
          <w:color w:val="231F20"/>
          <w:sz w:val="20"/>
          <w:szCs w:val="20"/>
          <w:u w:val="single"/>
        </w:rPr>
        <w:t xml:space="preserve"> Recommandation de l'ICCAT établissant une procédure de gestion pour le thon rouge de l'Atlantique à appliquer dans les zones de gestion de l'Atlantique Ouest et de l'Atlantique Est et de la Méditerranée</w:t>
      </w:r>
      <w:r w:rsidRPr="005B7169">
        <w:rPr>
          <w:rFonts w:ascii="Cambria" w:hAnsi="Cambria"/>
          <w:color w:val="231F20"/>
          <w:sz w:val="20"/>
          <w:szCs w:val="20"/>
          <w:u w:val="single"/>
        </w:rPr>
        <w:t xml:space="preserve"> (Rec. 22-09), qu'il répond à tous les objectifs de gestion et que, par conséquent, il devrait être mis en œuvre pour le cycle de gestion 2026-2028 ; </w:t>
      </w:r>
    </w:p>
    <w:p w14:paraId="2637A0CD" w14:textId="77777777" w:rsidR="001A460B" w:rsidRPr="005B7169" w:rsidRDefault="001A460B" w:rsidP="009D6FA2">
      <w:pPr>
        <w:tabs>
          <w:tab w:val="center" w:pos="4680"/>
          <w:tab w:val="left" w:pos="6430"/>
        </w:tabs>
        <w:ind w:firstLine="426"/>
        <w:jc w:val="both"/>
        <w:rPr>
          <w:rFonts w:ascii="Cambria" w:hAnsi="Cambria"/>
          <w:i/>
          <w:color w:val="231F20"/>
          <w:sz w:val="20"/>
          <w:szCs w:val="20"/>
        </w:rPr>
      </w:pPr>
    </w:p>
    <w:p w14:paraId="0774D74C" w14:textId="6086635A" w:rsidR="002753FF" w:rsidRPr="005B7169" w:rsidRDefault="002753FF" w:rsidP="009D6FA2">
      <w:pPr>
        <w:tabs>
          <w:tab w:val="center" w:pos="4680"/>
          <w:tab w:val="left" w:pos="6430"/>
        </w:tabs>
        <w:ind w:firstLine="426"/>
        <w:jc w:val="both"/>
        <w:rPr>
          <w:rFonts w:ascii="Cambria" w:hAnsi="Cambria"/>
          <w:color w:val="231F20"/>
          <w:sz w:val="20"/>
          <w:szCs w:val="20"/>
        </w:rPr>
      </w:pPr>
      <w:r w:rsidRPr="005B7169">
        <w:rPr>
          <w:rFonts w:ascii="Cambria" w:hAnsi="Cambria"/>
          <w:i/>
          <w:color w:val="231F20"/>
          <w:sz w:val="20"/>
          <w:szCs w:val="20"/>
        </w:rPr>
        <w:t xml:space="preserve">RECONNAISSANT </w:t>
      </w:r>
      <w:r w:rsidRPr="005B7169">
        <w:rPr>
          <w:rFonts w:ascii="Cambria" w:hAnsi="Cambria"/>
          <w:color w:val="231F20"/>
          <w:sz w:val="20"/>
          <w:szCs w:val="20"/>
        </w:rPr>
        <w:t xml:space="preserve">qu’un élément important de la MP est sa révision et que le SCRS a recommandé que la première révision soit achevée </w:t>
      </w:r>
      <w:r w:rsidR="0002763A" w:rsidRPr="005B7169">
        <w:rPr>
          <w:rFonts w:ascii="Cambria" w:hAnsi="Cambria"/>
          <w:color w:val="231F20"/>
          <w:sz w:val="20"/>
          <w:szCs w:val="20"/>
          <w:u w:val="single"/>
        </w:rPr>
        <w:t>au plus tard en</w:t>
      </w:r>
      <w:r w:rsidRPr="005B7169">
        <w:rPr>
          <w:rFonts w:ascii="Cambria" w:hAnsi="Cambria"/>
          <w:color w:val="231F20"/>
          <w:sz w:val="20"/>
          <w:szCs w:val="20"/>
        </w:rPr>
        <w:t xml:space="preserve"> 2028 afin de s'assurer que la MP fonctionne comme prévu et de déterminer s'il existe des conditions qui justifient le reconditionnement des modèles opérationnels de la MSE, le recalibrage de la MP actuelle et/ou l'examen d’éventuelles procédures de gestion alternatives ou d’une nouvelle MSE complète ; </w:t>
      </w:r>
    </w:p>
    <w:p w14:paraId="2874214E" w14:textId="1E9E5208" w:rsidR="002753FF" w:rsidRPr="005B7169" w:rsidRDefault="002753FF" w:rsidP="009D6FA2">
      <w:pPr>
        <w:rPr>
          <w:rFonts w:ascii="Cambria" w:hAnsi="Cambria"/>
          <w:color w:val="231F20"/>
          <w:sz w:val="20"/>
          <w:szCs w:val="20"/>
        </w:rPr>
      </w:pPr>
    </w:p>
    <w:p w14:paraId="0A2E64A3" w14:textId="77777777" w:rsidR="002753FF" w:rsidRPr="005B7169" w:rsidRDefault="002753FF" w:rsidP="009D6FA2">
      <w:pPr>
        <w:tabs>
          <w:tab w:val="center" w:pos="4680"/>
          <w:tab w:val="left" w:pos="6430"/>
        </w:tabs>
        <w:ind w:firstLine="425"/>
        <w:contextualSpacing/>
        <w:jc w:val="both"/>
        <w:rPr>
          <w:rFonts w:ascii="Cambria" w:hAnsi="Cambria"/>
          <w:color w:val="231F20"/>
          <w:sz w:val="20"/>
          <w:szCs w:val="20"/>
        </w:rPr>
      </w:pPr>
      <w:r w:rsidRPr="005B7169">
        <w:rPr>
          <w:rFonts w:ascii="Cambria" w:hAnsi="Cambria"/>
          <w:i/>
          <w:color w:val="231F20"/>
          <w:sz w:val="20"/>
          <w:szCs w:val="20"/>
        </w:rPr>
        <w:t>SOULIGNANT</w:t>
      </w:r>
      <w:r w:rsidRPr="005B7169">
        <w:rPr>
          <w:rFonts w:ascii="Cambria" w:hAnsi="Cambria"/>
          <w:color w:val="231F20"/>
          <w:sz w:val="20"/>
          <w:szCs w:val="20"/>
        </w:rPr>
        <w:t xml:space="preserve"> l’importance de la poursuite des projets de recherche sur le stock, y compris l’augmentation de l’échantillonnage biologique et des pêches, afin de fournie un appui complémentaire pour résoudre certaines incertitudes majeures dans l’évaluation du stock et la MSE, incluant la structure des tailles des captures et des remises à l’eau, les échantillons génétiques pour l’identification du stock et les études génétiques de marquage-récupération, l’estimation de l’âge et de la croissance, et le marquage électronique aux fins du suivi des migrations du stock et des taux de mélange ;</w:t>
      </w:r>
    </w:p>
    <w:p w14:paraId="30D776A4" w14:textId="77777777" w:rsidR="002753FF" w:rsidRPr="005B7169" w:rsidRDefault="002753FF" w:rsidP="009D6FA2">
      <w:pPr>
        <w:tabs>
          <w:tab w:val="center" w:pos="4680"/>
          <w:tab w:val="left" w:pos="6430"/>
        </w:tabs>
        <w:ind w:firstLine="425"/>
        <w:contextualSpacing/>
        <w:jc w:val="both"/>
        <w:rPr>
          <w:rFonts w:ascii="Cambria" w:eastAsia="Cambria" w:hAnsi="Cambria" w:cs="Cambria"/>
          <w:color w:val="231F20"/>
          <w:sz w:val="20"/>
          <w:szCs w:val="20"/>
        </w:rPr>
      </w:pPr>
    </w:p>
    <w:p w14:paraId="54EF389C" w14:textId="77777777" w:rsidR="002753FF" w:rsidRPr="005B7169" w:rsidRDefault="002753FF" w:rsidP="009D6FA2">
      <w:pPr>
        <w:tabs>
          <w:tab w:val="center" w:pos="4680"/>
          <w:tab w:val="left" w:pos="6430"/>
        </w:tabs>
        <w:ind w:firstLine="425"/>
        <w:contextualSpacing/>
        <w:jc w:val="both"/>
        <w:rPr>
          <w:rFonts w:ascii="Cambria" w:hAnsi="Cambria"/>
          <w:color w:val="231F20"/>
          <w:sz w:val="20"/>
          <w:szCs w:val="20"/>
        </w:rPr>
      </w:pPr>
      <w:r w:rsidRPr="005B7169">
        <w:rPr>
          <w:rFonts w:ascii="Cambria" w:hAnsi="Cambria"/>
          <w:i/>
          <w:color w:val="231F20"/>
          <w:sz w:val="20"/>
          <w:szCs w:val="20"/>
        </w:rPr>
        <w:t xml:space="preserve">RECONNAISSANT </w:t>
      </w:r>
      <w:r w:rsidRPr="005B7169">
        <w:rPr>
          <w:rFonts w:ascii="Cambria" w:hAnsi="Cambria"/>
          <w:iCs/>
          <w:color w:val="231F20"/>
          <w:sz w:val="20"/>
          <w:szCs w:val="20"/>
        </w:rPr>
        <w:t>la</w:t>
      </w:r>
      <w:r w:rsidRPr="005B7169">
        <w:rPr>
          <w:rFonts w:ascii="Cambria" w:hAnsi="Cambria"/>
          <w:i/>
          <w:color w:val="231F20"/>
          <w:sz w:val="20"/>
          <w:szCs w:val="20"/>
        </w:rPr>
        <w:t xml:space="preserve"> Résolution de l’ICCAT portant sur les critères pour l’allocation de possibilités de pêche </w:t>
      </w:r>
      <w:r w:rsidRPr="005B7169">
        <w:rPr>
          <w:rFonts w:ascii="Cambria" w:hAnsi="Cambria"/>
          <w:color w:val="231F20"/>
          <w:sz w:val="20"/>
          <w:szCs w:val="20"/>
        </w:rPr>
        <w:t>(Rés. 15-13) ;</w:t>
      </w:r>
    </w:p>
    <w:p w14:paraId="785B9A00" w14:textId="77777777" w:rsidR="002753FF" w:rsidRPr="005B7169" w:rsidRDefault="002753FF" w:rsidP="009D6FA2">
      <w:pPr>
        <w:tabs>
          <w:tab w:val="center" w:pos="4680"/>
          <w:tab w:val="left" w:pos="6430"/>
        </w:tabs>
        <w:ind w:firstLine="425"/>
        <w:contextualSpacing/>
        <w:jc w:val="both"/>
        <w:rPr>
          <w:rFonts w:ascii="Cambria" w:eastAsia="Cambria" w:hAnsi="Cambria" w:cs="Cambria"/>
          <w:color w:val="231F20"/>
          <w:sz w:val="20"/>
          <w:szCs w:val="20"/>
        </w:rPr>
      </w:pPr>
    </w:p>
    <w:p w14:paraId="6D2FF054" w14:textId="77777777" w:rsidR="002753FF" w:rsidRPr="005B7169" w:rsidRDefault="002753FF" w:rsidP="009D6FA2">
      <w:pPr>
        <w:tabs>
          <w:tab w:val="center" w:pos="4680"/>
          <w:tab w:val="left" w:pos="6430"/>
        </w:tabs>
        <w:ind w:firstLine="425"/>
        <w:contextualSpacing/>
        <w:jc w:val="both"/>
        <w:rPr>
          <w:rFonts w:ascii="Cambria" w:eastAsia="Cambria" w:hAnsi="Cambria" w:cs="Cambria"/>
          <w:color w:val="231F20"/>
          <w:sz w:val="20"/>
          <w:szCs w:val="20"/>
        </w:rPr>
      </w:pPr>
      <w:r w:rsidRPr="005B7169">
        <w:rPr>
          <w:rFonts w:ascii="Cambria" w:hAnsi="Cambria"/>
          <w:i/>
          <w:color w:val="231F20"/>
          <w:sz w:val="20"/>
          <w:szCs w:val="20"/>
        </w:rPr>
        <w:t>RENOUVELANT</w:t>
      </w:r>
      <w:r w:rsidRPr="005B7169">
        <w:rPr>
          <w:rFonts w:ascii="Cambria" w:hAnsi="Cambria"/>
          <w:color w:val="231F20"/>
          <w:sz w:val="20"/>
          <w:szCs w:val="20"/>
        </w:rPr>
        <w:t xml:space="preserve"> l'engagement envers la mise en œuvre intégrale des obligations de déclaration existantes, notamment celles stipulées dans la </w:t>
      </w:r>
      <w:r w:rsidRPr="005B7169">
        <w:rPr>
          <w:rFonts w:ascii="Cambria" w:hAnsi="Cambria"/>
          <w:i/>
          <w:color w:val="231F20"/>
          <w:sz w:val="20"/>
          <w:szCs w:val="20"/>
        </w:rPr>
        <w:t>Recommandation de l’ICCAT relative à l’enregistrement des captures par les navires de pêche dans la zone de la Convention ICCAT</w:t>
      </w:r>
      <w:r w:rsidRPr="005B7169">
        <w:rPr>
          <w:rFonts w:ascii="Cambria" w:hAnsi="Cambria"/>
          <w:color w:val="231F20"/>
          <w:sz w:val="20"/>
          <w:szCs w:val="20"/>
        </w:rPr>
        <w:t xml:space="preserve"> (Rec. 03-13) ;</w:t>
      </w:r>
    </w:p>
    <w:p w14:paraId="6323A9F2" w14:textId="77777777" w:rsidR="002753FF" w:rsidRPr="005B7169" w:rsidRDefault="002753FF" w:rsidP="009D6FA2">
      <w:pPr>
        <w:ind w:left="2092" w:right="1457" w:hanging="455"/>
        <w:rPr>
          <w:rFonts w:ascii="Cambria" w:eastAsia="Cambria" w:hAnsi="Cambria" w:cs="Cambria"/>
          <w:i/>
          <w:color w:val="231F20"/>
          <w:sz w:val="20"/>
          <w:szCs w:val="20"/>
        </w:rPr>
      </w:pPr>
    </w:p>
    <w:p w14:paraId="6A3B8440" w14:textId="77777777" w:rsidR="002753FF" w:rsidRPr="005B7169" w:rsidRDefault="002753FF" w:rsidP="009D6FA2">
      <w:pPr>
        <w:ind w:left="2092" w:right="1457" w:hanging="455"/>
        <w:rPr>
          <w:rFonts w:ascii="Cambria" w:eastAsia="Cambria" w:hAnsi="Cambria" w:cs="Cambria"/>
          <w:i/>
          <w:color w:val="231F20"/>
          <w:sz w:val="20"/>
          <w:szCs w:val="20"/>
        </w:rPr>
      </w:pPr>
    </w:p>
    <w:p w14:paraId="084D7534" w14:textId="77777777" w:rsidR="002753FF" w:rsidRPr="005B7169" w:rsidRDefault="002753FF" w:rsidP="009D6FA2">
      <w:pPr>
        <w:tabs>
          <w:tab w:val="center" w:pos="4680"/>
          <w:tab w:val="left" w:pos="6430"/>
        </w:tabs>
        <w:ind w:firstLine="425"/>
        <w:contextualSpacing/>
        <w:jc w:val="center"/>
        <w:rPr>
          <w:rFonts w:ascii="Cambria" w:hAnsi="Cambria"/>
          <w:color w:val="231F20"/>
          <w:sz w:val="20"/>
          <w:szCs w:val="20"/>
        </w:rPr>
      </w:pPr>
      <w:r w:rsidRPr="005B7169">
        <w:rPr>
          <w:rFonts w:ascii="Cambria" w:hAnsi="Cambria"/>
          <w:color w:val="231F20"/>
          <w:sz w:val="20"/>
          <w:szCs w:val="20"/>
        </w:rPr>
        <w:t>LA COMMISSION INTERNATIONALE POUR LA CONSERVATION</w:t>
      </w:r>
    </w:p>
    <w:p w14:paraId="1E95F93A" w14:textId="77777777" w:rsidR="002753FF" w:rsidRPr="005B7169" w:rsidRDefault="002753FF" w:rsidP="009D6FA2">
      <w:pPr>
        <w:tabs>
          <w:tab w:val="center" w:pos="4680"/>
          <w:tab w:val="left" w:pos="6430"/>
        </w:tabs>
        <w:ind w:firstLine="425"/>
        <w:contextualSpacing/>
        <w:jc w:val="center"/>
        <w:rPr>
          <w:rFonts w:ascii="Cambria" w:hAnsi="Cambria"/>
          <w:color w:val="231F20"/>
          <w:sz w:val="20"/>
          <w:szCs w:val="20"/>
        </w:rPr>
      </w:pPr>
      <w:r w:rsidRPr="005B7169">
        <w:rPr>
          <w:rFonts w:ascii="Cambria" w:hAnsi="Cambria"/>
          <w:color w:val="231F20"/>
          <w:sz w:val="20"/>
          <w:szCs w:val="20"/>
        </w:rPr>
        <w:t>DES THONIDÉS DE L’ATLANTIQUE (ICCAT) RECOMMANDE CE QUI SUIT :</w:t>
      </w:r>
    </w:p>
    <w:p w14:paraId="7A86D56C" w14:textId="77777777" w:rsidR="002753FF" w:rsidRPr="005B7169" w:rsidRDefault="002753FF" w:rsidP="009D6FA2">
      <w:pPr>
        <w:rPr>
          <w:rFonts w:ascii="Cambria" w:eastAsia="Cambria" w:hAnsi="Cambria" w:cs="Cambria"/>
          <w:sz w:val="20"/>
          <w:szCs w:val="20"/>
        </w:rPr>
      </w:pPr>
    </w:p>
    <w:p w14:paraId="21B688A5" w14:textId="1E1563E2" w:rsidR="002753FF" w:rsidRPr="005B7169" w:rsidRDefault="002753FF" w:rsidP="009D6FA2">
      <w:pPr>
        <w:widowControl w:val="0"/>
        <w:numPr>
          <w:ilvl w:val="0"/>
          <w:numId w:val="8"/>
        </w:numPr>
        <w:ind w:left="426" w:hanging="426"/>
        <w:jc w:val="both"/>
        <w:rPr>
          <w:rFonts w:ascii="Cambria" w:eastAsia="Cambria" w:hAnsi="Cambria" w:cs="Cambria"/>
          <w:strike/>
          <w:sz w:val="20"/>
          <w:szCs w:val="20"/>
        </w:rPr>
      </w:pPr>
      <w:r w:rsidRPr="005B7169">
        <w:rPr>
          <w:rFonts w:ascii="Cambria" w:hAnsi="Cambria"/>
          <w:color w:val="231F20"/>
          <w:sz w:val="20"/>
          <w:szCs w:val="20"/>
        </w:rPr>
        <w:t xml:space="preserve">Les Parties contractantes et les Parties, Entités ou Entités de pêche non contractantes coopérantes (« CPC ») dont les navires pêchent activement du thon rouge dans l’Atlantique Ouest devront mettre en œuvre le plan de conservation et de gestion ci-après à compter de </w:t>
      </w:r>
      <w:r w:rsidRPr="005B7169">
        <w:rPr>
          <w:rFonts w:ascii="Cambria" w:hAnsi="Cambria"/>
          <w:color w:val="231F20"/>
          <w:sz w:val="20"/>
          <w:szCs w:val="20"/>
          <w:u w:val="single"/>
        </w:rPr>
        <w:t>202</w:t>
      </w:r>
      <w:r w:rsidR="0002763A" w:rsidRPr="005B7169">
        <w:rPr>
          <w:rFonts w:ascii="Cambria" w:hAnsi="Cambria"/>
          <w:color w:val="231F20"/>
          <w:sz w:val="20"/>
          <w:szCs w:val="20"/>
          <w:u w:val="single"/>
        </w:rPr>
        <w:t>6</w:t>
      </w:r>
      <w:r w:rsidRPr="005B7169">
        <w:rPr>
          <w:rFonts w:ascii="Cambria" w:hAnsi="Cambria"/>
          <w:color w:val="231F20"/>
          <w:sz w:val="20"/>
          <w:szCs w:val="20"/>
        </w:rPr>
        <w:t xml:space="preserve">, incluant l’établissement de TAC basés sur l’application de la procédure de gestion (MP) pour le thon rouge adoptée dans la </w:t>
      </w:r>
      <w:r w:rsidRPr="005B7169">
        <w:rPr>
          <w:rFonts w:ascii="Cambria" w:hAnsi="Cambria"/>
          <w:i/>
          <w:color w:val="231F20"/>
          <w:sz w:val="20"/>
          <w:szCs w:val="20"/>
        </w:rPr>
        <w:t>Recommandation de l’ICCAT établissant une procédure de gestion pour le thon rouge de l'Atlantique à appliquer dans les zones de gestion de l'Atlantique Ouest et de l'Atlantique Est et de la Méditerranée</w:t>
      </w:r>
      <w:r w:rsidRPr="005B7169">
        <w:rPr>
          <w:rFonts w:ascii="Cambria" w:hAnsi="Cambria"/>
          <w:color w:val="231F20"/>
          <w:sz w:val="20"/>
          <w:szCs w:val="20"/>
        </w:rPr>
        <w:t xml:space="preserve"> (Rec. 22-09). </w:t>
      </w:r>
    </w:p>
    <w:p w14:paraId="2E3DA578" w14:textId="77777777" w:rsidR="0015357D" w:rsidRPr="005B7169" w:rsidRDefault="0015357D" w:rsidP="009D6FA2">
      <w:pPr>
        <w:pStyle w:val="Heading1"/>
        <w:spacing w:before="0" w:after="0"/>
        <w:rPr>
          <w:rFonts w:ascii="Cambria" w:hAnsi="Cambria"/>
          <w:iCs/>
          <w:color w:val="231F20"/>
          <w:sz w:val="20"/>
          <w:szCs w:val="20"/>
        </w:rPr>
      </w:pPr>
    </w:p>
    <w:p w14:paraId="3DC6800E" w14:textId="075DA2DD" w:rsidR="002753FF" w:rsidRPr="005B7169" w:rsidRDefault="002753FF" w:rsidP="009D6FA2">
      <w:pPr>
        <w:pStyle w:val="Heading1"/>
        <w:spacing w:before="0" w:after="0"/>
        <w:rPr>
          <w:rFonts w:ascii="Cambria" w:eastAsia="Cambria" w:hAnsi="Cambria" w:cs="Cambria"/>
          <w:b w:val="0"/>
          <w:i/>
          <w:iCs/>
          <w:sz w:val="20"/>
          <w:szCs w:val="20"/>
        </w:rPr>
      </w:pPr>
      <w:r w:rsidRPr="005B7169">
        <w:rPr>
          <w:rFonts w:ascii="Cambria" w:hAnsi="Cambria"/>
          <w:iCs/>
          <w:color w:val="231F20"/>
          <w:sz w:val="20"/>
          <w:szCs w:val="20"/>
        </w:rPr>
        <w:t>Limites de l’effort et de la capacité</w:t>
      </w:r>
    </w:p>
    <w:p w14:paraId="032B62BF" w14:textId="77777777" w:rsidR="002753FF" w:rsidRPr="005B7169" w:rsidRDefault="002753FF" w:rsidP="009D6FA2">
      <w:pPr>
        <w:rPr>
          <w:rFonts w:ascii="Cambria" w:eastAsia="Cambria" w:hAnsi="Cambria" w:cs="Cambria"/>
          <w:b/>
          <w:i/>
          <w:sz w:val="20"/>
          <w:szCs w:val="20"/>
        </w:rPr>
      </w:pPr>
    </w:p>
    <w:p w14:paraId="3277DBB4" w14:textId="3906C4B0" w:rsidR="002753FF" w:rsidRPr="005B7169" w:rsidRDefault="002753FF" w:rsidP="009D6FA2">
      <w:pPr>
        <w:widowControl w:val="0"/>
        <w:numPr>
          <w:ilvl w:val="0"/>
          <w:numId w:val="8"/>
        </w:numPr>
        <w:ind w:left="426" w:hanging="426"/>
        <w:jc w:val="both"/>
        <w:rPr>
          <w:rFonts w:ascii="Cambria" w:eastAsia="Cambria" w:hAnsi="Cambria" w:cs="Cambria"/>
          <w:sz w:val="20"/>
          <w:szCs w:val="20"/>
        </w:rPr>
      </w:pPr>
      <w:r w:rsidRPr="005B7169">
        <w:rPr>
          <w:rFonts w:ascii="Cambria" w:hAnsi="Cambria"/>
          <w:color w:val="231F20"/>
          <w:sz w:val="20"/>
          <w:szCs w:val="20"/>
        </w:rPr>
        <w:t xml:space="preserve">Afin d’éviter l’augmentation de la mortalité par pêche du thon rouge dans l’Atlantique Est ou Ouest, les CPC devront continuer à prendre des mesures visant à interdire tout transfert </w:t>
      </w:r>
      <w:r w:rsidR="009B169B" w:rsidRPr="005B7169">
        <w:rPr>
          <w:rFonts w:ascii="Cambria" w:hAnsi="Cambria"/>
          <w:i/>
          <w:iCs/>
          <w:color w:val="231F20"/>
          <w:sz w:val="20"/>
          <w:szCs w:val="20"/>
          <w:u w:val="single"/>
        </w:rPr>
        <w:t>ad hoc</w:t>
      </w:r>
      <w:r w:rsidR="009B169B" w:rsidRPr="005B7169">
        <w:rPr>
          <w:rFonts w:ascii="Cambria" w:hAnsi="Cambria"/>
          <w:color w:val="231F20"/>
          <w:sz w:val="20"/>
          <w:szCs w:val="20"/>
        </w:rPr>
        <w:t xml:space="preserve"> </w:t>
      </w:r>
      <w:r w:rsidRPr="005B7169">
        <w:rPr>
          <w:rFonts w:ascii="Cambria" w:hAnsi="Cambria"/>
          <w:color w:val="231F20"/>
          <w:sz w:val="20"/>
          <w:szCs w:val="20"/>
        </w:rPr>
        <w:t>de l’effort de pêche de l’Atlantique Ouest à l’Atlantique Est et la Méditerranée et vice-versa.</w:t>
      </w:r>
    </w:p>
    <w:p w14:paraId="3B346993" w14:textId="77777777" w:rsidR="002753FF" w:rsidRPr="005B7169" w:rsidRDefault="002753FF" w:rsidP="009D6FA2">
      <w:pPr>
        <w:rPr>
          <w:rFonts w:ascii="Cambria" w:eastAsia="Cambria" w:hAnsi="Cambria" w:cs="Cambria"/>
          <w:sz w:val="20"/>
          <w:szCs w:val="20"/>
        </w:rPr>
      </w:pPr>
    </w:p>
    <w:p w14:paraId="64C30D6F" w14:textId="77777777" w:rsidR="002753FF" w:rsidRPr="005B7169" w:rsidRDefault="002753FF" w:rsidP="009D6FA2">
      <w:pPr>
        <w:pStyle w:val="Heading1"/>
        <w:spacing w:before="0" w:after="0"/>
        <w:rPr>
          <w:rFonts w:ascii="Cambria" w:eastAsia="Cambria" w:hAnsi="Cambria" w:cs="Cambria"/>
          <w:b w:val="0"/>
          <w:i/>
          <w:iCs/>
          <w:sz w:val="20"/>
          <w:szCs w:val="20"/>
        </w:rPr>
      </w:pPr>
      <w:r w:rsidRPr="005B7169">
        <w:rPr>
          <w:rFonts w:ascii="Cambria" w:hAnsi="Cambria"/>
          <w:iCs/>
          <w:color w:val="231F20"/>
          <w:sz w:val="20"/>
          <w:szCs w:val="20"/>
        </w:rPr>
        <w:t>TAC, allocations de TAC et limites de capture</w:t>
      </w:r>
    </w:p>
    <w:p w14:paraId="29E73DC8" w14:textId="77777777" w:rsidR="002753FF" w:rsidRPr="005B7169" w:rsidRDefault="002753FF" w:rsidP="009D6FA2">
      <w:pPr>
        <w:rPr>
          <w:rFonts w:ascii="Cambria" w:eastAsia="Cambria" w:hAnsi="Cambria" w:cs="Cambria"/>
          <w:b/>
          <w:i/>
          <w:sz w:val="20"/>
          <w:szCs w:val="20"/>
        </w:rPr>
      </w:pPr>
    </w:p>
    <w:p w14:paraId="4670CE3F" w14:textId="31A6ABEE" w:rsidR="006535AC" w:rsidRPr="005B7169" w:rsidRDefault="006535AC" w:rsidP="009D6FA2">
      <w:pPr>
        <w:widowControl w:val="0"/>
        <w:numPr>
          <w:ilvl w:val="0"/>
          <w:numId w:val="8"/>
        </w:numPr>
        <w:ind w:left="426" w:hanging="426"/>
        <w:jc w:val="both"/>
        <w:rPr>
          <w:rFonts w:ascii="Cambria" w:eastAsia="Cambria" w:hAnsi="Cambria" w:cs="Cambria"/>
          <w:sz w:val="20"/>
          <w:szCs w:val="20"/>
        </w:rPr>
      </w:pPr>
      <w:r w:rsidRPr="005B7169">
        <w:rPr>
          <w:rFonts w:ascii="Cambria" w:hAnsi="Cambria"/>
          <w:color w:val="231F20"/>
          <w:sz w:val="20"/>
          <w:szCs w:val="20"/>
          <w:u w:val="single"/>
        </w:rPr>
        <w:t>Un</w:t>
      </w:r>
      <w:r w:rsidRPr="005B7169">
        <w:rPr>
          <w:rFonts w:ascii="Cambria" w:hAnsi="Cambria"/>
          <w:color w:val="231F20"/>
          <w:sz w:val="20"/>
          <w:szCs w:val="20"/>
        </w:rPr>
        <w:t xml:space="preserve"> TAC annuel, incluant les rejets morts, de </w:t>
      </w:r>
      <w:r w:rsidRPr="005B7169">
        <w:rPr>
          <w:rFonts w:ascii="Cambria" w:hAnsi="Cambria"/>
          <w:color w:val="231F20"/>
          <w:sz w:val="20"/>
          <w:szCs w:val="20"/>
          <w:u w:val="single"/>
        </w:rPr>
        <w:t>2.963 t</w:t>
      </w:r>
      <w:r w:rsidRPr="005B7169">
        <w:rPr>
          <w:rFonts w:ascii="Cambria" w:hAnsi="Cambria"/>
          <w:color w:val="231F20"/>
          <w:sz w:val="20"/>
          <w:szCs w:val="20"/>
        </w:rPr>
        <w:t xml:space="preserve"> est établi pour </w:t>
      </w:r>
      <w:r w:rsidRPr="005B7169">
        <w:rPr>
          <w:rFonts w:ascii="Cambria" w:hAnsi="Cambria"/>
          <w:color w:val="231F20"/>
          <w:sz w:val="20"/>
          <w:szCs w:val="20"/>
          <w:u w:val="single"/>
        </w:rPr>
        <w:t>2026, 2027 et 2028</w:t>
      </w:r>
      <w:r w:rsidRPr="005B7169">
        <w:rPr>
          <w:rFonts w:ascii="Cambria" w:hAnsi="Cambria"/>
          <w:color w:val="231F20"/>
          <w:sz w:val="20"/>
          <w:szCs w:val="20"/>
        </w:rPr>
        <w:t xml:space="preserve">. Les TAC pour la période </w:t>
      </w:r>
      <w:r w:rsidRPr="005B7169">
        <w:rPr>
          <w:rFonts w:ascii="Cambria" w:hAnsi="Cambria"/>
          <w:color w:val="231F20"/>
          <w:sz w:val="20"/>
          <w:szCs w:val="20"/>
          <w:u w:val="single"/>
        </w:rPr>
        <w:t>2029-2031</w:t>
      </w:r>
      <w:r w:rsidRPr="005B7169">
        <w:rPr>
          <w:rFonts w:ascii="Cambria" w:hAnsi="Cambria"/>
          <w:color w:val="231F20"/>
          <w:sz w:val="20"/>
          <w:szCs w:val="20"/>
        </w:rPr>
        <w:t xml:space="preserve"> devront être établis à la réunion annuelle de l’ICCAT de </w:t>
      </w:r>
      <w:r w:rsidRPr="005B7169">
        <w:rPr>
          <w:rFonts w:ascii="Cambria" w:hAnsi="Cambria"/>
          <w:color w:val="231F20"/>
          <w:sz w:val="20"/>
          <w:szCs w:val="20"/>
          <w:u w:val="single"/>
        </w:rPr>
        <w:t>2028</w:t>
      </w:r>
      <w:r w:rsidRPr="005B7169">
        <w:rPr>
          <w:rFonts w:ascii="Cambria" w:hAnsi="Cambria"/>
          <w:color w:val="231F20"/>
          <w:sz w:val="20"/>
          <w:szCs w:val="20"/>
        </w:rPr>
        <w:t xml:space="preserve">, conformément à l’application de la MP </w:t>
      </w:r>
      <w:r w:rsidRPr="005B7169">
        <w:rPr>
          <w:rFonts w:ascii="Cambria" w:hAnsi="Cambria"/>
          <w:color w:val="231F20"/>
          <w:sz w:val="20"/>
          <w:szCs w:val="20"/>
          <w:u w:val="single"/>
        </w:rPr>
        <w:t xml:space="preserve">à la suite d’un examen, comme le prévoit la </w:t>
      </w:r>
      <w:hyperlink r:id="rId8" w:history="1">
        <w:r w:rsidR="00890DF6" w:rsidRPr="005B7169">
          <w:rPr>
            <w:rFonts w:ascii="Cambria" w:hAnsi="Cambria" w:cs="Calibri"/>
            <w:i/>
            <w:iCs/>
            <w:sz w:val="20"/>
            <w:szCs w:val="20"/>
            <w:u w:val="single"/>
            <w:lang w:eastAsia="fr-FR" w:bidi="fr-FR"/>
          </w:rPr>
          <w:t>Recommandation de l'ICCAT amendant la Recommandation 22-09 établissant une procédure de gestion pour le thon rouge de l'Atlantique à appliquer dans les zones de gestion de l'Atlantique Ouest et de l'Atlantique Est et de la Méditerranée</w:t>
        </w:r>
      </w:hyperlink>
      <w:r w:rsidR="00890DF6" w:rsidRPr="005B7169">
        <w:rPr>
          <w:rFonts w:ascii="Cambria" w:hAnsi="Cambria"/>
          <w:sz w:val="20"/>
          <w:szCs w:val="20"/>
          <w:u w:val="single"/>
        </w:rPr>
        <w:t xml:space="preserve"> </w:t>
      </w:r>
      <w:r w:rsidR="00890DF6" w:rsidRPr="005B7169">
        <w:rPr>
          <w:rFonts w:ascii="Cambria" w:eastAsia="Cambria" w:hAnsi="Cambria" w:cs="Cambria"/>
          <w:sz w:val="20"/>
          <w:szCs w:val="20"/>
          <w:u w:val="single"/>
        </w:rPr>
        <w:t>(Rec. 23-07)</w:t>
      </w:r>
      <w:r w:rsidR="00890DF6" w:rsidRPr="005B7169">
        <w:rPr>
          <w:rFonts w:ascii="Cambria" w:eastAsia="Cambria" w:hAnsi="Cambria" w:cs="Cambria"/>
          <w:sz w:val="20"/>
          <w:szCs w:val="20"/>
          <w:u w:val="single"/>
        </w:rPr>
        <w:t>.</w:t>
      </w:r>
      <w:r w:rsidRPr="005B7169">
        <w:rPr>
          <w:rFonts w:ascii="Cambria" w:hAnsi="Cambria"/>
          <w:sz w:val="20"/>
          <w:szCs w:val="20"/>
        </w:rPr>
        <w:t xml:space="preserve">    </w:t>
      </w:r>
    </w:p>
    <w:p w14:paraId="7494DE46" w14:textId="77777777" w:rsidR="002753FF" w:rsidRPr="005B7169" w:rsidRDefault="002753FF" w:rsidP="009D6FA2">
      <w:pPr>
        <w:ind w:left="426" w:hanging="426"/>
        <w:jc w:val="both"/>
        <w:rPr>
          <w:rFonts w:ascii="Cambria" w:eastAsia="Cambria" w:hAnsi="Cambria" w:cs="Cambria"/>
          <w:sz w:val="20"/>
          <w:szCs w:val="20"/>
        </w:rPr>
      </w:pPr>
    </w:p>
    <w:p w14:paraId="0E201CBE" w14:textId="150D3850" w:rsidR="002753FF" w:rsidRPr="005B7169" w:rsidRDefault="002753FF" w:rsidP="009D6FA2">
      <w:pPr>
        <w:widowControl w:val="0"/>
        <w:numPr>
          <w:ilvl w:val="0"/>
          <w:numId w:val="8"/>
        </w:numPr>
        <w:ind w:left="426" w:hanging="426"/>
        <w:jc w:val="both"/>
        <w:rPr>
          <w:rFonts w:ascii="Cambria" w:eastAsia="Cambria" w:hAnsi="Cambria" w:cs="Cambria"/>
          <w:sz w:val="20"/>
          <w:szCs w:val="20"/>
        </w:rPr>
      </w:pPr>
      <w:r w:rsidRPr="005B7169">
        <w:rPr>
          <w:rFonts w:ascii="Cambria" w:hAnsi="Cambria"/>
          <w:color w:val="231F20"/>
          <w:sz w:val="20"/>
          <w:szCs w:val="20"/>
        </w:rPr>
        <w:t xml:space="preserve">Les CPC devront actualiser, tous les ans, les indices d’abondance et les indicateurs des pêcheries et les communiquer au SCRS, sur demande et à l’appui de l’évaluation annuelle du SCRS de la survenue de circonstances exceptionnelles, tel que spécifié dans la Rec. </w:t>
      </w:r>
      <w:r w:rsidRPr="005B7169">
        <w:rPr>
          <w:rFonts w:ascii="Cambria" w:hAnsi="Cambria"/>
          <w:color w:val="231F20"/>
          <w:sz w:val="20"/>
          <w:szCs w:val="20"/>
          <w:u w:val="single"/>
        </w:rPr>
        <w:t>2</w:t>
      </w:r>
      <w:r w:rsidR="00CA2EF0" w:rsidRPr="005B7169">
        <w:rPr>
          <w:rFonts w:ascii="Cambria" w:hAnsi="Cambria"/>
          <w:color w:val="231F20"/>
          <w:sz w:val="20"/>
          <w:szCs w:val="20"/>
          <w:u w:val="single"/>
        </w:rPr>
        <w:t>3</w:t>
      </w:r>
      <w:r w:rsidRPr="005B7169">
        <w:rPr>
          <w:rFonts w:ascii="Cambria" w:hAnsi="Cambria"/>
          <w:color w:val="231F20"/>
          <w:sz w:val="20"/>
          <w:szCs w:val="20"/>
          <w:u w:val="single"/>
        </w:rPr>
        <w:t>-0</w:t>
      </w:r>
      <w:r w:rsidR="00CA2EF0" w:rsidRPr="005B7169">
        <w:rPr>
          <w:rFonts w:ascii="Cambria" w:hAnsi="Cambria"/>
          <w:color w:val="231F20"/>
          <w:sz w:val="20"/>
          <w:szCs w:val="20"/>
          <w:u w:val="single"/>
        </w:rPr>
        <w:t>7</w:t>
      </w:r>
      <w:r w:rsidRPr="005B7169">
        <w:rPr>
          <w:rFonts w:ascii="Cambria" w:hAnsi="Cambria"/>
          <w:color w:val="231F20"/>
          <w:sz w:val="20"/>
          <w:szCs w:val="20"/>
        </w:rPr>
        <w:t>, et à d’autres fins scientifiques pertinentes que le SCRS déterminera.</w:t>
      </w:r>
    </w:p>
    <w:p w14:paraId="45F1F300" w14:textId="77777777" w:rsidR="002753FF" w:rsidRPr="005B7169" w:rsidRDefault="002753FF" w:rsidP="009D6FA2">
      <w:pPr>
        <w:widowControl w:val="0"/>
        <w:numPr>
          <w:ilvl w:val="0"/>
          <w:numId w:val="8"/>
        </w:numPr>
        <w:ind w:left="426" w:hanging="426"/>
        <w:jc w:val="both"/>
        <w:rPr>
          <w:rFonts w:ascii="Cambria" w:eastAsia="Cambria" w:hAnsi="Cambria" w:cs="Cambria"/>
          <w:sz w:val="20"/>
          <w:szCs w:val="20"/>
        </w:rPr>
      </w:pPr>
      <w:r w:rsidRPr="005B7169">
        <w:rPr>
          <w:rFonts w:ascii="Cambria" w:hAnsi="Cambria"/>
          <w:color w:val="231F20"/>
          <w:sz w:val="20"/>
          <w:szCs w:val="20"/>
        </w:rPr>
        <w:t>L’allocation</w:t>
      </w:r>
      <w:r w:rsidRPr="005B7169">
        <w:rPr>
          <w:rFonts w:ascii="Cambria" w:hAnsi="Cambria"/>
          <w:sz w:val="20"/>
          <w:szCs w:val="20"/>
        </w:rPr>
        <w:t xml:space="preserve"> du TAC annuel, rejets morts y compris, devra être comme suit :</w:t>
      </w:r>
    </w:p>
    <w:p w14:paraId="6E041500" w14:textId="77777777" w:rsidR="002753FF" w:rsidRPr="005B7169" w:rsidRDefault="002753FF" w:rsidP="009D6FA2">
      <w:pPr>
        <w:pBdr>
          <w:top w:val="nil"/>
          <w:left w:val="nil"/>
          <w:bottom w:val="nil"/>
          <w:right w:val="nil"/>
          <w:between w:val="nil"/>
        </w:pBdr>
        <w:ind w:left="720"/>
        <w:rPr>
          <w:rFonts w:ascii="Cambria" w:eastAsia="Cambria" w:hAnsi="Cambria" w:cs="Cambria"/>
          <w:color w:val="000000"/>
          <w:sz w:val="20"/>
          <w:szCs w:val="20"/>
        </w:rPr>
      </w:pPr>
    </w:p>
    <w:p w14:paraId="2DA689AD" w14:textId="77777777" w:rsidR="002753FF" w:rsidRPr="005B7169" w:rsidRDefault="002753FF" w:rsidP="009D6FA2">
      <w:pPr>
        <w:pStyle w:val="ListParagraph"/>
        <w:numPr>
          <w:ilvl w:val="0"/>
          <w:numId w:val="10"/>
        </w:numPr>
        <w:ind w:left="851" w:hanging="425"/>
        <w:contextualSpacing/>
        <w:jc w:val="both"/>
        <w:rPr>
          <w:rFonts w:ascii="Cambria" w:eastAsia="Cambria" w:hAnsi="Cambria" w:cs="Cambria"/>
          <w:sz w:val="20"/>
          <w:szCs w:val="20"/>
        </w:rPr>
      </w:pPr>
      <w:r w:rsidRPr="005B7169">
        <w:rPr>
          <w:rFonts w:ascii="Cambria" w:hAnsi="Cambria"/>
          <w:color w:val="231F20"/>
          <w:sz w:val="20"/>
          <w:szCs w:val="20"/>
        </w:rPr>
        <w:t xml:space="preserve">Le TAC </w:t>
      </w:r>
      <w:r w:rsidRPr="005B7169">
        <w:rPr>
          <w:rFonts w:ascii="Cambria" w:eastAsia="Cambria" w:hAnsi="Cambria" w:cs="Cambria"/>
          <w:color w:val="231F20"/>
          <w:sz w:val="20"/>
          <w:szCs w:val="20"/>
        </w:rPr>
        <w:t>annuel</w:t>
      </w:r>
      <w:r w:rsidRPr="005B7169">
        <w:rPr>
          <w:rFonts w:ascii="Cambria" w:hAnsi="Cambria"/>
          <w:color w:val="231F20"/>
          <w:sz w:val="20"/>
          <w:szCs w:val="20"/>
        </w:rPr>
        <w:t xml:space="preserve"> devra inclure les allocations suivantes :</w:t>
      </w:r>
    </w:p>
    <w:p w14:paraId="68FC823E" w14:textId="77777777" w:rsidR="002753FF" w:rsidRPr="005B7169" w:rsidRDefault="002753FF" w:rsidP="009D6FA2">
      <w:pPr>
        <w:rPr>
          <w:rFonts w:ascii="Cambria" w:eastAsia="Cambria" w:hAnsi="Cambria" w:cs="Cambria"/>
          <w:sz w:val="20"/>
          <w:szCs w:val="20"/>
        </w:rPr>
      </w:pPr>
    </w:p>
    <w:tbl>
      <w:tblPr>
        <w:tblW w:w="8784" w:type="dxa"/>
        <w:tblInd w:w="425" w:type="dxa"/>
        <w:tblLayout w:type="fixed"/>
        <w:tblLook w:val="0000" w:firstRow="0" w:lastRow="0" w:firstColumn="0" w:lastColumn="0" w:noHBand="0" w:noVBand="0"/>
      </w:tblPr>
      <w:tblGrid>
        <w:gridCol w:w="7338"/>
        <w:gridCol w:w="1446"/>
      </w:tblGrid>
      <w:tr w:rsidR="002753FF" w:rsidRPr="005B7169" w14:paraId="72BDFC7C" w14:textId="77777777" w:rsidTr="00BC39B6">
        <w:trPr>
          <w:trHeight w:val="380"/>
        </w:trPr>
        <w:tc>
          <w:tcPr>
            <w:tcW w:w="7338" w:type="dxa"/>
            <w:tcBorders>
              <w:top w:val="single" w:sz="4" w:space="0" w:color="231F20"/>
              <w:left w:val="single" w:sz="4" w:space="0" w:color="231F20"/>
              <w:bottom w:val="single" w:sz="4" w:space="0" w:color="231F20"/>
              <w:right w:val="single" w:sz="4" w:space="0" w:color="231F20"/>
            </w:tcBorders>
          </w:tcPr>
          <w:p w14:paraId="3A1D80E8" w14:textId="77777777" w:rsidR="002753FF" w:rsidRPr="005B7169" w:rsidRDefault="002753FF" w:rsidP="009D6FA2">
            <w:pPr>
              <w:ind w:left="396"/>
              <w:jc w:val="center"/>
              <w:rPr>
                <w:rFonts w:ascii="Cambria" w:eastAsia="Cambria" w:hAnsi="Cambria" w:cs="Cambria"/>
                <w:sz w:val="20"/>
                <w:szCs w:val="20"/>
              </w:rPr>
            </w:pPr>
            <w:r w:rsidRPr="005B7169">
              <w:rPr>
                <w:rFonts w:ascii="Cambria" w:hAnsi="Cambria"/>
                <w:i/>
                <w:color w:val="231F20"/>
                <w:sz w:val="20"/>
                <w:szCs w:val="20"/>
              </w:rPr>
              <w:t>CPC</w:t>
            </w:r>
          </w:p>
        </w:tc>
        <w:tc>
          <w:tcPr>
            <w:tcW w:w="1446" w:type="dxa"/>
            <w:tcBorders>
              <w:top w:val="single" w:sz="4" w:space="0" w:color="231F20"/>
              <w:left w:val="single" w:sz="4" w:space="0" w:color="231F20"/>
              <w:bottom w:val="single" w:sz="4" w:space="0" w:color="231F20"/>
              <w:right w:val="single" w:sz="4" w:space="0" w:color="231F20"/>
            </w:tcBorders>
          </w:tcPr>
          <w:p w14:paraId="18E70BD7" w14:textId="77777777" w:rsidR="002753FF" w:rsidRPr="005B7169" w:rsidRDefault="002753FF" w:rsidP="009D6FA2">
            <w:pPr>
              <w:ind w:left="145"/>
              <w:rPr>
                <w:rFonts w:ascii="Cambria" w:eastAsia="Cambria" w:hAnsi="Cambria" w:cs="Cambria"/>
                <w:sz w:val="20"/>
                <w:szCs w:val="20"/>
              </w:rPr>
            </w:pPr>
            <w:r w:rsidRPr="005B7169">
              <w:rPr>
                <w:rFonts w:ascii="Cambria" w:hAnsi="Cambria"/>
                <w:i/>
                <w:color w:val="231F20"/>
                <w:sz w:val="20"/>
                <w:szCs w:val="20"/>
              </w:rPr>
              <w:t>Allocation</w:t>
            </w:r>
          </w:p>
        </w:tc>
      </w:tr>
      <w:tr w:rsidR="002753FF" w:rsidRPr="005B7169" w14:paraId="5C37F8EA" w14:textId="77777777" w:rsidTr="00BC39B6">
        <w:trPr>
          <w:trHeight w:val="407"/>
        </w:trPr>
        <w:tc>
          <w:tcPr>
            <w:tcW w:w="7338" w:type="dxa"/>
            <w:tcBorders>
              <w:top w:val="single" w:sz="4" w:space="0" w:color="231F20"/>
              <w:left w:val="single" w:sz="4" w:space="0" w:color="231F20"/>
              <w:bottom w:val="single" w:sz="4" w:space="0" w:color="231F20"/>
              <w:right w:val="single" w:sz="4" w:space="0" w:color="231F20"/>
            </w:tcBorders>
          </w:tcPr>
          <w:p w14:paraId="7D8C28E3" w14:textId="77777777" w:rsidR="002753FF" w:rsidRPr="005B7169" w:rsidRDefault="002753FF" w:rsidP="009D6FA2">
            <w:pPr>
              <w:ind w:left="94"/>
              <w:rPr>
                <w:rFonts w:ascii="Cambria" w:eastAsia="Cambria" w:hAnsi="Cambria" w:cs="Cambria"/>
                <w:sz w:val="20"/>
                <w:szCs w:val="20"/>
              </w:rPr>
            </w:pPr>
            <w:r w:rsidRPr="005B7169">
              <w:rPr>
                <w:rFonts w:ascii="Cambria" w:hAnsi="Cambria"/>
                <w:color w:val="231F20"/>
                <w:sz w:val="20"/>
                <w:szCs w:val="20"/>
              </w:rPr>
              <w:t xml:space="preserve">États-Unis (prises </w:t>
            </w:r>
            <w:proofErr w:type="gramStart"/>
            <w:r w:rsidRPr="005B7169">
              <w:rPr>
                <w:rFonts w:ascii="Cambria" w:hAnsi="Cambria"/>
                <w:color w:val="231F20"/>
                <w:sz w:val="20"/>
                <w:szCs w:val="20"/>
              </w:rPr>
              <w:t>accessoires liées</w:t>
            </w:r>
            <w:proofErr w:type="gramEnd"/>
            <w:r w:rsidRPr="005B7169">
              <w:rPr>
                <w:rFonts w:ascii="Cambria" w:hAnsi="Cambria"/>
                <w:color w:val="231F20"/>
                <w:sz w:val="20"/>
                <w:szCs w:val="20"/>
              </w:rPr>
              <w:t xml:space="preserve"> aux pêcheries palangrières dans les environs de la délimitation de l’unité de gestion)</w:t>
            </w:r>
          </w:p>
        </w:tc>
        <w:tc>
          <w:tcPr>
            <w:tcW w:w="1446" w:type="dxa"/>
            <w:tcBorders>
              <w:top w:val="single" w:sz="4" w:space="0" w:color="231F20"/>
              <w:left w:val="single" w:sz="4" w:space="0" w:color="231F20"/>
              <w:bottom w:val="single" w:sz="4" w:space="0" w:color="231F20"/>
              <w:right w:val="single" w:sz="4" w:space="0" w:color="231F20"/>
            </w:tcBorders>
          </w:tcPr>
          <w:p w14:paraId="050998CF" w14:textId="77777777" w:rsidR="002753FF" w:rsidRPr="005B7169" w:rsidRDefault="002753FF" w:rsidP="009D6FA2">
            <w:pPr>
              <w:jc w:val="center"/>
              <w:rPr>
                <w:rFonts w:ascii="Cambria" w:eastAsia="Cambria" w:hAnsi="Cambria" w:cs="Cambria"/>
                <w:sz w:val="20"/>
                <w:szCs w:val="20"/>
              </w:rPr>
            </w:pPr>
            <w:r w:rsidRPr="005B7169">
              <w:rPr>
                <w:rFonts w:ascii="Cambria" w:hAnsi="Cambria"/>
                <w:color w:val="231F20"/>
                <w:sz w:val="20"/>
                <w:szCs w:val="20"/>
              </w:rPr>
              <w:t>25 t</w:t>
            </w:r>
          </w:p>
        </w:tc>
      </w:tr>
      <w:tr w:rsidR="002753FF" w:rsidRPr="005B7169" w14:paraId="3CAD8D49" w14:textId="77777777" w:rsidTr="00BC39B6">
        <w:trPr>
          <w:trHeight w:val="380"/>
        </w:trPr>
        <w:tc>
          <w:tcPr>
            <w:tcW w:w="7338" w:type="dxa"/>
            <w:tcBorders>
              <w:top w:val="single" w:sz="4" w:space="0" w:color="231F20"/>
              <w:left w:val="single" w:sz="4" w:space="0" w:color="231F20"/>
              <w:bottom w:val="single" w:sz="4" w:space="0" w:color="231F20"/>
              <w:right w:val="single" w:sz="4" w:space="0" w:color="231F20"/>
            </w:tcBorders>
          </w:tcPr>
          <w:p w14:paraId="6A55204B" w14:textId="77777777" w:rsidR="002753FF" w:rsidRPr="005B7169" w:rsidRDefault="002753FF" w:rsidP="009D6FA2">
            <w:pPr>
              <w:ind w:left="94"/>
              <w:rPr>
                <w:rFonts w:ascii="Cambria" w:eastAsia="Cambria" w:hAnsi="Cambria" w:cs="Cambria"/>
                <w:sz w:val="20"/>
                <w:szCs w:val="20"/>
              </w:rPr>
            </w:pPr>
            <w:r w:rsidRPr="005B7169">
              <w:rPr>
                <w:rFonts w:ascii="Cambria" w:hAnsi="Cambria"/>
                <w:color w:val="231F20"/>
                <w:sz w:val="20"/>
                <w:szCs w:val="20"/>
              </w:rPr>
              <w:t xml:space="preserve">Canada (prises </w:t>
            </w:r>
            <w:proofErr w:type="gramStart"/>
            <w:r w:rsidRPr="005B7169">
              <w:rPr>
                <w:rFonts w:ascii="Cambria" w:hAnsi="Cambria"/>
                <w:color w:val="231F20"/>
                <w:sz w:val="20"/>
                <w:szCs w:val="20"/>
              </w:rPr>
              <w:t>accessoires liées</w:t>
            </w:r>
            <w:proofErr w:type="gramEnd"/>
            <w:r w:rsidRPr="005B7169">
              <w:rPr>
                <w:rFonts w:ascii="Cambria" w:hAnsi="Cambria"/>
                <w:color w:val="231F20"/>
                <w:sz w:val="20"/>
                <w:szCs w:val="20"/>
              </w:rPr>
              <w:t xml:space="preserve"> aux pêcheries palangrières dans les environs de la délimitation de l’unité de gestion)</w:t>
            </w:r>
          </w:p>
        </w:tc>
        <w:tc>
          <w:tcPr>
            <w:tcW w:w="1446" w:type="dxa"/>
            <w:tcBorders>
              <w:top w:val="single" w:sz="4" w:space="0" w:color="231F20"/>
              <w:left w:val="single" w:sz="4" w:space="0" w:color="231F20"/>
              <w:bottom w:val="single" w:sz="4" w:space="0" w:color="231F20"/>
              <w:right w:val="single" w:sz="4" w:space="0" w:color="231F20"/>
            </w:tcBorders>
          </w:tcPr>
          <w:p w14:paraId="5EC4BDAD" w14:textId="77777777" w:rsidR="002753FF" w:rsidRPr="005B7169" w:rsidRDefault="002753FF" w:rsidP="009D6FA2">
            <w:pPr>
              <w:jc w:val="center"/>
              <w:rPr>
                <w:rFonts w:ascii="Cambria" w:eastAsia="Cambria" w:hAnsi="Cambria" w:cs="Cambria"/>
                <w:sz w:val="20"/>
                <w:szCs w:val="20"/>
              </w:rPr>
            </w:pPr>
            <w:r w:rsidRPr="005B7169">
              <w:rPr>
                <w:rFonts w:ascii="Cambria" w:hAnsi="Cambria"/>
                <w:color w:val="231F20"/>
                <w:sz w:val="20"/>
                <w:szCs w:val="20"/>
              </w:rPr>
              <w:t>15 t</w:t>
            </w:r>
          </w:p>
        </w:tc>
      </w:tr>
    </w:tbl>
    <w:p w14:paraId="6911F186" w14:textId="77777777" w:rsidR="002753FF" w:rsidRPr="005B7169" w:rsidRDefault="002753FF" w:rsidP="009D6FA2">
      <w:pPr>
        <w:rPr>
          <w:rFonts w:ascii="Cambria" w:hAnsi="Cambria"/>
          <w:color w:val="231F20"/>
          <w:sz w:val="20"/>
          <w:szCs w:val="20"/>
        </w:rPr>
      </w:pPr>
    </w:p>
    <w:p w14:paraId="69A1AA21" w14:textId="77777777" w:rsidR="002753FF" w:rsidRPr="005B7169" w:rsidRDefault="002753FF" w:rsidP="009D6FA2">
      <w:pPr>
        <w:pStyle w:val="ListParagraph"/>
        <w:numPr>
          <w:ilvl w:val="0"/>
          <w:numId w:val="10"/>
        </w:numPr>
        <w:ind w:left="851" w:hanging="425"/>
        <w:contextualSpacing/>
        <w:jc w:val="both"/>
        <w:rPr>
          <w:rFonts w:ascii="Cambria" w:eastAsia="Cambria" w:hAnsi="Cambria" w:cs="Cambria"/>
          <w:color w:val="231F20"/>
          <w:sz w:val="20"/>
          <w:szCs w:val="20"/>
        </w:rPr>
      </w:pPr>
      <w:r w:rsidRPr="005B7169">
        <w:rPr>
          <w:rFonts w:ascii="Cambria" w:hAnsi="Cambria"/>
          <w:color w:val="231F20"/>
          <w:sz w:val="20"/>
          <w:szCs w:val="20"/>
        </w:rPr>
        <w:t xml:space="preserve">Après </w:t>
      </w:r>
      <w:r w:rsidRPr="005B7169">
        <w:rPr>
          <w:rFonts w:ascii="Cambria" w:eastAsia="Cambria" w:hAnsi="Cambria" w:cs="Cambria"/>
          <w:color w:val="231F20"/>
          <w:sz w:val="20"/>
          <w:szCs w:val="20"/>
        </w:rPr>
        <w:t>déduction</w:t>
      </w:r>
      <w:r w:rsidRPr="005B7169">
        <w:rPr>
          <w:rFonts w:ascii="Cambria" w:hAnsi="Cambria"/>
          <w:color w:val="231F20"/>
          <w:sz w:val="20"/>
          <w:szCs w:val="20"/>
        </w:rPr>
        <w:t xml:space="preserve"> des volumes visés au paragraphe 5 a), le solde du TAC annuel sera alloué </w:t>
      </w:r>
      <w:r w:rsidRPr="005B7169">
        <w:rPr>
          <w:rFonts w:ascii="Cambria" w:eastAsia="Cambria" w:hAnsi="Cambria" w:cs="Cambria"/>
          <w:color w:val="231F20"/>
          <w:sz w:val="20"/>
          <w:szCs w:val="20"/>
        </w:rPr>
        <w:t>comme</w:t>
      </w:r>
      <w:r w:rsidRPr="005B7169">
        <w:rPr>
          <w:rFonts w:ascii="Cambria" w:hAnsi="Cambria"/>
          <w:color w:val="231F20"/>
          <w:sz w:val="20"/>
          <w:szCs w:val="20"/>
        </w:rPr>
        <w:t xml:space="preserve"> suit :</w:t>
      </w:r>
    </w:p>
    <w:p w14:paraId="7A089C36" w14:textId="77777777" w:rsidR="002753FF" w:rsidRPr="005B7169" w:rsidRDefault="002753FF" w:rsidP="009D6FA2">
      <w:pPr>
        <w:rPr>
          <w:rFonts w:ascii="Cambria" w:eastAsia="Cambria" w:hAnsi="Cambria" w:cs="Cambria"/>
          <w:sz w:val="20"/>
          <w:szCs w:val="20"/>
        </w:rPr>
      </w:pPr>
    </w:p>
    <w:tbl>
      <w:tblPr>
        <w:tblW w:w="9066" w:type="dxa"/>
        <w:tblInd w:w="285" w:type="dxa"/>
        <w:tblLayout w:type="fixed"/>
        <w:tblLook w:val="0000" w:firstRow="0" w:lastRow="0" w:firstColumn="0" w:lastColumn="0" w:noHBand="0" w:noVBand="0"/>
      </w:tblPr>
      <w:tblGrid>
        <w:gridCol w:w="2042"/>
        <w:gridCol w:w="1779"/>
        <w:gridCol w:w="1559"/>
        <w:gridCol w:w="2127"/>
        <w:gridCol w:w="1559"/>
      </w:tblGrid>
      <w:tr w:rsidR="002753FF" w:rsidRPr="005B7169" w14:paraId="3623876A" w14:textId="77777777" w:rsidTr="00BC39B6">
        <w:trPr>
          <w:trHeight w:val="260"/>
        </w:trPr>
        <w:tc>
          <w:tcPr>
            <w:tcW w:w="2042" w:type="dxa"/>
            <w:tcBorders>
              <w:top w:val="single" w:sz="4" w:space="0" w:color="231F20"/>
              <w:left w:val="single" w:sz="4" w:space="0" w:color="231F20"/>
              <w:bottom w:val="single" w:sz="4" w:space="0" w:color="231F20"/>
              <w:right w:val="single" w:sz="4" w:space="0" w:color="231F20"/>
            </w:tcBorders>
          </w:tcPr>
          <w:p w14:paraId="375DB6DC" w14:textId="77777777" w:rsidR="002753FF" w:rsidRPr="005B7169" w:rsidRDefault="002753FF" w:rsidP="009D6FA2">
            <w:pPr>
              <w:rPr>
                <w:rFonts w:ascii="Cambria" w:eastAsia="Cambria" w:hAnsi="Cambria" w:cs="Cambria"/>
                <w:sz w:val="20"/>
                <w:szCs w:val="20"/>
              </w:rPr>
            </w:pPr>
          </w:p>
        </w:tc>
        <w:tc>
          <w:tcPr>
            <w:tcW w:w="7024" w:type="dxa"/>
            <w:gridSpan w:val="4"/>
            <w:tcBorders>
              <w:top w:val="single" w:sz="4" w:space="0" w:color="231F20"/>
              <w:left w:val="single" w:sz="4" w:space="0" w:color="231F20"/>
              <w:bottom w:val="single" w:sz="4" w:space="0" w:color="231F20"/>
              <w:right w:val="single" w:sz="4" w:space="0" w:color="231F20"/>
            </w:tcBorders>
          </w:tcPr>
          <w:p w14:paraId="213CD77D" w14:textId="77777777" w:rsidR="002753FF" w:rsidRPr="005B7169" w:rsidRDefault="002753FF" w:rsidP="009D6FA2">
            <w:pPr>
              <w:ind w:left="1636"/>
              <w:rPr>
                <w:rFonts w:ascii="Cambria" w:eastAsia="Cambria" w:hAnsi="Cambria" w:cs="Cambria"/>
                <w:sz w:val="20"/>
                <w:szCs w:val="20"/>
              </w:rPr>
            </w:pPr>
            <w:r w:rsidRPr="005B7169">
              <w:rPr>
                <w:rFonts w:ascii="Cambria" w:hAnsi="Cambria"/>
                <w:i/>
                <w:color w:val="231F20"/>
                <w:sz w:val="20"/>
                <w:szCs w:val="20"/>
              </w:rPr>
              <w:t>Si le solde du TAC annuel est :</w:t>
            </w:r>
          </w:p>
        </w:tc>
      </w:tr>
      <w:tr w:rsidR="002753FF" w:rsidRPr="005B7169" w14:paraId="7E962A50" w14:textId="77777777" w:rsidTr="00BC39B6">
        <w:trPr>
          <w:trHeight w:val="440"/>
        </w:trPr>
        <w:tc>
          <w:tcPr>
            <w:tcW w:w="2042" w:type="dxa"/>
            <w:tcBorders>
              <w:top w:val="single" w:sz="4" w:space="0" w:color="231F20"/>
              <w:left w:val="single" w:sz="4" w:space="0" w:color="231F20"/>
              <w:bottom w:val="single" w:sz="4" w:space="0" w:color="231F20"/>
              <w:right w:val="single" w:sz="4" w:space="0" w:color="231F20"/>
            </w:tcBorders>
            <w:vAlign w:val="center"/>
          </w:tcPr>
          <w:p w14:paraId="0C0EBF68" w14:textId="77777777" w:rsidR="002753FF" w:rsidRPr="005B7169" w:rsidRDefault="002753FF" w:rsidP="009D6FA2">
            <w:pPr>
              <w:ind w:left="96"/>
              <w:rPr>
                <w:rFonts w:ascii="Cambria" w:eastAsia="Cambria" w:hAnsi="Cambria" w:cs="Cambria"/>
                <w:sz w:val="20"/>
                <w:szCs w:val="20"/>
              </w:rPr>
            </w:pPr>
            <w:r w:rsidRPr="005B7169">
              <w:rPr>
                <w:rFonts w:ascii="Cambria" w:hAnsi="Cambria"/>
                <w:color w:val="231F20"/>
                <w:sz w:val="20"/>
                <w:szCs w:val="20"/>
              </w:rPr>
              <w:t>CPC</w:t>
            </w:r>
          </w:p>
        </w:tc>
        <w:tc>
          <w:tcPr>
            <w:tcW w:w="1779" w:type="dxa"/>
            <w:tcBorders>
              <w:top w:val="single" w:sz="4" w:space="0" w:color="231F20"/>
              <w:left w:val="single" w:sz="4" w:space="0" w:color="231F20"/>
              <w:bottom w:val="single" w:sz="4" w:space="0" w:color="231F20"/>
              <w:right w:val="single" w:sz="4" w:space="0" w:color="231F20"/>
            </w:tcBorders>
            <w:vAlign w:val="center"/>
          </w:tcPr>
          <w:p w14:paraId="2CD1C0B7" w14:textId="77777777" w:rsidR="002753FF" w:rsidRPr="005B7169" w:rsidRDefault="002753FF" w:rsidP="009D6FA2">
            <w:pPr>
              <w:ind w:left="662" w:right="472" w:hanging="190"/>
              <w:rPr>
                <w:rFonts w:ascii="Cambria" w:eastAsia="Cambria" w:hAnsi="Cambria" w:cs="Cambria"/>
                <w:sz w:val="20"/>
                <w:szCs w:val="20"/>
              </w:rPr>
            </w:pPr>
            <w:r w:rsidRPr="005B7169">
              <w:rPr>
                <w:rFonts w:ascii="Cambria" w:hAnsi="Cambria"/>
                <w:color w:val="231F20"/>
                <w:sz w:val="20"/>
                <w:szCs w:val="20"/>
              </w:rPr>
              <w:t>&lt;2.413 t (A)</w:t>
            </w:r>
          </w:p>
        </w:tc>
        <w:tc>
          <w:tcPr>
            <w:tcW w:w="1559" w:type="dxa"/>
            <w:tcBorders>
              <w:top w:val="single" w:sz="4" w:space="0" w:color="231F20"/>
              <w:left w:val="single" w:sz="4" w:space="0" w:color="231F20"/>
              <w:bottom w:val="single" w:sz="4" w:space="0" w:color="231F20"/>
              <w:right w:val="single" w:sz="4" w:space="0" w:color="231F20"/>
            </w:tcBorders>
            <w:vAlign w:val="center"/>
          </w:tcPr>
          <w:p w14:paraId="05DAEE59" w14:textId="77777777" w:rsidR="002753FF" w:rsidRPr="005B7169" w:rsidRDefault="002753FF" w:rsidP="009D6FA2">
            <w:pPr>
              <w:ind w:left="589" w:right="446" w:hanging="141"/>
              <w:rPr>
                <w:rFonts w:ascii="Cambria" w:eastAsia="Cambria" w:hAnsi="Cambria" w:cs="Cambria"/>
                <w:sz w:val="20"/>
                <w:szCs w:val="20"/>
              </w:rPr>
            </w:pPr>
            <w:r w:rsidRPr="005B7169">
              <w:rPr>
                <w:rFonts w:ascii="Cambria" w:hAnsi="Cambria"/>
                <w:color w:val="231F20"/>
                <w:sz w:val="20"/>
                <w:szCs w:val="20"/>
              </w:rPr>
              <w:t>2.413 t (B)</w:t>
            </w:r>
          </w:p>
        </w:tc>
        <w:tc>
          <w:tcPr>
            <w:tcW w:w="2127" w:type="dxa"/>
            <w:tcBorders>
              <w:top w:val="single" w:sz="4" w:space="0" w:color="231F20"/>
              <w:left w:val="single" w:sz="4" w:space="0" w:color="231F20"/>
              <w:bottom w:val="single" w:sz="4" w:space="0" w:color="231F20"/>
              <w:right w:val="single" w:sz="4" w:space="0" w:color="231F20"/>
            </w:tcBorders>
            <w:vAlign w:val="center"/>
          </w:tcPr>
          <w:p w14:paraId="3AF672D9" w14:textId="77777777" w:rsidR="002753FF" w:rsidRPr="005B7169" w:rsidRDefault="002753FF" w:rsidP="009D6FA2">
            <w:pPr>
              <w:ind w:left="294" w:right="330" w:firstLine="37"/>
              <w:rPr>
                <w:rFonts w:ascii="Cambria" w:eastAsia="Cambria" w:hAnsi="Cambria" w:cs="Cambria"/>
                <w:sz w:val="20"/>
                <w:szCs w:val="20"/>
              </w:rPr>
            </w:pPr>
            <w:r w:rsidRPr="005B7169">
              <w:rPr>
                <w:rFonts w:ascii="Cambria" w:hAnsi="Cambria"/>
                <w:color w:val="231F20"/>
                <w:sz w:val="20"/>
                <w:szCs w:val="20"/>
              </w:rPr>
              <w:t>&gt;2.413-2.660 t (C)</w:t>
            </w:r>
          </w:p>
        </w:tc>
        <w:tc>
          <w:tcPr>
            <w:tcW w:w="1559" w:type="dxa"/>
            <w:tcBorders>
              <w:top w:val="single" w:sz="4" w:space="0" w:color="231F20"/>
              <w:left w:val="single" w:sz="4" w:space="0" w:color="231F20"/>
              <w:bottom w:val="single" w:sz="4" w:space="0" w:color="231F20"/>
              <w:right w:val="single" w:sz="4" w:space="0" w:color="231F20"/>
            </w:tcBorders>
            <w:vAlign w:val="center"/>
          </w:tcPr>
          <w:p w14:paraId="1BA0B03F" w14:textId="77777777" w:rsidR="002753FF" w:rsidRPr="005B7169" w:rsidRDefault="002753FF" w:rsidP="009D6FA2">
            <w:pPr>
              <w:ind w:left="530" w:right="339" w:hanging="190"/>
              <w:rPr>
                <w:rFonts w:ascii="Cambria" w:eastAsia="Cambria" w:hAnsi="Cambria" w:cs="Cambria"/>
                <w:sz w:val="20"/>
                <w:szCs w:val="20"/>
              </w:rPr>
            </w:pPr>
            <w:r w:rsidRPr="005B7169">
              <w:rPr>
                <w:rFonts w:ascii="Cambria" w:hAnsi="Cambria"/>
                <w:color w:val="231F20"/>
                <w:sz w:val="20"/>
                <w:szCs w:val="20"/>
              </w:rPr>
              <w:t>&gt;2.660 t (D)</w:t>
            </w:r>
          </w:p>
        </w:tc>
      </w:tr>
      <w:tr w:rsidR="002753FF" w:rsidRPr="005B7169" w14:paraId="0EBB39D4" w14:textId="77777777" w:rsidTr="00BC39B6">
        <w:trPr>
          <w:trHeight w:val="220"/>
        </w:trPr>
        <w:tc>
          <w:tcPr>
            <w:tcW w:w="2042" w:type="dxa"/>
            <w:tcBorders>
              <w:top w:val="single" w:sz="4" w:space="0" w:color="231F20"/>
              <w:left w:val="single" w:sz="4" w:space="0" w:color="231F20"/>
              <w:bottom w:val="single" w:sz="4" w:space="0" w:color="231F20"/>
              <w:right w:val="single" w:sz="4" w:space="0" w:color="231F20"/>
            </w:tcBorders>
          </w:tcPr>
          <w:p w14:paraId="61E23F90" w14:textId="77777777" w:rsidR="002753FF" w:rsidRPr="005B7169" w:rsidRDefault="002753FF" w:rsidP="009D6FA2">
            <w:pPr>
              <w:ind w:left="96"/>
              <w:jc w:val="both"/>
              <w:rPr>
                <w:rFonts w:ascii="Cambria" w:eastAsia="Cambria" w:hAnsi="Cambria" w:cs="Cambria"/>
                <w:sz w:val="20"/>
                <w:szCs w:val="20"/>
              </w:rPr>
            </w:pPr>
            <w:r w:rsidRPr="005B7169">
              <w:rPr>
                <w:rFonts w:ascii="Cambria" w:hAnsi="Cambria"/>
                <w:color w:val="231F20"/>
                <w:sz w:val="20"/>
                <w:szCs w:val="20"/>
              </w:rPr>
              <w:t>États-Unis</w:t>
            </w:r>
          </w:p>
        </w:tc>
        <w:tc>
          <w:tcPr>
            <w:tcW w:w="1779" w:type="dxa"/>
            <w:tcBorders>
              <w:top w:val="single" w:sz="4" w:space="0" w:color="231F20"/>
              <w:left w:val="single" w:sz="4" w:space="0" w:color="231F20"/>
              <w:bottom w:val="single" w:sz="4" w:space="0" w:color="231F20"/>
              <w:right w:val="single" w:sz="4" w:space="0" w:color="231F20"/>
            </w:tcBorders>
          </w:tcPr>
          <w:p w14:paraId="3FAD64EF" w14:textId="77777777" w:rsidR="002753FF" w:rsidRPr="005B7169" w:rsidRDefault="002753FF" w:rsidP="009D6FA2">
            <w:pPr>
              <w:ind w:left="502"/>
              <w:rPr>
                <w:rFonts w:ascii="Cambria" w:eastAsia="Cambria" w:hAnsi="Cambria" w:cs="Cambria"/>
                <w:sz w:val="20"/>
                <w:szCs w:val="20"/>
              </w:rPr>
            </w:pPr>
            <w:r w:rsidRPr="005B7169">
              <w:rPr>
                <w:rFonts w:ascii="Cambria" w:hAnsi="Cambria"/>
                <w:color w:val="231F20"/>
                <w:sz w:val="20"/>
                <w:szCs w:val="20"/>
              </w:rPr>
              <w:t>54,02%</w:t>
            </w:r>
          </w:p>
        </w:tc>
        <w:tc>
          <w:tcPr>
            <w:tcW w:w="1559" w:type="dxa"/>
            <w:tcBorders>
              <w:top w:val="single" w:sz="4" w:space="0" w:color="231F20"/>
              <w:left w:val="single" w:sz="4" w:space="0" w:color="231F20"/>
              <w:bottom w:val="single" w:sz="4" w:space="0" w:color="231F20"/>
              <w:right w:val="single" w:sz="4" w:space="0" w:color="231F20"/>
            </w:tcBorders>
          </w:tcPr>
          <w:p w14:paraId="7A05F4B2" w14:textId="77777777" w:rsidR="002753FF" w:rsidRPr="005B7169" w:rsidRDefault="002753FF" w:rsidP="009D6FA2">
            <w:pPr>
              <w:ind w:left="452"/>
              <w:rPr>
                <w:rFonts w:ascii="Cambria" w:eastAsia="Cambria" w:hAnsi="Cambria" w:cs="Cambria"/>
                <w:sz w:val="20"/>
                <w:szCs w:val="20"/>
              </w:rPr>
            </w:pPr>
            <w:r w:rsidRPr="005B7169">
              <w:rPr>
                <w:rFonts w:ascii="Cambria" w:hAnsi="Cambria"/>
                <w:color w:val="231F20"/>
                <w:sz w:val="20"/>
                <w:szCs w:val="20"/>
              </w:rPr>
              <w:t>1.303 t</w:t>
            </w:r>
          </w:p>
        </w:tc>
        <w:tc>
          <w:tcPr>
            <w:tcW w:w="2127" w:type="dxa"/>
            <w:tcBorders>
              <w:top w:val="single" w:sz="4" w:space="0" w:color="231F20"/>
              <w:left w:val="single" w:sz="4" w:space="0" w:color="231F20"/>
              <w:bottom w:val="single" w:sz="4" w:space="0" w:color="231F20"/>
              <w:right w:val="single" w:sz="4" w:space="0" w:color="231F20"/>
            </w:tcBorders>
          </w:tcPr>
          <w:p w14:paraId="518942A1" w14:textId="77777777" w:rsidR="002753FF" w:rsidRPr="005B7169" w:rsidRDefault="002753FF" w:rsidP="009D6FA2">
            <w:pPr>
              <w:jc w:val="center"/>
              <w:rPr>
                <w:rFonts w:ascii="Cambria" w:eastAsia="Cambria" w:hAnsi="Cambria" w:cs="Cambria"/>
                <w:sz w:val="20"/>
                <w:szCs w:val="20"/>
              </w:rPr>
            </w:pPr>
            <w:r w:rsidRPr="005B7169">
              <w:rPr>
                <w:rFonts w:ascii="Cambria" w:hAnsi="Cambria"/>
                <w:color w:val="231F20"/>
                <w:sz w:val="20"/>
                <w:szCs w:val="20"/>
              </w:rPr>
              <w:t>1.303 t</w:t>
            </w:r>
          </w:p>
        </w:tc>
        <w:tc>
          <w:tcPr>
            <w:tcW w:w="1559" w:type="dxa"/>
            <w:tcBorders>
              <w:top w:val="single" w:sz="4" w:space="0" w:color="231F20"/>
              <w:left w:val="single" w:sz="4" w:space="0" w:color="231F20"/>
              <w:bottom w:val="single" w:sz="4" w:space="0" w:color="231F20"/>
              <w:right w:val="single" w:sz="4" w:space="0" w:color="231F20"/>
            </w:tcBorders>
          </w:tcPr>
          <w:p w14:paraId="19CDFEF8" w14:textId="77777777" w:rsidR="002753FF" w:rsidRPr="005B7169" w:rsidRDefault="002753FF" w:rsidP="009D6FA2">
            <w:pPr>
              <w:ind w:left="370"/>
              <w:rPr>
                <w:rFonts w:ascii="Cambria" w:eastAsia="Cambria" w:hAnsi="Cambria" w:cs="Cambria"/>
                <w:sz w:val="20"/>
                <w:szCs w:val="20"/>
              </w:rPr>
            </w:pPr>
            <w:r w:rsidRPr="005B7169">
              <w:rPr>
                <w:rFonts w:ascii="Cambria" w:hAnsi="Cambria"/>
                <w:color w:val="231F20"/>
                <w:sz w:val="20"/>
                <w:szCs w:val="20"/>
              </w:rPr>
              <w:t>49,00%</w:t>
            </w:r>
          </w:p>
        </w:tc>
      </w:tr>
      <w:tr w:rsidR="002753FF" w:rsidRPr="005B7169" w14:paraId="46ED0F61" w14:textId="77777777" w:rsidTr="00BC39B6">
        <w:trPr>
          <w:trHeight w:val="220"/>
        </w:trPr>
        <w:tc>
          <w:tcPr>
            <w:tcW w:w="2042" w:type="dxa"/>
            <w:tcBorders>
              <w:top w:val="single" w:sz="4" w:space="0" w:color="231F20"/>
              <w:left w:val="single" w:sz="4" w:space="0" w:color="231F20"/>
              <w:bottom w:val="single" w:sz="4" w:space="0" w:color="231F20"/>
              <w:right w:val="single" w:sz="4" w:space="0" w:color="231F20"/>
            </w:tcBorders>
          </w:tcPr>
          <w:p w14:paraId="3FA6234D" w14:textId="77777777" w:rsidR="002753FF" w:rsidRPr="005B7169" w:rsidRDefault="002753FF" w:rsidP="009D6FA2">
            <w:pPr>
              <w:ind w:left="96"/>
              <w:jc w:val="both"/>
              <w:rPr>
                <w:rFonts w:ascii="Cambria" w:eastAsia="Cambria" w:hAnsi="Cambria" w:cs="Cambria"/>
                <w:sz w:val="20"/>
                <w:szCs w:val="20"/>
              </w:rPr>
            </w:pPr>
            <w:r w:rsidRPr="005B7169">
              <w:rPr>
                <w:rFonts w:ascii="Cambria" w:hAnsi="Cambria"/>
                <w:color w:val="231F20"/>
                <w:sz w:val="20"/>
                <w:szCs w:val="20"/>
              </w:rPr>
              <w:t>Canada</w:t>
            </w:r>
          </w:p>
        </w:tc>
        <w:tc>
          <w:tcPr>
            <w:tcW w:w="1779" w:type="dxa"/>
            <w:tcBorders>
              <w:top w:val="single" w:sz="4" w:space="0" w:color="231F20"/>
              <w:left w:val="single" w:sz="4" w:space="0" w:color="231F20"/>
              <w:bottom w:val="single" w:sz="4" w:space="0" w:color="231F20"/>
              <w:right w:val="single" w:sz="4" w:space="0" w:color="231F20"/>
            </w:tcBorders>
          </w:tcPr>
          <w:p w14:paraId="63A51E08" w14:textId="77777777" w:rsidR="002753FF" w:rsidRPr="005B7169" w:rsidRDefault="002753FF" w:rsidP="009D6FA2">
            <w:pPr>
              <w:ind w:left="502"/>
              <w:rPr>
                <w:rFonts w:ascii="Cambria" w:eastAsia="Cambria" w:hAnsi="Cambria" w:cs="Cambria"/>
                <w:sz w:val="20"/>
                <w:szCs w:val="20"/>
              </w:rPr>
            </w:pPr>
            <w:r w:rsidRPr="005B7169">
              <w:rPr>
                <w:rFonts w:ascii="Cambria" w:hAnsi="Cambria"/>
                <w:color w:val="231F20"/>
                <w:sz w:val="20"/>
                <w:szCs w:val="20"/>
              </w:rPr>
              <w:t>22,32%</w:t>
            </w:r>
          </w:p>
        </w:tc>
        <w:tc>
          <w:tcPr>
            <w:tcW w:w="1559" w:type="dxa"/>
            <w:tcBorders>
              <w:top w:val="single" w:sz="4" w:space="0" w:color="231F20"/>
              <w:left w:val="single" w:sz="4" w:space="0" w:color="231F20"/>
              <w:bottom w:val="single" w:sz="4" w:space="0" w:color="231F20"/>
              <w:right w:val="single" w:sz="4" w:space="0" w:color="231F20"/>
            </w:tcBorders>
          </w:tcPr>
          <w:p w14:paraId="507E09AC" w14:textId="77777777" w:rsidR="002753FF" w:rsidRPr="005B7169" w:rsidRDefault="002753FF" w:rsidP="009D6FA2">
            <w:pPr>
              <w:ind w:left="1"/>
              <w:jc w:val="center"/>
              <w:rPr>
                <w:rFonts w:ascii="Cambria" w:eastAsia="Cambria" w:hAnsi="Cambria" w:cs="Cambria"/>
                <w:sz w:val="20"/>
                <w:szCs w:val="20"/>
              </w:rPr>
            </w:pPr>
            <w:r w:rsidRPr="005B7169">
              <w:rPr>
                <w:rFonts w:ascii="Cambria" w:hAnsi="Cambria"/>
                <w:color w:val="231F20"/>
                <w:sz w:val="20"/>
                <w:szCs w:val="20"/>
              </w:rPr>
              <w:t>539 t</w:t>
            </w:r>
          </w:p>
        </w:tc>
        <w:tc>
          <w:tcPr>
            <w:tcW w:w="2127" w:type="dxa"/>
            <w:tcBorders>
              <w:top w:val="single" w:sz="4" w:space="0" w:color="231F20"/>
              <w:left w:val="single" w:sz="4" w:space="0" w:color="231F20"/>
              <w:bottom w:val="single" w:sz="4" w:space="0" w:color="231F20"/>
              <w:right w:val="single" w:sz="4" w:space="0" w:color="231F20"/>
            </w:tcBorders>
          </w:tcPr>
          <w:p w14:paraId="0E45F37D" w14:textId="77777777" w:rsidR="002753FF" w:rsidRPr="005B7169" w:rsidRDefault="002753FF" w:rsidP="009D6FA2">
            <w:pPr>
              <w:ind w:left="1"/>
              <w:jc w:val="center"/>
              <w:rPr>
                <w:rFonts w:ascii="Cambria" w:eastAsia="Cambria" w:hAnsi="Cambria" w:cs="Cambria"/>
                <w:sz w:val="20"/>
                <w:szCs w:val="20"/>
              </w:rPr>
            </w:pPr>
            <w:r w:rsidRPr="005B7169">
              <w:rPr>
                <w:rFonts w:ascii="Cambria" w:hAnsi="Cambria"/>
                <w:color w:val="231F20"/>
                <w:sz w:val="20"/>
                <w:szCs w:val="20"/>
              </w:rPr>
              <w:t>539 t</w:t>
            </w:r>
          </w:p>
        </w:tc>
        <w:tc>
          <w:tcPr>
            <w:tcW w:w="1559" w:type="dxa"/>
            <w:tcBorders>
              <w:top w:val="single" w:sz="4" w:space="0" w:color="231F20"/>
              <w:left w:val="single" w:sz="4" w:space="0" w:color="231F20"/>
              <w:bottom w:val="single" w:sz="4" w:space="0" w:color="231F20"/>
              <w:right w:val="single" w:sz="4" w:space="0" w:color="231F20"/>
            </w:tcBorders>
          </w:tcPr>
          <w:p w14:paraId="2C9ABA62" w14:textId="77777777" w:rsidR="002753FF" w:rsidRPr="005B7169" w:rsidRDefault="002753FF" w:rsidP="009D6FA2">
            <w:pPr>
              <w:ind w:left="370"/>
              <w:rPr>
                <w:rFonts w:ascii="Cambria" w:eastAsia="Cambria" w:hAnsi="Cambria" w:cs="Cambria"/>
                <w:sz w:val="20"/>
                <w:szCs w:val="20"/>
              </w:rPr>
            </w:pPr>
            <w:r w:rsidRPr="005B7169">
              <w:rPr>
                <w:rFonts w:ascii="Cambria" w:hAnsi="Cambria"/>
                <w:color w:val="231F20"/>
                <w:sz w:val="20"/>
                <w:szCs w:val="20"/>
              </w:rPr>
              <w:t>20,24%</w:t>
            </w:r>
          </w:p>
        </w:tc>
      </w:tr>
      <w:tr w:rsidR="002753FF" w:rsidRPr="005B7169" w14:paraId="00E78521" w14:textId="77777777" w:rsidTr="00BC39B6">
        <w:trPr>
          <w:trHeight w:val="800"/>
        </w:trPr>
        <w:tc>
          <w:tcPr>
            <w:tcW w:w="2042" w:type="dxa"/>
            <w:tcBorders>
              <w:top w:val="single" w:sz="4" w:space="0" w:color="231F20"/>
              <w:left w:val="single" w:sz="4" w:space="0" w:color="231F20"/>
              <w:bottom w:val="single" w:sz="4" w:space="0" w:color="231F20"/>
              <w:right w:val="single" w:sz="4" w:space="0" w:color="231F20"/>
            </w:tcBorders>
            <w:vAlign w:val="center"/>
          </w:tcPr>
          <w:p w14:paraId="0F73C48C" w14:textId="77777777" w:rsidR="002753FF" w:rsidRPr="005B7169" w:rsidRDefault="002753FF" w:rsidP="009D6FA2">
            <w:pPr>
              <w:ind w:left="96"/>
              <w:jc w:val="both"/>
              <w:rPr>
                <w:rFonts w:ascii="Cambria" w:eastAsia="Cambria" w:hAnsi="Cambria" w:cs="Cambria"/>
                <w:sz w:val="20"/>
                <w:szCs w:val="20"/>
              </w:rPr>
            </w:pPr>
            <w:r w:rsidRPr="005B7169">
              <w:rPr>
                <w:rFonts w:ascii="Cambria" w:hAnsi="Cambria"/>
                <w:color w:val="231F20"/>
                <w:sz w:val="20"/>
                <w:szCs w:val="20"/>
              </w:rPr>
              <w:t>Japon</w:t>
            </w:r>
          </w:p>
        </w:tc>
        <w:tc>
          <w:tcPr>
            <w:tcW w:w="1779" w:type="dxa"/>
            <w:tcBorders>
              <w:top w:val="single" w:sz="4" w:space="0" w:color="231F20"/>
              <w:left w:val="single" w:sz="4" w:space="0" w:color="231F20"/>
              <w:bottom w:val="single" w:sz="4" w:space="0" w:color="231F20"/>
              <w:right w:val="single" w:sz="4" w:space="0" w:color="231F20"/>
            </w:tcBorders>
          </w:tcPr>
          <w:p w14:paraId="6747ED33" w14:textId="77777777" w:rsidR="002753FF" w:rsidRPr="005B7169" w:rsidRDefault="002753FF" w:rsidP="009D6FA2">
            <w:pPr>
              <w:ind w:left="502"/>
              <w:rPr>
                <w:rFonts w:ascii="Cambria" w:eastAsia="Cambria" w:hAnsi="Cambria" w:cs="Cambria"/>
                <w:sz w:val="20"/>
                <w:szCs w:val="20"/>
              </w:rPr>
            </w:pPr>
            <w:r w:rsidRPr="005B7169">
              <w:rPr>
                <w:rFonts w:ascii="Cambria" w:hAnsi="Cambria"/>
                <w:color w:val="231F20"/>
                <w:sz w:val="20"/>
                <w:szCs w:val="20"/>
              </w:rPr>
              <w:t>17,64%</w:t>
            </w:r>
          </w:p>
        </w:tc>
        <w:tc>
          <w:tcPr>
            <w:tcW w:w="1559" w:type="dxa"/>
            <w:tcBorders>
              <w:top w:val="single" w:sz="4" w:space="0" w:color="231F20"/>
              <w:left w:val="single" w:sz="4" w:space="0" w:color="231F20"/>
              <w:bottom w:val="single" w:sz="4" w:space="0" w:color="231F20"/>
              <w:right w:val="single" w:sz="4" w:space="0" w:color="231F20"/>
            </w:tcBorders>
          </w:tcPr>
          <w:p w14:paraId="4D639C29" w14:textId="77777777" w:rsidR="002753FF" w:rsidRPr="005B7169" w:rsidRDefault="002753FF" w:rsidP="009D6FA2">
            <w:pPr>
              <w:ind w:left="1"/>
              <w:jc w:val="center"/>
              <w:rPr>
                <w:rFonts w:ascii="Cambria" w:eastAsia="Cambria" w:hAnsi="Cambria" w:cs="Cambria"/>
                <w:sz w:val="20"/>
                <w:szCs w:val="20"/>
              </w:rPr>
            </w:pPr>
            <w:r w:rsidRPr="005B7169">
              <w:rPr>
                <w:rFonts w:ascii="Cambria" w:hAnsi="Cambria"/>
                <w:color w:val="231F20"/>
                <w:sz w:val="20"/>
                <w:szCs w:val="20"/>
              </w:rPr>
              <w:t>426 t</w:t>
            </w:r>
          </w:p>
        </w:tc>
        <w:tc>
          <w:tcPr>
            <w:tcW w:w="2127" w:type="dxa"/>
            <w:tcBorders>
              <w:top w:val="single" w:sz="4" w:space="0" w:color="231F20"/>
              <w:left w:val="single" w:sz="4" w:space="0" w:color="231F20"/>
              <w:bottom w:val="single" w:sz="4" w:space="0" w:color="231F20"/>
              <w:right w:val="single" w:sz="4" w:space="0" w:color="231F20"/>
            </w:tcBorders>
          </w:tcPr>
          <w:p w14:paraId="016ABA8C" w14:textId="77777777" w:rsidR="002753FF" w:rsidRPr="005B7169" w:rsidRDefault="002753FF" w:rsidP="009D6FA2">
            <w:pPr>
              <w:ind w:left="136" w:right="135"/>
              <w:jc w:val="center"/>
              <w:rPr>
                <w:rFonts w:ascii="Cambria" w:eastAsia="Cambria" w:hAnsi="Cambria" w:cs="Cambria"/>
                <w:color w:val="231F20"/>
                <w:sz w:val="20"/>
                <w:szCs w:val="20"/>
              </w:rPr>
            </w:pPr>
            <w:r w:rsidRPr="005B7169">
              <w:rPr>
                <w:rFonts w:ascii="Cambria" w:hAnsi="Cambria"/>
                <w:color w:val="231F20"/>
                <w:sz w:val="20"/>
                <w:szCs w:val="20"/>
              </w:rPr>
              <w:t xml:space="preserve">426 t + </w:t>
            </w:r>
          </w:p>
          <w:p w14:paraId="768344AE" w14:textId="77777777" w:rsidR="002753FF" w:rsidRPr="005B7169" w:rsidRDefault="002753FF" w:rsidP="009D6FA2">
            <w:pPr>
              <w:ind w:left="136" w:right="135"/>
              <w:jc w:val="center"/>
              <w:rPr>
                <w:rFonts w:ascii="Cambria" w:eastAsia="Cambria" w:hAnsi="Cambria" w:cs="Cambria"/>
                <w:color w:val="231F20"/>
                <w:sz w:val="20"/>
                <w:szCs w:val="20"/>
              </w:rPr>
            </w:pPr>
            <w:proofErr w:type="gramStart"/>
            <w:r w:rsidRPr="005B7169">
              <w:rPr>
                <w:rFonts w:ascii="Cambria" w:hAnsi="Cambria"/>
                <w:color w:val="231F20"/>
                <w:sz w:val="20"/>
                <w:szCs w:val="20"/>
              </w:rPr>
              <w:t>toute</w:t>
            </w:r>
            <w:proofErr w:type="gramEnd"/>
            <w:r w:rsidRPr="005B7169">
              <w:rPr>
                <w:rFonts w:ascii="Cambria" w:hAnsi="Cambria"/>
                <w:color w:val="231F20"/>
                <w:sz w:val="20"/>
                <w:szCs w:val="20"/>
              </w:rPr>
              <w:t xml:space="preserve"> augmentation entre </w:t>
            </w:r>
          </w:p>
          <w:p w14:paraId="24EEAD6B" w14:textId="77777777" w:rsidR="002753FF" w:rsidRPr="005B7169" w:rsidRDefault="002753FF" w:rsidP="009D6FA2">
            <w:pPr>
              <w:ind w:left="136" w:right="135"/>
              <w:jc w:val="center"/>
              <w:rPr>
                <w:rFonts w:ascii="Cambria" w:eastAsia="Cambria" w:hAnsi="Cambria" w:cs="Cambria"/>
                <w:sz w:val="20"/>
                <w:szCs w:val="20"/>
              </w:rPr>
            </w:pPr>
            <w:r w:rsidRPr="005B7169">
              <w:rPr>
                <w:rFonts w:ascii="Cambria" w:hAnsi="Cambria"/>
                <w:color w:val="231F20"/>
                <w:sz w:val="20"/>
                <w:szCs w:val="20"/>
              </w:rPr>
              <w:t>2.413 t et 2.660 t</w:t>
            </w:r>
          </w:p>
        </w:tc>
        <w:tc>
          <w:tcPr>
            <w:tcW w:w="1559" w:type="dxa"/>
            <w:tcBorders>
              <w:top w:val="single" w:sz="4" w:space="0" w:color="231F20"/>
              <w:left w:val="single" w:sz="4" w:space="0" w:color="231F20"/>
              <w:bottom w:val="single" w:sz="4" w:space="0" w:color="231F20"/>
              <w:right w:val="single" w:sz="4" w:space="0" w:color="231F20"/>
            </w:tcBorders>
            <w:vAlign w:val="center"/>
          </w:tcPr>
          <w:p w14:paraId="737F9798" w14:textId="77777777" w:rsidR="002753FF" w:rsidRPr="005B7169" w:rsidRDefault="002753FF" w:rsidP="009D6FA2">
            <w:pPr>
              <w:ind w:left="150" w:hanging="150"/>
              <w:jc w:val="center"/>
              <w:rPr>
                <w:rFonts w:ascii="Cambria" w:eastAsia="Cambria" w:hAnsi="Cambria" w:cs="Cambria"/>
                <w:sz w:val="20"/>
                <w:szCs w:val="20"/>
              </w:rPr>
            </w:pPr>
            <w:r w:rsidRPr="005B7169">
              <w:rPr>
                <w:rFonts w:ascii="Cambria" w:hAnsi="Cambria"/>
                <w:color w:val="231F20"/>
                <w:sz w:val="20"/>
                <w:szCs w:val="20"/>
              </w:rPr>
              <w:t>24,74%</w:t>
            </w:r>
          </w:p>
        </w:tc>
      </w:tr>
      <w:tr w:rsidR="002753FF" w:rsidRPr="005B7169" w14:paraId="40FCEB34" w14:textId="77777777" w:rsidTr="00BC39B6">
        <w:trPr>
          <w:trHeight w:val="700"/>
        </w:trPr>
        <w:tc>
          <w:tcPr>
            <w:tcW w:w="2042" w:type="dxa"/>
            <w:tcBorders>
              <w:top w:val="single" w:sz="4" w:space="0" w:color="231F20"/>
              <w:left w:val="single" w:sz="4" w:space="0" w:color="231F20"/>
              <w:bottom w:val="single" w:sz="4" w:space="0" w:color="231F20"/>
              <w:right w:val="single" w:sz="4" w:space="0" w:color="231F20"/>
            </w:tcBorders>
            <w:vAlign w:val="center"/>
          </w:tcPr>
          <w:p w14:paraId="4CEAED79" w14:textId="77777777" w:rsidR="002753FF" w:rsidRPr="005B7169" w:rsidRDefault="002753FF" w:rsidP="009D6FA2">
            <w:pPr>
              <w:ind w:left="96" w:right="397"/>
              <w:jc w:val="both"/>
              <w:rPr>
                <w:rFonts w:ascii="Cambria" w:eastAsia="Cambria" w:hAnsi="Cambria" w:cs="Cambria"/>
                <w:sz w:val="20"/>
                <w:szCs w:val="20"/>
              </w:rPr>
            </w:pPr>
            <w:r w:rsidRPr="005B7169">
              <w:rPr>
                <w:rFonts w:ascii="Cambria" w:hAnsi="Cambria"/>
                <w:color w:val="231F20"/>
                <w:sz w:val="20"/>
                <w:szCs w:val="20"/>
              </w:rPr>
              <w:t>Royaume-Uni (au titre des Bermudes)</w:t>
            </w:r>
          </w:p>
        </w:tc>
        <w:tc>
          <w:tcPr>
            <w:tcW w:w="1779" w:type="dxa"/>
            <w:tcBorders>
              <w:top w:val="single" w:sz="4" w:space="0" w:color="231F20"/>
              <w:left w:val="single" w:sz="4" w:space="0" w:color="231F20"/>
              <w:bottom w:val="single" w:sz="4" w:space="0" w:color="231F20"/>
              <w:right w:val="single" w:sz="4" w:space="0" w:color="231F20"/>
            </w:tcBorders>
            <w:vAlign w:val="center"/>
          </w:tcPr>
          <w:p w14:paraId="6BA5146C" w14:textId="77777777" w:rsidR="002753FF" w:rsidRPr="005B7169" w:rsidRDefault="002753FF" w:rsidP="009D6FA2">
            <w:pPr>
              <w:jc w:val="center"/>
              <w:rPr>
                <w:rFonts w:ascii="Cambria" w:hAnsi="Cambria"/>
                <w:color w:val="231F20"/>
                <w:sz w:val="20"/>
                <w:szCs w:val="20"/>
              </w:rPr>
            </w:pPr>
            <w:r w:rsidRPr="005B7169">
              <w:rPr>
                <w:rFonts w:ascii="Cambria" w:hAnsi="Cambria"/>
                <w:color w:val="231F20"/>
                <w:sz w:val="20"/>
                <w:szCs w:val="20"/>
              </w:rPr>
              <w:t>0,23%</w:t>
            </w:r>
          </w:p>
        </w:tc>
        <w:tc>
          <w:tcPr>
            <w:tcW w:w="1559" w:type="dxa"/>
            <w:tcBorders>
              <w:top w:val="single" w:sz="4" w:space="0" w:color="231F20"/>
              <w:left w:val="single" w:sz="4" w:space="0" w:color="231F20"/>
              <w:bottom w:val="single" w:sz="4" w:space="0" w:color="231F20"/>
              <w:right w:val="single" w:sz="4" w:space="0" w:color="231F20"/>
            </w:tcBorders>
            <w:vAlign w:val="center"/>
          </w:tcPr>
          <w:p w14:paraId="370D53E5" w14:textId="77777777" w:rsidR="002753FF" w:rsidRPr="005B7169" w:rsidRDefault="002753FF" w:rsidP="009D6FA2">
            <w:pPr>
              <w:ind w:left="547" w:hanging="259"/>
              <w:jc w:val="center"/>
              <w:rPr>
                <w:rFonts w:ascii="Cambria" w:hAnsi="Cambria"/>
                <w:color w:val="231F20"/>
                <w:sz w:val="20"/>
                <w:szCs w:val="20"/>
              </w:rPr>
            </w:pPr>
            <w:r w:rsidRPr="005B7169">
              <w:rPr>
                <w:rFonts w:ascii="Cambria" w:hAnsi="Cambria"/>
                <w:color w:val="231F20"/>
                <w:sz w:val="20"/>
                <w:szCs w:val="20"/>
              </w:rPr>
              <w:t>5,5 t</w:t>
            </w:r>
          </w:p>
        </w:tc>
        <w:tc>
          <w:tcPr>
            <w:tcW w:w="2127" w:type="dxa"/>
            <w:tcBorders>
              <w:top w:val="single" w:sz="4" w:space="0" w:color="231F20"/>
              <w:left w:val="single" w:sz="4" w:space="0" w:color="231F20"/>
              <w:bottom w:val="single" w:sz="4" w:space="0" w:color="231F20"/>
              <w:right w:val="single" w:sz="4" w:space="0" w:color="231F20"/>
            </w:tcBorders>
            <w:vAlign w:val="center"/>
          </w:tcPr>
          <w:p w14:paraId="155837F5" w14:textId="77777777" w:rsidR="002753FF" w:rsidRPr="005B7169" w:rsidRDefault="002753FF" w:rsidP="009D6FA2">
            <w:pPr>
              <w:ind w:left="294" w:hanging="425"/>
              <w:jc w:val="center"/>
              <w:rPr>
                <w:rFonts w:ascii="Cambria" w:hAnsi="Cambria"/>
                <w:color w:val="231F20"/>
                <w:sz w:val="20"/>
                <w:szCs w:val="20"/>
              </w:rPr>
            </w:pPr>
            <w:r w:rsidRPr="005B7169">
              <w:rPr>
                <w:rFonts w:ascii="Cambria" w:hAnsi="Cambria"/>
                <w:color w:val="231F20"/>
                <w:sz w:val="20"/>
                <w:szCs w:val="20"/>
              </w:rPr>
              <w:t>5,5 t</w:t>
            </w:r>
          </w:p>
        </w:tc>
        <w:tc>
          <w:tcPr>
            <w:tcW w:w="1559" w:type="dxa"/>
            <w:tcBorders>
              <w:top w:val="single" w:sz="4" w:space="0" w:color="231F20"/>
              <w:left w:val="single" w:sz="4" w:space="0" w:color="231F20"/>
              <w:bottom w:val="single" w:sz="4" w:space="0" w:color="231F20"/>
              <w:right w:val="single" w:sz="4" w:space="0" w:color="231F20"/>
            </w:tcBorders>
            <w:vAlign w:val="center"/>
          </w:tcPr>
          <w:p w14:paraId="74677B95" w14:textId="77777777" w:rsidR="002753FF" w:rsidRPr="005B7169" w:rsidRDefault="002753FF" w:rsidP="009D6FA2">
            <w:pPr>
              <w:ind w:left="150" w:hanging="141"/>
              <w:jc w:val="center"/>
              <w:rPr>
                <w:rFonts w:ascii="Cambria" w:hAnsi="Cambria"/>
                <w:color w:val="231F20"/>
                <w:sz w:val="20"/>
                <w:szCs w:val="20"/>
              </w:rPr>
            </w:pPr>
            <w:r w:rsidRPr="005B7169">
              <w:rPr>
                <w:rFonts w:ascii="Cambria" w:hAnsi="Cambria"/>
                <w:color w:val="231F20"/>
                <w:sz w:val="20"/>
                <w:szCs w:val="20"/>
              </w:rPr>
              <w:t>0,23%</w:t>
            </w:r>
          </w:p>
        </w:tc>
      </w:tr>
      <w:tr w:rsidR="002753FF" w:rsidRPr="005B7169" w14:paraId="06B2FCB9" w14:textId="77777777" w:rsidTr="00BC39B6">
        <w:trPr>
          <w:trHeight w:val="700"/>
        </w:trPr>
        <w:tc>
          <w:tcPr>
            <w:tcW w:w="2042" w:type="dxa"/>
            <w:tcBorders>
              <w:top w:val="single" w:sz="4" w:space="0" w:color="231F20"/>
              <w:left w:val="single" w:sz="4" w:space="0" w:color="231F20"/>
              <w:bottom w:val="single" w:sz="4" w:space="0" w:color="231F20"/>
              <w:right w:val="single" w:sz="4" w:space="0" w:color="231F20"/>
            </w:tcBorders>
            <w:vAlign w:val="center"/>
          </w:tcPr>
          <w:p w14:paraId="41D80F45" w14:textId="77777777" w:rsidR="002753FF" w:rsidRPr="005B7169" w:rsidRDefault="002753FF" w:rsidP="009D6FA2">
            <w:pPr>
              <w:ind w:left="96" w:right="128"/>
              <w:jc w:val="both"/>
              <w:rPr>
                <w:rFonts w:ascii="Cambria" w:eastAsia="Cambria" w:hAnsi="Cambria" w:cs="Cambria"/>
                <w:sz w:val="20"/>
                <w:szCs w:val="20"/>
              </w:rPr>
            </w:pPr>
            <w:r w:rsidRPr="005B7169">
              <w:rPr>
                <w:rFonts w:ascii="Cambria" w:hAnsi="Cambria"/>
                <w:color w:val="231F20"/>
                <w:sz w:val="20"/>
                <w:szCs w:val="20"/>
              </w:rPr>
              <w:t>France (au titre de Saint-Pierre-et-Miquelon)</w:t>
            </w:r>
          </w:p>
        </w:tc>
        <w:tc>
          <w:tcPr>
            <w:tcW w:w="1779" w:type="dxa"/>
            <w:tcBorders>
              <w:top w:val="single" w:sz="4" w:space="0" w:color="231F20"/>
              <w:left w:val="single" w:sz="4" w:space="0" w:color="231F20"/>
              <w:bottom w:val="single" w:sz="4" w:space="0" w:color="231F20"/>
              <w:right w:val="single" w:sz="4" w:space="0" w:color="231F20"/>
            </w:tcBorders>
            <w:vAlign w:val="center"/>
          </w:tcPr>
          <w:p w14:paraId="18CE9AB1" w14:textId="77777777" w:rsidR="002753FF" w:rsidRPr="005B7169" w:rsidRDefault="002753FF" w:rsidP="009D6FA2">
            <w:pPr>
              <w:jc w:val="center"/>
              <w:rPr>
                <w:rFonts w:ascii="Cambria" w:hAnsi="Cambria"/>
                <w:color w:val="231F20"/>
                <w:sz w:val="20"/>
                <w:szCs w:val="20"/>
              </w:rPr>
            </w:pPr>
            <w:r w:rsidRPr="005B7169">
              <w:rPr>
                <w:rFonts w:ascii="Cambria" w:hAnsi="Cambria"/>
                <w:color w:val="231F20"/>
                <w:sz w:val="20"/>
                <w:szCs w:val="20"/>
              </w:rPr>
              <w:t>0,23%</w:t>
            </w:r>
          </w:p>
        </w:tc>
        <w:tc>
          <w:tcPr>
            <w:tcW w:w="1559" w:type="dxa"/>
            <w:tcBorders>
              <w:top w:val="single" w:sz="4" w:space="0" w:color="231F20"/>
              <w:left w:val="single" w:sz="4" w:space="0" w:color="231F20"/>
              <w:bottom w:val="single" w:sz="4" w:space="0" w:color="231F20"/>
              <w:right w:val="single" w:sz="4" w:space="0" w:color="231F20"/>
            </w:tcBorders>
            <w:vAlign w:val="center"/>
          </w:tcPr>
          <w:p w14:paraId="49113CDC" w14:textId="77777777" w:rsidR="002753FF" w:rsidRPr="005B7169" w:rsidRDefault="002753FF" w:rsidP="009D6FA2">
            <w:pPr>
              <w:ind w:left="547" w:hanging="401"/>
              <w:jc w:val="center"/>
              <w:rPr>
                <w:rFonts w:ascii="Cambria" w:hAnsi="Cambria"/>
                <w:color w:val="231F20"/>
                <w:sz w:val="20"/>
                <w:szCs w:val="20"/>
              </w:rPr>
            </w:pPr>
            <w:r w:rsidRPr="005B7169">
              <w:rPr>
                <w:rFonts w:ascii="Cambria" w:hAnsi="Cambria"/>
                <w:color w:val="231F20"/>
                <w:sz w:val="20"/>
                <w:szCs w:val="20"/>
              </w:rPr>
              <w:t>5,5 t</w:t>
            </w:r>
          </w:p>
        </w:tc>
        <w:tc>
          <w:tcPr>
            <w:tcW w:w="2127" w:type="dxa"/>
            <w:tcBorders>
              <w:top w:val="single" w:sz="4" w:space="0" w:color="231F20"/>
              <w:left w:val="single" w:sz="4" w:space="0" w:color="231F20"/>
              <w:bottom w:val="single" w:sz="4" w:space="0" w:color="231F20"/>
              <w:right w:val="single" w:sz="4" w:space="0" w:color="231F20"/>
            </w:tcBorders>
            <w:vAlign w:val="center"/>
          </w:tcPr>
          <w:p w14:paraId="3558A57B" w14:textId="77777777" w:rsidR="002753FF" w:rsidRPr="005B7169" w:rsidRDefault="002753FF" w:rsidP="009D6FA2">
            <w:pPr>
              <w:ind w:left="728" w:hanging="728"/>
              <w:jc w:val="center"/>
              <w:rPr>
                <w:rFonts w:ascii="Cambria" w:hAnsi="Cambria"/>
                <w:color w:val="231F20"/>
                <w:sz w:val="20"/>
                <w:szCs w:val="20"/>
              </w:rPr>
            </w:pPr>
            <w:r w:rsidRPr="005B7169">
              <w:rPr>
                <w:rFonts w:ascii="Cambria" w:hAnsi="Cambria"/>
                <w:color w:val="231F20"/>
                <w:sz w:val="20"/>
                <w:szCs w:val="20"/>
              </w:rPr>
              <w:t>5,5 t</w:t>
            </w:r>
          </w:p>
        </w:tc>
        <w:tc>
          <w:tcPr>
            <w:tcW w:w="1559" w:type="dxa"/>
            <w:tcBorders>
              <w:top w:val="single" w:sz="4" w:space="0" w:color="231F20"/>
              <w:left w:val="single" w:sz="4" w:space="0" w:color="231F20"/>
              <w:bottom w:val="single" w:sz="4" w:space="0" w:color="231F20"/>
              <w:right w:val="single" w:sz="4" w:space="0" w:color="231F20"/>
            </w:tcBorders>
            <w:vAlign w:val="center"/>
          </w:tcPr>
          <w:p w14:paraId="24D12631" w14:textId="77777777" w:rsidR="002753FF" w:rsidRPr="005B7169" w:rsidRDefault="002753FF" w:rsidP="009D6FA2">
            <w:pPr>
              <w:ind w:firstLine="9"/>
              <w:jc w:val="center"/>
              <w:rPr>
                <w:rFonts w:ascii="Cambria" w:hAnsi="Cambria"/>
                <w:color w:val="231F20"/>
                <w:sz w:val="20"/>
                <w:szCs w:val="20"/>
              </w:rPr>
            </w:pPr>
            <w:r w:rsidRPr="005B7169">
              <w:rPr>
                <w:rFonts w:ascii="Cambria" w:hAnsi="Cambria"/>
                <w:color w:val="231F20"/>
                <w:sz w:val="20"/>
                <w:szCs w:val="20"/>
              </w:rPr>
              <w:t>0,23%</w:t>
            </w:r>
          </w:p>
        </w:tc>
      </w:tr>
      <w:tr w:rsidR="002753FF" w:rsidRPr="005B7169" w14:paraId="030DF93E" w14:textId="77777777" w:rsidTr="00BC39B6">
        <w:trPr>
          <w:trHeight w:val="426"/>
        </w:trPr>
        <w:tc>
          <w:tcPr>
            <w:tcW w:w="2042" w:type="dxa"/>
            <w:tcBorders>
              <w:top w:val="single" w:sz="4" w:space="0" w:color="231F20"/>
              <w:left w:val="single" w:sz="4" w:space="0" w:color="231F20"/>
              <w:bottom w:val="single" w:sz="4" w:space="0" w:color="231F20"/>
              <w:right w:val="single" w:sz="4" w:space="0" w:color="231F20"/>
            </w:tcBorders>
            <w:vAlign w:val="center"/>
          </w:tcPr>
          <w:p w14:paraId="1B95ED4C" w14:textId="77777777" w:rsidR="002753FF" w:rsidRPr="005B7169" w:rsidRDefault="002753FF" w:rsidP="009D6FA2">
            <w:pPr>
              <w:ind w:left="96"/>
              <w:jc w:val="both"/>
              <w:rPr>
                <w:rFonts w:ascii="Cambria" w:eastAsia="Cambria" w:hAnsi="Cambria" w:cs="Cambria"/>
                <w:sz w:val="20"/>
                <w:szCs w:val="20"/>
              </w:rPr>
            </w:pPr>
            <w:r w:rsidRPr="005B7169">
              <w:rPr>
                <w:rFonts w:ascii="Cambria" w:hAnsi="Cambria"/>
                <w:color w:val="231F20"/>
                <w:sz w:val="20"/>
                <w:szCs w:val="20"/>
              </w:rPr>
              <w:t>Mexique</w:t>
            </w:r>
          </w:p>
        </w:tc>
        <w:tc>
          <w:tcPr>
            <w:tcW w:w="1779" w:type="dxa"/>
            <w:tcBorders>
              <w:top w:val="single" w:sz="4" w:space="0" w:color="231F20"/>
              <w:left w:val="single" w:sz="4" w:space="0" w:color="231F20"/>
              <w:bottom w:val="single" w:sz="4" w:space="0" w:color="231F20"/>
              <w:right w:val="single" w:sz="4" w:space="0" w:color="231F20"/>
            </w:tcBorders>
            <w:vAlign w:val="center"/>
          </w:tcPr>
          <w:p w14:paraId="61BD36E7" w14:textId="77777777" w:rsidR="002753FF" w:rsidRPr="005B7169" w:rsidRDefault="002753FF" w:rsidP="009D6FA2">
            <w:pPr>
              <w:jc w:val="center"/>
              <w:rPr>
                <w:rFonts w:ascii="Cambria" w:hAnsi="Cambria"/>
                <w:color w:val="231F20"/>
                <w:sz w:val="20"/>
                <w:szCs w:val="20"/>
              </w:rPr>
            </w:pPr>
            <w:r w:rsidRPr="005B7169">
              <w:rPr>
                <w:rFonts w:ascii="Cambria" w:hAnsi="Cambria"/>
                <w:color w:val="231F20"/>
                <w:sz w:val="20"/>
                <w:szCs w:val="20"/>
              </w:rPr>
              <w:t>5,56%</w:t>
            </w:r>
          </w:p>
        </w:tc>
        <w:tc>
          <w:tcPr>
            <w:tcW w:w="1559" w:type="dxa"/>
            <w:tcBorders>
              <w:top w:val="single" w:sz="4" w:space="0" w:color="231F20"/>
              <w:left w:val="single" w:sz="4" w:space="0" w:color="231F20"/>
              <w:bottom w:val="single" w:sz="4" w:space="0" w:color="231F20"/>
              <w:right w:val="single" w:sz="4" w:space="0" w:color="231F20"/>
            </w:tcBorders>
            <w:vAlign w:val="center"/>
          </w:tcPr>
          <w:p w14:paraId="32F021E6" w14:textId="77777777" w:rsidR="002753FF" w:rsidRPr="005B7169" w:rsidRDefault="002753FF" w:rsidP="009D6FA2">
            <w:pPr>
              <w:ind w:left="1"/>
              <w:jc w:val="center"/>
              <w:rPr>
                <w:rFonts w:ascii="Cambria" w:hAnsi="Cambria"/>
                <w:color w:val="231F20"/>
                <w:sz w:val="20"/>
                <w:szCs w:val="20"/>
              </w:rPr>
            </w:pPr>
            <w:r w:rsidRPr="005B7169">
              <w:rPr>
                <w:rFonts w:ascii="Cambria" w:hAnsi="Cambria"/>
                <w:color w:val="231F20"/>
                <w:sz w:val="20"/>
                <w:szCs w:val="20"/>
              </w:rPr>
              <w:t>134 t</w:t>
            </w:r>
          </w:p>
        </w:tc>
        <w:tc>
          <w:tcPr>
            <w:tcW w:w="2127" w:type="dxa"/>
            <w:tcBorders>
              <w:top w:val="single" w:sz="4" w:space="0" w:color="231F20"/>
              <w:left w:val="single" w:sz="4" w:space="0" w:color="231F20"/>
              <w:bottom w:val="single" w:sz="4" w:space="0" w:color="231F20"/>
              <w:right w:val="single" w:sz="4" w:space="0" w:color="231F20"/>
            </w:tcBorders>
            <w:vAlign w:val="center"/>
          </w:tcPr>
          <w:p w14:paraId="41513033" w14:textId="77777777" w:rsidR="002753FF" w:rsidRPr="005B7169" w:rsidRDefault="002753FF" w:rsidP="009D6FA2">
            <w:pPr>
              <w:ind w:left="1"/>
              <w:jc w:val="center"/>
              <w:rPr>
                <w:rFonts w:ascii="Cambria" w:hAnsi="Cambria"/>
                <w:color w:val="231F20"/>
                <w:sz w:val="20"/>
                <w:szCs w:val="20"/>
              </w:rPr>
            </w:pPr>
            <w:r w:rsidRPr="005B7169">
              <w:rPr>
                <w:rFonts w:ascii="Cambria" w:hAnsi="Cambria"/>
                <w:color w:val="231F20"/>
                <w:sz w:val="20"/>
                <w:szCs w:val="20"/>
              </w:rPr>
              <w:t>134 t</w:t>
            </w:r>
          </w:p>
        </w:tc>
        <w:tc>
          <w:tcPr>
            <w:tcW w:w="1559" w:type="dxa"/>
            <w:tcBorders>
              <w:top w:val="single" w:sz="4" w:space="0" w:color="231F20"/>
              <w:left w:val="single" w:sz="4" w:space="0" w:color="231F20"/>
              <w:bottom w:val="single" w:sz="4" w:space="0" w:color="231F20"/>
              <w:right w:val="single" w:sz="4" w:space="0" w:color="231F20"/>
            </w:tcBorders>
            <w:vAlign w:val="center"/>
          </w:tcPr>
          <w:p w14:paraId="62B2DE7B" w14:textId="77777777" w:rsidR="002753FF" w:rsidRPr="005B7169" w:rsidRDefault="002753FF" w:rsidP="009D6FA2">
            <w:pPr>
              <w:ind w:left="292" w:hanging="283"/>
              <w:jc w:val="center"/>
              <w:rPr>
                <w:rFonts w:ascii="Cambria" w:hAnsi="Cambria"/>
                <w:color w:val="231F20"/>
                <w:sz w:val="20"/>
                <w:szCs w:val="20"/>
              </w:rPr>
            </w:pPr>
            <w:r w:rsidRPr="005B7169">
              <w:rPr>
                <w:rFonts w:ascii="Cambria" w:hAnsi="Cambria"/>
                <w:color w:val="231F20"/>
                <w:sz w:val="20"/>
                <w:szCs w:val="20"/>
              </w:rPr>
              <w:t>5,56%</w:t>
            </w:r>
          </w:p>
        </w:tc>
      </w:tr>
    </w:tbl>
    <w:p w14:paraId="4A1F69DC" w14:textId="77777777" w:rsidR="002753FF" w:rsidRPr="005B7169" w:rsidRDefault="002753FF" w:rsidP="009D6FA2">
      <w:pPr>
        <w:rPr>
          <w:rFonts w:ascii="Cambria" w:eastAsia="Cambria" w:hAnsi="Cambria" w:cs="Cambria"/>
          <w:sz w:val="20"/>
          <w:szCs w:val="20"/>
        </w:rPr>
      </w:pPr>
    </w:p>
    <w:p w14:paraId="322CE874" w14:textId="1B164E53" w:rsidR="002753FF" w:rsidRPr="005B7169" w:rsidRDefault="002753FF" w:rsidP="009D6FA2">
      <w:pPr>
        <w:pStyle w:val="ListParagraph"/>
        <w:numPr>
          <w:ilvl w:val="0"/>
          <w:numId w:val="10"/>
        </w:numPr>
        <w:ind w:left="851" w:hanging="425"/>
        <w:contextualSpacing/>
        <w:jc w:val="both"/>
        <w:rPr>
          <w:rFonts w:ascii="Cambria" w:eastAsia="Cambria" w:hAnsi="Cambria" w:cs="Cambria"/>
          <w:sz w:val="20"/>
          <w:szCs w:val="20"/>
        </w:rPr>
      </w:pPr>
      <w:r w:rsidRPr="005B7169">
        <w:rPr>
          <w:rFonts w:ascii="Cambria" w:eastAsia="Cambria" w:hAnsi="Cambria" w:cs="Cambria"/>
          <w:color w:val="231F20"/>
          <w:sz w:val="20"/>
          <w:szCs w:val="20"/>
        </w:rPr>
        <w:t>Conformément</w:t>
      </w:r>
      <w:r w:rsidRPr="005B7169">
        <w:rPr>
          <w:rFonts w:ascii="Cambria" w:hAnsi="Cambria"/>
          <w:color w:val="231F20"/>
          <w:sz w:val="20"/>
          <w:szCs w:val="20"/>
        </w:rPr>
        <w:t xml:space="preserve"> aux paragraphes 1, 3 et 5 </w:t>
      </w:r>
      <w:r w:rsidR="00F37B4B" w:rsidRPr="005B7169">
        <w:rPr>
          <w:rFonts w:ascii="Cambria" w:hAnsi="Cambria"/>
          <w:color w:val="231F20"/>
          <w:sz w:val="20"/>
          <w:szCs w:val="20"/>
          <w:u w:val="single"/>
        </w:rPr>
        <w:t>a</w:t>
      </w:r>
      <w:r w:rsidRPr="005B7169">
        <w:rPr>
          <w:rFonts w:ascii="Cambria" w:hAnsi="Cambria"/>
          <w:color w:val="231F20"/>
          <w:sz w:val="20"/>
          <w:szCs w:val="20"/>
        </w:rPr>
        <w:t xml:space="preserve">), les TAC annuels pour </w:t>
      </w:r>
      <w:r w:rsidRPr="005B7169">
        <w:rPr>
          <w:rFonts w:ascii="Cambria" w:hAnsi="Cambria"/>
          <w:color w:val="231F20"/>
          <w:sz w:val="20"/>
          <w:szCs w:val="20"/>
          <w:u w:val="single"/>
        </w:rPr>
        <w:t>202</w:t>
      </w:r>
      <w:r w:rsidR="00F37B4B" w:rsidRPr="005B7169">
        <w:rPr>
          <w:rFonts w:ascii="Cambria" w:hAnsi="Cambria"/>
          <w:color w:val="231F20"/>
          <w:sz w:val="20"/>
          <w:szCs w:val="20"/>
          <w:u w:val="single"/>
        </w:rPr>
        <w:t>6</w:t>
      </w:r>
      <w:r w:rsidRPr="005B7169">
        <w:rPr>
          <w:rFonts w:ascii="Cambria" w:hAnsi="Cambria"/>
          <w:color w:val="231F20"/>
          <w:sz w:val="20"/>
          <w:szCs w:val="20"/>
          <w:u w:val="single"/>
        </w:rPr>
        <w:t>-202</w:t>
      </w:r>
      <w:r w:rsidR="00F37B4B" w:rsidRPr="005B7169">
        <w:rPr>
          <w:rFonts w:ascii="Cambria" w:hAnsi="Cambria"/>
          <w:color w:val="231F20"/>
          <w:sz w:val="20"/>
          <w:szCs w:val="20"/>
          <w:u w:val="single"/>
        </w:rPr>
        <w:t>8</w:t>
      </w:r>
      <w:r w:rsidRPr="005B7169">
        <w:rPr>
          <w:rFonts w:ascii="Cambria" w:hAnsi="Cambria"/>
          <w:color w:val="231F20"/>
          <w:sz w:val="20"/>
          <w:szCs w:val="20"/>
        </w:rPr>
        <w:t xml:space="preserve"> donnent lieu aux allocations de </w:t>
      </w:r>
      <w:r w:rsidRPr="005B7169">
        <w:rPr>
          <w:rFonts w:ascii="Cambria" w:eastAsia="Cambria" w:hAnsi="Cambria" w:cs="Cambria"/>
          <w:color w:val="231F20"/>
          <w:sz w:val="20"/>
          <w:szCs w:val="20"/>
        </w:rPr>
        <w:t>quota</w:t>
      </w:r>
      <w:r w:rsidRPr="005B7169">
        <w:rPr>
          <w:rFonts w:ascii="Cambria" w:hAnsi="Cambria"/>
          <w:color w:val="231F20"/>
          <w:sz w:val="20"/>
          <w:szCs w:val="20"/>
        </w:rPr>
        <w:t xml:space="preserve"> suivantes spécifiques aux CPC, n’incluant pas les tolérances des prises accessoires visées au paragraphe 5 a) :</w:t>
      </w:r>
    </w:p>
    <w:p w14:paraId="7FDE7836" w14:textId="16322570" w:rsidR="002753FF" w:rsidRPr="005B7169" w:rsidRDefault="002753FF" w:rsidP="009D6FA2">
      <w:pPr>
        <w:ind w:left="1722"/>
        <w:rPr>
          <w:rFonts w:ascii="Cambria" w:eastAsia="Cambria" w:hAnsi="Cambria" w:cs="Cambria"/>
          <w:sz w:val="20"/>
          <w:szCs w:val="20"/>
        </w:rPr>
      </w:pPr>
      <w:r w:rsidRPr="005B7169">
        <w:rPr>
          <w:rFonts w:ascii="Cambria" w:hAnsi="Cambria"/>
          <w:noProof/>
          <w:sz w:val="20"/>
          <w:szCs w:val="20"/>
        </w:rPr>
        <mc:AlternateContent>
          <mc:Choice Requires="wpg">
            <w:drawing>
              <wp:anchor distT="0" distB="0" distL="114300" distR="114300" simplePos="0" relativeHeight="251659264" behindDoc="0" locked="0" layoutInCell="1" allowOverlap="1" wp14:anchorId="55617D14" wp14:editId="1545148D">
                <wp:simplePos x="0" y="0"/>
                <wp:positionH relativeFrom="character">
                  <wp:posOffset>0</wp:posOffset>
                </wp:positionH>
                <wp:positionV relativeFrom="line">
                  <wp:posOffset>0</wp:posOffset>
                </wp:positionV>
                <wp:extent cx="3390900" cy="12700"/>
                <wp:effectExtent l="0" t="95250" r="0" b="101600"/>
                <wp:wrapNone/>
                <wp:docPr id="846767123"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90900" cy="12700"/>
                          <a:chOff x="3650550" y="3768875"/>
                          <a:chExt cx="3390900" cy="17475"/>
                        </a:xfrm>
                      </wpg:grpSpPr>
                      <wpg:grpSp>
                        <wpg:cNvPr id="1" name="Group 1"/>
                        <wpg:cNvGrpSpPr/>
                        <wpg:grpSpPr>
                          <a:xfrm>
                            <a:off x="3650550" y="3773650"/>
                            <a:ext cx="3390900" cy="12700"/>
                            <a:chOff x="6" y="6"/>
                            <a:chExt cx="7042079" cy="3776184"/>
                          </a:xfrm>
                        </wpg:grpSpPr>
                        <wps:wsp>
                          <wps:cNvPr id="3" name="Rectangle 3"/>
                          <wps:cNvSpPr/>
                          <wps:spPr>
                            <a:xfrm>
                              <a:off x="6" y="6"/>
                              <a:ext cx="7042075" cy="3776175"/>
                            </a:xfrm>
                            <a:prstGeom prst="rect">
                              <a:avLst/>
                            </a:prstGeom>
                            <a:noFill/>
                            <a:ln>
                              <a:noFill/>
                            </a:ln>
                          </wps:spPr>
                          <wps:txbx>
                            <w:txbxContent>
                              <w:p w14:paraId="13802D95" w14:textId="77777777" w:rsidR="002753FF" w:rsidRDefault="002753FF" w:rsidP="002753FF">
                                <w:pPr>
                                  <w:textDirection w:val="btLr"/>
                                </w:pPr>
                              </w:p>
                            </w:txbxContent>
                          </wps:txbx>
                          <wps:bodyPr spcFirstLastPara="1" wrap="square" lIns="91425" tIns="91425" rIns="91425" bIns="91425" anchor="ctr" anchorCtr="0">
                            <a:noAutofit/>
                          </wps:bodyPr>
                        </wps:wsp>
                        <wps:wsp>
                          <wps:cNvPr id="4" name="Rectangle 4"/>
                          <wps:cNvSpPr/>
                          <wps:spPr>
                            <a:xfrm>
                              <a:off x="3644835" y="3776190"/>
                              <a:ext cx="3397250" cy="0"/>
                            </a:xfrm>
                            <a:prstGeom prst="rect">
                              <a:avLst/>
                            </a:prstGeom>
                            <a:noFill/>
                            <a:ln>
                              <a:noFill/>
                            </a:ln>
                          </wps:spPr>
                          <wps:txbx>
                            <w:txbxContent>
                              <w:p w14:paraId="2ED21FD3" w14:textId="77777777" w:rsidR="002753FF" w:rsidRDefault="002753FF" w:rsidP="002753FF">
                                <w:pPr>
                                  <w:textDirection w:val="btLr"/>
                                </w:pPr>
                              </w:p>
                            </w:txbxContent>
                          </wps:txbx>
                          <wps:bodyPr spcFirstLastPara="1" wrap="square" lIns="91425" tIns="91425" rIns="91425" bIns="91425" anchor="ctr" anchorCtr="0">
                            <a:noAutofit/>
                          </wps:bodyPr>
                        </wps:wsp>
                        <wps:wsp>
                          <wps:cNvPr id="5" name="Freeform 5"/>
                          <wps:cNvSpPr/>
                          <wps:spPr>
                            <a:xfrm>
                              <a:off x="6" y="6"/>
                              <a:ext cx="5347" cy="2"/>
                            </a:xfrm>
                            <a:custGeom>
                              <a:avLst/>
                              <a:gdLst/>
                              <a:ahLst/>
                              <a:cxnLst/>
                              <a:rect l="l" t="t" r="r" b="b"/>
                              <a:pathLst>
                                <a:path w="120000" h="120000" extrusionOk="0">
                                  <a:moveTo>
                                    <a:pt x="0" y="0"/>
                                  </a:moveTo>
                                  <a:lnTo>
                                    <a:pt x="119977" y="0"/>
                                  </a:lnTo>
                                </a:path>
                              </a:pathLst>
                            </a:custGeom>
                            <a:noFill/>
                            <a:ln w="9525" cap="flat" cmpd="sng">
                              <a:solidFill>
                                <a:srgbClr val="231F20"/>
                              </a:solidFill>
                              <a:prstDash val="solid"/>
                              <a:round/>
                              <a:headEnd type="none" w="sm" len="sm"/>
                              <a:tailEnd type="none" w="sm" len="sm"/>
                            </a:ln>
                          </wps:spPr>
                          <wps:bodyPr spcFirstLastPara="1" wrap="square" lIns="91425" tIns="91425" rIns="91425" bIns="91425" anchor="ctr" anchorCtr="0">
                            <a:noAutofit/>
                          </wps:bodyPr>
                        </wps:wsp>
                      </wpg:grpSp>
                    </wpg:wgp>
                  </a:graphicData>
                </a:graphic>
                <wp14:sizeRelH relativeFrom="page">
                  <wp14:pctWidth>0</wp14:pctWidth>
                </wp14:sizeRelH>
                <wp14:sizeRelV relativeFrom="page">
                  <wp14:pctHeight>0</wp14:pctHeight>
                </wp14:sizeRelV>
              </wp:anchor>
            </w:drawing>
          </mc:Choice>
          <mc:Fallback>
            <w:pict>
              <v:group w14:anchorId="55617D14" id="Group 6" o:spid="_x0000_s1026" style="position:absolute;margin-left:0;margin-top:0;width:267pt;height:1pt;z-index:251659264;mso-position-horizontal-relative:char;mso-position-vertical-relative:line" coordorigin="36505,37688" coordsize="33909,1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">
                <v:group id="Group 1" o:spid="_x0000_s1027" style="position:absolute;left:36505;top:37736;width:33909;height:127" coordorigin="" coordsize="70420,37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3" o:spid="_x0000_s1028" style="position:absolute;width:70420;height:377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" filled="f" stroked="f">
                    <v:textbox inset="2.53958mm,2.53958mm,2.53958mm,2.53958mm">
                      <w:txbxContent>
                        <w:p w14:paraId="13802D95" w14:textId="77777777" w:rsidR="002753FF" w:rsidRDefault="002753FF" w:rsidP="002753FF">
                          <w:pPr>
                            <w:textDirection w:val="btLr"/>
                          </w:pPr>
                        </w:p>
                      </w:txbxContent>
                    </v:textbox>
                  </v:rect>
                  <v:rect id="Rectangle 4" o:spid="_x0000_s1029" style="position:absolute;left:36448;top:37761;width:33972;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" filled="f" stroked="f">
                    <v:textbox inset="2.53958mm,2.53958mm,2.53958mm,2.53958mm">
                      <w:txbxContent>
                        <w:p w14:paraId="2ED21FD3" w14:textId="77777777" w:rsidR="002753FF" w:rsidRDefault="002753FF" w:rsidP="002753FF">
                          <w:pPr>
                            <w:textDirection w:val="btLr"/>
                          </w:pPr>
                        </w:p>
                      </w:txbxContent>
                    </v:textbox>
                  </v:rect>
                  <v:shape id="Freeform 5" o:spid="_x0000_s1030" style="position:absolute;width:53;height:0;visibility:visible;mso-wrap-style:square;v-text-anchor:middle" coordsize="120000,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" path="m,l119977,e" filled="f" strokecolor="#231f20">
                    <v:stroke startarrowwidth="narrow" startarrowlength="short" endarrowwidth="narrow" endarrowlength="short"/>
                    <v:path arrowok="t" o:extrusionok="f"/>
                  </v:shape>
                </v:group>
                <w10:wrap anchory="line"/>
              </v:group>
            </w:pict>
          </mc:Fallback>
        </mc:AlternateContent>
      </w:r>
      <w:r w:rsidRPr="005B7169">
        <w:rPr>
          <w:rFonts w:ascii="Cambria" w:hAnsi="Cambria"/>
          <w:noProof/>
          <w:sz w:val="20"/>
          <w:szCs w:val="20"/>
        </w:rPr>
        <mc:AlternateContent>
          <mc:Choice Requires="wps">
            <w:drawing>
              <wp:inline distT="0" distB="0" distL="0" distR="0" wp14:anchorId="18085A62" wp14:editId="21B4D579">
                <wp:extent cx="3394075" cy="11430"/>
                <wp:effectExtent l="0" t="0" r="0" b="0"/>
                <wp:docPr id="231128392"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94075" cy="11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3AC0A4A" id="Rectangle 1" o:spid="_x0000_s1026" style="width:267.25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" filled="f" stroked="f">
                <o:lock v:ext="edit" aspectratio="t"/>
                <w10:anchorlock/>
              </v:rect>
            </w:pict>
          </mc:Fallback>
        </mc:AlternateContent>
      </w:r>
    </w:p>
    <w:p w14:paraId="203B2F66" w14:textId="358C8BFE" w:rsidR="0085505F" w:rsidRPr="005B7169" w:rsidRDefault="0085505F" w:rsidP="009D6FA2">
      <w:pPr>
        <w:tabs>
          <w:tab w:val="left" w:pos="4621"/>
        </w:tabs>
        <w:ind w:left="1"/>
        <w:jc w:val="center"/>
        <w:rPr>
          <w:rFonts w:ascii="Cambria" w:eastAsia="Calibri" w:hAnsi="Cambria" w:cs="Calibri"/>
          <w:i/>
          <w:color w:val="231F20"/>
          <w:sz w:val="20"/>
          <w:szCs w:val="20"/>
          <w:u w:val="single"/>
        </w:rPr>
      </w:pPr>
      <w:r w:rsidRPr="005B7169">
        <w:rPr>
          <w:rFonts w:ascii="Cambria" w:hAnsi="Cambria"/>
          <w:i/>
          <w:color w:val="231F20"/>
          <w:sz w:val="20"/>
          <w:szCs w:val="20"/>
        </w:rPr>
        <w:t>TAC annuel pour</w:t>
      </w:r>
      <w:r w:rsidRPr="005B7169">
        <w:rPr>
          <w:rFonts w:ascii="Cambria" w:hAnsi="Cambria"/>
          <w:i/>
          <w:color w:val="231F20"/>
          <w:sz w:val="20"/>
          <w:szCs w:val="20"/>
          <w:u w:val="single"/>
        </w:rPr>
        <w:t xml:space="preserve"> 2026-2028 : 2.963 t</w:t>
      </w:r>
    </w:p>
    <w:p w14:paraId="19960D96" w14:textId="77777777" w:rsidR="0085505F" w:rsidRPr="005B7169" w:rsidRDefault="0085505F" w:rsidP="009D6FA2">
      <w:pPr>
        <w:ind w:left="1722"/>
        <w:rPr>
          <w:rFonts w:ascii="Cambria" w:eastAsia="Cambria" w:hAnsi="Cambria" w:cs="Cambria"/>
          <w:sz w:val="20"/>
          <w:szCs w:val="20"/>
          <w:u w:val="single"/>
        </w:rPr>
      </w:pPr>
    </w:p>
    <w:p w14:paraId="2C93E971" w14:textId="5483AE95" w:rsidR="0085505F" w:rsidRPr="005B7169" w:rsidRDefault="0085505F" w:rsidP="009D6FA2">
      <w:pPr>
        <w:ind w:left="2"/>
        <w:rPr>
          <w:rFonts w:ascii="Cambria" w:eastAsia="Calibri" w:hAnsi="Cambria" w:cs="Calibri"/>
          <w:sz w:val="20"/>
          <w:szCs w:val="20"/>
        </w:rPr>
      </w:pPr>
      <w:r w:rsidRPr="005B7169">
        <w:rPr>
          <w:rFonts w:ascii="Cambria" w:hAnsi="Cambria"/>
          <w:color w:val="231F20"/>
          <w:sz w:val="20"/>
          <w:szCs w:val="20"/>
        </w:rPr>
        <w:tab/>
      </w:r>
      <w:r w:rsidRPr="005B7169">
        <w:rPr>
          <w:rFonts w:ascii="Cambria" w:hAnsi="Cambria"/>
          <w:color w:val="231F20"/>
          <w:sz w:val="20"/>
          <w:szCs w:val="20"/>
        </w:rPr>
        <w:tab/>
      </w:r>
      <w:r w:rsidRPr="005B7169">
        <w:rPr>
          <w:rFonts w:ascii="Cambria" w:hAnsi="Cambria"/>
          <w:color w:val="231F20"/>
          <w:sz w:val="20"/>
          <w:szCs w:val="20"/>
        </w:rPr>
        <w:tab/>
        <w:t xml:space="preserve">États-Unis </w:t>
      </w:r>
      <w:r w:rsidRPr="005B7169">
        <w:rPr>
          <w:rFonts w:ascii="Cambria" w:hAnsi="Cambria"/>
          <w:color w:val="231F20"/>
          <w:sz w:val="20"/>
          <w:szCs w:val="20"/>
        </w:rPr>
        <w:tab/>
      </w:r>
      <w:r w:rsidRPr="005B7169">
        <w:rPr>
          <w:rFonts w:ascii="Cambria" w:hAnsi="Cambria"/>
          <w:color w:val="231F20"/>
          <w:sz w:val="20"/>
          <w:szCs w:val="20"/>
        </w:rPr>
        <w:tab/>
      </w:r>
      <w:r w:rsidRPr="005B7169">
        <w:rPr>
          <w:rFonts w:ascii="Cambria" w:hAnsi="Cambria"/>
          <w:color w:val="231F20"/>
          <w:sz w:val="20"/>
          <w:szCs w:val="20"/>
        </w:rPr>
        <w:tab/>
      </w:r>
      <w:r w:rsidR="00E55BA0" w:rsidRPr="005B7169">
        <w:rPr>
          <w:rFonts w:ascii="Cambria" w:hAnsi="Cambria"/>
          <w:color w:val="231F20"/>
          <w:sz w:val="20"/>
          <w:szCs w:val="20"/>
        </w:rPr>
        <w:tab/>
      </w:r>
      <w:r w:rsidRPr="005B7169">
        <w:rPr>
          <w:rFonts w:ascii="Cambria" w:hAnsi="Cambria"/>
          <w:color w:val="231F20"/>
          <w:sz w:val="20"/>
          <w:szCs w:val="20"/>
        </w:rPr>
        <w:tab/>
      </w:r>
      <w:r w:rsidRPr="005B7169">
        <w:rPr>
          <w:rFonts w:ascii="Cambria" w:hAnsi="Cambria"/>
          <w:color w:val="231F20"/>
          <w:sz w:val="20"/>
          <w:szCs w:val="20"/>
          <w:u w:val="single"/>
        </w:rPr>
        <w:t>1.432,27 t</w:t>
      </w:r>
    </w:p>
    <w:p w14:paraId="416F6580" w14:textId="5ACD7846" w:rsidR="0085505F" w:rsidRPr="005B7169" w:rsidRDefault="0085505F" w:rsidP="009D6FA2">
      <w:pPr>
        <w:ind w:left="2"/>
        <w:rPr>
          <w:rFonts w:ascii="Cambria" w:hAnsi="Cambria"/>
          <w:color w:val="231F20"/>
          <w:sz w:val="20"/>
          <w:szCs w:val="20"/>
        </w:rPr>
      </w:pPr>
      <w:r w:rsidRPr="005B7169">
        <w:rPr>
          <w:rFonts w:ascii="Cambria" w:hAnsi="Cambria"/>
          <w:color w:val="231F20"/>
          <w:sz w:val="20"/>
          <w:szCs w:val="20"/>
        </w:rPr>
        <w:tab/>
      </w:r>
      <w:r w:rsidRPr="005B7169">
        <w:rPr>
          <w:rFonts w:ascii="Cambria" w:hAnsi="Cambria"/>
          <w:color w:val="231F20"/>
          <w:sz w:val="20"/>
          <w:szCs w:val="20"/>
        </w:rPr>
        <w:tab/>
      </w:r>
      <w:r w:rsidRPr="005B7169">
        <w:rPr>
          <w:rFonts w:ascii="Cambria" w:hAnsi="Cambria"/>
          <w:color w:val="231F20"/>
          <w:sz w:val="20"/>
          <w:szCs w:val="20"/>
        </w:rPr>
        <w:tab/>
        <w:t>Canada</w:t>
      </w:r>
      <w:r w:rsidRPr="005B7169">
        <w:rPr>
          <w:rFonts w:ascii="Cambria" w:hAnsi="Cambria"/>
          <w:color w:val="231F20"/>
          <w:sz w:val="20"/>
          <w:szCs w:val="20"/>
        </w:rPr>
        <w:tab/>
      </w:r>
      <w:r w:rsidRPr="005B7169">
        <w:rPr>
          <w:rFonts w:ascii="Cambria" w:hAnsi="Cambria"/>
          <w:color w:val="231F20"/>
          <w:sz w:val="20"/>
          <w:szCs w:val="20"/>
        </w:rPr>
        <w:tab/>
      </w:r>
      <w:r w:rsidRPr="005B7169">
        <w:rPr>
          <w:rFonts w:ascii="Cambria" w:hAnsi="Cambria"/>
          <w:color w:val="231F20"/>
          <w:sz w:val="20"/>
          <w:szCs w:val="20"/>
        </w:rPr>
        <w:tab/>
      </w:r>
      <w:r w:rsidRPr="005B7169">
        <w:rPr>
          <w:rFonts w:ascii="Cambria" w:hAnsi="Cambria"/>
          <w:color w:val="231F20"/>
          <w:sz w:val="20"/>
          <w:szCs w:val="20"/>
        </w:rPr>
        <w:tab/>
      </w:r>
      <w:r w:rsidR="00E55BA0" w:rsidRPr="005B7169">
        <w:rPr>
          <w:rFonts w:ascii="Cambria" w:hAnsi="Cambria"/>
          <w:color w:val="231F20"/>
          <w:sz w:val="20"/>
          <w:szCs w:val="20"/>
        </w:rPr>
        <w:tab/>
      </w:r>
      <w:r w:rsidRPr="005B7169">
        <w:rPr>
          <w:rFonts w:ascii="Cambria" w:hAnsi="Cambria"/>
          <w:color w:val="231F20"/>
          <w:sz w:val="20"/>
          <w:szCs w:val="20"/>
        </w:rPr>
        <w:tab/>
        <w:t xml:space="preserve">    </w:t>
      </w:r>
      <w:r w:rsidRPr="005B7169">
        <w:rPr>
          <w:rFonts w:ascii="Cambria" w:hAnsi="Cambria"/>
          <w:color w:val="231F20"/>
          <w:sz w:val="20"/>
          <w:szCs w:val="20"/>
          <w:u w:val="single"/>
        </w:rPr>
        <w:t>591,62 t</w:t>
      </w:r>
    </w:p>
    <w:p w14:paraId="6995A3FB" w14:textId="157AD666" w:rsidR="0085505F" w:rsidRPr="005B7169" w:rsidRDefault="0085505F" w:rsidP="009D6FA2">
      <w:pPr>
        <w:ind w:left="2"/>
        <w:rPr>
          <w:rFonts w:ascii="Cambria" w:hAnsi="Cambria"/>
          <w:color w:val="231F20"/>
          <w:sz w:val="20"/>
          <w:szCs w:val="20"/>
        </w:rPr>
      </w:pPr>
      <w:r w:rsidRPr="005B7169">
        <w:rPr>
          <w:rFonts w:ascii="Cambria" w:hAnsi="Cambria"/>
          <w:color w:val="231F20"/>
          <w:sz w:val="20"/>
          <w:szCs w:val="20"/>
        </w:rPr>
        <w:tab/>
      </w:r>
      <w:r w:rsidRPr="005B7169">
        <w:rPr>
          <w:rFonts w:ascii="Cambria" w:hAnsi="Cambria"/>
          <w:color w:val="231F20"/>
          <w:sz w:val="20"/>
          <w:szCs w:val="20"/>
        </w:rPr>
        <w:tab/>
      </w:r>
      <w:r w:rsidRPr="005B7169">
        <w:rPr>
          <w:rFonts w:ascii="Cambria" w:hAnsi="Cambria"/>
          <w:color w:val="231F20"/>
          <w:sz w:val="20"/>
          <w:szCs w:val="20"/>
        </w:rPr>
        <w:tab/>
        <w:t>Japon</w:t>
      </w:r>
      <w:r w:rsidRPr="005B7169">
        <w:rPr>
          <w:rFonts w:ascii="Cambria" w:hAnsi="Cambria"/>
          <w:color w:val="231F20"/>
          <w:sz w:val="20"/>
          <w:szCs w:val="20"/>
        </w:rPr>
        <w:tab/>
      </w:r>
      <w:r w:rsidRPr="005B7169">
        <w:rPr>
          <w:rFonts w:ascii="Cambria" w:hAnsi="Cambria"/>
          <w:color w:val="231F20"/>
          <w:sz w:val="20"/>
          <w:szCs w:val="20"/>
        </w:rPr>
        <w:tab/>
      </w:r>
      <w:r w:rsidRPr="005B7169">
        <w:rPr>
          <w:rFonts w:ascii="Cambria" w:hAnsi="Cambria"/>
          <w:color w:val="231F20"/>
          <w:sz w:val="20"/>
          <w:szCs w:val="20"/>
        </w:rPr>
        <w:tab/>
      </w:r>
      <w:r w:rsidRPr="005B7169">
        <w:rPr>
          <w:rFonts w:ascii="Cambria" w:hAnsi="Cambria"/>
          <w:color w:val="231F20"/>
          <w:sz w:val="20"/>
          <w:szCs w:val="20"/>
        </w:rPr>
        <w:tab/>
      </w:r>
      <w:r w:rsidR="00E55BA0" w:rsidRPr="005B7169">
        <w:rPr>
          <w:rFonts w:ascii="Cambria" w:hAnsi="Cambria"/>
          <w:color w:val="231F20"/>
          <w:sz w:val="20"/>
          <w:szCs w:val="20"/>
        </w:rPr>
        <w:tab/>
      </w:r>
      <w:r w:rsidRPr="005B7169">
        <w:rPr>
          <w:rFonts w:ascii="Cambria" w:hAnsi="Cambria"/>
          <w:color w:val="231F20"/>
          <w:sz w:val="20"/>
          <w:szCs w:val="20"/>
        </w:rPr>
        <w:tab/>
        <w:t xml:space="preserve">    </w:t>
      </w:r>
      <w:r w:rsidRPr="005B7169">
        <w:rPr>
          <w:rFonts w:ascii="Cambria" w:hAnsi="Cambria"/>
          <w:color w:val="231F20"/>
          <w:sz w:val="20"/>
          <w:szCs w:val="20"/>
          <w:u w:val="single"/>
        </w:rPr>
        <w:t>723,15 t</w:t>
      </w:r>
    </w:p>
    <w:p w14:paraId="2CC0D523" w14:textId="440CA192" w:rsidR="0085505F" w:rsidRPr="005B7169" w:rsidRDefault="0085505F" w:rsidP="009D6FA2">
      <w:pPr>
        <w:ind w:left="2"/>
        <w:rPr>
          <w:rFonts w:ascii="Cambria" w:hAnsi="Cambria"/>
          <w:color w:val="231F20"/>
          <w:sz w:val="20"/>
          <w:szCs w:val="20"/>
        </w:rPr>
      </w:pPr>
      <w:r w:rsidRPr="005B7169">
        <w:rPr>
          <w:rFonts w:ascii="Cambria" w:hAnsi="Cambria"/>
          <w:color w:val="231F20"/>
          <w:sz w:val="20"/>
          <w:szCs w:val="20"/>
        </w:rPr>
        <w:tab/>
      </w:r>
      <w:r w:rsidRPr="005B7169">
        <w:rPr>
          <w:rFonts w:ascii="Cambria" w:hAnsi="Cambria"/>
          <w:color w:val="231F20"/>
          <w:sz w:val="20"/>
          <w:szCs w:val="20"/>
        </w:rPr>
        <w:tab/>
      </w:r>
      <w:r w:rsidRPr="005B7169">
        <w:rPr>
          <w:rFonts w:ascii="Cambria" w:hAnsi="Cambria"/>
          <w:color w:val="231F20"/>
          <w:sz w:val="20"/>
          <w:szCs w:val="20"/>
        </w:rPr>
        <w:tab/>
        <w:t>Royaume-Uni (au titre des Bermudes)</w:t>
      </w:r>
      <w:r w:rsidRPr="005B7169">
        <w:rPr>
          <w:rFonts w:ascii="Cambria" w:hAnsi="Cambria"/>
          <w:color w:val="231F20"/>
          <w:sz w:val="20"/>
          <w:szCs w:val="20"/>
        </w:rPr>
        <w:tab/>
      </w:r>
      <w:r w:rsidR="00E55BA0" w:rsidRPr="005B7169">
        <w:rPr>
          <w:rFonts w:ascii="Cambria" w:hAnsi="Cambria"/>
          <w:color w:val="231F20"/>
          <w:sz w:val="20"/>
          <w:szCs w:val="20"/>
        </w:rPr>
        <w:tab/>
        <w:t xml:space="preserve">          </w:t>
      </w:r>
      <w:r w:rsidRPr="005B7169">
        <w:rPr>
          <w:rFonts w:ascii="Cambria" w:hAnsi="Cambria"/>
          <w:color w:val="231F20"/>
          <w:sz w:val="20"/>
          <w:szCs w:val="20"/>
          <w:u w:val="single"/>
        </w:rPr>
        <w:t>6,72 t</w:t>
      </w:r>
    </w:p>
    <w:p w14:paraId="7CBD6A57" w14:textId="61B5E1AA" w:rsidR="0085505F" w:rsidRPr="005B7169" w:rsidRDefault="0085505F" w:rsidP="009D6FA2">
      <w:pPr>
        <w:rPr>
          <w:rFonts w:ascii="Cambria" w:eastAsia="Cambria" w:hAnsi="Cambria" w:cs="Cambria"/>
          <w:sz w:val="20"/>
          <w:szCs w:val="20"/>
        </w:rPr>
      </w:pPr>
      <w:r w:rsidRPr="005B7169">
        <w:rPr>
          <w:rFonts w:ascii="Cambria" w:hAnsi="Cambria"/>
          <w:color w:val="231F20"/>
          <w:sz w:val="20"/>
          <w:szCs w:val="20"/>
        </w:rPr>
        <w:tab/>
      </w:r>
      <w:r w:rsidRPr="005B7169">
        <w:rPr>
          <w:rFonts w:ascii="Cambria" w:hAnsi="Cambria"/>
          <w:color w:val="231F20"/>
          <w:sz w:val="20"/>
          <w:szCs w:val="20"/>
        </w:rPr>
        <w:tab/>
      </w:r>
      <w:r w:rsidRPr="005B7169">
        <w:rPr>
          <w:rFonts w:ascii="Cambria" w:hAnsi="Cambria"/>
          <w:color w:val="231F20"/>
          <w:sz w:val="20"/>
          <w:szCs w:val="20"/>
        </w:rPr>
        <w:tab/>
        <w:t>France (au titre de Saint-Pierre-et-Miquelon)</w:t>
      </w:r>
      <w:r w:rsidRPr="005B7169">
        <w:rPr>
          <w:rFonts w:ascii="Cambria" w:hAnsi="Cambria"/>
          <w:color w:val="231F20"/>
          <w:sz w:val="20"/>
          <w:szCs w:val="20"/>
        </w:rPr>
        <w:tab/>
      </w:r>
      <w:r w:rsidR="00E55BA0" w:rsidRPr="005B7169">
        <w:rPr>
          <w:rFonts w:ascii="Cambria" w:hAnsi="Cambria"/>
          <w:color w:val="231F20"/>
          <w:sz w:val="20"/>
          <w:szCs w:val="20"/>
        </w:rPr>
        <w:t xml:space="preserve">          </w:t>
      </w:r>
      <w:r w:rsidRPr="005B7169">
        <w:rPr>
          <w:rFonts w:ascii="Cambria" w:hAnsi="Cambria"/>
          <w:color w:val="231F20"/>
          <w:sz w:val="20"/>
          <w:szCs w:val="20"/>
          <w:u w:val="single"/>
        </w:rPr>
        <w:t>6,72 t</w:t>
      </w:r>
    </w:p>
    <w:p w14:paraId="09A58884" w14:textId="0C0BA383" w:rsidR="0085505F" w:rsidRPr="005B7169" w:rsidRDefault="0085505F" w:rsidP="009D6FA2">
      <w:pPr>
        <w:ind w:right="9"/>
        <w:rPr>
          <w:rFonts w:ascii="Cambria" w:eastAsia="Calibri" w:hAnsi="Cambria" w:cs="Calibri"/>
          <w:color w:val="231F20"/>
          <w:sz w:val="20"/>
          <w:szCs w:val="20"/>
        </w:rPr>
      </w:pPr>
      <w:r w:rsidRPr="005B7169">
        <w:rPr>
          <w:rFonts w:ascii="Cambria" w:hAnsi="Cambria"/>
          <w:color w:val="231F20"/>
          <w:sz w:val="20"/>
          <w:szCs w:val="20"/>
        </w:rPr>
        <w:tab/>
      </w:r>
      <w:r w:rsidRPr="005B7169">
        <w:rPr>
          <w:rFonts w:ascii="Cambria" w:hAnsi="Cambria"/>
          <w:color w:val="231F20"/>
          <w:sz w:val="20"/>
          <w:szCs w:val="20"/>
        </w:rPr>
        <w:tab/>
      </w:r>
      <w:r w:rsidRPr="005B7169">
        <w:rPr>
          <w:rFonts w:ascii="Cambria" w:hAnsi="Cambria"/>
          <w:color w:val="231F20"/>
          <w:sz w:val="20"/>
          <w:szCs w:val="20"/>
        </w:rPr>
        <w:tab/>
        <w:t>Mexique</w:t>
      </w:r>
      <w:r w:rsidRPr="005B7169">
        <w:rPr>
          <w:rFonts w:ascii="Cambria" w:hAnsi="Cambria"/>
          <w:color w:val="231F20"/>
          <w:sz w:val="20"/>
          <w:szCs w:val="20"/>
        </w:rPr>
        <w:tab/>
      </w:r>
      <w:r w:rsidRPr="005B7169">
        <w:rPr>
          <w:rFonts w:ascii="Cambria" w:hAnsi="Cambria"/>
          <w:color w:val="231F20"/>
          <w:sz w:val="20"/>
          <w:szCs w:val="20"/>
        </w:rPr>
        <w:tab/>
      </w:r>
      <w:r w:rsidR="00867290" w:rsidRPr="005B7169">
        <w:rPr>
          <w:rFonts w:ascii="Cambria" w:hAnsi="Cambria"/>
          <w:color w:val="231F20"/>
          <w:sz w:val="20"/>
          <w:szCs w:val="20"/>
        </w:rPr>
        <w:tab/>
      </w:r>
      <w:r w:rsidR="00867290" w:rsidRPr="005B7169">
        <w:rPr>
          <w:rFonts w:ascii="Cambria" w:hAnsi="Cambria"/>
          <w:color w:val="231F20"/>
          <w:sz w:val="20"/>
          <w:szCs w:val="20"/>
        </w:rPr>
        <w:tab/>
      </w:r>
      <w:r w:rsidR="00867290" w:rsidRPr="005B7169">
        <w:rPr>
          <w:rFonts w:ascii="Cambria" w:hAnsi="Cambria"/>
          <w:color w:val="231F20"/>
          <w:sz w:val="20"/>
          <w:szCs w:val="20"/>
        </w:rPr>
        <w:tab/>
        <w:t xml:space="preserve">      </w:t>
      </w:r>
      <w:r w:rsidRPr="005B7169">
        <w:rPr>
          <w:rFonts w:ascii="Cambria" w:hAnsi="Cambria"/>
          <w:color w:val="231F20"/>
          <w:sz w:val="20"/>
          <w:szCs w:val="20"/>
          <w:u w:val="single"/>
        </w:rPr>
        <w:t>162,52 t</w:t>
      </w:r>
    </w:p>
    <w:p w14:paraId="1B06B500" w14:textId="77777777" w:rsidR="002753FF" w:rsidRPr="005B7169" w:rsidRDefault="002753FF" w:rsidP="009D6FA2">
      <w:pPr>
        <w:ind w:left="1722"/>
        <w:rPr>
          <w:rFonts w:ascii="Cambria" w:eastAsia="Cambria" w:hAnsi="Cambria" w:cs="Cambria"/>
          <w:sz w:val="20"/>
          <w:szCs w:val="20"/>
          <w:u w:val="single"/>
        </w:rPr>
      </w:pPr>
    </w:p>
    <w:p w14:paraId="6B5A8C3A" w14:textId="77777777" w:rsidR="002753FF" w:rsidRPr="005B7169" w:rsidRDefault="002753FF" w:rsidP="009D6FA2">
      <w:pPr>
        <w:ind w:left="851"/>
        <w:jc w:val="both"/>
        <w:rPr>
          <w:rFonts w:ascii="Cambria" w:eastAsia="Cambria" w:hAnsi="Cambria" w:cs="Cambria"/>
          <w:color w:val="231F20"/>
          <w:sz w:val="20"/>
          <w:szCs w:val="20"/>
        </w:rPr>
      </w:pPr>
      <w:r w:rsidRPr="005B7169">
        <w:rPr>
          <w:rFonts w:ascii="Cambria" w:eastAsia="Cambria" w:hAnsi="Cambria" w:cs="Cambria"/>
          <w:color w:val="231F20"/>
          <w:sz w:val="20"/>
          <w:szCs w:val="20"/>
        </w:rPr>
        <w:t xml:space="preserve">En aucun cas, l’allocation de la France (au titre de Saint-Pierre-et-Miquelon) et du Royaume-Uni (au titre </w:t>
      </w:r>
      <w:r w:rsidRPr="005B7169">
        <w:rPr>
          <w:rFonts w:ascii="Cambria" w:hAnsi="Cambria"/>
          <w:color w:val="231F20"/>
          <w:sz w:val="20"/>
          <w:szCs w:val="20"/>
        </w:rPr>
        <w:t>des</w:t>
      </w:r>
      <w:r w:rsidRPr="005B7169">
        <w:rPr>
          <w:rFonts w:ascii="Cambria" w:eastAsia="Cambria" w:hAnsi="Cambria" w:cs="Cambria"/>
          <w:color w:val="231F20"/>
          <w:sz w:val="20"/>
          <w:szCs w:val="20"/>
        </w:rPr>
        <w:t xml:space="preserve"> Bermudes) ne devra être inférieure à 4 t au cours d'une année donnée à moins que la pêcherie ne soit fermée.</w:t>
      </w:r>
    </w:p>
    <w:p w14:paraId="0BC27500" w14:textId="77777777" w:rsidR="002753FF" w:rsidRPr="005B7169" w:rsidRDefault="002753FF" w:rsidP="009D6FA2">
      <w:pPr>
        <w:ind w:left="993" w:hanging="425"/>
        <w:jc w:val="both"/>
        <w:rPr>
          <w:rFonts w:ascii="Cambria" w:eastAsia="Cambria" w:hAnsi="Cambria" w:cs="Cambria"/>
          <w:sz w:val="20"/>
          <w:szCs w:val="20"/>
        </w:rPr>
      </w:pPr>
    </w:p>
    <w:p w14:paraId="3E0F3214" w14:textId="054DCFA1" w:rsidR="002753FF" w:rsidRPr="005B7169" w:rsidRDefault="00E92F18" w:rsidP="009D6FA2">
      <w:pPr>
        <w:pStyle w:val="ListParagraph"/>
        <w:numPr>
          <w:ilvl w:val="0"/>
          <w:numId w:val="10"/>
        </w:numPr>
        <w:ind w:left="851" w:hanging="425"/>
        <w:contextualSpacing/>
        <w:jc w:val="both"/>
        <w:rPr>
          <w:rFonts w:ascii="Cambria" w:eastAsia="Cambria" w:hAnsi="Cambria" w:cs="Cambria"/>
          <w:color w:val="231F20"/>
          <w:sz w:val="20"/>
          <w:szCs w:val="20"/>
        </w:rPr>
      </w:pPr>
      <w:r w:rsidRPr="005B7169">
        <w:rPr>
          <w:rFonts w:ascii="Cambria" w:eastAsia="Cambria" w:hAnsi="Cambria" w:cs="Cambria"/>
          <w:color w:val="231F20"/>
          <w:sz w:val="20"/>
          <w:szCs w:val="20"/>
          <w:u w:val="single"/>
        </w:rPr>
        <w:t>[</w:t>
      </w:r>
      <w:r w:rsidR="002753FF" w:rsidRPr="005B7169">
        <w:rPr>
          <w:rFonts w:ascii="Cambria" w:eastAsia="Cambria" w:hAnsi="Cambria" w:cs="Cambria"/>
          <w:color w:val="231F20"/>
          <w:sz w:val="20"/>
          <w:szCs w:val="20"/>
        </w:rPr>
        <w:t xml:space="preserve">En fonction de la disponibilité, le Mexique peut transférer au Canada </w:t>
      </w:r>
      <w:r w:rsidR="001D3DC9" w:rsidRPr="005B7169">
        <w:rPr>
          <w:rFonts w:ascii="Cambria" w:eastAsia="Cambria" w:hAnsi="Cambria" w:cs="Cambria"/>
          <w:color w:val="231F20"/>
          <w:sz w:val="20"/>
          <w:szCs w:val="20"/>
          <w:u w:val="single"/>
        </w:rPr>
        <w:t>jusqu’au</w:t>
      </w:r>
      <w:r w:rsidRPr="005B7169">
        <w:rPr>
          <w:rFonts w:ascii="Cambria" w:eastAsia="Cambria" w:hAnsi="Cambria" w:cs="Cambria"/>
          <w:color w:val="231F20"/>
          <w:sz w:val="20"/>
          <w:szCs w:val="20"/>
          <w:u w:val="single"/>
        </w:rPr>
        <w:t xml:space="preserve"> montant</w:t>
      </w:r>
      <w:r w:rsidR="002753FF" w:rsidRPr="005B7169">
        <w:rPr>
          <w:rFonts w:ascii="Cambria" w:eastAsia="Cambria" w:hAnsi="Cambria" w:cs="Cambria"/>
          <w:color w:val="231F20"/>
          <w:sz w:val="20"/>
          <w:szCs w:val="20"/>
        </w:rPr>
        <w:t xml:space="preserve"> de son quota ajusté au cours de chaqu</w:t>
      </w:r>
      <w:r w:rsidR="00B748BD" w:rsidRPr="005B7169">
        <w:rPr>
          <w:rFonts w:ascii="Cambria" w:eastAsia="Cambria" w:hAnsi="Cambria" w:cs="Cambria"/>
          <w:color w:val="231F20"/>
          <w:sz w:val="20"/>
          <w:szCs w:val="20"/>
        </w:rPr>
        <w:t xml:space="preserve">e </w:t>
      </w:r>
      <w:r w:rsidR="002753FF" w:rsidRPr="005B7169">
        <w:rPr>
          <w:rFonts w:ascii="Cambria" w:eastAsia="Cambria" w:hAnsi="Cambria" w:cs="Cambria"/>
          <w:color w:val="231F20"/>
          <w:sz w:val="20"/>
          <w:szCs w:val="20"/>
        </w:rPr>
        <w:t xml:space="preserve">année de la période </w:t>
      </w:r>
      <w:r w:rsidR="002753FF" w:rsidRPr="005B7169">
        <w:rPr>
          <w:rFonts w:ascii="Cambria" w:hAnsi="Cambria"/>
          <w:color w:val="231F20"/>
          <w:sz w:val="20"/>
          <w:szCs w:val="20"/>
          <w:u w:val="single"/>
        </w:rPr>
        <w:t>202</w:t>
      </w:r>
      <w:r w:rsidR="00297BDA" w:rsidRPr="005B7169">
        <w:rPr>
          <w:rFonts w:ascii="Cambria" w:hAnsi="Cambria"/>
          <w:color w:val="231F20"/>
          <w:sz w:val="20"/>
          <w:szCs w:val="20"/>
          <w:u w:val="single"/>
        </w:rPr>
        <w:t>6</w:t>
      </w:r>
      <w:r w:rsidR="002753FF" w:rsidRPr="005B7169">
        <w:rPr>
          <w:rFonts w:ascii="Cambria" w:hAnsi="Cambria"/>
          <w:color w:val="231F20"/>
          <w:sz w:val="20"/>
          <w:szCs w:val="20"/>
          <w:u w:val="single"/>
        </w:rPr>
        <w:t>-202</w:t>
      </w:r>
      <w:r w:rsidR="00297BDA" w:rsidRPr="005B7169">
        <w:rPr>
          <w:rFonts w:ascii="Cambria" w:hAnsi="Cambria"/>
          <w:color w:val="231F20"/>
          <w:sz w:val="20"/>
          <w:szCs w:val="20"/>
          <w:u w:val="single"/>
        </w:rPr>
        <w:t>8</w:t>
      </w:r>
      <w:r w:rsidR="002753FF" w:rsidRPr="005B7169">
        <w:rPr>
          <w:rFonts w:ascii="Cambria" w:eastAsia="Cambria" w:hAnsi="Cambria" w:cs="Cambria"/>
          <w:color w:val="231F20"/>
          <w:sz w:val="20"/>
          <w:szCs w:val="20"/>
        </w:rPr>
        <w:t>, afin d’étayer les travaux de recherche en coopération, tel que le spécifie le paragraphe 14</w:t>
      </w:r>
      <w:r w:rsidR="002753FF" w:rsidRPr="005B7169">
        <w:rPr>
          <w:rFonts w:ascii="Cambria" w:eastAsia="Cambria" w:hAnsi="Cambria" w:cs="Cambria"/>
          <w:color w:val="231F20"/>
          <w:sz w:val="20"/>
          <w:szCs w:val="20"/>
          <w:u w:val="single"/>
        </w:rPr>
        <w:t>.</w:t>
      </w:r>
      <w:r w:rsidR="00B748BD" w:rsidRPr="005B7169">
        <w:rPr>
          <w:rFonts w:ascii="Cambria" w:eastAsia="Cambria" w:hAnsi="Cambria" w:cs="Cambria"/>
          <w:color w:val="231F20"/>
          <w:sz w:val="20"/>
          <w:szCs w:val="20"/>
          <w:u w:val="single"/>
        </w:rPr>
        <w:t>]</w:t>
      </w:r>
    </w:p>
    <w:p w14:paraId="68010221" w14:textId="77777777" w:rsidR="002753FF" w:rsidRPr="005B7169" w:rsidRDefault="002753FF" w:rsidP="009D6FA2">
      <w:pPr>
        <w:ind w:left="851" w:right="135" w:hanging="425"/>
        <w:jc w:val="both"/>
        <w:rPr>
          <w:rFonts w:ascii="Cambria" w:eastAsia="Cambria" w:hAnsi="Cambria" w:cs="Cambria"/>
          <w:color w:val="231F20"/>
          <w:sz w:val="20"/>
          <w:szCs w:val="20"/>
        </w:rPr>
      </w:pPr>
    </w:p>
    <w:p w14:paraId="09BB962A" w14:textId="2993C1AF" w:rsidR="002753FF" w:rsidRPr="005B7169" w:rsidRDefault="00297BDA" w:rsidP="009D6FA2">
      <w:pPr>
        <w:pStyle w:val="ListParagraph"/>
        <w:numPr>
          <w:ilvl w:val="0"/>
          <w:numId w:val="10"/>
        </w:numPr>
        <w:ind w:left="851" w:hanging="425"/>
        <w:contextualSpacing/>
        <w:jc w:val="both"/>
        <w:rPr>
          <w:rFonts w:ascii="Cambria" w:eastAsia="Cambria" w:hAnsi="Cambria" w:cs="Cambria"/>
          <w:color w:val="231F20"/>
          <w:sz w:val="20"/>
          <w:szCs w:val="20"/>
        </w:rPr>
      </w:pPr>
      <w:r w:rsidRPr="005B7169">
        <w:rPr>
          <w:rFonts w:ascii="Cambria" w:eastAsia="Cambria" w:hAnsi="Cambria" w:cs="Cambria"/>
          <w:color w:val="231F20"/>
          <w:sz w:val="20"/>
          <w:szCs w:val="20"/>
          <w:u w:val="single"/>
        </w:rPr>
        <w:t>[</w:t>
      </w:r>
      <w:r w:rsidR="002753FF" w:rsidRPr="005B7169">
        <w:rPr>
          <w:rFonts w:ascii="Cambria" w:eastAsia="Cambria" w:hAnsi="Cambria" w:cs="Cambria"/>
          <w:color w:val="231F20"/>
          <w:sz w:val="20"/>
          <w:szCs w:val="20"/>
        </w:rPr>
        <w:t xml:space="preserve">En fonction de la disponibilité, le Royaume-Uni (au titre des Bermudes) peut transférer aux États-Unis jusqu’au montant de son quota ajusté au cours de chaque année de la période </w:t>
      </w:r>
      <w:r w:rsidR="002753FF" w:rsidRPr="005B7169">
        <w:rPr>
          <w:rFonts w:ascii="Cambria" w:eastAsia="Cambria" w:hAnsi="Cambria" w:cs="Cambria"/>
          <w:color w:val="231F20"/>
          <w:sz w:val="20"/>
          <w:szCs w:val="20"/>
          <w:u w:val="single"/>
        </w:rPr>
        <w:t>202</w:t>
      </w:r>
      <w:r w:rsidR="001D3DC9" w:rsidRPr="005B7169">
        <w:rPr>
          <w:rFonts w:ascii="Cambria" w:eastAsia="Cambria" w:hAnsi="Cambria" w:cs="Cambria"/>
          <w:color w:val="231F20"/>
          <w:sz w:val="20"/>
          <w:szCs w:val="20"/>
          <w:u w:val="single"/>
        </w:rPr>
        <w:t>6</w:t>
      </w:r>
      <w:r w:rsidR="002753FF" w:rsidRPr="005B7169">
        <w:rPr>
          <w:rFonts w:ascii="Cambria" w:eastAsia="Cambria" w:hAnsi="Cambria" w:cs="Cambria"/>
          <w:color w:val="231F20"/>
          <w:sz w:val="20"/>
          <w:szCs w:val="20"/>
          <w:u w:val="single"/>
        </w:rPr>
        <w:t>-202</w:t>
      </w:r>
      <w:r w:rsidR="001D3DC9" w:rsidRPr="005B7169">
        <w:rPr>
          <w:rFonts w:ascii="Cambria" w:eastAsia="Cambria" w:hAnsi="Cambria" w:cs="Cambria"/>
          <w:color w:val="231F20"/>
          <w:sz w:val="20"/>
          <w:szCs w:val="20"/>
          <w:u w:val="single"/>
        </w:rPr>
        <w:t>8</w:t>
      </w:r>
      <w:r w:rsidR="002753FF" w:rsidRPr="005B7169">
        <w:rPr>
          <w:rFonts w:ascii="Cambria" w:eastAsia="Cambria" w:hAnsi="Cambria" w:cs="Cambria"/>
          <w:color w:val="231F20"/>
          <w:sz w:val="20"/>
          <w:szCs w:val="20"/>
        </w:rPr>
        <w:t>, afin de venir étayer les travaux de recherche en coopération, tel que le spécifie le paragraphe 14</w:t>
      </w:r>
      <w:r w:rsidR="00A22E03" w:rsidRPr="005B7169">
        <w:rPr>
          <w:rFonts w:ascii="Cambria" w:eastAsia="Cambria" w:hAnsi="Cambria" w:cs="Cambria"/>
          <w:color w:val="231F20"/>
          <w:sz w:val="20"/>
          <w:szCs w:val="20"/>
        </w:rPr>
        <w:t>.</w:t>
      </w:r>
      <w:r w:rsidR="00A22E03" w:rsidRPr="005B7169">
        <w:rPr>
          <w:rFonts w:ascii="Cambria" w:eastAsia="Cambria" w:hAnsi="Cambria" w:cs="Cambria"/>
          <w:color w:val="231F20"/>
          <w:sz w:val="20"/>
          <w:szCs w:val="20"/>
          <w:u w:val="single"/>
        </w:rPr>
        <w:t>]</w:t>
      </w:r>
    </w:p>
    <w:p w14:paraId="7C7C8B7E" w14:textId="77777777" w:rsidR="002753FF" w:rsidRPr="005B7169" w:rsidRDefault="002753FF" w:rsidP="009D6FA2">
      <w:pPr>
        <w:pStyle w:val="ListParagraph"/>
        <w:ind w:left="851"/>
        <w:jc w:val="both"/>
        <w:rPr>
          <w:rFonts w:ascii="Cambria" w:eastAsia="Cambria" w:hAnsi="Cambria" w:cs="Cambria"/>
          <w:color w:val="231F20"/>
          <w:sz w:val="20"/>
          <w:szCs w:val="20"/>
        </w:rPr>
      </w:pPr>
    </w:p>
    <w:p w14:paraId="5100507E" w14:textId="14256162" w:rsidR="002753FF" w:rsidRPr="005B7169" w:rsidRDefault="001D3DC9" w:rsidP="009D6FA2">
      <w:pPr>
        <w:pStyle w:val="ListParagraph"/>
        <w:numPr>
          <w:ilvl w:val="0"/>
          <w:numId w:val="10"/>
        </w:numPr>
        <w:ind w:left="851" w:hanging="425"/>
        <w:contextualSpacing/>
        <w:jc w:val="both"/>
        <w:rPr>
          <w:rFonts w:ascii="Cambria" w:eastAsia="Cambria" w:hAnsi="Cambria" w:cs="Cambria"/>
          <w:color w:val="231F20"/>
          <w:sz w:val="20"/>
          <w:szCs w:val="20"/>
        </w:rPr>
      </w:pPr>
      <w:r w:rsidRPr="005B7169">
        <w:rPr>
          <w:rFonts w:ascii="Cambria" w:eastAsia="Cambria" w:hAnsi="Cambria" w:cs="Cambria"/>
          <w:color w:val="231F20"/>
          <w:sz w:val="20"/>
          <w:szCs w:val="20"/>
          <w:u w:val="single"/>
        </w:rPr>
        <w:t>[</w:t>
      </w:r>
      <w:r w:rsidR="002753FF" w:rsidRPr="005B7169">
        <w:rPr>
          <w:rFonts w:ascii="Cambria" w:eastAsia="Cambria" w:hAnsi="Cambria" w:cs="Cambria"/>
          <w:color w:val="231F20"/>
          <w:sz w:val="20"/>
          <w:szCs w:val="20"/>
        </w:rPr>
        <w:t xml:space="preserve">En fonction de la disponibilité, la France (au titre de Saint-Pierre-et-Miquelon) peut transférer au Canada jusqu’au montant de son quota ajusté au cours de chaque année de la période </w:t>
      </w:r>
      <w:r w:rsidR="002753FF" w:rsidRPr="005B7169">
        <w:rPr>
          <w:rFonts w:ascii="Cambria" w:eastAsia="Cambria" w:hAnsi="Cambria" w:cs="Cambria"/>
          <w:color w:val="231F20"/>
          <w:sz w:val="20"/>
          <w:szCs w:val="20"/>
          <w:u w:val="single"/>
        </w:rPr>
        <w:t>202</w:t>
      </w:r>
      <w:r w:rsidRPr="005B7169">
        <w:rPr>
          <w:rFonts w:ascii="Cambria" w:eastAsia="Cambria" w:hAnsi="Cambria" w:cs="Cambria"/>
          <w:color w:val="231F20"/>
          <w:sz w:val="20"/>
          <w:szCs w:val="20"/>
          <w:u w:val="single"/>
        </w:rPr>
        <w:t>6</w:t>
      </w:r>
      <w:r w:rsidR="002753FF" w:rsidRPr="005B7169">
        <w:rPr>
          <w:rFonts w:ascii="Cambria" w:eastAsia="Cambria" w:hAnsi="Cambria" w:cs="Cambria"/>
          <w:color w:val="231F20"/>
          <w:sz w:val="20"/>
          <w:szCs w:val="20"/>
          <w:u w:val="single"/>
        </w:rPr>
        <w:t>-202</w:t>
      </w:r>
      <w:r w:rsidRPr="005B7169">
        <w:rPr>
          <w:rFonts w:ascii="Cambria" w:eastAsia="Cambria" w:hAnsi="Cambria" w:cs="Cambria"/>
          <w:color w:val="231F20"/>
          <w:sz w:val="20"/>
          <w:szCs w:val="20"/>
          <w:u w:val="single"/>
        </w:rPr>
        <w:t>8</w:t>
      </w:r>
      <w:r w:rsidR="002753FF" w:rsidRPr="005B7169">
        <w:rPr>
          <w:rFonts w:ascii="Cambria" w:eastAsia="Cambria" w:hAnsi="Cambria" w:cs="Cambria"/>
          <w:color w:val="231F20"/>
          <w:sz w:val="20"/>
          <w:szCs w:val="20"/>
        </w:rPr>
        <w:t>, afin de venir étayer les travaux de recherche en coopération, tel que le spécifie le paragraphe 14</w:t>
      </w:r>
      <w:r w:rsidR="00A22E03" w:rsidRPr="005B7169">
        <w:rPr>
          <w:rFonts w:ascii="Cambria" w:eastAsia="Cambria" w:hAnsi="Cambria" w:cs="Cambria"/>
          <w:color w:val="231F20"/>
          <w:sz w:val="20"/>
          <w:szCs w:val="20"/>
        </w:rPr>
        <w:t>.</w:t>
      </w:r>
      <w:r w:rsidR="00A22E03" w:rsidRPr="005B7169">
        <w:rPr>
          <w:rFonts w:ascii="Cambria" w:eastAsia="Cambria" w:hAnsi="Cambria" w:cs="Cambria"/>
          <w:color w:val="231F20"/>
          <w:sz w:val="20"/>
          <w:szCs w:val="20"/>
          <w:u w:val="single"/>
        </w:rPr>
        <w:t>]</w:t>
      </w:r>
    </w:p>
    <w:p w14:paraId="141CC506" w14:textId="77777777" w:rsidR="002753FF" w:rsidRPr="005B7169" w:rsidRDefault="002753FF" w:rsidP="009D6FA2">
      <w:pPr>
        <w:pStyle w:val="ListParagraph"/>
        <w:ind w:left="851"/>
        <w:jc w:val="both"/>
        <w:rPr>
          <w:rFonts w:ascii="Cambria" w:eastAsia="Cambria" w:hAnsi="Cambria" w:cs="Cambria"/>
          <w:color w:val="231F20"/>
          <w:sz w:val="20"/>
          <w:szCs w:val="20"/>
        </w:rPr>
      </w:pPr>
    </w:p>
    <w:p w14:paraId="2EBF2317" w14:textId="72D1AE24" w:rsidR="002753FF" w:rsidRPr="005B7169" w:rsidRDefault="00186FF1" w:rsidP="009D6FA2">
      <w:pPr>
        <w:pStyle w:val="ListParagraph"/>
        <w:numPr>
          <w:ilvl w:val="0"/>
          <w:numId w:val="10"/>
        </w:numPr>
        <w:ind w:left="851" w:hanging="425"/>
        <w:contextualSpacing/>
        <w:jc w:val="both"/>
        <w:rPr>
          <w:rFonts w:ascii="Cambria" w:eastAsia="Cambria" w:hAnsi="Cambria" w:cs="Cambria"/>
          <w:color w:val="231F20"/>
          <w:sz w:val="20"/>
          <w:szCs w:val="20"/>
        </w:rPr>
      </w:pPr>
      <w:r w:rsidRPr="005B7169">
        <w:rPr>
          <w:rFonts w:ascii="Cambria" w:eastAsia="Cambria" w:hAnsi="Cambria" w:cs="Cambria"/>
          <w:color w:val="231F20"/>
          <w:sz w:val="20"/>
          <w:szCs w:val="20"/>
          <w:u w:val="single"/>
        </w:rPr>
        <w:t>[</w:t>
      </w:r>
      <w:r w:rsidR="002753FF" w:rsidRPr="005B7169">
        <w:rPr>
          <w:rFonts w:ascii="Cambria" w:eastAsia="Cambria" w:hAnsi="Cambria" w:cs="Cambria"/>
          <w:color w:val="231F20"/>
          <w:sz w:val="20"/>
          <w:szCs w:val="20"/>
        </w:rPr>
        <w:t>Les CPC ayant l'intention de participer aux travaux de recherche en coopération spécifiés aux paragraphes 5 d), 5 e) et 5 f) ci-dessus devront communiquer à la Commission et au SCRS les détails de leurs programmes de recherche à réaliser, avant qu'ils ne soient lancés, et devront présenter les résultats de la recherche au SCRS</w:t>
      </w:r>
      <w:r w:rsidRPr="005B7169">
        <w:rPr>
          <w:rFonts w:ascii="Cambria" w:eastAsia="Cambria" w:hAnsi="Cambria" w:cs="Cambria"/>
          <w:color w:val="231F20"/>
          <w:sz w:val="20"/>
          <w:szCs w:val="20"/>
        </w:rPr>
        <w:t>.</w:t>
      </w:r>
      <w:r w:rsidRPr="005B7169">
        <w:rPr>
          <w:rFonts w:ascii="Cambria" w:eastAsia="Cambria" w:hAnsi="Cambria" w:cs="Cambria"/>
          <w:color w:val="231F20"/>
          <w:sz w:val="20"/>
          <w:szCs w:val="20"/>
          <w:u w:val="single"/>
        </w:rPr>
        <w:t>]</w:t>
      </w:r>
    </w:p>
    <w:p w14:paraId="75B1EDC3" w14:textId="77777777" w:rsidR="002753FF" w:rsidRPr="005B7169" w:rsidRDefault="002753FF" w:rsidP="009D6FA2">
      <w:pPr>
        <w:rPr>
          <w:rFonts w:ascii="Cambria" w:eastAsia="Cambria" w:hAnsi="Cambria" w:cs="Cambria"/>
          <w:sz w:val="20"/>
          <w:szCs w:val="20"/>
        </w:rPr>
      </w:pPr>
    </w:p>
    <w:p w14:paraId="5498AC67" w14:textId="77777777" w:rsidR="002753FF" w:rsidRPr="005B7169" w:rsidRDefault="002753FF" w:rsidP="009D6FA2">
      <w:pPr>
        <w:widowControl w:val="0"/>
        <w:numPr>
          <w:ilvl w:val="0"/>
          <w:numId w:val="8"/>
        </w:numPr>
        <w:ind w:left="426" w:hanging="426"/>
        <w:jc w:val="both"/>
        <w:rPr>
          <w:rFonts w:ascii="Cambria" w:eastAsia="Cambria" w:hAnsi="Cambria" w:cs="Cambria"/>
          <w:sz w:val="20"/>
          <w:szCs w:val="20"/>
        </w:rPr>
      </w:pPr>
      <w:r w:rsidRPr="005B7169">
        <w:rPr>
          <w:rFonts w:ascii="Cambria" w:eastAsia="Cambria" w:hAnsi="Cambria" w:cs="Cambria"/>
          <w:color w:val="231F20"/>
          <w:sz w:val="20"/>
          <w:szCs w:val="20"/>
        </w:rPr>
        <w:t>Le quota total d’une CPC devra inclure ses allocations prévues au paragraphe 5, ajustées pour les sous-consommations ou les surconsommations conformément au reste de ce paragraphe. Chaque année devra être considérée comme une période de gestion indépendante pour le reste de ce paragraphe.</w:t>
      </w:r>
    </w:p>
    <w:p w14:paraId="001AC197" w14:textId="77777777" w:rsidR="002753FF" w:rsidRPr="005B7169" w:rsidRDefault="002753FF" w:rsidP="009D6FA2">
      <w:pPr>
        <w:tabs>
          <w:tab w:val="left" w:pos="529"/>
        </w:tabs>
        <w:ind w:left="528"/>
        <w:jc w:val="both"/>
        <w:rPr>
          <w:rFonts w:ascii="Cambria" w:eastAsia="Cambria" w:hAnsi="Cambria" w:cs="Cambria"/>
          <w:color w:val="231F20"/>
          <w:sz w:val="20"/>
          <w:szCs w:val="20"/>
        </w:rPr>
      </w:pPr>
    </w:p>
    <w:p w14:paraId="1D816CFD" w14:textId="71128865" w:rsidR="002753FF" w:rsidRPr="005B7169" w:rsidRDefault="002753FF" w:rsidP="009D6FA2">
      <w:pPr>
        <w:pStyle w:val="ListParagraph"/>
        <w:numPr>
          <w:ilvl w:val="0"/>
          <w:numId w:val="11"/>
        </w:numPr>
        <w:ind w:left="851" w:hanging="425"/>
        <w:contextualSpacing/>
        <w:jc w:val="both"/>
        <w:rPr>
          <w:rFonts w:ascii="Cambria" w:eastAsia="Cambria" w:hAnsi="Cambria" w:cs="Cambria"/>
          <w:color w:val="231F20"/>
          <w:sz w:val="20"/>
          <w:szCs w:val="20"/>
        </w:rPr>
      </w:pPr>
      <w:r w:rsidRPr="005B7169">
        <w:rPr>
          <w:rFonts w:ascii="Cambria" w:eastAsia="Cambria" w:hAnsi="Cambria" w:cs="Cambria"/>
          <w:color w:val="231F20"/>
          <w:sz w:val="20"/>
          <w:szCs w:val="20"/>
        </w:rPr>
        <w:t xml:space="preserve">Toute sous-consommation du quota total d'une CPC au cours d’une année donnée peut être reportée à l’année suivante. Toutefois, la sous-consommation reportée ne pourra en aucun cas dépasser </w:t>
      </w:r>
      <w:r w:rsidR="00B333EB" w:rsidRPr="005B7169">
        <w:rPr>
          <w:rFonts w:ascii="Cambria" w:eastAsia="Cambria" w:hAnsi="Cambria" w:cs="Cambria"/>
          <w:color w:val="231F20"/>
          <w:sz w:val="20"/>
          <w:szCs w:val="20"/>
          <w:u w:val="single"/>
        </w:rPr>
        <w:t>2</w:t>
      </w:r>
      <w:r w:rsidRPr="005B7169">
        <w:rPr>
          <w:rFonts w:ascii="Cambria" w:eastAsia="Cambria" w:hAnsi="Cambria" w:cs="Cambria"/>
          <w:color w:val="231F20"/>
          <w:sz w:val="20"/>
          <w:szCs w:val="20"/>
          <w:u w:val="single"/>
        </w:rPr>
        <w:t>0</w:t>
      </w:r>
      <w:r w:rsidRPr="005B7169">
        <w:rPr>
          <w:rFonts w:ascii="Cambria" w:eastAsia="Cambria" w:hAnsi="Cambria" w:cs="Cambria"/>
          <w:color w:val="231F20"/>
          <w:sz w:val="20"/>
          <w:szCs w:val="20"/>
        </w:rPr>
        <w:t xml:space="preserve">% de l’allocation de quota initiale de la CPC visée au paragraphe 5, exception faite du Royaume-Uni (au titre des Bermudes), de la France (au titre de Saint-Pierre-et-Miquelon) et du Mexique (c’est-à-dire les Parties contractantes dotées d’allocations initiales de </w:t>
      </w:r>
      <w:r w:rsidRPr="005B7169">
        <w:rPr>
          <w:rFonts w:ascii="Cambria" w:eastAsia="Cambria" w:hAnsi="Cambria" w:cs="Cambria"/>
          <w:color w:val="231F20"/>
          <w:sz w:val="20"/>
          <w:szCs w:val="20"/>
          <w:u w:val="single"/>
        </w:rPr>
        <w:t>1</w:t>
      </w:r>
      <w:r w:rsidR="00B333EB" w:rsidRPr="005B7169">
        <w:rPr>
          <w:rFonts w:ascii="Cambria" w:eastAsia="Cambria" w:hAnsi="Cambria" w:cs="Cambria"/>
          <w:color w:val="231F20"/>
          <w:sz w:val="20"/>
          <w:szCs w:val="20"/>
          <w:u w:val="single"/>
        </w:rPr>
        <w:t>62,52</w:t>
      </w:r>
      <w:r w:rsidRPr="005B7169">
        <w:rPr>
          <w:rFonts w:ascii="Cambria" w:eastAsia="Cambria" w:hAnsi="Cambria" w:cs="Cambria"/>
          <w:color w:val="231F20"/>
          <w:sz w:val="20"/>
          <w:szCs w:val="20"/>
        </w:rPr>
        <w:t xml:space="preserve"> t ou moins), pour lesquelles la sous-consommation reportée ne pourra en aucun cas dépasser 100 % de l’allocation initiale prévue au paragraphe 5 (c'est-à-dire que le quota total de cette CPC ne devra pas dépasser le double de son quota annuel au cours de toute année donnée).</w:t>
      </w:r>
    </w:p>
    <w:p w14:paraId="093EE30F" w14:textId="77777777" w:rsidR="002753FF" w:rsidRPr="005B7169" w:rsidRDefault="002753FF" w:rsidP="009D6FA2">
      <w:pPr>
        <w:tabs>
          <w:tab w:val="left" w:pos="798"/>
        </w:tabs>
        <w:ind w:left="851" w:right="130" w:hanging="425"/>
        <w:jc w:val="both"/>
        <w:rPr>
          <w:rFonts w:ascii="Cambria" w:eastAsia="Cambria" w:hAnsi="Cambria" w:cs="Cambria"/>
          <w:color w:val="231F20"/>
          <w:sz w:val="20"/>
          <w:szCs w:val="20"/>
        </w:rPr>
      </w:pPr>
    </w:p>
    <w:p w14:paraId="4C995A57" w14:textId="77777777" w:rsidR="002753FF" w:rsidRPr="005B7169" w:rsidRDefault="002753FF" w:rsidP="009D6FA2">
      <w:pPr>
        <w:pStyle w:val="ListParagraph"/>
        <w:numPr>
          <w:ilvl w:val="0"/>
          <w:numId w:val="11"/>
        </w:numPr>
        <w:ind w:left="851" w:hanging="425"/>
        <w:contextualSpacing/>
        <w:jc w:val="both"/>
        <w:rPr>
          <w:rFonts w:ascii="Cambria" w:eastAsia="Cambria" w:hAnsi="Cambria" w:cs="Cambria"/>
          <w:color w:val="231F20"/>
          <w:sz w:val="20"/>
          <w:szCs w:val="20"/>
        </w:rPr>
      </w:pPr>
      <w:r w:rsidRPr="005B7169">
        <w:rPr>
          <w:rFonts w:ascii="Cambria" w:eastAsia="Cambria" w:hAnsi="Cambria" w:cs="Cambria"/>
          <w:color w:val="231F20"/>
          <w:sz w:val="20"/>
          <w:szCs w:val="20"/>
        </w:rPr>
        <w:t>Si, au cours de la période de gestion applicable et au cours de chaque période de gestion ultérieure, une CPC dégage une surconsommation de son quota total, son quota initial pour la période de gestion suivante sera déduit d’un montant équivalant à 100 % de sa surconsommation dudit quota total et l’ICCAT pourra autoriser d’autres mesures appropriées.</w:t>
      </w:r>
    </w:p>
    <w:p w14:paraId="322B95AC" w14:textId="77777777" w:rsidR="002753FF" w:rsidRPr="005B7169" w:rsidRDefault="002753FF" w:rsidP="009D6FA2">
      <w:pPr>
        <w:tabs>
          <w:tab w:val="left" w:pos="798"/>
        </w:tabs>
        <w:ind w:left="851" w:right="130" w:hanging="425"/>
        <w:jc w:val="both"/>
        <w:rPr>
          <w:rFonts w:ascii="Cambria" w:eastAsia="Cambria" w:hAnsi="Cambria" w:cs="Cambria"/>
          <w:color w:val="231F20"/>
          <w:sz w:val="20"/>
          <w:szCs w:val="20"/>
        </w:rPr>
      </w:pPr>
    </w:p>
    <w:p w14:paraId="4D19A7B3" w14:textId="77777777" w:rsidR="002753FF" w:rsidRPr="005B7169" w:rsidRDefault="002753FF" w:rsidP="009D6FA2">
      <w:pPr>
        <w:pStyle w:val="ListParagraph"/>
        <w:numPr>
          <w:ilvl w:val="0"/>
          <w:numId w:val="11"/>
        </w:numPr>
        <w:ind w:left="851" w:hanging="425"/>
        <w:contextualSpacing/>
        <w:jc w:val="both"/>
        <w:rPr>
          <w:rFonts w:ascii="Cambria" w:eastAsia="Cambria" w:hAnsi="Cambria" w:cs="Cambria"/>
          <w:color w:val="231F20"/>
          <w:sz w:val="20"/>
          <w:szCs w:val="20"/>
        </w:rPr>
      </w:pPr>
      <w:r w:rsidRPr="005B7169">
        <w:rPr>
          <w:rFonts w:ascii="Cambria" w:eastAsia="Cambria" w:hAnsi="Cambria" w:cs="Cambria"/>
          <w:color w:val="231F20"/>
          <w:sz w:val="20"/>
          <w:szCs w:val="20"/>
        </w:rPr>
        <w:t>Nonobstant les dispositions du paragraphe 6(b), si une CPC dégage une surconsommation de son quota total au cours de deux périodes de gestion consécutives, la Commission recommandera des mesures appropriées, qui pourraient inclure, sans s’y limiter, une réduction du quota total de la CPC équivalant au minimum à 125 % du volume surconsommé, et, si nécessaire, des mesures de restriction commerciale.</w:t>
      </w:r>
      <w:r w:rsidRPr="005B7169">
        <w:rPr>
          <w:rFonts w:ascii="Cambria" w:hAnsi="Cambria"/>
          <w:sz w:val="20"/>
          <w:szCs w:val="20"/>
        </w:rPr>
        <w:t xml:space="preserve"> </w:t>
      </w:r>
      <w:r w:rsidRPr="005B7169">
        <w:rPr>
          <w:rFonts w:ascii="Cambria" w:eastAsia="Cambria" w:hAnsi="Cambria" w:cs="Cambria"/>
          <w:color w:val="231F20"/>
          <w:sz w:val="20"/>
          <w:szCs w:val="20"/>
        </w:rPr>
        <w:t>Les mesures commerciales visées dans le présent paragraphe seront des restrictions d’importation de l’espèce en question qui seront conformes aux obligations internationales de chaque CPC.</w:t>
      </w:r>
      <w:r w:rsidRPr="005B7169">
        <w:rPr>
          <w:rFonts w:ascii="Cambria" w:hAnsi="Cambria"/>
          <w:sz w:val="20"/>
          <w:szCs w:val="20"/>
        </w:rPr>
        <w:t xml:space="preserve"> </w:t>
      </w:r>
      <w:r w:rsidRPr="005B7169">
        <w:rPr>
          <w:rFonts w:ascii="Cambria" w:eastAsia="Cambria" w:hAnsi="Cambria" w:cs="Cambria"/>
          <w:color w:val="231F20"/>
          <w:sz w:val="20"/>
          <w:szCs w:val="20"/>
        </w:rPr>
        <w:t>La durée et les modalités des mesures commerciales seront déterminées par la Commission.</w:t>
      </w:r>
    </w:p>
    <w:p w14:paraId="22A375E7" w14:textId="77777777" w:rsidR="0015357D" w:rsidRPr="005B7169" w:rsidRDefault="0015357D" w:rsidP="009D6FA2">
      <w:pPr>
        <w:pStyle w:val="Heading1"/>
        <w:spacing w:before="0" w:after="0"/>
        <w:jc w:val="both"/>
        <w:rPr>
          <w:rFonts w:ascii="Cambria" w:eastAsia="Cambria" w:hAnsi="Cambria" w:cs="Cambria"/>
          <w:iCs/>
          <w:color w:val="231F20"/>
          <w:sz w:val="20"/>
          <w:szCs w:val="20"/>
        </w:rPr>
      </w:pPr>
    </w:p>
    <w:p w14:paraId="6CA3276F" w14:textId="304D5ADC" w:rsidR="002753FF" w:rsidRPr="005B7169" w:rsidRDefault="002753FF" w:rsidP="009D6FA2">
      <w:pPr>
        <w:pStyle w:val="Heading1"/>
        <w:spacing w:before="0" w:after="0"/>
        <w:jc w:val="both"/>
        <w:rPr>
          <w:rFonts w:ascii="Cambria" w:eastAsia="Cambria" w:hAnsi="Cambria" w:cs="Cambria"/>
          <w:b w:val="0"/>
          <w:i/>
          <w:iCs/>
          <w:sz w:val="20"/>
          <w:szCs w:val="20"/>
        </w:rPr>
      </w:pPr>
      <w:r w:rsidRPr="005B7169">
        <w:rPr>
          <w:rFonts w:ascii="Cambria" w:eastAsia="Cambria" w:hAnsi="Cambria" w:cs="Cambria"/>
          <w:iCs/>
          <w:color w:val="231F20"/>
          <w:sz w:val="20"/>
          <w:szCs w:val="20"/>
        </w:rPr>
        <w:t>Exigences de taille minimale des poissons et protection des petits poissons</w:t>
      </w:r>
    </w:p>
    <w:p w14:paraId="4A2CB4F3" w14:textId="77777777" w:rsidR="002753FF" w:rsidRPr="005B7169" w:rsidRDefault="002753FF" w:rsidP="009D6FA2">
      <w:pPr>
        <w:rPr>
          <w:rFonts w:ascii="Cambria" w:eastAsia="Cambria" w:hAnsi="Cambria" w:cs="Cambria"/>
          <w:b/>
          <w:i/>
          <w:sz w:val="20"/>
          <w:szCs w:val="20"/>
        </w:rPr>
      </w:pPr>
    </w:p>
    <w:p w14:paraId="3026B036" w14:textId="77777777" w:rsidR="002753FF" w:rsidRPr="005B7169" w:rsidRDefault="002753FF" w:rsidP="009D6FA2">
      <w:pPr>
        <w:widowControl w:val="0"/>
        <w:numPr>
          <w:ilvl w:val="0"/>
          <w:numId w:val="8"/>
        </w:numPr>
        <w:ind w:left="426" w:hanging="426"/>
        <w:jc w:val="both"/>
        <w:rPr>
          <w:rFonts w:ascii="Cambria" w:eastAsia="Cambria" w:hAnsi="Cambria" w:cs="Cambria"/>
          <w:sz w:val="20"/>
          <w:szCs w:val="20"/>
        </w:rPr>
      </w:pPr>
      <w:r w:rsidRPr="005B7169">
        <w:rPr>
          <w:rFonts w:ascii="Cambria" w:eastAsia="Cambria" w:hAnsi="Cambria" w:cs="Cambria"/>
          <w:color w:val="231F20"/>
          <w:sz w:val="20"/>
          <w:szCs w:val="20"/>
        </w:rPr>
        <w:t xml:space="preserve">Les CPC devront interdire la capture et </w:t>
      </w:r>
      <w:r w:rsidRPr="005B7169">
        <w:rPr>
          <w:rFonts w:ascii="Cambria" w:hAnsi="Cambria"/>
          <w:sz w:val="20"/>
          <w:szCs w:val="20"/>
        </w:rPr>
        <w:t>le</w:t>
      </w:r>
      <w:r w:rsidRPr="005B7169">
        <w:rPr>
          <w:rFonts w:ascii="Cambria" w:eastAsia="Cambria" w:hAnsi="Cambria" w:cs="Cambria"/>
          <w:color w:val="231F20"/>
          <w:sz w:val="20"/>
          <w:szCs w:val="20"/>
        </w:rPr>
        <w:t xml:space="preserve"> débarquement de thon rouge de l'Atlantique Ouest pesant moins de 30 kg ou, à titre subsidiaire, ayant une longueur à la fourche de moins de 115 cm.</w:t>
      </w:r>
    </w:p>
    <w:p w14:paraId="5742CA9A" w14:textId="77777777" w:rsidR="002753FF" w:rsidRPr="005B7169" w:rsidRDefault="002753FF" w:rsidP="009D6FA2">
      <w:pPr>
        <w:ind w:left="426" w:hanging="426"/>
        <w:rPr>
          <w:rFonts w:ascii="Cambria" w:eastAsia="Cambria" w:hAnsi="Cambria" w:cs="Cambria"/>
          <w:sz w:val="20"/>
          <w:szCs w:val="20"/>
        </w:rPr>
      </w:pPr>
    </w:p>
    <w:p w14:paraId="38635E9F" w14:textId="77777777" w:rsidR="002753FF" w:rsidRPr="005B7169" w:rsidRDefault="002753FF" w:rsidP="009D6FA2">
      <w:pPr>
        <w:widowControl w:val="0"/>
        <w:numPr>
          <w:ilvl w:val="0"/>
          <w:numId w:val="8"/>
        </w:numPr>
        <w:ind w:left="426" w:hanging="426"/>
        <w:jc w:val="both"/>
        <w:rPr>
          <w:rFonts w:ascii="Cambria" w:eastAsia="Cambria" w:hAnsi="Cambria" w:cs="Cambria"/>
          <w:sz w:val="20"/>
          <w:szCs w:val="20"/>
        </w:rPr>
      </w:pPr>
      <w:r w:rsidRPr="005B7169">
        <w:rPr>
          <w:rFonts w:ascii="Cambria" w:eastAsia="Cambria" w:hAnsi="Cambria" w:cs="Cambria"/>
          <w:color w:val="231F20"/>
          <w:sz w:val="20"/>
          <w:szCs w:val="20"/>
        </w:rPr>
        <w:t xml:space="preserve">Indépendamment des mesures susmentionnées, les CPC pourront </w:t>
      </w:r>
      <w:r w:rsidRPr="005B7169">
        <w:rPr>
          <w:rFonts w:ascii="Cambria" w:hAnsi="Cambria"/>
          <w:sz w:val="20"/>
          <w:szCs w:val="20"/>
        </w:rPr>
        <w:t>concéder</w:t>
      </w:r>
      <w:r w:rsidRPr="005B7169">
        <w:rPr>
          <w:rFonts w:ascii="Cambria" w:eastAsia="Cambria" w:hAnsi="Cambria" w:cs="Cambria"/>
          <w:color w:val="231F20"/>
          <w:sz w:val="20"/>
          <w:szCs w:val="20"/>
        </w:rPr>
        <w:t xml:space="preserve"> des tolérances pour capturer du thon rouge de l'Atlantique Ouest pesant moins de 30 kg ou, à titre subsidiaire, mesurant moins de 115 cm de longueur à la fourche, à condition qu'elles limitent la capture de ces poissons à 10 % maximum en poids du quota total de thon rouge pour chaque CPC, et instaurent des mesures pour empêcher que les pêcheurs ne tirent un avantage économique de ce poisson. Toute surconsommation de cette limite de tolérance d'une année doit être déduite l'année suivante, ou l'année ultérieure à celle-ci, de la limite de tolérance applicable. Les CPC octroyant cette tolérance interdiront la capture et le débarquement du thon rouge de l'Atlantique Ouest ayant une longueur à la fourche de moins de 67 cm, à moins qu’il ne fasse l’objet d’un programme de recherche notifié au SCRS, mis au point en tenant compte des priorités de recherche recommandées par le SCRS et mené à bien par des personnes dûment autorisées par les CPC à réaliser cette recherche.</w:t>
      </w:r>
    </w:p>
    <w:p w14:paraId="5731CA15" w14:textId="77777777" w:rsidR="002753FF" w:rsidRPr="005B7169" w:rsidRDefault="002753FF" w:rsidP="009D6FA2">
      <w:pPr>
        <w:ind w:left="426" w:hanging="426"/>
        <w:rPr>
          <w:rFonts w:ascii="Cambria" w:eastAsia="Cambria" w:hAnsi="Cambria" w:cs="Cambria"/>
          <w:color w:val="231F20"/>
          <w:sz w:val="20"/>
          <w:szCs w:val="20"/>
        </w:rPr>
      </w:pPr>
    </w:p>
    <w:p w14:paraId="2C227D0B" w14:textId="77777777" w:rsidR="002753FF" w:rsidRPr="005B7169" w:rsidRDefault="002753FF" w:rsidP="009D6FA2">
      <w:pPr>
        <w:widowControl w:val="0"/>
        <w:numPr>
          <w:ilvl w:val="0"/>
          <w:numId w:val="8"/>
        </w:numPr>
        <w:ind w:left="426" w:hanging="426"/>
        <w:jc w:val="both"/>
        <w:rPr>
          <w:rFonts w:ascii="Cambria" w:eastAsia="Cambria" w:hAnsi="Cambria" w:cs="Cambria"/>
          <w:sz w:val="20"/>
          <w:szCs w:val="20"/>
        </w:rPr>
      </w:pPr>
      <w:r w:rsidRPr="005B7169">
        <w:rPr>
          <w:rFonts w:ascii="Cambria" w:eastAsia="Cambria" w:hAnsi="Cambria" w:cs="Cambria"/>
          <w:color w:val="231F20"/>
          <w:sz w:val="20"/>
          <w:szCs w:val="20"/>
        </w:rPr>
        <w:t>Les CPC devront interdire aux pêcheurs de vendre ou d’offrir à la vente les poissons capturés dans le cadre de pêcheries récréatives, de quelconque taille.</w:t>
      </w:r>
    </w:p>
    <w:p w14:paraId="4223DAAD" w14:textId="77777777" w:rsidR="002753FF" w:rsidRPr="005B7169" w:rsidRDefault="002753FF" w:rsidP="009D6FA2">
      <w:pPr>
        <w:ind w:left="426" w:hanging="426"/>
        <w:rPr>
          <w:rFonts w:ascii="Cambria" w:eastAsia="Cambria" w:hAnsi="Cambria" w:cs="Cambria"/>
          <w:sz w:val="20"/>
          <w:szCs w:val="20"/>
        </w:rPr>
      </w:pPr>
    </w:p>
    <w:p w14:paraId="7488E3DB" w14:textId="77777777" w:rsidR="002753FF" w:rsidRPr="005B7169" w:rsidRDefault="002753FF" w:rsidP="009D6FA2">
      <w:pPr>
        <w:widowControl w:val="0"/>
        <w:numPr>
          <w:ilvl w:val="0"/>
          <w:numId w:val="8"/>
        </w:numPr>
        <w:ind w:left="426" w:hanging="426"/>
        <w:jc w:val="both"/>
        <w:rPr>
          <w:rFonts w:ascii="Cambria" w:eastAsia="Cambria" w:hAnsi="Cambria" w:cs="Cambria"/>
          <w:sz w:val="20"/>
          <w:szCs w:val="20"/>
        </w:rPr>
      </w:pPr>
      <w:r w:rsidRPr="005B7169">
        <w:rPr>
          <w:rFonts w:ascii="Cambria" w:eastAsia="Cambria" w:hAnsi="Cambria" w:cs="Cambria"/>
          <w:color w:val="231F20"/>
          <w:sz w:val="20"/>
          <w:szCs w:val="20"/>
        </w:rPr>
        <w:t>Les CPC encourageront leurs pêcheurs pratiquant la pêche commerciale et récréative à marquer et à remettre à l’eau tous les poissons pesant moins de 30 kg ou, à titre subsidiaire, mesurant moins de 115 cm de longueur à la fourche et devront consigner dans leur rapport annuel les mesures prises à cet égard.</w:t>
      </w:r>
    </w:p>
    <w:p w14:paraId="429A2D90" w14:textId="77777777" w:rsidR="002753FF" w:rsidRPr="005B7169" w:rsidRDefault="002753FF" w:rsidP="009D6FA2">
      <w:pPr>
        <w:rPr>
          <w:rFonts w:ascii="Cambria" w:eastAsia="Cambria" w:hAnsi="Cambria" w:cs="Cambria"/>
          <w:sz w:val="20"/>
          <w:szCs w:val="20"/>
        </w:rPr>
      </w:pPr>
    </w:p>
    <w:p w14:paraId="2FD2C175" w14:textId="77777777" w:rsidR="002753FF" w:rsidRPr="005B7169" w:rsidRDefault="002753FF" w:rsidP="009D6FA2">
      <w:pPr>
        <w:rPr>
          <w:rFonts w:ascii="Cambria" w:eastAsia="Cambria" w:hAnsi="Cambria" w:cs="Cambria"/>
          <w:b/>
          <w:iCs/>
          <w:color w:val="231F20"/>
          <w:sz w:val="20"/>
          <w:szCs w:val="20"/>
        </w:rPr>
      </w:pPr>
      <w:r w:rsidRPr="005B7169">
        <w:rPr>
          <w:rFonts w:ascii="Cambria" w:eastAsia="Cambria" w:hAnsi="Cambria" w:cs="Cambria"/>
          <w:b/>
          <w:iCs/>
          <w:color w:val="231F20"/>
          <w:sz w:val="20"/>
          <w:szCs w:val="20"/>
        </w:rPr>
        <w:t>Restrictions spatio-temporelles</w:t>
      </w:r>
    </w:p>
    <w:p w14:paraId="43547EAB" w14:textId="77777777" w:rsidR="002753FF" w:rsidRPr="005B7169" w:rsidRDefault="002753FF" w:rsidP="009D6FA2">
      <w:pPr>
        <w:rPr>
          <w:rFonts w:ascii="Cambria" w:eastAsia="Cambria" w:hAnsi="Cambria" w:cs="Cambria"/>
          <w:b/>
          <w:i/>
          <w:sz w:val="20"/>
          <w:szCs w:val="20"/>
        </w:rPr>
      </w:pPr>
    </w:p>
    <w:p w14:paraId="494941E6" w14:textId="6A82323E" w:rsidR="00E20D18" w:rsidRPr="005B7169" w:rsidRDefault="002753FF" w:rsidP="009D6FA2">
      <w:pPr>
        <w:widowControl w:val="0"/>
        <w:numPr>
          <w:ilvl w:val="0"/>
          <w:numId w:val="8"/>
        </w:numPr>
        <w:ind w:left="426" w:hanging="426"/>
        <w:jc w:val="both"/>
        <w:rPr>
          <w:rFonts w:ascii="Cambria" w:eastAsia="Cambria" w:hAnsi="Cambria" w:cs="Cambria"/>
          <w:b/>
          <w:i/>
          <w:color w:val="231F20"/>
          <w:sz w:val="20"/>
          <w:szCs w:val="20"/>
        </w:rPr>
      </w:pPr>
      <w:r w:rsidRPr="005B7169">
        <w:rPr>
          <w:rFonts w:ascii="Cambria" w:eastAsia="Cambria" w:hAnsi="Cambria" w:cs="Cambria"/>
          <w:color w:val="231F20"/>
          <w:sz w:val="20"/>
          <w:szCs w:val="20"/>
        </w:rPr>
        <w:t xml:space="preserve">Il n'y aura pas de pêcherie dirigée sur le stock reproducteur de thon rouge dans les zones de reproduction de l'Atlantique Ouest (golfe du Mexique). </w:t>
      </w:r>
      <w:r w:rsidR="00E20D18" w:rsidRPr="005B7169">
        <w:rPr>
          <w:rFonts w:ascii="Cambria" w:hAnsi="Cambria"/>
          <w:color w:val="231F20"/>
          <w:sz w:val="20"/>
          <w:szCs w:val="20"/>
        </w:rPr>
        <w:t xml:space="preserve">À la lumière de l’avis reçu du SCRS conformément au paragraphe 18, la Commission devra envisagea de réviser cette mesure </w:t>
      </w:r>
      <w:r w:rsidR="00E20D18" w:rsidRPr="005B7169">
        <w:rPr>
          <w:rFonts w:ascii="Cambria" w:hAnsi="Cambria"/>
          <w:color w:val="231F20"/>
          <w:sz w:val="20"/>
          <w:szCs w:val="20"/>
          <w:u w:val="single"/>
        </w:rPr>
        <w:t xml:space="preserve">en attendant l'évaluation de la zone de reproduction de </w:t>
      </w:r>
      <w:proofErr w:type="spellStart"/>
      <w:r w:rsidR="00E20D18" w:rsidRPr="005B7169">
        <w:rPr>
          <w:rFonts w:ascii="Cambria" w:hAnsi="Cambria"/>
          <w:color w:val="231F20"/>
          <w:sz w:val="20"/>
          <w:szCs w:val="20"/>
          <w:u w:val="single"/>
        </w:rPr>
        <w:t>Slope</w:t>
      </w:r>
      <w:proofErr w:type="spellEnd"/>
      <w:r w:rsidR="00E20D18" w:rsidRPr="005B7169">
        <w:rPr>
          <w:rFonts w:ascii="Cambria" w:hAnsi="Cambria"/>
          <w:color w:val="231F20"/>
          <w:sz w:val="20"/>
          <w:szCs w:val="20"/>
          <w:u w:val="single"/>
        </w:rPr>
        <w:t xml:space="preserve"> </w:t>
      </w:r>
      <w:proofErr w:type="spellStart"/>
      <w:r w:rsidR="00E20D18" w:rsidRPr="005B7169">
        <w:rPr>
          <w:rFonts w:ascii="Cambria" w:hAnsi="Cambria"/>
          <w:color w:val="231F20"/>
          <w:sz w:val="20"/>
          <w:szCs w:val="20"/>
          <w:u w:val="single"/>
        </w:rPr>
        <w:t>Sea</w:t>
      </w:r>
      <w:proofErr w:type="spellEnd"/>
      <w:r w:rsidR="00E20D18" w:rsidRPr="005B7169">
        <w:rPr>
          <w:rFonts w:ascii="Cambria" w:hAnsi="Cambria"/>
          <w:color w:val="231F20"/>
          <w:sz w:val="20"/>
          <w:szCs w:val="20"/>
          <w:u w:val="single"/>
        </w:rPr>
        <w:t xml:space="preserve"> </w:t>
      </w:r>
      <w:r w:rsidR="00742E9F" w:rsidRPr="005B7169">
        <w:rPr>
          <w:rFonts w:ascii="Cambria" w:hAnsi="Cambria"/>
          <w:color w:val="231F20"/>
          <w:sz w:val="20"/>
          <w:szCs w:val="20"/>
          <w:u w:val="single"/>
        </w:rPr>
        <w:t xml:space="preserve">en rapport </w:t>
      </w:r>
      <w:r w:rsidR="00D73E7B" w:rsidRPr="005B7169">
        <w:rPr>
          <w:rFonts w:ascii="Cambria" w:hAnsi="Cambria"/>
          <w:color w:val="231F20"/>
          <w:sz w:val="20"/>
          <w:szCs w:val="20"/>
          <w:u w:val="single"/>
        </w:rPr>
        <w:t>avec</w:t>
      </w:r>
      <w:r w:rsidR="00E20D18" w:rsidRPr="005B7169">
        <w:rPr>
          <w:rFonts w:ascii="Cambria" w:hAnsi="Cambria"/>
          <w:color w:val="231F20"/>
          <w:sz w:val="20"/>
          <w:szCs w:val="20"/>
          <w:u w:val="single"/>
        </w:rPr>
        <w:t xml:space="preserve"> la productivité globale du stock occidental</w:t>
      </w:r>
      <w:r w:rsidR="00E20D18" w:rsidRPr="005B7169">
        <w:rPr>
          <w:rFonts w:ascii="Cambria" w:hAnsi="Cambria"/>
          <w:color w:val="231F20"/>
          <w:sz w:val="20"/>
          <w:szCs w:val="20"/>
        </w:rPr>
        <w:t xml:space="preserve"> et la nécessité de mesures de gestion </w:t>
      </w:r>
      <w:r w:rsidR="00E20D18" w:rsidRPr="005B7169">
        <w:rPr>
          <w:rFonts w:ascii="Cambria" w:hAnsi="Cambria"/>
          <w:color w:val="231F20"/>
          <w:sz w:val="20"/>
          <w:szCs w:val="20"/>
          <w:u w:val="single"/>
        </w:rPr>
        <w:t>supplémentaires</w:t>
      </w:r>
      <w:r w:rsidR="00E20D18" w:rsidRPr="005B7169">
        <w:rPr>
          <w:rFonts w:ascii="Cambria" w:hAnsi="Cambria"/>
          <w:color w:val="231F20"/>
          <w:sz w:val="20"/>
          <w:szCs w:val="20"/>
        </w:rPr>
        <w:t xml:space="preserve"> </w:t>
      </w:r>
      <w:r w:rsidR="00E20D18" w:rsidRPr="005B7169">
        <w:rPr>
          <w:rFonts w:ascii="Cambria" w:hAnsi="Cambria"/>
          <w:color w:val="231F20"/>
          <w:sz w:val="20"/>
          <w:szCs w:val="20"/>
          <w:u w:val="single"/>
        </w:rPr>
        <w:t>dans le golfe du Mexique, tout</w:t>
      </w:r>
      <w:r w:rsidR="00E20D18" w:rsidRPr="005B7169">
        <w:rPr>
          <w:rFonts w:ascii="Cambria" w:hAnsi="Cambria"/>
          <w:color w:val="231F20"/>
          <w:sz w:val="20"/>
          <w:szCs w:val="20"/>
        </w:rPr>
        <w:t xml:space="preserve"> en tenant compte des efforts déployés par </w:t>
      </w:r>
      <w:r w:rsidR="00E20D18" w:rsidRPr="005B7169">
        <w:rPr>
          <w:rFonts w:ascii="Cambria" w:hAnsi="Cambria"/>
          <w:color w:val="231F20"/>
          <w:sz w:val="20"/>
          <w:szCs w:val="20"/>
          <w:u w:val="single"/>
        </w:rPr>
        <w:t>toutes</w:t>
      </w:r>
      <w:r w:rsidR="00E20D18" w:rsidRPr="005B7169">
        <w:rPr>
          <w:rFonts w:ascii="Cambria" w:hAnsi="Cambria"/>
          <w:color w:val="231F20"/>
          <w:sz w:val="20"/>
          <w:szCs w:val="20"/>
        </w:rPr>
        <w:t xml:space="preserve"> les CPC pour conserver le thon rouge de l'Atlantique Ouest, y compris pour réduire les prises accessoires.</w:t>
      </w:r>
    </w:p>
    <w:p w14:paraId="6F5EC7F3" w14:textId="34AA0C8B" w:rsidR="002753FF" w:rsidRPr="005B7169" w:rsidRDefault="00E20D18" w:rsidP="009D6FA2">
      <w:pPr>
        <w:widowControl w:val="0"/>
        <w:ind w:left="426"/>
        <w:jc w:val="both"/>
        <w:rPr>
          <w:rFonts w:ascii="Cambria" w:eastAsia="Cambria" w:hAnsi="Cambria" w:cs="Cambria"/>
          <w:b/>
          <w:iCs/>
          <w:color w:val="231F20"/>
          <w:sz w:val="20"/>
          <w:szCs w:val="20"/>
        </w:rPr>
      </w:pPr>
      <w:r w:rsidRPr="005B7169">
        <w:rPr>
          <w:rFonts w:ascii="Cambria" w:hAnsi="Cambria"/>
          <w:color w:val="231F20"/>
          <w:sz w:val="20"/>
          <w:szCs w:val="20"/>
        </w:rPr>
        <w:cr/>
      </w:r>
      <w:r w:rsidR="002753FF" w:rsidRPr="005B7169">
        <w:rPr>
          <w:rFonts w:ascii="Cambria" w:eastAsia="Cambria" w:hAnsi="Cambria" w:cs="Cambria"/>
          <w:b/>
          <w:iCs/>
          <w:color w:val="231F20"/>
          <w:sz w:val="20"/>
          <w:szCs w:val="20"/>
        </w:rPr>
        <w:t>Transbordement</w:t>
      </w:r>
    </w:p>
    <w:p w14:paraId="2229A67F" w14:textId="77777777" w:rsidR="002753FF" w:rsidRPr="005B7169" w:rsidRDefault="002753FF" w:rsidP="009D6FA2">
      <w:pPr>
        <w:jc w:val="both"/>
        <w:rPr>
          <w:rFonts w:ascii="Cambria" w:eastAsia="Cambria" w:hAnsi="Cambria" w:cs="Cambria"/>
          <w:b/>
          <w:i/>
          <w:sz w:val="20"/>
          <w:szCs w:val="20"/>
        </w:rPr>
      </w:pPr>
    </w:p>
    <w:p w14:paraId="32E51B4C" w14:textId="77777777" w:rsidR="002753FF" w:rsidRPr="005B7169" w:rsidRDefault="002753FF" w:rsidP="009D6FA2">
      <w:pPr>
        <w:widowControl w:val="0"/>
        <w:numPr>
          <w:ilvl w:val="0"/>
          <w:numId w:val="8"/>
        </w:numPr>
        <w:ind w:left="426" w:hanging="426"/>
        <w:jc w:val="both"/>
        <w:rPr>
          <w:rFonts w:ascii="Cambria" w:eastAsia="Cambria" w:hAnsi="Cambria" w:cs="Cambria"/>
          <w:color w:val="231F20"/>
          <w:sz w:val="20"/>
          <w:szCs w:val="20"/>
        </w:rPr>
      </w:pPr>
      <w:r w:rsidRPr="005B7169">
        <w:rPr>
          <w:rFonts w:ascii="Cambria" w:eastAsia="Cambria" w:hAnsi="Cambria" w:cs="Cambria"/>
          <w:color w:val="231F20"/>
          <w:sz w:val="20"/>
          <w:szCs w:val="20"/>
        </w:rPr>
        <w:t>Le transbordement en mer devra être interdit.</w:t>
      </w:r>
    </w:p>
    <w:p w14:paraId="01965315" w14:textId="77777777" w:rsidR="00E20D18" w:rsidRPr="005B7169" w:rsidRDefault="00E20D18" w:rsidP="009D6FA2">
      <w:pPr>
        <w:rPr>
          <w:rFonts w:ascii="Cambria" w:eastAsia="Cambria" w:hAnsi="Cambria" w:cs="Cambria"/>
          <w:b/>
          <w:iCs/>
          <w:color w:val="231F20"/>
          <w:sz w:val="20"/>
          <w:szCs w:val="20"/>
        </w:rPr>
      </w:pPr>
      <w:bookmarkStart w:id="2" w:name="_1fob9te" w:colFirst="0" w:colLast="0"/>
      <w:bookmarkEnd w:id="2"/>
    </w:p>
    <w:p w14:paraId="49CEA057" w14:textId="1DE1FC3C" w:rsidR="002753FF" w:rsidRPr="005B7169" w:rsidRDefault="002753FF" w:rsidP="009D6FA2">
      <w:pPr>
        <w:rPr>
          <w:rFonts w:ascii="Cambria" w:eastAsia="Cambria" w:hAnsi="Cambria" w:cs="Cambria"/>
          <w:b/>
          <w:iCs/>
          <w:color w:val="231F20"/>
          <w:sz w:val="20"/>
          <w:szCs w:val="20"/>
        </w:rPr>
      </w:pPr>
      <w:r w:rsidRPr="005B7169">
        <w:rPr>
          <w:rFonts w:ascii="Cambria" w:eastAsia="Cambria" w:hAnsi="Cambria" w:cs="Cambria"/>
          <w:b/>
          <w:iCs/>
          <w:color w:val="231F20"/>
          <w:sz w:val="20"/>
          <w:szCs w:val="20"/>
        </w:rPr>
        <w:t>Recherche scientifique et exigences en matière de données et de déclaration</w:t>
      </w:r>
    </w:p>
    <w:p w14:paraId="16EA0386" w14:textId="77777777" w:rsidR="002753FF" w:rsidRPr="005B7169" w:rsidRDefault="002753FF" w:rsidP="009D6FA2">
      <w:pPr>
        <w:rPr>
          <w:rFonts w:ascii="Cambria" w:eastAsia="Cambria" w:hAnsi="Cambria" w:cs="Cambria"/>
          <w:b/>
          <w:i/>
          <w:sz w:val="20"/>
          <w:szCs w:val="20"/>
        </w:rPr>
      </w:pPr>
    </w:p>
    <w:p w14:paraId="2A95DDF5" w14:textId="77777777" w:rsidR="002753FF" w:rsidRPr="005B7169" w:rsidRDefault="002753FF" w:rsidP="009D6FA2">
      <w:pPr>
        <w:widowControl w:val="0"/>
        <w:numPr>
          <w:ilvl w:val="0"/>
          <w:numId w:val="8"/>
        </w:numPr>
        <w:ind w:left="426" w:hanging="426"/>
        <w:jc w:val="both"/>
        <w:rPr>
          <w:rFonts w:ascii="Cambria" w:eastAsia="Cambria" w:hAnsi="Cambria" w:cs="Cambria"/>
          <w:sz w:val="20"/>
          <w:szCs w:val="20"/>
        </w:rPr>
      </w:pPr>
      <w:r w:rsidRPr="005B7169">
        <w:rPr>
          <w:rFonts w:ascii="Cambria" w:eastAsia="Cambria" w:hAnsi="Cambria" w:cs="Cambria"/>
          <w:color w:val="231F20"/>
          <w:sz w:val="20"/>
          <w:szCs w:val="20"/>
        </w:rPr>
        <w:t xml:space="preserve">Le Canada, les États-Unis, le Japon, le Mexique et, le cas échéant, d’autres CPC capturant du thon rouge de l’Atlantique Ouest devront continuer à collaborer en vue de l’amélioration des indices d’abondance existants et du développement de nouveaux indices combinés. </w:t>
      </w:r>
    </w:p>
    <w:p w14:paraId="5270D546" w14:textId="77777777" w:rsidR="002753FF" w:rsidRPr="005B7169" w:rsidRDefault="002753FF" w:rsidP="009D6FA2">
      <w:pPr>
        <w:ind w:left="426" w:hanging="426"/>
        <w:rPr>
          <w:rFonts w:ascii="Cambria" w:eastAsia="Cambria" w:hAnsi="Cambria" w:cs="Cambria"/>
          <w:sz w:val="20"/>
          <w:szCs w:val="20"/>
        </w:rPr>
      </w:pPr>
    </w:p>
    <w:p w14:paraId="4DB2AD07" w14:textId="2131F6F6" w:rsidR="002753FF" w:rsidRPr="005B7169" w:rsidRDefault="002753FF" w:rsidP="009D6FA2">
      <w:pPr>
        <w:widowControl w:val="0"/>
        <w:numPr>
          <w:ilvl w:val="0"/>
          <w:numId w:val="8"/>
        </w:numPr>
        <w:ind w:left="426" w:hanging="426"/>
        <w:jc w:val="both"/>
        <w:rPr>
          <w:rFonts w:ascii="Cambria" w:eastAsia="Cambria" w:hAnsi="Cambria" w:cs="Cambria"/>
          <w:strike/>
          <w:sz w:val="20"/>
          <w:szCs w:val="20"/>
        </w:rPr>
      </w:pPr>
      <w:r w:rsidRPr="005B7169">
        <w:rPr>
          <w:rFonts w:ascii="Cambria" w:eastAsia="Cambria" w:hAnsi="Cambria" w:cs="Cambria"/>
          <w:color w:val="231F20"/>
          <w:sz w:val="20"/>
          <w:szCs w:val="20"/>
        </w:rPr>
        <w:t xml:space="preserve">Les CPC qui capturent du thon rouge de l’Atlantique dans l’Atlantique Ouest devraient faire tout leur possible pour contribuer aux travaux de recherche prioritaires et à d'autres activités scientifiques, y compris ceux menés dans le cadre du GBYP de l’ICCAT, ou en collaboration avec celui-ci. Afin de faciliter </w:t>
      </w:r>
      <w:r w:rsidRPr="005B7169">
        <w:rPr>
          <w:rFonts w:ascii="Cambria" w:eastAsia="Cambria" w:hAnsi="Cambria" w:cs="Cambria"/>
          <w:color w:val="231F20"/>
          <w:sz w:val="20"/>
          <w:szCs w:val="20"/>
          <w:u w:val="single"/>
        </w:rPr>
        <w:t>l</w:t>
      </w:r>
      <w:r w:rsidR="00AF4F54" w:rsidRPr="005B7169">
        <w:rPr>
          <w:rFonts w:ascii="Cambria" w:eastAsia="Cambria" w:hAnsi="Cambria" w:cs="Cambria"/>
          <w:color w:val="231F20"/>
          <w:sz w:val="20"/>
          <w:szCs w:val="20"/>
          <w:u w:val="single"/>
        </w:rPr>
        <w:t xml:space="preserve">es évaluations des circonstances exceptionnelles, </w:t>
      </w:r>
      <w:r w:rsidR="00AF4F54" w:rsidRPr="005B7169">
        <w:rPr>
          <w:rFonts w:ascii="Cambria" w:eastAsia="Cambria" w:hAnsi="Cambria" w:cs="Cambria"/>
          <w:color w:val="231F20"/>
          <w:sz w:val="20"/>
          <w:szCs w:val="20"/>
        </w:rPr>
        <w:t>l</w:t>
      </w:r>
      <w:r w:rsidRPr="005B7169">
        <w:rPr>
          <w:rFonts w:ascii="Cambria" w:eastAsia="Cambria" w:hAnsi="Cambria" w:cs="Cambria"/>
          <w:color w:val="231F20"/>
          <w:sz w:val="20"/>
          <w:szCs w:val="20"/>
        </w:rPr>
        <w:t xml:space="preserve">e reconditionnement des modèles opérationnels de la MSE et de soutenir la révision de la MP d’ici 2028, les CPC devraient soutenir le SCRS dans la réalisation des </w:t>
      </w:r>
      <w:r w:rsidR="00AF4F54" w:rsidRPr="005B7169">
        <w:rPr>
          <w:rFonts w:ascii="Cambria" w:eastAsia="Cambria" w:hAnsi="Cambria" w:cs="Cambria"/>
          <w:color w:val="231F20"/>
          <w:sz w:val="20"/>
          <w:szCs w:val="20"/>
          <w:u w:val="single"/>
        </w:rPr>
        <w:t>cinq</w:t>
      </w:r>
      <w:r w:rsidRPr="005B7169">
        <w:rPr>
          <w:rFonts w:ascii="Cambria" w:eastAsia="Cambria" w:hAnsi="Cambria" w:cs="Cambria"/>
          <w:color w:val="231F20"/>
          <w:sz w:val="20"/>
          <w:szCs w:val="20"/>
        </w:rPr>
        <w:t xml:space="preserve"> initiatives stratégiques identifiées dans le rapport du SCRS :</w:t>
      </w:r>
    </w:p>
    <w:p w14:paraId="5AA4D423" w14:textId="77777777" w:rsidR="002753FF" w:rsidRPr="005B7169" w:rsidRDefault="002753FF" w:rsidP="009D6FA2">
      <w:pPr>
        <w:tabs>
          <w:tab w:val="left" w:pos="528"/>
        </w:tabs>
        <w:ind w:left="528"/>
        <w:jc w:val="both"/>
        <w:rPr>
          <w:rFonts w:ascii="Cambria" w:eastAsia="Cambria" w:hAnsi="Cambria" w:cs="Cambria"/>
          <w:sz w:val="20"/>
          <w:szCs w:val="20"/>
        </w:rPr>
      </w:pPr>
    </w:p>
    <w:p w14:paraId="006B2074" w14:textId="77777777" w:rsidR="002753FF" w:rsidRPr="005B7169" w:rsidRDefault="002753FF" w:rsidP="009D6FA2">
      <w:pPr>
        <w:pStyle w:val="ListParagraph"/>
        <w:numPr>
          <w:ilvl w:val="0"/>
          <w:numId w:val="9"/>
        </w:numPr>
        <w:ind w:left="851" w:hanging="425"/>
        <w:contextualSpacing/>
        <w:jc w:val="both"/>
        <w:rPr>
          <w:rFonts w:ascii="Cambria" w:eastAsia="Cambria" w:hAnsi="Cambria" w:cs="Cambria"/>
          <w:sz w:val="20"/>
          <w:szCs w:val="20"/>
        </w:rPr>
      </w:pPr>
      <w:proofErr w:type="gramStart"/>
      <w:r w:rsidRPr="005B7169">
        <w:rPr>
          <w:rFonts w:ascii="Cambria" w:eastAsia="Cambria" w:hAnsi="Cambria" w:cs="Cambria"/>
          <w:sz w:val="20"/>
          <w:szCs w:val="20"/>
        </w:rPr>
        <w:t>coordination</w:t>
      </w:r>
      <w:proofErr w:type="gramEnd"/>
      <w:r w:rsidRPr="005B7169">
        <w:rPr>
          <w:rFonts w:ascii="Cambria" w:eastAsia="Cambria" w:hAnsi="Cambria" w:cs="Cambria"/>
          <w:sz w:val="20"/>
          <w:szCs w:val="20"/>
        </w:rPr>
        <w:t xml:space="preserve"> du marquage du thon rouge,</w:t>
      </w:r>
    </w:p>
    <w:p w14:paraId="28C8BE89" w14:textId="77777777" w:rsidR="002753FF" w:rsidRPr="005B7169" w:rsidRDefault="002753FF" w:rsidP="009D6FA2">
      <w:pPr>
        <w:pStyle w:val="ListParagraph"/>
        <w:numPr>
          <w:ilvl w:val="0"/>
          <w:numId w:val="9"/>
        </w:numPr>
        <w:ind w:left="851" w:hanging="425"/>
        <w:contextualSpacing/>
        <w:jc w:val="both"/>
        <w:rPr>
          <w:rFonts w:ascii="Cambria" w:eastAsia="Cambria" w:hAnsi="Cambria" w:cs="Cambria"/>
          <w:sz w:val="20"/>
          <w:szCs w:val="20"/>
        </w:rPr>
      </w:pPr>
      <w:proofErr w:type="gramStart"/>
      <w:r w:rsidRPr="005B7169">
        <w:rPr>
          <w:rFonts w:ascii="Cambria" w:eastAsia="Cambria" w:hAnsi="Cambria" w:cs="Cambria"/>
          <w:sz w:val="20"/>
          <w:szCs w:val="20"/>
        </w:rPr>
        <w:t>coordination</w:t>
      </w:r>
      <w:proofErr w:type="gramEnd"/>
      <w:r w:rsidRPr="005B7169">
        <w:rPr>
          <w:rFonts w:ascii="Cambria" w:eastAsia="Cambria" w:hAnsi="Cambria" w:cs="Cambria"/>
          <w:sz w:val="20"/>
          <w:szCs w:val="20"/>
        </w:rPr>
        <w:t xml:space="preserve"> des prospections larvaires,</w:t>
      </w:r>
    </w:p>
    <w:p w14:paraId="384250AF" w14:textId="525C3A14" w:rsidR="002753FF" w:rsidRPr="005B7169" w:rsidRDefault="002753FF" w:rsidP="009D6FA2">
      <w:pPr>
        <w:pStyle w:val="ListParagraph"/>
        <w:numPr>
          <w:ilvl w:val="0"/>
          <w:numId w:val="9"/>
        </w:numPr>
        <w:ind w:left="851" w:hanging="425"/>
        <w:contextualSpacing/>
        <w:jc w:val="both"/>
        <w:rPr>
          <w:rFonts w:ascii="Cambria" w:eastAsia="Cambria" w:hAnsi="Cambria" w:cs="Cambria"/>
          <w:sz w:val="20"/>
          <w:szCs w:val="20"/>
        </w:rPr>
      </w:pPr>
      <w:proofErr w:type="gramStart"/>
      <w:r w:rsidRPr="005B7169">
        <w:rPr>
          <w:rFonts w:ascii="Cambria" w:eastAsia="Cambria" w:hAnsi="Cambria" w:cs="Cambria"/>
          <w:sz w:val="20"/>
          <w:szCs w:val="20"/>
        </w:rPr>
        <w:t>coordination</w:t>
      </w:r>
      <w:proofErr w:type="gramEnd"/>
      <w:r w:rsidRPr="005B7169">
        <w:rPr>
          <w:rFonts w:ascii="Cambria" w:eastAsia="Cambria" w:hAnsi="Cambria" w:cs="Cambria"/>
          <w:sz w:val="20"/>
          <w:szCs w:val="20"/>
        </w:rPr>
        <w:t xml:space="preserve"> de l’échantillonnage biologique du thon rouge</w:t>
      </w:r>
      <w:r w:rsidR="00AF4F54" w:rsidRPr="005B7169">
        <w:rPr>
          <w:rFonts w:ascii="Cambria" w:eastAsia="Cambria" w:hAnsi="Cambria" w:cs="Cambria"/>
          <w:sz w:val="20"/>
          <w:szCs w:val="20"/>
        </w:rPr>
        <w:t>,</w:t>
      </w:r>
    </w:p>
    <w:p w14:paraId="71CDFCD6" w14:textId="52563744" w:rsidR="00CD7912" w:rsidRPr="005B7169" w:rsidRDefault="00CD7912" w:rsidP="009D6FA2">
      <w:pPr>
        <w:pStyle w:val="ListParagraph"/>
        <w:numPr>
          <w:ilvl w:val="0"/>
          <w:numId w:val="9"/>
        </w:numPr>
        <w:ind w:left="851" w:hanging="425"/>
        <w:contextualSpacing/>
        <w:jc w:val="both"/>
        <w:rPr>
          <w:rFonts w:ascii="Cambria" w:hAnsi="Cambria" w:cs="Cambria"/>
          <w:sz w:val="20"/>
          <w:szCs w:val="20"/>
        </w:rPr>
      </w:pPr>
      <w:proofErr w:type="gramStart"/>
      <w:r w:rsidRPr="005B7169">
        <w:rPr>
          <w:rFonts w:ascii="Cambria" w:eastAsia="Cambria" w:hAnsi="Cambria" w:cs="Cambria"/>
          <w:sz w:val="20"/>
          <w:szCs w:val="20"/>
          <w:u w:val="single"/>
        </w:rPr>
        <w:t>coordination</w:t>
      </w:r>
      <w:proofErr w:type="gramEnd"/>
      <w:r w:rsidRPr="005B7169">
        <w:rPr>
          <w:rFonts w:ascii="Cambria" w:hAnsi="Cambria"/>
          <w:sz w:val="20"/>
          <w:szCs w:val="20"/>
          <w:u w:val="single"/>
        </w:rPr>
        <w:t xml:space="preserve"> de l'estimation de la taille et du mélange des populations (CKMR),</w:t>
      </w:r>
      <w:r w:rsidR="00105B47" w:rsidRPr="005B7169">
        <w:rPr>
          <w:rFonts w:ascii="Cambria" w:hAnsi="Cambria"/>
          <w:sz w:val="20"/>
          <w:szCs w:val="20"/>
          <w:u w:val="single"/>
        </w:rPr>
        <w:t xml:space="preserve"> </w:t>
      </w:r>
    </w:p>
    <w:p w14:paraId="0D535070" w14:textId="13A0C116" w:rsidR="00E8295D" w:rsidRPr="005B7169" w:rsidRDefault="00105B47" w:rsidP="009D6FA2">
      <w:pPr>
        <w:pStyle w:val="ListParagraph"/>
        <w:numPr>
          <w:ilvl w:val="0"/>
          <w:numId w:val="9"/>
        </w:numPr>
        <w:ind w:left="851" w:hanging="425"/>
        <w:contextualSpacing/>
        <w:jc w:val="both"/>
        <w:rPr>
          <w:rFonts w:ascii="Cambria" w:hAnsi="Cambria" w:cs="Cambria"/>
          <w:sz w:val="20"/>
          <w:szCs w:val="20"/>
          <w:u w:val="single"/>
        </w:rPr>
      </w:pPr>
      <w:proofErr w:type="gramStart"/>
      <w:r w:rsidRPr="005B7169">
        <w:rPr>
          <w:rFonts w:ascii="Cambria" w:eastAsia="Cambria" w:hAnsi="Cambria" w:cs="Cambria"/>
          <w:sz w:val="20"/>
          <w:szCs w:val="20"/>
          <w:u w:val="single"/>
        </w:rPr>
        <w:t>c</w:t>
      </w:r>
      <w:r w:rsidR="00E8295D" w:rsidRPr="005B7169">
        <w:rPr>
          <w:rFonts w:ascii="Cambria" w:eastAsia="Cambria" w:hAnsi="Cambria" w:cs="Cambria"/>
          <w:sz w:val="20"/>
          <w:szCs w:val="20"/>
          <w:u w:val="single"/>
        </w:rPr>
        <w:t>oordination</w:t>
      </w:r>
      <w:proofErr w:type="gramEnd"/>
      <w:r w:rsidR="00E8295D" w:rsidRPr="005B7169">
        <w:rPr>
          <w:rFonts w:ascii="Cambria" w:hAnsi="Cambria"/>
          <w:sz w:val="20"/>
          <w:szCs w:val="20"/>
          <w:u w:val="single"/>
        </w:rPr>
        <w:t xml:space="preserve"> de l'identification des sources de variabilité environnementale qui affectent la productivité des stocks    </w:t>
      </w:r>
    </w:p>
    <w:p w14:paraId="1368BBEE" w14:textId="77777777" w:rsidR="002753FF" w:rsidRPr="005B7169" w:rsidRDefault="002753FF" w:rsidP="009D6FA2">
      <w:pPr>
        <w:ind w:left="426"/>
        <w:jc w:val="both"/>
        <w:rPr>
          <w:rFonts w:ascii="Cambria" w:eastAsia="Cambria" w:hAnsi="Cambria" w:cs="Cambria"/>
          <w:sz w:val="20"/>
          <w:szCs w:val="20"/>
        </w:rPr>
      </w:pPr>
    </w:p>
    <w:p w14:paraId="33FE51E2" w14:textId="77777777" w:rsidR="002753FF" w:rsidRPr="005B7169" w:rsidRDefault="002753FF" w:rsidP="009D6FA2">
      <w:pPr>
        <w:widowControl w:val="0"/>
        <w:numPr>
          <w:ilvl w:val="0"/>
          <w:numId w:val="8"/>
        </w:numPr>
        <w:ind w:left="426" w:hanging="426"/>
        <w:jc w:val="both"/>
        <w:rPr>
          <w:rFonts w:ascii="Cambria" w:eastAsia="Cambria" w:hAnsi="Cambria" w:cs="Cambria"/>
          <w:color w:val="231F20"/>
          <w:sz w:val="20"/>
          <w:szCs w:val="20"/>
        </w:rPr>
      </w:pPr>
      <w:r w:rsidRPr="005B7169">
        <w:rPr>
          <w:rFonts w:ascii="Cambria" w:eastAsia="Cambria" w:hAnsi="Cambria" w:cs="Cambria"/>
          <w:color w:val="231F20"/>
          <w:sz w:val="20"/>
          <w:szCs w:val="20"/>
        </w:rPr>
        <w:t>Lors de la réalisation des travaux visés au paragraphe 14, en tant que contribution aux projets de recherche du SCRS, les CPC devraient déployer ou poursuivre les efforts spéciaux visant à intensifier l’échantillonnage des pêcheries de thon rouge de l’Atlantique, y compris : en fournissant des données sur les longueurs et/ou poids des poissons par flottille, mois et zone ; et la collecte d’échantillons biologiques, y compris des tissus et des otolithes qui sont essentiels pour les analyses génétiques de récupération de marques de spécimens étroitement apparentés et les analyses de l’origine du stock.</w:t>
      </w:r>
    </w:p>
    <w:p w14:paraId="3E981C53" w14:textId="77777777" w:rsidR="002753FF" w:rsidRPr="005B7169" w:rsidRDefault="002753FF" w:rsidP="009D6FA2">
      <w:pPr>
        <w:tabs>
          <w:tab w:val="left" w:pos="528"/>
        </w:tabs>
        <w:ind w:left="426" w:hanging="426"/>
        <w:jc w:val="both"/>
        <w:rPr>
          <w:rFonts w:ascii="Cambria" w:eastAsia="Cambria" w:hAnsi="Cambria" w:cs="Cambria"/>
          <w:sz w:val="20"/>
          <w:szCs w:val="20"/>
        </w:rPr>
      </w:pPr>
    </w:p>
    <w:p w14:paraId="6C837218" w14:textId="77777777" w:rsidR="002753FF" w:rsidRPr="005B7169" w:rsidRDefault="002753FF" w:rsidP="009D6FA2">
      <w:pPr>
        <w:widowControl w:val="0"/>
        <w:numPr>
          <w:ilvl w:val="0"/>
          <w:numId w:val="8"/>
        </w:numPr>
        <w:ind w:left="426" w:hanging="426"/>
        <w:jc w:val="both"/>
        <w:rPr>
          <w:rFonts w:ascii="Cambria" w:eastAsia="Cambria" w:hAnsi="Cambria" w:cs="Cambria"/>
          <w:color w:val="231F20"/>
          <w:sz w:val="20"/>
          <w:szCs w:val="20"/>
        </w:rPr>
      </w:pPr>
      <w:r w:rsidRPr="005B7169">
        <w:rPr>
          <w:rFonts w:ascii="Cambria" w:eastAsia="Cambria" w:hAnsi="Cambria" w:cs="Cambria"/>
          <w:color w:val="231F20"/>
          <w:sz w:val="20"/>
          <w:szCs w:val="20"/>
        </w:rPr>
        <w:t>Toutes les CPC devront assurer le suivi et déclarer toutes les causes de mortalité par pêche, y compris les rejets de poissons morts, et devront réduire les rejets de poissons morts dans la mesure du possible.</w:t>
      </w:r>
    </w:p>
    <w:p w14:paraId="09BCE9AD" w14:textId="77777777" w:rsidR="002753FF" w:rsidRPr="005B7169" w:rsidRDefault="002753FF" w:rsidP="009D6FA2">
      <w:pPr>
        <w:ind w:left="426" w:hanging="426"/>
        <w:jc w:val="both"/>
        <w:rPr>
          <w:rFonts w:ascii="Cambria" w:eastAsia="Cambria" w:hAnsi="Cambria" w:cs="Cambria"/>
          <w:color w:val="231F20"/>
          <w:sz w:val="20"/>
          <w:szCs w:val="20"/>
        </w:rPr>
      </w:pPr>
    </w:p>
    <w:p w14:paraId="2F5D3524" w14:textId="77777777" w:rsidR="002753FF" w:rsidRPr="005B7169" w:rsidRDefault="002753FF" w:rsidP="009D6FA2">
      <w:pPr>
        <w:widowControl w:val="0"/>
        <w:numPr>
          <w:ilvl w:val="0"/>
          <w:numId w:val="8"/>
        </w:numPr>
        <w:ind w:left="426" w:hanging="426"/>
        <w:jc w:val="both"/>
        <w:rPr>
          <w:rFonts w:ascii="Cambria" w:eastAsia="Cambria" w:hAnsi="Cambria" w:cs="Cambria"/>
          <w:color w:val="231F20"/>
          <w:sz w:val="20"/>
          <w:szCs w:val="20"/>
        </w:rPr>
      </w:pPr>
      <w:r w:rsidRPr="005B7169">
        <w:rPr>
          <w:rFonts w:ascii="Cambria" w:eastAsia="Cambria" w:hAnsi="Cambria" w:cs="Cambria"/>
          <w:color w:val="231F20"/>
          <w:sz w:val="20"/>
          <w:szCs w:val="20"/>
        </w:rPr>
        <w:t xml:space="preserve">Chaque CPC devra s'assurer que ses navires de pêche débarquant du thon rouge sont soumis à un système d'enregistrement de données, conformément à la </w:t>
      </w:r>
      <w:r w:rsidRPr="005B7169">
        <w:rPr>
          <w:rFonts w:ascii="Cambria" w:eastAsia="Cambria" w:hAnsi="Cambria" w:cs="Cambria"/>
          <w:i/>
          <w:color w:val="231F20"/>
          <w:sz w:val="20"/>
          <w:szCs w:val="20"/>
        </w:rPr>
        <w:t>Recommandation de l’ICCAT relative à l’enregistrement des captures par les navires de pêche dans la zone de la Convention ICCAT</w:t>
      </w:r>
      <w:r w:rsidRPr="005B7169">
        <w:rPr>
          <w:rFonts w:ascii="Cambria" w:eastAsia="Cambria" w:hAnsi="Cambria" w:cs="Cambria"/>
          <w:color w:val="231F20"/>
          <w:sz w:val="20"/>
          <w:szCs w:val="20"/>
        </w:rPr>
        <w:t xml:space="preserve"> (Rec. 03-13)</w:t>
      </w:r>
      <w:r w:rsidRPr="005B7169">
        <w:rPr>
          <w:rFonts w:ascii="Cambria" w:eastAsia="Cambria" w:hAnsi="Cambria" w:cs="Cambria"/>
          <w:i/>
          <w:color w:val="231F20"/>
          <w:sz w:val="20"/>
          <w:szCs w:val="20"/>
        </w:rPr>
        <w:t>.</w:t>
      </w:r>
    </w:p>
    <w:p w14:paraId="25CC6EC3" w14:textId="77777777" w:rsidR="002753FF" w:rsidRPr="005B7169" w:rsidRDefault="002753FF" w:rsidP="009D6FA2">
      <w:pPr>
        <w:ind w:left="426" w:hanging="426"/>
        <w:rPr>
          <w:rFonts w:ascii="Cambria" w:eastAsia="Cambria" w:hAnsi="Cambria" w:cs="Cambria"/>
          <w:color w:val="231F20"/>
          <w:sz w:val="20"/>
          <w:szCs w:val="20"/>
        </w:rPr>
      </w:pPr>
    </w:p>
    <w:p w14:paraId="2EC1E9A9" w14:textId="59042A45" w:rsidR="002753FF" w:rsidRPr="005B7169" w:rsidRDefault="002753FF" w:rsidP="009D6FA2">
      <w:pPr>
        <w:widowControl w:val="0"/>
        <w:numPr>
          <w:ilvl w:val="0"/>
          <w:numId w:val="8"/>
        </w:numPr>
        <w:ind w:left="426" w:hanging="426"/>
        <w:jc w:val="both"/>
        <w:rPr>
          <w:rFonts w:ascii="Cambria" w:eastAsia="Cambria" w:hAnsi="Cambria" w:cs="Cambria"/>
          <w:color w:val="231F20"/>
          <w:sz w:val="20"/>
          <w:szCs w:val="20"/>
        </w:rPr>
      </w:pPr>
      <w:r w:rsidRPr="005B7169">
        <w:rPr>
          <w:rFonts w:ascii="Cambria" w:eastAsia="Cambria" w:hAnsi="Cambria" w:cs="Cambria"/>
          <w:color w:val="231F20"/>
          <w:sz w:val="20"/>
          <w:szCs w:val="20"/>
        </w:rPr>
        <w:t xml:space="preserve">Comme </w:t>
      </w:r>
      <w:proofErr w:type="gramStart"/>
      <w:r w:rsidRPr="005B7169">
        <w:rPr>
          <w:rFonts w:ascii="Cambria" w:eastAsia="Cambria" w:hAnsi="Cambria" w:cs="Cambria"/>
          <w:color w:val="231F20"/>
          <w:sz w:val="20"/>
          <w:szCs w:val="20"/>
        </w:rPr>
        <w:t>suite au</w:t>
      </w:r>
      <w:proofErr w:type="gramEnd"/>
      <w:r w:rsidRPr="005B7169">
        <w:rPr>
          <w:rFonts w:ascii="Cambria" w:eastAsia="Cambria" w:hAnsi="Cambria" w:cs="Cambria"/>
          <w:color w:val="231F20"/>
          <w:sz w:val="20"/>
          <w:szCs w:val="20"/>
        </w:rPr>
        <w:t xml:space="preserve"> paragraphe 11, le SCRS devra examiner les nouvelles informations disponibles relatives à l’identification des périodes et des zones spécifiques de reproduction du thon rouge dans l’océan Atlantique Ouest, y compris les informations provenant des CPC qui capturent le thon rouge de l’Atlantique Ouest, et communiquer à la Commission les résultats de cet examen à des fins de considération. Les CPC concernées sont encouragées à travailler par l’intermédiaire du SCRS pour formuler un avis afin de gérer toute période identifiée et toute zone spécifique selon une approche de précaution</w:t>
      </w:r>
      <w:r w:rsidR="00A22E03" w:rsidRPr="005B7169">
        <w:rPr>
          <w:rFonts w:ascii="Cambria" w:eastAsia="Cambria" w:hAnsi="Cambria" w:cs="Cambria"/>
          <w:color w:val="231F20"/>
          <w:sz w:val="20"/>
          <w:szCs w:val="20"/>
        </w:rPr>
        <w:t>.</w:t>
      </w:r>
      <w:r w:rsidR="00A22E03" w:rsidRPr="005B7169">
        <w:rPr>
          <w:rFonts w:ascii="Cambria" w:eastAsia="Cambria" w:hAnsi="Cambria" w:cs="Cambria"/>
          <w:color w:val="231F20"/>
          <w:sz w:val="20"/>
          <w:szCs w:val="20"/>
          <w:u w:val="single"/>
        </w:rPr>
        <w:t xml:space="preserve"> L</w:t>
      </w:r>
      <w:r w:rsidRPr="005B7169">
        <w:rPr>
          <w:rFonts w:ascii="Cambria" w:eastAsia="Cambria" w:hAnsi="Cambria" w:cs="Cambria"/>
          <w:color w:val="231F20"/>
          <w:sz w:val="20"/>
          <w:szCs w:val="20"/>
          <w:u w:val="single"/>
        </w:rPr>
        <w:t>e</w:t>
      </w:r>
      <w:r w:rsidRPr="005B7169">
        <w:rPr>
          <w:rFonts w:ascii="Cambria" w:eastAsia="Cambria" w:hAnsi="Cambria" w:cs="Cambria"/>
          <w:color w:val="231F20"/>
          <w:sz w:val="20"/>
          <w:szCs w:val="20"/>
        </w:rPr>
        <w:t xml:space="preserve"> SCRS devra donner un avis sur l’efficacité de la restriction de la pêcherie dirigée dans le golfe du Mexique en vue de réduire la mortalité du thon rouge en âge de se reproduire.</w:t>
      </w:r>
    </w:p>
    <w:p w14:paraId="602DC26C" w14:textId="77777777" w:rsidR="002753FF" w:rsidRPr="005B7169" w:rsidRDefault="002753FF" w:rsidP="009D6FA2">
      <w:pPr>
        <w:ind w:left="426" w:hanging="426"/>
        <w:rPr>
          <w:rFonts w:ascii="Cambria" w:eastAsia="Cambria" w:hAnsi="Cambria" w:cs="Cambria"/>
          <w:sz w:val="20"/>
          <w:szCs w:val="20"/>
        </w:rPr>
      </w:pPr>
    </w:p>
    <w:p w14:paraId="568894C1" w14:textId="77777777" w:rsidR="002753FF" w:rsidRPr="005B7169" w:rsidRDefault="002753FF" w:rsidP="009D6FA2">
      <w:pPr>
        <w:widowControl w:val="0"/>
        <w:numPr>
          <w:ilvl w:val="0"/>
          <w:numId w:val="8"/>
        </w:numPr>
        <w:ind w:left="426" w:hanging="426"/>
        <w:jc w:val="both"/>
        <w:rPr>
          <w:rFonts w:ascii="Cambria" w:eastAsia="Cambria" w:hAnsi="Cambria" w:cs="Cambria"/>
          <w:sz w:val="20"/>
          <w:szCs w:val="20"/>
        </w:rPr>
      </w:pPr>
      <w:r w:rsidRPr="005B7169">
        <w:rPr>
          <w:rFonts w:ascii="Cambria" w:eastAsia="Cambria" w:hAnsi="Cambria" w:cs="Cambria"/>
          <w:color w:val="231F20"/>
          <w:sz w:val="20"/>
          <w:szCs w:val="20"/>
        </w:rPr>
        <w:t>Chaque CPC devra communiquer ses prises mensuelles provisoires de thon rouge. Ce rapport devra être adressé au Secrétariat de l’ICCAT dans les 30 jours suivant la fin du mois civil au cours duquel les prises ont été effectuées.</w:t>
      </w:r>
    </w:p>
    <w:p w14:paraId="50BFA30D" w14:textId="77777777" w:rsidR="002753FF" w:rsidRPr="005B7169" w:rsidRDefault="002753FF" w:rsidP="009D6FA2">
      <w:pPr>
        <w:ind w:left="426" w:hanging="426"/>
        <w:rPr>
          <w:rFonts w:ascii="Cambria" w:eastAsia="Cambria" w:hAnsi="Cambria" w:cs="Cambria"/>
          <w:sz w:val="20"/>
          <w:szCs w:val="20"/>
        </w:rPr>
      </w:pPr>
    </w:p>
    <w:p w14:paraId="62DF1BFD" w14:textId="77777777" w:rsidR="002753FF" w:rsidRPr="005B7169" w:rsidRDefault="002753FF" w:rsidP="009D6FA2">
      <w:pPr>
        <w:widowControl w:val="0"/>
        <w:numPr>
          <w:ilvl w:val="0"/>
          <w:numId w:val="8"/>
        </w:numPr>
        <w:ind w:left="426" w:hanging="426"/>
        <w:jc w:val="both"/>
        <w:rPr>
          <w:rFonts w:ascii="Cambria" w:eastAsia="Cambria" w:hAnsi="Cambria" w:cs="Cambria"/>
          <w:sz w:val="20"/>
          <w:szCs w:val="20"/>
        </w:rPr>
      </w:pPr>
      <w:r w:rsidRPr="005B7169">
        <w:rPr>
          <w:rFonts w:ascii="Cambria" w:eastAsia="Cambria" w:hAnsi="Cambria" w:cs="Cambria"/>
          <w:color w:val="231F20"/>
          <w:sz w:val="20"/>
          <w:szCs w:val="20"/>
        </w:rPr>
        <w:t>Le Secrétariat de l’ICCAT devra, dans les 10 jours suivant la date limite mensuelle pour la réception des statistiques de capture provisoires, recueillir les informations reçues et les diffuser aux CPC avec les statistiques de capture agrégées.</w:t>
      </w:r>
    </w:p>
    <w:p w14:paraId="244192D3" w14:textId="77777777" w:rsidR="002753FF" w:rsidRPr="005B7169" w:rsidRDefault="002753FF" w:rsidP="009D6FA2">
      <w:pPr>
        <w:pStyle w:val="ListParagraph"/>
        <w:ind w:left="426" w:hanging="426"/>
        <w:rPr>
          <w:rFonts w:ascii="Cambria" w:eastAsia="Cambria" w:hAnsi="Cambria" w:cs="Cambria"/>
          <w:sz w:val="20"/>
          <w:szCs w:val="20"/>
        </w:rPr>
      </w:pPr>
    </w:p>
    <w:p w14:paraId="622EEF83" w14:textId="77777777" w:rsidR="002753FF" w:rsidRPr="005B7169" w:rsidRDefault="002753FF" w:rsidP="009D6FA2">
      <w:pPr>
        <w:widowControl w:val="0"/>
        <w:numPr>
          <w:ilvl w:val="0"/>
          <w:numId w:val="8"/>
        </w:numPr>
        <w:ind w:left="426" w:hanging="426"/>
        <w:jc w:val="both"/>
        <w:rPr>
          <w:rFonts w:ascii="Cambria" w:eastAsia="Cambria" w:hAnsi="Cambria" w:cs="Cambria"/>
          <w:color w:val="231F20"/>
          <w:sz w:val="20"/>
          <w:szCs w:val="20"/>
        </w:rPr>
      </w:pPr>
      <w:r w:rsidRPr="005B7169">
        <w:rPr>
          <w:rFonts w:ascii="Cambria" w:eastAsia="Cambria" w:hAnsi="Cambria" w:cs="Cambria"/>
          <w:color w:val="231F20"/>
          <w:sz w:val="20"/>
          <w:szCs w:val="20"/>
        </w:rPr>
        <w:t xml:space="preserve">Toutes les CPC devront fournir les meilleures données disponibles pour l'évaluation du stock réalisée par le SCRS, y compris l'information sur les captures de la gamme </w:t>
      </w:r>
      <w:proofErr w:type="gramStart"/>
      <w:r w:rsidRPr="005B7169">
        <w:rPr>
          <w:rFonts w:ascii="Cambria" w:eastAsia="Cambria" w:hAnsi="Cambria" w:cs="Cambria"/>
          <w:color w:val="231F20"/>
          <w:sz w:val="20"/>
          <w:szCs w:val="20"/>
        </w:rPr>
        <w:t>la plus large possible</w:t>
      </w:r>
      <w:proofErr w:type="gramEnd"/>
      <w:r w:rsidRPr="005B7169">
        <w:rPr>
          <w:rFonts w:ascii="Cambria" w:eastAsia="Cambria" w:hAnsi="Cambria" w:cs="Cambria"/>
          <w:color w:val="231F20"/>
          <w:sz w:val="20"/>
          <w:szCs w:val="20"/>
        </w:rPr>
        <w:t xml:space="preserve"> de toutes les classes d'âge présentes dans leurs pêcheries, en tenant compte des restrictions de taille minimale.</w:t>
      </w:r>
    </w:p>
    <w:p w14:paraId="3DA7698E" w14:textId="77777777" w:rsidR="002753FF" w:rsidRPr="005B7169" w:rsidRDefault="002753FF" w:rsidP="009D6FA2">
      <w:pPr>
        <w:ind w:left="426"/>
        <w:jc w:val="both"/>
        <w:rPr>
          <w:rFonts w:ascii="Cambria" w:eastAsia="Cambria" w:hAnsi="Cambria" w:cs="Cambria"/>
          <w:color w:val="231F20"/>
          <w:sz w:val="20"/>
          <w:szCs w:val="20"/>
        </w:rPr>
      </w:pPr>
    </w:p>
    <w:p w14:paraId="5A894BD2" w14:textId="77777777" w:rsidR="002753FF" w:rsidRPr="005B7169" w:rsidRDefault="002753FF" w:rsidP="009D6FA2">
      <w:pPr>
        <w:widowControl w:val="0"/>
        <w:numPr>
          <w:ilvl w:val="0"/>
          <w:numId w:val="8"/>
        </w:numPr>
        <w:ind w:left="426" w:hanging="426"/>
        <w:jc w:val="both"/>
        <w:rPr>
          <w:rFonts w:ascii="Cambria" w:eastAsia="Cambria" w:hAnsi="Cambria" w:cs="Cambria"/>
          <w:sz w:val="20"/>
          <w:szCs w:val="20"/>
        </w:rPr>
      </w:pPr>
      <w:r w:rsidRPr="005B7169">
        <w:rPr>
          <w:rFonts w:ascii="Cambria" w:eastAsia="Cambria" w:hAnsi="Cambria" w:cs="Cambria"/>
          <w:color w:val="231F20"/>
          <w:sz w:val="20"/>
          <w:szCs w:val="20"/>
        </w:rPr>
        <w:t>Le SCRS devrait fournir une orientation sur une gamme de mesures de gestion relatives à la taille des poissons en ce qui concerne le thon rouge de l’Atlantique Ouest et sur leur impact sur les considérations de production par recrue et de reproduction par recrue.</w:t>
      </w:r>
      <w:r w:rsidRPr="005B7169">
        <w:rPr>
          <w:rFonts w:ascii="Cambria" w:hAnsi="Cambria"/>
          <w:sz w:val="20"/>
          <w:szCs w:val="20"/>
        </w:rPr>
        <w:t xml:space="preserve"> </w:t>
      </w:r>
      <w:r w:rsidRPr="005B7169">
        <w:rPr>
          <w:rFonts w:ascii="Cambria" w:eastAsia="Cambria" w:hAnsi="Cambria" w:cs="Cambria"/>
          <w:color w:val="231F20"/>
          <w:sz w:val="20"/>
          <w:szCs w:val="20"/>
        </w:rPr>
        <w:t>Le SCRS devrait également formuler des observations sur l’effet des mesures de gestion relatives à la taille des poissons sur sa capacité à contrôler l’état du stock.</w:t>
      </w:r>
    </w:p>
    <w:p w14:paraId="602E8BF5" w14:textId="77777777" w:rsidR="002753FF" w:rsidRPr="005B7169" w:rsidRDefault="002753FF" w:rsidP="009D6FA2">
      <w:pPr>
        <w:ind w:left="426" w:right="129" w:hanging="426"/>
        <w:jc w:val="both"/>
        <w:rPr>
          <w:rFonts w:ascii="Cambria" w:eastAsia="Cambria" w:hAnsi="Cambria" w:cs="Cambria"/>
          <w:sz w:val="20"/>
          <w:szCs w:val="20"/>
        </w:rPr>
      </w:pPr>
    </w:p>
    <w:p w14:paraId="7972FFCC" w14:textId="4D3EC64A" w:rsidR="00A22E03" w:rsidRPr="005B7169" w:rsidRDefault="002753FF" w:rsidP="009D6FA2">
      <w:pPr>
        <w:widowControl w:val="0"/>
        <w:numPr>
          <w:ilvl w:val="0"/>
          <w:numId w:val="8"/>
        </w:numPr>
        <w:ind w:left="426" w:hanging="426"/>
        <w:jc w:val="both"/>
        <w:rPr>
          <w:rFonts w:ascii="Cambria" w:eastAsia="Cambria" w:hAnsi="Cambria" w:cs="Cambria"/>
          <w:sz w:val="20"/>
          <w:szCs w:val="20"/>
          <w:u w:val="single"/>
        </w:rPr>
      </w:pPr>
      <w:r w:rsidRPr="005B7169">
        <w:rPr>
          <w:rFonts w:ascii="Cambria" w:eastAsia="Cambria" w:hAnsi="Cambria" w:cs="Cambria"/>
          <w:color w:val="231F20"/>
          <w:sz w:val="20"/>
          <w:szCs w:val="20"/>
        </w:rPr>
        <w:t xml:space="preserve">La présente Recommandation abroge et remplace la </w:t>
      </w:r>
      <w:r w:rsidR="00A22E03" w:rsidRPr="005B7169">
        <w:rPr>
          <w:rFonts w:ascii="Cambria" w:eastAsia="Cambria" w:hAnsi="Cambria" w:cs="Cambria"/>
          <w:i/>
          <w:iCs/>
          <w:sz w:val="20"/>
          <w:szCs w:val="20"/>
          <w:u w:val="single"/>
        </w:rPr>
        <w:t>Recommandation de l’ICCAT concernant un plan de conservation et de gestion du thon rouge de l’Atlantique Ouest</w:t>
      </w:r>
      <w:r w:rsidR="00A22E03" w:rsidRPr="005B7169">
        <w:rPr>
          <w:rFonts w:ascii="Cambria" w:eastAsia="Cambria" w:hAnsi="Cambria" w:cs="Cambria"/>
          <w:sz w:val="20"/>
          <w:szCs w:val="20"/>
          <w:u w:val="single"/>
        </w:rPr>
        <w:t xml:space="preserve"> (Rec. 22-10)</w:t>
      </w:r>
      <w:r w:rsidR="00BB3462" w:rsidRPr="005B7169">
        <w:rPr>
          <w:rFonts w:ascii="Cambria" w:eastAsia="Cambria" w:hAnsi="Cambria" w:cs="Cambria"/>
          <w:sz w:val="20"/>
          <w:szCs w:val="20"/>
          <w:u w:val="single"/>
        </w:rPr>
        <w:t>.</w:t>
      </w:r>
    </w:p>
    <w:sectPr w:rsidR="00A22E03" w:rsidRPr="005B7169" w:rsidSect="00D20D32">
      <w:headerReference w:type="default" r:id="rId9"/>
      <w:footerReference w:type="default" r:id="rId10"/>
      <w:pgSz w:w="11906" w:h="16838" w:code="9"/>
      <w:pgMar w:top="1418" w:right="1418" w:bottom="1418" w:left="1418" w:header="851"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60AB25" w14:textId="77777777" w:rsidR="001054E9" w:rsidRDefault="001054E9" w:rsidP="00F35FE1">
      <w:r>
        <w:separator/>
      </w:r>
    </w:p>
  </w:endnote>
  <w:endnote w:type="continuationSeparator" w:id="0">
    <w:p w14:paraId="4C9F55B8" w14:textId="77777777" w:rsidR="001054E9" w:rsidRDefault="001054E9" w:rsidP="00F35FE1">
      <w:r>
        <w:continuationSeparator/>
      </w:r>
    </w:p>
  </w:endnote>
  <w:endnote w:type="continuationNotice" w:id="1">
    <w:p w14:paraId="31624599" w14:textId="77777777" w:rsidR="001054E9" w:rsidRDefault="001054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cam">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10cpi">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Droid Sans Fallback">
    <w:altName w:val="Times New Roman"/>
    <w:panose1 w:val="00000000000000000000"/>
    <w:charset w:val="00"/>
    <w:family w:val="roman"/>
    <w:notTrueType/>
    <w:pitch w:val="default"/>
  </w:font>
  <w:font w:name="Lohit Hindi">
    <w:altName w:val="Cambria"/>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5D965" w14:textId="77777777" w:rsidR="00713AD4" w:rsidRPr="00713AD4" w:rsidRDefault="005B7169" w:rsidP="00713AD4">
    <w:pPr>
      <w:tabs>
        <w:tab w:val="center" w:pos="4535"/>
        <w:tab w:val="center" w:pos="4680"/>
        <w:tab w:val="left" w:pos="6150"/>
        <w:tab w:val="right" w:pos="9360"/>
      </w:tabs>
      <w:jc w:val="center"/>
      <w:rPr>
        <w:rFonts w:ascii="Cambria" w:eastAsia="Calibri" w:hAnsi="Cambria" w:cs="Calibri"/>
        <w:sz w:val="20"/>
        <w:szCs w:val="22"/>
      </w:rPr>
    </w:pPr>
    <w:sdt>
      <w:sdtPr>
        <w:rPr>
          <w:rFonts w:ascii="Calibri" w:eastAsia="Calibri" w:hAnsi="Calibri" w:cs="Calibri"/>
          <w:sz w:val="20"/>
          <w:szCs w:val="20"/>
        </w:rPr>
        <w:id w:val="810910487"/>
        <w:docPartObj>
          <w:docPartGallery w:val="Page Numbers (Top of Page)"/>
          <w:docPartUnique/>
        </w:docPartObj>
      </w:sdtPr>
      <w:sdtEndPr/>
      <w:sdtContent>
        <w:r w:rsidR="00713AD4" w:rsidRPr="00713AD4">
          <w:rPr>
            <w:rFonts w:ascii="Cambria" w:eastAsia="Calibri" w:hAnsi="Cambria" w:cs="Calibri"/>
            <w:sz w:val="20"/>
          </w:rPr>
          <w:fldChar w:fldCharType="begin"/>
        </w:r>
        <w:r w:rsidR="00713AD4" w:rsidRPr="00713AD4">
          <w:rPr>
            <w:rFonts w:ascii="Cambria" w:eastAsia="Calibri" w:hAnsi="Cambria" w:cs="Calibri"/>
            <w:sz w:val="20"/>
          </w:rPr>
          <w:instrText xml:space="preserve"> PAGE </w:instrText>
        </w:r>
        <w:r w:rsidR="00713AD4" w:rsidRPr="00713AD4">
          <w:rPr>
            <w:rFonts w:ascii="Cambria" w:eastAsia="Calibri" w:hAnsi="Cambria" w:cs="Calibri"/>
            <w:sz w:val="20"/>
          </w:rPr>
          <w:fldChar w:fldCharType="separate"/>
        </w:r>
        <w:r w:rsidR="00713AD4" w:rsidRPr="00713AD4">
          <w:rPr>
            <w:rFonts w:ascii="Calibri" w:eastAsia="Calibri" w:hAnsi="Calibri" w:cs="Calibri"/>
            <w:sz w:val="20"/>
          </w:rPr>
          <w:t>1</w:t>
        </w:r>
        <w:r w:rsidR="00713AD4" w:rsidRPr="00713AD4">
          <w:rPr>
            <w:rFonts w:ascii="Cambria" w:eastAsia="Calibri" w:hAnsi="Cambria" w:cs="Calibri"/>
            <w:sz w:val="20"/>
          </w:rPr>
          <w:fldChar w:fldCharType="end"/>
        </w:r>
        <w:r w:rsidR="001054E9">
          <w:rPr>
            <w:rFonts w:ascii="Cambria" w:hAnsi="Cambria"/>
            <w:sz w:val="20"/>
          </w:rPr>
          <w:t xml:space="preserve"> / </w:t>
        </w:r>
        <w:r w:rsidR="00713AD4" w:rsidRPr="00713AD4">
          <w:rPr>
            <w:rFonts w:ascii="Cambria" w:eastAsia="Calibri" w:hAnsi="Cambria" w:cs="Calibri"/>
            <w:sz w:val="20"/>
          </w:rPr>
          <w:fldChar w:fldCharType="begin"/>
        </w:r>
        <w:r w:rsidR="00713AD4" w:rsidRPr="00713AD4">
          <w:rPr>
            <w:rFonts w:ascii="Cambria" w:eastAsia="Calibri" w:hAnsi="Cambria" w:cs="Calibri"/>
            <w:sz w:val="20"/>
          </w:rPr>
          <w:instrText xml:space="preserve"> NUMPAGES  </w:instrText>
        </w:r>
        <w:r w:rsidR="00713AD4" w:rsidRPr="00713AD4">
          <w:rPr>
            <w:rFonts w:ascii="Cambria" w:eastAsia="Calibri" w:hAnsi="Cambria" w:cs="Calibri"/>
            <w:sz w:val="20"/>
          </w:rPr>
          <w:fldChar w:fldCharType="separate"/>
        </w:r>
        <w:r w:rsidR="00713AD4" w:rsidRPr="00713AD4">
          <w:rPr>
            <w:rFonts w:ascii="Calibri" w:eastAsia="Calibri" w:hAnsi="Calibri" w:cs="Calibri"/>
            <w:sz w:val="20"/>
          </w:rPr>
          <w:t>1</w:t>
        </w:r>
        <w:r w:rsidR="00713AD4" w:rsidRPr="00713AD4">
          <w:rPr>
            <w:rFonts w:ascii="Cambria" w:eastAsia="Calibri" w:hAnsi="Cambria" w:cs="Calibri"/>
            <w:sz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C04610" w14:textId="77777777" w:rsidR="001054E9" w:rsidRDefault="001054E9" w:rsidP="00F35FE1">
      <w:r>
        <w:separator/>
      </w:r>
    </w:p>
  </w:footnote>
  <w:footnote w:type="continuationSeparator" w:id="0">
    <w:p w14:paraId="39BD10B2" w14:textId="77777777" w:rsidR="001054E9" w:rsidRDefault="001054E9" w:rsidP="00F35FE1">
      <w:r>
        <w:continuationSeparator/>
      </w:r>
    </w:p>
  </w:footnote>
  <w:footnote w:type="continuationNotice" w:id="1">
    <w:p w14:paraId="2D79A8E1" w14:textId="77777777" w:rsidR="001054E9" w:rsidRDefault="001054E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DF579" w14:textId="33F18932" w:rsidR="00793F38" w:rsidRPr="00793F38" w:rsidRDefault="00187B0E" w:rsidP="00793F38">
    <w:pPr>
      <w:tabs>
        <w:tab w:val="center" w:pos="4680"/>
        <w:tab w:val="left" w:pos="6520"/>
        <w:tab w:val="right" w:pos="9360"/>
        <w:tab w:val="right" w:pos="14240"/>
      </w:tabs>
      <w:jc w:val="right"/>
      <w:rPr>
        <w:rFonts w:ascii="Cambria" w:eastAsia="Calibri" w:hAnsi="Cambria"/>
        <w:b/>
        <w:bCs/>
        <w:sz w:val="20"/>
        <w:szCs w:val="20"/>
      </w:rPr>
    </w:pPr>
    <w:bookmarkStart w:id="3" w:name="_Hlk107908354"/>
    <w:bookmarkStart w:id="4" w:name="_Hlk107908355"/>
    <w:bookmarkStart w:id="5" w:name="_Hlk107908359"/>
    <w:bookmarkStart w:id="6" w:name="_Hlk107908360"/>
    <w:bookmarkStart w:id="7" w:name="_Hlk107908361"/>
    <w:bookmarkStart w:id="8" w:name="_Hlk107908362"/>
    <w:r>
      <w:rPr>
        <w:rFonts w:ascii="Cambria" w:hAnsi="Cambria"/>
        <w:b/>
        <w:sz w:val="20"/>
      </w:rPr>
      <w:t>PA2_6</w:t>
    </w:r>
    <w:r w:rsidR="007634D4">
      <w:rPr>
        <w:rFonts w:ascii="Cambria" w:hAnsi="Cambria"/>
        <w:b/>
        <w:sz w:val="20"/>
      </w:rPr>
      <w:t>16</w:t>
    </w:r>
    <w:r>
      <w:rPr>
        <w:rFonts w:ascii="Cambria" w:hAnsi="Cambria"/>
        <w:b/>
        <w:sz w:val="20"/>
      </w:rPr>
      <w:t>/2025</w:t>
    </w:r>
  </w:p>
  <w:p w14:paraId="41BF1EAA" w14:textId="4D1B7978" w:rsidR="00793F38" w:rsidRPr="00793F38" w:rsidRDefault="00793F38" w:rsidP="00793F38">
    <w:pPr>
      <w:tabs>
        <w:tab w:val="left" w:pos="7320"/>
      </w:tabs>
      <w:spacing w:line="240" w:lineRule="exact"/>
      <w:jc w:val="right"/>
      <w:rPr>
        <w:rFonts w:ascii="Cambria" w:hAnsi="Cambria"/>
        <w:b/>
        <w:bCs/>
        <w:sz w:val="16"/>
        <w:szCs w:val="16"/>
      </w:rPr>
    </w:pPr>
    <w:r w:rsidRPr="00793F38">
      <w:rPr>
        <w:rFonts w:ascii="Cambria" w:hAnsi="Cambria"/>
        <w:b/>
        <w:sz w:val="16"/>
      </w:rPr>
      <w:fldChar w:fldCharType="begin"/>
    </w:r>
    <w:r w:rsidRPr="00793F38">
      <w:rPr>
        <w:rFonts w:ascii="Cambria" w:hAnsi="Cambria"/>
        <w:b/>
        <w:sz w:val="16"/>
      </w:rPr>
      <w:instrText xml:space="preserve"> TIME \@ "dd/MM/yyyy H:mm" </w:instrText>
    </w:r>
    <w:r w:rsidRPr="00793F38">
      <w:rPr>
        <w:rFonts w:ascii="Cambria" w:hAnsi="Cambria"/>
        <w:b/>
        <w:sz w:val="16"/>
      </w:rPr>
      <w:fldChar w:fldCharType="separate"/>
    </w:r>
    <w:r w:rsidR="00237C70">
      <w:rPr>
        <w:rFonts w:ascii="Cambria" w:hAnsi="Cambria"/>
        <w:b/>
        <w:noProof/>
        <w:sz w:val="16"/>
      </w:rPr>
      <w:t>11/11/2025 11:36</w:t>
    </w:r>
    <w:r w:rsidRPr="00793F38">
      <w:rPr>
        <w:rFonts w:ascii="Cambria" w:hAnsi="Cambria"/>
        <w:b/>
        <w:bCs/>
        <w:sz w:val="16"/>
        <w:szCs w:val="16"/>
        <w:lang w:val="es-ES_tradnl"/>
      </w:rPr>
      <w:fldChar w:fldCharType="end"/>
    </w:r>
    <w:bookmarkEnd w:id="3"/>
    <w:bookmarkEnd w:id="4"/>
    <w:bookmarkEnd w:id="5"/>
    <w:bookmarkEnd w:id="6"/>
    <w:bookmarkEnd w:id="7"/>
    <w:bookmarkEnd w:id="8"/>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147A6"/>
    <w:multiLevelType w:val="multilevel"/>
    <w:tmpl w:val="0409001F"/>
    <w:lvl w:ilvl="0">
      <w:start w:val="1"/>
      <w:numFmt w:val="decimal"/>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9B50CBF"/>
    <w:multiLevelType w:val="singleLevel"/>
    <w:tmpl w:val="5412BA02"/>
    <w:name w:val="Bullet 17"/>
    <w:lvl w:ilvl="0">
      <w:numFmt w:val="bullet"/>
      <w:lvlText w:val="-"/>
      <w:lvlJc w:val="left"/>
      <w:pPr>
        <w:ind w:left="0" w:firstLine="0"/>
      </w:pPr>
      <w:rPr>
        <w:rFonts w:ascii="Calibri" w:eastAsia="Calibri" w:hAnsi="Calibri" w:cs="Calibri"/>
      </w:rPr>
    </w:lvl>
  </w:abstractNum>
  <w:abstractNum w:abstractNumId="2" w15:restartNumberingAfterBreak="0">
    <w:nsid w:val="0DE841C0"/>
    <w:multiLevelType w:val="multilevel"/>
    <w:tmpl w:val="D8DE55F0"/>
    <w:lvl w:ilvl="0">
      <w:start w:val="1"/>
      <w:numFmt w:val="decimal"/>
      <w:lvlText w:val="%1."/>
      <w:lvlJc w:val="left"/>
      <w:pPr>
        <w:ind w:left="780" w:hanging="420"/>
      </w:pPr>
      <w:rPr>
        <w:rFonts w:hint="default"/>
      </w:rPr>
    </w:lvl>
    <w:lvl w:ilvl="1">
      <w:start w:val="1"/>
      <w:numFmt w:val="decimal"/>
      <w:isLgl/>
      <w:lvlText w:val="%1.%2"/>
      <w:lvlJc w:val="left"/>
      <w:pPr>
        <w:ind w:left="861" w:hanging="435"/>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 w15:restartNumberingAfterBreak="0">
    <w:nsid w:val="16C65A1C"/>
    <w:multiLevelType w:val="multilevel"/>
    <w:tmpl w:val="5E50BCB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2207175F"/>
    <w:multiLevelType w:val="multilevel"/>
    <w:tmpl w:val="B120BA10"/>
    <w:lvl w:ilvl="0">
      <w:start w:val="12"/>
      <w:numFmt w:val="decimal"/>
      <w:lvlText w:val="%1"/>
      <w:lvlJc w:val="left"/>
      <w:pPr>
        <w:ind w:left="377" w:hanging="377"/>
      </w:pPr>
      <w:rPr>
        <w:rFonts w:ascii="Ccam" w:hAnsi="Ccam" w:hint="default"/>
      </w:rPr>
    </w:lvl>
    <w:lvl w:ilvl="1">
      <w:start w:val="1"/>
      <w:numFmt w:val="decimal"/>
      <w:lvlText w:val="%1.%2"/>
      <w:lvlJc w:val="left"/>
      <w:pPr>
        <w:ind w:left="377" w:hanging="377"/>
      </w:pPr>
      <w:rPr>
        <w:rFonts w:ascii="Ccam" w:hAnsi="Ccam" w:hint="default"/>
      </w:rPr>
    </w:lvl>
    <w:lvl w:ilvl="2">
      <w:start w:val="1"/>
      <w:numFmt w:val="decimal"/>
      <w:lvlText w:val="%1.%2.%3"/>
      <w:lvlJc w:val="left"/>
      <w:pPr>
        <w:ind w:left="720" w:hanging="720"/>
      </w:pPr>
      <w:rPr>
        <w:rFonts w:ascii="Ccam" w:hAnsi="Ccam" w:hint="default"/>
      </w:rPr>
    </w:lvl>
    <w:lvl w:ilvl="3">
      <w:start w:val="1"/>
      <w:numFmt w:val="decimal"/>
      <w:lvlText w:val="%1.%2.%3.%4"/>
      <w:lvlJc w:val="left"/>
      <w:pPr>
        <w:ind w:left="720" w:hanging="720"/>
      </w:pPr>
      <w:rPr>
        <w:rFonts w:ascii="Ccam" w:hAnsi="Ccam" w:hint="default"/>
      </w:rPr>
    </w:lvl>
    <w:lvl w:ilvl="4">
      <w:start w:val="1"/>
      <w:numFmt w:val="decimal"/>
      <w:lvlText w:val="%1.%2.%3.%4.%5"/>
      <w:lvlJc w:val="left"/>
      <w:pPr>
        <w:ind w:left="1080" w:hanging="1080"/>
      </w:pPr>
      <w:rPr>
        <w:rFonts w:ascii="Ccam" w:hAnsi="Ccam" w:hint="default"/>
      </w:rPr>
    </w:lvl>
    <w:lvl w:ilvl="5">
      <w:start w:val="1"/>
      <w:numFmt w:val="decimal"/>
      <w:lvlText w:val="%1.%2.%3.%4.%5.%6"/>
      <w:lvlJc w:val="left"/>
      <w:pPr>
        <w:ind w:left="1080" w:hanging="1080"/>
      </w:pPr>
      <w:rPr>
        <w:rFonts w:ascii="Ccam" w:hAnsi="Ccam" w:hint="default"/>
      </w:rPr>
    </w:lvl>
    <w:lvl w:ilvl="6">
      <w:start w:val="1"/>
      <w:numFmt w:val="decimal"/>
      <w:lvlText w:val="%1.%2.%3.%4.%5.%6.%7"/>
      <w:lvlJc w:val="left"/>
      <w:pPr>
        <w:ind w:left="1440" w:hanging="1440"/>
      </w:pPr>
      <w:rPr>
        <w:rFonts w:ascii="Ccam" w:hAnsi="Ccam" w:hint="default"/>
      </w:rPr>
    </w:lvl>
    <w:lvl w:ilvl="7">
      <w:start w:val="1"/>
      <w:numFmt w:val="decimal"/>
      <w:lvlText w:val="%1.%2.%3.%4.%5.%6.%7.%8"/>
      <w:lvlJc w:val="left"/>
      <w:pPr>
        <w:ind w:left="1440" w:hanging="1440"/>
      </w:pPr>
      <w:rPr>
        <w:rFonts w:ascii="Ccam" w:hAnsi="Ccam" w:hint="default"/>
      </w:rPr>
    </w:lvl>
    <w:lvl w:ilvl="8">
      <w:start w:val="1"/>
      <w:numFmt w:val="decimal"/>
      <w:lvlText w:val="%1.%2.%3.%4.%5.%6.%7.%8.%9"/>
      <w:lvlJc w:val="left"/>
      <w:pPr>
        <w:ind w:left="1800" w:hanging="1800"/>
      </w:pPr>
      <w:rPr>
        <w:rFonts w:ascii="Ccam" w:hAnsi="Ccam" w:hint="default"/>
      </w:rPr>
    </w:lvl>
  </w:abstractNum>
  <w:abstractNum w:abstractNumId="5" w15:restartNumberingAfterBreak="0">
    <w:nsid w:val="34252C8A"/>
    <w:multiLevelType w:val="hybridMultilevel"/>
    <w:tmpl w:val="FDA430DA"/>
    <w:lvl w:ilvl="0" w:tplc="BF92E7B8">
      <w:start w:val="1"/>
      <w:numFmt w:val="lowerLetter"/>
      <w:lvlText w:val="%1)"/>
      <w:lvlJc w:val="left"/>
      <w:pPr>
        <w:ind w:left="720" w:hanging="360"/>
      </w:pPr>
      <w:rPr>
        <w:rFonts w:eastAsia="Calibri" w:cs="Calibri" w:hint="default"/>
        <w:color w:val="231F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7112AF"/>
    <w:multiLevelType w:val="multilevel"/>
    <w:tmpl w:val="82104060"/>
    <w:lvl w:ilvl="0">
      <w:start w:val="1"/>
      <w:numFmt w:val="decimal"/>
      <w:lvlText w:val="%1."/>
      <w:lvlJc w:val="left"/>
      <w:pPr>
        <w:ind w:left="7347" w:hanging="401"/>
      </w:pPr>
      <w:rPr>
        <w:rFonts w:ascii="Cambria" w:eastAsia="Cambria" w:hAnsi="Cambria" w:cs="Cambria"/>
        <w:b w:val="0"/>
        <w:bCs/>
        <w:i w:val="0"/>
        <w:strike w:val="0"/>
        <w:color w:val="231F20"/>
        <w:sz w:val="20"/>
        <w:szCs w:val="20"/>
      </w:rPr>
    </w:lvl>
    <w:lvl w:ilvl="1">
      <w:start w:val="1"/>
      <w:numFmt w:val="lowerLetter"/>
      <w:lvlText w:val="(%2)"/>
      <w:lvlJc w:val="left"/>
      <w:pPr>
        <w:ind w:left="797" w:hanging="268"/>
      </w:pPr>
      <w:rPr>
        <w:rFonts w:ascii="Cambria" w:eastAsia="Cambria" w:hAnsi="Cambria" w:cs="Cambria"/>
        <w:color w:val="231F20"/>
        <w:sz w:val="20"/>
        <w:szCs w:val="20"/>
        <w:u w:val="none"/>
      </w:rPr>
    </w:lvl>
    <w:lvl w:ilvl="2">
      <w:start w:val="1"/>
      <w:numFmt w:val="bullet"/>
      <w:lvlText w:val="•"/>
      <w:lvlJc w:val="left"/>
      <w:pPr>
        <w:ind w:left="797" w:hanging="268"/>
      </w:pPr>
    </w:lvl>
    <w:lvl w:ilvl="3">
      <w:start w:val="1"/>
      <w:numFmt w:val="bullet"/>
      <w:lvlText w:val="•"/>
      <w:lvlJc w:val="left"/>
      <w:pPr>
        <w:ind w:left="1797" w:hanging="268"/>
      </w:pPr>
    </w:lvl>
    <w:lvl w:ilvl="4">
      <w:start w:val="1"/>
      <w:numFmt w:val="bullet"/>
      <w:lvlText w:val="•"/>
      <w:lvlJc w:val="left"/>
      <w:pPr>
        <w:ind w:left="2798" w:hanging="268"/>
      </w:pPr>
    </w:lvl>
    <w:lvl w:ilvl="5">
      <w:start w:val="1"/>
      <w:numFmt w:val="bullet"/>
      <w:lvlText w:val="•"/>
      <w:lvlJc w:val="left"/>
      <w:pPr>
        <w:ind w:left="3798" w:hanging="268"/>
      </w:pPr>
    </w:lvl>
    <w:lvl w:ilvl="6">
      <w:start w:val="1"/>
      <w:numFmt w:val="bullet"/>
      <w:lvlText w:val="•"/>
      <w:lvlJc w:val="left"/>
      <w:pPr>
        <w:ind w:left="4798" w:hanging="268"/>
      </w:pPr>
    </w:lvl>
    <w:lvl w:ilvl="7">
      <w:start w:val="1"/>
      <w:numFmt w:val="bullet"/>
      <w:lvlText w:val="•"/>
      <w:lvlJc w:val="left"/>
      <w:pPr>
        <w:ind w:left="5799" w:hanging="268"/>
      </w:pPr>
    </w:lvl>
    <w:lvl w:ilvl="8">
      <w:start w:val="1"/>
      <w:numFmt w:val="bullet"/>
      <w:lvlText w:val="•"/>
      <w:lvlJc w:val="left"/>
      <w:pPr>
        <w:ind w:left="6799" w:hanging="268"/>
      </w:pPr>
    </w:lvl>
  </w:abstractNum>
  <w:abstractNum w:abstractNumId="7" w15:restartNumberingAfterBreak="0">
    <w:nsid w:val="35316726"/>
    <w:multiLevelType w:val="hybridMultilevel"/>
    <w:tmpl w:val="FDA430DA"/>
    <w:lvl w:ilvl="0" w:tplc="FFFFFFFF">
      <w:start w:val="1"/>
      <w:numFmt w:val="lowerLetter"/>
      <w:lvlText w:val="%1)"/>
      <w:lvlJc w:val="left"/>
      <w:pPr>
        <w:ind w:left="720" w:hanging="360"/>
      </w:pPr>
      <w:rPr>
        <w:rFonts w:eastAsia="Calibri" w:cs="Calibri" w:hint="default"/>
        <w:color w:val="231F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E0807DA"/>
    <w:multiLevelType w:val="singleLevel"/>
    <w:tmpl w:val="AF2CBF6C"/>
    <w:name w:val="Numbered list 1"/>
    <w:lvl w:ilvl="0">
      <w:numFmt w:val="bullet"/>
      <w:lvlText w:val="-"/>
      <w:lvlJc w:val="left"/>
      <w:pPr>
        <w:ind w:left="0" w:firstLine="0"/>
      </w:pPr>
      <w:rPr>
        <w:rFonts w:ascii="Cambria" w:hAnsi="Cambria"/>
      </w:rPr>
    </w:lvl>
  </w:abstractNum>
  <w:abstractNum w:abstractNumId="9" w15:restartNumberingAfterBreak="0">
    <w:nsid w:val="42A577B4"/>
    <w:multiLevelType w:val="hybridMultilevel"/>
    <w:tmpl w:val="3B02142E"/>
    <w:lvl w:ilvl="0" w:tplc="37EE17AA">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0C2DA0"/>
    <w:multiLevelType w:val="multilevel"/>
    <w:tmpl w:val="4126C66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6622F1D"/>
    <w:multiLevelType w:val="hybridMultilevel"/>
    <w:tmpl w:val="C1323198"/>
    <w:lvl w:ilvl="0" w:tplc="189C7B38">
      <w:start w:val="1"/>
      <w:numFmt w:val="decimal"/>
      <w:lvlText w:val="%1."/>
      <w:lvlJc w:val="left"/>
      <w:pPr>
        <w:ind w:left="620" w:hanging="394"/>
      </w:pPr>
      <w:rPr>
        <w:rFonts w:hint="default"/>
        <w:color w:val="auto"/>
        <w:spacing w:val="0"/>
        <w:w w:val="100"/>
        <w:lang w:val="en-US" w:eastAsia="en-US" w:bidi="ar-SA"/>
      </w:rPr>
    </w:lvl>
    <w:lvl w:ilvl="1" w:tplc="0F1C14B4">
      <w:numFmt w:val="bullet"/>
      <w:lvlText w:val="•"/>
      <w:lvlJc w:val="left"/>
      <w:pPr>
        <w:ind w:left="1479" w:hanging="394"/>
      </w:pPr>
      <w:rPr>
        <w:rFonts w:hint="default"/>
        <w:lang w:val="en-US" w:eastAsia="en-US" w:bidi="ar-SA"/>
      </w:rPr>
    </w:lvl>
    <w:lvl w:ilvl="2" w:tplc="B734CC64">
      <w:numFmt w:val="bullet"/>
      <w:lvlText w:val="•"/>
      <w:lvlJc w:val="left"/>
      <w:pPr>
        <w:ind w:left="2338" w:hanging="394"/>
      </w:pPr>
      <w:rPr>
        <w:rFonts w:hint="default"/>
        <w:lang w:val="en-US" w:eastAsia="en-US" w:bidi="ar-SA"/>
      </w:rPr>
    </w:lvl>
    <w:lvl w:ilvl="3" w:tplc="9970F06E">
      <w:numFmt w:val="bullet"/>
      <w:lvlText w:val="•"/>
      <w:lvlJc w:val="left"/>
      <w:pPr>
        <w:ind w:left="3198" w:hanging="394"/>
      </w:pPr>
      <w:rPr>
        <w:rFonts w:hint="default"/>
        <w:lang w:val="en-US" w:eastAsia="en-US" w:bidi="ar-SA"/>
      </w:rPr>
    </w:lvl>
    <w:lvl w:ilvl="4" w:tplc="4B60092C">
      <w:numFmt w:val="bullet"/>
      <w:lvlText w:val="•"/>
      <w:lvlJc w:val="left"/>
      <w:pPr>
        <w:ind w:left="4057" w:hanging="394"/>
      </w:pPr>
      <w:rPr>
        <w:rFonts w:hint="default"/>
        <w:lang w:val="en-US" w:eastAsia="en-US" w:bidi="ar-SA"/>
      </w:rPr>
    </w:lvl>
    <w:lvl w:ilvl="5" w:tplc="5D0E803C">
      <w:numFmt w:val="bullet"/>
      <w:lvlText w:val="•"/>
      <w:lvlJc w:val="left"/>
      <w:pPr>
        <w:ind w:left="4917" w:hanging="394"/>
      </w:pPr>
      <w:rPr>
        <w:rFonts w:hint="default"/>
        <w:lang w:val="en-US" w:eastAsia="en-US" w:bidi="ar-SA"/>
      </w:rPr>
    </w:lvl>
    <w:lvl w:ilvl="6" w:tplc="0DEEC25C">
      <w:numFmt w:val="bullet"/>
      <w:lvlText w:val="•"/>
      <w:lvlJc w:val="left"/>
      <w:pPr>
        <w:ind w:left="5776" w:hanging="394"/>
      </w:pPr>
      <w:rPr>
        <w:rFonts w:hint="default"/>
        <w:lang w:val="en-US" w:eastAsia="en-US" w:bidi="ar-SA"/>
      </w:rPr>
    </w:lvl>
    <w:lvl w:ilvl="7" w:tplc="FBF0AB6C">
      <w:numFmt w:val="bullet"/>
      <w:lvlText w:val="•"/>
      <w:lvlJc w:val="left"/>
      <w:pPr>
        <w:ind w:left="6636" w:hanging="394"/>
      </w:pPr>
      <w:rPr>
        <w:rFonts w:hint="default"/>
        <w:lang w:val="en-US" w:eastAsia="en-US" w:bidi="ar-SA"/>
      </w:rPr>
    </w:lvl>
    <w:lvl w:ilvl="8" w:tplc="CABE9172">
      <w:numFmt w:val="bullet"/>
      <w:lvlText w:val="•"/>
      <w:lvlJc w:val="left"/>
      <w:pPr>
        <w:ind w:left="7495" w:hanging="394"/>
      </w:pPr>
      <w:rPr>
        <w:rFonts w:hint="default"/>
        <w:lang w:val="en-US" w:eastAsia="en-US" w:bidi="ar-SA"/>
      </w:rPr>
    </w:lvl>
  </w:abstractNum>
  <w:abstractNum w:abstractNumId="12" w15:restartNumberingAfterBreak="0">
    <w:nsid w:val="69E416C0"/>
    <w:multiLevelType w:val="hybridMultilevel"/>
    <w:tmpl w:val="40186292"/>
    <w:lvl w:ilvl="0" w:tplc="B8FAFD4E">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43909CD"/>
    <w:multiLevelType w:val="hybridMultilevel"/>
    <w:tmpl w:val="44AAC21C"/>
    <w:lvl w:ilvl="0" w:tplc="3DECE2F4">
      <w:start w:val="1"/>
      <w:numFmt w:val="bullet"/>
      <w:lvlText w:val="-"/>
      <w:lvlJc w:val="left"/>
      <w:pPr>
        <w:ind w:left="1146" w:hanging="360"/>
      </w:pPr>
      <w:rPr>
        <w:rFonts w:ascii="Cambria" w:hAnsi="Cambria" w:hint="default"/>
      </w:rPr>
    </w:lvl>
    <w:lvl w:ilvl="1" w:tplc="04090003">
      <w:start w:val="1"/>
      <w:numFmt w:val="bullet"/>
      <w:lvlText w:val="o"/>
      <w:lvlJc w:val="left"/>
      <w:pPr>
        <w:ind w:left="1866" w:hanging="360"/>
      </w:pPr>
      <w:rPr>
        <w:rFonts w:ascii="Courier New" w:hAnsi="Courier New" w:cs="Courier New" w:hint="default"/>
      </w:rPr>
    </w:lvl>
    <w:lvl w:ilvl="2" w:tplc="04090005">
      <w:start w:val="1"/>
      <w:numFmt w:val="bullet"/>
      <w:lvlText w:val=""/>
      <w:lvlJc w:val="left"/>
      <w:pPr>
        <w:ind w:left="2586" w:hanging="360"/>
      </w:pPr>
      <w:rPr>
        <w:rFonts w:ascii="Wingdings" w:hAnsi="Wingdings" w:hint="default"/>
      </w:rPr>
    </w:lvl>
    <w:lvl w:ilvl="3" w:tplc="04090001">
      <w:start w:val="1"/>
      <w:numFmt w:val="bullet"/>
      <w:lvlText w:val=""/>
      <w:lvlJc w:val="left"/>
      <w:pPr>
        <w:ind w:left="3306" w:hanging="360"/>
      </w:pPr>
      <w:rPr>
        <w:rFonts w:ascii="Symbol" w:hAnsi="Symbol" w:hint="default"/>
      </w:rPr>
    </w:lvl>
    <w:lvl w:ilvl="4" w:tplc="04090003">
      <w:start w:val="1"/>
      <w:numFmt w:val="bullet"/>
      <w:lvlText w:val="o"/>
      <w:lvlJc w:val="left"/>
      <w:pPr>
        <w:ind w:left="4026" w:hanging="360"/>
      </w:pPr>
      <w:rPr>
        <w:rFonts w:ascii="Courier New" w:hAnsi="Courier New" w:cs="Courier New" w:hint="default"/>
      </w:rPr>
    </w:lvl>
    <w:lvl w:ilvl="5" w:tplc="04090005">
      <w:start w:val="1"/>
      <w:numFmt w:val="bullet"/>
      <w:lvlText w:val=""/>
      <w:lvlJc w:val="left"/>
      <w:pPr>
        <w:ind w:left="4746" w:hanging="360"/>
      </w:pPr>
      <w:rPr>
        <w:rFonts w:ascii="Wingdings" w:hAnsi="Wingdings" w:hint="default"/>
      </w:rPr>
    </w:lvl>
    <w:lvl w:ilvl="6" w:tplc="04090001">
      <w:start w:val="1"/>
      <w:numFmt w:val="bullet"/>
      <w:lvlText w:val=""/>
      <w:lvlJc w:val="left"/>
      <w:pPr>
        <w:ind w:left="5466" w:hanging="360"/>
      </w:pPr>
      <w:rPr>
        <w:rFonts w:ascii="Symbol" w:hAnsi="Symbol" w:hint="default"/>
      </w:rPr>
    </w:lvl>
    <w:lvl w:ilvl="7" w:tplc="04090003">
      <w:start w:val="1"/>
      <w:numFmt w:val="bullet"/>
      <w:lvlText w:val="o"/>
      <w:lvlJc w:val="left"/>
      <w:pPr>
        <w:ind w:left="6186" w:hanging="360"/>
      </w:pPr>
      <w:rPr>
        <w:rFonts w:ascii="Courier New" w:hAnsi="Courier New" w:cs="Courier New" w:hint="default"/>
      </w:rPr>
    </w:lvl>
    <w:lvl w:ilvl="8" w:tplc="04090005">
      <w:start w:val="1"/>
      <w:numFmt w:val="bullet"/>
      <w:lvlText w:val=""/>
      <w:lvlJc w:val="left"/>
      <w:pPr>
        <w:ind w:left="6906" w:hanging="360"/>
      </w:pPr>
      <w:rPr>
        <w:rFonts w:ascii="Wingdings" w:hAnsi="Wingdings" w:hint="default"/>
      </w:rPr>
    </w:lvl>
  </w:abstractNum>
  <w:abstractNum w:abstractNumId="14" w15:restartNumberingAfterBreak="0">
    <w:nsid w:val="75A45626"/>
    <w:multiLevelType w:val="hybridMultilevel"/>
    <w:tmpl w:val="7C483D68"/>
    <w:lvl w:ilvl="0" w:tplc="92008ECE">
      <w:start w:val="1"/>
      <w:numFmt w:val="bullet"/>
      <w:lvlText w:val="-"/>
      <w:lvlJc w:val="center"/>
      <w:pPr>
        <w:ind w:left="1248" w:hanging="360"/>
      </w:pPr>
      <w:rPr>
        <w:rFonts w:ascii="Cambria" w:hAnsi="Cambria" w:hint="default"/>
      </w:rPr>
    </w:lvl>
    <w:lvl w:ilvl="1" w:tplc="040C0003" w:tentative="1">
      <w:start w:val="1"/>
      <w:numFmt w:val="bullet"/>
      <w:lvlText w:val="o"/>
      <w:lvlJc w:val="left"/>
      <w:pPr>
        <w:ind w:left="1968" w:hanging="360"/>
      </w:pPr>
      <w:rPr>
        <w:rFonts w:ascii="Courier New" w:hAnsi="Courier New" w:cs="Courier New" w:hint="default"/>
      </w:rPr>
    </w:lvl>
    <w:lvl w:ilvl="2" w:tplc="040C0005" w:tentative="1">
      <w:start w:val="1"/>
      <w:numFmt w:val="bullet"/>
      <w:lvlText w:val=""/>
      <w:lvlJc w:val="left"/>
      <w:pPr>
        <w:ind w:left="2688" w:hanging="360"/>
      </w:pPr>
      <w:rPr>
        <w:rFonts w:ascii="Wingdings" w:hAnsi="Wingdings" w:hint="default"/>
      </w:rPr>
    </w:lvl>
    <w:lvl w:ilvl="3" w:tplc="040C0001" w:tentative="1">
      <w:start w:val="1"/>
      <w:numFmt w:val="bullet"/>
      <w:lvlText w:val=""/>
      <w:lvlJc w:val="left"/>
      <w:pPr>
        <w:ind w:left="3408" w:hanging="360"/>
      </w:pPr>
      <w:rPr>
        <w:rFonts w:ascii="Symbol" w:hAnsi="Symbol" w:hint="default"/>
      </w:rPr>
    </w:lvl>
    <w:lvl w:ilvl="4" w:tplc="040C0003" w:tentative="1">
      <w:start w:val="1"/>
      <w:numFmt w:val="bullet"/>
      <w:lvlText w:val="o"/>
      <w:lvlJc w:val="left"/>
      <w:pPr>
        <w:ind w:left="4128" w:hanging="360"/>
      </w:pPr>
      <w:rPr>
        <w:rFonts w:ascii="Courier New" w:hAnsi="Courier New" w:cs="Courier New" w:hint="default"/>
      </w:rPr>
    </w:lvl>
    <w:lvl w:ilvl="5" w:tplc="040C0005" w:tentative="1">
      <w:start w:val="1"/>
      <w:numFmt w:val="bullet"/>
      <w:lvlText w:val=""/>
      <w:lvlJc w:val="left"/>
      <w:pPr>
        <w:ind w:left="4848" w:hanging="360"/>
      </w:pPr>
      <w:rPr>
        <w:rFonts w:ascii="Wingdings" w:hAnsi="Wingdings" w:hint="default"/>
      </w:rPr>
    </w:lvl>
    <w:lvl w:ilvl="6" w:tplc="040C0001" w:tentative="1">
      <w:start w:val="1"/>
      <w:numFmt w:val="bullet"/>
      <w:lvlText w:val=""/>
      <w:lvlJc w:val="left"/>
      <w:pPr>
        <w:ind w:left="5568" w:hanging="360"/>
      </w:pPr>
      <w:rPr>
        <w:rFonts w:ascii="Symbol" w:hAnsi="Symbol" w:hint="default"/>
      </w:rPr>
    </w:lvl>
    <w:lvl w:ilvl="7" w:tplc="040C0003" w:tentative="1">
      <w:start w:val="1"/>
      <w:numFmt w:val="bullet"/>
      <w:lvlText w:val="o"/>
      <w:lvlJc w:val="left"/>
      <w:pPr>
        <w:ind w:left="6288" w:hanging="360"/>
      </w:pPr>
      <w:rPr>
        <w:rFonts w:ascii="Courier New" w:hAnsi="Courier New" w:cs="Courier New" w:hint="default"/>
      </w:rPr>
    </w:lvl>
    <w:lvl w:ilvl="8" w:tplc="040C0005" w:tentative="1">
      <w:start w:val="1"/>
      <w:numFmt w:val="bullet"/>
      <w:lvlText w:val=""/>
      <w:lvlJc w:val="left"/>
      <w:pPr>
        <w:ind w:left="7008" w:hanging="360"/>
      </w:pPr>
      <w:rPr>
        <w:rFonts w:ascii="Wingdings" w:hAnsi="Wingdings" w:hint="default"/>
      </w:rPr>
    </w:lvl>
  </w:abstractNum>
  <w:num w:numId="1" w16cid:durableId="1718121383">
    <w:abstractNumId w:val="3"/>
  </w:num>
  <w:num w:numId="2" w16cid:durableId="1678775420">
    <w:abstractNumId w:val="9"/>
  </w:num>
  <w:num w:numId="3" w16cid:durableId="1567836023">
    <w:abstractNumId w:val="12"/>
  </w:num>
  <w:num w:numId="4" w16cid:durableId="483355663">
    <w:abstractNumId w:val="0"/>
  </w:num>
  <w:num w:numId="5" w16cid:durableId="1939672181">
    <w:abstractNumId w:val="2"/>
  </w:num>
  <w:num w:numId="6" w16cid:durableId="2104837951">
    <w:abstractNumId w:val="10"/>
  </w:num>
  <w:num w:numId="7" w16cid:durableId="1046877025">
    <w:abstractNumId w:val="4"/>
  </w:num>
  <w:num w:numId="8" w16cid:durableId="2009207302">
    <w:abstractNumId w:val="6"/>
  </w:num>
  <w:num w:numId="9" w16cid:durableId="542642309">
    <w:abstractNumId w:val="14"/>
  </w:num>
  <w:num w:numId="10" w16cid:durableId="1609317020">
    <w:abstractNumId w:val="5"/>
  </w:num>
  <w:num w:numId="11" w16cid:durableId="594560024">
    <w:abstractNumId w:val="7"/>
  </w:num>
  <w:num w:numId="12" w16cid:durableId="191653617">
    <w:abstractNumId w:val="11"/>
  </w:num>
  <w:num w:numId="13" w16cid:durableId="188404984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98F"/>
    <w:rsid w:val="00003250"/>
    <w:rsid w:val="00003281"/>
    <w:rsid w:val="00004431"/>
    <w:rsid w:val="00004CBE"/>
    <w:rsid w:val="0000538F"/>
    <w:rsid w:val="000053EA"/>
    <w:rsid w:val="00005871"/>
    <w:rsid w:val="00011AC9"/>
    <w:rsid w:val="00012951"/>
    <w:rsid w:val="00013F2D"/>
    <w:rsid w:val="0001563D"/>
    <w:rsid w:val="00015CCB"/>
    <w:rsid w:val="00015CE3"/>
    <w:rsid w:val="0001688F"/>
    <w:rsid w:val="000218E5"/>
    <w:rsid w:val="0002257E"/>
    <w:rsid w:val="00022997"/>
    <w:rsid w:val="000233DC"/>
    <w:rsid w:val="00023859"/>
    <w:rsid w:val="00026F20"/>
    <w:rsid w:val="0002763A"/>
    <w:rsid w:val="000308A0"/>
    <w:rsid w:val="00030D68"/>
    <w:rsid w:val="000369E3"/>
    <w:rsid w:val="00037BC7"/>
    <w:rsid w:val="00040016"/>
    <w:rsid w:val="0004004E"/>
    <w:rsid w:val="0004382C"/>
    <w:rsid w:val="00044C24"/>
    <w:rsid w:val="00045CFB"/>
    <w:rsid w:val="00047BE1"/>
    <w:rsid w:val="00050EEB"/>
    <w:rsid w:val="0005205F"/>
    <w:rsid w:val="000557E7"/>
    <w:rsid w:val="00055862"/>
    <w:rsid w:val="000569E4"/>
    <w:rsid w:val="00056CC2"/>
    <w:rsid w:val="000630A8"/>
    <w:rsid w:val="000636E5"/>
    <w:rsid w:val="00065594"/>
    <w:rsid w:val="000660A1"/>
    <w:rsid w:val="0006737A"/>
    <w:rsid w:val="000674D8"/>
    <w:rsid w:val="0006754B"/>
    <w:rsid w:val="00070979"/>
    <w:rsid w:val="00070A16"/>
    <w:rsid w:val="000714C0"/>
    <w:rsid w:val="000715E8"/>
    <w:rsid w:val="0007434D"/>
    <w:rsid w:val="00074A9E"/>
    <w:rsid w:val="000774A7"/>
    <w:rsid w:val="00080978"/>
    <w:rsid w:val="00080F6E"/>
    <w:rsid w:val="00083D91"/>
    <w:rsid w:val="00090575"/>
    <w:rsid w:val="000915A7"/>
    <w:rsid w:val="00093E88"/>
    <w:rsid w:val="000940DE"/>
    <w:rsid w:val="00096E03"/>
    <w:rsid w:val="00097A37"/>
    <w:rsid w:val="000A0CE5"/>
    <w:rsid w:val="000A18FC"/>
    <w:rsid w:val="000A2101"/>
    <w:rsid w:val="000A4366"/>
    <w:rsid w:val="000A4470"/>
    <w:rsid w:val="000A4BDE"/>
    <w:rsid w:val="000A5DC3"/>
    <w:rsid w:val="000B11DE"/>
    <w:rsid w:val="000B12CA"/>
    <w:rsid w:val="000B43D2"/>
    <w:rsid w:val="000B4982"/>
    <w:rsid w:val="000B619B"/>
    <w:rsid w:val="000B6841"/>
    <w:rsid w:val="000B6A01"/>
    <w:rsid w:val="000B70C0"/>
    <w:rsid w:val="000B726B"/>
    <w:rsid w:val="000B79E1"/>
    <w:rsid w:val="000C3802"/>
    <w:rsid w:val="000C43AF"/>
    <w:rsid w:val="000C7D16"/>
    <w:rsid w:val="000D2434"/>
    <w:rsid w:val="000D4477"/>
    <w:rsid w:val="000D5F04"/>
    <w:rsid w:val="000D64EF"/>
    <w:rsid w:val="000E04FD"/>
    <w:rsid w:val="000E1F5A"/>
    <w:rsid w:val="000E309F"/>
    <w:rsid w:val="000E31CD"/>
    <w:rsid w:val="000E3420"/>
    <w:rsid w:val="000F1293"/>
    <w:rsid w:val="000F1952"/>
    <w:rsid w:val="000F2494"/>
    <w:rsid w:val="000F35E0"/>
    <w:rsid w:val="000F45AD"/>
    <w:rsid w:val="000F45BD"/>
    <w:rsid w:val="000F5DE6"/>
    <w:rsid w:val="00100DDD"/>
    <w:rsid w:val="00101202"/>
    <w:rsid w:val="00102CBD"/>
    <w:rsid w:val="0010363A"/>
    <w:rsid w:val="00103CB0"/>
    <w:rsid w:val="00104595"/>
    <w:rsid w:val="001054E9"/>
    <w:rsid w:val="00105B47"/>
    <w:rsid w:val="001068F9"/>
    <w:rsid w:val="0010713B"/>
    <w:rsid w:val="001075EF"/>
    <w:rsid w:val="00107816"/>
    <w:rsid w:val="00107CEE"/>
    <w:rsid w:val="001117B0"/>
    <w:rsid w:val="00113609"/>
    <w:rsid w:val="001142B9"/>
    <w:rsid w:val="00114B16"/>
    <w:rsid w:val="00115074"/>
    <w:rsid w:val="001157E6"/>
    <w:rsid w:val="001159D6"/>
    <w:rsid w:val="00120D6A"/>
    <w:rsid w:val="00122372"/>
    <w:rsid w:val="00124EFD"/>
    <w:rsid w:val="00126D1B"/>
    <w:rsid w:val="00127954"/>
    <w:rsid w:val="001279A2"/>
    <w:rsid w:val="00131BB8"/>
    <w:rsid w:val="001328F3"/>
    <w:rsid w:val="00132EA6"/>
    <w:rsid w:val="0013413D"/>
    <w:rsid w:val="00134851"/>
    <w:rsid w:val="0013573A"/>
    <w:rsid w:val="00136097"/>
    <w:rsid w:val="00136BCE"/>
    <w:rsid w:val="00137682"/>
    <w:rsid w:val="001426D0"/>
    <w:rsid w:val="0014273D"/>
    <w:rsid w:val="00143015"/>
    <w:rsid w:val="00143B7C"/>
    <w:rsid w:val="001467F7"/>
    <w:rsid w:val="00147AE9"/>
    <w:rsid w:val="0015357D"/>
    <w:rsid w:val="00154FCB"/>
    <w:rsid w:val="001575A4"/>
    <w:rsid w:val="001576F3"/>
    <w:rsid w:val="00160639"/>
    <w:rsid w:val="00162E93"/>
    <w:rsid w:val="00163DC1"/>
    <w:rsid w:val="00164A87"/>
    <w:rsid w:val="001659FB"/>
    <w:rsid w:val="00167A27"/>
    <w:rsid w:val="0017041B"/>
    <w:rsid w:val="00172B77"/>
    <w:rsid w:val="00174695"/>
    <w:rsid w:val="001769BA"/>
    <w:rsid w:val="00177202"/>
    <w:rsid w:val="001776C6"/>
    <w:rsid w:val="00177930"/>
    <w:rsid w:val="001801BD"/>
    <w:rsid w:val="00180602"/>
    <w:rsid w:val="00180C47"/>
    <w:rsid w:val="00180DD8"/>
    <w:rsid w:val="00181F0F"/>
    <w:rsid w:val="00183040"/>
    <w:rsid w:val="00183DAE"/>
    <w:rsid w:val="00183F2B"/>
    <w:rsid w:val="001844C5"/>
    <w:rsid w:val="00185429"/>
    <w:rsid w:val="00186FF1"/>
    <w:rsid w:val="00187B0E"/>
    <w:rsid w:val="0019188C"/>
    <w:rsid w:val="00193237"/>
    <w:rsid w:val="001941AC"/>
    <w:rsid w:val="0019792C"/>
    <w:rsid w:val="001A1A28"/>
    <w:rsid w:val="001A3352"/>
    <w:rsid w:val="001A3DA4"/>
    <w:rsid w:val="001A460B"/>
    <w:rsid w:val="001A4CDA"/>
    <w:rsid w:val="001A53C9"/>
    <w:rsid w:val="001B05B2"/>
    <w:rsid w:val="001B0E84"/>
    <w:rsid w:val="001B1441"/>
    <w:rsid w:val="001B2BAE"/>
    <w:rsid w:val="001B4AF4"/>
    <w:rsid w:val="001B549B"/>
    <w:rsid w:val="001B54AA"/>
    <w:rsid w:val="001B71EA"/>
    <w:rsid w:val="001B7FDC"/>
    <w:rsid w:val="001C0816"/>
    <w:rsid w:val="001C301A"/>
    <w:rsid w:val="001C6928"/>
    <w:rsid w:val="001C7696"/>
    <w:rsid w:val="001D0F16"/>
    <w:rsid w:val="001D13E2"/>
    <w:rsid w:val="001D28BD"/>
    <w:rsid w:val="001D3DC9"/>
    <w:rsid w:val="001D5625"/>
    <w:rsid w:val="001D5ABA"/>
    <w:rsid w:val="001D6270"/>
    <w:rsid w:val="001D6ADD"/>
    <w:rsid w:val="001E1693"/>
    <w:rsid w:val="001E36A7"/>
    <w:rsid w:val="001E56F7"/>
    <w:rsid w:val="001E615B"/>
    <w:rsid w:val="001E6ED1"/>
    <w:rsid w:val="001F4E6B"/>
    <w:rsid w:val="001F5745"/>
    <w:rsid w:val="001F765E"/>
    <w:rsid w:val="00203B85"/>
    <w:rsid w:val="00205305"/>
    <w:rsid w:val="002077E9"/>
    <w:rsid w:val="00207A49"/>
    <w:rsid w:val="00207E7A"/>
    <w:rsid w:val="00214ED7"/>
    <w:rsid w:val="002155F2"/>
    <w:rsid w:val="00215662"/>
    <w:rsid w:val="00215A7A"/>
    <w:rsid w:val="00216424"/>
    <w:rsid w:val="0022193B"/>
    <w:rsid w:val="00222A63"/>
    <w:rsid w:val="00222D7D"/>
    <w:rsid w:val="0022500B"/>
    <w:rsid w:val="00225B7E"/>
    <w:rsid w:val="00225F26"/>
    <w:rsid w:val="00230066"/>
    <w:rsid w:val="00230ADF"/>
    <w:rsid w:val="002314BB"/>
    <w:rsid w:val="00233954"/>
    <w:rsid w:val="00234E43"/>
    <w:rsid w:val="00237C70"/>
    <w:rsid w:val="002403E5"/>
    <w:rsid w:val="002413A9"/>
    <w:rsid w:val="00241B9D"/>
    <w:rsid w:val="002467F0"/>
    <w:rsid w:val="00246C2E"/>
    <w:rsid w:val="00247C90"/>
    <w:rsid w:val="002506C9"/>
    <w:rsid w:val="00254BE5"/>
    <w:rsid w:val="002613A8"/>
    <w:rsid w:val="00261F15"/>
    <w:rsid w:val="00263583"/>
    <w:rsid w:val="0026632C"/>
    <w:rsid w:val="00270A45"/>
    <w:rsid w:val="0027174C"/>
    <w:rsid w:val="00272B23"/>
    <w:rsid w:val="00273C65"/>
    <w:rsid w:val="002753FF"/>
    <w:rsid w:val="00276A2F"/>
    <w:rsid w:val="00277626"/>
    <w:rsid w:val="00277717"/>
    <w:rsid w:val="00277D6B"/>
    <w:rsid w:val="0028004F"/>
    <w:rsid w:val="00280C93"/>
    <w:rsid w:val="0028182A"/>
    <w:rsid w:val="00281D09"/>
    <w:rsid w:val="00282B00"/>
    <w:rsid w:val="00283222"/>
    <w:rsid w:val="00283A9C"/>
    <w:rsid w:val="00284BF7"/>
    <w:rsid w:val="002859D7"/>
    <w:rsid w:val="00285C16"/>
    <w:rsid w:val="00286B06"/>
    <w:rsid w:val="002912F9"/>
    <w:rsid w:val="00292038"/>
    <w:rsid w:val="0029415D"/>
    <w:rsid w:val="002945B5"/>
    <w:rsid w:val="002946DA"/>
    <w:rsid w:val="002958DD"/>
    <w:rsid w:val="00297BDA"/>
    <w:rsid w:val="00297F25"/>
    <w:rsid w:val="002A3149"/>
    <w:rsid w:val="002A38A1"/>
    <w:rsid w:val="002A445D"/>
    <w:rsid w:val="002A4EBC"/>
    <w:rsid w:val="002A56D1"/>
    <w:rsid w:val="002A5F65"/>
    <w:rsid w:val="002B00FD"/>
    <w:rsid w:val="002B094E"/>
    <w:rsid w:val="002B11BA"/>
    <w:rsid w:val="002B60ED"/>
    <w:rsid w:val="002B7146"/>
    <w:rsid w:val="002C18B8"/>
    <w:rsid w:val="002C1F35"/>
    <w:rsid w:val="002C3236"/>
    <w:rsid w:val="002C38FA"/>
    <w:rsid w:val="002C3FFF"/>
    <w:rsid w:val="002C43C6"/>
    <w:rsid w:val="002C5BC6"/>
    <w:rsid w:val="002C6783"/>
    <w:rsid w:val="002C6E61"/>
    <w:rsid w:val="002D21C0"/>
    <w:rsid w:val="002D3F4F"/>
    <w:rsid w:val="002D61B7"/>
    <w:rsid w:val="002D66E0"/>
    <w:rsid w:val="002D6C97"/>
    <w:rsid w:val="002D7C86"/>
    <w:rsid w:val="002E00E8"/>
    <w:rsid w:val="002E25FA"/>
    <w:rsid w:val="002E495B"/>
    <w:rsid w:val="002F403B"/>
    <w:rsid w:val="002F4315"/>
    <w:rsid w:val="002F43C5"/>
    <w:rsid w:val="002F5568"/>
    <w:rsid w:val="002F5D30"/>
    <w:rsid w:val="002F7D8F"/>
    <w:rsid w:val="003003FA"/>
    <w:rsid w:val="003011D1"/>
    <w:rsid w:val="00301C77"/>
    <w:rsid w:val="00303D44"/>
    <w:rsid w:val="003106B0"/>
    <w:rsid w:val="00317637"/>
    <w:rsid w:val="00317C6C"/>
    <w:rsid w:val="00320775"/>
    <w:rsid w:val="00321880"/>
    <w:rsid w:val="00321B13"/>
    <w:rsid w:val="00323246"/>
    <w:rsid w:val="00327C99"/>
    <w:rsid w:val="00327C9E"/>
    <w:rsid w:val="003306F4"/>
    <w:rsid w:val="00331028"/>
    <w:rsid w:val="003356C2"/>
    <w:rsid w:val="003360C4"/>
    <w:rsid w:val="00337595"/>
    <w:rsid w:val="003411F4"/>
    <w:rsid w:val="003446DF"/>
    <w:rsid w:val="00346D92"/>
    <w:rsid w:val="003503B0"/>
    <w:rsid w:val="00350637"/>
    <w:rsid w:val="003516AE"/>
    <w:rsid w:val="00353D82"/>
    <w:rsid w:val="003565C0"/>
    <w:rsid w:val="00360236"/>
    <w:rsid w:val="0036186A"/>
    <w:rsid w:val="00361D8C"/>
    <w:rsid w:val="003647C8"/>
    <w:rsid w:val="003649AE"/>
    <w:rsid w:val="00374216"/>
    <w:rsid w:val="003756D7"/>
    <w:rsid w:val="0037645F"/>
    <w:rsid w:val="003769DA"/>
    <w:rsid w:val="00381DF5"/>
    <w:rsid w:val="00382E2E"/>
    <w:rsid w:val="003832A9"/>
    <w:rsid w:val="003837C8"/>
    <w:rsid w:val="00386CA7"/>
    <w:rsid w:val="00386DF5"/>
    <w:rsid w:val="00387916"/>
    <w:rsid w:val="003904A3"/>
    <w:rsid w:val="003907A4"/>
    <w:rsid w:val="00391132"/>
    <w:rsid w:val="003920A8"/>
    <w:rsid w:val="003924D5"/>
    <w:rsid w:val="003924FE"/>
    <w:rsid w:val="00392C80"/>
    <w:rsid w:val="003964D7"/>
    <w:rsid w:val="003969E9"/>
    <w:rsid w:val="00397F07"/>
    <w:rsid w:val="003A1013"/>
    <w:rsid w:val="003A2724"/>
    <w:rsid w:val="003A39AE"/>
    <w:rsid w:val="003B1639"/>
    <w:rsid w:val="003B1D7A"/>
    <w:rsid w:val="003B3909"/>
    <w:rsid w:val="003C13AC"/>
    <w:rsid w:val="003C26EB"/>
    <w:rsid w:val="003C377D"/>
    <w:rsid w:val="003C52CA"/>
    <w:rsid w:val="003C68FD"/>
    <w:rsid w:val="003D3383"/>
    <w:rsid w:val="003D4F52"/>
    <w:rsid w:val="003D4F9C"/>
    <w:rsid w:val="003D5BB1"/>
    <w:rsid w:val="003D6AC7"/>
    <w:rsid w:val="003D7AF7"/>
    <w:rsid w:val="003E122E"/>
    <w:rsid w:val="003E15D1"/>
    <w:rsid w:val="003E2428"/>
    <w:rsid w:val="003E300D"/>
    <w:rsid w:val="003E3D9B"/>
    <w:rsid w:val="003E4046"/>
    <w:rsid w:val="003E4483"/>
    <w:rsid w:val="003E6985"/>
    <w:rsid w:val="003E775C"/>
    <w:rsid w:val="003F5294"/>
    <w:rsid w:val="003F7456"/>
    <w:rsid w:val="0040017C"/>
    <w:rsid w:val="00400C91"/>
    <w:rsid w:val="004020BB"/>
    <w:rsid w:val="00403034"/>
    <w:rsid w:val="00404156"/>
    <w:rsid w:val="00404C64"/>
    <w:rsid w:val="004106DB"/>
    <w:rsid w:val="00412664"/>
    <w:rsid w:val="00413D88"/>
    <w:rsid w:val="00414AB3"/>
    <w:rsid w:val="004151D3"/>
    <w:rsid w:val="00415632"/>
    <w:rsid w:val="004163B3"/>
    <w:rsid w:val="00416A6B"/>
    <w:rsid w:val="00421C13"/>
    <w:rsid w:val="00422855"/>
    <w:rsid w:val="00422876"/>
    <w:rsid w:val="00423A1A"/>
    <w:rsid w:val="00426190"/>
    <w:rsid w:val="00432284"/>
    <w:rsid w:val="0043296B"/>
    <w:rsid w:val="004331A9"/>
    <w:rsid w:val="0043364F"/>
    <w:rsid w:val="0043749E"/>
    <w:rsid w:val="00437D99"/>
    <w:rsid w:val="00442387"/>
    <w:rsid w:val="00442C11"/>
    <w:rsid w:val="00442D1C"/>
    <w:rsid w:val="00445A3C"/>
    <w:rsid w:val="0044723C"/>
    <w:rsid w:val="00450745"/>
    <w:rsid w:val="00452AD7"/>
    <w:rsid w:val="0045338B"/>
    <w:rsid w:val="00453853"/>
    <w:rsid w:val="00455237"/>
    <w:rsid w:val="00455A68"/>
    <w:rsid w:val="0045641A"/>
    <w:rsid w:val="00456F12"/>
    <w:rsid w:val="00457E74"/>
    <w:rsid w:val="004600C2"/>
    <w:rsid w:val="0046179B"/>
    <w:rsid w:val="00461935"/>
    <w:rsid w:val="00462327"/>
    <w:rsid w:val="004624AA"/>
    <w:rsid w:val="00464C05"/>
    <w:rsid w:val="00464F26"/>
    <w:rsid w:val="0046575C"/>
    <w:rsid w:val="00465977"/>
    <w:rsid w:val="00465DA7"/>
    <w:rsid w:val="00470F36"/>
    <w:rsid w:val="004718BB"/>
    <w:rsid w:val="00474224"/>
    <w:rsid w:val="00476F5E"/>
    <w:rsid w:val="00480A50"/>
    <w:rsid w:val="004815D1"/>
    <w:rsid w:val="0048450A"/>
    <w:rsid w:val="0048560A"/>
    <w:rsid w:val="00485A42"/>
    <w:rsid w:val="00486DCB"/>
    <w:rsid w:val="00490F7A"/>
    <w:rsid w:val="004913F7"/>
    <w:rsid w:val="004924D1"/>
    <w:rsid w:val="00492A78"/>
    <w:rsid w:val="00496D33"/>
    <w:rsid w:val="004A21B1"/>
    <w:rsid w:val="004A2FE8"/>
    <w:rsid w:val="004A3E96"/>
    <w:rsid w:val="004A5560"/>
    <w:rsid w:val="004A5EEE"/>
    <w:rsid w:val="004A715C"/>
    <w:rsid w:val="004A71FD"/>
    <w:rsid w:val="004B09F2"/>
    <w:rsid w:val="004B5BF8"/>
    <w:rsid w:val="004C00A9"/>
    <w:rsid w:val="004C1BB3"/>
    <w:rsid w:val="004C1F0B"/>
    <w:rsid w:val="004C2756"/>
    <w:rsid w:val="004C3831"/>
    <w:rsid w:val="004C5687"/>
    <w:rsid w:val="004C6944"/>
    <w:rsid w:val="004D0FF5"/>
    <w:rsid w:val="004D128C"/>
    <w:rsid w:val="004D601D"/>
    <w:rsid w:val="004D621F"/>
    <w:rsid w:val="004D727B"/>
    <w:rsid w:val="004D7DC2"/>
    <w:rsid w:val="004E0932"/>
    <w:rsid w:val="004E2F50"/>
    <w:rsid w:val="004E494F"/>
    <w:rsid w:val="004E50FD"/>
    <w:rsid w:val="004E591D"/>
    <w:rsid w:val="004E7379"/>
    <w:rsid w:val="004E7697"/>
    <w:rsid w:val="004F3787"/>
    <w:rsid w:val="004F3F3F"/>
    <w:rsid w:val="004F49B9"/>
    <w:rsid w:val="004F5C90"/>
    <w:rsid w:val="004F6290"/>
    <w:rsid w:val="004F6D0B"/>
    <w:rsid w:val="004F763F"/>
    <w:rsid w:val="005003A1"/>
    <w:rsid w:val="0050230B"/>
    <w:rsid w:val="0050496E"/>
    <w:rsid w:val="0050515D"/>
    <w:rsid w:val="00510707"/>
    <w:rsid w:val="0051288F"/>
    <w:rsid w:val="00513E3E"/>
    <w:rsid w:val="00514501"/>
    <w:rsid w:val="005155D2"/>
    <w:rsid w:val="00517778"/>
    <w:rsid w:val="00517A10"/>
    <w:rsid w:val="005238CC"/>
    <w:rsid w:val="00523A4B"/>
    <w:rsid w:val="00525F82"/>
    <w:rsid w:val="00526014"/>
    <w:rsid w:val="005279FC"/>
    <w:rsid w:val="005305DB"/>
    <w:rsid w:val="00530D90"/>
    <w:rsid w:val="00530EFF"/>
    <w:rsid w:val="005310DC"/>
    <w:rsid w:val="005318E0"/>
    <w:rsid w:val="00533983"/>
    <w:rsid w:val="0053399D"/>
    <w:rsid w:val="00534177"/>
    <w:rsid w:val="00535493"/>
    <w:rsid w:val="00537157"/>
    <w:rsid w:val="0053761B"/>
    <w:rsid w:val="00540D46"/>
    <w:rsid w:val="00540D89"/>
    <w:rsid w:val="005415FE"/>
    <w:rsid w:val="00541B43"/>
    <w:rsid w:val="00541D3A"/>
    <w:rsid w:val="00544291"/>
    <w:rsid w:val="0054453F"/>
    <w:rsid w:val="0054598F"/>
    <w:rsid w:val="005510E0"/>
    <w:rsid w:val="00553EA0"/>
    <w:rsid w:val="005542AC"/>
    <w:rsid w:val="00554816"/>
    <w:rsid w:val="00554825"/>
    <w:rsid w:val="00554AF1"/>
    <w:rsid w:val="00560455"/>
    <w:rsid w:val="00560522"/>
    <w:rsid w:val="005611DA"/>
    <w:rsid w:val="00562B10"/>
    <w:rsid w:val="0056465D"/>
    <w:rsid w:val="00566E50"/>
    <w:rsid w:val="00567117"/>
    <w:rsid w:val="0057112D"/>
    <w:rsid w:val="00572427"/>
    <w:rsid w:val="00573316"/>
    <w:rsid w:val="00573E4D"/>
    <w:rsid w:val="00574887"/>
    <w:rsid w:val="0057511C"/>
    <w:rsid w:val="0058158D"/>
    <w:rsid w:val="00582522"/>
    <w:rsid w:val="0058478F"/>
    <w:rsid w:val="00584979"/>
    <w:rsid w:val="005857BB"/>
    <w:rsid w:val="00590E48"/>
    <w:rsid w:val="00591113"/>
    <w:rsid w:val="005926CF"/>
    <w:rsid w:val="005927A5"/>
    <w:rsid w:val="00593821"/>
    <w:rsid w:val="00595E96"/>
    <w:rsid w:val="00595EE2"/>
    <w:rsid w:val="005965BB"/>
    <w:rsid w:val="005A1346"/>
    <w:rsid w:val="005A173E"/>
    <w:rsid w:val="005B1F8D"/>
    <w:rsid w:val="005B27A9"/>
    <w:rsid w:val="005B4699"/>
    <w:rsid w:val="005B486C"/>
    <w:rsid w:val="005B641D"/>
    <w:rsid w:val="005B7169"/>
    <w:rsid w:val="005C14C4"/>
    <w:rsid w:val="005C295C"/>
    <w:rsid w:val="005C37DB"/>
    <w:rsid w:val="005C3E0B"/>
    <w:rsid w:val="005C51B2"/>
    <w:rsid w:val="005C51ED"/>
    <w:rsid w:val="005C54DF"/>
    <w:rsid w:val="005C575F"/>
    <w:rsid w:val="005C7EFC"/>
    <w:rsid w:val="005D0D0C"/>
    <w:rsid w:val="005D1B2C"/>
    <w:rsid w:val="005D220C"/>
    <w:rsid w:val="005D51BF"/>
    <w:rsid w:val="005D5847"/>
    <w:rsid w:val="005D7181"/>
    <w:rsid w:val="005E0049"/>
    <w:rsid w:val="005E1F4C"/>
    <w:rsid w:val="005E44A5"/>
    <w:rsid w:val="005E5604"/>
    <w:rsid w:val="005E5973"/>
    <w:rsid w:val="005E786C"/>
    <w:rsid w:val="005F2273"/>
    <w:rsid w:val="005F261C"/>
    <w:rsid w:val="005F4291"/>
    <w:rsid w:val="005F517B"/>
    <w:rsid w:val="005F6810"/>
    <w:rsid w:val="005F7223"/>
    <w:rsid w:val="005F77DE"/>
    <w:rsid w:val="005F7D24"/>
    <w:rsid w:val="00601209"/>
    <w:rsid w:val="006026EE"/>
    <w:rsid w:val="00605E3A"/>
    <w:rsid w:val="00610B46"/>
    <w:rsid w:val="00610C76"/>
    <w:rsid w:val="00611415"/>
    <w:rsid w:val="0061341A"/>
    <w:rsid w:val="00613A18"/>
    <w:rsid w:val="00613F89"/>
    <w:rsid w:val="00615C87"/>
    <w:rsid w:val="00615FB7"/>
    <w:rsid w:val="006176F5"/>
    <w:rsid w:val="00620647"/>
    <w:rsid w:val="00621423"/>
    <w:rsid w:val="00621BBF"/>
    <w:rsid w:val="00624F95"/>
    <w:rsid w:val="006256EA"/>
    <w:rsid w:val="006314D3"/>
    <w:rsid w:val="00631BBF"/>
    <w:rsid w:val="00631D0F"/>
    <w:rsid w:val="00632ED2"/>
    <w:rsid w:val="00632F4E"/>
    <w:rsid w:val="00634E31"/>
    <w:rsid w:val="00635DFF"/>
    <w:rsid w:val="006371AD"/>
    <w:rsid w:val="0064072E"/>
    <w:rsid w:val="006413DD"/>
    <w:rsid w:val="0064267D"/>
    <w:rsid w:val="006433DF"/>
    <w:rsid w:val="00645622"/>
    <w:rsid w:val="00645EBB"/>
    <w:rsid w:val="0064628D"/>
    <w:rsid w:val="006462D0"/>
    <w:rsid w:val="006516D2"/>
    <w:rsid w:val="00653367"/>
    <w:rsid w:val="006535AC"/>
    <w:rsid w:val="006642E4"/>
    <w:rsid w:val="006643BF"/>
    <w:rsid w:val="00664D42"/>
    <w:rsid w:val="006668A9"/>
    <w:rsid w:val="0066704B"/>
    <w:rsid w:val="00673689"/>
    <w:rsid w:val="00673A4A"/>
    <w:rsid w:val="00673C3D"/>
    <w:rsid w:val="00673DE3"/>
    <w:rsid w:val="00675353"/>
    <w:rsid w:val="006755B5"/>
    <w:rsid w:val="006774BE"/>
    <w:rsid w:val="006777B5"/>
    <w:rsid w:val="00677CED"/>
    <w:rsid w:val="00681988"/>
    <w:rsid w:val="0068207B"/>
    <w:rsid w:val="00685482"/>
    <w:rsid w:val="00690264"/>
    <w:rsid w:val="00694038"/>
    <w:rsid w:val="006A18D8"/>
    <w:rsid w:val="006A315E"/>
    <w:rsid w:val="006A3BA7"/>
    <w:rsid w:val="006A52C2"/>
    <w:rsid w:val="006B03C6"/>
    <w:rsid w:val="006B1110"/>
    <w:rsid w:val="006B1696"/>
    <w:rsid w:val="006B4892"/>
    <w:rsid w:val="006B4F55"/>
    <w:rsid w:val="006B65C1"/>
    <w:rsid w:val="006C0429"/>
    <w:rsid w:val="006C116C"/>
    <w:rsid w:val="006C17D1"/>
    <w:rsid w:val="006C2063"/>
    <w:rsid w:val="006C5DE6"/>
    <w:rsid w:val="006C6EDC"/>
    <w:rsid w:val="006C72D6"/>
    <w:rsid w:val="006C7A9A"/>
    <w:rsid w:val="006D0F10"/>
    <w:rsid w:val="006D1D3E"/>
    <w:rsid w:val="006D1FFA"/>
    <w:rsid w:val="006D35D5"/>
    <w:rsid w:val="006D5D22"/>
    <w:rsid w:val="006D68E8"/>
    <w:rsid w:val="006D784A"/>
    <w:rsid w:val="006D7B54"/>
    <w:rsid w:val="006E273E"/>
    <w:rsid w:val="006E4BB5"/>
    <w:rsid w:val="006E73DC"/>
    <w:rsid w:val="006F3E6A"/>
    <w:rsid w:val="006F62DD"/>
    <w:rsid w:val="006F6918"/>
    <w:rsid w:val="006F6BF3"/>
    <w:rsid w:val="00700B28"/>
    <w:rsid w:val="00702DF4"/>
    <w:rsid w:val="00703975"/>
    <w:rsid w:val="007045A0"/>
    <w:rsid w:val="00704838"/>
    <w:rsid w:val="007053D8"/>
    <w:rsid w:val="00705971"/>
    <w:rsid w:val="00705F5D"/>
    <w:rsid w:val="00706862"/>
    <w:rsid w:val="00706C18"/>
    <w:rsid w:val="00707C40"/>
    <w:rsid w:val="00711CB5"/>
    <w:rsid w:val="00711DD7"/>
    <w:rsid w:val="00712114"/>
    <w:rsid w:val="0071351B"/>
    <w:rsid w:val="00713AD4"/>
    <w:rsid w:val="007146E3"/>
    <w:rsid w:val="00720124"/>
    <w:rsid w:val="00720582"/>
    <w:rsid w:val="00721772"/>
    <w:rsid w:val="00721858"/>
    <w:rsid w:val="00721A18"/>
    <w:rsid w:val="00722952"/>
    <w:rsid w:val="00722ED9"/>
    <w:rsid w:val="007235D3"/>
    <w:rsid w:val="00723DB2"/>
    <w:rsid w:val="0073571A"/>
    <w:rsid w:val="0074229F"/>
    <w:rsid w:val="0074232D"/>
    <w:rsid w:val="00742E9F"/>
    <w:rsid w:val="007462DC"/>
    <w:rsid w:val="007516E5"/>
    <w:rsid w:val="00751CC1"/>
    <w:rsid w:val="0075328B"/>
    <w:rsid w:val="00753B65"/>
    <w:rsid w:val="00757E13"/>
    <w:rsid w:val="007614E0"/>
    <w:rsid w:val="007630F0"/>
    <w:rsid w:val="007634D4"/>
    <w:rsid w:val="007650C7"/>
    <w:rsid w:val="00765301"/>
    <w:rsid w:val="007653BB"/>
    <w:rsid w:val="00766F3D"/>
    <w:rsid w:val="00767184"/>
    <w:rsid w:val="007701E3"/>
    <w:rsid w:val="00770EB1"/>
    <w:rsid w:val="00772829"/>
    <w:rsid w:val="00773142"/>
    <w:rsid w:val="00773305"/>
    <w:rsid w:val="00773D72"/>
    <w:rsid w:val="00774F59"/>
    <w:rsid w:val="007752BC"/>
    <w:rsid w:val="00775E1C"/>
    <w:rsid w:val="00777246"/>
    <w:rsid w:val="007813AC"/>
    <w:rsid w:val="0078294B"/>
    <w:rsid w:val="007855E0"/>
    <w:rsid w:val="00785F12"/>
    <w:rsid w:val="00786E2B"/>
    <w:rsid w:val="00791710"/>
    <w:rsid w:val="007933DA"/>
    <w:rsid w:val="00793F38"/>
    <w:rsid w:val="007950CD"/>
    <w:rsid w:val="007A1027"/>
    <w:rsid w:val="007A2583"/>
    <w:rsid w:val="007A326E"/>
    <w:rsid w:val="007B28E6"/>
    <w:rsid w:val="007B2DEC"/>
    <w:rsid w:val="007B3A5C"/>
    <w:rsid w:val="007B4333"/>
    <w:rsid w:val="007B54A6"/>
    <w:rsid w:val="007B6DB8"/>
    <w:rsid w:val="007B6DB9"/>
    <w:rsid w:val="007B709A"/>
    <w:rsid w:val="007C0B5E"/>
    <w:rsid w:val="007C3338"/>
    <w:rsid w:val="007C78C3"/>
    <w:rsid w:val="007C793E"/>
    <w:rsid w:val="007D16E2"/>
    <w:rsid w:val="007D2016"/>
    <w:rsid w:val="007D40E5"/>
    <w:rsid w:val="007D5313"/>
    <w:rsid w:val="007D66F4"/>
    <w:rsid w:val="007D6ED2"/>
    <w:rsid w:val="007E16E4"/>
    <w:rsid w:val="007E1F85"/>
    <w:rsid w:val="007E474E"/>
    <w:rsid w:val="007E4B0E"/>
    <w:rsid w:val="007E52CF"/>
    <w:rsid w:val="007E62A4"/>
    <w:rsid w:val="007F0024"/>
    <w:rsid w:val="007F332B"/>
    <w:rsid w:val="007F3D03"/>
    <w:rsid w:val="00802C11"/>
    <w:rsid w:val="00805C8E"/>
    <w:rsid w:val="00805FE5"/>
    <w:rsid w:val="0080641B"/>
    <w:rsid w:val="00812B44"/>
    <w:rsid w:val="008157C7"/>
    <w:rsid w:val="00822184"/>
    <w:rsid w:val="008235EE"/>
    <w:rsid w:val="00824764"/>
    <w:rsid w:val="008252D6"/>
    <w:rsid w:val="00825D57"/>
    <w:rsid w:val="0082685A"/>
    <w:rsid w:val="008272DE"/>
    <w:rsid w:val="00827C99"/>
    <w:rsid w:val="0083064F"/>
    <w:rsid w:val="0083139F"/>
    <w:rsid w:val="0083328A"/>
    <w:rsid w:val="008356E9"/>
    <w:rsid w:val="00837172"/>
    <w:rsid w:val="0083779F"/>
    <w:rsid w:val="00842490"/>
    <w:rsid w:val="00842D48"/>
    <w:rsid w:val="0085234E"/>
    <w:rsid w:val="00852CBF"/>
    <w:rsid w:val="008541DD"/>
    <w:rsid w:val="0085505F"/>
    <w:rsid w:val="00855553"/>
    <w:rsid w:val="0085557D"/>
    <w:rsid w:val="008563A9"/>
    <w:rsid w:val="008569F9"/>
    <w:rsid w:val="00860549"/>
    <w:rsid w:val="00861CBD"/>
    <w:rsid w:val="00861FAF"/>
    <w:rsid w:val="008656A4"/>
    <w:rsid w:val="00866E4F"/>
    <w:rsid w:val="008671FF"/>
    <w:rsid w:val="00867290"/>
    <w:rsid w:val="0086734F"/>
    <w:rsid w:val="008722F9"/>
    <w:rsid w:val="00872A23"/>
    <w:rsid w:val="00873564"/>
    <w:rsid w:val="00873A80"/>
    <w:rsid w:val="008802FF"/>
    <w:rsid w:val="008805DD"/>
    <w:rsid w:val="00880720"/>
    <w:rsid w:val="00880780"/>
    <w:rsid w:val="008815B0"/>
    <w:rsid w:val="00882CC8"/>
    <w:rsid w:val="00883808"/>
    <w:rsid w:val="008838EF"/>
    <w:rsid w:val="00886536"/>
    <w:rsid w:val="0088691F"/>
    <w:rsid w:val="008870FD"/>
    <w:rsid w:val="00890D1F"/>
    <w:rsid w:val="00890DF6"/>
    <w:rsid w:val="008911BB"/>
    <w:rsid w:val="008930DF"/>
    <w:rsid w:val="008943F8"/>
    <w:rsid w:val="00894995"/>
    <w:rsid w:val="008957AD"/>
    <w:rsid w:val="00896175"/>
    <w:rsid w:val="008966E5"/>
    <w:rsid w:val="008975E6"/>
    <w:rsid w:val="00897C96"/>
    <w:rsid w:val="008A28C7"/>
    <w:rsid w:val="008A4A26"/>
    <w:rsid w:val="008A574A"/>
    <w:rsid w:val="008A5F53"/>
    <w:rsid w:val="008A71AA"/>
    <w:rsid w:val="008B0123"/>
    <w:rsid w:val="008B0DB0"/>
    <w:rsid w:val="008B143C"/>
    <w:rsid w:val="008B2667"/>
    <w:rsid w:val="008B2D0E"/>
    <w:rsid w:val="008B5CDA"/>
    <w:rsid w:val="008B7CDA"/>
    <w:rsid w:val="008C124D"/>
    <w:rsid w:val="008D1260"/>
    <w:rsid w:val="008D1F63"/>
    <w:rsid w:val="008D2FA6"/>
    <w:rsid w:val="008E001C"/>
    <w:rsid w:val="008E06F2"/>
    <w:rsid w:val="008E090E"/>
    <w:rsid w:val="008E0D4D"/>
    <w:rsid w:val="008E26A7"/>
    <w:rsid w:val="008E40EE"/>
    <w:rsid w:val="008E500B"/>
    <w:rsid w:val="008E7F42"/>
    <w:rsid w:val="008F1C12"/>
    <w:rsid w:val="008F2599"/>
    <w:rsid w:val="008F30DC"/>
    <w:rsid w:val="008F4AB1"/>
    <w:rsid w:val="008F6D62"/>
    <w:rsid w:val="009021E3"/>
    <w:rsid w:val="00902DB7"/>
    <w:rsid w:val="009066B9"/>
    <w:rsid w:val="009106F3"/>
    <w:rsid w:val="00911527"/>
    <w:rsid w:val="0091408D"/>
    <w:rsid w:val="00914D6D"/>
    <w:rsid w:val="00921A96"/>
    <w:rsid w:val="00924FA8"/>
    <w:rsid w:val="00935CCC"/>
    <w:rsid w:val="00936C67"/>
    <w:rsid w:val="0094335B"/>
    <w:rsid w:val="009445EA"/>
    <w:rsid w:val="00944A18"/>
    <w:rsid w:val="00944ECC"/>
    <w:rsid w:val="00945414"/>
    <w:rsid w:val="00947327"/>
    <w:rsid w:val="009473AF"/>
    <w:rsid w:val="00947724"/>
    <w:rsid w:val="00954668"/>
    <w:rsid w:val="00955A86"/>
    <w:rsid w:val="00961621"/>
    <w:rsid w:val="00963DEE"/>
    <w:rsid w:val="00966648"/>
    <w:rsid w:val="009669D3"/>
    <w:rsid w:val="00967190"/>
    <w:rsid w:val="0096741D"/>
    <w:rsid w:val="00967F64"/>
    <w:rsid w:val="00972321"/>
    <w:rsid w:val="00972A24"/>
    <w:rsid w:val="00973556"/>
    <w:rsid w:val="00974348"/>
    <w:rsid w:val="009748AF"/>
    <w:rsid w:val="00977D58"/>
    <w:rsid w:val="009817B1"/>
    <w:rsid w:val="009838C6"/>
    <w:rsid w:val="00984D7A"/>
    <w:rsid w:val="00984DA7"/>
    <w:rsid w:val="0098510B"/>
    <w:rsid w:val="00985309"/>
    <w:rsid w:val="0098622F"/>
    <w:rsid w:val="009912B4"/>
    <w:rsid w:val="009A0614"/>
    <w:rsid w:val="009A1F26"/>
    <w:rsid w:val="009A3CD1"/>
    <w:rsid w:val="009A3DEC"/>
    <w:rsid w:val="009B045F"/>
    <w:rsid w:val="009B0AA3"/>
    <w:rsid w:val="009B169B"/>
    <w:rsid w:val="009B43FB"/>
    <w:rsid w:val="009B6AB3"/>
    <w:rsid w:val="009C109C"/>
    <w:rsid w:val="009C2B14"/>
    <w:rsid w:val="009C52D5"/>
    <w:rsid w:val="009C682E"/>
    <w:rsid w:val="009C6CF7"/>
    <w:rsid w:val="009C7CC9"/>
    <w:rsid w:val="009D2502"/>
    <w:rsid w:val="009D5610"/>
    <w:rsid w:val="009D5A7D"/>
    <w:rsid w:val="009D5CDC"/>
    <w:rsid w:val="009D5E11"/>
    <w:rsid w:val="009D6B67"/>
    <w:rsid w:val="009D6FA2"/>
    <w:rsid w:val="009E074A"/>
    <w:rsid w:val="009E3DC6"/>
    <w:rsid w:val="009E502B"/>
    <w:rsid w:val="009E77E6"/>
    <w:rsid w:val="009F008C"/>
    <w:rsid w:val="009F0DA1"/>
    <w:rsid w:val="009F0EC0"/>
    <w:rsid w:val="009F13BA"/>
    <w:rsid w:val="009F3B84"/>
    <w:rsid w:val="009F3E2B"/>
    <w:rsid w:val="009F4766"/>
    <w:rsid w:val="009F49BF"/>
    <w:rsid w:val="00A0067F"/>
    <w:rsid w:val="00A011C7"/>
    <w:rsid w:val="00A02D12"/>
    <w:rsid w:val="00A055E8"/>
    <w:rsid w:val="00A06547"/>
    <w:rsid w:val="00A06AF7"/>
    <w:rsid w:val="00A071F9"/>
    <w:rsid w:val="00A113DF"/>
    <w:rsid w:val="00A128D8"/>
    <w:rsid w:val="00A129E2"/>
    <w:rsid w:val="00A1358A"/>
    <w:rsid w:val="00A14643"/>
    <w:rsid w:val="00A16B58"/>
    <w:rsid w:val="00A21942"/>
    <w:rsid w:val="00A22330"/>
    <w:rsid w:val="00A22A4F"/>
    <w:rsid w:val="00A22E03"/>
    <w:rsid w:val="00A2300F"/>
    <w:rsid w:val="00A24265"/>
    <w:rsid w:val="00A24730"/>
    <w:rsid w:val="00A327E8"/>
    <w:rsid w:val="00A34B06"/>
    <w:rsid w:val="00A358A6"/>
    <w:rsid w:val="00A3787B"/>
    <w:rsid w:val="00A461E3"/>
    <w:rsid w:val="00A479F3"/>
    <w:rsid w:val="00A50E57"/>
    <w:rsid w:val="00A5159E"/>
    <w:rsid w:val="00A5184E"/>
    <w:rsid w:val="00A5360F"/>
    <w:rsid w:val="00A54984"/>
    <w:rsid w:val="00A57BA9"/>
    <w:rsid w:val="00A61647"/>
    <w:rsid w:val="00A62CFB"/>
    <w:rsid w:val="00A64026"/>
    <w:rsid w:val="00A65EB4"/>
    <w:rsid w:val="00A667DC"/>
    <w:rsid w:val="00A723FF"/>
    <w:rsid w:val="00A72589"/>
    <w:rsid w:val="00A7538E"/>
    <w:rsid w:val="00A75FB7"/>
    <w:rsid w:val="00A773B1"/>
    <w:rsid w:val="00A8456B"/>
    <w:rsid w:val="00A8611A"/>
    <w:rsid w:val="00A86B34"/>
    <w:rsid w:val="00A871CE"/>
    <w:rsid w:val="00A87545"/>
    <w:rsid w:val="00A919DE"/>
    <w:rsid w:val="00A921C8"/>
    <w:rsid w:val="00A92D4D"/>
    <w:rsid w:val="00A93582"/>
    <w:rsid w:val="00A96FD5"/>
    <w:rsid w:val="00A9708A"/>
    <w:rsid w:val="00AA0681"/>
    <w:rsid w:val="00AA0C00"/>
    <w:rsid w:val="00AA22B2"/>
    <w:rsid w:val="00AA260D"/>
    <w:rsid w:val="00AA34D3"/>
    <w:rsid w:val="00AA535D"/>
    <w:rsid w:val="00AA5D0A"/>
    <w:rsid w:val="00AA7A93"/>
    <w:rsid w:val="00AA7B00"/>
    <w:rsid w:val="00AB0F1F"/>
    <w:rsid w:val="00AB2486"/>
    <w:rsid w:val="00AB2628"/>
    <w:rsid w:val="00AB5503"/>
    <w:rsid w:val="00AB6311"/>
    <w:rsid w:val="00AB6DB2"/>
    <w:rsid w:val="00AB7B6F"/>
    <w:rsid w:val="00AC1E1F"/>
    <w:rsid w:val="00AC1E43"/>
    <w:rsid w:val="00AC68CC"/>
    <w:rsid w:val="00AC7447"/>
    <w:rsid w:val="00AC7A61"/>
    <w:rsid w:val="00AD0390"/>
    <w:rsid w:val="00AD42B5"/>
    <w:rsid w:val="00AD5208"/>
    <w:rsid w:val="00AE0FBC"/>
    <w:rsid w:val="00AE1397"/>
    <w:rsid w:val="00AE2019"/>
    <w:rsid w:val="00AE2537"/>
    <w:rsid w:val="00AE2C93"/>
    <w:rsid w:val="00AE2DD5"/>
    <w:rsid w:val="00AE3131"/>
    <w:rsid w:val="00AE3993"/>
    <w:rsid w:val="00AE4101"/>
    <w:rsid w:val="00AE4225"/>
    <w:rsid w:val="00AE4538"/>
    <w:rsid w:val="00AE7D04"/>
    <w:rsid w:val="00AF0EC9"/>
    <w:rsid w:val="00AF1DA4"/>
    <w:rsid w:val="00AF21E9"/>
    <w:rsid w:val="00AF2D54"/>
    <w:rsid w:val="00AF32CC"/>
    <w:rsid w:val="00AF4F54"/>
    <w:rsid w:val="00AF5DB9"/>
    <w:rsid w:val="00AF6541"/>
    <w:rsid w:val="00AF7633"/>
    <w:rsid w:val="00B012DD"/>
    <w:rsid w:val="00B0142E"/>
    <w:rsid w:val="00B016E9"/>
    <w:rsid w:val="00B02C44"/>
    <w:rsid w:val="00B05A62"/>
    <w:rsid w:val="00B07745"/>
    <w:rsid w:val="00B07D6C"/>
    <w:rsid w:val="00B112D3"/>
    <w:rsid w:val="00B14138"/>
    <w:rsid w:val="00B145EF"/>
    <w:rsid w:val="00B146FB"/>
    <w:rsid w:val="00B21352"/>
    <w:rsid w:val="00B2146F"/>
    <w:rsid w:val="00B21B02"/>
    <w:rsid w:val="00B22A20"/>
    <w:rsid w:val="00B23585"/>
    <w:rsid w:val="00B245CC"/>
    <w:rsid w:val="00B2519C"/>
    <w:rsid w:val="00B307B7"/>
    <w:rsid w:val="00B31C4B"/>
    <w:rsid w:val="00B333EB"/>
    <w:rsid w:val="00B34D74"/>
    <w:rsid w:val="00B37A5D"/>
    <w:rsid w:val="00B41166"/>
    <w:rsid w:val="00B41944"/>
    <w:rsid w:val="00B41D5A"/>
    <w:rsid w:val="00B42A17"/>
    <w:rsid w:val="00B432AB"/>
    <w:rsid w:val="00B43876"/>
    <w:rsid w:val="00B43A6E"/>
    <w:rsid w:val="00B44276"/>
    <w:rsid w:val="00B44279"/>
    <w:rsid w:val="00B45EF2"/>
    <w:rsid w:val="00B46659"/>
    <w:rsid w:val="00B46E28"/>
    <w:rsid w:val="00B470B1"/>
    <w:rsid w:val="00B517A6"/>
    <w:rsid w:val="00B52040"/>
    <w:rsid w:val="00B52C5E"/>
    <w:rsid w:val="00B532DB"/>
    <w:rsid w:val="00B53904"/>
    <w:rsid w:val="00B60DA2"/>
    <w:rsid w:val="00B6134B"/>
    <w:rsid w:val="00B625E0"/>
    <w:rsid w:val="00B62C4C"/>
    <w:rsid w:val="00B63301"/>
    <w:rsid w:val="00B63B3F"/>
    <w:rsid w:val="00B65F31"/>
    <w:rsid w:val="00B70681"/>
    <w:rsid w:val="00B70C2E"/>
    <w:rsid w:val="00B72194"/>
    <w:rsid w:val="00B735BF"/>
    <w:rsid w:val="00B73B64"/>
    <w:rsid w:val="00B748BD"/>
    <w:rsid w:val="00B76B9A"/>
    <w:rsid w:val="00B84186"/>
    <w:rsid w:val="00B90036"/>
    <w:rsid w:val="00B90A89"/>
    <w:rsid w:val="00B91623"/>
    <w:rsid w:val="00B91EC9"/>
    <w:rsid w:val="00B93483"/>
    <w:rsid w:val="00B94891"/>
    <w:rsid w:val="00BA03BB"/>
    <w:rsid w:val="00BA2FFC"/>
    <w:rsid w:val="00BA48CD"/>
    <w:rsid w:val="00BA541A"/>
    <w:rsid w:val="00BA701C"/>
    <w:rsid w:val="00BB04A3"/>
    <w:rsid w:val="00BB057A"/>
    <w:rsid w:val="00BB1F54"/>
    <w:rsid w:val="00BB27CB"/>
    <w:rsid w:val="00BB3462"/>
    <w:rsid w:val="00BB3E70"/>
    <w:rsid w:val="00BB475C"/>
    <w:rsid w:val="00BC0C85"/>
    <w:rsid w:val="00BC0F16"/>
    <w:rsid w:val="00BC3843"/>
    <w:rsid w:val="00BC5C90"/>
    <w:rsid w:val="00BC7ABE"/>
    <w:rsid w:val="00BD0E54"/>
    <w:rsid w:val="00BD287D"/>
    <w:rsid w:val="00BD2A97"/>
    <w:rsid w:val="00BD2CAA"/>
    <w:rsid w:val="00BD323D"/>
    <w:rsid w:val="00BD3F27"/>
    <w:rsid w:val="00BD45A2"/>
    <w:rsid w:val="00BD4DCB"/>
    <w:rsid w:val="00BD60D1"/>
    <w:rsid w:val="00BD63D7"/>
    <w:rsid w:val="00BD6A76"/>
    <w:rsid w:val="00BE42C3"/>
    <w:rsid w:val="00BE5FBF"/>
    <w:rsid w:val="00BE63BE"/>
    <w:rsid w:val="00BF0519"/>
    <w:rsid w:val="00BF0B93"/>
    <w:rsid w:val="00BF2EE3"/>
    <w:rsid w:val="00BF493C"/>
    <w:rsid w:val="00BF6CE1"/>
    <w:rsid w:val="00C009BC"/>
    <w:rsid w:val="00C00A13"/>
    <w:rsid w:val="00C01515"/>
    <w:rsid w:val="00C01F6A"/>
    <w:rsid w:val="00C025B6"/>
    <w:rsid w:val="00C0469F"/>
    <w:rsid w:val="00C07431"/>
    <w:rsid w:val="00C079A9"/>
    <w:rsid w:val="00C118D8"/>
    <w:rsid w:val="00C1196F"/>
    <w:rsid w:val="00C11C6C"/>
    <w:rsid w:val="00C130D8"/>
    <w:rsid w:val="00C1439E"/>
    <w:rsid w:val="00C14B25"/>
    <w:rsid w:val="00C14D65"/>
    <w:rsid w:val="00C15203"/>
    <w:rsid w:val="00C16270"/>
    <w:rsid w:val="00C21AE4"/>
    <w:rsid w:val="00C2241B"/>
    <w:rsid w:val="00C23F2D"/>
    <w:rsid w:val="00C2495C"/>
    <w:rsid w:val="00C24A1E"/>
    <w:rsid w:val="00C26AB4"/>
    <w:rsid w:val="00C27EF3"/>
    <w:rsid w:val="00C30D4D"/>
    <w:rsid w:val="00C37ADC"/>
    <w:rsid w:val="00C41703"/>
    <w:rsid w:val="00C41E6F"/>
    <w:rsid w:val="00C41F5C"/>
    <w:rsid w:val="00C4275F"/>
    <w:rsid w:val="00C445DE"/>
    <w:rsid w:val="00C4571B"/>
    <w:rsid w:val="00C45FEE"/>
    <w:rsid w:val="00C4693E"/>
    <w:rsid w:val="00C477B9"/>
    <w:rsid w:val="00C51F97"/>
    <w:rsid w:val="00C630CB"/>
    <w:rsid w:val="00C63559"/>
    <w:rsid w:val="00C6437B"/>
    <w:rsid w:val="00C6717C"/>
    <w:rsid w:val="00C7113C"/>
    <w:rsid w:val="00C732DF"/>
    <w:rsid w:val="00C755DC"/>
    <w:rsid w:val="00C75A42"/>
    <w:rsid w:val="00C77519"/>
    <w:rsid w:val="00C824C8"/>
    <w:rsid w:val="00C82F62"/>
    <w:rsid w:val="00C83639"/>
    <w:rsid w:val="00C90018"/>
    <w:rsid w:val="00C931A2"/>
    <w:rsid w:val="00C935FE"/>
    <w:rsid w:val="00C94265"/>
    <w:rsid w:val="00CA002B"/>
    <w:rsid w:val="00CA1288"/>
    <w:rsid w:val="00CA18AA"/>
    <w:rsid w:val="00CA2EF0"/>
    <w:rsid w:val="00CA32FA"/>
    <w:rsid w:val="00CA3E76"/>
    <w:rsid w:val="00CA4E53"/>
    <w:rsid w:val="00CB0C15"/>
    <w:rsid w:val="00CB0CB0"/>
    <w:rsid w:val="00CB2362"/>
    <w:rsid w:val="00CB2855"/>
    <w:rsid w:val="00CB3C74"/>
    <w:rsid w:val="00CB5037"/>
    <w:rsid w:val="00CB6497"/>
    <w:rsid w:val="00CB6E78"/>
    <w:rsid w:val="00CB76FD"/>
    <w:rsid w:val="00CC1893"/>
    <w:rsid w:val="00CC1AE8"/>
    <w:rsid w:val="00CC420D"/>
    <w:rsid w:val="00CC577D"/>
    <w:rsid w:val="00CC6501"/>
    <w:rsid w:val="00CC680F"/>
    <w:rsid w:val="00CD04E6"/>
    <w:rsid w:val="00CD0CC6"/>
    <w:rsid w:val="00CD2576"/>
    <w:rsid w:val="00CD3C52"/>
    <w:rsid w:val="00CD5C81"/>
    <w:rsid w:val="00CD7235"/>
    <w:rsid w:val="00CD7912"/>
    <w:rsid w:val="00CE14B9"/>
    <w:rsid w:val="00CE3C5B"/>
    <w:rsid w:val="00CE5057"/>
    <w:rsid w:val="00CE6218"/>
    <w:rsid w:val="00CF0814"/>
    <w:rsid w:val="00CF0C13"/>
    <w:rsid w:val="00CF0D11"/>
    <w:rsid w:val="00CF12A6"/>
    <w:rsid w:val="00CF147D"/>
    <w:rsid w:val="00CF19C5"/>
    <w:rsid w:val="00CF20D4"/>
    <w:rsid w:val="00CF273C"/>
    <w:rsid w:val="00CF46E8"/>
    <w:rsid w:val="00CF4C46"/>
    <w:rsid w:val="00D009C8"/>
    <w:rsid w:val="00D059E3"/>
    <w:rsid w:val="00D064D0"/>
    <w:rsid w:val="00D068CC"/>
    <w:rsid w:val="00D07472"/>
    <w:rsid w:val="00D07DE5"/>
    <w:rsid w:val="00D07EE3"/>
    <w:rsid w:val="00D10351"/>
    <w:rsid w:val="00D10FFC"/>
    <w:rsid w:val="00D17701"/>
    <w:rsid w:val="00D17E62"/>
    <w:rsid w:val="00D20D32"/>
    <w:rsid w:val="00D24179"/>
    <w:rsid w:val="00D244B7"/>
    <w:rsid w:val="00D24C7D"/>
    <w:rsid w:val="00D2519B"/>
    <w:rsid w:val="00D30451"/>
    <w:rsid w:val="00D30B73"/>
    <w:rsid w:val="00D3463F"/>
    <w:rsid w:val="00D34A36"/>
    <w:rsid w:val="00D4116D"/>
    <w:rsid w:val="00D45267"/>
    <w:rsid w:val="00D47066"/>
    <w:rsid w:val="00D47353"/>
    <w:rsid w:val="00D50F35"/>
    <w:rsid w:val="00D51335"/>
    <w:rsid w:val="00D5199C"/>
    <w:rsid w:val="00D52623"/>
    <w:rsid w:val="00D57A1F"/>
    <w:rsid w:val="00D6080F"/>
    <w:rsid w:val="00D613F5"/>
    <w:rsid w:val="00D646D6"/>
    <w:rsid w:val="00D64BF1"/>
    <w:rsid w:val="00D6690C"/>
    <w:rsid w:val="00D67DAF"/>
    <w:rsid w:val="00D7097C"/>
    <w:rsid w:val="00D70996"/>
    <w:rsid w:val="00D716DD"/>
    <w:rsid w:val="00D72297"/>
    <w:rsid w:val="00D73E7B"/>
    <w:rsid w:val="00D75328"/>
    <w:rsid w:val="00D77917"/>
    <w:rsid w:val="00D80A31"/>
    <w:rsid w:val="00D80B48"/>
    <w:rsid w:val="00D8100F"/>
    <w:rsid w:val="00D82CC7"/>
    <w:rsid w:val="00D84992"/>
    <w:rsid w:val="00D872CF"/>
    <w:rsid w:val="00D90B9F"/>
    <w:rsid w:val="00D935F7"/>
    <w:rsid w:val="00D939F8"/>
    <w:rsid w:val="00D94E66"/>
    <w:rsid w:val="00D95305"/>
    <w:rsid w:val="00D9707F"/>
    <w:rsid w:val="00D97C51"/>
    <w:rsid w:val="00DA0927"/>
    <w:rsid w:val="00DA12D7"/>
    <w:rsid w:val="00DA18FD"/>
    <w:rsid w:val="00DA4D97"/>
    <w:rsid w:val="00DB017A"/>
    <w:rsid w:val="00DB12E0"/>
    <w:rsid w:val="00DB182B"/>
    <w:rsid w:val="00DB1E29"/>
    <w:rsid w:val="00DB4885"/>
    <w:rsid w:val="00DB4923"/>
    <w:rsid w:val="00DB49E7"/>
    <w:rsid w:val="00DB5B66"/>
    <w:rsid w:val="00DC01B1"/>
    <w:rsid w:val="00DC16AB"/>
    <w:rsid w:val="00DC340A"/>
    <w:rsid w:val="00DC3D0A"/>
    <w:rsid w:val="00DC4817"/>
    <w:rsid w:val="00DC612A"/>
    <w:rsid w:val="00DD048A"/>
    <w:rsid w:val="00DD0977"/>
    <w:rsid w:val="00DD4E13"/>
    <w:rsid w:val="00DE15AE"/>
    <w:rsid w:val="00DE1D55"/>
    <w:rsid w:val="00DE1DE6"/>
    <w:rsid w:val="00DE3EC7"/>
    <w:rsid w:val="00DE480F"/>
    <w:rsid w:val="00DE7AD3"/>
    <w:rsid w:val="00DE7CC6"/>
    <w:rsid w:val="00DF1AF4"/>
    <w:rsid w:val="00DF1ED3"/>
    <w:rsid w:val="00DF30A6"/>
    <w:rsid w:val="00DF33BD"/>
    <w:rsid w:val="00DF5B40"/>
    <w:rsid w:val="00DF711B"/>
    <w:rsid w:val="00DF72ED"/>
    <w:rsid w:val="00DF7E05"/>
    <w:rsid w:val="00E00C19"/>
    <w:rsid w:val="00E00D95"/>
    <w:rsid w:val="00E022AB"/>
    <w:rsid w:val="00E04314"/>
    <w:rsid w:val="00E0505A"/>
    <w:rsid w:val="00E05DB3"/>
    <w:rsid w:val="00E13599"/>
    <w:rsid w:val="00E20267"/>
    <w:rsid w:val="00E208ED"/>
    <w:rsid w:val="00E20D18"/>
    <w:rsid w:val="00E21287"/>
    <w:rsid w:val="00E21E71"/>
    <w:rsid w:val="00E21E88"/>
    <w:rsid w:val="00E22460"/>
    <w:rsid w:val="00E23053"/>
    <w:rsid w:val="00E23E11"/>
    <w:rsid w:val="00E2527A"/>
    <w:rsid w:val="00E26C8C"/>
    <w:rsid w:val="00E27221"/>
    <w:rsid w:val="00E3056A"/>
    <w:rsid w:val="00E3360C"/>
    <w:rsid w:val="00E33E85"/>
    <w:rsid w:val="00E34DCE"/>
    <w:rsid w:val="00E3521C"/>
    <w:rsid w:val="00E35FB9"/>
    <w:rsid w:val="00E36E50"/>
    <w:rsid w:val="00E42D68"/>
    <w:rsid w:val="00E42F22"/>
    <w:rsid w:val="00E4459F"/>
    <w:rsid w:val="00E44DB2"/>
    <w:rsid w:val="00E5349A"/>
    <w:rsid w:val="00E534C2"/>
    <w:rsid w:val="00E5480B"/>
    <w:rsid w:val="00E55BA0"/>
    <w:rsid w:val="00E55E81"/>
    <w:rsid w:val="00E616E4"/>
    <w:rsid w:val="00E67E0F"/>
    <w:rsid w:val="00E72DA3"/>
    <w:rsid w:val="00E75767"/>
    <w:rsid w:val="00E75D3F"/>
    <w:rsid w:val="00E766E4"/>
    <w:rsid w:val="00E804D2"/>
    <w:rsid w:val="00E81C5F"/>
    <w:rsid w:val="00E82404"/>
    <w:rsid w:val="00E8295D"/>
    <w:rsid w:val="00E83C33"/>
    <w:rsid w:val="00E84995"/>
    <w:rsid w:val="00E87A99"/>
    <w:rsid w:val="00E91804"/>
    <w:rsid w:val="00E92F18"/>
    <w:rsid w:val="00E96027"/>
    <w:rsid w:val="00E96034"/>
    <w:rsid w:val="00E973CC"/>
    <w:rsid w:val="00EA05F2"/>
    <w:rsid w:val="00EA100C"/>
    <w:rsid w:val="00EA46FF"/>
    <w:rsid w:val="00EA769C"/>
    <w:rsid w:val="00EB050C"/>
    <w:rsid w:val="00EB1DC4"/>
    <w:rsid w:val="00EB1DE0"/>
    <w:rsid w:val="00EB2735"/>
    <w:rsid w:val="00EB4FD4"/>
    <w:rsid w:val="00EC07AF"/>
    <w:rsid w:val="00EC0D26"/>
    <w:rsid w:val="00EC1709"/>
    <w:rsid w:val="00EC2C7C"/>
    <w:rsid w:val="00EC3238"/>
    <w:rsid w:val="00EC383C"/>
    <w:rsid w:val="00EC57E9"/>
    <w:rsid w:val="00ED10C0"/>
    <w:rsid w:val="00ED2F68"/>
    <w:rsid w:val="00ED4E71"/>
    <w:rsid w:val="00ED579C"/>
    <w:rsid w:val="00ED6F0F"/>
    <w:rsid w:val="00EE273E"/>
    <w:rsid w:val="00EE5715"/>
    <w:rsid w:val="00EE57D9"/>
    <w:rsid w:val="00EE789B"/>
    <w:rsid w:val="00EF0189"/>
    <w:rsid w:val="00EF1E24"/>
    <w:rsid w:val="00EF2746"/>
    <w:rsid w:val="00EF365C"/>
    <w:rsid w:val="00EF53C7"/>
    <w:rsid w:val="00F010BD"/>
    <w:rsid w:val="00F0184A"/>
    <w:rsid w:val="00F02B7F"/>
    <w:rsid w:val="00F05E41"/>
    <w:rsid w:val="00F13002"/>
    <w:rsid w:val="00F1379F"/>
    <w:rsid w:val="00F144FA"/>
    <w:rsid w:val="00F14D92"/>
    <w:rsid w:val="00F15902"/>
    <w:rsid w:val="00F1611C"/>
    <w:rsid w:val="00F164F1"/>
    <w:rsid w:val="00F22075"/>
    <w:rsid w:val="00F2235B"/>
    <w:rsid w:val="00F244E9"/>
    <w:rsid w:val="00F245DA"/>
    <w:rsid w:val="00F252C8"/>
    <w:rsid w:val="00F31622"/>
    <w:rsid w:val="00F31CAF"/>
    <w:rsid w:val="00F33353"/>
    <w:rsid w:val="00F3402F"/>
    <w:rsid w:val="00F35127"/>
    <w:rsid w:val="00F35FE1"/>
    <w:rsid w:val="00F37B4B"/>
    <w:rsid w:val="00F37FFA"/>
    <w:rsid w:val="00F40796"/>
    <w:rsid w:val="00F42D25"/>
    <w:rsid w:val="00F460CB"/>
    <w:rsid w:val="00F5235F"/>
    <w:rsid w:val="00F52790"/>
    <w:rsid w:val="00F56C0A"/>
    <w:rsid w:val="00F57D4D"/>
    <w:rsid w:val="00F60396"/>
    <w:rsid w:val="00F61460"/>
    <w:rsid w:val="00F64ABF"/>
    <w:rsid w:val="00F656F3"/>
    <w:rsid w:val="00F673F4"/>
    <w:rsid w:val="00F67B34"/>
    <w:rsid w:val="00F7111B"/>
    <w:rsid w:val="00F71E86"/>
    <w:rsid w:val="00F7336E"/>
    <w:rsid w:val="00F80C39"/>
    <w:rsid w:val="00F81976"/>
    <w:rsid w:val="00F819F5"/>
    <w:rsid w:val="00F86556"/>
    <w:rsid w:val="00F906B0"/>
    <w:rsid w:val="00F90BFC"/>
    <w:rsid w:val="00F913B1"/>
    <w:rsid w:val="00F9403A"/>
    <w:rsid w:val="00F9460C"/>
    <w:rsid w:val="00F970F0"/>
    <w:rsid w:val="00F97924"/>
    <w:rsid w:val="00FA1BFF"/>
    <w:rsid w:val="00FA3AB4"/>
    <w:rsid w:val="00FA3C9E"/>
    <w:rsid w:val="00FB0B1C"/>
    <w:rsid w:val="00FB2943"/>
    <w:rsid w:val="00FB33CE"/>
    <w:rsid w:val="00FB3DE8"/>
    <w:rsid w:val="00FB405F"/>
    <w:rsid w:val="00FB79D5"/>
    <w:rsid w:val="00FC10FA"/>
    <w:rsid w:val="00FC1386"/>
    <w:rsid w:val="00FC16D6"/>
    <w:rsid w:val="00FC2DE0"/>
    <w:rsid w:val="00FC4A96"/>
    <w:rsid w:val="00FC588F"/>
    <w:rsid w:val="00FD09FB"/>
    <w:rsid w:val="00FD1045"/>
    <w:rsid w:val="00FD39C8"/>
    <w:rsid w:val="00FE1626"/>
    <w:rsid w:val="00FE5729"/>
    <w:rsid w:val="00FE689B"/>
    <w:rsid w:val="00FE6D28"/>
    <w:rsid w:val="00FE6E09"/>
    <w:rsid w:val="00FF0AB2"/>
    <w:rsid w:val="00FF19DF"/>
    <w:rsid w:val="00FF268A"/>
    <w:rsid w:val="00FF2E5C"/>
    <w:rsid w:val="00FF2EB5"/>
    <w:rsid w:val="00FF4245"/>
    <w:rsid w:val="00FF4652"/>
    <w:rsid w:val="00FF4A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7B5828"/>
  <w15:docId w15:val="{788EBDBD-CB44-43DD-996C-0D7AEC3B6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0"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598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54598F"/>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2C38F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BodyText"/>
    <w:link w:val="Heading3Char"/>
    <w:uiPriority w:val="9"/>
    <w:unhideWhenUsed/>
    <w:qFormat/>
    <w:rsid w:val="002C38FA"/>
    <w:pPr>
      <w:keepNext/>
      <w:keepLines/>
      <w:spacing w:before="200"/>
      <w:outlineLvl w:val="2"/>
    </w:pPr>
    <w:rPr>
      <w:rFonts w:asciiTheme="majorHAnsi" w:eastAsiaTheme="majorEastAsia" w:hAnsiTheme="majorHAnsi" w:cstheme="majorBidi"/>
      <w:b/>
      <w:bCs/>
      <w:color w:val="4472C4" w:themeColor="accent1"/>
      <w:sz w:val="28"/>
      <w:szCs w:val="28"/>
    </w:rPr>
  </w:style>
  <w:style w:type="paragraph" w:styleId="Heading4">
    <w:name w:val="heading 4"/>
    <w:basedOn w:val="Normal"/>
    <w:next w:val="BodyText"/>
    <w:link w:val="Heading4Char"/>
    <w:uiPriority w:val="9"/>
    <w:unhideWhenUsed/>
    <w:qFormat/>
    <w:rsid w:val="002C38FA"/>
    <w:pPr>
      <w:keepNext/>
      <w:keepLines/>
      <w:spacing w:before="200"/>
      <w:outlineLvl w:val="3"/>
    </w:pPr>
    <w:rPr>
      <w:rFonts w:asciiTheme="majorHAnsi" w:eastAsiaTheme="majorEastAsia" w:hAnsiTheme="majorHAnsi" w:cstheme="majorBidi"/>
      <w:b/>
      <w:bCs/>
      <w:color w:val="4472C4" w:themeColor="accent1"/>
    </w:rPr>
  </w:style>
  <w:style w:type="paragraph" w:styleId="Heading5">
    <w:name w:val="heading 5"/>
    <w:basedOn w:val="Normal"/>
    <w:next w:val="BodyText"/>
    <w:link w:val="Heading5Char"/>
    <w:uiPriority w:val="9"/>
    <w:unhideWhenUsed/>
    <w:qFormat/>
    <w:rsid w:val="002C38FA"/>
    <w:pPr>
      <w:keepNext/>
      <w:keepLines/>
      <w:spacing w:before="200"/>
      <w:outlineLvl w:val="4"/>
    </w:pPr>
    <w:rPr>
      <w:rFonts w:asciiTheme="majorHAnsi" w:eastAsiaTheme="majorEastAsia" w:hAnsiTheme="majorHAnsi" w:cstheme="majorBidi"/>
      <w:i/>
      <w:iCs/>
      <w:color w:val="4472C4" w:themeColor="accent1"/>
    </w:rPr>
  </w:style>
  <w:style w:type="paragraph" w:styleId="Heading6">
    <w:name w:val="heading 6"/>
    <w:basedOn w:val="Normal"/>
    <w:next w:val="BodyText"/>
    <w:link w:val="Heading6Char"/>
    <w:uiPriority w:val="9"/>
    <w:unhideWhenUsed/>
    <w:qFormat/>
    <w:rsid w:val="002C38FA"/>
    <w:pPr>
      <w:keepNext/>
      <w:keepLines/>
      <w:spacing w:before="200"/>
      <w:outlineLvl w:val="5"/>
    </w:pPr>
    <w:rPr>
      <w:rFonts w:asciiTheme="majorHAnsi" w:eastAsiaTheme="majorEastAsia" w:hAnsiTheme="majorHAnsi" w:cstheme="majorBidi"/>
      <w:color w:val="4472C4" w:themeColor="accent1"/>
    </w:rPr>
  </w:style>
  <w:style w:type="paragraph" w:styleId="Heading7">
    <w:name w:val="heading 7"/>
    <w:basedOn w:val="Normal"/>
    <w:next w:val="BodyText"/>
    <w:link w:val="Heading7Char"/>
    <w:uiPriority w:val="9"/>
    <w:unhideWhenUsed/>
    <w:qFormat/>
    <w:rsid w:val="002C38FA"/>
    <w:pPr>
      <w:keepNext/>
      <w:keepLines/>
      <w:spacing w:before="200"/>
      <w:outlineLvl w:val="6"/>
    </w:pPr>
    <w:rPr>
      <w:rFonts w:asciiTheme="majorHAnsi" w:eastAsiaTheme="majorEastAsia" w:hAnsiTheme="majorHAnsi" w:cstheme="majorBidi"/>
      <w:color w:val="4472C4" w:themeColor="accent1"/>
    </w:rPr>
  </w:style>
  <w:style w:type="paragraph" w:styleId="Heading8">
    <w:name w:val="heading 8"/>
    <w:basedOn w:val="Normal"/>
    <w:next w:val="BodyText"/>
    <w:link w:val="Heading8Char"/>
    <w:uiPriority w:val="9"/>
    <w:unhideWhenUsed/>
    <w:qFormat/>
    <w:rsid w:val="002C38FA"/>
    <w:pPr>
      <w:keepNext/>
      <w:keepLines/>
      <w:spacing w:before="200"/>
      <w:outlineLvl w:val="7"/>
    </w:pPr>
    <w:rPr>
      <w:rFonts w:asciiTheme="majorHAnsi" w:eastAsiaTheme="majorEastAsia" w:hAnsiTheme="majorHAnsi" w:cstheme="majorBidi"/>
      <w:color w:val="4472C4" w:themeColor="accent1"/>
    </w:rPr>
  </w:style>
  <w:style w:type="paragraph" w:styleId="Heading9">
    <w:name w:val="heading 9"/>
    <w:basedOn w:val="Normal"/>
    <w:next w:val="BodyText"/>
    <w:link w:val="Heading9Char"/>
    <w:uiPriority w:val="9"/>
    <w:unhideWhenUsed/>
    <w:qFormat/>
    <w:rsid w:val="002C38FA"/>
    <w:pPr>
      <w:keepNext/>
      <w:keepLines/>
      <w:spacing w:before="200"/>
      <w:outlineLvl w:val="8"/>
    </w:pPr>
    <w:rPr>
      <w:rFonts w:asciiTheme="majorHAnsi" w:eastAsiaTheme="majorEastAsia" w:hAnsiTheme="majorHAnsi" w:cstheme="majorBidi"/>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598F"/>
    <w:rPr>
      <w:rFonts w:ascii="Arial" w:eastAsia="Times New Roman" w:hAnsi="Arial" w:cs="Arial"/>
      <w:b/>
      <w:bCs/>
      <w:kern w:val="32"/>
      <w:sz w:val="32"/>
      <w:szCs w:val="32"/>
      <w:lang w:val="fr-FR"/>
    </w:rPr>
  </w:style>
  <w:style w:type="paragraph" w:customStyle="1" w:styleId="1Paragraph">
    <w:name w:val="1Paragraph"/>
    <w:qFormat/>
    <w:rsid w:val="0054598F"/>
    <w:pPr>
      <w:tabs>
        <w:tab w:val="left" w:pos="720"/>
      </w:tabs>
      <w:autoSpaceDE w:val="0"/>
      <w:autoSpaceDN w:val="0"/>
      <w:adjustRightInd w:val="0"/>
      <w:spacing w:after="0" w:line="240" w:lineRule="auto"/>
      <w:ind w:left="720" w:hanging="720"/>
    </w:pPr>
    <w:rPr>
      <w:rFonts w:ascii="Courier 10cpi" w:eastAsia="Times New Roman" w:hAnsi="Courier 10cpi" w:cs="Times New Roman"/>
      <w:sz w:val="20"/>
      <w:szCs w:val="24"/>
    </w:rPr>
  </w:style>
  <w:style w:type="paragraph" w:styleId="BodyTextIndent">
    <w:name w:val="Body Text Indent"/>
    <w:basedOn w:val="Normal"/>
    <w:link w:val="BodyTextIndentChar"/>
    <w:rsid w:val="0054598F"/>
    <w:pPr>
      <w:tabs>
        <w:tab w:val="left" w:pos="-720"/>
        <w:tab w:val="left" w:pos="180"/>
        <w:tab w:val="left" w:pos="720"/>
        <w:tab w:val="left" w:pos="817"/>
        <w:tab w:val="left" w:pos="1152"/>
      </w:tabs>
      <w:spacing w:line="287" w:lineRule="atLeast"/>
      <w:ind w:left="180"/>
    </w:pPr>
    <w:rPr>
      <w:sz w:val="22"/>
      <w:szCs w:val="22"/>
    </w:rPr>
  </w:style>
  <w:style w:type="character" w:customStyle="1" w:styleId="BodyTextIndentChar">
    <w:name w:val="Body Text Indent Char"/>
    <w:basedOn w:val="DefaultParagraphFont"/>
    <w:link w:val="BodyTextIndent"/>
    <w:rsid w:val="0054598F"/>
    <w:rPr>
      <w:rFonts w:ascii="Times New Roman" w:eastAsia="Times New Roman" w:hAnsi="Times New Roman" w:cs="Times New Roman"/>
      <w:lang w:val="fr-FR"/>
    </w:rPr>
  </w:style>
  <w:style w:type="paragraph" w:styleId="Header">
    <w:name w:val="header"/>
    <w:basedOn w:val="Normal"/>
    <w:link w:val="HeaderChar"/>
    <w:rsid w:val="0054598F"/>
    <w:pPr>
      <w:tabs>
        <w:tab w:val="center" w:pos="4320"/>
        <w:tab w:val="right" w:pos="8640"/>
      </w:tabs>
    </w:pPr>
  </w:style>
  <w:style w:type="character" w:customStyle="1" w:styleId="HeaderChar">
    <w:name w:val="Header Char"/>
    <w:basedOn w:val="DefaultParagraphFont"/>
    <w:link w:val="Header"/>
    <w:rsid w:val="0054598F"/>
    <w:rPr>
      <w:rFonts w:ascii="Times New Roman" w:eastAsia="Times New Roman" w:hAnsi="Times New Roman" w:cs="Times New Roman"/>
      <w:sz w:val="24"/>
      <w:szCs w:val="24"/>
      <w:lang w:val="fr-FR"/>
    </w:rPr>
  </w:style>
  <w:style w:type="paragraph" w:styleId="Footer">
    <w:name w:val="footer"/>
    <w:basedOn w:val="Normal"/>
    <w:link w:val="FooterChar"/>
    <w:uiPriority w:val="99"/>
    <w:rsid w:val="0054598F"/>
    <w:pPr>
      <w:tabs>
        <w:tab w:val="center" w:pos="4320"/>
        <w:tab w:val="right" w:pos="8640"/>
      </w:tabs>
    </w:pPr>
  </w:style>
  <w:style w:type="character" w:customStyle="1" w:styleId="FooterChar">
    <w:name w:val="Footer Char"/>
    <w:basedOn w:val="DefaultParagraphFont"/>
    <w:link w:val="Footer"/>
    <w:uiPriority w:val="99"/>
    <w:rsid w:val="0054598F"/>
    <w:rPr>
      <w:rFonts w:ascii="Times New Roman" w:eastAsia="Times New Roman" w:hAnsi="Times New Roman" w:cs="Times New Roman"/>
      <w:sz w:val="24"/>
      <w:szCs w:val="24"/>
      <w:lang w:val="fr-FR"/>
    </w:rPr>
  </w:style>
  <w:style w:type="character" w:styleId="PageNumber">
    <w:name w:val="page number"/>
    <w:basedOn w:val="DefaultParagraphFont"/>
    <w:rsid w:val="0054598F"/>
  </w:style>
  <w:style w:type="paragraph" w:styleId="BalloonText">
    <w:name w:val="Balloon Text"/>
    <w:basedOn w:val="Normal"/>
    <w:link w:val="BalloonTextChar"/>
    <w:uiPriority w:val="99"/>
    <w:semiHidden/>
    <w:rsid w:val="0054598F"/>
    <w:rPr>
      <w:rFonts w:ascii="Tahoma" w:hAnsi="Tahoma" w:cs="Tahoma"/>
      <w:sz w:val="16"/>
      <w:szCs w:val="16"/>
    </w:rPr>
  </w:style>
  <w:style w:type="character" w:customStyle="1" w:styleId="BalloonTextChar">
    <w:name w:val="Balloon Text Char"/>
    <w:basedOn w:val="DefaultParagraphFont"/>
    <w:link w:val="BalloonText"/>
    <w:uiPriority w:val="99"/>
    <w:semiHidden/>
    <w:rsid w:val="0054598F"/>
    <w:rPr>
      <w:rFonts w:ascii="Tahoma" w:eastAsia="Times New Roman" w:hAnsi="Tahoma" w:cs="Tahoma"/>
      <w:sz w:val="16"/>
      <w:szCs w:val="16"/>
      <w:lang w:val="fr-FR"/>
    </w:rPr>
  </w:style>
  <w:style w:type="paragraph" w:styleId="BodyText">
    <w:name w:val="Body Text"/>
    <w:basedOn w:val="Normal"/>
    <w:link w:val="BodyTextChar"/>
    <w:uiPriority w:val="99"/>
    <w:qFormat/>
    <w:rsid w:val="0054598F"/>
    <w:pPr>
      <w:spacing w:after="120"/>
    </w:pPr>
  </w:style>
  <w:style w:type="character" w:customStyle="1" w:styleId="BodyTextChar">
    <w:name w:val="Body Text Char"/>
    <w:basedOn w:val="DefaultParagraphFont"/>
    <w:link w:val="BodyText"/>
    <w:uiPriority w:val="99"/>
    <w:rsid w:val="0054598F"/>
    <w:rPr>
      <w:rFonts w:ascii="Times New Roman" w:eastAsia="Times New Roman" w:hAnsi="Times New Roman" w:cs="Times New Roman"/>
      <w:sz w:val="24"/>
      <w:szCs w:val="24"/>
      <w:lang w:val="fr-FR"/>
    </w:rPr>
  </w:style>
  <w:style w:type="paragraph" w:styleId="EndnoteText">
    <w:name w:val="endnote text"/>
    <w:basedOn w:val="Normal"/>
    <w:link w:val="EndnoteTextChar"/>
    <w:rsid w:val="0054598F"/>
    <w:rPr>
      <w:sz w:val="20"/>
      <w:szCs w:val="20"/>
    </w:rPr>
  </w:style>
  <w:style w:type="character" w:customStyle="1" w:styleId="EndnoteTextChar">
    <w:name w:val="Endnote Text Char"/>
    <w:basedOn w:val="DefaultParagraphFont"/>
    <w:link w:val="EndnoteText"/>
    <w:rsid w:val="0054598F"/>
    <w:rPr>
      <w:rFonts w:ascii="Times New Roman" w:eastAsia="Times New Roman" w:hAnsi="Times New Roman" w:cs="Times New Roman"/>
      <w:sz w:val="20"/>
      <w:szCs w:val="20"/>
      <w:lang w:val="fr-FR"/>
    </w:rPr>
  </w:style>
  <w:style w:type="character" w:styleId="EndnoteReference">
    <w:name w:val="endnote reference"/>
    <w:rsid w:val="0054598F"/>
    <w:rPr>
      <w:vertAlign w:val="superscript"/>
    </w:rPr>
  </w:style>
  <w:style w:type="paragraph" w:styleId="FootnoteText">
    <w:name w:val="footnote text"/>
    <w:aliases w:val="ft"/>
    <w:basedOn w:val="Normal"/>
    <w:link w:val="FootnoteTextChar"/>
    <w:uiPriority w:val="99"/>
    <w:qFormat/>
    <w:rsid w:val="0054598F"/>
    <w:rPr>
      <w:sz w:val="20"/>
      <w:szCs w:val="20"/>
    </w:rPr>
  </w:style>
  <w:style w:type="character" w:customStyle="1" w:styleId="FootnoteTextChar">
    <w:name w:val="Footnote Text Char"/>
    <w:aliases w:val="ft Char"/>
    <w:basedOn w:val="DefaultParagraphFont"/>
    <w:link w:val="FootnoteText"/>
    <w:uiPriority w:val="99"/>
    <w:rsid w:val="0054598F"/>
    <w:rPr>
      <w:rFonts w:ascii="Times New Roman" w:eastAsia="Times New Roman" w:hAnsi="Times New Roman" w:cs="Times New Roman"/>
      <w:sz w:val="20"/>
      <w:szCs w:val="20"/>
      <w:lang w:val="fr-FR"/>
    </w:rPr>
  </w:style>
  <w:style w:type="character" w:styleId="FootnoteReference">
    <w:name w:val="footnote reference"/>
    <w:aliases w:val="Footnote Text Char1,fr,ft Char1"/>
    <w:uiPriority w:val="99"/>
    <w:rsid w:val="0054598F"/>
    <w:rPr>
      <w:vertAlign w:val="superscript"/>
    </w:rPr>
  </w:style>
  <w:style w:type="paragraph" w:customStyle="1" w:styleId="Paragraphedeliste">
    <w:name w:val="Paragraphe de liste"/>
    <w:basedOn w:val="Normal"/>
    <w:qFormat/>
    <w:rsid w:val="0054598F"/>
    <w:pPr>
      <w:spacing w:after="200" w:line="276" w:lineRule="auto"/>
      <w:ind w:left="720"/>
      <w:contextualSpacing/>
    </w:pPr>
    <w:rPr>
      <w:rFonts w:ascii="Calibri" w:eastAsia="Calibri" w:hAnsi="Calibri"/>
      <w:sz w:val="22"/>
      <w:szCs w:val="22"/>
    </w:rPr>
  </w:style>
  <w:style w:type="character" w:styleId="CommentReference">
    <w:name w:val="annotation reference"/>
    <w:uiPriority w:val="99"/>
    <w:qFormat/>
    <w:rsid w:val="005A173E"/>
    <w:rPr>
      <w:sz w:val="16"/>
      <w:szCs w:val="16"/>
    </w:rPr>
  </w:style>
  <w:style w:type="paragraph" w:styleId="CommentText">
    <w:name w:val="annotation text"/>
    <w:basedOn w:val="Normal"/>
    <w:link w:val="CommentTextChar"/>
    <w:uiPriority w:val="99"/>
    <w:qFormat/>
    <w:rsid w:val="005A173E"/>
    <w:rPr>
      <w:sz w:val="20"/>
      <w:szCs w:val="20"/>
    </w:rPr>
  </w:style>
  <w:style w:type="character" w:customStyle="1" w:styleId="CommentTextChar">
    <w:name w:val="Comment Text Char"/>
    <w:basedOn w:val="DefaultParagraphFont"/>
    <w:link w:val="CommentText"/>
    <w:uiPriority w:val="99"/>
    <w:rsid w:val="0054598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54598F"/>
    <w:rPr>
      <w:b/>
      <w:bCs/>
    </w:rPr>
  </w:style>
  <w:style w:type="character" w:customStyle="1" w:styleId="CommentSubjectChar">
    <w:name w:val="Comment Subject Char"/>
    <w:basedOn w:val="CommentTextChar"/>
    <w:link w:val="CommentSubject"/>
    <w:rsid w:val="0054598F"/>
    <w:rPr>
      <w:rFonts w:ascii="Times New Roman" w:eastAsia="Times New Roman" w:hAnsi="Times New Roman" w:cs="Times New Roman"/>
      <w:b/>
      <w:bCs/>
      <w:sz w:val="20"/>
      <w:szCs w:val="20"/>
      <w:lang w:val="fr-FR"/>
    </w:rPr>
  </w:style>
  <w:style w:type="paragraph" w:styleId="NormalWeb">
    <w:name w:val="Normal (Web)"/>
    <w:basedOn w:val="Normal"/>
    <w:uiPriority w:val="99"/>
    <w:rsid w:val="0054598F"/>
    <w:pPr>
      <w:spacing w:before="100" w:beforeAutospacing="1" w:after="100" w:afterAutospacing="1"/>
    </w:pPr>
    <w:rPr>
      <w:lang w:eastAsia="pt-BR"/>
    </w:rPr>
  </w:style>
  <w:style w:type="paragraph" w:customStyle="1" w:styleId="msonormal0">
    <w:name w:val="msonormal"/>
    <w:basedOn w:val="Normal"/>
    <w:rsid w:val="0054598F"/>
    <w:pPr>
      <w:spacing w:before="100" w:beforeAutospacing="1" w:after="100" w:afterAutospacing="1"/>
    </w:pPr>
  </w:style>
  <w:style w:type="paragraph" w:styleId="ListParagraph">
    <w:name w:val="List Paragraph"/>
    <w:basedOn w:val="Normal"/>
    <w:uiPriority w:val="1"/>
    <w:qFormat/>
    <w:rsid w:val="0054598F"/>
    <w:pPr>
      <w:widowControl w:val="0"/>
    </w:pPr>
    <w:rPr>
      <w:rFonts w:ascii="Calibri" w:eastAsia="Calibri" w:hAnsi="Calibri"/>
      <w:sz w:val="22"/>
      <w:szCs w:val="22"/>
    </w:rPr>
  </w:style>
  <w:style w:type="paragraph" w:customStyle="1" w:styleId="TableParagraph">
    <w:name w:val="Table Paragraph"/>
    <w:basedOn w:val="Normal"/>
    <w:uiPriority w:val="1"/>
    <w:qFormat/>
    <w:rsid w:val="0054598F"/>
    <w:pPr>
      <w:widowControl w:val="0"/>
    </w:pPr>
    <w:rPr>
      <w:rFonts w:ascii="Calibri" w:eastAsia="Calibri" w:hAnsi="Calibri"/>
      <w:sz w:val="22"/>
      <w:szCs w:val="22"/>
    </w:rPr>
  </w:style>
  <w:style w:type="paragraph" w:customStyle="1" w:styleId="Default">
    <w:name w:val="Default"/>
    <w:basedOn w:val="Normal"/>
    <w:link w:val="DefaultChar"/>
    <w:qFormat/>
    <w:rsid w:val="005A173E"/>
    <w:pPr>
      <w:autoSpaceDE w:val="0"/>
      <w:autoSpaceDN w:val="0"/>
    </w:pPr>
    <w:rPr>
      <w:rFonts w:ascii="Cambria" w:eastAsia="Calibri" w:hAnsi="Cambria"/>
      <w:color w:val="000000"/>
    </w:rPr>
  </w:style>
  <w:style w:type="character" w:styleId="Hyperlink">
    <w:name w:val="Hyperlink"/>
    <w:basedOn w:val="DefaultParagraphFont"/>
    <w:uiPriority w:val="99"/>
    <w:unhideWhenUsed/>
    <w:rsid w:val="00C94265"/>
    <w:rPr>
      <w:color w:val="0563C1" w:themeColor="hyperlink"/>
      <w:u w:val="single"/>
    </w:rPr>
  </w:style>
  <w:style w:type="character" w:customStyle="1" w:styleId="BodyTextChar1">
    <w:name w:val="Body Text Char1"/>
    <w:basedOn w:val="DefaultParagraphFont"/>
    <w:uiPriority w:val="1"/>
    <w:rsid w:val="003356C2"/>
    <w:rPr>
      <w:rFonts w:ascii="Times New Roman" w:eastAsia="Times New Roman" w:hAnsi="Times New Roman" w:cs="Times New Roman"/>
      <w:sz w:val="24"/>
      <w:szCs w:val="24"/>
      <w:lang w:val="fr-FR"/>
    </w:rPr>
  </w:style>
  <w:style w:type="character" w:styleId="FollowedHyperlink">
    <w:name w:val="FollowedHyperlink"/>
    <w:basedOn w:val="DefaultParagraphFont"/>
    <w:uiPriority w:val="99"/>
    <w:semiHidden/>
    <w:unhideWhenUsed/>
    <w:rsid w:val="009F0EC0"/>
    <w:rPr>
      <w:color w:val="954F72" w:themeColor="followedHyperlink"/>
      <w:u w:val="single"/>
    </w:rPr>
  </w:style>
  <w:style w:type="table" w:customStyle="1" w:styleId="TableGrid4">
    <w:name w:val="Table Grid4"/>
    <w:basedOn w:val="TableNormal"/>
    <w:uiPriority w:val="59"/>
    <w:rsid w:val="00C15203"/>
    <w:pPr>
      <w:spacing w:after="0" w:line="240" w:lineRule="auto"/>
    </w:pPr>
    <w:rPr>
      <w:rFonts w:ascii="Calibri" w:eastAsia="Calibri" w:hAnsi="Calibri"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59"/>
    <w:rsid w:val="00C15203"/>
    <w:pPr>
      <w:spacing w:after="0" w:line="240" w:lineRule="auto"/>
    </w:pPr>
    <w:rPr>
      <w:rFonts w:ascii="Calibri" w:eastAsia="Calibri" w:hAnsi="Calibri"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C1520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FA1BFF"/>
    <w:rPr>
      <w:color w:val="605E5C"/>
      <w:shd w:val="clear" w:color="auto" w:fill="E1DFDD"/>
    </w:rPr>
  </w:style>
  <w:style w:type="paragraph" w:customStyle="1" w:styleId="FirstParagraph">
    <w:name w:val="First Paragraph"/>
    <w:basedOn w:val="BodyText"/>
    <w:next w:val="BodyText"/>
    <w:qFormat/>
    <w:rsid w:val="003B1639"/>
    <w:pPr>
      <w:suppressAutoHyphens/>
      <w:autoSpaceDN w:val="0"/>
      <w:spacing w:before="180" w:after="180"/>
      <w:textAlignment w:val="baseline"/>
    </w:pPr>
    <w:rPr>
      <w:rFonts w:ascii="Calibri" w:eastAsia="Calibri" w:hAnsi="Calibri"/>
    </w:rPr>
  </w:style>
  <w:style w:type="paragraph" w:customStyle="1" w:styleId="2AutoList25">
    <w:name w:val="2AutoList25"/>
    <w:rsid w:val="00544291"/>
    <w:pPr>
      <w:tabs>
        <w:tab w:val="left" w:pos="720"/>
        <w:tab w:val="left" w:pos="1440"/>
      </w:tabs>
      <w:autoSpaceDE w:val="0"/>
      <w:autoSpaceDN w:val="0"/>
      <w:adjustRightInd w:val="0"/>
      <w:spacing w:after="0" w:line="240" w:lineRule="auto"/>
      <w:ind w:left="1440" w:hanging="720"/>
    </w:pPr>
    <w:rPr>
      <w:rFonts w:ascii="Times New Roman" w:eastAsia="Times New Roman" w:hAnsi="Times New Roman" w:cs="Times New Roman"/>
      <w:sz w:val="20"/>
      <w:szCs w:val="24"/>
    </w:rPr>
  </w:style>
  <w:style w:type="character" w:customStyle="1" w:styleId="tlid-translation">
    <w:name w:val="tlid-translation"/>
    <w:basedOn w:val="DefaultParagraphFont"/>
    <w:rsid w:val="00544291"/>
  </w:style>
  <w:style w:type="paragraph" w:customStyle="1" w:styleId="Standard">
    <w:name w:val="Standard"/>
    <w:qFormat/>
    <w:rsid w:val="005A173E"/>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zh-CN"/>
    </w:rPr>
  </w:style>
  <w:style w:type="character" w:customStyle="1" w:styleId="Heading2Char">
    <w:name w:val="Heading 2 Char"/>
    <w:basedOn w:val="DefaultParagraphFont"/>
    <w:link w:val="Heading2"/>
    <w:uiPriority w:val="9"/>
    <w:semiHidden/>
    <w:rsid w:val="002C38FA"/>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C38FA"/>
    <w:rPr>
      <w:rFonts w:asciiTheme="majorHAnsi" w:eastAsiaTheme="majorEastAsia" w:hAnsiTheme="majorHAnsi" w:cstheme="majorBidi"/>
      <w:b/>
      <w:bCs/>
      <w:color w:val="4472C4" w:themeColor="accent1"/>
      <w:sz w:val="28"/>
      <w:szCs w:val="28"/>
      <w:lang w:val="fr-FR"/>
    </w:rPr>
  </w:style>
  <w:style w:type="character" w:customStyle="1" w:styleId="Heading4Char">
    <w:name w:val="Heading 4 Char"/>
    <w:basedOn w:val="DefaultParagraphFont"/>
    <w:link w:val="Heading4"/>
    <w:uiPriority w:val="9"/>
    <w:rsid w:val="002C38FA"/>
    <w:rPr>
      <w:rFonts w:asciiTheme="majorHAnsi" w:eastAsiaTheme="majorEastAsia" w:hAnsiTheme="majorHAnsi" w:cstheme="majorBidi"/>
      <w:b/>
      <w:bCs/>
      <w:color w:val="4472C4" w:themeColor="accent1"/>
      <w:sz w:val="24"/>
      <w:szCs w:val="24"/>
      <w:lang w:val="fr-FR"/>
    </w:rPr>
  </w:style>
  <w:style w:type="character" w:customStyle="1" w:styleId="Heading5Char">
    <w:name w:val="Heading 5 Char"/>
    <w:basedOn w:val="DefaultParagraphFont"/>
    <w:link w:val="Heading5"/>
    <w:uiPriority w:val="9"/>
    <w:rsid w:val="002C38FA"/>
    <w:rPr>
      <w:rFonts w:asciiTheme="majorHAnsi" w:eastAsiaTheme="majorEastAsia" w:hAnsiTheme="majorHAnsi" w:cstheme="majorBidi"/>
      <w:i/>
      <w:iCs/>
      <w:color w:val="4472C4" w:themeColor="accent1"/>
      <w:sz w:val="24"/>
      <w:szCs w:val="24"/>
      <w:lang w:val="fr-FR"/>
    </w:rPr>
  </w:style>
  <w:style w:type="character" w:customStyle="1" w:styleId="Heading6Char">
    <w:name w:val="Heading 6 Char"/>
    <w:basedOn w:val="DefaultParagraphFont"/>
    <w:link w:val="Heading6"/>
    <w:uiPriority w:val="9"/>
    <w:rsid w:val="002C38FA"/>
    <w:rPr>
      <w:rFonts w:asciiTheme="majorHAnsi" w:eastAsiaTheme="majorEastAsia" w:hAnsiTheme="majorHAnsi" w:cstheme="majorBidi"/>
      <w:color w:val="4472C4" w:themeColor="accent1"/>
      <w:sz w:val="24"/>
      <w:szCs w:val="24"/>
      <w:lang w:val="fr-FR"/>
    </w:rPr>
  </w:style>
  <w:style w:type="character" w:customStyle="1" w:styleId="Heading7Char">
    <w:name w:val="Heading 7 Char"/>
    <w:basedOn w:val="DefaultParagraphFont"/>
    <w:link w:val="Heading7"/>
    <w:uiPriority w:val="9"/>
    <w:rsid w:val="002C38FA"/>
    <w:rPr>
      <w:rFonts w:asciiTheme="majorHAnsi" w:eastAsiaTheme="majorEastAsia" w:hAnsiTheme="majorHAnsi" w:cstheme="majorBidi"/>
      <w:color w:val="4472C4" w:themeColor="accent1"/>
      <w:sz w:val="24"/>
      <w:szCs w:val="24"/>
      <w:lang w:val="fr-FR"/>
    </w:rPr>
  </w:style>
  <w:style w:type="character" w:customStyle="1" w:styleId="Heading8Char">
    <w:name w:val="Heading 8 Char"/>
    <w:basedOn w:val="DefaultParagraphFont"/>
    <w:link w:val="Heading8"/>
    <w:uiPriority w:val="9"/>
    <w:rsid w:val="002C38FA"/>
    <w:rPr>
      <w:rFonts w:asciiTheme="majorHAnsi" w:eastAsiaTheme="majorEastAsia" w:hAnsiTheme="majorHAnsi" w:cstheme="majorBidi"/>
      <w:color w:val="4472C4" w:themeColor="accent1"/>
      <w:sz w:val="24"/>
      <w:szCs w:val="24"/>
      <w:lang w:val="fr-FR"/>
    </w:rPr>
  </w:style>
  <w:style w:type="character" w:customStyle="1" w:styleId="Heading9Char">
    <w:name w:val="Heading 9 Char"/>
    <w:basedOn w:val="DefaultParagraphFont"/>
    <w:link w:val="Heading9"/>
    <w:uiPriority w:val="9"/>
    <w:rsid w:val="002C38FA"/>
    <w:rPr>
      <w:rFonts w:asciiTheme="majorHAnsi" w:eastAsiaTheme="majorEastAsia" w:hAnsiTheme="majorHAnsi" w:cstheme="majorBidi"/>
      <w:color w:val="4472C4" w:themeColor="accent1"/>
      <w:sz w:val="24"/>
      <w:szCs w:val="24"/>
      <w:lang w:val="fr-FR"/>
    </w:rPr>
  </w:style>
  <w:style w:type="paragraph" w:customStyle="1" w:styleId="Compact">
    <w:name w:val="Compact"/>
    <w:basedOn w:val="BodyText"/>
    <w:qFormat/>
    <w:rsid w:val="002C38FA"/>
    <w:pPr>
      <w:spacing w:before="36" w:after="36"/>
    </w:pPr>
    <w:rPr>
      <w:rFonts w:asciiTheme="minorHAnsi" w:eastAsiaTheme="minorHAnsi" w:hAnsiTheme="minorHAnsi" w:cstheme="minorBidi"/>
    </w:rPr>
  </w:style>
  <w:style w:type="paragraph" w:styleId="Title">
    <w:name w:val="Title"/>
    <w:basedOn w:val="Normal"/>
    <w:next w:val="BodyText"/>
    <w:link w:val="TitleChar"/>
    <w:qFormat/>
    <w:rsid w:val="002C38FA"/>
    <w:pPr>
      <w:keepNext/>
      <w:keepLines/>
      <w:spacing w:before="480" w:after="240"/>
      <w:jc w:val="center"/>
    </w:pPr>
    <w:rPr>
      <w:rFonts w:asciiTheme="majorHAnsi" w:eastAsiaTheme="majorEastAsia" w:hAnsiTheme="majorHAnsi" w:cstheme="majorBidi"/>
      <w:b/>
      <w:bCs/>
      <w:color w:val="2D4F8E" w:themeColor="accent1" w:themeShade="B5"/>
      <w:sz w:val="36"/>
      <w:szCs w:val="36"/>
    </w:rPr>
  </w:style>
  <w:style w:type="character" w:customStyle="1" w:styleId="TitleChar">
    <w:name w:val="Title Char"/>
    <w:basedOn w:val="DefaultParagraphFont"/>
    <w:link w:val="Title"/>
    <w:rsid w:val="002C38FA"/>
    <w:rPr>
      <w:rFonts w:asciiTheme="majorHAnsi" w:eastAsiaTheme="majorEastAsia" w:hAnsiTheme="majorHAnsi" w:cstheme="majorBidi"/>
      <w:b/>
      <w:bCs/>
      <w:color w:val="2D4F8E" w:themeColor="accent1" w:themeShade="B5"/>
      <w:sz w:val="36"/>
      <w:szCs w:val="36"/>
      <w:lang w:val="fr-FR"/>
    </w:rPr>
  </w:style>
  <w:style w:type="paragraph" w:styleId="Subtitle">
    <w:name w:val="Subtitle"/>
    <w:basedOn w:val="Title"/>
    <w:next w:val="BodyText"/>
    <w:link w:val="SubtitleChar"/>
    <w:qFormat/>
    <w:rsid w:val="002C38FA"/>
    <w:pPr>
      <w:spacing w:before="240"/>
    </w:pPr>
    <w:rPr>
      <w:sz w:val="30"/>
      <w:szCs w:val="30"/>
    </w:rPr>
  </w:style>
  <w:style w:type="character" w:customStyle="1" w:styleId="SubtitleChar">
    <w:name w:val="Subtitle Char"/>
    <w:basedOn w:val="DefaultParagraphFont"/>
    <w:link w:val="Subtitle"/>
    <w:rsid w:val="002C38FA"/>
    <w:rPr>
      <w:rFonts w:asciiTheme="majorHAnsi" w:eastAsiaTheme="majorEastAsia" w:hAnsiTheme="majorHAnsi" w:cstheme="majorBidi"/>
      <w:b/>
      <w:bCs/>
      <w:color w:val="2D4F8E" w:themeColor="accent1" w:themeShade="B5"/>
      <w:sz w:val="30"/>
      <w:szCs w:val="30"/>
      <w:lang w:val="fr-FR"/>
    </w:rPr>
  </w:style>
  <w:style w:type="paragraph" w:customStyle="1" w:styleId="Author">
    <w:name w:val="Author"/>
    <w:next w:val="BodyText"/>
    <w:qFormat/>
    <w:rsid w:val="002C38FA"/>
    <w:pPr>
      <w:keepNext/>
      <w:keepLines/>
      <w:spacing w:after="200" w:line="240" w:lineRule="auto"/>
      <w:jc w:val="center"/>
    </w:pPr>
    <w:rPr>
      <w:sz w:val="24"/>
      <w:szCs w:val="24"/>
    </w:rPr>
  </w:style>
  <w:style w:type="paragraph" w:styleId="Date">
    <w:name w:val="Date"/>
    <w:next w:val="BodyText"/>
    <w:link w:val="DateChar"/>
    <w:qFormat/>
    <w:rsid w:val="002C38FA"/>
    <w:pPr>
      <w:keepNext/>
      <w:keepLines/>
      <w:spacing w:after="200" w:line="240" w:lineRule="auto"/>
      <w:jc w:val="center"/>
    </w:pPr>
    <w:rPr>
      <w:sz w:val="24"/>
      <w:szCs w:val="24"/>
    </w:rPr>
  </w:style>
  <w:style w:type="character" w:customStyle="1" w:styleId="DateChar">
    <w:name w:val="Date Char"/>
    <w:basedOn w:val="DefaultParagraphFont"/>
    <w:link w:val="Date"/>
    <w:rsid w:val="002C38FA"/>
    <w:rPr>
      <w:sz w:val="24"/>
      <w:szCs w:val="24"/>
      <w:lang w:val="fr-FR"/>
    </w:rPr>
  </w:style>
  <w:style w:type="paragraph" w:customStyle="1" w:styleId="Abstract">
    <w:name w:val="Abstract"/>
    <w:basedOn w:val="Normal"/>
    <w:next w:val="BodyText"/>
    <w:qFormat/>
    <w:rsid w:val="002C38FA"/>
    <w:pPr>
      <w:keepNext/>
      <w:keepLines/>
      <w:spacing w:before="300" w:after="300"/>
    </w:pPr>
    <w:rPr>
      <w:rFonts w:asciiTheme="minorHAnsi" w:eastAsiaTheme="minorHAnsi" w:hAnsiTheme="minorHAnsi" w:cstheme="minorBidi"/>
      <w:sz w:val="20"/>
      <w:szCs w:val="20"/>
    </w:rPr>
  </w:style>
  <w:style w:type="paragraph" w:styleId="Bibliography">
    <w:name w:val="Bibliography"/>
    <w:basedOn w:val="Normal"/>
    <w:qFormat/>
    <w:rsid w:val="002C38FA"/>
    <w:pPr>
      <w:spacing w:after="200"/>
    </w:pPr>
    <w:rPr>
      <w:rFonts w:asciiTheme="minorHAnsi" w:eastAsiaTheme="minorHAnsi" w:hAnsiTheme="minorHAnsi" w:cstheme="minorBidi"/>
    </w:rPr>
  </w:style>
  <w:style w:type="paragraph" w:styleId="BlockText">
    <w:name w:val="Block Text"/>
    <w:basedOn w:val="BodyText"/>
    <w:next w:val="BodyText"/>
    <w:uiPriority w:val="9"/>
    <w:unhideWhenUsed/>
    <w:qFormat/>
    <w:rsid w:val="002C38FA"/>
    <w:pPr>
      <w:spacing w:before="100" w:after="100"/>
    </w:pPr>
    <w:rPr>
      <w:rFonts w:asciiTheme="majorHAnsi" w:eastAsiaTheme="majorEastAsia" w:hAnsiTheme="majorHAnsi" w:cstheme="majorBidi"/>
      <w:bCs/>
      <w:sz w:val="20"/>
      <w:szCs w:val="20"/>
    </w:rPr>
  </w:style>
  <w:style w:type="table" w:customStyle="1" w:styleId="Table">
    <w:name w:val="Table"/>
    <w:semiHidden/>
    <w:unhideWhenUsed/>
    <w:qFormat/>
    <w:rsid w:val="002C38FA"/>
    <w:pPr>
      <w:spacing w:after="200" w:line="240" w:lineRule="auto"/>
    </w:pPr>
    <w:rPr>
      <w:sz w:val="24"/>
      <w:szCs w:val="24"/>
    </w:rPr>
    <w:tblPr>
      <w:tblInd w:w="0" w:type="dxa"/>
      <w:tblCellMar>
        <w:top w:w="0" w:type="dxa"/>
        <w:left w:w="108" w:type="dxa"/>
        <w:bottom w:w="0" w:type="dxa"/>
        <w:right w:w="108" w:type="dxa"/>
      </w:tblCellMar>
    </w:tblPr>
  </w:style>
  <w:style w:type="paragraph" w:customStyle="1" w:styleId="DefinitionTerm">
    <w:name w:val="Definition Term"/>
    <w:basedOn w:val="Normal"/>
    <w:next w:val="Definition"/>
    <w:rsid w:val="002C38FA"/>
    <w:pPr>
      <w:keepNext/>
      <w:keepLines/>
    </w:pPr>
    <w:rPr>
      <w:rFonts w:asciiTheme="minorHAnsi" w:eastAsiaTheme="minorHAnsi" w:hAnsiTheme="minorHAnsi" w:cstheme="minorBidi"/>
      <w:b/>
    </w:rPr>
  </w:style>
  <w:style w:type="paragraph" w:customStyle="1" w:styleId="Definition">
    <w:name w:val="Definition"/>
    <w:basedOn w:val="Normal"/>
    <w:rsid w:val="002C38FA"/>
    <w:pPr>
      <w:spacing w:after="200"/>
    </w:pPr>
    <w:rPr>
      <w:rFonts w:asciiTheme="minorHAnsi" w:eastAsiaTheme="minorHAnsi" w:hAnsiTheme="minorHAnsi" w:cstheme="minorBidi"/>
    </w:rPr>
  </w:style>
  <w:style w:type="paragraph" w:styleId="Caption">
    <w:name w:val="caption"/>
    <w:basedOn w:val="Normal"/>
    <w:link w:val="CaptionChar"/>
    <w:qFormat/>
    <w:rsid w:val="005A173E"/>
    <w:pPr>
      <w:spacing w:after="120"/>
    </w:pPr>
    <w:rPr>
      <w:rFonts w:asciiTheme="minorHAnsi" w:eastAsiaTheme="minorHAnsi" w:hAnsiTheme="minorHAnsi" w:cstheme="minorBidi"/>
      <w:i/>
    </w:rPr>
  </w:style>
  <w:style w:type="paragraph" w:customStyle="1" w:styleId="TableCaption">
    <w:name w:val="Table Caption"/>
    <w:basedOn w:val="Caption"/>
    <w:rsid w:val="002C38FA"/>
    <w:pPr>
      <w:keepNext/>
    </w:pPr>
  </w:style>
  <w:style w:type="paragraph" w:customStyle="1" w:styleId="ImageCaption">
    <w:name w:val="Image Caption"/>
    <w:basedOn w:val="Caption"/>
    <w:rsid w:val="002C38FA"/>
  </w:style>
  <w:style w:type="paragraph" w:customStyle="1" w:styleId="Figure">
    <w:name w:val="Figure"/>
    <w:basedOn w:val="Normal"/>
    <w:rsid w:val="002C38FA"/>
    <w:pPr>
      <w:spacing w:after="200"/>
    </w:pPr>
    <w:rPr>
      <w:rFonts w:asciiTheme="minorHAnsi" w:eastAsiaTheme="minorHAnsi" w:hAnsiTheme="minorHAnsi" w:cstheme="minorBidi"/>
    </w:rPr>
  </w:style>
  <w:style w:type="paragraph" w:customStyle="1" w:styleId="CaptionedFigure">
    <w:name w:val="Captioned Figure"/>
    <w:basedOn w:val="Figure"/>
    <w:rsid w:val="002C38FA"/>
    <w:pPr>
      <w:keepNext/>
    </w:pPr>
  </w:style>
  <w:style w:type="character" w:customStyle="1" w:styleId="CaptionChar">
    <w:name w:val="Caption Char"/>
    <w:basedOn w:val="DefaultParagraphFont"/>
    <w:link w:val="Caption"/>
    <w:rsid w:val="002C38FA"/>
    <w:rPr>
      <w:i/>
      <w:sz w:val="24"/>
      <w:szCs w:val="24"/>
      <w:lang w:val="fr-FR"/>
    </w:rPr>
  </w:style>
  <w:style w:type="character" w:customStyle="1" w:styleId="VerbatimChar">
    <w:name w:val="Verbatim Char"/>
    <w:basedOn w:val="CaptionChar"/>
    <w:link w:val="SourceCode"/>
    <w:rsid w:val="002C38FA"/>
    <w:rPr>
      <w:rFonts w:ascii="Consolas" w:hAnsi="Consolas"/>
      <w:i/>
      <w:sz w:val="24"/>
      <w:szCs w:val="24"/>
      <w:shd w:val="clear" w:color="auto" w:fill="F8F8F8"/>
      <w:lang w:val="fr-FR"/>
    </w:rPr>
  </w:style>
  <w:style w:type="paragraph" w:styleId="TOCHeading">
    <w:name w:val="TOC Heading"/>
    <w:basedOn w:val="Heading1"/>
    <w:next w:val="BodyText"/>
    <w:uiPriority w:val="39"/>
    <w:unhideWhenUsed/>
    <w:qFormat/>
    <w:rsid w:val="002C38FA"/>
    <w:pPr>
      <w:keepLines/>
      <w:spacing w:after="0" w:line="259" w:lineRule="auto"/>
      <w:outlineLvl w:val="9"/>
    </w:pPr>
    <w:rPr>
      <w:rFonts w:asciiTheme="majorHAnsi" w:eastAsiaTheme="majorEastAsia" w:hAnsiTheme="majorHAnsi" w:cstheme="majorBidi"/>
      <w:b w:val="0"/>
      <w:bCs w:val="0"/>
      <w:color w:val="2F5496" w:themeColor="accent1" w:themeShade="BF"/>
      <w:kern w:val="0"/>
    </w:rPr>
  </w:style>
  <w:style w:type="paragraph" w:customStyle="1" w:styleId="SourceCode">
    <w:name w:val="Source Code"/>
    <w:basedOn w:val="Normal"/>
    <w:link w:val="VerbatimChar"/>
    <w:rsid w:val="002C38FA"/>
    <w:pPr>
      <w:shd w:val="clear" w:color="auto" w:fill="F8F8F8"/>
      <w:wordWrap w:val="0"/>
      <w:spacing w:after="200"/>
    </w:pPr>
    <w:rPr>
      <w:rFonts w:ascii="Consolas" w:eastAsiaTheme="minorHAnsi" w:hAnsi="Consolas" w:cstheme="minorBidi"/>
      <w:i/>
      <w:sz w:val="22"/>
    </w:rPr>
  </w:style>
  <w:style w:type="character" w:customStyle="1" w:styleId="KeywordTok">
    <w:name w:val="KeywordTok"/>
    <w:basedOn w:val="VerbatimChar"/>
    <w:rsid w:val="002C38FA"/>
    <w:rPr>
      <w:rFonts w:ascii="Consolas" w:hAnsi="Consolas"/>
      <w:b/>
      <w:i/>
      <w:color w:val="204A87"/>
      <w:sz w:val="24"/>
      <w:szCs w:val="24"/>
      <w:shd w:val="clear" w:color="auto" w:fill="F8F8F8"/>
      <w:lang w:val="fr-FR"/>
    </w:rPr>
  </w:style>
  <w:style w:type="character" w:customStyle="1" w:styleId="DataTypeTok">
    <w:name w:val="DataTypeTok"/>
    <w:basedOn w:val="VerbatimChar"/>
    <w:rsid w:val="002C38FA"/>
    <w:rPr>
      <w:rFonts w:ascii="Consolas" w:hAnsi="Consolas"/>
      <w:i/>
      <w:color w:val="204A87"/>
      <w:sz w:val="24"/>
      <w:szCs w:val="24"/>
      <w:shd w:val="clear" w:color="auto" w:fill="F8F8F8"/>
      <w:lang w:val="fr-FR"/>
    </w:rPr>
  </w:style>
  <w:style w:type="character" w:customStyle="1" w:styleId="DecValTok">
    <w:name w:val="DecValTok"/>
    <w:basedOn w:val="VerbatimChar"/>
    <w:rsid w:val="002C38FA"/>
    <w:rPr>
      <w:rFonts w:ascii="Consolas" w:hAnsi="Consolas"/>
      <w:i/>
      <w:color w:val="0000CF"/>
      <w:sz w:val="24"/>
      <w:szCs w:val="24"/>
      <w:shd w:val="clear" w:color="auto" w:fill="F8F8F8"/>
      <w:lang w:val="fr-FR"/>
    </w:rPr>
  </w:style>
  <w:style w:type="character" w:customStyle="1" w:styleId="BaseNTok">
    <w:name w:val="BaseNTok"/>
    <w:basedOn w:val="VerbatimChar"/>
    <w:rsid w:val="002C38FA"/>
    <w:rPr>
      <w:rFonts w:ascii="Consolas" w:hAnsi="Consolas"/>
      <w:i/>
      <w:color w:val="0000CF"/>
      <w:sz w:val="24"/>
      <w:szCs w:val="24"/>
      <w:shd w:val="clear" w:color="auto" w:fill="F8F8F8"/>
      <w:lang w:val="fr-FR"/>
    </w:rPr>
  </w:style>
  <w:style w:type="character" w:customStyle="1" w:styleId="FloatTok">
    <w:name w:val="FloatTok"/>
    <w:basedOn w:val="VerbatimChar"/>
    <w:rsid w:val="002C38FA"/>
    <w:rPr>
      <w:rFonts w:ascii="Consolas" w:hAnsi="Consolas"/>
      <w:i/>
      <w:color w:val="0000CF"/>
      <w:sz w:val="24"/>
      <w:szCs w:val="24"/>
      <w:shd w:val="clear" w:color="auto" w:fill="F8F8F8"/>
      <w:lang w:val="fr-FR"/>
    </w:rPr>
  </w:style>
  <w:style w:type="character" w:customStyle="1" w:styleId="ConstantTok">
    <w:name w:val="ConstantTok"/>
    <w:basedOn w:val="VerbatimChar"/>
    <w:rsid w:val="002C38FA"/>
    <w:rPr>
      <w:rFonts w:ascii="Consolas" w:hAnsi="Consolas"/>
      <w:i/>
      <w:color w:val="000000"/>
      <w:sz w:val="24"/>
      <w:szCs w:val="24"/>
      <w:shd w:val="clear" w:color="auto" w:fill="F8F8F8"/>
      <w:lang w:val="fr-FR"/>
    </w:rPr>
  </w:style>
  <w:style w:type="character" w:customStyle="1" w:styleId="CharTok">
    <w:name w:val="CharTok"/>
    <w:basedOn w:val="VerbatimChar"/>
    <w:rsid w:val="002C38FA"/>
    <w:rPr>
      <w:rFonts w:ascii="Consolas" w:hAnsi="Consolas"/>
      <w:i/>
      <w:color w:val="4E9A06"/>
      <w:sz w:val="24"/>
      <w:szCs w:val="24"/>
      <w:shd w:val="clear" w:color="auto" w:fill="F8F8F8"/>
      <w:lang w:val="fr-FR"/>
    </w:rPr>
  </w:style>
  <w:style w:type="character" w:customStyle="1" w:styleId="SpecialCharTok">
    <w:name w:val="SpecialCharTok"/>
    <w:basedOn w:val="VerbatimChar"/>
    <w:rsid w:val="002C38FA"/>
    <w:rPr>
      <w:rFonts w:ascii="Consolas" w:hAnsi="Consolas"/>
      <w:i/>
      <w:color w:val="000000"/>
      <w:sz w:val="24"/>
      <w:szCs w:val="24"/>
      <w:shd w:val="clear" w:color="auto" w:fill="F8F8F8"/>
      <w:lang w:val="fr-FR"/>
    </w:rPr>
  </w:style>
  <w:style w:type="character" w:customStyle="1" w:styleId="StringTok">
    <w:name w:val="StringTok"/>
    <w:basedOn w:val="VerbatimChar"/>
    <w:rsid w:val="002C38FA"/>
    <w:rPr>
      <w:rFonts w:ascii="Consolas" w:hAnsi="Consolas"/>
      <w:i/>
      <w:color w:val="4E9A06"/>
      <w:sz w:val="24"/>
      <w:szCs w:val="24"/>
      <w:shd w:val="clear" w:color="auto" w:fill="F8F8F8"/>
      <w:lang w:val="fr-FR"/>
    </w:rPr>
  </w:style>
  <w:style w:type="character" w:customStyle="1" w:styleId="VerbatimStringTok">
    <w:name w:val="VerbatimStringTok"/>
    <w:basedOn w:val="VerbatimChar"/>
    <w:rsid w:val="002C38FA"/>
    <w:rPr>
      <w:rFonts w:ascii="Consolas" w:hAnsi="Consolas"/>
      <w:i/>
      <w:color w:val="4E9A06"/>
      <w:sz w:val="24"/>
      <w:szCs w:val="24"/>
      <w:shd w:val="clear" w:color="auto" w:fill="F8F8F8"/>
      <w:lang w:val="fr-FR"/>
    </w:rPr>
  </w:style>
  <w:style w:type="character" w:customStyle="1" w:styleId="SpecialStringTok">
    <w:name w:val="SpecialStringTok"/>
    <w:basedOn w:val="VerbatimChar"/>
    <w:rsid w:val="002C38FA"/>
    <w:rPr>
      <w:rFonts w:ascii="Consolas" w:hAnsi="Consolas"/>
      <w:i/>
      <w:color w:val="4E9A06"/>
      <w:sz w:val="24"/>
      <w:szCs w:val="24"/>
      <w:shd w:val="clear" w:color="auto" w:fill="F8F8F8"/>
      <w:lang w:val="fr-FR"/>
    </w:rPr>
  </w:style>
  <w:style w:type="character" w:customStyle="1" w:styleId="ImportTok">
    <w:name w:val="ImportTok"/>
    <w:basedOn w:val="VerbatimChar"/>
    <w:rsid w:val="002C38FA"/>
    <w:rPr>
      <w:rFonts w:ascii="Consolas" w:hAnsi="Consolas"/>
      <w:i/>
      <w:sz w:val="24"/>
      <w:szCs w:val="24"/>
      <w:shd w:val="clear" w:color="auto" w:fill="F8F8F8"/>
      <w:lang w:val="fr-FR"/>
    </w:rPr>
  </w:style>
  <w:style w:type="character" w:customStyle="1" w:styleId="CommentTok">
    <w:name w:val="CommentTok"/>
    <w:basedOn w:val="VerbatimChar"/>
    <w:rsid w:val="002C38FA"/>
    <w:rPr>
      <w:rFonts w:ascii="Consolas" w:hAnsi="Consolas"/>
      <w:i w:val="0"/>
      <w:color w:val="8F5902"/>
      <w:sz w:val="24"/>
      <w:szCs w:val="24"/>
      <w:shd w:val="clear" w:color="auto" w:fill="F8F8F8"/>
      <w:lang w:val="fr-FR"/>
    </w:rPr>
  </w:style>
  <w:style w:type="character" w:customStyle="1" w:styleId="DocumentationTok">
    <w:name w:val="DocumentationTok"/>
    <w:basedOn w:val="VerbatimChar"/>
    <w:rsid w:val="002C38FA"/>
    <w:rPr>
      <w:rFonts w:ascii="Consolas" w:hAnsi="Consolas"/>
      <w:b/>
      <w:i w:val="0"/>
      <w:color w:val="8F5902"/>
      <w:sz w:val="24"/>
      <w:szCs w:val="24"/>
      <w:shd w:val="clear" w:color="auto" w:fill="F8F8F8"/>
      <w:lang w:val="fr-FR"/>
    </w:rPr>
  </w:style>
  <w:style w:type="character" w:customStyle="1" w:styleId="AnnotationTok">
    <w:name w:val="AnnotationTok"/>
    <w:basedOn w:val="VerbatimChar"/>
    <w:rsid w:val="002C38FA"/>
    <w:rPr>
      <w:rFonts w:ascii="Consolas" w:hAnsi="Consolas"/>
      <w:b/>
      <w:i w:val="0"/>
      <w:color w:val="8F5902"/>
      <w:sz w:val="24"/>
      <w:szCs w:val="24"/>
      <w:shd w:val="clear" w:color="auto" w:fill="F8F8F8"/>
      <w:lang w:val="fr-FR"/>
    </w:rPr>
  </w:style>
  <w:style w:type="character" w:customStyle="1" w:styleId="CommentVarTok">
    <w:name w:val="CommentVarTok"/>
    <w:basedOn w:val="VerbatimChar"/>
    <w:rsid w:val="002C38FA"/>
    <w:rPr>
      <w:rFonts w:ascii="Consolas" w:hAnsi="Consolas"/>
      <w:b/>
      <w:i w:val="0"/>
      <w:color w:val="8F5902"/>
      <w:sz w:val="24"/>
      <w:szCs w:val="24"/>
      <w:shd w:val="clear" w:color="auto" w:fill="F8F8F8"/>
      <w:lang w:val="fr-FR"/>
    </w:rPr>
  </w:style>
  <w:style w:type="character" w:customStyle="1" w:styleId="OtherTok">
    <w:name w:val="OtherTok"/>
    <w:basedOn w:val="VerbatimChar"/>
    <w:rsid w:val="002C38FA"/>
    <w:rPr>
      <w:rFonts w:ascii="Consolas" w:hAnsi="Consolas"/>
      <w:i/>
      <w:color w:val="8F5902"/>
      <w:sz w:val="24"/>
      <w:szCs w:val="24"/>
      <w:shd w:val="clear" w:color="auto" w:fill="F8F8F8"/>
      <w:lang w:val="fr-FR"/>
    </w:rPr>
  </w:style>
  <w:style w:type="character" w:customStyle="1" w:styleId="FunctionTok">
    <w:name w:val="FunctionTok"/>
    <w:basedOn w:val="VerbatimChar"/>
    <w:rsid w:val="002C38FA"/>
    <w:rPr>
      <w:rFonts w:ascii="Consolas" w:hAnsi="Consolas"/>
      <w:i/>
      <w:color w:val="000000"/>
      <w:sz w:val="24"/>
      <w:szCs w:val="24"/>
      <w:shd w:val="clear" w:color="auto" w:fill="F8F8F8"/>
      <w:lang w:val="fr-FR"/>
    </w:rPr>
  </w:style>
  <w:style w:type="character" w:customStyle="1" w:styleId="VariableTok">
    <w:name w:val="VariableTok"/>
    <w:basedOn w:val="VerbatimChar"/>
    <w:rsid w:val="002C38FA"/>
    <w:rPr>
      <w:rFonts w:ascii="Consolas" w:hAnsi="Consolas"/>
      <w:i/>
      <w:color w:val="000000"/>
      <w:sz w:val="24"/>
      <w:szCs w:val="24"/>
      <w:shd w:val="clear" w:color="auto" w:fill="F8F8F8"/>
      <w:lang w:val="fr-FR"/>
    </w:rPr>
  </w:style>
  <w:style w:type="character" w:customStyle="1" w:styleId="ControlFlowTok">
    <w:name w:val="ControlFlowTok"/>
    <w:basedOn w:val="VerbatimChar"/>
    <w:rsid w:val="002C38FA"/>
    <w:rPr>
      <w:rFonts w:ascii="Consolas" w:hAnsi="Consolas"/>
      <w:b/>
      <w:i/>
      <w:color w:val="204A87"/>
      <w:sz w:val="24"/>
      <w:szCs w:val="24"/>
      <w:shd w:val="clear" w:color="auto" w:fill="F8F8F8"/>
      <w:lang w:val="fr-FR"/>
    </w:rPr>
  </w:style>
  <w:style w:type="character" w:customStyle="1" w:styleId="OperatorTok">
    <w:name w:val="OperatorTok"/>
    <w:basedOn w:val="VerbatimChar"/>
    <w:rsid w:val="002C38FA"/>
    <w:rPr>
      <w:rFonts w:ascii="Consolas" w:hAnsi="Consolas"/>
      <w:b/>
      <w:i/>
      <w:color w:val="CE5C00"/>
      <w:sz w:val="24"/>
      <w:szCs w:val="24"/>
      <w:shd w:val="clear" w:color="auto" w:fill="F8F8F8"/>
      <w:lang w:val="fr-FR"/>
    </w:rPr>
  </w:style>
  <w:style w:type="character" w:customStyle="1" w:styleId="BuiltInTok">
    <w:name w:val="BuiltInTok"/>
    <w:basedOn w:val="VerbatimChar"/>
    <w:rsid w:val="002C38FA"/>
    <w:rPr>
      <w:rFonts w:ascii="Consolas" w:hAnsi="Consolas"/>
      <w:i/>
      <w:sz w:val="24"/>
      <w:szCs w:val="24"/>
      <w:shd w:val="clear" w:color="auto" w:fill="F8F8F8"/>
      <w:lang w:val="fr-FR"/>
    </w:rPr>
  </w:style>
  <w:style w:type="character" w:customStyle="1" w:styleId="ExtensionTok">
    <w:name w:val="ExtensionTok"/>
    <w:basedOn w:val="VerbatimChar"/>
    <w:rsid w:val="002C38FA"/>
    <w:rPr>
      <w:rFonts w:ascii="Consolas" w:hAnsi="Consolas"/>
      <w:i/>
      <w:sz w:val="24"/>
      <w:szCs w:val="24"/>
      <w:shd w:val="clear" w:color="auto" w:fill="F8F8F8"/>
      <w:lang w:val="fr-FR"/>
    </w:rPr>
  </w:style>
  <w:style w:type="character" w:customStyle="1" w:styleId="PreprocessorTok">
    <w:name w:val="PreprocessorTok"/>
    <w:basedOn w:val="VerbatimChar"/>
    <w:rsid w:val="002C38FA"/>
    <w:rPr>
      <w:rFonts w:ascii="Consolas" w:hAnsi="Consolas"/>
      <w:i w:val="0"/>
      <w:color w:val="8F5902"/>
      <w:sz w:val="24"/>
      <w:szCs w:val="24"/>
      <w:shd w:val="clear" w:color="auto" w:fill="F8F8F8"/>
      <w:lang w:val="fr-FR"/>
    </w:rPr>
  </w:style>
  <w:style w:type="character" w:customStyle="1" w:styleId="AttributeTok">
    <w:name w:val="AttributeTok"/>
    <w:basedOn w:val="VerbatimChar"/>
    <w:rsid w:val="002C38FA"/>
    <w:rPr>
      <w:rFonts w:ascii="Consolas" w:hAnsi="Consolas"/>
      <w:i/>
      <w:color w:val="C4A000"/>
      <w:sz w:val="24"/>
      <w:szCs w:val="24"/>
      <w:shd w:val="clear" w:color="auto" w:fill="F8F8F8"/>
      <w:lang w:val="fr-FR"/>
    </w:rPr>
  </w:style>
  <w:style w:type="character" w:customStyle="1" w:styleId="RegionMarkerTok">
    <w:name w:val="RegionMarkerTok"/>
    <w:basedOn w:val="VerbatimChar"/>
    <w:rsid w:val="002C38FA"/>
    <w:rPr>
      <w:rFonts w:ascii="Consolas" w:hAnsi="Consolas"/>
      <w:i/>
      <w:sz w:val="24"/>
      <w:szCs w:val="24"/>
      <w:shd w:val="clear" w:color="auto" w:fill="F8F8F8"/>
      <w:lang w:val="fr-FR"/>
    </w:rPr>
  </w:style>
  <w:style w:type="character" w:customStyle="1" w:styleId="InformationTok">
    <w:name w:val="InformationTok"/>
    <w:basedOn w:val="VerbatimChar"/>
    <w:rsid w:val="002C38FA"/>
    <w:rPr>
      <w:rFonts w:ascii="Consolas" w:hAnsi="Consolas"/>
      <w:b/>
      <w:i w:val="0"/>
      <w:color w:val="8F5902"/>
      <w:sz w:val="24"/>
      <w:szCs w:val="24"/>
      <w:shd w:val="clear" w:color="auto" w:fill="F8F8F8"/>
      <w:lang w:val="fr-FR"/>
    </w:rPr>
  </w:style>
  <w:style w:type="character" w:customStyle="1" w:styleId="WarningTok">
    <w:name w:val="WarningTok"/>
    <w:basedOn w:val="VerbatimChar"/>
    <w:rsid w:val="002C38FA"/>
    <w:rPr>
      <w:rFonts w:ascii="Consolas" w:hAnsi="Consolas"/>
      <w:b/>
      <w:i w:val="0"/>
      <w:color w:val="8F5902"/>
      <w:sz w:val="24"/>
      <w:szCs w:val="24"/>
      <w:shd w:val="clear" w:color="auto" w:fill="F8F8F8"/>
      <w:lang w:val="fr-FR"/>
    </w:rPr>
  </w:style>
  <w:style w:type="character" w:customStyle="1" w:styleId="AlertTok">
    <w:name w:val="AlertTok"/>
    <w:basedOn w:val="VerbatimChar"/>
    <w:rsid w:val="002C38FA"/>
    <w:rPr>
      <w:rFonts w:ascii="Consolas" w:hAnsi="Consolas"/>
      <w:i/>
      <w:color w:val="EF2929"/>
      <w:sz w:val="24"/>
      <w:szCs w:val="24"/>
      <w:shd w:val="clear" w:color="auto" w:fill="F8F8F8"/>
      <w:lang w:val="fr-FR"/>
    </w:rPr>
  </w:style>
  <w:style w:type="character" w:customStyle="1" w:styleId="ErrorTok">
    <w:name w:val="ErrorTok"/>
    <w:basedOn w:val="VerbatimChar"/>
    <w:rsid w:val="002C38FA"/>
    <w:rPr>
      <w:rFonts w:ascii="Consolas" w:hAnsi="Consolas"/>
      <w:b/>
      <w:i/>
      <w:color w:val="A40000"/>
      <w:sz w:val="24"/>
      <w:szCs w:val="24"/>
      <w:shd w:val="clear" w:color="auto" w:fill="F8F8F8"/>
      <w:lang w:val="fr-FR"/>
    </w:rPr>
  </w:style>
  <w:style w:type="character" w:customStyle="1" w:styleId="NormalTok">
    <w:name w:val="NormalTok"/>
    <w:basedOn w:val="VerbatimChar"/>
    <w:rsid w:val="002C38FA"/>
    <w:rPr>
      <w:rFonts w:ascii="Consolas" w:hAnsi="Consolas"/>
      <w:i/>
      <w:sz w:val="24"/>
      <w:szCs w:val="24"/>
      <w:shd w:val="clear" w:color="auto" w:fill="F8F8F8"/>
      <w:lang w:val="fr-FR"/>
    </w:rPr>
  </w:style>
  <w:style w:type="character" w:customStyle="1" w:styleId="DefaultChar">
    <w:name w:val="Default Char"/>
    <w:basedOn w:val="DefaultParagraphFont"/>
    <w:link w:val="Default"/>
    <w:locked/>
    <w:rsid w:val="001659FB"/>
    <w:rPr>
      <w:rFonts w:ascii="Cambria" w:eastAsia="Calibri" w:hAnsi="Cambria" w:cs="Times New Roman"/>
      <w:color w:val="000000"/>
      <w:sz w:val="24"/>
      <w:szCs w:val="24"/>
    </w:rPr>
  </w:style>
  <w:style w:type="character" w:customStyle="1" w:styleId="UnresolvedMention11">
    <w:name w:val="Unresolved Mention11"/>
    <w:basedOn w:val="DefaultParagraphFont"/>
    <w:uiPriority w:val="99"/>
    <w:semiHidden/>
    <w:unhideWhenUsed/>
    <w:rsid w:val="000E3420"/>
    <w:rPr>
      <w:color w:val="605E5C"/>
      <w:shd w:val="clear" w:color="auto" w:fill="E1DFDD"/>
    </w:rPr>
  </w:style>
  <w:style w:type="paragraph" w:styleId="Revision">
    <w:name w:val="Revision"/>
    <w:hidden/>
    <w:uiPriority w:val="99"/>
    <w:semiHidden/>
    <w:rsid w:val="000E3420"/>
    <w:pPr>
      <w:spacing w:after="0" w:line="240" w:lineRule="auto"/>
    </w:pPr>
    <w:rPr>
      <w:rFonts w:ascii="Times New Roman" w:eastAsia="Times New Roman" w:hAnsi="Times New Roman" w:cs="Times New Roman"/>
      <w:sz w:val="24"/>
      <w:szCs w:val="24"/>
    </w:rPr>
  </w:style>
  <w:style w:type="paragraph" w:styleId="NoSpacing">
    <w:name w:val="No Spacing"/>
    <w:link w:val="NoSpacingChar"/>
    <w:uiPriority w:val="1"/>
    <w:qFormat/>
    <w:rsid w:val="00BB057A"/>
    <w:pPr>
      <w:spacing w:line="256" w:lineRule="auto"/>
    </w:pPr>
    <w:rPr>
      <w:rFonts w:ascii="Times New Roman" w:eastAsiaTheme="minorEastAsia" w:hAnsi="Times New Roman"/>
      <w:sz w:val="24"/>
    </w:rPr>
  </w:style>
  <w:style w:type="character" w:customStyle="1" w:styleId="NoSpacingChar">
    <w:name w:val="No Spacing Char"/>
    <w:basedOn w:val="DefaultParagraphFont"/>
    <w:link w:val="NoSpacing"/>
    <w:uiPriority w:val="1"/>
    <w:rsid w:val="00BB057A"/>
    <w:rPr>
      <w:rFonts w:ascii="Times New Roman" w:eastAsiaTheme="minorEastAsia" w:hAnsi="Times New Roman"/>
      <w:sz w:val="24"/>
      <w:lang w:val="fr-FR"/>
    </w:rPr>
  </w:style>
  <w:style w:type="table" w:customStyle="1" w:styleId="TableGrid1">
    <w:name w:val="Table Grid1"/>
    <w:basedOn w:val="TableNormal"/>
    <w:next w:val="TableGrid"/>
    <w:uiPriority w:val="59"/>
    <w:rsid w:val="00E050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ptioncp">
    <w:name w:val="Caption_cp"/>
    <w:basedOn w:val="Standard"/>
    <w:autoRedefine/>
    <w:qFormat/>
    <w:rsid w:val="00277626"/>
    <w:pPr>
      <w:autoSpaceDN/>
      <w:jc w:val="both"/>
    </w:pPr>
    <w:rPr>
      <w:rFonts w:eastAsia="Droid Sans Fallback" w:cs="Lohit Hindi"/>
      <w:b/>
      <w:bCs/>
      <w:kern w:val="2"/>
      <w:sz w:val="16"/>
      <w:szCs w:val="16"/>
      <w:lang w:bidi="hi-IN"/>
    </w:rPr>
  </w:style>
  <w:style w:type="character" w:styleId="UnresolvedMention">
    <w:name w:val="Unresolved Mention"/>
    <w:basedOn w:val="DefaultParagraphFont"/>
    <w:uiPriority w:val="99"/>
    <w:semiHidden/>
    <w:unhideWhenUsed/>
    <w:rsid w:val="005733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590620">
      <w:bodyDiv w:val="1"/>
      <w:marLeft w:val="0"/>
      <w:marRight w:val="0"/>
      <w:marTop w:val="0"/>
      <w:marBottom w:val="0"/>
      <w:divBdr>
        <w:top w:val="none" w:sz="0" w:space="0" w:color="auto"/>
        <w:left w:val="none" w:sz="0" w:space="0" w:color="auto"/>
        <w:bottom w:val="none" w:sz="0" w:space="0" w:color="auto"/>
        <w:right w:val="none" w:sz="0" w:space="0" w:color="auto"/>
      </w:divBdr>
    </w:div>
    <w:div w:id="332879877">
      <w:bodyDiv w:val="1"/>
      <w:marLeft w:val="0"/>
      <w:marRight w:val="0"/>
      <w:marTop w:val="0"/>
      <w:marBottom w:val="0"/>
      <w:divBdr>
        <w:top w:val="none" w:sz="0" w:space="0" w:color="auto"/>
        <w:left w:val="none" w:sz="0" w:space="0" w:color="auto"/>
        <w:bottom w:val="none" w:sz="0" w:space="0" w:color="auto"/>
        <w:right w:val="none" w:sz="0" w:space="0" w:color="auto"/>
      </w:divBdr>
    </w:div>
    <w:div w:id="1082331612">
      <w:bodyDiv w:val="1"/>
      <w:marLeft w:val="0"/>
      <w:marRight w:val="0"/>
      <w:marTop w:val="0"/>
      <w:marBottom w:val="0"/>
      <w:divBdr>
        <w:top w:val="none" w:sz="0" w:space="0" w:color="auto"/>
        <w:left w:val="none" w:sz="0" w:space="0" w:color="auto"/>
        <w:bottom w:val="none" w:sz="0" w:space="0" w:color="auto"/>
        <w:right w:val="none" w:sz="0" w:space="0" w:color="auto"/>
      </w:divBdr>
    </w:div>
    <w:div w:id="1336570769">
      <w:bodyDiv w:val="1"/>
      <w:marLeft w:val="0"/>
      <w:marRight w:val="0"/>
      <w:marTop w:val="0"/>
      <w:marBottom w:val="0"/>
      <w:divBdr>
        <w:top w:val="none" w:sz="0" w:space="0" w:color="auto"/>
        <w:left w:val="none" w:sz="0" w:space="0" w:color="auto"/>
        <w:bottom w:val="none" w:sz="0" w:space="0" w:color="auto"/>
        <w:right w:val="none" w:sz="0" w:space="0" w:color="auto"/>
      </w:divBdr>
    </w:div>
    <w:div w:id="1373261062">
      <w:bodyDiv w:val="1"/>
      <w:marLeft w:val="0"/>
      <w:marRight w:val="0"/>
      <w:marTop w:val="0"/>
      <w:marBottom w:val="0"/>
      <w:divBdr>
        <w:top w:val="none" w:sz="0" w:space="0" w:color="auto"/>
        <w:left w:val="none" w:sz="0" w:space="0" w:color="auto"/>
        <w:bottom w:val="none" w:sz="0" w:space="0" w:color="auto"/>
        <w:right w:val="none" w:sz="0" w:space="0" w:color="auto"/>
      </w:divBdr>
    </w:div>
    <w:div w:id="1436513308">
      <w:bodyDiv w:val="1"/>
      <w:marLeft w:val="0"/>
      <w:marRight w:val="0"/>
      <w:marTop w:val="0"/>
      <w:marBottom w:val="0"/>
      <w:divBdr>
        <w:top w:val="none" w:sz="0" w:space="0" w:color="auto"/>
        <w:left w:val="none" w:sz="0" w:space="0" w:color="auto"/>
        <w:bottom w:val="none" w:sz="0" w:space="0" w:color="auto"/>
        <w:right w:val="none" w:sz="0" w:space="0" w:color="auto"/>
      </w:divBdr>
    </w:div>
    <w:div w:id="1728337077">
      <w:bodyDiv w:val="1"/>
      <w:marLeft w:val="0"/>
      <w:marRight w:val="0"/>
      <w:marTop w:val="0"/>
      <w:marBottom w:val="0"/>
      <w:divBdr>
        <w:top w:val="none" w:sz="0" w:space="0" w:color="auto"/>
        <w:left w:val="none" w:sz="0" w:space="0" w:color="auto"/>
        <w:bottom w:val="none" w:sz="0" w:space="0" w:color="auto"/>
        <w:right w:val="none" w:sz="0" w:space="0" w:color="auto"/>
      </w:divBdr>
    </w:div>
    <w:div w:id="1801531495">
      <w:bodyDiv w:val="1"/>
      <w:marLeft w:val="0"/>
      <w:marRight w:val="0"/>
      <w:marTop w:val="0"/>
      <w:marBottom w:val="0"/>
      <w:divBdr>
        <w:top w:val="none" w:sz="0" w:space="0" w:color="auto"/>
        <w:left w:val="none" w:sz="0" w:space="0" w:color="auto"/>
        <w:bottom w:val="none" w:sz="0" w:space="0" w:color="auto"/>
        <w:right w:val="none" w:sz="0" w:space="0" w:color="auto"/>
      </w:divBdr>
    </w:div>
    <w:div w:id="1961564603">
      <w:bodyDiv w:val="1"/>
      <w:marLeft w:val="0"/>
      <w:marRight w:val="0"/>
      <w:marTop w:val="0"/>
      <w:marBottom w:val="0"/>
      <w:divBdr>
        <w:top w:val="none" w:sz="0" w:space="0" w:color="auto"/>
        <w:left w:val="none" w:sz="0" w:space="0" w:color="auto"/>
        <w:bottom w:val="none" w:sz="0" w:space="0" w:color="auto"/>
        <w:right w:val="none" w:sz="0" w:space="0" w:color="auto"/>
      </w:divBdr>
    </w:div>
    <w:div w:id="2064137833">
      <w:bodyDiv w:val="1"/>
      <w:marLeft w:val="0"/>
      <w:marRight w:val="0"/>
      <w:marTop w:val="0"/>
      <w:marBottom w:val="0"/>
      <w:divBdr>
        <w:top w:val="none" w:sz="0" w:space="0" w:color="auto"/>
        <w:left w:val="none" w:sz="0" w:space="0" w:color="auto"/>
        <w:bottom w:val="none" w:sz="0" w:space="0" w:color="auto"/>
        <w:right w:val="none" w:sz="0" w:space="0" w:color="auto"/>
      </w:divBdr>
    </w:div>
    <w:div w:id="21465817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iccat.int/Documents/Recs/compendiopdf-f/2023-07-f.pdf" TargetMode="External"/><Relationship Id="rId3" Type="http://schemas.openxmlformats.org/officeDocument/2006/relationships/settings" Target="settings.xml"/><Relationship Id="rId7" Type="http://schemas.openxmlformats.org/officeDocument/2006/relationships/hyperlink" Target="https://www.iccat.int/Documents/Recs/compendiopdf-f/2023-07-f.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108</TotalTime>
  <Pages>8</Pages>
  <Words>3594</Words>
  <Characters>20490</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 Parrilla</dc:creator>
  <cp:keywords/>
  <dc:description/>
  <cp:lastModifiedBy>Christine Peyre</cp:lastModifiedBy>
  <cp:revision>80</cp:revision>
  <dcterms:created xsi:type="dcterms:W3CDTF">2025-11-11T08:34:00Z</dcterms:created>
  <dcterms:modified xsi:type="dcterms:W3CDTF">2025-11-11T11:08:00Z</dcterms:modified>
</cp:coreProperties>
</file>