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0BAD" w14:textId="742D7470" w:rsidR="00B178D1" w:rsidRPr="00B178D1" w:rsidRDefault="00B178D1" w:rsidP="00B178D1">
      <w:pPr>
        <w:spacing w:line="240" w:lineRule="exact"/>
        <w:jc w:val="right"/>
        <w:rPr>
          <w:rFonts w:ascii="Cambria" w:hAnsi="Cambria"/>
          <w:b/>
          <w:bCs/>
          <w:sz w:val="20"/>
          <w:szCs w:val="20"/>
        </w:rPr>
      </w:pPr>
      <w:r>
        <w:rPr>
          <w:rFonts w:ascii="Cambria" w:hAnsi="Cambria"/>
          <w:b/>
          <w:sz w:val="20"/>
        </w:rPr>
        <w:t xml:space="preserve">Original: inglés </w:t>
      </w:r>
    </w:p>
    <w:p w14:paraId="55CE0A3D" w14:textId="77777777" w:rsidR="00B178D1" w:rsidRPr="00B178D1" w:rsidRDefault="00B178D1" w:rsidP="00B178D1">
      <w:pPr>
        <w:spacing w:line="240" w:lineRule="exact"/>
        <w:jc w:val="right"/>
        <w:rPr>
          <w:rFonts w:ascii="Cambria" w:hAnsi="Cambria"/>
          <w:b/>
          <w:bCs/>
          <w:sz w:val="20"/>
          <w:szCs w:val="20"/>
        </w:rPr>
      </w:pPr>
    </w:p>
    <w:p w14:paraId="033DA1B7" w14:textId="4878FC3D" w:rsidR="00855DFE" w:rsidRPr="00855DFE" w:rsidRDefault="00524A03" w:rsidP="001E63AC">
      <w:pPr>
        <w:spacing w:line="240" w:lineRule="exact"/>
        <w:jc w:val="center"/>
        <w:rPr>
          <w:rFonts w:ascii="Cambria" w:hAnsi="Cambria"/>
          <w:b/>
          <w:bCs/>
          <w:sz w:val="20"/>
          <w:szCs w:val="20"/>
        </w:rPr>
      </w:pPr>
      <w:r>
        <w:rPr>
          <w:rFonts w:ascii="Cambria" w:hAnsi="Cambria"/>
          <w:b/>
          <w:sz w:val="20"/>
        </w:rPr>
        <w:t>Nota explicativa sobre un proyecto de esquema de asignación para el</w:t>
      </w:r>
      <w:r w:rsidR="00B41D56">
        <w:rPr>
          <w:rFonts w:ascii="Cambria" w:hAnsi="Cambria"/>
          <w:b/>
          <w:sz w:val="20"/>
        </w:rPr>
        <w:t xml:space="preserve"> stock de</w:t>
      </w:r>
    </w:p>
    <w:p w14:paraId="1CEB5E5E" w14:textId="1EE44906" w:rsidR="00524A03" w:rsidRPr="00855DFE" w:rsidRDefault="00524A03" w:rsidP="001E63AC">
      <w:pPr>
        <w:spacing w:line="240" w:lineRule="exact"/>
        <w:jc w:val="center"/>
        <w:rPr>
          <w:rFonts w:ascii="Cambria" w:hAnsi="Cambria"/>
          <w:b/>
          <w:bCs/>
          <w:sz w:val="20"/>
          <w:szCs w:val="20"/>
        </w:rPr>
      </w:pPr>
      <w:r>
        <w:rPr>
          <w:rFonts w:ascii="Cambria" w:hAnsi="Cambria"/>
          <w:b/>
          <w:sz w:val="20"/>
        </w:rPr>
        <w:t xml:space="preserve">atún rojo del Atlántico este y </w:t>
      </w:r>
      <w:r w:rsidR="00EE1CD0">
        <w:rPr>
          <w:rFonts w:ascii="Cambria" w:hAnsi="Cambria"/>
          <w:b/>
          <w:sz w:val="20"/>
        </w:rPr>
        <w:t xml:space="preserve">el </w:t>
      </w:r>
      <w:r>
        <w:rPr>
          <w:rFonts w:ascii="Cambria" w:hAnsi="Cambria"/>
          <w:b/>
          <w:sz w:val="20"/>
        </w:rPr>
        <w:t>Mediterráneo.</w:t>
      </w:r>
    </w:p>
    <w:p w14:paraId="0C90049C" w14:textId="655543D0" w:rsidR="00524A03" w:rsidRPr="00855DFE" w:rsidRDefault="00855DFE" w:rsidP="001E63AC">
      <w:pPr>
        <w:spacing w:line="240" w:lineRule="exact"/>
        <w:jc w:val="center"/>
        <w:rPr>
          <w:rFonts w:ascii="Cambria" w:hAnsi="Cambria"/>
          <w:i/>
          <w:iCs/>
          <w:sz w:val="20"/>
          <w:szCs w:val="20"/>
        </w:rPr>
      </w:pPr>
      <w:r>
        <w:rPr>
          <w:rFonts w:ascii="Cambria" w:hAnsi="Cambria"/>
          <w:i/>
          <w:sz w:val="20"/>
        </w:rPr>
        <w:t>(Presentado por el presidente de la Subcomisión 2)</w:t>
      </w:r>
    </w:p>
    <w:p w14:paraId="0C0D7A97" w14:textId="77777777" w:rsidR="00524A03" w:rsidRPr="00995BDB" w:rsidRDefault="00524A03" w:rsidP="001E63AC">
      <w:pPr>
        <w:spacing w:line="240" w:lineRule="exact"/>
        <w:jc w:val="center"/>
        <w:rPr>
          <w:rFonts w:ascii="Cambria" w:hAnsi="Cambria"/>
          <w:sz w:val="20"/>
          <w:szCs w:val="20"/>
        </w:rPr>
      </w:pPr>
    </w:p>
    <w:p w14:paraId="7C24A2E2" w14:textId="77777777" w:rsidR="00524A03" w:rsidRPr="00995BDB" w:rsidRDefault="00524A03" w:rsidP="001E63AC">
      <w:pPr>
        <w:spacing w:line="240" w:lineRule="exact"/>
        <w:jc w:val="center"/>
        <w:rPr>
          <w:rFonts w:ascii="Cambria" w:hAnsi="Cambria"/>
          <w:sz w:val="20"/>
          <w:szCs w:val="20"/>
        </w:rPr>
      </w:pPr>
    </w:p>
    <w:p w14:paraId="2489A280" w14:textId="6E718B1F" w:rsidR="00524A03" w:rsidRPr="00995BDB" w:rsidRDefault="00524A03" w:rsidP="00855DFE">
      <w:pPr>
        <w:tabs>
          <w:tab w:val="left" w:pos="426"/>
        </w:tabs>
        <w:spacing w:line="240" w:lineRule="exact"/>
        <w:ind w:left="426" w:hanging="426"/>
        <w:rPr>
          <w:rFonts w:ascii="Cambria" w:hAnsi="Cambria"/>
          <w:sz w:val="20"/>
          <w:szCs w:val="20"/>
        </w:rPr>
      </w:pPr>
      <w:r>
        <w:rPr>
          <w:rFonts w:ascii="Cambria" w:hAnsi="Cambria"/>
          <w:sz w:val="20"/>
        </w:rPr>
        <w:t xml:space="preserve">1. </w:t>
      </w:r>
      <w:r>
        <w:rPr>
          <w:rFonts w:ascii="Cambria" w:hAnsi="Cambria"/>
          <w:sz w:val="20"/>
        </w:rPr>
        <w:tab/>
        <w:t xml:space="preserve">La Subcomisión 2 ha estado debatiendo la cuestión de la asignación del atún rojo del Atlántico este y el Mediterráneo durante los últimos tres años a través de reuniones anuales y reuniones intersesiones. Durante el debate, el presidente de la Subcomisión 2, así como varias CPC, aportaron ideas para encontrar soluciones. </w:t>
      </w:r>
    </w:p>
    <w:p w14:paraId="4F2BDFA4" w14:textId="77777777" w:rsidR="00524A03" w:rsidRPr="00995BDB" w:rsidRDefault="00524A03" w:rsidP="001E63AC">
      <w:pPr>
        <w:spacing w:line="240" w:lineRule="exact"/>
        <w:rPr>
          <w:rFonts w:ascii="Cambria" w:hAnsi="Cambria"/>
          <w:sz w:val="20"/>
          <w:szCs w:val="20"/>
        </w:rPr>
      </w:pPr>
    </w:p>
    <w:p w14:paraId="612F79EE" w14:textId="049D1356" w:rsidR="00524A03" w:rsidRPr="00995BDB" w:rsidRDefault="00524A03" w:rsidP="00855DFE">
      <w:pPr>
        <w:tabs>
          <w:tab w:val="left" w:pos="426"/>
        </w:tabs>
        <w:spacing w:line="240" w:lineRule="exact"/>
        <w:ind w:left="426" w:hanging="426"/>
        <w:rPr>
          <w:rFonts w:ascii="Cambria" w:hAnsi="Cambria"/>
          <w:sz w:val="20"/>
          <w:szCs w:val="20"/>
        </w:rPr>
      </w:pPr>
      <w:r>
        <w:rPr>
          <w:rFonts w:ascii="Cambria" w:hAnsi="Cambria"/>
          <w:sz w:val="20"/>
        </w:rPr>
        <w:t xml:space="preserve">2. </w:t>
      </w:r>
      <w:r>
        <w:rPr>
          <w:rFonts w:ascii="Cambria" w:hAnsi="Cambria"/>
          <w:sz w:val="20"/>
        </w:rPr>
        <w:tab/>
        <w:t>En lo que concierne al</w:t>
      </w:r>
      <w:r w:rsidR="00307FE0">
        <w:rPr>
          <w:rFonts w:ascii="Cambria" w:hAnsi="Cambria"/>
          <w:sz w:val="20"/>
        </w:rPr>
        <w:t xml:space="preserve"> total de capturas admisibles (TAC)</w:t>
      </w:r>
      <w:r>
        <w:rPr>
          <w:rFonts w:ascii="Cambria" w:hAnsi="Cambria"/>
          <w:sz w:val="20"/>
        </w:rPr>
        <w:t xml:space="preserve">, el SCRS proporcionó a la Comisión para su consideración los resultados de dos </w:t>
      </w:r>
      <w:r w:rsidR="00307FE0">
        <w:rPr>
          <w:rFonts w:ascii="Cambria" w:hAnsi="Cambria"/>
          <w:sz w:val="20"/>
        </w:rPr>
        <w:t>procedimientos de ordenación (</w:t>
      </w:r>
      <w:r>
        <w:rPr>
          <w:rFonts w:ascii="Cambria" w:hAnsi="Cambria"/>
          <w:sz w:val="20"/>
        </w:rPr>
        <w:t>MP</w:t>
      </w:r>
      <w:r w:rsidR="00307FE0">
        <w:rPr>
          <w:rFonts w:ascii="Cambria" w:hAnsi="Cambria"/>
          <w:sz w:val="20"/>
        </w:rPr>
        <w:t>)</w:t>
      </w:r>
      <w:r>
        <w:rPr>
          <w:rFonts w:ascii="Cambria" w:hAnsi="Cambria"/>
          <w:sz w:val="20"/>
        </w:rPr>
        <w:t>: el BR adoptado y el BR recalibrado para cumplir los objetivos de ordenación en el marco de los</w:t>
      </w:r>
      <w:r w:rsidR="008C2898">
        <w:rPr>
          <w:rFonts w:ascii="Cambria" w:hAnsi="Cambria"/>
          <w:sz w:val="20"/>
        </w:rPr>
        <w:t xml:space="preserve"> modelos operativos (OM </w:t>
      </w:r>
      <w:r>
        <w:rPr>
          <w:rFonts w:ascii="Cambria" w:hAnsi="Cambria"/>
          <w:sz w:val="20"/>
        </w:rPr>
        <w:t xml:space="preserve">recondicionados. El primero da 48.403 t y el segundo, 45.191 t. La Subcomisión 2 puede elegir </w:t>
      </w:r>
      <w:r w:rsidR="0020389F">
        <w:rPr>
          <w:rFonts w:ascii="Cambria" w:hAnsi="Cambria"/>
          <w:sz w:val="20"/>
        </w:rPr>
        <w:t>uno de</w:t>
      </w:r>
      <w:r>
        <w:rPr>
          <w:rFonts w:ascii="Cambria" w:hAnsi="Cambria"/>
          <w:sz w:val="20"/>
        </w:rPr>
        <w:t xml:space="preserve"> ellos, pero también otra cifra si hay consenso entre los miembros y justificación científica que lo apoye. </w:t>
      </w:r>
    </w:p>
    <w:p w14:paraId="75659A1E" w14:textId="77777777" w:rsidR="00524A03" w:rsidRPr="00995BDB" w:rsidRDefault="00524A03" w:rsidP="00855DFE">
      <w:pPr>
        <w:tabs>
          <w:tab w:val="left" w:pos="426"/>
        </w:tabs>
        <w:spacing w:line="240" w:lineRule="exact"/>
        <w:ind w:left="426" w:hanging="426"/>
        <w:rPr>
          <w:rFonts w:ascii="Cambria" w:hAnsi="Cambria"/>
          <w:sz w:val="20"/>
          <w:szCs w:val="20"/>
        </w:rPr>
      </w:pPr>
    </w:p>
    <w:p w14:paraId="55D65800" w14:textId="213562E6" w:rsidR="00524A03" w:rsidRPr="00995BDB" w:rsidRDefault="00524A03" w:rsidP="00855DFE">
      <w:pPr>
        <w:tabs>
          <w:tab w:val="left" w:pos="426"/>
        </w:tabs>
        <w:spacing w:line="240" w:lineRule="exact"/>
        <w:ind w:left="426" w:hanging="426"/>
        <w:rPr>
          <w:rFonts w:ascii="Cambria" w:hAnsi="Cambria"/>
          <w:sz w:val="20"/>
          <w:szCs w:val="20"/>
        </w:rPr>
      </w:pPr>
      <w:r>
        <w:rPr>
          <w:rFonts w:ascii="Cambria" w:hAnsi="Cambria"/>
          <w:sz w:val="20"/>
        </w:rPr>
        <w:t xml:space="preserve">3. </w:t>
      </w:r>
      <w:r>
        <w:rPr>
          <w:rFonts w:ascii="Cambria" w:hAnsi="Cambria"/>
          <w:sz w:val="20"/>
        </w:rPr>
        <w:tab/>
        <w:t xml:space="preserve">Como prometí en la reunión intersesiones de la Subcomisión 2 del pasado mes de marzo, he elaborado un proyecto de esquema de </w:t>
      </w:r>
      <w:r w:rsidR="00B67BD7">
        <w:rPr>
          <w:rFonts w:ascii="Cambria" w:hAnsi="Cambria"/>
          <w:sz w:val="20"/>
        </w:rPr>
        <w:t>asignaciones</w:t>
      </w:r>
      <w:r>
        <w:rPr>
          <w:rFonts w:ascii="Cambria" w:hAnsi="Cambria"/>
          <w:sz w:val="20"/>
        </w:rPr>
        <w:t xml:space="preserve"> basado en los debates mantenidos durante el trienio. Tenga en cuenta que existen dos versiones: </w:t>
      </w:r>
      <w:r w:rsidR="00C3229B">
        <w:rPr>
          <w:rFonts w:ascii="Cambria" w:hAnsi="Cambria"/>
          <w:sz w:val="20"/>
        </w:rPr>
        <w:t xml:space="preserve">La </w:t>
      </w:r>
      <w:r w:rsidRPr="00674B2B">
        <w:rPr>
          <w:rFonts w:ascii="Cambria" w:hAnsi="Cambria"/>
          <w:b/>
          <w:bCs/>
          <w:sz w:val="20"/>
        </w:rPr>
        <w:t>Tabla 1</w:t>
      </w:r>
      <w:r w:rsidR="00C3229B" w:rsidRPr="00674B2B">
        <w:rPr>
          <w:rFonts w:ascii="Cambria" w:hAnsi="Cambria"/>
          <w:b/>
          <w:bCs/>
          <w:sz w:val="20"/>
        </w:rPr>
        <w:t>.</w:t>
      </w:r>
      <w:r w:rsidRPr="00674B2B">
        <w:rPr>
          <w:rFonts w:ascii="Cambria" w:hAnsi="Cambria"/>
          <w:b/>
          <w:bCs/>
          <w:sz w:val="20"/>
        </w:rPr>
        <w:t>1</w:t>
      </w:r>
      <w:r w:rsidR="00C3229B">
        <w:rPr>
          <w:rFonts w:ascii="Cambria" w:hAnsi="Cambria"/>
          <w:sz w:val="20"/>
        </w:rPr>
        <w:t xml:space="preserve"> del </w:t>
      </w:r>
      <w:r w:rsidR="00C3229B" w:rsidRPr="00C3229B">
        <w:rPr>
          <w:rFonts w:ascii="Cambria" w:hAnsi="Cambria"/>
          <w:b/>
          <w:bCs/>
          <w:sz w:val="20"/>
        </w:rPr>
        <w:t>Apéndice 1</w:t>
      </w:r>
      <w:r>
        <w:rPr>
          <w:rFonts w:ascii="Cambria" w:hAnsi="Cambria"/>
          <w:sz w:val="20"/>
        </w:rPr>
        <w:t xml:space="preserve"> para 48.403 t y </w:t>
      </w:r>
      <w:r w:rsidRPr="00674B2B">
        <w:rPr>
          <w:rFonts w:ascii="Cambria" w:hAnsi="Cambria"/>
          <w:b/>
          <w:bCs/>
          <w:sz w:val="20"/>
        </w:rPr>
        <w:t>Tabla 1</w:t>
      </w:r>
      <w:r w:rsidR="00C3229B" w:rsidRPr="00674B2B">
        <w:rPr>
          <w:rFonts w:ascii="Cambria" w:hAnsi="Cambria"/>
          <w:b/>
          <w:bCs/>
          <w:sz w:val="20"/>
        </w:rPr>
        <w:t>.</w:t>
      </w:r>
      <w:r w:rsidRPr="00674B2B">
        <w:rPr>
          <w:rFonts w:ascii="Cambria" w:hAnsi="Cambria"/>
          <w:b/>
          <w:bCs/>
          <w:sz w:val="20"/>
        </w:rPr>
        <w:t>2</w:t>
      </w:r>
      <w:r>
        <w:rPr>
          <w:rFonts w:ascii="Cambria" w:hAnsi="Cambria"/>
          <w:sz w:val="20"/>
        </w:rPr>
        <w:t xml:space="preserve"> </w:t>
      </w:r>
      <w:r w:rsidR="00C3229B" w:rsidRPr="00101545">
        <w:rPr>
          <w:rFonts w:ascii="Cambria" w:hAnsi="Cambria"/>
          <w:sz w:val="20"/>
        </w:rPr>
        <w:t>del</w:t>
      </w:r>
      <w:r w:rsidR="00C3229B" w:rsidRPr="00101545">
        <w:rPr>
          <w:rFonts w:ascii="Cambria" w:hAnsi="Cambria"/>
          <w:b/>
          <w:bCs/>
          <w:sz w:val="20"/>
        </w:rPr>
        <w:t xml:space="preserve"> </w:t>
      </w:r>
      <w:r w:rsidR="00101545">
        <w:rPr>
          <w:rFonts w:ascii="Cambria" w:hAnsi="Cambria"/>
          <w:b/>
          <w:bCs/>
          <w:sz w:val="20"/>
        </w:rPr>
        <w:t>Apéndice</w:t>
      </w:r>
      <w:r w:rsidR="00C3229B" w:rsidRPr="00101545">
        <w:rPr>
          <w:rFonts w:ascii="Cambria" w:hAnsi="Cambria"/>
          <w:b/>
          <w:bCs/>
          <w:sz w:val="20"/>
        </w:rPr>
        <w:t xml:space="preserve"> 1 </w:t>
      </w:r>
      <w:r>
        <w:rPr>
          <w:rFonts w:ascii="Cambria" w:hAnsi="Cambria"/>
          <w:sz w:val="20"/>
        </w:rPr>
        <w:t>para 45.191 t a título indicativo. Una vez más, es la Subcomisión 2, y no el presidente, la que decide sobre el TAC.</w:t>
      </w:r>
    </w:p>
    <w:p w14:paraId="1AFACF72" w14:textId="77777777" w:rsidR="00524A03" w:rsidRPr="00995BDB" w:rsidRDefault="00524A03" w:rsidP="00855DFE">
      <w:pPr>
        <w:tabs>
          <w:tab w:val="left" w:pos="426"/>
        </w:tabs>
        <w:spacing w:line="240" w:lineRule="exact"/>
        <w:ind w:left="426" w:hanging="426"/>
        <w:rPr>
          <w:rFonts w:ascii="Cambria" w:hAnsi="Cambria"/>
          <w:sz w:val="20"/>
          <w:szCs w:val="20"/>
        </w:rPr>
      </w:pPr>
    </w:p>
    <w:p w14:paraId="175607E2" w14:textId="77777777" w:rsidR="00530023" w:rsidRDefault="00524A03" w:rsidP="00855DFE">
      <w:pPr>
        <w:tabs>
          <w:tab w:val="left" w:pos="426"/>
        </w:tabs>
        <w:spacing w:line="240" w:lineRule="exact"/>
        <w:ind w:left="426" w:hanging="426"/>
        <w:rPr>
          <w:rFonts w:ascii="Cambria" w:hAnsi="Cambria"/>
          <w:sz w:val="20"/>
          <w:szCs w:val="20"/>
        </w:rPr>
      </w:pPr>
      <w:r w:rsidRPr="0020389F">
        <w:rPr>
          <w:rFonts w:ascii="Cambria" w:hAnsi="Cambria"/>
          <w:sz w:val="20"/>
          <w:szCs w:val="20"/>
        </w:rPr>
        <w:t xml:space="preserve">4. </w:t>
      </w:r>
      <w:r w:rsidRPr="0020389F">
        <w:rPr>
          <w:rFonts w:ascii="Cambria" w:hAnsi="Cambria"/>
          <w:sz w:val="20"/>
          <w:szCs w:val="20"/>
        </w:rPr>
        <w:tab/>
        <w:t>Tengo la intención de entrevistar a cada miembro de la Subcomisión 2 durante la reunión anual. Estaré disponible durante la sesión del COC (días 15 y 16</w:t>
      </w:r>
      <w:r w:rsidR="00101545">
        <w:rPr>
          <w:rFonts w:ascii="Cambria" w:hAnsi="Cambria"/>
          <w:sz w:val="20"/>
          <w:szCs w:val="20"/>
        </w:rPr>
        <w:t xml:space="preserve"> de noviembre</w:t>
      </w:r>
      <w:r w:rsidRPr="0020389F">
        <w:rPr>
          <w:rFonts w:ascii="Cambria" w:hAnsi="Cambria"/>
          <w:sz w:val="20"/>
          <w:szCs w:val="20"/>
        </w:rPr>
        <w:t xml:space="preserve">), así como en las sesiones del COC, el GTP y el STACFAD, además de durante las pausas para el café y el almuerzo durante la reunión anual. Le ruego que, en caso de que quiera concertar una reunión conmigo, se ponga en contacto conmigo en </w:t>
      </w:r>
      <w:hyperlink r:id="rId8" w:history="1">
        <w:r w:rsidRPr="0020389F">
          <w:rPr>
            <w:rFonts w:ascii="Cambria" w:hAnsi="Cambria"/>
            <w:sz w:val="20"/>
            <w:szCs w:val="20"/>
          </w:rPr>
          <w:t>shingo_ota810@maff.go.jp</w:t>
        </w:r>
      </w:hyperlink>
      <w:r w:rsidRPr="0020389F">
        <w:rPr>
          <w:rFonts w:ascii="Cambria" w:hAnsi="Cambria"/>
          <w:sz w:val="20"/>
          <w:szCs w:val="20"/>
        </w:rPr>
        <w:t xml:space="preserve"> y me indique el horario que prefiere. Tenga en cuenta que nuestro/a intérprete de francés sólo estará disponible a partir del lunes 17</w:t>
      </w:r>
      <w:r w:rsidR="00492EA5">
        <w:rPr>
          <w:rFonts w:ascii="Cambria" w:hAnsi="Cambria"/>
          <w:sz w:val="20"/>
          <w:szCs w:val="20"/>
        </w:rPr>
        <w:t xml:space="preserve"> de noviembre</w:t>
      </w:r>
      <w:r w:rsidRPr="0020389F">
        <w:rPr>
          <w:rFonts w:ascii="Cambria" w:hAnsi="Cambria"/>
          <w:sz w:val="20"/>
          <w:szCs w:val="20"/>
        </w:rPr>
        <w:t xml:space="preserve">. </w:t>
      </w:r>
    </w:p>
    <w:p w14:paraId="7378295E" w14:textId="77777777" w:rsidR="00530023" w:rsidRDefault="00530023" w:rsidP="00855DFE">
      <w:pPr>
        <w:tabs>
          <w:tab w:val="left" w:pos="426"/>
        </w:tabs>
        <w:spacing w:line="240" w:lineRule="exact"/>
        <w:ind w:left="426" w:hanging="426"/>
        <w:rPr>
          <w:rFonts w:ascii="Cambria" w:hAnsi="Cambria"/>
          <w:sz w:val="20"/>
          <w:szCs w:val="20"/>
        </w:rPr>
      </w:pPr>
    </w:p>
    <w:p w14:paraId="6B9F6DCF" w14:textId="77777777" w:rsidR="00530023" w:rsidRDefault="00530023" w:rsidP="00855DFE">
      <w:pPr>
        <w:tabs>
          <w:tab w:val="left" w:pos="426"/>
        </w:tabs>
        <w:spacing w:line="240" w:lineRule="exact"/>
        <w:ind w:left="426" w:hanging="426"/>
        <w:rPr>
          <w:rFonts w:ascii="Cambria" w:hAnsi="Cambria"/>
          <w:sz w:val="20"/>
          <w:szCs w:val="20"/>
        </w:rPr>
      </w:pPr>
    </w:p>
    <w:p w14:paraId="7689BB82" w14:textId="63D7DF53" w:rsidR="00524A03" w:rsidRPr="0020389F" w:rsidRDefault="00AB4EA9" w:rsidP="00855DFE">
      <w:pPr>
        <w:tabs>
          <w:tab w:val="left" w:pos="426"/>
        </w:tabs>
        <w:spacing w:line="240" w:lineRule="exact"/>
        <w:ind w:left="426" w:hanging="426"/>
        <w:rPr>
          <w:rFonts w:ascii="Cambria" w:hAnsi="Cambria"/>
          <w:sz w:val="20"/>
          <w:szCs w:val="20"/>
        </w:rPr>
      </w:pPr>
      <w:r>
        <w:rPr>
          <w:rFonts w:ascii="Cambria" w:hAnsi="Cambria"/>
          <w:sz w:val="20"/>
          <w:szCs w:val="20"/>
        </w:rPr>
        <w:t>Quedo a la espera</w:t>
      </w:r>
      <w:r w:rsidR="00524A03" w:rsidRPr="0020389F">
        <w:rPr>
          <w:rFonts w:ascii="Cambria" w:hAnsi="Cambria"/>
          <w:sz w:val="20"/>
          <w:szCs w:val="20"/>
        </w:rPr>
        <w:t xml:space="preserve"> de trabajar con todos ustedes en Sevilla</w:t>
      </w:r>
      <w:r>
        <w:rPr>
          <w:rFonts w:ascii="Cambria" w:hAnsi="Cambria"/>
          <w:sz w:val="20"/>
          <w:szCs w:val="20"/>
        </w:rPr>
        <w:t>.</w:t>
      </w:r>
    </w:p>
    <w:p w14:paraId="3301CDE8" w14:textId="77777777" w:rsidR="00524A03" w:rsidRPr="00995BDB" w:rsidRDefault="00524A03" w:rsidP="001E63AC">
      <w:pPr>
        <w:widowControl/>
        <w:spacing w:line="240" w:lineRule="exact"/>
        <w:jc w:val="left"/>
        <w:rPr>
          <w:rFonts w:ascii="Cambria" w:hAnsi="Cambria"/>
          <w:sz w:val="20"/>
          <w:szCs w:val="20"/>
        </w:rPr>
      </w:pPr>
      <w:r>
        <w:br w:type="page"/>
      </w:r>
    </w:p>
    <w:p w14:paraId="0A5C432A" w14:textId="77777777" w:rsidR="00B178D1" w:rsidRPr="00B178D1" w:rsidRDefault="00B178D1" w:rsidP="00B178D1">
      <w:pPr>
        <w:spacing w:line="240" w:lineRule="exact"/>
        <w:jc w:val="right"/>
        <w:rPr>
          <w:rFonts w:ascii="Cambria" w:hAnsi="Cambria"/>
          <w:b/>
          <w:bCs/>
          <w:sz w:val="20"/>
          <w:szCs w:val="20"/>
        </w:rPr>
      </w:pPr>
      <w:r>
        <w:rPr>
          <w:rFonts w:ascii="Cambria" w:hAnsi="Cambria"/>
          <w:b/>
          <w:sz w:val="20"/>
        </w:rPr>
        <w:lastRenderedPageBreak/>
        <w:t xml:space="preserve">Original: inglés </w:t>
      </w:r>
    </w:p>
    <w:p w14:paraId="10894B66" w14:textId="77777777" w:rsidR="00B178D1" w:rsidRPr="00855DFE" w:rsidRDefault="00B178D1" w:rsidP="00B178D1">
      <w:pPr>
        <w:spacing w:line="240" w:lineRule="exact"/>
        <w:jc w:val="right"/>
        <w:rPr>
          <w:rFonts w:ascii="Cambria" w:hAnsi="Cambria"/>
          <w:b/>
          <w:bCs/>
          <w:sz w:val="20"/>
          <w:szCs w:val="20"/>
        </w:rPr>
      </w:pPr>
    </w:p>
    <w:p w14:paraId="311146E2" w14:textId="77777777" w:rsidR="0044179E" w:rsidRPr="007C30BB" w:rsidRDefault="0044179E" w:rsidP="00A24F31">
      <w:pPr>
        <w:spacing w:line="240" w:lineRule="exact"/>
        <w:jc w:val="right"/>
        <w:rPr>
          <w:rFonts w:ascii="Cambria" w:hAnsi="Cambria"/>
          <w:b/>
          <w:bCs/>
          <w:sz w:val="20"/>
          <w:szCs w:val="20"/>
        </w:rPr>
      </w:pPr>
    </w:p>
    <w:p w14:paraId="761F6693" w14:textId="59306724" w:rsidR="00205768" w:rsidRPr="006A44AC" w:rsidRDefault="00141242" w:rsidP="00A24F31">
      <w:pPr>
        <w:spacing w:line="240" w:lineRule="exact"/>
        <w:jc w:val="center"/>
        <w:rPr>
          <w:rFonts w:ascii="Cambria" w:hAnsi="Cambria"/>
          <w:bCs/>
          <w:i/>
          <w:iCs/>
          <w:sz w:val="20"/>
        </w:rPr>
      </w:pPr>
      <w:r>
        <w:rPr>
          <w:rFonts w:ascii="Cambria" w:hAnsi="Cambria"/>
          <w:b/>
          <w:sz w:val="20"/>
        </w:rPr>
        <w:t xml:space="preserve">Proyecto de esquema de asignación para el stock de atún rojo del Atlántico este y </w:t>
      </w:r>
      <w:r w:rsidR="00161901">
        <w:rPr>
          <w:rFonts w:ascii="Cambria" w:hAnsi="Cambria"/>
          <w:b/>
          <w:sz w:val="20"/>
        </w:rPr>
        <w:t xml:space="preserve">el </w:t>
      </w:r>
      <w:r>
        <w:rPr>
          <w:rFonts w:ascii="Cambria" w:hAnsi="Cambria"/>
          <w:b/>
          <w:sz w:val="20"/>
        </w:rPr>
        <w:t>Mediterráneo</w:t>
      </w:r>
    </w:p>
    <w:p w14:paraId="556CF0B7" w14:textId="59D9F043" w:rsidR="006A44AC" w:rsidRPr="006A44AC" w:rsidRDefault="006A44AC" w:rsidP="00A24F31">
      <w:pPr>
        <w:spacing w:line="240" w:lineRule="exact"/>
        <w:jc w:val="center"/>
        <w:rPr>
          <w:rFonts w:ascii="Cambria" w:hAnsi="Cambria"/>
          <w:bCs/>
          <w:i/>
          <w:iCs/>
          <w:sz w:val="20"/>
          <w:szCs w:val="20"/>
        </w:rPr>
      </w:pPr>
      <w:r w:rsidRPr="006A44AC">
        <w:rPr>
          <w:rFonts w:ascii="Cambria" w:hAnsi="Cambria"/>
          <w:bCs/>
          <w:i/>
          <w:iCs/>
          <w:sz w:val="20"/>
        </w:rPr>
        <w:t>(presentado por el presidente de la Subcomisión 2)</w:t>
      </w:r>
    </w:p>
    <w:p w14:paraId="6A5BE4FD" w14:textId="626CA216" w:rsidR="008635B6" w:rsidRPr="00995BDB" w:rsidRDefault="008635B6" w:rsidP="00A24F31">
      <w:pPr>
        <w:spacing w:line="240" w:lineRule="exact"/>
        <w:rPr>
          <w:rFonts w:ascii="Cambria" w:hAnsi="Cambria"/>
          <w:sz w:val="20"/>
          <w:szCs w:val="20"/>
        </w:rPr>
      </w:pPr>
    </w:p>
    <w:p w14:paraId="111B5286" w14:textId="62C9E35D" w:rsidR="005B4D83" w:rsidRPr="00855DFE" w:rsidRDefault="00160896" w:rsidP="00855DFE">
      <w:pPr>
        <w:pStyle w:val="ListParagraph"/>
        <w:numPr>
          <w:ilvl w:val="0"/>
          <w:numId w:val="1"/>
        </w:numPr>
        <w:tabs>
          <w:tab w:val="left" w:pos="426"/>
        </w:tabs>
        <w:spacing w:line="240" w:lineRule="exact"/>
        <w:ind w:left="426" w:hanging="426"/>
        <w:rPr>
          <w:rFonts w:ascii="Cambria" w:hAnsi="Cambria"/>
          <w:sz w:val="20"/>
          <w:szCs w:val="20"/>
        </w:rPr>
      </w:pPr>
      <w:r>
        <w:rPr>
          <w:rFonts w:ascii="Cambria" w:hAnsi="Cambria"/>
          <w:sz w:val="20"/>
        </w:rPr>
        <w:t>El esquema se basa en las siguientes ideas:</w:t>
      </w:r>
    </w:p>
    <w:p w14:paraId="0A726CF0" w14:textId="77777777" w:rsidR="00855DFE" w:rsidRPr="00855DFE" w:rsidRDefault="00855DFE" w:rsidP="00855DFE">
      <w:pPr>
        <w:pStyle w:val="ListParagraph"/>
        <w:tabs>
          <w:tab w:val="left" w:pos="426"/>
        </w:tabs>
        <w:spacing w:line="240" w:lineRule="exact"/>
        <w:ind w:left="792"/>
        <w:rPr>
          <w:rFonts w:ascii="Cambria" w:hAnsi="Cambria"/>
          <w:sz w:val="20"/>
          <w:szCs w:val="20"/>
        </w:rPr>
      </w:pPr>
    </w:p>
    <w:p w14:paraId="74CDF7AB" w14:textId="6F7780C2" w:rsidR="00165428" w:rsidRPr="005C4EE8" w:rsidRDefault="0027793F" w:rsidP="00E7067C">
      <w:pPr>
        <w:pStyle w:val="ListParagraph"/>
        <w:numPr>
          <w:ilvl w:val="0"/>
          <w:numId w:val="4"/>
        </w:numPr>
        <w:spacing w:line="240" w:lineRule="exact"/>
        <w:rPr>
          <w:rFonts w:ascii="Cambria" w:hAnsi="Cambria"/>
          <w:sz w:val="20"/>
        </w:rPr>
      </w:pPr>
      <w:r w:rsidRPr="005C4EE8">
        <w:rPr>
          <w:rFonts w:ascii="Cambria" w:hAnsi="Cambria"/>
          <w:sz w:val="20"/>
        </w:rPr>
        <w:t xml:space="preserve">Las asignaciones en el marco de la </w:t>
      </w:r>
      <w:hyperlink r:id="rId9" w:history="1">
        <w:r w:rsidR="005B4D83" w:rsidRPr="005C4EE8">
          <w:rPr>
            <w:rStyle w:val="Hyperlink"/>
            <w:rFonts w:ascii="Cambria" w:hAnsi="Cambria"/>
            <w:sz w:val="20"/>
            <w:u w:val="none"/>
          </w:rPr>
          <w:t xml:space="preserve">Rec. </w:t>
        </w:r>
        <w:r w:rsidR="005B4D83" w:rsidRPr="005C4EE8">
          <w:rPr>
            <w:rStyle w:val="Hyperlink"/>
            <w:rFonts w:ascii="Cambria" w:hAnsi="Cambria"/>
            <w:sz w:val="20"/>
            <w:u w:val="none"/>
          </w:rPr>
          <w:t>2</w:t>
        </w:r>
        <w:r w:rsidR="005B4D83" w:rsidRPr="005C4EE8">
          <w:rPr>
            <w:rStyle w:val="Hyperlink"/>
            <w:rFonts w:ascii="Cambria" w:hAnsi="Cambria"/>
            <w:sz w:val="20"/>
            <w:u w:val="none"/>
          </w:rPr>
          <w:t>2-08</w:t>
        </w:r>
      </w:hyperlink>
      <w:r w:rsidR="005B4D83" w:rsidRPr="005C4EE8">
        <w:rPr>
          <w:rFonts w:ascii="Cambria" w:hAnsi="Cambria"/>
          <w:sz w:val="20"/>
        </w:rPr>
        <w:t xml:space="preserve"> </w:t>
      </w:r>
      <w:r w:rsidR="00E7067C" w:rsidRPr="005C4EE8">
        <w:rPr>
          <w:rFonts w:ascii="Cambria" w:hAnsi="Cambria"/>
          <w:sz w:val="20"/>
        </w:rPr>
        <w:t>se mantienen como punto de partida</w:t>
      </w:r>
      <w:r w:rsidR="005B4D83" w:rsidRPr="005C4EE8">
        <w:rPr>
          <w:rFonts w:ascii="Cambria" w:hAnsi="Cambria"/>
          <w:sz w:val="20"/>
        </w:rPr>
        <w:t>.</w:t>
      </w:r>
    </w:p>
    <w:p w14:paraId="6C73FA55" w14:textId="77777777" w:rsidR="00E7067C" w:rsidRPr="00E7067C" w:rsidRDefault="00E7067C" w:rsidP="00E7067C">
      <w:pPr>
        <w:pStyle w:val="ListParagraph"/>
        <w:spacing w:line="240" w:lineRule="exact"/>
        <w:ind w:left="786"/>
        <w:rPr>
          <w:rFonts w:ascii="Cambria" w:hAnsi="Cambria"/>
          <w:sz w:val="20"/>
          <w:szCs w:val="20"/>
        </w:rPr>
      </w:pPr>
    </w:p>
    <w:p w14:paraId="6A569FEE" w14:textId="331CF137" w:rsidR="00A92E32" w:rsidRDefault="00165428" w:rsidP="00855DFE">
      <w:pPr>
        <w:spacing w:line="240" w:lineRule="exact"/>
        <w:ind w:firstLine="426"/>
        <w:rPr>
          <w:rFonts w:ascii="Cambria" w:hAnsi="Cambria"/>
          <w:sz w:val="20"/>
          <w:szCs w:val="20"/>
        </w:rPr>
      </w:pPr>
      <w:r>
        <w:rPr>
          <w:rFonts w:ascii="Cambria" w:hAnsi="Cambria"/>
          <w:sz w:val="20"/>
        </w:rPr>
        <w:t xml:space="preserve">(2) La parte incrementada del TAC se divide en: </w:t>
      </w:r>
    </w:p>
    <w:p w14:paraId="4575B432" w14:textId="77777777" w:rsidR="00855DFE" w:rsidRPr="00995BDB" w:rsidRDefault="00855DFE" w:rsidP="00855DFE">
      <w:pPr>
        <w:spacing w:line="240" w:lineRule="exact"/>
        <w:ind w:firstLine="426"/>
        <w:rPr>
          <w:rFonts w:ascii="Cambria" w:hAnsi="Cambria"/>
          <w:sz w:val="20"/>
          <w:szCs w:val="20"/>
        </w:rPr>
      </w:pPr>
    </w:p>
    <w:p w14:paraId="2090F2D3" w14:textId="6C588B93" w:rsidR="00165428" w:rsidRPr="007C30BB" w:rsidRDefault="00165428" w:rsidP="007C30BB">
      <w:pPr>
        <w:pStyle w:val="ListParagraph"/>
        <w:numPr>
          <w:ilvl w:val="0"/>
          <w:numId w:val="2"/>
        </w:numPr>
        <w:spacing w:line="240" w:lineRule="exact"/>
        <w:rPr>
          <w:rFonts w:ascii="Cambria" w:hAnsi="Cambria"/>
          <w:sz w:val="20"/>
          <w:szCs w:val="20"/>
        </w:rPr>
      </w:pPr>
      <w:r>
        <w:rPr>
          <w:rFonts w:ascii="Cambria" w:hAnsi="Cambria"/>
          <w:sz w:val="20"/>
        </w:rPr>
        <w:t xml:space="preserve">asignación para nuevos </w:t>
      </w:r>
      <w:r w:rsidR="00E7067C">
        <w:rPr>
          <w:rFonts w:ascii="Cambria" w:hAnsi="Cambria"/>
          <w:sz w:val="20"/>
        </w:rPr>
        <w:t>participantes</w:t>
      </w:r>
      <w:r>
        <w:rPr>
          <w:rFonts w:ascii="Cambria" w:hAnsi="Cambria"/>
          <w:sz w:val="20"/>
        </w:rPr>
        <w:t xml:space="preserve"> (CPC que solicitan cuotas)  </w:t>
      </w:r>
    </w:p>
    <w:p w14:paraId="4B99A27F" w14:textId="77777777" w:rsidR="007C30BB" w:rsidRPr="007C30BB" w:rsidRDefault="007C30BB" w:rsidP="007C30BB">
      <w:pPr>
        <w:pStyle w:val="ListParagraph"/>
        <w:spacing w:line="240" w:lineRule="exact"/>
        <w:ind w:left="1200"/>
        <w:rPr>
          <w:rFonts w:ascii="Cambria" w:hAnsi="Cambria"/>
          <w:sz w:val="20"/>
          <w:szCs w:val="20"/>
        </w:rPr>
      </w:pPr>
    </w:p>
    <w:p w14:paraId="6747AA2A" w14:textId="0523A917" w:rsidR="00A92E32" w:rsidRPr="00995BDB" w:rsidRDefault="00165428" w:rsidP="00A24F31">
      <w:pPr>
        <w:spacing w:line="240" w:lineRule="exact"/>
        <w:ind w:firstLine="840"/>
        <w:rPr>
          <w:rFonts w:ascii="Cambria" w:hAnsi="Cambria"/>
          <w:sz w:val="20"/>
          <w:szCs w:val="20"/>
        </w:rPr>
      </w:pPr>
      <w:r>
        <w:rPr>
          <w:rFonts w:ascii="Cambria" w:hAnsi="Cambria"/>
          <w:sz w:val="20"/>
        </w:rPr>
        <w:t>(b) aumento adicional basado en las ideas específicas que figuran a continuación:</w:t>
      </w:r>
    </w:p>
    <w:p w14:paraId="067B73DB" w14:textId="77777777" w:rsidR="00165428" w:rsidRPr="00995BDB" w:rsidRDefault="00165428" w:rsidP="00A24F31">
      <w:pPr>
        <w:spacing w:line="240" w:lineRule="exact"/>
        <w:ind w:leftChars="202" w:left="424" w:firstLine="840"/>
        <w:rPr>
          <w:rFonts w:ascii="Cambria" w:hAnsi="Cambria"/>
          <w:sz w:val="20"/>
          <w:szCs w:val="20"/>
        </w:rPr>
      </w:pPr>
      <w:r>
        <w:rPr>
          <w:rFonts w:ascii="Cambria" w:hAnsi="Cambria"/>
          <w:sz w:val="20"/>
        </w:rPr>
        <w:t xml:space="preserve">(i) titulares de cuotas pequeñas; </w:t>
      </w:r>
    </w:p>
    <w:p w14:paraId="49184E48" w14:textId="77777777" w:rsidR="00165428" w:rsidRPr="00995BDB" w:rsidRDefault="00165428" w:rsidP="00A24F31">
      <w:pPr>
        <w:spacing w:line="240" w:lineRule="exact"/>
        <w:ind w:leftChars="202" w:left="424" w:firstLine="840"/>
        <w:rPr>
          <w:rFonts w:ascii="Cambria" w:hAnsi="Cambria"/>
          <w:sz w:val="20"/>
          <w:szCs w:val="20"/>
        </w:rPr>
      </w:pPr>
      <w:r>
        <w:rPr>
          <w:rFonts w:ascii="Cambria" w:hAnsi="Cambria"/>
          <w:sz w:val="20"/>
        </w:rPr>
        <w:t>(</w:t>
      </w:r>
      <w:proofErr w:type="spellStart"/>
      <w:r>
        <w:rPr>
          <w:rFonts w:ascii="Cambria" w:hAnsi="Cambria"/>
          <w:sz w:val="20"/>
        </w:rPr>
        <w:t>ii</w:t>
      </w:r>
      <w:proofErr w:type="spellEnd"/>
      <w:r>
        <w:rPr>
          <w:rFonts w:ascii="Cambria" w:hAnsi="Cambria"/>
          <w:sz w:val="20"/>
        </w:rPr>
        <w:t xml:space="preserve">) estatus en desarrollo; </w:t>
      </w:r>
    </w:p>
    <w:p w14:paraId="44800310" w14:textId="77777777" w:rsidR="00165428" w:rsidRPr="00995BDB" w:rsidRDefault="00165428" w:rsidP="00A24F31">
      <w:pPr>
        <w:spacing w:line="240" w:lineRule="exact"/>
        <w:ind w:leftChars="202" w:left="424" w:firstLine="840"/>
        <w:rPr>
          <w:rFonts w:ascii="Cambria" w:hAnsi="Cambria"/>
          <w:sz w:val="20"/>
          <w:szCs w:val="20"/>
        </w:rPr>
      </w:pPr>
      <w:r>
        <w:rPr>
          <w:rFonts w:ascii="Cambria" w:hAnsi="Cambria"/>
          <w:sz w:val="20"/>
        </w:rPr>
        <w:t>(</w:t>
      </w:r>
      <w:proofErr w:type="spellStart"/>
      <w:r>
        <w:rPr>
          <w:rFonts w:ascii="Cambria" w:hAnsi="Cambria"/>
          <w:sz w:val="20"/>
        </w:rPr>
        <w:t>iii</w:t>
      </w:r>
      <w:proofErr w:type="spellEnd"/>
      <w:r>
        <w:rPr>
          <w:rFonts w:ascii="Cambria" w:hAnsi="Cambria"/>
          <w:sz w:val="20"/>
        </w:rPr>
        <w:t xml:space="preserve">) estatus de país costero; </w:t>
      </w:r>
    </w:p>
    <w:p w14:paraId="7E024DA8" w14:textId="6AEEA2B8" w:rsidR="00165428" w:rsidRPr="00995BDB" w:rsidRDefault="00165428" w:rsidP="00A24F31">
      <w:pPr>
        <w:spacing w:line="240" w:lineRule="exact"/>
        <w:ind w:leftChars="202" w:left="424" w:firstLine="840"/>
        <w:rPr>
          <w:rFonts w:ascii="Cambria" w:hAnsi="Cambria"/>
          <w:sz w:val="20"/>
          <w:szCs w:val="20"/>
        </w:rPr>
      </w:pPr>
      <w:r>
        <w:rPr>
          <w:rFonts w:ascii="Cambria" w:hAnsi="Cambria"/>
          <w:sz w:val="20"/>
        </w:rPr>
        <w:t>(</w:t>
      </w:r>
      <w:proofErr w:type="spellStart"/>
      <w:r>
        <w:rPr>
          <w:rFonts w:ascii="Cambria" w:hAnsi="Cambria"/>
          <w:sz w:val="20"/>
        </w:rPr>
        <w:t>iv</w:t>
      </w:r>
      <w:proofErr w:type="spellEnd"/>
      <w:r>
        <w:rPr>
          <w:rFonts w:ascii="Cambria" w:hAnsi="Cambria"/>
          <w:sz w:val="20"/>
        </w:rPr>
        <w:t xml:space="preserve">) provisión de índices de MP; </w:t>
      </w:r>
    </w:p>
    <w:p w14:paraId="396A25DC" w14:textId="0779C616" w:rsidR="00165428" w:rsidRPr="00995BDB" w:rsidRDefault="00165428" w:rsidP="00A24F31">
      <w:pPr>
        <w:spacing w:line="240" w:lineRule="exact"/>
        <w:ind w:leftChars="202" w:left="424" w:firstLine="840"/>
        <w:rPr>
          <w:rFonts w:ascii="Cambria" w:hAnsi="Cambria"/>
          <w:sz w:val="20"/>
          <w:szCs w:val="20"/>
        </w:rPr>
      </w:pPr>
      <w:r>
        <w:rPr>
          <w:rFonts w:ascii="Cambria" w:hAnsi="Cambria"/>
          <w:sz w:val="20"/>
        </w:rPr>
        <w:t>(v) pesquerías de pequeña escala; y</w:t>
      </w:r>
    </w:p>
    <w:p w14:paraId="383B3E44" w14:textId="77777777" w:rsidR="00165428" w:rsidRDefault="00165428" w:rsidP="00A24F31">
      <w:pPr>
        <w:spacing w:line="240" w:lineRule="exact"/>
        <w:ind w:leftChars="202" w:left="424" w:firstLine="840"/>
        <w:rPr>
          <w:rFonts w:ascii="Cambria" w:hAnsi="Cambria"/>
          <w:sz w:val="20"/>
          <w:szCs w:val="20"/>
        </w:rPr>
      </w:pPr>
      <w:r>
        <w:rPr>
          <w:rFonts w:ascii="Cambria" w:hAnsi="Cambria"/>
          <w:sz w:val="20"/>
        </w:rPr>
        <w:t>(vi) utilización real de la asignación en 2023 y 2024</w:t>
      </w:r>
      <w:r w:rsidRPr="00995BDB">
        <w:rPr>
          <w:rStyle w:val="FootnoteReference"/>
          <w:rFonts w:ascii="Cambria" w:hAnsi="Cambria"/>
          <w:sz w:val="20"/>
          <w:szCs w:val="20"/>
        </w:rPr>
        <w:footnoteReference w:id="1"/>
      </w:r>
      <w:r>
        <w:rPr>
          <w:rFonts w:ascii="Cambria" w:hAnsi="Cambria"/>
          <w:sz w:val="20"/>
        </w:rPr>
        <w:t xml:space="preserve">  </w:t>
      </w:r>
    </w:p>
    <w:p w14:paraId="1941FE5A" w14:textId="77777777" w:rsidR="007C30BB" w:rsidRPr="00995BDB" w:rsidRDefault="007C30BB" w:rsidP="00A24F31">
      <w:pPr>
        <w:spacing w:line="240" w:lineRule="exact"/>
        <w:ind w:leftChars="202" w:left="424" w:firstLine="840"/>
        <w:rPr>
          <w:rFonts w:ascii="Cambria" w:hAnsi="Cambria"/>
          <w:sz w:val="20"/>
          <w:szCs w:val="20"/>
        </w:rPr>
      </w:pPr>
    </w:p>
    <w:p w14:paraId="5ED6A496" w14:textId="18E311B5" w:rsidR="00A92E32" w:rsidRDefault="006A44AC" w:rsidP="00A24F31">
      <w:pPr>
        <w:spacing w:line="240" w:lineRule="exact"/>
        <w:ind w:firstLine="840"/>
        <w:rPr>
          <w:rFonts w:ascii="Cambria" w:hAnsi="Cambria"/>
          <w:sz w:val="20"/>
          <w:szCs w:val="20"/>
        </w:rPr>
      </w:pPr>
      <w:r>
        <w:rPr>
          <w:rFonts w:ascii="Cambria" w:hAnsi="Cambria"/>
          <w:sz w:val="20"/>
        </w:rPr>
        <w:t>(</w:t>
      </w:r>
      <w:r w:rsidR="003C520B">
        <w:rPr>
          <w:rFonts w:ascii="Cambria" w:hAnsi="Cambria"/>
          <w:sz w:val="20"/>
        </w:rPr>
        <w:t xml:space="preserve">c) aumento prorrateado; </w:t>
      </w:r>
    </w:p>
    <w:p w14:paraId="683DCE6F" w14:textId="77777777" w:rsidR="007C30BB" w:rsidRPr="00995BDB" w:rsidRDefault="007C30BB" w:rsidP="00A24F31">
      <w:pPr>
        <w:spacing w:line="240" w:lineRule="exact"/>
        <w:ind w:firstLine="840"/>
        <w:rPr>
          <w:rFonts w:ascii="Cambria" w:hAnsi="Cambria"/>
          <w:sz w:val="20"/>
          <w:szCs w:val="20"/>
        </w:rPr>
      </w:pPr>
    </w:p>
    <w:p w14:paraId="59F79A1B" w14:textId="6403309F" w:rsidR="003C520B" w:rsidRDefault="003C520B" w:rsidP="00A24F31">
      <w:pPr>
        <w:spacing w:line="240" w:lineRule="exact"/>
        <w:ind w:firstLine="840"/>
        <w:rPr>
          <w:rFonts w:ascii="Cambria" w:hAnsi="Cambria"/>
          <w:sz w:val="20"/>
          <w:szCs w:val="20"/>
        </w:rPr>
      </w:pPr>
      <w:r>
        <w:rPr>
          <w:rFonts w:ascii="Cambria" w:hAnsi="Cambria"/>
          <w:sz w:val="20"/>
        </w:rPr>
        <w:t xml:space="preserve">(d) reserva; y </w:t>
      </w:r>
    </w:p>
    <w:p w14:paraId="06CA0201" w14:textId="77777777" w:rsidR="007C30BB" w:rsidRPr="00995BDB" w:rsidRDefault="007C30BB" w:rsidP="00A24F31">
      <w:pPr>
        <w:spacing w:line="240" w:lineRule="exact"/>
        <w:ind w:firstLine="840"/>
        <w:rPr>
          <w:rFonts w:ascii="Cambria" w:hAnsi="Cambria"/>
          <w:sz w:val="20"/>
          <w:szCs w:val="20"/>
        </w:rPr>
      </w:pPr>
    </w:p>
    <w:p w14:paraId="695F8261" w14:textId="584C6699" w:rsidR="00165428" w:rsidRPr="00995BDB" w:rsidRDefault="00165428" w:rsidP="00A24F31">
      <w:pPr>
        <w:spacing w:line="240" w:lineRule="exact"/>
        <w:ind w:firstLine="840"/>
        <w:rPr>
          <w:rFonts w:ascii="Cambria" w:hAnsi="Cambria"/>
          <w:sz w:val="20"/>
          <w:szCs w:val="20"/>
        </w:rPr>
      </w:pPr>
      <w:r>
        <w:rPr>
          <w:rFonts w:ascii="Cambria" w:hAnsi="Cambria"/>
          <w:sz w:val="20"/>
        </w:rPr>
        <w:t>(e) cuota de investigación</w:t>
      </w:r>
    </w:p>
    <w:p w14:paraId="0608D2BA" w14:textId="77777777" w:rsidR="00165428" w:rsidRPr="00995BDB" w:rsidRDefault="00165428" w:rsidP="00A24F31">
      <w:pPr>
        <w:spacing w:line="240" w:lineRule="exact"/>
        <w:ind w:firstLine="840"/>
        <w:rPr>
          <w:rFonts w:ascii="Cambria" w:hAnsi="Cambria"/>
          <w:sz w:val="20"/>
          <w:szCs w:val="20"/>
        </w:rPr>
      </w:pPr>
    </w:p>
    <w:p w14:paraId="60CC0DCB" w14:textId="49BE3254" w:rsidR="00812D8E" w:rsidRDefault="00812D8E" w:rsidP="00855DFE">
      <w:pPr>
        <w:pStyle w:val="ListParagraph"/>
        <w:numPr>
          <w:ilvl w:val="0"/>
          <w:numId w:val="1"/>
        </w:numPr>
        <w:tabs>
          <w:tab w:val="left" w:pos="426"/>
        </w:tabs>
        <w:spacing w:line="240" w:lineRule="exact"/>
        <w:ind w:left="426" w:hanging="426"/>
        <w:rPr>
          <w:rFonts w:ascii="Cambria" w:hAnsi="Cambria"/>
          <w:sz w:val="20"/>
          <w:szCs w:val="20"/>
        </w:rPr>
      </w:pPr>
      <w:r>
        <w:rPr>
          <w:rFonts w:ascii="Cambria" w:hAnsi="Cambria"/>
          <w:sz w:val="20"/>
        </w:rPr>
        <w:t>El esquema se elaboró siguiendo los siguientes pasos:</w:t>
      </w:r>
    </w:p>
    <w:p w14:paraId="58C46BE7" w14:textId="77777777" w:rsidR="00855DFE" w:rsidRPr="00995BDB" w:rsidRDefault="00855DFE" w:rsidP="00855DFE">
      <w:pPr>
        <w:pStyle w:val="ListParagraph"/>
        <w:tabs>
          <w:tab w:val="left" w:pos="426"/>
        </w:tabs>
        <w:spacing w:line="240" w:lineRule="exact"/>
        <w:ind w:left="426"/>
        <w:rPr>
          <w:rFonts w:ascii="Cambria" w:hAnsi="Cambria"/>
          <w:sz w:val="20"/>
          <w:szCs w:val="20"/>
        </w:rPr>
      </w:pPr>
    </w:p>
    <w:p w14:paraId="2C509029" w14:textId="7610D0B1" w:rsidR="00812D8E" w:rsidRPr="007C30BB" w:rsidRDefault="00812D8E" w:rsidP="007C30BB">
      <w:pPr>
        <w:pStyle w:val="ListParagraph"/>
        <w:numPr>
          <w:ilvl w:val="0"/>
          <w:numId w:val="3"/>
        </w:numPr>
        <w:spacing w:line="240" w:lineRule="exact"/>
        <w:rPr>
          <w:rFonts w:ascii="Cambria" w:hAnsi="Cambria"/>
          <w:sz w:val="20"/>
          <w:szCs w:val="20"/>
        </w:rPr>
      </w:pPr>
      <w:r>
        <w:rPr>
          <w:rFonts w:ascii="Cambria" w:hAnsi="Cambria"/>
          <w:sz w:val="20"/>
        </w:rPr>
        <w:t>El TAC aumenta en X t.</w:t>
      </w:r>
    </w:p>
    <w:p w14:paraId="1244D7A0" w14:textId="77777777" w:rsidR="007C30BB" w:rsidRPr="007C30BB" w:rsidRDefault="007C30BB" w:rsidP="007C30BB">
      <w:pPr>
        <w:pStyle w:val="ListParagraph"/>
        <w:spacing w:line="240" w:lineRule="exact"/>
        <w:ind w:left="834"/>
        <w:rPr>
          <w:rFonts w:ascii="Cambria" w:hAnsi="Cambria"/>
          <w:sz w:val="20"/>
          <w:szCs w:val="20"/>
        </w:rPr>
      </w:pPr>
    </w:p>
    <w:p w14:paraId="49056F4C" w14:textId="147EBB6B" w:rsidR="00141242" w:rsidRPr="007C30BB" w:rsidRDefault="00812D8E" w:rsidP="007C30BB">
      <w:pPr>
        <w:pStyle w:val="ListParagraph"/>
        <w:numPr>
          <w:ilvl w:val="0"/>
          <w:numId w:val="3"/>
        </w:numPr>
        <w:spacing w:line="240" w:lineRule="exact"/>
        <w:rPr>
          <w:rFonts w:ascii="Cambria" w:hAnsi="Cambria"/>
          <w:sz w:val="20"/>
          <w:szCs w:val="20"/>
        </w:rPr>
      </w:pPr>
      <w:r>
        <w:rPr>
          <w:rFonts w:ascii="Cambria" w:hAnsi="Cambria"/>
          <w:sz w:val="20"/>
        </w:rPr>
        <w:t>Los titulares de cuotas existentes se dividieron en dos grupos</w:t>
      </w:r>
      <w:r w:rsidR="007D10A1">
        <w:rPr>
          <w:rFonts w:ascii="Cambria" w:hAnsi="Cambria"/>
          <w:sz w:val="20"/>
        </w:rPr>
        <w:t xml:space="preserve">: </w:t>
      </w:r>
      <w:r>
        <w:rPr>
          <w:rFonts w:ascii="Cambria" w:hAnsi="Cambria"/>
          <w:sz w:val="20"/>
        </w:rPr>
        <w:t>titulares de cuotas grandes</w:t>
      </w:r>
      <w:r w:rsidR="007D10A1">
        <w:rPr>
          <w:rFonts w:ascii="Cambria" w:hAnsi="Cambria"/>
          <w:sz w:val="20"/>
        </w:rPr>
        <w:t xml:space="preserve"> </w:t>
      </w:r>
      <w:r>
        <w:rPr>
          <w:rFonts w:ascii="Cambria" w:hAnsi="Cambria"/>
          <w:sz w:val="20"/>
        </w:rPr>
        <w:t>(más de 1.000 t) y titulares de cuotas pequeñas (no más de 1.000 t).</w:t>
      </w:r>
    </w:p>
    <w:p w14:paraId="1DAC559E" w14:textId="77777777" w:rsidR="007C30BB" w:rsidRDefault="007C30BB" w:rsidP="007C30BB">
      <w:pPr>
        <w:pStyle w:val="ListParagraph"/>
        <w:spacing w:line="240" w:lineRule="exact"/>
        <w:ind w:left="834"/>
        <w:rPr>
          <w:rFonts w:ascii="Cambria" w:hAnsi="Cambria"/>
          <w:sz w:val="20"/>
          <w:szCs w:val="20"/>
        </w:rPr>
      </w:pPr>
    </w:p>
    <w:p w14:paraId="5E41125B" w14:textId="299A4095" w:rsidR="00812D8E" w:rsidRPr="007C30BB" w:rsidRDefault="00141242" w:rsidP="007C30BB">
      <w:pPr>
        <w:pStyle w:val="ListParagraph"/>
        <w:numPr>
          <w:ilvl w:val="0"/>
          <w:numId w:val="3"/>
        </w:numPr>
        <w:spacing w:line="240" w:lineRule="exact"/>
        <w:rPr>
          <w:rFonts w:ascii="Cambria" w:hAnsi="Cambria"/>
          <w:sz w:val="20"/>
          <w:szCs w:val="20"/>
        </w:rPr>
      </w:pPr>
      <w:r>
        <w:rPr>
          <w:rFonts w:ascii="Cambria" w:hAnsi="Cambria"/>
          <w:sz w:val="20"/>
        </w:rPr>
        <w:t>Se añadieron nuevos participantes a la lista de CPC y cada nuevo participante recibe 50 t, siguiendo el caso de Namibia.</w:t>
      </w:r>
    </w:p>
    <w:p w14:paraId="2439645D" w14:textId="77777777" w:rsidR="007C30BB" w:rsidRPr="007C30BB" w:rsidRDefault="007C30BB" w:rsidP="007C30BB">
      <w:pPr>
        <w:pStyle w:val="ListParagraph"/>
        <w:spacing w:line="240" w:lineRule="exact"/>
        <w:ind w:left="834"/>
        <w:rPr>
          <w:rFonts w:ascii="Cambria" w:hAnsi="Cambria"/>
          <w:sz w:val="20"/>
          <w:szCs w:val="20"/>
        </w:rPr>
      </w:pPr>
    </w:p>
    <w:p w14:paraId="129EF07A" w14:textId="33FB4F8C" w:rsidR="00812D8E" w:rsidRPr="007C30BB" w:rsidRDefault="007E562A" w:rsidP="007C30BB">
      <w:pPr>
        <w:pStyle w:val="ListParagraph"/>
        <w:numPr>
          <w:ilvl w:val="0"/>
          <w:numId w:val="3"/>
        </w:numPr>
        <w:spacing w:line="240" w:lineRule="exact"/>
        <w:rPr>
          <w:rFonts w:ascii="Cambria" w:hAnsi="Cambria"/>
          <w:sz w:val="20"/>
          <w:szCs w:val="20"/>
        </w:rPr>
      </w:pPr>
      <w:r>
        <w:rPr>
          <w:rFonts w:ascii="Cambria" w:hAnsi="Cambria"/>
          <w:sz w:val="20"/>
        </w:rPr>
        <w:t xml:space="preserve">Cada titular de una cuota pequeña recibe una cantidad determinada de forma ponderada inversa (los titulares pequeños obtienen cifras mayores). </w:t>
      </w:r>
    </w:p>
    <w:p w14:paraId="59C4E7AB" w14:textId="77777777" w:rsidR="007C30BB" w:rsidRDefault="007C30BB" w:rsidP="00855DFE">
      <w:pPr>
        <w:spacing w:line="240" w:lineRule="exact"/>
        <w:ind w:left="834" w:hanging="408"/>
        <w:rPr>
          <w:rFonts w:ascii="Cambria" w:hAnsi="Cambria"/>
          <w:sz w:val="20"/>
          <w:szCs w:val="20"/>
        </w:rPr>
      </w:pPr>
    </w:p>
    <w:p w14:paraId="4047555E" w14:textId="1298A581" w:rsidR="005B4D83" w:rsidRPr="007C30BB" w:rsidRDefault="007E562A" w:rsidP="007C30BB">
      <w:pPr>
        <w:pStyle w:val="ListParagraph"/>
        <w:numPr>
          <w:ilvl w:val="0"/>
          <w:numId w:val="3"/>
        </w:numPr>
        <w:spacing w:line="240" w:lineRule="exact"/>
        <w:rPr>
          <w:rFonts w:ascii="Cambria" w:hAnsi="Cambria"/>
          <w:sz w:val="20"/>
          <w:szCs w:val="20"/>
        </w:rPr>
      </w:pPr>
      <w:r>
        <w:rPr>
          <w:rFonts w:ascii="Cambria" w:hAnsi="Cambria"/>
          <w:sz w:val="20"/>
        </w:rPr>
        <w:t>Cada CPC en desarrollo recibe una cantidad adicional.</w:t>
      </w:r>
    </w:p>
    <w:p w14:paraId="0EB34194" w14:textId="77777777" w:rsidR="007C30BB" w:rsidRDefault="007C30BB" w:rsidP="00855DFE">
      <w:pPr>
        <w:spacing w:line="240" w:lineRule="exact"/>
        <w:ind w:left="834" w:hanging="408"/>
        <w:rPr>
          <w:rFonts w:ascii="Cambria" w:hAnsi="Cambria"/>
          <w:sz w:val="20"/>
          <w:szCs w:val="20"/>
        </w:rPr>
      </w:pPr>
    </w:p>
    <w:p w14:paraId="36DB7F95" w14:textId="505F655F" w:rsidR="00CE1CAA" w:rsidRPr="007C30BB" w:rsidRDefault="00605EDD" w:rsidP="007C30BB">
      <w:pPr>
        <w:pStyle w:val="ListParagraph"/>
        <w:numPr>
          <w:ilvl w:val="0"/>
          <w:numId w:val="3"/>
        </w:numPr>
        <w:spacing w:line="240" w:lineRule="exact"/>
        <w:rPr>
          <w:rFonts w:ascii="Cambria" w:hAnsi="Cambria"/>
          <w:sz w:val="20"/>
          <w:szCs w:val="20"/>
        </w:rPr>
      </w:pPr>
      <w:r>
        <w:rPr>
          <w:rFonts w:ascii="Cambria" w:hAnsi="Cambria"/>
          <w:sz w:val="20"/>
        </w:rPr>
        <w:t xml:space="preserve">Cada CPC costera recibe una cantidad adicional. Una CPC costera en cuya </w:t>
      </w:r>
      <w:r w:rsidR="005250FE">
        <w:rPr>
          <w:rFonts w:ascii="Cambria" w:hAnsi="Cambria"/>
          <w:sz w:val="20"/>
        </w:rPr>
        <w:t>zona económica exclusiva (</w:t>
      </w:r>
      <w:r>
        <w:rPr>
          <w:rFonts w:ascii="Cambria" w:hAnsi="Cambria"/>
          <w:sz w:val="20"/>
        </w:rPr>
        <w:t>ZEE</w:t>
      </w:r>
      <w:r w:rsidR="005250FE">
        <w:rPr>
          <w:rFonts w:ascii="Cambria" w:hAnsi="Cambria"/>
          <w:sz w:val="20"/>
        </w:rPr>
        <w:t xml:space="preserve">) </w:t>
      </w:r>
      <w:r>
        <w:rPr>
          <w:rFonts w:ascii="Cambria" w:hAnsi="Cambria"/>
          <w:sz w:val="20"/>
        </w:rPr>
        <w:t>el atún rojo no migra no recibe esta cantidad adicional.</w:t>
      </w:r>
    </w:p>
    <w:p w14:paraId="3BC3DAD0" w14:textId="77777777" w:rsidR="007C30BB" w:rsidRDefault="007C30BB" w:rsidP="00855DFE">
      <w:pPr>
        <w:spacing w:line="240" w:lineRule="exact"/>
        <w:ind w:left="834" w:hanging="408"/>
        <w:rPr>
          <w:rFonts w:ascii="Cambria" w:hAnsi="Cambria"/>
          <w:sz w:val="20"/>
          <w:szCs w:val="20"/>
        </w:rPr>
      </w:pPr>
    </w:p>
    <w:p w14:paraId="54BB5F8E" w14:textId="1F2AC89F" w:rsidR="00CE1CAA" w:rsidRPr="007C30BB" w:rsidRDefault="00C3632B" w:rsidP="007C30BB">
      <w:pPr>
        <w:pStyle w:val="ListParagraph"/>
        <w:numPr>
          <w:ilvl w:val="0"/>
          <w:numId w:val="3"/>
        </w:numPr>
        <w:spacing w:line="240" w:lineRule="exact"/>
        <w:rPr>
          <w:rFonts w:ascii="Cambria" w:hAnsi="Cambria"/>
          <w:sz w:val="20"/>
          <w:szCs w:val="20"/>
        </w:rPr>
      </w:pPr>
      <w:r>
        <w:rPr>
          <w:rFonts w:ascii="Cambria" w:hAnsi="Cambria"/>
          <w:sz w:val="20"/>
        </w:rPr>
        <w:t xml:space="preserve">Cada CPC cuyos índices de pesca se utilizan en el MP recibe una cantidad adicional para estabilizar la implementación del MP. </w:t>
      </w:r>
    </w:p>
    <w:p w14:paraId="24DC7C6C" w14:textId="77777777" w:rsidR="007C30BB" w:rsidRDefault="007C30BB" w:rsidP="00855DFE">
      <w:pPr>
        <w:spacing w:line="240" w:lineRule="exact"/>
        <w:ind w:left="834" w:hanging="408"/>
        <w:rPr>
          <w:rFonts w:ascii="Cambria" w:hAnsi="Cambria"/>
          <w:sz w:val="20"/>
          <w:szCs w:val="20"/>
        </w:rPr>
      </w:pPr>
    </w:p>
    <w:p w14:paraId="6B32A156" w14:textId="10645B94" w:rsidR="007C30BB" w:rsidRPr="007C30BB" w:rsidRDefault="00C3632B" w:rsidP="007C30BB">
      <w:pPr>
        <w:pStyle w:val="ListParagraph"/>
        <w:numPr>
          <w:ilvl w:val="0"/>
          <w:numId w:val="3"/>
        </w:numPr>
        <w:spacing w:line="240" w:lineRule="exact"/>
        <w:rPr>
          <w:rFonts w:ascii="Cambria" w:hAnsi="Cambria"/>
          <w:sz w:val="20"/>
          <w:szCs w:val="20"/>
        </w:rPr>
      </w:pPr>
      <w:r>
        <w:rPr>
          <w:rFonts w:ascii="Cambria" w:hAnsi="Cambria"/>
          <w:sz w:val="20"/>
        </w:rPr>
        <w:t xml:space="preserve">Cada CPC que destina parte de su cuota a las pesquerías de pequeña escala recibe una cantidad adicional.  </w:t>
      </w:r>
    </w:p>
    <w:p w14:paraId="751CFFF4" w14:textId="299D5F48" w:rsidR="00812D8E" w:rsidRPr="007C30BB" w:rsidRDefault="00812D8E" w:rsidP="007C30BB">
      <w:pPr>
        <w:pStyle w:val="ListParagraph"/>
        <w:spacing w:line="240" w:lineRule="exact"/>
        <w:ind w:left="834"/>
        <w:rPr>
          <w:rFonts w:ascii="Cambria" w:hAnsi="Cambria"/>
          <w:sz w:val="20"/>
          <w:szCs w:val="20"/>
        </w:rPr>
      </w:pPr>
      <w:r>
        <w:rPr>
          <w:rFonts w:ascii="Cambria" w:hAnsi="Cambria"/>
          <w:sz w:val="20"/>
        </w:rPr>
        <w:t xml:space="preserve">   </w:t>
      </w:r>
    </w:p>
    <w:p w14:paraId="7DB07C63" w14:textId="02D9D9C7" w:rsidR="00605EDD" w:rsidRDefault="00CE1CAA" w:rsidP="0070212D">
      <w:pPr>
        <w:pStyle w:val="ListParagraph"/>
        <w:numPr>
          <w:ilvl w:val="0"/>
          <w:numId w:val="3"/>
        </w:numPr>
        <w:spacing w:line="240" w:lineRule="exact"/>
        <w:rPr>
          <w:rFonts w:ascii="Cambria" w:hAnsi="Cambria"/>
          <w:sz w:val="20"/>
          <w:szCs w:val="20"/>
        </w:rPr>
      </w:pPr>
      <w:r>
        <w:rPr>
          <w:rFonts w:ascii="Cambria" w:hAnsi="Cambria"/>
          <w:sz w:val="20"/>
        </w:rPr>
        <w:t xml:space="preserve">La cantidad adicional </w:t>
      </w:r>
      <w:r w:rsidR="00005525">
        <w:rPr>
          <w:rFonts w:ascii="Cambria" w:hAnsi="Cambria"/>
          <w:sz w:val="20"/>
        </w:rPr>
        <w:t xml:space="preserve">indicada en </w:t>
      </w:r>
      <w:r w:rsidR="001F5AC3">
        <w:rPr>
          <w:rFonts w:ascii="Cambria" w:hAnsi="Cambria"/>
          <w:sz w:val="20"/>
        </w:rPr>
        <w:t>los puntos</w:t>
      </w:r>
      <w:r>
        <w:rPr>
          <w:rFonts w:ascii="Cambria" w:hAnsi="Cambria"/>
          <w:sz w:val="20"/>
        </w:rPr>
        <w:t xml:space="preserve"> (4) a (8) está sujeta a reducción, en función de la utilización real en 2023 y 2024. </w:t>
      </w:r>
      <w:r w:rsidRPr="00826FEC">
        <w:rPr>
          <w:rFonts w:ascii="Cambria" w:hAnsi="Cambria"/>
          <w:sz w:val="20"/>
        </w:rPr>
        <w:t xml:space="preserve">Véase </w:t>
      </w:r>
      <w:r w:rsidR="0020389F" w:rsidRPr="00826FEC">
        <w:rPr>
          <w:rFonts w:ascii="Cambria" w:hAnsi="Cambria"/>
          <w:sz w:val="20"/>
        </w:rPr>
        <w:t>*</w:t>
      </w:r>
      <w:r w:rsidR="00B66259" w:rsidRPr="00826FEC">
        <w:rPr>
          <w:rFonts w:ascii="Cambria" w:hAnsi="Cambria"/>
          <w:sz w:val="20"/>
        </w:rPr>
        <w:t>5 en</w:t>
      </w:r>
      <w:r w:rsidRPr="00826FEC">
        <w:rPr>
          <w:rFonts w:ascii="Cambria" w:hAnsi="Cambria"/>
          <w:sz w:val="20"/>
        </w:rPr>
        <w:t xml:space="preserve"> las</w:t>
      </w:r>
      <w:r>
        <w:rPr>
          <w:rFonts w:ascii="Cambria" w:hAnsi="Cambria"/>
          <w:b/>
          <w:bCs/>
          <w:sz w:val="20"/>
        </w:rPr>
        <w:t xml:space="preserve"> </w:t>
      </w:r>
      <w:r w:rsidR="0020389F" w:rsidRPr="002C40B8">
        <w:rPr>
          <w:rFonts w:ascii="Cambria" w:hAnsi="Cambria"/>
          <w:b/>
          <w:bCs/>
          <w:sz w:val="20"/>
        </w:rPr>
        <w:t>Tablas 1</w:t>
      </w:r>
      <w:r w:rsidR="00C91DF2" w:rsidRPr="002C40B8">
        <w:rPr>
          <w:rFonts w:ascii="Cambria" w:hAnsi="Cambria"/>
          <w:b/>
          <w:bCs/>
          <w:sz w:val="20"/>
        </w:rPr>
        <w:t>.</w:t>
      </w:r>
      <w:r w:rsidRPr="002C40B8">
        <w:rPr>
          <w:rFonts w:ascii="Cambria" w:hAnsi="Cambria"/>
          <w:b/>
          <w:bCs/>
          <w:sz w:val="20"/>
        </w:rPr>
        <w:t>1 y 1</w:t>
      </w:r>
      <w:r w:rsidR="00C91DF2" w:rsidRPr="002C40B8">
        <w:rPr>
          <w:rFonts w:ascii="Cambria" w:hAnsi="Cambria"/>
          <w:b/>
          <w:bCs/>
          <w:sz w:val="20"/>
        </w:rPr>
        <w:t>.</w:t>
      </w:r>
      <w:r w:rsidRPr="002C40B8">
        <w:rPr>
          <w:rFonts w:ascii="Cambria" w:hAnsi="Cambria"/>
          <w:b/>
          <w:bCs/>
          <w:sz w:val="20"/>
        </w:rPr>
        <w:t>2</w:t>
      </w:r>
      <w:r w:rsidR="00C91DF2" w:rsidRPr="00826FEC">
        <w:rPr>
          <w:rFonts w:ascii="Cambria" w:hAnsi="Cambria"/>
          <w:sz w:val="20"/>
        </w:rPr>
        <w:t xml:space="preserve"> </w:t>
      </w:r>
      <w:r w:rsidR="002C40B8">
        <w:rPr>
          <w:rFonts w:ascii="Cambria" w:hAnsi="Cambria"/>
          <w:sz w:val="20"/>
        </w:rPr>
        <w:t>(</w:t>
      </w:r>
      <w:r w:rsidR="002E3917" w:rsidRPr="002E3917">
        <w:rPr>
          <w:rFonts w:ascii="Cambria" w:hAnsi="Cambria"/>
          <w:b/>
          <w:bCs/>
          <w:sz w:val="20"/>
        </w:rPr>
        <w:t>Apéndice 1</w:t>
      </w:r>
      <w:r w:rsidR="002C40B8" w:rsidRPr="00D16A11">
        <w:rPr>
          <w:rFonts w:ascii="Cambria" w:hAnsi="Cambria"/>
          <w:sz w:val="20"/>
        </w:rPr>
        <w:t>)</w:t>
      </w:r>
      <w:r w:rsidRPr="00D16A11">
        <w:rPr>
          <w:rFonts w:ascii="Cambria" w:hAnsi="Cambria"/>
          <w:sz w:val="20"/>
        </w:rPr>
        <w:t>.</w:t>
      </w:r>
    </w:p>
    <w:p w14:paraId="1B41AF3A" w14:textId="77777777" w:rsidR="007C30BB" w:rsidRDefault="007C30BB" w:rsidP="00855DFE">
      <w:pPr>
        <w:spacing w:line="240" w:lineRule="exact"/>
        <w:ind w:left="834" w:hanging="408"/>
        <w:rPr>
          <w:rFonts w:ascii="Cambria" w:hAnsi="Cambria"/>
          <w:sz w:val="20"/>
          <w:szCs w:val="20"/>
        </w:rPr>
      </w:pPr>
    </w:p>
    <w:p w14:paraId="2D0248B5" w14:textId="77777777" w:rsidR="0070212D" w:rsidRDefault="0070212D" w:rsidP="00855DFE">
      <w:pPr>
        <w:spacing w:line="240" w:lineRule="exact"/>
        <w:ind w:left="834" w:hanging="408"/>
        <w:rPr>
          <w:rFonts w:ascii="Cambria" w:hAnsi="Cambria"/>
          <w:sz w:val="20"/>
          <w:szCs w:val="20"/>
        </w:rPr>
      </w:pPr>
    </w:p>
    <w:p w14:paraId="20BAADA2" w14:textId="77777777" w:rsidR="0070212D" w:rsidRPr="00995BDB" w:rsidRDefault="0070212D" w:rsidP="00855DFE">
      <w:pPr>
        <w:spacing w:line="240" w:lineRule="exact"/>
        <w:ind w:left="834" w:hanging="408"/>
        <w:rPr>
          <w:rFonts w:ascii="Cambria" w:hAnsi="Cambria"/>
          <w:sz w:val="20"/>
          <w:szCs w:val="20"/>
        </w:rPr>
      </w:pPr>
    </w:p>
    <w:p w14:paraId="736CD7FC" w14:textId="22491E2D" w:rsidR="00605EDD" w:rsidRPr="007C30BB" w:rsidRDefault="00605EDD" w:rsidP="002879FE">
      <w:pPr>
        <w:pStyle w:val="ListParagraph"/>
        <w:numPr>
          <w:ilvl w:val="0"/>
          <w:numId w:val="3"/>
        </w:numPr>
        <w:spacing w:line="240" w:lineRule="exact"/>
        <w:ind w:left="1276" w:hanging="425"/>
        <w:rPr>
          <w:rFonts w:ascii="Cambria" w:hAnsi="Cambria"/>
          <w:sz w:val="20"/>
          <w:szCs w:val="20"/>
        </w:rPr>
      </w:pPr>
      <w:r>
        <w:rPr>
          <w:rFonts w:ascii="Cambria" w:hAnsi="Cambria"/>
          <w:sz w:val="20"/>
        </w:rPr>
        <w:t>La cifra</w:t>
      </w:r>
      <w:r w:rsidR="009922F1">
        <w:rPr>
          <w:rFonts w:ascii="Cambria" w:hAnsi="Cambria"/>
          <w:sz w:val="20"/>
        </w:rPr>
        <w:t xml:space="preserve"> que se obtiene</w:t>
      </w:r>
      <w:r>
        <w:rPr>
          <w:rFonts w:ascii="Cambria" w:hAnsi="Cambria"/>
          <w:sz w:val="20"/>
        </w:rPr>
        <w:t xml:space="preserve"> después de restar las cantidades de</w:t>
      </w:r>
      <w:r w:rsidR="002E3917">
        <w:rPr>
          <w:rFonts w:ascii="Cambria" w:hAnsi="Cambria"/>
          <w:sz w:val="20"/>
        </w:rPr>
        <w:t xml:space="preserve"> los </w:t>
      </w:r>
      <w:r w:rsidR="009922F1">
        <w:rPr>
          <w:rFonts w:ascii="Cambria" w:hAnsi="Cambria"/>
          <w:sz w:val="20"/>
        </w:rPr>
        <w:t>puntos</w:t>
      </w:r>
      <w:r>
        <w:rPr>
          <w:rFonts w:ascii="Cambria" w:hAnsi="Cambria"/>
          <w:sz w:val="20"/>
        </w:rPr>
        <w:t xml:space="preserve"> (3) a (8), una reserva y la cuota de investigación del TAC se asigna de forma prorrateada, utilizando las cuotas de la </w:t>
      </w:r>
      <w:hyperlink r:id="rId10" w:history="1">
        <w:r w:rsidR="009D21A6" w:rsidRPr="005C4EE8">
          <w:rPr>
            <w:rStyle w:val="Hyperlink"/>
            <w:rFonts w:ascii="Cambria" w:hAnsi="Cambria"/>
            <w:sz w:val="20"/>
            <w:u w:val="none"/>
          </w:rPr>
          <w:t>Rec. 22-08</w:t>
        </w:r>
      </w:hyperlink>
      <w:r w:rsidR="00184371">
        <w:rPr>
          <w:rFonts w:ascii="Cambria" w:hAnsi="Cambria"/>
          <w:sz w:val="20"/>
        </w:rPr>
        <w:t xml:space="preserve">. </w:t>
      </w:r>
      <w:r>
        <w:rPr>
          <w:rFonts w:ascii="Cambria" w:hAnsi="Cambria"/>
          <w:sz w:val="20"/>
        </w:rPr>
        <w:t xml:space="preserve">Sin embargo, aquellas CPC que no hayan utilizado en absoluto la asignación en 2023 y 2024 no recibirán ninguna. </w:t>
      </w:r>
    </w:p>
    <w:p w14:paraId="1880F9A0" w14:textId="77777777" w:rsidR="007C30BB" w:rsidRPr="007C30BB" w:rsidRDefault="007C30BB" w:rsidP="002879FE">
      <w:pPr>
        <w:pStyle w:val="ListParagraph"/>
        <w:spacing w:line="240" w:lineRule="exact"/>
        <w:ind w:left="1276" w:hanging="425"/>
        <w:rPr>
          <w:rFonts w:ascii="Cambria" w:hAnsi="Cambria"/>
          <w:sz w:val="20"/>
          <w:szCs w:val="20"/>
        </w:rPr>
      </w:pPr>
    </w:p>
    <w:p w14:paraId="1AD6C3F1" w14:textId="0C930244" w:rsidR="001E2A2D" w:rsidRPr="007C30BB" w:rsidRDefault="00C3632B" w:rsidP="002879FE">
      <w:pPr>
        <w:pStyle w:val="ListParagraph"/>
        <w:numPr>
          <w:ilvl w:val="0"/>
          <w:numId w:val="3"/>
        </w:numPr>
        <w:spacing w:line="240" w:lineRule="exact"/>
        <w:ind w:left="1276" w:hanging="425"/>
        <w:rPr>
          <w:rFonts w:ascii="Cambria" w:hAnsi="Cambria"/>
          <w:sz w:val="20"/>
          <w:szCs w:val="20"/>
        </w:rPr>
      </w:pPr>
      <w:r>
        <w:rPr>
          <w:rFonts w:ascii="Cambria" w:hAnsi="Cambria"/>
          <w:sz w:val="20"/>
        </w:rPr>
        <w:t>Se mantendrá la cuota de investigación (20 t) incluida en el TAC actual (40.570 t).</w:t>
      </w:r>
    </w:p>
    <w:p w14:paraId="2F5C2C10" w14:textId="77777777" w:rsidR="007C30BB" w:rsidRPr="007C30BB" w:rsidRDefault="007C30BB" w:rsidP="002879FE">
      <w:pPr>
        <w:pStyle w:val="ListParagraph"/>
        <w:spacing w:line="240" w:lineRule="exact"/>
        <w:ind w:left="1276" w:hanging="425"/>
        <w:rPr>
          <w:rFonts w:ascii="Cambria" w:hAnsi="Cambria"/>
          <w:sz w:val="20"/>
          <w:szCs w:val="20"/>
        </w:rPr>
      </w:pPr>
    </w:p>
    <w:p w14:paraId="5A7FFBA8" w14:textId="51ECF96F" w:rsidR="00CB5441" w:rsidRPr="00995BDB" w:rsidRDefault="0083262A" w:rsidP="002879FE">
      <w:pPr>
        <w:pStyle w:val="ListParagraph"/>
        <w:numPr>
          <w:ilvl w:val="0"/>
          <w:numId w:val="3"/>
        </w:numPr>
        <w:spacing w:line="240" w:lineRule="exact"/>
        <w:ind w:left="1276" w:hanging="425"/>
        <w:rPr>
          <w:rFonts w:ascii="Cambria" w:hAnsi="Cambria"/>
          <w:sz w:val="20"/>
          <w:szCs w:val="20"/>
        </w:rPr>
      </w:pPr>
      <w:r>
        <w:rPr>
          <w:rFonts w:ascii="Cambria" w:hAnsi="Cambria"/>
          <w:sz w:val="20"/>
        </w:rPr>
        <w:t xml:space="preserve">Todas las cifras, incluida la reserva, están sujetas a negociación.  </w:t>
      </w:r>
    </w:p>
    <w:p w14:paraId="6C2943A1" w14:textId="77777777" w:rsidR="00CB5441" w:rsidRPr="00995BDB" w:rsidRDefault="00CB5441" w:rsidP="0070212D">
      <w:pPr>
        <w:pStyle w:val="ListParagraph"/>
        <w:spacing w:line="240" w:lineRule="exact"/>
        <w:ind w:left="976"/>
        <w:rPr>
          <w:rFonts w:ascii="Cambria" w:hAnsi="Cambria"/>
          <w:sz w:val="20"/>
          <w:szCs w:val="20"/>
        </w:rPr>
      </w:pPr>
    </w:p>
    <w:p w14:paraId="3DB25D65" w14:textId="471CA429" w:rsidR="00FD708A" w:rsidRPr="00995BDB" w:rsidRDefault="0044179E" w:rsidP="00855DFE">
      <w:pPr>
        <w:tabs>
          <w:tab w:val="left" w:pos="426"/>
        </w:tabs>
        <w:spacing w:line="240" w:lineRule="exact"/>
        <w:ind w:left="426" w:hanging="426"/>
        <w:rPr>
          <w:rFonts w:ascii="Cambria" w:hAnsi="Cambria"/>
          <w:sz w:val="20"/>
          <w:szCs w:val="20"/>
        </w:rPr>
      </w:pPr>
      <w:r>
        <w:rPr>
          <w:rFonts w:ascii="Cambria" w:hAnsi="Cambria"/>
          <w:sz w:val="20"/>
        </w:rPr>
        <w:t xml:space="preserve">3. </w:t>
      </w:r>
      <w:r>
        <w:rPr>
          <w:rFonts w:ascii="Cambria" w:hAnsi="Cambria"/>
          <w:sz w:val="20"/>
        </w:rPr>
        <w:tab/>
        <w:t xml:space="preserve">Partiendo de las ideas anteriores, las </w:t>
      </w:r>
      <w:r w:rsidRPr="00D16A11">
        <w:rPr>
          <w:rFonts w:ascii="Cambria" w:hAnsi="Cambria"/>
          <w:b/>
          <w:bCs/>
          <w:sz w:val="20"/>
        </w:rPr>
        <w:t>Tablas 1</w:t>
      </w:r>
      <w:r w:rsidR="00B66259" w:rsidRPr="00D16A11">
        <w:rPr>
          <w:rFonts w:ascii="Cambria" w:hAnsi="Cambria"/>
          <w:b/>
          <w:bCs/>
          <w:sz w:val="20"/>
        </w:rPr>
        <w:t>.</w:t>
      </w:r>
      <w:r w:rsidRPr="00D16A11">
        <w:rPr>
          <w:rFonts w:ascii="Cambria" w:hAnsi="Cambria"/>
          <w:b/>
          <w:bCs/>
          <w:sz w:val="20"/>
        </w:rPr>
        <w:t>1 y 1</w:t>
      </w:r>
      <w:r w:rsidR="00B66259" w:rsidRPr="00D16A11">
        <w:rPr>
          <w:rFonts w:ascii="Cambria" w:hAnsi="Cambria"/>
          <w:b/>
          <w:bCs/>
          <w:sz w:val="20"/>
        </w:rPr>
        <w:t>.</w:t>
      </w:r>
      <w:r w:rsidRPr="00D16A11">
        <w:rPr>
          <w:rFonts w:ascii="Cambria" w:hAnsi="Cambria"/>
          <w:b/>
          <w:bCs/>
          <w:sz w:val="20"/>
        </w:rPr>
        <w:t>2</w:t>
      </w:r>
      <w:r w:rsidR="002B1102">
        <w:rPr>
          <w:rFonts w:ascii="Cambria" w:hAnsi="Cambria"/>
          <w:sz w:val="20"/>
        </w:rPr>
        <w:t xml:space="preserve"> </w:t>
      </w:r>
      <w:r w:rsidR="002B1102" w:rsidRPr="00826FEC">
        <w:rPr>
          <w:rFonts w:ascii="Cambria" w:hAnsi="Cambria"/>
          <w:sz w:val="20"/>
        </w:rPr>
        <w:t xml:space="preserve">del </w:t>
      </w:r>
      <w:r w:rsidR="009B1E46" w:rsidRPr="009B1E46">
        <w:rPr>
          <w:rFonts w:ascii="Cambria" w:hAnsi="Cambria"/>
          <w:b/>
          <w:bCs/>
          <w:sz w:val="20"/>
        </w:rPr>
        <w:t>Apéndice 1</w:t>
      </w:r>
      <w:r>
        <w:rPr>
          <w:rFonts w:ascii="Cambria" w:hAnsi="Cambria"/>
          <w:sz w:val="20"/>
        </w:rPr>
        <w:t xml:space="preserve"> se formulan a título indicativo. Si la Subcomisión 2 elige otra cifra para el TAC, deberá</w:t>
      </w:r>
      <w:r w:rsidR="00717065">
        <w:rPr>
          <w:rFonts w:ascii="Cambria" w:hAnsi="Cambria"/>
          <w:sz w:val="20"/>
        </w:rPr>
        <w:t xml:space="preserve">n </w:t>
      </w:r>
      <w:r>
        <w:rPr>
          <w:rFonts w:ascii="Cambria" w:hAnsi="Cambria"/>
          <w:sz w:val="20"/>
        </w:rPr>
        <w:t>ajustarse o suprimirse.</w:t>
      </w:r>
    </w:p>
    <w:p w14:paraId="1C7F1A11" w14:textId="77777777" w:rsidR="00FD708A" w:rsidRPr="00995BDB" w:rsidRDefault="00FD708A" w:rsidP="00A24F31">
      <w:pPr>
        <w:spacing w:line="240" w:lineRule="exact"/>
        <w:rPr>
          <w:rFonts w:ascii="Cambria" w:hAnsi="Cambria"/>
          <w:sz w:val="20"/>
          <w:szCs w:val="20"/>
        </w:rPr>
      </w:pPr>
    </w:p>
    <w:p w14:paraId="6CABD529" w14:textId="562FA9B1" w:rsidR="00CE1CAA" w:rsidRPr="00995BDB" w:rsidRDefault="00FD708A" w:rsidP="00855DFE">
      <w:pPr>
        <w:tabs>
          <w:tab w:val="left" w:pos="426"/>
        </w:tabs>
        <w:spacing w:line="240" w:lineRule="exact"/>
        <w:ind w:left="426" w:hanging="426"/>
        <w:rPr>
          <w:rFonts w:ascii="Cambria" w:hAnsi="Cambria"/>
          <w:sz w:val="20"/>
          <w:szCs w:val="20"/>
        </w:rPr>
      </w:pPr>
      <w:r>
        <w:rPr>
          <w:rFonts w:ascii="Cambria" w:hAnsi="Cambria"/>
          <w:sz w:val="20"/>
        </w:rPr>
        <w:t xml:space="preserve">4. </w:t>
      </w:r>
      <w:r>
        <w:rPr>
          <w:rFonts w:ascii="Cambria" w:hAnsi="Cambria"/>
          <w:sz w:val="20"/>
        </w:rPr>
        <w:tab/>
        <w:t>Además, el límite de traspaso, que actualmente es del 5</w:t>
      </w:r>
      <w:r w:rsidR="00596E5E">
        <w:rPr>
          <w:rFonts w:ascii="Cambria" w:hAnsi="Cambria"/>
          <w:sz w:val="20"/>
        </w:rPr>
        <w:t xml:space="preserve"> </w:t>
      </w:r>
      <w:r>
        <w:rPr>
          <w:rFonts w:ascii="Cambria" w:hAnsi="Cambria"/>
          <w:sz w:val="20"/>
        </w:rPr>
        <w:t xml:space="preserve">% de la cuota inicial, debería aumentarse hasta el 20 % basándose en la recomendación del SCRS. Se trata de ayudar a los titulares de pequeñas cuotas que no han pescado atún rojo en el pasado pero que intentan desarrollar sus propias pesquerías de atún rojo, ya que puede llevarles algún tiempo aprender a pescar.     </w:t>
      </w:r>
    </w:p>
    <w:p w14:paraId="7C932092" w14:textId="570DEFC0" w:rsidR="008635B6" w:rsidRPr="00995BDB" w:rsidRDefault="00812D8E" w:rsidP="00A24F31">
      <w:pPr>
        <w:spacing w:line="240" w:lineRule="exact"/>
        <w:rPr>
          <w:rFonts w:ascii="Cambria" w:hAnsi="Cambria"/>
          <w:sz w:val="20"/>
          <w:szCs w:val="20"/>
        </w:rPr>
      </w:pPr>
      <w:r>
        <w:rPr>
          <w:rFonts w:ascii="Cambria" w:hAnsi="Cambria"/>
          <w:sz w:val="20"/>
        </w:rPr>
        <w:t xml:space="preserve">     </w:t>
      </w:r>
    </w:p>
    <w:sectPr w:rsidR="008635B6" w:rsidRPr="00995BDB" w:rsidSect="00A24F31">
      <w:headerReference w:type="default" r:id="rId11"/>
      <w:footerReference w:type="default" r:id="rId12"/>
      <w:pgSz w:w="11906" w:h="16838" w:code="9"/>
      <w:pgMar w:top="1418" w:right="1418" w:bottom="1418" w:left="1418" w:header="851" w:footer="11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F9193" w14:textId="77777777" w:rsidR="006C30FC" w:rsidRDefault="006C30FC" w:rsidP="00C3632B">
      <w:r>
        <w:separator/>
      </w:r>
    </w:p>
  </w:endnote>
  <w:endnote w:type="continuationSeparator" w:id="0">
    <w:p w14:paraId="1EC9FEEE" w14:textId="77777777" w:rsidR="006C30FC" w:rsidRDefault="006C30FC" w:rsidP="00C3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09E6" w14:textId="475AFEAB" w:rsidR="00855DFE" w:rsidRPr="00855DFE" w:rsidRDefault="00855DFE" w:rsidP="00855DFE">
    <w:pPr>
      <w:widowControl/>
      <w:tabs>
        <w:tab w:val="center" w:pos="4535"/>
        <w:tab w:val="center" w:pos="4680"/>
        <w:tab w:val="left" w:pos="6150"/>
        <w:tab w:val="right" w:pos="9360"/>
      </w:tabs>
      <w:jc w:val="center"/>
      <w:rPr>
        <w:rFonts w:ascii="Cambria" w:hAnsi="Cambria"/>
        <w:sz w:val="20"/>
      </w:rPr>
    </w:pPr>
    <w:r w:rsidRPr="00855DFE">
      <w:rPr>
        <w:rFonts w:ascii="Cambria" w:eastAsia="Calibri" w:hAnsi="Cambria" w:cs="Calibri"/>
        <w:sz w:val="20"/>
      </w:rPr>
      <w:fldChar w:fldCharType="begin"/>
    </w:r>
    <w:r w:rsidRPr="00855DFE">
      <w:rPr>
        <w:rFonts w:ascii="Cambria" w:eastAsia="Calibri" w:hAnsi="Cambria" w:cs="Calibri"/>
        <w:sz w:val="20"/>
      </w:rPr>
      <w:instrText xml:space="preserve"> PAGE </w:instrText>
    </w:r>
    <w:r w:rsidRPr="00855DFE">
      <w:rPr>
        <w:rFonts w:ascii="Cambria" w:eastAsia="Calibri" w:hAnsi="Cambria" w:cs="Calibri"/>
        <w:sz w:val="20"/>
      </w:rPr>
      <w:fldChar w:fldCharType="separate"/>
    </w:r>
    <w:r w:rsidRPr="00855DFE">
      <w:rPr>
        <w:rFonts w:ascii="Cambria" w:eastAsia="Calibri" w:hAnsi="Cambria" w:cs="Calibri"/>
        <w:sz w:val="20"/>
      </w:rPr>
      <w:t>1</w:t>
    </w:r>
    <w:r w:rsidRPr="00855DFE">
      <w:rPr>
        <w:rFonts w:ascii="Cambria" w:eastAsia="Calibri" w:hAnsi="Cambria" w:cs="Calibri"/>
        <w:sz w:val="20"/>
      </w:rPr>
      <w:fldChar w:fldCharType="end"/>
    </w:r>
    <w:r>
      <w:rPr>
        <w:rFonts w:ascii="Cambria" w:hAnsi="Cambria"/>
        <w:sz w:val="20"/>
      </w:rPr>
      <w:t xml:space="preserve"> / </w:t>
    </w:r>
    <w:r w:rsidRPr="00855DFE">
      <w:rPr>
        <w:rFonts w:ascii="Cambria" w:eastAsia="Calibri" w:hAnsi="Cambria" w:cs="Calibri"/>
        <w:sz w:val="20"/>
      </w:rPr>
      <w:fldChar w:fldCharType="begin"/>
    </w:r>
    <w:r w:rsidRPr="00855DFE">
      <w:rPr>
        <w:rFonts w:ascii="Cambria" w:eastAsia="Calibri" w:hAnsi="Cambria" w:cs="Calibri"/>
        <w:sz w:val="20"/>
      </w:rPr>
      <w:instrText xml:space="preserve"> NUMPAGES  </w:instrText>
    </w:r>
    <w:r w:rsidRPr="00855DFE">
      <w:rPr>
        <w:rFonts w:ascii="Cambria" w:eastAsia="Calibri" w:hAnsi="Cambria" w:cs="Calibri"/>
        <w:sz w:val="20"/>
      </w:rPr>
      <w:fldChar w:fldCharType="separate"/>
    </w:r>
    <w:r w:rsidRPr="00855DFE">
      <w:rPr>
        <w:rFonts w:ascii="Cambria" w:eastAsia="Calibri" w:hAnsi="Cambria" w:cs="Calibri"/>
        <w:sz w:val="20"/>
      </w:rPr>
      <w:t>8</w:t>
    </w:r>
    <w:r w:rsidRPr="00855DFE">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5F4F8" w14:textId="77777777" w:rsidR="006C30FC" w:rsidRDefault="006C30FC" w:rsidP="00C3632B">
      <w:r>
        <w:separator/>
      </w:r>
    </w:p>
  </w:footnote>
  <w:footnote w:type="continuationSeparator" w:id="0">
    <w:p w14:paraId="54503902" w14:textId="77777777" w:rsidR="006C30FC" w:rsidRDefault="006C30FC" w:rsidP="00C3632B">
      <w:r>
        <w:continuationSeparator/>
      </w:r>
    </w:p>
  </w:footnote>
  <w:footnote w:id="1">
    <w:p w14:paraId="02A21D8B" w14:textId="77777777" w:rsidR="00165428" w:rsidRPr="00855DFE" w:rsidRDefault="00165428" w:rsidP="00165428">
      <w:pPr>
        <w:pStyle w:val="FootnoteText"/>
        <w:rPr>
          <w:rFonts w:ascii="Cambria" w:hAnsi="Cambria"/>
          <w:sz w:val="16"/>
          <w:szCs w:val="16"/>
        </w:rPr>
      </w:pPr>
      <w:r>
        <w:rPr>
          <w:rStyle w:val="FootnoteReference"/>
          <w:rFonts w:ascii="Cambria" w:hAnsi="Cambria"/>
          <w:sz w:val="16"/>
          <w:szCs w:val="16"/>
        </w:rPr>
        <w:footnoteRef/>
      </w:r>
      <w:r>
        <w:rPr>
          <w:rFonts w:ascii="Cambria" w:hAnsi="Cambria"/>
          <w:sz w:val="16"/>
        </w:rPr>
        <w:t xml:space="preserve"> No se utilizaron las cifras de 2025 porque algunas CPC aún no han terminado la campaña de pesca de 2025 y, por lo tanto, no se pueden comparar esas cifras entre CPC.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A659" w14:textId="5232CBD2" w:rsidR="00B178D1" w:rsidRPr="00B178D1" w:rsidRDefault="00B178D1" w:rsidP="00B178D1">
    <w:pPr>
      <w:tabs>
        <w:tab w:val="center" w:pos="4680"/>
        <w:tab w:val="left" w:pos="6520"/>
        <w:tab w:val="right" w:pos="9360"/>
        <w:tab w:val="right" w:pos="14240"/>
      </w:tabs>
      <w:autoSpaceDE w:val="0"/>
      <w:autoSpaceDN w:val="0"/>
      <w:jc w:val="right"/>
      <w:rPr>
        <w:rFonts w:ascii="Cambria" w:eastAsia="Calibri" w:hAnsi="Cambria" w:cs="Cambria"/>
        <w:b/>
        <w:bCs/>
        <w:kern w:val="0"/>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PA2_612/2025</w:t>
    </w:r>
  </w:p>
  <w:p w14:paraId="5020D595" w14:textId="365475C3" w:rsidR="00B178D1" w:rsidRDefault="00B178D1" w:rsidP="0070212D">
    <w:pPr>
      <w:tabs>
        <w:tab w:val="left" w:pos="7320"/>
      </w:tabs>
      <w:autoSpaceDE w:val="0"/>
      <w:autoSpaceDN w:val="0"/>
      <w:spacing w:line="240" w:lineRule="exact"/>
      <w:jc w:val="right"/>
    </w:pPr>
    <w:r w:rsidRPr="00B178D1">
      <w:rPr>
        <w:rFonts w:ascii="Cambria" w:eastAsia="Cambria" w:hAnsi="Cambria" w:cs="Cambria"/>
        <w:b/>
        <w:sz w:val="16"/>
      </w:rPr>
      <w:fldChar w:fldCharType="begin"/>
    </w:r>
    <w:r w:rsidRPr="00B178D1">
      <w:rPr>
        <w:rFonts w:ascii="Cambria" w:eastAsia="Cambria" w:hAnsi="Cambria" w:cs="Cambria"/>
        <w:b/>
        <w:sz w:val="16"/>
      </w:rPr>
      <w:instrText xml:space="preserve"> TIME \@ "dd/MM/yyyy H:mm" </w:instrText>
    </w:r>
    <w:r w:rsidRPr="00B178D1">
      <w:rPr>
        <w:rFonts w:ascii="Cambria" w:eastAsia="Cambria" w:hAnsi="Cambria" w:cs="Cambria"/>
        <w:b/>
        <w:sz w:val="16"/>
      </w:rPr>
      <w:fldChar w:fldCharType="separate"/>
    </w:r>
    <w:r w:rsidR="00E83F20">
      <w:rPr>
        <w:rFonts w:ascii="Cambria" w:eastAsia="Cambria" w:hAnsi="Cambria" w:cs="Cambria"/>
        <w:b/>
        <w:noProof/>
        <w:sz w:val="16"/>
      </w:rPr>
      <w:t>27/10/2025 12:38</w:t>
    </w:r>
    <w:r w:rsidRPr="00B178D1">
      <w:rPr>
        <w:rFonts w:ascii="Cambria" w:eastAsia="Cambria" w:hAnsi="Cambria" w:cs="Cambria"/>
        <w:b/>
        <w:bCs/>
        <w:kern w:val="0"/>
        <w:sz w:val="16"/>
        <w:szCs w:val="16"/>
        <w:lang w:val="es-ES_tradnl" w:eastAsia="en-US"/>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D48DA"/>
    <w:multiLevelType w:val="hybridMultilevel"/>
    <w:tmpl w:val="B66CD67A"/>
    <w:lvl w:ilvl="0" w:tplc="2C7AC2EE">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17874F76"/>
    <w:multiLevelType w:val="hybridMultilevel"/>
    <w:tmpl w:val="324CF44E"/>
    <w:lvl w:ilvl="0" w:tplc="3F10AD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70E543C4"/>
    <w:multiLevelType w:val="hybridMultilevel"/>
    <w:tmpl w:val="F670B56C"/>
    <w:lvl w:ilvl="0" w:tplc="06E008C6">
      <w:start w:val="1"/>
      <w:numFmt w:val="decimal"/>
      <w:lvlText w:val="(%1)"/>
      <w:lvlJc w:val="left"/>
      <w:pPr>
        <w:ind w:left="976" w:hanging="408"/>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76236C61"/>
    <w:multiLevelType w:val="hybridMultilevel"/>
    <w:tmpl w:val="5060D06C"/>
    <w:lvl w:ilvl="0" w:tplc="E9D29F9A">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448135">
    <w:abstractNumId w:val="3"/>
  </w:num>
  <w:num w:numId="2" w16cid:durableId="693728020">
    <w:abstractNumId w:val="0"/>
  </w:num>
  <w:num w:numId="3" w16cid:durableId="1500999383">
    <w:abstractNumId w:val="2"/>
  </w:num>
  <w:num w:numId="4" w16cid:durableId="1482385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B6"/>
    <w:rsid w:val="00005525"/>
    <w:rsid w:val="00057051"/>
    <w:rsid w:val="00063316"/>
    <w:rsid w:val="00071744"/>
    <w:rsid w:val="00074365"/>
    <w:rsid w:val="000D7C2D"/>
    <w:rsid w:val="00101545"/>
    <w:rsid w:val="00141242"/>
    <w:rsid w:val="00160896"/>
    <w:rsid w:val="00161901"/>
    <w:rsid w:val="00165428"/>
    <w:rsid w:val="00184371"/>
    <w:rsid w:val="001E2A2D"/>
    <w:rsid w:val="001E63AC"/>
    <w:rsid w:val="001F5AC3"/>
    <w:rsid w:val="0020389F"/>
    <w:rsid w:val="00205768"/>
    <w:rsid w:val="00276BAF"/>
    <w:rsid w:val="0027793F"/>
    <w:rsid w:val="002879FE"/>
    <w:rsid w:val="002B1102"/>
    <w:rsid w:val="002C40B8"/>
    <w:rsid w:val="002E3917"/>
    <w:rsid w:val="002E798D"/>
    <w:rsid w:val="00305C25"/>
    <w:rsid w:val="00307FE0"/>
    <w:rsid w:val="00330FFB"/>
    <w:rsid w:val="003502AF"/>
    <w:rsid w:val="003C520B"/>
    <w:rsid w:val="0044179E"/>
    <w:rsid w:val="00492EA5"/>
    <w:rsid w:val="00524A03"/>
    <w:rsid w:val="005250FE"/>
    <w:rsid w:val="00530023"/>
    <w:rsid w:val="00562E87"/>
    <w:rsid w:val="00596E5E"/>
    <w:rsid w:val="005B4D83"/>
    <w:rsid w:val="005C4EE8"/>
    <w:rsid w:val="00605EDD"/>
    <w:rsid w:val="00647F0D"/>
    <w:rsid w:val="00674B2B"/>
    <w:rsid w:val="006A44AC"/>
    <w:rsid w:val="006C30FC"/>
    <w:rsid w:val="006F5061"/>
    <w:rsid w:val="0070212D"/>
    <w:rsid w:val="00711E16"/>
    <w:rsid w:val="00717065"/>
    <w:rsid w:val="00796D4F"/>
    <w:rsid w:val="007C30BB"/>
    <w:rsid w:val="007D10A1"/>
    <w:rsid w:val="007E562A"/>
    <w:rsid w:val="00812D8E"/>
    <w:rsid w:val="00826FEC"/>
    <w:rsid w:val="00827C38"/>
    <w:rsid w:val="0083262A"/>
    <w:rsid w:val="00835F06"/>
    <w:rsid w:val="00855DFE"/>
    <w:rsid w:val="00857249"/>
    <w:rsid w:val="008635B6"/>
    <w:rsid w:val="008C2898"/>
    <w:rsid w:val="00955D19"/>
    <w:rsid w:val="009922F1"/>
    <w:rsid w:val="00995BDB"/>
    <w:rsid w:val="009B1E46"/>
    <w:rsid w:val="009D21A6"/>
    <w:rsid w:val="00A24F31"/>
    <w:rsid w:val="00A92E32"/>
    <w:rsid w:val="00AA45E5"/>
    <w:rsid w:val="00AB4EA9"/>
    <w:rsid w:val="00AF318C"/>
    <w:rsid w:val="00B10F93"/>
    <w:rsid w:val="00B178D1"/>
    <w:rsid w:val="00B41D56"/>
    <w:rsid w:val="00B66259"/>
    <w:rsid w:val="00B67BD7"/>
    <w:rsid w:val="00B96DE8"/>
    <w:rsid w:val="00C02357"/>
    <w:rsid w:val="00C3229B"/>
    <w:rsid w:val="00C3632B"/>
    <w:rsid w:val="00C91DF2"/>
    <w:rsid w:val="00CB5441"/>
    <w:rsid w:val="00CE1CAA"/>
    <w:rsid w:val="00CE5241"/>
    <w:rsid w:val="00CF047D"/>
    <w:rsid w:val="00D13E47"/>
    <w:rsid w:val="00D16A11"/>
    <w:rsid w:val="00E7067C"/>
    <w:rsid w:val="00E83F20"/>
    <w:rsid w:val="00E95BE2"/>
    <w:rsid w:val="00EE1CD0"/>
    <w:rsid w:val="00FD7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DB6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32B"/>
    <w:pPr>
      <w:tabs>
        <w:tab w:val="center" w:pos="4252"/>
        <w:tab w:val="right" w:pos="8504"/>
      </w:tabs>
      <w:snapToGrid w:val="0"/>
    </w:pPr>
  </w:style>
  <w:style w:type="character" w:customStyle="1" w:styleId="HeaderChar">
    <w:name w:val="Header Char"/>
    <w:basedOn w:val="DefaultParagraphFont"/>
    <w:link w:val="Header"/>
    <w:uiPriority w:val="99"/>
    <w:rsid w:val="00C3632B"/>
  </w:style>
  <w:style w:type="paragraph" w:styleId="Footer">
    <w:name w:val="footer"/>
    <w:basedOn w:val="Normal"/>
    <w:link w:val="FooterChar"/>
    <w:uiPriority w:val="99"/>
    <w:unhideWhenUsed/>
    <w:rsid w:val="00C3632B"/>
    <w:pPr>
      <w:tabs>
        <w:tab w:val="center" w:pos="4252"/>
        <w:tab w:val="right" w:pos="8504"/>
      </w:tabs>
      <w:snapToGrid w:val="0"/>
    </w:pPr>
  </w:style>
  <w:style w:type="character" w:customStyle="1" w:styleId="FooterChar">
    <w:name w:val="Footer Char"/>
    <w:basedOn w:val="DefaultParagraphFont"/>
    <w:link w:val="Footer"/>
    <w:uiPriority w:val="99"/>
    <w:rsid w:val="00C3632B"/>
  </w:style>
  <w:style w:type="paragraph" w:styleId="FootnoteText">
    <w:name w:val="footnote text"/>
    <w:basedOn w:val="Normal"/>
    <w:link w:val="FootnoteTextChar"/>
    <w:uiPriority w:val="99"/>
    <w:semiHidden/>
    <w:unhideWhenUsed/>
    <w:rsid w:val="00330FFB"/>
    <w:pPr>
      <w:snapToGrid w:val="0"/>
      <w:jc w:val="left"/>
    </w:pPr>
  </w:style>
  <w:style w:type="character" w:customStyle="1" w:styleId="FootnoteTextChar">
    <w:name w:val="Footnote Text Char"/>
    <w:basedOn w:val="DefaultParagraphFont"/>
    <w:link w:val="FootnoteText"/>
    <w:uiPriority w:val="99"/>
    <w:semiHidden/>
    <w:rsid w:val="00330FFB"/>
  </w:style>
  <w:style w:type="character" w:styleId="FootnoteReference">
    <w:name w:val="footnote reference"/>
    <w:basedOn w:val="DefaultParagraphFont"/>
    <w:uiPriority w:val="99"/>
    <w:semiHidden/>
    <w:unhideWhenUsed/>
    <w:rsid w:val="00330FFB"/>
    <w:rPr>
      <w:vertAlign w:val="superscript"/>
    </w:rPr>
  </w:style>
  <w:style w:type="character" w:styleId="Hyperlink">
    <w:name w:val="Hyperlink"/>
    <w:basedOn w:val="DefaultParagraphFont"/>
    <w:uiPriority w:val="99"/>
    <w:unhideWhenUsed/>
    <w:rsid w:val="00524A03"/>
    <w:rPr>
      <w:color w:val="0563C1" w:themeColor="hyperlink"/>
      <w:u w:val="single"/>
    </w:rPr>
  </w:style>
  <w:style w:type="paragraph" w:styleId="ListParagraph">
    <w:name w:val="List Paragraph"/>
    <w:basedOn w:val="Normal"/>
    <w:uiPriority w:val="34"/>
    <w:qFormat/>
    <w:rsid w:val="00855DFE"/>
    <w:pPr>
      <w:ind w:left="720"/>
      <w:contextualSpacing/>
    </w:pPr>
  </w:style>
  <w:style w:type="character" w:styleId="UnresolvedMention">
    <w:name w:val="Unresolved Mention"/>
    <w:basedOn w:val="DefaultParagraphFont"/>
    <w:uiPriority w:val="99"/>
    <w:semiHidden/>
    <w:unhideWhenUsed/>
    <w:rsid w:val="00E83F20"/>
    <w:rPr>
      <w:color w:val="605E5C"/>
      <w:shd w:val="clear" w:color="auto" w:fill="E1DFDD"/>
    </w:rPr>
  </w:style>
  <w:style w:type="character" w:styleId="FollowedHyperlink">
    <w:name w:val="FollowedHyperlink"/>
    <w:basedOn w:val="DefaultParagraphFont"/>
    <w:uiPriority w:val="99"/>
    <w:semiHidden/>
    <w:unhideWhenUsed/>
    <w:rsid w:val="00E83F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ngo_ota810@maff.go.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ccat.int/Documents/Recs/compendiopdf-s/2022-08-s.pdf" TargetMode="External"/><Relationship Id="rId4" Type="http://schemas.openxmlformats.org/officeDocument/2006/relationships/settings" Target="settings.xml"/><Relationship Id="rId9" Type="http://schemas.openxmlformats.org/officeDocument/2006/relationships/hyperlink" Target="https://www.iccat.int/Documents/Recs/compendiopdf-s/2022-08-s.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6F8D-A13C-4740-BF67-176C9E21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4505</Characters>
  <Application>Microsoft Office Word</Application>
  <DocSecurity>0</DocSecurity>
  <Lines>37</Lines>
  <Paragraphs>10</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2025-10-27T08:16:00Z</dcterms:created>
  <dcterms:modified xsi:type="dcterms:W3CDTF">2025-10-27T11:41:00Z</dcterms:modified>
</cp:coreProperties>
</file>