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0BAD" w14:textId="742D7470" w:rsidR="00B178D1" w:rsidRPr="005B07DD" w:rsidRDefault="00B178D1" w:rsidP="00B178D1">
      <w:pPr>
        <w:spacing w:line="240" w:lineRule="exact"/>
        <w:jc w:val="right"/>
        <w:rPr>
          <w:rFonts w:ascii="Cambria" w:hAnsi="Cambria"/>
          <w:b/>
          <w:bCs/>
          <w:sz w:val="20"/>
          <w:szCs w:val="20"/>
        </w:rPr>
      </w:pPr>
      <w:r w:rsidRPr="005B07DD">
        <w:rPr>
          <w:rFonts w:ascii="Cambria" w:hAnsi="Cambria"/>
          <w:b/>
          <w:sz w:val="20"/>
          <w:szCs w:val="20"/>
        </w:rPr>
        <w:t xml:space="preserve">Original : </w:t>
      </w:r>
      <w:r w:rsidRPr="005B07DD">
        <w:rPr>
          <w:rFonts w:ascii="Cambria" w:hAnsi="Cambria"/>
          <w:b/>
          <w:bCs/>
          <w:sz w:val="20"/>
          <w:szCs w:val="20"/>
        </w:rPr>
        <w:t>anglais</w:t>
      </w:r>
      <w:r w:rsidRPr="005B07DD">
        <w:rPr>
          <w:rFonts w:ascii="Cambria" w:hAnsi="Cambria"/>
          <w:b/>
          <w:sz w:val="20"/>
          <w:szCs w:val="20"/>
        </w:rPr>
        <w:t xml:space="preserve"> </w:t>
      </w:r>
    </w:p>
    <w:p w14:paraId="55CE0A3D" w14:textId="77777777" w:rsidR="00B178D1" w:rsidRPr="005B07DD" w:rsidRDefault="00B178D1" w:rsidP="00B178D1">
      <w:pPr>
        <w:spacing w:line="240" w:lineRule="exact"/>
        <w:jc w:val="right"/>
        <w:rPr>
          <w:rFonts w:ascii="Cambria" w:hAnsi="Cambria"/>
          <w:b/>
          <w:bCs/>
          <w:sz w:val="20"/>
          <w:szCs w:val="20"/>
        </w:rPr>
      </w:pPr>
    </w:p>
    <w:p w14:paraId="755CDD29" w14:textId="77777777" w:rsidR="00A92AC3" w:rsidRPr="005B07DD" w:rsidRDefault="00524A03" w:rsidP="001E63AC">
      <w:pPr>
        <w:spacing w:line="240" w:lineRule="exact"/>
        <w:jc w:val="center"/>
        <w:rPr>
          <w:rFonts w:ascii="Cambria" w:hAnsi="Cambria"/>
          <w:b/>
          <w:bCs/>
          <w:sz w:val="20"/>
          <w:szCs w:val="20"/>
        </w:rPr>
      </w:pPr>
      <w:r w:rsidRPr="005B07DD">
        <w:rPr>
          <w:rFonts w:ascii="Cambria" w:hAnsi="Cambria"/>
          <w:b/>
          <w:sz w:val="20"/>
          <w:szCs w:val="20"/>
        </w:rPr>
        <w:t xml:space="preserve">Note explicative sur un </w:t>
      </w:r>
    </w:p>
    <w:p w14:paraId="1CEB5E5E" w14:textId="34F6BEDE" w:rsidR="00524A03" w:rsidRPr="005B07DD" w:rsidRDefault="00A92AC3" w:rsidP="001E63AC">
      <w:pPr>
        <w:spacing w:line="240" w:lineRule="exact"/>
        <w:jc w:val="center"/>
        <w:rPr>
          <w:rFonts w:ascii="Cambria" w:hAnsi="Cambria"/>
          <w:b/>
          <w:bCs/>
          <w:sz w:val="20"/>
          <w:szCs w:val="20"/>
        </w:rPr>
      </w:pPr>
      <w:proofErr w:type="gramStart"/>
      <w:r w:rsidRPr="005B07DD">
        <w:rPr>
          <w:rFonts w:ascii="Cambria" w:hAnsi="Cambria"/>
          <w:b/>
          <w:sz w:val="20"/>
          <w:szCs w:val="20"/>
        </w:rPr>
        <w:t>projet</w:t>
      </w:r>
      <w:proofErr w:type="gramEnd"/>
      <w:r w:rsidRPr="005B07DD">
        <w:rPr>
          <w:rFonts w:ascii="Cambria" w:hAnsi="Cambria"/>
          <w:b/>
          <w:sz w:val="20"/>
          <w:szCs w:val="20"/>
        </w:rPr>
        <w:t xml:space="preserve"> de plan d’allocation pour le stock de thon rouge de l’Atlantique Est et de la Méditerranée</w:t>
      </w:r>
    </w:p>
    <w:p w14:paraId="0C90049C" w14:textId="003DF0FC" w:rsidR="00524A03" w:rsidRPr="005B07DD" w:rsidRDefault="00855DFE" w:rsidP="001E63AC">
      <w:pPr>
        <w:spacing w:line="240" w:lineRule="exact"/>
        <w:jc w:val="center"/>
        <w:rPr>
          <w:rFonts w:ascii="Cambria" w:hAnsi="Cambria"/>
          <w:i/>
          <w:iCs/>
          <w:sz w:val="20"/>
          <w:szCs w:val="20"/>
        </w:rPr>
      </w:pPr>
      <w:r w:rsidRPr="005B07DD">
        <w:rPr>
          <w:rFonts w:ascii="Cambria" w:hAnsi="Cambria"/>
          <w:i/>
          <w:sz w:val="20"/>
          <w:szCs w:val="20"/>
        </w:rPr>
        <w:t>(Soumis par le Président de la Sous-commission 2)</w:t>
      </w:r>
    </w:p>
    <w:p w14:paraId="0C0D7A97" w14:textId="77777777" w:rsidR="00524A03" w:rsidRPr="005B07DD" w:rsidRDefault="00524A03" w:rsidP="001E63AC">
      <w:pPr>
        <w:spacing w:line="240" w:lineRule="exact"/>
        <w:jc w:val="center"/>
        <w:rPr>
          <w:rFonts w:ascii="Cambria" w:hAnsi="Cambria"/>
          <w:sz w:val="20"/>
          <w:szCs w:val="20"/>
        </w:rPr>
      </w:pPr>
    </w:p>
    <w:p w14:paraId="7C24A2E2" w14:textId="77777777" w:rsidR="00524A03" w:rsidRPr="005B07DD" w:rsidRDefault="00524A03" w:rsidP="001E63AC">
      <w:pPr>
        <w:spacing w:line="240" w:lineRule="exact"/>
        <w:jc w:val="center"/>
        <w:rPr>
          <w:rFonts w:ascii="Cambria" w:hAnsi="Cambria"/>
          <w:sz w:val="20"/>
          <w:szCs w:val="20"/>
        </w:rPr>
      </w:pPr>
    </w:p>
    <w:p w14:paraId="2489A280" w14:textId="6E718B1F" w:rsidR="00524A03" w:rsidRPr="005B07DD" w:rsidRDefault="00524A03" w:rsidP="00855DFE">
      <w:pPr>
        <w:tabs>
          <w:tab w:val="left" w:pos="426"/>
        </w:tabs>
        <w:spacing w:line="240" w:lineRule="exact"/>
        <w:ind w:left="426" w:hanging="426"/>
        <w:rPr>
          <w:rFonts w:ascii="Cambria" w:hAnsi="Cambria"/>
          <w:sz w:val="20"/>
          <w:szCs w:val="20"/>
        </w:rPr>
      </w:pPr>
      <w:r w:rsidRPr="005B07DD">
        <w:rPr>
          <w:rFonts w:ascii="Cambria" w:hAnsi="Cambria"/>
          <w:sz w:val="20"/>
          <w:szCs w:val="20"/>
        </w:rPr>
        <w:t xml:space="preserve">1. </w:t>
      </w:r>
      <w:r w:rsidRPr="005B07DD">
        <w:rPr>
          <w:rFonts w:ascii="Cambria" w:hAnsi="Cambria"/>
          <w:sz w:val="20"/>
          <w:szCs w:val="20"/>
        </w:rPr>
        <w:tab/>
        <w:t xml:space="preserve">La Sous-commission 2 a discuté de la question de l'allocation du thon rouge de l'Atlantique Est et de la Méditerranée au cours des trois dernières années dans le cadre de réunions annuelles et de réunions intersessions. Au cours des discussions, le Président de la Sous-commission 2 ainsi que plusieurs CPC ont proposé des idées pour trouver des solutions. </w:t>
      </w:r>
    </w:p>
    <w:p w14:paraId="4F2BDFA4" w14:textId="77777777" w:rsidR="00524A03" w:rsidRPr="005B07DD" w:rsidRDefault="00524A03" w:rsidP="001E63AC">
      <w:pPr>
        <w:spacing w:line="240" w:lineRule="exact"/>
        <w:rPr>
          <w:rFonts w:ascii="Cambria" w:hAnsi="Cambria"/>
          <w:sz w:val="20"/>
          <w:szCs w:val="20"/>
        </w:rPr>
      </w:pPr>
    </w:p>
    <w:p w14:paraId="612F79EE" w14:textId="0A8A9793" w:rsidR="00524A03" w:rsidRPr="005B07DD" w:rsidRDefault="00524A03" w:rsidP="00855DFE">
      <w:pPr>
        <w:tabs>
          <w:tab w:val="left" w:pos="426"/>
        </w:tabs>
        <w:spacing w:line="240" w:lineRule="exact"/>
        <w:ind w:left="426" w:hanging="426"/>
        <w:rPr>
          <w:rFonts w:ascii="Cambria" w:hAnsi="Cambria"/>
          <w:sz w:val="20"/>
          <w:szCs w:val="20"/>
        </w:rPr>
      </w:pPr>
      <w:r w:rsidRPr="005B07DD">
        <w:rPr>
          <w:rFonts w:ascii="Cambria" w:hAnsi="Cambria"/>
          <w:sz w:val="20"/>
          <w:szCs w:val="20"/>
        </w:rPr>
        <w:t xml:space="preserve">2. </w:t>
      </w:r>
      <w:r w:rsidRPr="005B07DD">
        <w:rPr>
          <w:rFonts w:ascii="Cambria" w:hAnsi="Cambria"/>
          <w:sz w:val="20"/>
          <w:szCs w:val="20"/>
        </w:rPr>
        <w:tab/>
        <w:t xml:space="preserve">En ce qui concerne le total des prises admissibles (TAC), le SCRS soumet à la considération de la Commission les résultats de deux procédures de gestion (MP) : le BR adopté et le BR recalibré afin d'atteindre l'objectif de gestion dans le cadre des modèles opérationnels (OM) reconditionnés. Le premier donne 48.403 t et le second 45.191 t. La Sous-commission 2 peut choisir l'un d'entre eux, mais aussi un autre chiffre s'il existe un consensus parmi les membres et une justification scientifique à l'appui. </w:t>
      </w:r>
    </w:p>
    <w:p w14:paraId="75659A1E" w14:textId="77777777" w:rsidR="00524A03" w:rsidRPr="005B07DD" w:rsidRDefault="00524A03" w:rsidP="00855DFE">
      <w:pPr>
        <w:tabs>
          <w:tab w:val="left" w:pos="426"/>
        </w:tabs>
        <w:spacing w:line="240" w:lineRule="exact"/>
        <w:ind w:left="426" w:hanging="426"/>
        <w:rPr>
          <w:rFonts w:ascii="Cambria" w:hAnsi="Cambria"/>
          <w:sz w:val="20"/>
          <w:szCs w:val="20"/>
        </w:rPr>
      </w:pPr>
    </w:p>
    <w:p w14:paraId="55D65800" w14:textId="10F257B7" w:rsidR="00524A03" w:rsidRPr="005B07DD" w:rsidRDefault="00524A03" w:rsidP="00855DFE">
      <w:pPr>
        <w:tabs>
          <w:tab w:val="left" w:pos="426"/>
        </w:tabs>
        <w:spacing w:line="240" w:lineRule="exact"/>
        <w:ind w:left="426" w:hanging="426"/>
        <w:rPr>
          <w:rFonts w:ascii="Cambria" w:hAnsi="Cambria"/>
          <w:sz w:val="20"/>
          <w:szCs w:val="20"/>
        </w:rPr>
      </w:pPr>
      <w:r w:rsidRPr="005B07DD">
        <w:rPr>
          <w:rFonts w:ascii="Cambria" w:hAnsi="Cambria"/>
          <w:sz w:val="20"/>
          <w:szCs w:val="20"/>
        </w:rPr>
        <w:t xml:space="preserve">3. </w:t>
      </w:r>
      <w:r w:rsidRPr="005B07DD">
        <w:rPr>
          <w:rFonts w:ascii="Cambria" w:hAnsi="Cambria"/>
          <w:sz w:val="20"/>
          <w:szCs w:val="20"/>
        </w:rPr>
        <w:tab/>
        <w:t xml:space="preserve">Comme je l'avais promis lors de la réunion intersessions de la Sous-commission 2 en mars dernier, j'ai élaboré un projet de plan d'allocation sur la base des discussions qui ont eu lieu au cours de la période de trois ans. Veuillez noter qu'il existe deux versions : Le </w:t>
      </w:r>
      <w:r w:rsidRPr="00016763">
        <w:rPr>
          <w:rFonts w:ascii="Cambria" w:hAnsi="Cambria"/>
          <w:b/>
          <w:bCs/>
          <w:sz w:val="20"/>
          <w:szCs w:val="20"/>
        </w:rPr>
        <w:t>tableau 1.1 de l’appendice</w:t>
      </w:r>
      <w:r w:rsidRPr="005B07DD">
        <w:rPr>
          <w:rFonts w:ascii="Cambria" w:hAnsi="Cambria"/>
          <w:b/>
          <w:bCs/>
          <w:sz w:val="20"/>
          <w:szCs w:val="20"/>
        </w:rPr>
        <w:t xml:space="preserve"> 1</w:t>
      </w:r>
      <w:r w:rsidRPr="005B07DD">
        <w:rPr>
          <w:rFonts w:ascii="Cambria" w:hAnsi="Cambria"/>
          <w:sz w:val="20"/>
          <w:szCs w:val="20"/>
        </w:rPr>
        <w:t xml:space="preserve"> pour 48.403</w:t>
      </w:r>
      <w:r w:rsidR="00EF6584">
        <w:rPr>
          <w:rFonts w:ascii="Cambria" w:hAnsi="Cambria"/>
          <w:sz w:val="20"/>
          <w:szCs w:val="20"/>
        </w:rPr>
        <w:t> </w:t>
      </w:r>
      <w:r w:rsidRPr="005B07DD">
        <w:rPr>
          <w:rFonts w:ascii="Cambria" w:hAnsi="Cambria"/>
          <w:sz w:val="20"/>
          <w:szCs w:val="20"/>
        </w:rPr>
        <w:t xml:space="preserve">t et le </w:t>
      </w:r>
      <w:r w:rsidRPr="00016763">
        <w:rPr>
          <w:rFonts w:ascii="Cambria" w:hAnsi="Cambria"/>
          <w:b/>
          <w:bCs/>
          <w:sz w:val="20"/>
          <w:szCs w:val="20"/>
        </w:rPr>
        <w:t>tableau 1.2 de l’appendice</w:t>
      </w:r>
      <w:r w:rsidRPr="005B07DD">
        <w:rPr>
          <w:rFonts w:ascii="Cambria" w:hAnsi="Cambria"/>
          <w:b/>
          <w:bCs/>
          <w:sz w:val="20"/>
          <w:szCs w:val="20"/>
        </w:rPr>
        <w:t xml:space="preserve"> 1</w:t>
      </w:r>
      <w:r w:rsidRPr="005B07DD">
        <w:rPr>
          <w:rFonts w:ascii="Cambria" w:hAnsi="Cambria"/>
          <w:sz w:val="20"/>
          <w:szCs w:val="20"/>
        </w:rPr>
        <w:t xml:space="preserve"> pour 45.191 t ne sont donnés qu'à titre indicatif. Une fois de plus, c'est à la Sous-commission 2 et non au Président de décider du TAC.</w:t>
      </w:r>
    </w:p>
    <w:p w14:paraId="1AFACF72" w14:textId="77777777" w:rsidR="00524A03" w:rsidRPr="005B07DD" w:rsidRDefault="00524A03" w:rsidP="00855DFE">
      <w:pPr>
        <w:tabs>
          <w:tab w:val="left" w:pos="426"/>
        </w:tabs>
        <w:spacing w:line="240" w:lineRule="exact"/>
        <w:ind w:left="426" w:hanging="426"/>
        <w:rPr>
          <w:rFonts w:ascii="Cambria" w:hAnsi="Cambria"/>
          <w:sz w:val="20"/>
          <w:szCs w:val="20"/>
        </w:rPr>
      </w:pPr>
    </w:p>
    <w:p w14:paraId="60EDDD5A" w14:textId="0D9034BC" w:rsidR="003F144B" w:rsidRPr="005B07DD" w:rsidRDefault="00524A03" w:rsidP="00855DFE">
      <w:pPr>
        <w:tabs>
          <w:tab w:val="left" w:pos="426"/>
        </w:tabs>
        <w:spacing w:line="240" w:lineRule="exact"/>
        <w:ind w:left="426" w:hanging="426"/>
        <w:rPr>
          <w:rFonts w:ascii="Cambria" w:hAnsi="Cambria"/>
          <w:sz w:val="20"/>
          <w:szCs w:val="20"/>
        </w:rPr>
      </w:pPr>
      <w:r w:rsidRPr="005B07DD">
        <w:rPr>
          <w:rFonts w:ascii="Cambria" w:hAnsi="Cambria"/>
          <w:sz w:val="20"/>
          <w:szCs w:val="20"/>
        </w:rPr>
        <w:t xml:space="preserve">4. </w:t>
      </w:r>
      <w:r w:rsidRPr="005B07DD">
        <w:rPr>
          <w:rFonts w:ascii="Cambria" w:hAnsi="Cambria"/>
          <w:sz w:val="20"/>
          <w:szCs w:val="20"/>
        </w:rPr>
        <w:tab/>
        <w:t xml:space="preserve">J'ai l'intention d'interviewer chaque membre de la Sous-commission 2 lors de la réunion annuelle. Je serai disponible pendant la session du Comité d'application (COC) (15-16 novembre) ainsi que pendant les sessions du COC, du </w:t>
      </w:r>
      <w:r w:rsidRPr="005B07DD">
        <w:rPr>
          <w:rFonts w:ascii="Cambria" w:hAnsi="Cambria"/>
          <w:color w:val="000000"/>
          <w:sz w:val="20"/>
          <w:szCs w:val="20"/>
        </w:rPr>
        <w:t>Groupe de travail permanent pour l'amélioration des statistiques et des mesures de conservation de l'ICCAT (</w:t>
      </w:r>
      <w:r w:rsidRPr="005B07DD">
        <w:rPr>
          <w:rFonts w:ascii="Cambria" w:hAnsi="Cambria"/>
          <w:sz w:val="20"/>
          <w:szCs w:val="20"/>
        </w:rPr>
        <w:t xml:space="preserve">PWG) et du Comité permanent pour les finances et l'administration (STACFAD) ainsi que les pauses café et déjeuner pendant la réunion annuelle. Veuillez me contacter à </w:t>
      </w:r>
      <w:hyperlink r:id="rId8" w:history="1">
        <w:r w:rsidRPr="005B07DD">
          <w:rPr>
            <w:rFonts w:ascii="Cambria" w:hAnsi="Cambria"/>
            <w:sz w:val="20"/>
            <w:szCs w:val="20"/>
          </w:rPr>
          <w:t>shingo_ota810@maff.go.jp</w:t>
        </w:r>
      </w:hyperlink>
      <w:r w:rsidRPr="005B07DD">
        <w:rPr>
          <w:rFonts w:ascii="Cambria" w:hAnsi="Cambria"/>
          <w:sz w:val="20"/>
          <w:szCs w:val="20"/>
        </w:rPr>
        <w:t xml:space="preserve"> et indiquer le moment que vous préférez si vous voulez organiser une réunion avec moi. Veuillez noter que notre interprète français</w:t>
      </w:r>
      <w:r w:rsidR="007B4ABB">
        <w:rPr>
          <w:rFonts w:ascii="Cambria" w:hAnsi="Cambria"/>
          <w:sz w:val="20"/>
          <w:szCs w:val="20"/>
        </w:rPr>
        <w:t>(</w:t>
      </w:r>
      <w:r w:rsidRPr="005B07DD">
        <w:rPr>
          <w:rFonts w:ascii="Cambria" w:hAnsi="Cambria"/>
          <w:sz w:val="20"/>
          <w:szCs w:val="20"/>
        </w:rPr>
        <w:t>e</w:t>
      </w:r>
      <w:r w:rsidR="007B4ABB">
        <w:rPr>
          <w:rFonts w:ascii="Cambria" w:hAnsi="Cambria"/>
          <w:sz w:val="20"/>
          <w:szCs w:val="20"/>
        </w:rPr>
        <w:t>)</w:t>
      </w:r>
      <w:r w:rsidRPr="005B07DD">
        <w:rPr>
          <w:rFonts w:ascii="Cambria" w:hAnsi="Cambria"/>
          <w:sz w:val="20"/>
          <w:szCs w:val="20"/>
        </w:rPr>
        <w:t xml:space="preserve"> ne sera disponible qu'à partir du lundi 17 novembre. </w:t>
      </w:r>
    </w:p>
    <w:p w14:paraId="786A6508" w14:textId="77777777" w:rsidR="003F144B" w:rsidRPr="005B07DD" w:rsidRDefault="003F144B" w:rsidP="00855DFE">
      <w:pPr>
        <w:tabs>
          <w:tab w:val="left" w:pos="426"/>
        </w:tabs>
        <w:spacing w:line="240" w:lineRule="exact"/>
        <w:ind w:left="426" w:hanging="426"/>
        <w:rPr>
          <w:rFonts w:ascii="Cambria" w:hAnsi="Cambria"/>
          <w:sz w:val="20"/>
          <w:szCs w:val="20"/>
        </w:rPr>
      </w:pPr>
    </w:p>
    <w:p w14:paraId="7689BB82" w14:textId="2051AD19" w:rsidR="00524A03" w:rsidRPr="005B07DD" w:rsidRDefault="00995BDB" w:rsidP="00855DFE">
      <w:pPr>
        <w:tabs>
          <w:tab w:val="left" w:pos="426"/>
        </w:tabs>
        <w:spacing w:line="240" w:lineRule="exact"/>
        <w:ind w:left="426" w:hanging="426"/>
        <w:rPr>
          <w:rFonts w:ascii="Cambria" w:hAnsi="Cambria"/>
          <w:sz w:val="20"/>
          <w:szCs w:val="20"/>
        </w:rPr>
      </w:pPr>
      <w:r w:rsidRPr="005B07DD">
        <w:rPr>
          <w:rFonts w:ascii="Cambria" w:hAnsi="Cambria"/>
          <w:sz w:val="20"/>
          <w:szCs w:val="20"/>
        </w:rPr>
        <w:t>Je me réjouis à la perspective de travailler avec vous à Séville.</w:t>
      </w:r>
    </w:p>
    <w:p w14:paraId="3301CDE8" w14:textId="77777777" w:rsidR="00524A03" w:rsidRPr="005B07DD" w:rsidRDefault="00524A03" w:rsidP="001E63AC">
      <w:pPr>
        <w:widowControl/>
        <w:spacing w:line="240" w:lineRule="exact"/>
        <w:jc w:val="left"/>
        <w:rPr>
          <w:rFonts w:ascii="Cambria" w:hAnsi="Cambria"/>
          <w:sz w:val="20"/>
          <w:szCs w:val="20"/>
        </w:rPr>
      </w:pPr>
      <w:r w:rsidRPr="005B07DD">
        <w:rPr>
          <w:rFonts w:ascii="Cambria" w:hAnsi="Cambria"/>
          <w:sz w:val="20"/>
          <w:szCs w:val="20"/>
        </w:rPr>
        <w:br w:type="page"/>
      </w:r>
    </w:p>
    <w:p w14:paraId="10894B66" w14:textId="77777777" w:rsidR="00B178D1" w:rsidRPr="005B07DD" w:rsidRDefault="00B178D1" w:rsidP="00B178D1">
      <w:pPr>
        <w:spacing w:line="240" w:lineRule="exact"/>
        <w:jc w:val="right"/>
        <w:rPr>
          <w:rFonts w:ascii="Cambria" w:hAnsi="Cambria"/>
          <w:b/>
          <w:bCs/>
          <w:sz w:val="20"/>
          <w:szCs w:val="20"/>
        </w:rPr>
      </w:pPr>
    </w:p>
    <w:p w14:paraId="761F6693" w14:textId="47ED96F8" w:rsidR="00205768" w:rsidRDefault="00141242" w:rsidP="00A24F31">
      <w:pPr>
        <w:spacing w:line="240" w:lineRule="exact"/>
        <w:jc w:val="center"/>
        <w:rPr>
          <w:rFonts w:ascii="Cambria" w:hAnsi="Cambria"/>
          <w:b/>
          <w:sz w:val="20"/>
          <w:szCs w:val="20"/>
        </w:rPr>
      </w:pPr>
      <w:r w:rsidRPr="005B07DD">
        <w:rPr>
          <w:rFonts w:ascii="Cambria" w:hAnsi="Cambria"/>
          <w:b/>
          <w:sz w:val="20"/>
          <w:szCs w:val="20"/>
        </w:rPr>
        <w:t>Projet de plan d’allocation pour le stock de thon rouge de l’Atlantique Est et de la Méditerranée</w:t>
      </w:r>
    </w:p>
    <w:p w14:paraId="4201BC41" w14:textId="77777777" w:rsidR="00D647F0" w:rsidRPr="005B07DD" w:rsidRDefault="00D647F0" w:rsidP="00D647F0">
      <w:pPr>
        <w:spacing w:line="240" w:lineRule="exact"/>
        <w:jc w:val="center"/>
        <w:rPr>
          <w:rFonts w:ascii="Cambria" w:hAnsi="Cambria"/>
          <w:i/>
          <w:iCs/>
          <w:sz w:val="20"/>
          <w:szCs w:val="20"/>
        </w:rPr>
      </w:pPr>
      <w:r w:rsidRPr="005B07DD">
        <w:rPr>
          <w:rFonts w:ascii="Cambria" w:hAnsi="Cambria"/>
          <w:i/>
          <w:sz w:val="20"/>
          <w:szCs w:val="20"/>
        </w:rPr>
        <w:t>(Soumis par le Président de la Sous-commission 2)</w:t>
      </w:r>
    </w:p>
    <w:p w14:paraId="7AD11439" w14:textId="77777777" w:rsidR="00D647F0" w:rsidRPr="005B07DD" w:rsidRDefault="00D647F0" w:rsidP="00A24F31">
      <w:pPr>
        <w:spacing w:line="240" w:lineRule="exact"/>
        <w:jc w:val="center"/>
        <w:rPr>
          <w:rFonts w:ascii="Cambria" w:hAnsi="Cambria"/>
          <w:sz w:val="20"/>
          <w:szCs w:val="20"/>
        </w:rPr>
      </w:pPr>
    </w:p>
    <w:p w14:paraId="6A5BE4FD" w14:textId="626CA216" w:rsidR="008635B6" w:rsidRPr="005B07DD" w:rsidRDefault="008635B6" w:rsidP="00A24F31">
      <w:pPr>
        <w:spacing w:line="240" w:lineRule="exact"/>
        <w:rPr>
          <w:rFonts w:ascii="Cambria" w:hAnsi="Cambria"/>
          <w:sz w:val="20"/>
          <w:szCs w:val="20"/>
        </w:rPr>
      </w:pPr>
    </w:p>
    <w:p w14:paraId="111B5286" w14:textId="62C9E35D" w:rsidR="005B4D83" w:rsidRPr="005B07DD" w:rsidRDefault="00160896" w:rsidP="00855DFE">
      <w:pPr>
        <w:pStyle w:val="ListParagraph"/>
        <w:numPr>
          <w:ilvl w:val="0"/>
          <w:numId w:val="1"/>
        </w:numPr>
        <w:tabs>
          <w:tab w:val="left" w:pos="426"/>
        </w:tabs>
        <w:spacing w:line="240" w:lineRule="exact"/>
        <w:ind w:left="426" w:hanging="426"/>
        <w:rPr>
          <w:rFonts w:ascii="Cambria" w:hAnsi="Cambria"/>
          <w:sz w:val="20"/>
          <w:szCs w:val="20"/>
        </w:rPr>
      </w:pPr>
      <w:r w:rsidRPr="005B07DD">
        <w:rPr>
          <w:rFonts w:ascii="Cambria" w:hAnsi="Cambria"/>
          <w:sz w:val="20"/>
          <w:szCs w:val="20"/>
        </w:rPr>
        <w:t>Le plan est basé sur les idées suivantes :</w:t>
      </w:r>
    </w:p>
    <w:p w14:paraId="0A726CF0" w14:textId="77777777" w:rsidR="00855DFE" w:rsidRPr="005B07DD" w:rsidRDefault="00855DFE" w:rsidP="00855DFE">
      <w:pPr>
        <w:pStyle w:val="ListParagraph"/>
        <w:tabs>
          <w:tab w:val="left" w:pos="426"/>
        </w:tabs>
        <w:spacing w:line="240" w:lineRule="exact"/>
        <w:ind w:left="792"/>
        <w:rPr>
          <w:rFonts w:ascii="Cambria" w:hAnsi="Cambria"/>
          <w:sz w:val="20"/>
          <w:szCs w:val="20"/>
        </w:rPr>
      </w:pPr>
    </w:p>
    <w:p w14:paraId="74CDF7AB" w14:textId="4B753452" w:rsidR="00165428" w:rsidRPr="005B07DD" w:rsidRDefault="005B4D83" w:rsidP="00855DFE">
      <w:pPr>
        <w:spacing w:line="240" w:lineRule="exact"/>
        <w:ind w:firstLine="426"/>
        <w:rPr>
          <w:rFonts w:ascii="Cambria" w:hAnsi="Cambria"/>
          <w:sz w:val="20"/>
          <w:szCs w:val="20"/>
        </w:rPr>
      </w:pPr>
      <w:r w:rsidRPr="005B07DD">
        <w:rPr>
          <w:rFonts w:ascii="Cambria" w:hAnsi="Cambria"/>
          <w:sz w:val="20"/>
          <w:szCs w:val="20"/>
        </w:rPr>
        <w:t xml:space="preserve">(1) Les allocations prévues par la </w:t>
      </w:r>
      <w:hyperlink r:id="rId9" w:history="1">
        <w:r w:rsidR="00D86CAA" w:rsidRPr="005B07DD">
          <w:rPr>
            <w:rStyle w:val="Hyperlink"/>
            <w:rFonts w:ascii="Cambria" w:hAnsi="Cambria"/>
            <w:sz w:val="20"/>
            <w:szCs w:val="20"/>
            <w:u w:val="none"/>
          </w:rPr>
          <w:t>Rec. 22-08</w:t>
        </w:r>
      </w:hyperlink>
      <w:r w:rsidR="00353D60">
        <w:rPr>
          <w:rFonts w:ascii="Cambria" w:hAnsi="Cambria"/>
          <w:sz w:val="20"/>
          <w:szCs w:val="20"/>
        </w:rPr>
        <w:t xml:space="preserve"> </w:t>
      </w:r>
      <w:r w:rsidRPr="005B07DD">
        <w:rPr>
          <w:rFonts w:ascii="Cambria" w:hAnsi="Cambria"/>
          <w:sz w:val="20"/>
          <w:szCs w:val="20"/>
        </w:rPr>
        <w:t>sont conservées comme point de départ.</w:t>
      </w:r>
    </w:p>
    <w:p w14:paraId="6A569FEE" w14:textId="331CF137" w:rsidR="00A92E32" w:rsidRPr="005B07DD" w:rsidRDefault="00165428" w:rsidP="00855DFE">
      <w:pPr>
        <w:spacing w:line="240" w:lineRule="exact"/>
        <w:ind w:firstLine="426"/>
        <w:rPr>
          <w:rFonts w:ascii="Cambria" w:hAnsi="Cambria"/>
          <w:sz w:val="20"/>
          <w:szCs w:val="20"/>
        </w:rPr>
      </w:pPr>
      <w:r w:rsidRPr="005B07DD">
        <w:rPr>
          <w:rFonts w:ascii="Cambria" w:hAnsi="Cambria"/>
          <w:sz w:val="20"/>
          <w:szCs w:val="20"/>
        </w:rPr>
        <w:t xml:space="preserve">(2) La partie accrue du TAC est divisée en : </w:t>
      </w:r>
    </w:p>
    <w:p w14:paraId="4575B432" w14:textId="77777777" w:rsidR="00855DFE" w:rsidRPr="005B07DD" w:rsidRDefault="00855DFE" w:rsidP="00855DFE">
      <w:pPr>
        <w:spacing w:line="240" w:lineRule="exact"/>
        <w:ind w:firstLine="426"/>
        <w:rPr>
          <w:rFonts w:ascii="Cambria" w:hAnsi="Cambria"/>
          <w:sz w:val="20"/>
          <w:szCs w:val="20"/>
        </w:rPr>
      </w:pPr>
    </w:p>
    <w:p w14:paraId="2090F2D3" w14:textId="5FFBB0A9" w:rsidR="00165428" w:rsidRPr="005B07DD" w:rsidRDefault="00165428" w:rsidP="007C30BB">
      <w:pPr>
        <w:pStyle w:val="ListParagraph"/>
        <w:numPr>
          <w:ilvl w:val="0"/>
          <w:numId w:val="2"/>
        </w:numPr>
        <w:spacing w:line="240" w:lineRule="exact"/>
        <w:rPr>
          <w:rFonts w:ascii="Cambria" w:hAnsi="Cambria"/>
          <w:sz w:val="20"/>
          <w:szCs w:val="20"/>
        </w:rPr>
      </w:pPr>
      <w:proofErr w:type="gramStart"/>
      <w:r w:rsidRPr="005B07DD">
        <w:rPr>
          <w:rFonts w:ascii="Cambria" w:hAnsi="Cambria"/>
          <w:sz w:val="20"/>
          <w:szCs w:val="20"/>
        </w:rPr>
        <w:t>allocation</w:t>
      </w:r>
      <w:proofErr w:type="gramEnd"/>
      <w:r w:rsidRPr="005B07DD">
        <w:rPr>
          <w:rFonts w:ascii="Cambria" w:hAnsi="Cambria"/>
          <w:sz w:val="20"/>
          <w:szCs w:val="20"/>
        </w:rPr>
        <w:t xml:space="preserve"> pour les nouveaux participants (CPC demandant des quotas)  </w:t>
      </w:r>
    </w:p>
    <w:p w14:paraId="4B99A27F" w14:textId="77777777" w:rsidR="007C30BB" w:rsidRPr="005B07DD" w:rsidRDefault="007C30BB" w:rsidP="007C30BB">
      <w:pPr>
        <w:pStyle w:val="ListParagraph"/>
        <w:spacing w:line="240" w:lineRule="exact"/>
        <w:ind w:left="1200"/>
        <w:rPr>
          <w:rFonts w:ascii="Cambria" w:hAnsi="Cambria"/>
          <w:sz w:val="20"/>
          <w:szCs w:val="20"/>
        </w:rPr>
      </w:pPr>
    </w:p>
    <w:p w14:paraId="6747AA2A" w14:textId="7B1E8756" w:rsidR="00A92E32" w:rsidRPr="005B07DD" w:rsidRDefault="00165428" w:rsidP="00AE16C7">
      <w:pPr>
        <w:pStyle w:val="ListParagraph"/>
        <w:numPr>
          <w:ilvl w:val="0"/>
          <w:numId w:val="2"/>
        </w:numPr>
        <w:spacing w:line="240" w:lineRule="exact"/>
        <w:rPr>
          <w:rFonts w:ascii="Cambria" w:hAnsi="Cambria"/>
          <w:sz w:val="20"/>
          <w:szCs w:val="20"/>
        </w:rPr>
      </w:pPr>
      <w:proofErr w:type="gramStart"/>
      <w:r w:rsidRPr="005B07DD">
        <w:rPr>
          <w:rFonts w:ascii="Cambria" w:hAnsi="Cambria"/>
          <w:sz w:val="20"/>
          <w:szCs w:val="20"/>
        </w:rPr>
        <w:t>augmentation</w:t>
      </w:r>
      <w:proofErr w:type="gramEnd"/>
      <w:r w:rsidRPr="005B07DD">
        <w:rPr>
          <w:rFonts w:ascii="Cambria" w:hAnsi="Cambria"/>
          <w:sz w:val="20"/>
          <w:szCs w:val="20"/>
        </w:rPr>
        <w:t xml:space="preserve"> supplémentaire basée sur les idées spécifiques énoncées ci-dessous :</w:t>
      </w:r>
    </w:p>
    <w:p w14:paraId="067B73DB" w14:textId="43139123" w:rsidR="00165428" w:rsidRPr="005B07DD" w:rsidRDefault="00165428" w:rsidP="00A24F31">
      <w:pPr>
        <w:spacing w:line="240" w:lineRule="exact"/>
        <w:ind w:leftChars="202" w:left="424" w:firstLine="840"/>
        <w:rPr>
          <w:rFonts w:ascii="Cambria" w:hAnsi="Cambria"/>
          <w:sz w:val="20"/>
          <w:szCs w:val="20"/>
        </w:rPr>
      </w:pPr>
      <w:r w:rsidRPr="005B07DD">
        <w:rPr>
          <w:rFonts w:ascii="Cambria" w:hAnsi="Cambria"/>
          <w:sz w:val="20"/>
          <w:szCs w:val="20"/>
        </w:rPr>
        <w:t xml:space="preserve">(i) les détenteurs de petits quotas ; </w:t>
      </w:r>
    </w:p>
    <w:p w14:paraId="49184E48" w14:textId="60B3C939" w:rsidR="00165428" w:rsidRPr="005B07DD" w:rsidRDefault="00165428" w:rsidP="00A24F31">
      <w:pPr>
        <w:spacing w:line="240" w:lineRule="exact"/>
        <w:ind w:leftChars="202" w:left="424" w:firstLine="840"/>
        <w:rPr>
          <w:rFonts w:ascii="Cambria" w:hAnsi="Cambria"/>
          <w:sz w:val="20"/>
          <w:szCs w:val="20"/>
        </w:rPr>
      </w:pPr>
      <w:r w:rsidRPr="005B07DD">
        <w:rPr>
          <w:rFonts w:ascii="Cambria" w:hAnsi="Cambria"/>
          <w:sz w:val="20"/>
          <w:szCs w:val="20"/>
        </w:rPr>
        <w:t xml:space="preserve">(ii) l’état de développement ; </w:t>
      </w:r>
    </w:p>
    <w:p w14:paraId="44800310" w14:textId="13829120" w:rsidR="00165428" w:rsidRPr="005B07DD" w:rsidRDefault="00165428" w:rsidP="00D90C58">
      <w:pPr>
        <w:tabs>
          <w:tab w:val="left" w:pos="1701"/>
        </w:tabs>
        <w:spacing w:line="240" w:lineRule="exact"/>
        <w:ind w:leftChars="202" w:left="424" w:firstLine="840"/>
        <w:rPr>
          <w:rFonts w:ascii="Cambria" w:hAnsi="Cambria"/>
          <w:sz w:val="20"/>
          <w:szCs w:val="20"/>
        </w:rPr>
      </w:pPr>
      <w:r w:rsidRPr="005B07DD">
        <w:rPr>
          <w:rFonts w:ascii="Cambria" w:hAnsi="Cambria"/>
          <w:sz w:val="20"/>
          <w:szCs w:val="20"/>
        </w:rPr>
        <w:t xml:space="preserve">(iii) l’état des pays côtiers ; </w:t>
      </w:r>
    </w:p>
    <w:p w14:paraId="7E024DA8" w14:textId="7B6030B6" w:rsidR="00165428" w:rsidRPr="005B07DD" w:rsidRDefault="00165428" w:rsidP="00A24F31">
      <w:pPr>
        <w:spacing w:line="240" w:lineRule="exact"/>
        <w:ind w:leftChars="202" w:left="424" w:firstLine="840"/>
        <w:rPr>
          <w:rFonts w:ascii="Cambria" w:hAnsi="Cambria"/>
          <w:sz w:val="20"/>
          <w:szCs w:val="20"/>
        </w:rPr>
      </w:pPr>
      <w:r w:rsidRPr="005B07DD">
        <w:rPr>
          <w:rFonts w:ascii="Cambria" w:hAnsi="Cambria"/>
          <w:sz w:val="20"/>
          <w:szCs w:val="20"/>
        </w:rPr>
        <w:t xml:space="preserve">(iv) la fourniture d'indices de MP ; </w:t>
      </w:r>
    </w:p>
    <w:p w14:paraId="396A25DC" w14:textId="5D5E8DEC" w:rsidR="00165428" w:rsidRPr="005B07DD" w:rsidRDefault="00165428" w:rsidP="00A24F31">
      <w:pPr>
        <w:spacing w:line="240" w:lineRule="exact"/>
        <w:ind w:leftChars="202" w:left="424" w:firstLine="840"/>
        <w:rPr>
          <w:rFonts w:ascii="Cambria" w:hAnsi="Cambria"/>
          <w:sz w:val="20"/>
          <w:szCs w:val="20"/>
        </w:rPr>
      </w:pPr>
      <w:r w:rsidRPr="005B07DD">
        <w:rPr>
          <w:rFonts w:ascii="Cambria" w:hAnsi="Cambria"/>
          <w:sz w:val="20"/>
          <w:szCs w:val="20"/>
        </w:rPr>
        <w:t>(v) les pêcheries de petits métiers ; et</w:t>
      </w:r>
    </w:p>
    <w:p w14:paraId="383B3E44" w14:textId="758A178F" w:rsidR="00165428" w:rsidRPr="005B07DD" w:rsidRDefault="00165428" w:rsidP="00A24F31">
      <w:pPr>
        <w:spacing w:line="240" w:lineRule="exact"/>
        <w:ind w:leftChars="202" w:left="424" w:firstLine="840"/>
        <w:rPr>
          <w:rFonts w:ascii="Cambria" w:hAnsi="Cambria"/>
          <w:sz w:val="20"/>
          <w:szCs w:val="20"/>
        </w:rPr>
      </w:pPr>
      <w:r w:rsidRPr="005B07DD">
        <w:rPr>
          <w:rFonts w:ascii="Cambria" w:hAnsi="Cambria"/>
          <w:sz w:val="20"/>
          <w:szCs w:val="20"/>
        </w:rPr>
        <w:t>(vi) l'utilisation réelle de l'allocation en 2023 et 2024</w:t>
      </w:r>
      <w:r w:rsidRPr="005B07DD">
        <w:rPr>
          <w:rStyle w:val="FootnoteReference"/>
          <w:rFonts w:ascii="Cambria" w:hAnsi="Cambria"/>
          <w:sz w:val="20"/>
          <w:szCs w:val="20"/>
        </w:rPr>
        <w:footnoteReference w:id="1"/>
      </w:r>
      <w:r w:rsidRPr="005B07DD">
        <w:rPr>
          <w:rFonts w:ascii="Cambria" w:hAnsi="Cambria"/>
          <w:sz w:val="20"/>
          <w:szCs w:val="20"/>
        </w:rPr>
        <w:t xml:space="preserve">.  </w:t>
      </w:r>
    </w:p>
    <w:p w14:paraId="1941FE5A" w14:textId="77777777" w:rsidR="007C30BB" w:rsidRPr="005B07DD" w:rsidRDefault="007C30BB" w:rsidP="00A24F31">
      <w:pPr>
        <w:spacing w:line="240" w:lineRule="exact"/>
        <w:ind w:leftChars="202" w:left="424" w:firstLine="840"/>
        <w:rPr>
          <w:rFonts w:ascii="Cambria" w:hAnsi="Cambria"/>
          <w:sz w:val="20"/>
          <w:szCs w:val="20"/>
        </w:rPr>
      </w:pPr>
    </w:p>
    <w:p w14:paraId="5ED6A496" w14:textId="33F6B3FF" w:rsidR="00A92E32" w:rsidRPr="005B07DD" w:rsidRDefault="003C520B" w:rsidP="00A24F31">
      <w:pPr>
        <w:spacing w:line="240" w:lineRule="exact"/>
        <w:ind w:firstLine="840"/>
        <w:rPr>
          <w:rFonts w:ascii="Cambria" w:hAnsi="Cambria"/>
          <w:sz w:val="20"/>
          <w:szCs w:val="20"/>
        </w:rPr>
      </w:pPr>
      <w:r w:rsidRPr="005B07DD">
        <w:rPr>
          <w:rFonts w:ascii="Cambria" w:hAnsi="Cambria"/>
          <w:sz w:val="20"/>
          <w:szCs w:val="20"/>
        </w:rPr>
        <w:t xml:space="preserve">(c) l’augmentation proportionnelle ; </w:t>
      </w:r>
    </w:p>
    <w:p w14:paraId="683DCE6F" w14:textId="77777777" w:rsidR="007C30BB" w:rsidRPr="005B07DD" w:rsidRDefault="007C30BB" w:rsidP="00A24F31">
      <w:pPr>
        <w:spacing w:line="240" w:lineRule="exact"/>
        <w:ind w:firstLine="840"/>
        <w:rPr>
          <w:rFonts w:ascii="Cambria" w:hAnsi="Cambria"/>
          <w:sz w:val="20"/>
          <w:szCs w:val="20"/>
        </w:rPr>
      </w:pPr>
    </w:p>
    <w:p w14:paraId="59F79A1B" w14:textId="6403309F" w:rsidR="003C520B" w:rsidRPr="005B07DD" w:rsidRDefault="003C520B" w:rsidP="00A24F31">
      <w:pPr>
        <w:spacing w:line="240" w:lineRule="exact"/>
        <w:ind w:firstLine="840"/>
        <w:rPr>
          <w:rFonts w:ascii="Cambria" w:hAnsi="Cambria"/>
          <w:sz w:val="20"/>
          <w:szCs w:val="20"/>
        </w:rPr>
      </w:pPr>
      <w:r w:rsidRPr="005B07DD">
        <w:rPr>
          <w:rFonts w:ascii="Cambria" w:hAnsi="Cambria"/>
          <w:sz w:val="20"/>
          <w:szCs w:val="20"/>
        </w:rPr>
        <w:t xml:space="preserve">(d) la réserve ; et </w:t>
      </w:r>
    </w:p>
    <w:p w14:paraId="06CA0201" w14:textId="77777777" w:rsidR="007C30BB" w:rsidRPr="005B07DD" w:rsidRDefault="007C30BB" w:rsidP="00A24F31">
      <w:pPr>
        <w:spacing w:line="240" w:lineRule="exact"/>
        <w:ind w:firstLine="840"/>
        <w:rPr>
          <w:rFonts w:ascii="Cambria" w:hAnsi="Cambria"/>
          <w:sz w:val="20"/>
          <w:szCs w:val="20"/>
        </w:rPr>
      </w:pPr>
    </w:p>
    <w:p w14:paraId="695F8261" w14:textId="584C6699" w:rsidR="00165428" w:rsidRPr="005B07DD" w:rsidRDefault="00165428" w:rsidP="00A24F31">
      <w:pPr>
        <w:spacing w:line="240" w:lineRule="exact"/>
        <w:ind w:firstLine="840"/>
        <w:rPr>
          <w:rFonts w:ascii="Cambria" w:hAnsi="Cambria"/>
          <w:sz w:val="20"/>
          <w:szCs w:val="20"/>
        </w:rPr>
      </w:pPr>
      <w:r w:rsidRPr="005B07DD">
        <w:rPr>
          <w:rFonts w:ascii="Cambria" w:hAnsi="Cambria"/>
          <w:sz w:val="20"/>
          <w:szCs w:val="20"/>
        </w:rPr>
        <w:t>(e) le quota de recherche.</w:t>
      </w:r>
    </w:p>
    <w:p w14:paraId="0608D2BA" w14:textId="77777777" w:rsidR="00165428" w:rsidRPr="005B07DD" w:rsidRDefault="00165428" w:rsidP="00A24F31">
      <w:pPr>
        <w:spacing w:line="240" w:lineRule="exact"/>
        <w:ind w:firstLine="840"/>
        <w:rPr>
          <w:rFonts w:ascii="Cambria" w:hAnsi="Cambria"/>
          <w:sz w:val="20"/>
          <w:szCs w:val="20"/>
        </w:rPr>
      </w:pPr>
    </w:p>
    <w:p w14:paraId="60CC0DCB" w14:textId="49BE3254" w:rsidR="00812D8E" w:rsidRPr="005B07DD" w:rsidRDefault="00812D8E" w:rsidP="00855DFE">
      <w:pPr>
        <w:pStyle w:val="ListParagraph"/>
        <w:numPr>
          <w:ilvl w:val="0"/>
          <w:numId w:val="1"/>
        </w:numPr>
        <w:tabs>
          <w:tab w:val="left" w:pos="426"/>
        </w:tabs>
        <w:spacing w:line="240" w:lineRule="exact"/>
        <w:ind w:left="426" w:hanging="426"/>
        <w:rPr>
          <w:rFonts w:ascii="Cambria" w:hAnsi="Cambria"/>
          <w:sz w:val="20"/>
          <w:szCs w:val="20"/>
        </w:rPr>
      </w:pPr>
      <w:r w:rsidRPr="005B07DD">
        <w:rPr>
          <w:rFonts w:ascii="Cambria" w:hAnsi="Cambria"/>
          <w:sz w:val="20"/>
          <w:szCs w:val="20"/>
        </w:rPr>
        <w:t>Le plan a été élaboré selon les étapes suivantes :</w:t>
      </w:r>
    </w:p>
    <w:p w14:paraId="58C46BE7" w14:textId="77777777" w:rsidR="00855DFE" w:rsidRPr="005B07DD" w:rsidRDefault="00855DFE" w:rsidP="00855DFE">
      <w:pPr>
        <w:pStyle w:val="ListParagraph"/>
        <w:tabs>
          <w:tab w:val="left" w:pos="426"/>
        </w:tabs>
        <w:spacing w:line="240" w:lineRule="exact"/>
        <w:ind w:left="426"/>
        <w:rPr>
          <w:rFonts w:ascii="Cambria" w:hAnsi="Cambria"/>
          <w:sz w:val="20"/>
          <w:szCs w:val="20"/>
        </w:rPr>
      </w:pPr>
    </w:p>
    <w:p w14:paraId="2C509029" w14:textId="7610D0B1" w:rsidR="00812D8E" w:rsidRPr="005B07DD" w:rsidRDefault="00812D8E" w:rsidP="007C30BB">
      <w:pPr>
        <w:pStyle w:val="ListParagraph"/>
        <w:numPr>
          <w:ilvl w:val="0"/>
          <w:numId w:val="3"/>
        </w:numPr>
        <w:spacing w:line="240" w:lineRule="exact"/>
        <w:rPr>
          <w:rFonts w:ascii="Cambria" w:hAnsi="Cambria"/>
          <w:sz w:val="20"/>
          <w:szCs w:val="20"/>
        </w:rPr>
      </w:pPr>
      <w:r w:rsidRPr="005B07DD">
        <w:rPr>
          <w:rFonts w:ascii="Cambria" w:hAnsi="Cambria"/>
          <w:sz w:val="20"/>
          <w:szCs w:val="20"/>
        </w:rPr>
        <w:t>Le TAC est augmenté de X t.</w:t>
      </w:r>
    </w:p>
    <w:p w14:paraId="1244D7A0" w14:textId="77777777" w:rsidR="007C30BB" w:rsidRPr="005B07DD" w:rsidRDefault="007C30BB" w:rsidP="007C30BB">
      <w:pPr>
        <w:pStyle w:val="ListParagraph"/>
        <w:spacing w:line="240" w:lineRule="exact"/>
        <w:ind w:left="834"/>
        <w:rPr>
          <w:rFonts w:ascii="Cambria" w:hAnsi="Cambria"/>
          <w:sz w:val="20"/>
          <w:szCs w:val="20"/>
        </w:rPr>
      </w:pPr>
    </w:p>
    <w:p w14:paraId="49056F4C" w14:textId="2FFF3EDB" w:rsidR="00141242" w:rsidRPr="005B07DD" w:rsidRDefault="00812D8E" w:rsidP="007C30BB">
      <w:pPr>
        <w:pStyle w:val="ListParagraph"/>
        <w:numPr>
          <w:ilvl w:val="0"/>
          <w:numId w:val="3"/>
        </w:numPr>
        <w:spacing w:line="240" w:lineRule="exact"/>
        <w:rPr>
          <w:rFonts w:ascii="Cambria" w:hAnsi="Cambria"/>
          <w:sz w:val="20"/>
          <w:szCs w:val="20"/>
        </w:rPr>
      </w:pPr>
      <w:r w:rsidRPr="005B07DD">
        <w:rPr>
          <w:rFonts w:ascii="Cambria" w:hAnsi="Cambria"/>
          <w:sz w:val="20"/>
          <w:szCs w:val="20"/>
        </w:rPr>
        <w:t>Les détenteurs de quotas existants ont été divisés en deux groupes : les détenteurs de grands quotas (plus de 1.000 t) et les détenteurs de petits quotas (pas plus de 1.000 t).</w:t>
      </w:r>
    </w:p>
    <w:p w14:paraId="1DAC559E" w14:textId="77777777" w:rsidR="007C30BB" w:rsidRPr="005B07DD" w:rsidRDefault="007C30BB" w:rsidP="007C30BB">
      <w:pPr>
        <w:pStyle w:val="ListParagraph"/>
        <w:spacing w:line="240" w:lineRule="exact"/>
        <w:ind w:left="834"/>
        <w:rPr>
          <w:rFonts w:ascii="Cambria" w:hAnsi="Cambria"/>
          <w:sz w:val="20"/>
          <w:szCs w:val="20"/>
        </w:rPr>
      </w:pPr>
    </w:p>
    <w:p w14:paraId="5E41125B" w14:textId="316E519E" w:rsidR="00812D8E" w:rsidRPr="005B07DD" w:rsidRDefault="00141242" w:rsidP="007C30BB">
      <w:pPr>
        <w:pStyle w:val="ListParagraph"/>
        <w:numPr>
          <w:ilvl w:val="0"/>
          <w:numId w:val="3"/>
        </w:numPr>
        <w:spacing w:line="240" w:lineRule="exact"/>
        <w:rPr>
          <w:rFonts w:ascii="Cambria" w:hAnsi="Cambria"/>
          <w:sz w:val="20"/>
          <w:szCs w:val="20"/>
        </w:rPr>
      </w:pPr>
      <w:r w:rsidRPr="005B07DD">
        <w:rPr>
          <w:rFonts w:ascii="Cambria" w:hAnsi="Cambria"/>
          <w:sz w:val="20"/>
          <w:szCs w:val="20"/>
        </w:rPr>
        <w:t xml:space="preserve">De nouveaux participants ont été ajoutés à la liste des CPC et </w:t>
      </w:r>
      <w:r w:rsidRPr="00BC2DE2">
        <w:rPr>
          <w:rFonts w:ascii="Cambria" w:hAnsi="Cambria"/>
          <w:sz w:val="20"/>
          <w:szCs w:val="20"/>
        </w:rPr>
        <w:t>chaque nouve</w:t>
      </w:r>
      <w:r w:rsidR="00A10008" w:rsidRPr="00BC2DE2">
        <w:rPr>
          <w:rFonts w:ascii="Cambria" w:hAnsi="Cambria"/>
          <w:sz w:val="20"/>
          <w:szCs w:val="20"/>
        </w:rPr>
        <w:t>au</w:t>
      </w:r>
      <w:r w:rsidRPr="00BC2DE2">
        <w:rPr>
          <w:rFonts w:ascii="Cambria" w:hAnsi="Cambria"/>
          <w:sz w:val="20"/>
          <w:szCs w:val="20"/>
        </w:rPr>
        <w:t xml:space="preserve"> participant </w:t>
      </w:r>
      <w:r w:rsidRPr="005B07DD">
        <w:rPr>
          <w:rFonts w:ascii="Cambria" w:hAnsi="Cambria"/>
          <w:sz w:val="20"/>
          <w:szCs w:val="20"/>
        </w:rPr>
        <w:t>reçoit 50 t, à l'instar de la Namibie.</w:t>
      </w:r>
    </w:p>
    <w:p w14:paraId="2439645D" w14:textId="77777777" w:rsidR="007C30BB" w:rsidRPr="005B07DD" w:rsidRDefault="007C30BB" w:rsidP="007C30BB">
      <w:pPr>
        <w:pStyle w:val="ListParagraph"/>
        <w:spacing w:line="240" w:lineRule="exact"/>
        <w:ind w:left="834"/>
        <w:rPr>
          <w:rFonts w:ascii="Cambria" w:hAnsi="Cambria"/>
          <w:sz w:val="20"/>
          <w:szCs w:val="20"/>
        </w:rPr>
      </w:pPr>
    </w:p>
    <w:p w14:paraId="129EF07A" w14:textId="33FB4F8C" w:rsidR="00812D8E" w:rsidRPr="005B07DD" w:rsidRDefault="007E562A" w:rsidP="007C30BB">
      <w:pPr>
        <w:pStyle w:val="ListParagraph"/>
        <w:numPr>
          <w:ilvl w:val="0"/>
          <w:numId w:val="3"/>
        </w:numPr>
        <w:spacing w:line="240" w:lineRule="exact"/>
        <w:rPr>
          <w:rFonts w:ascii="Cambria" w:hAnsi="Cambria"/>
          <w:sz w:val="20"/>
          <w:szCs w:val="20"/>
        </w:rPr>
      </w:pPr>
      <w:r w:rsidRPr="005B07DD">
        <w:rPr>
          <w:rFonts w:ascii="Cambria" w:hAnsi="Cambria"/>
          <w:sz w:val="20"/>
          <w:szCs w:val="20"/>
        </w:rPr>
        <w:t xml:space="preserve">Chaque détenteur de petit quota reçoit un certain montant selon une méthode de pondération inversée (les détenteurs plus petits reçoivent des chiffres plus grands). </w:t>
      </w:r>
    </w:p>
    <w:p w14:paraId="59C4E7AB" w14:textId="77777777" w:rsidR="007C30BB" w:rsidRPr="005B07DD" w:rsidRDefault="007C30BB" w:rsidP="00855DFE">
      <w:pPr>
        <w:spacing w:line="240" w:lineRule="exact"/>
        <w:ind w:left="834" w:hanging="408"/>
        <w:rPr>
          <w:rFonts w:ascii="Cambria" w:hAnsi="Cambria"/>
          <w:sz w:val="20"/>
          <w:szCs w:val="20"/>
        </w:rPr>
      </w:pPr>
    </w:p>
    <w:p w14:paraId="4047555E" w14:textId="1298A581" w:rsidR="005B4D83" w:rsidRPr="005B07DD" w:rsidRDefault="007E562A" w:rsidP="007C30BB">
      <w:pPr>
        <w:pStyle w:val="ListParagraph"/>
        <w:numPr>
          <w:ilvl w:val="0"/>
          <w:numId w:val="3"/>
        </w:numPr>
        <w:spacing w:line="240" w:lineRule="exact"/>
        <w:rPr>
          <w:rFonts w:ascii="Cambria" w:hAnsi="Cambria"/>
          <w:sz w:val="20"/>
          <w:szCs w:val="20"/>
        </w:rPr>
      </w:pPr>
      <w:r w:rsidRPr="005B07DD">
        <w:rPr>
          <w:rFonts w:ascii="Cambria" w:hAnsi="Cambria"/>
          <w:sz w:val="20"/>
          <w:szCs w:val="20"/>
        </w:rPr>
        <w:t>Chaque CPC en développement reçoit un montant supplémentaire.</w:t>
      </w:r>
    </w:p>
    <w:p w14:paraId="0EB34194" w14:textId="77777777" w:rsidR="007C30BB" w:rsidRPr="005B07DD" w:rsidRDefault="007C30BB" w:rsidP="00855DFE">
      <w:pPr>
        <w:spacing w:line="240" w:lineRule="exact"/>
        <w:ind w:left="834" w:hanging="408"/>
        <w:rPr>
          <w:rFonts w:ascii="Cambria" w:hAnsi="Cambria"/>
          <w:sz w:val="20"/>
          <w:szCs w:val="20"/>
        </w:rPr>
      </w:pPr>
    </w:p>
    <w:p w14:paraId="36DB7F95" w14:textId="57B5640C" w:rsidR="00CE1CAA" w:rsidRPr="005B07DD" w:rsidRDefault="00605EDD" w:rsidP="007C30BB">
      <w:pPr>
        <w:pStyle w:val="ListParagraph"/>
        <w:numPr>
          <w:ilvl w:val="0"/>
          <w:numId w:val="3"/>
        </w:numPr>
        <w:spacing w:line="240" w:lineRule="exact"/>
        <w:rPr>
          <w:rFonts w:ascii="Cambria" w:hAnsi="Cambria"/>
          <w:sz w:val="20"/>
          <w:szCs w:val="20"/>
        </w:rPr>
      </w:pPr>
      <w:r w:rsidRPr="005B07DD">
        <w:rPr>
          <w:rFonts w:ascii="Cambria" w:hAnsi="Cambria"/>
          <w:sz w:val="20"/>
          <w:szCs w:val="20"/>
        </w:rPr>
        <w:t>Chaque CPC côtière reçoit un montant supplémentaire. Une CPC côtière où le thon rouge ne migre pas dans sa zone économique exclusive (ZEE) n'en bénéficie pas.</w:t>
      </w:r>
    </w:p>
    <w:p w14:paraId="3BC3DAD0" w14:textId="77777777" w:rsidR="007C30BB" w:rsidRPr="005B07DD" w:rsidRDefault="007C30BB" w:rsidP="00855DFE">
      <w:pPr>
        <w:spacing w:line="240" w:lineRule="exact"/>
        <w:ind w:left="834" w:hanging="408"/>
        <w:rPr>
          <w:rFonts w:ascii="Cambria" w:hAnsi="Cambria"/>
          <w:sz w:val="20"/>
          <w:szCs w:val="20"/>
        </w:rPr>
      </w:pPr>
    </w:p>
    <w:p w14:paraId="54BB5F8E" w14:textId="1F2AC89F" w:rsidR="00CE1CAA" w:rsidRPr="005B07DD" w:rsidRDefault="00C3632B" w:rsidP="007C30BB">
      <w:pPr>
        <w:pStyle w:val="ListParagraph"/>
        <w:numPr>
          <w:ilvl w:val="0"/>
          <w:numId w:val="3"/>
        </w:numPr>
        <w:spacing w:line="240" w:lineRule="exact"/>
        <w:rPr>
          <w:rFonts w:ascii="Cambria" w:hAnsi="Cambria"/>
          <w:sz w:val="20"/>
          <w:szCs w:val="20"/>
        </w:rPr>
      </w:pPr>
      <w:r w:rsidRPr="005B07DD">
        <w:rPr>
          <w:rFonts w:ascii="Cambria" w:hAnsi="Cambria"/>
          <w:sz w:val="20"/>
          <w:szCs w:val="20"/>
        </w:rPr>
        <w:t xml:space="preserve">Chaque CPC dont les indices de pêche sont utilisés dans la MP reçoit un montant supplémentaire pour stabiliser la mise en œuvre de la MP. </w:t>
      </w:r>
    </w:p>
    <w:p w14:paraId="24DC7C6C" w14:textId="77777777" w:rsidR="007C30BB" w:rsidRPr="005B07DD" w:rsidRDefault="007C30BB" w:rsidP="00855DFE">
      <w:pPr>
        <w:spacing w:line="240" w:lineRule="exact"/>
        <w:ind w:left="834" w:hanging="408"/>
        <w:rPr>
          <w:rFonts w:ascii="Cambria" w:hAnsi="Cambria"/>
          <w:sz w:val="20"/>
          <w:szCs w:val="20"/>
        </w:rPr>
      </w:pPr>
    </w:p>
    <w:p w14:paraId="6B32A156" w14:textId="10645B94" w:rsidR="007C30BB" w:rsidRPr="005B07DD" w:rsidRDefault="00C3632B" w:rsidP="007C30BB">
      <w:pPr>
        <w:pStyle w:val="ListParagraph"/>
        <w:numPr>
          <w:ilvl w:val="0"/>
          <w:numId w:val="3"/>
        </w:numPr>
        <w:spacing w:line="240" w:lineRule="exact"/>
        <w:rPr>
          <w:rFonts w:ascii="Cambria" w:hAnsi="Cambria"/>
          <w:sz w:val="20"/>
          <w:szCs w:val="20"/>
        </w:rPr>
      </w:pPr>
      <w:r w:rsidRPr="005B07DD">
        <w:rPr>
          <w:rFonts w:ascii="Cambria" w:hAnsi="Cambria"/>
          <w:sz w:val="20"/>
          <w:szCs w:val="20"/>
        </w:rPr>
        <w:t xml:space="preserve">Chaque CPC qui alloue une partie de son quota aux pêcheries de petits métiers reçoit un montant supplémentaire.  </w:t>
      </w:r>
    </w:p>
    <w:p w14:paraId="751CFFF4" w14:textId="299D5F48" w:rsidR="00812D8E" w:rsidRPr="005B07DD" w:rsidRDefault="00812D8E" w:rsidP="007C30BB">
      <w:pPr>
        <w:pStyle w:val="ListParagraph"/>
        <w:spacing w:line="240" w:lineRule="exact"/>
        <w:ind w:left="834"/>
        <w:rPr>
          <w:rFonts w:ascii="Cambria" w:hAnsi="Cambria"/>
          <w:sz w:val="20"/>
          <w:szCs w:val="20"/>
        </w:rPr>
      </w:pPr>
      <w:r w:rsidRPr="005B07DD">
        <w:rPr>
          <w:rFonts w:ascii="Cambria" w:hAnsi="Cambria"/>
          <w:sz w:val="20"/>
          <w:szCs w:val="20"/>
        </w:rPr>
        <w:t xml:space="preserve">   </w:t>
      </w:r>
    </w:p>
    <w:p w14:paraId="7DB07C63" w14:textId="36876B81" w:rsidR="00605EDD" w:rsidRPr="005B07DD" w:rsidRDefault="00CE1CAA" w:rsidP="0070212D">
      <w:pPr>
        <w:pStyle w:val="ListParagraph"/>
        <w:numPr>
          <w:ilvl w:val="0"/>
          <w:numId w:val="3"/>
        </w:numPr>
        <w:spacing w:line="240" w:lineRule="exact"/>
        <w:rPr>
          <w:rFonts w:ascii="Cambria" w:hAnsi="Cambria"/>
          <w:sz w:val="20"/>
          <w:szCs w:val="20"/>
        </w:rPr>
      </w:pPr>
      <w:r w:rsidRPr="005B07DD">
        <w:rPr>
          <w:rFonts w:ascii="Cambria" w:hAnsi="Cambria"/>
          <w:sz w:val="20"/>
          <w:szCs w:val="20"/>
        </w:rPr>
        <w:t xml:space="preserve">Le montant supplémentaire indiqué aux points (4) à (8) peut être réduit en fonction de l'utilisation réelle en 2023 et 2024. Voir (*5) dans les </w:t>
      </w:r>
      <w:r w:rsidRPr="00EF5D73">
        <w:rPr>
          <w:rFonts w:ascii="Cambria" w:hAnsi="Cambria"/>
          <w:b/>
          <w:bCs/>
          <w:sz w:val="20"/>
          <w:szCs w:val="20"/>
        </w:rPr>
        <w:t xml:space="preserve">tableaux 1.1 et 1.2 </w:t>
      </w:r>
      <w:r w:rsidR="0045779B">
        <w:rPr>
          <w:rFonts w:ascii="Cambria" w:hAnsi="Cambria"/>
          <w:b/>
          <w:bCs/>
          <w:sz w:val="20"/>
          <w:szCs w:val="20"/>
        </w:rPr>
        <w:t>(</w:t>
      </w:r>
      <w:r w:rsidRPr="005B07DD">
        <w:rPr>
          <w:rFonts w:ascii="Cambria" w:hAnsi="Cambria"/>
          <w:b/>
          <w:bCs/>
          <w:sz w:val="20"/>
          <w:szCs w:val="20"/>
        </w:rPr>
        <w:t>appendice 1</w:t>
      </w:r>
      <w:r w:rsidR="0045779B">
        <w:rPr>
          <w:rFonts w:ascii="Cambria" w:hAnsi="Cambria"/>
          <w:b/>
          <w:bCs/>
          <w:sz w:val="20"/>
          <w:szCs w:val="20"/>
        </w:rPr>
        <w:t>)</w:t>
      </w:r>
      <w:r w:rsidRPr="005B07DD">
        <w:rPr>
          <w:rFonts w:ascii="Cambria" w:hAnsi="Cambria"/>
          <w:sz w:val="20"/>
          <w:szCs w:val="20"/>
        </w:rPr>
        <w:t>.</w:t>
      </w:r>
    </w:p>
    <w:p w14:paraId="20BAADA2" w14:textId="77777777" w:rsidR="0070212D" w:rsidRPr="005B07DD" w:rsidRDefault="0070212D" w:rsidP="00855DFE">
      <w:pPr>
        <w:spacing w:line="240" w:lineRule="exact"/>
        <w:ind w:left="834" w:hanging="408"/>
        <w:rPr>
          <w:rFonts w:ascii="Cambria" w:hAnsi="Cambria"/>
          <w:sz w:val="20"/>
          <w:szCs w:val="20"/>
        </w:rPr>
      </w:pPr>
    </w:p>
    <w:p w14:paraId="736CD7FC" w14:textId="7992B920" w:rsidR="00605EDD" w:rsidRPr="005B07DD" w:rsidRDefault="00605EDD" w:rsidP="007C30BB">
      <w:pPr>
        <w:pStyle w:val="ListParagraph"/>
        <w:numPr>
          <w:ilvl w:val="0"/>
          <w:numId w:val="3"/>
        </w:numPr>
        <w:spacing w:line="240" w:lineRule="exact"/>
        <w:rPr>
          <w:rFonts w:ascii="Cambria" w:hAnsi="Cambria"/>
          <w:sz w:val="20"/>
          <w:szCs w:val="20"/>
        </w:rPr>
      </w:pPr>
      <w:r w:rsidRPr="005B07DD">
        <w:rPr>
          <w:rFonts w:ascii="Cambria" w:hAnsi="Cambria"/>
          <w:sz w:val="20"/>
          <w:szCs w:val="20"/>
        </w:rPr>
        <w:t xml:space="preserve">Le chiffre </w:t>
      </w:r>
      <w:r w:rsidR="00E545AB">
        <w:rPr>
          <w:rFonts w:ascii="Cambria" w:hAnsi="Cambria"/>
          <w:sz w:val="20"/>
          <w:szCs w:val="20"/>
        </w:rPr>
        <w:t xml:space="preserve">obtenu </w:t>
      </w:r>
      <w:r w:rsidRPr="005B07DD">
        <w:rPr>
          <w:rFonts w:ascii="Cambria" w:hAnsi="Cambria"/>
          <w:sz w:val="20"/>
          <w:szCs w:val="20"/>
        </w:rPr>
        <w:t xml:space="preserve">après la soustraction des montants de (3) à (8), une réserve et un quota de recherche du TAC sont alloués au prorata, en utilisant les parts énoncées dans la </w:t>
      </w:r>
      <w:hyperlink r:id="rId10" w:history="1">
        <w:r w:rsidRPr="005B07DD">
          <w:rPr>
            <w:rStyle w:val="Hyperlink"/>
            <w:rFonts w:ascii="Cambria" w:hAnsi="Cambria"/>
            <w:sz w:val="20"/>
            <w:szCs w:val="20"/>
            <w:u w:val="none"/>
          </w:rPr>
          <w:t>Rec. 22-08</w:t>
        </w:r>
      </w:hyperlink>
      <w:r w:rsidRPr="005B07DD">
        <w:rPr>
          <w:rFonts w:ascii="Cambria" w:hAnsi="Cambria"/>
          <w:sz w:val="20"/>
          <w:szCs w:val="20"/>
        </w:rPr>
        <w:t xml:space="preserve">. </w:t>
      </w:r>
      <w:r w:rsidRPr="005B07DD">
        <w:rPr>
          <w:rFonts w:ascii="Cambria" w:hAnsi="Cambria"/>
          <w:sz w:val="20"/>
          <w:szCs w:val="20"/>
        </w:rPr>
        <w:lastRenderedPageBreak/>
        <w:t xml:space="preserve">Toutefois, les CPC qui n'ont pas du tout utilisé l'allocation en 2023 et 2024 n'en recevront pas. </w:t>
      </w:r>
    </w:p>
    <w:p w14:paraId="1880F9A0" w14:textId="77777777" w:rsidR="007C30BB" w:rsidRPr="005B07DD" w:rsidRDefault="007C30BB" w:rsidP="007C30BB">
      <w:pPr>
        <w:pStyle w:val="ListParagraph"/>
        <w:spacing w:line="240" w:lineRule="exact"/>
        <w:ind w:left="834"/>
        <w:rPr>
          <w:rFonts w:ascii="Cambria" w:hAnsi="Cambria"/>
          <w:sz w:val="20"/>
          <w:szCs w:val="20"/>
        </w:rPr>
      </w:pPr>
    </w:p>
    <w:p w14:paraId="1AD6C3F1" w14:textId="0C930244" w:rsidR="001E2A2D" w:rsidRPr="005B07DD" w:rsidRDefault="00C3632B" w:rsidP="007C30BB">
      <w:pPr>
        <w:pStyle w:val="ListParagraph"/>
        <w:numPr>
          <w:ilvl w:val="0"/>
          <w:numId w:val="3"/>
        </w:numPr>
        <w:spacing w:line="240" w:lineRule="exact"/>
        <w:rPr>
          <w:rFonts w:ascii="Cambria" w:hAnsi="Cambria"/>
          <w:sz w:val="20"/>
          <w:szCs w:val="20"/>
        </w:rPr>
      </w:pPr>
      <w:r w:rsidRPr="005B07DD">
        <w:rPr>
          <w:rFonts w:ascii="Cambria" w:hAnsi="Cambria"/>
          <w:sz w:val="20"/>
          <w:szCs w:val="20"/>
        </w:rPr>
        <w:t>Le quota de recherche (20 t) inclus dans le TAC actuel (40.570 t) sera maintenu.</w:t>
      </w:r>
    </w:p>
    <w:p w14:paraId="2F5C2C10" w14:textId="77777777" w:rsidR="007C30BB" w:rsidRPr="005B07DD" w:rsidRDefault="007C30BB" w:rsidP="0070212D">
      <w:pPr>
        <w:pStyle w:val="ListParagraph"/>
        <w:spacing w:line="240" w:lineRule="exact"/>
        <w:ind w:left="976"/>
        <w:rPr>
          <w:rFonts w:ascii="Cambria" w:hAnsi="Cambria"/>
          <w:sz w:val="20"/>
          <w:szCs w:val="20"/>
        </w:rPr>
      </w:pPr>
    </w:p>
    <w:p w14:paraId="5A7FFBA8" w14:textId="51ECF96F" w:rsidR="00CB5441" w:rsidRPr="005B07DD" w:rsidRDefault="0083262A" w:rsidP="0070212D">
      <w:pPr>
        <w:pStyle w:val="ListParagraph"/>
        <w:numPr>
          <w:ilvl w:val="0"/>
          <w:numId w:val="3"/>
        </w:numPr>
        <w:spacing w:line="240" w:lineRule="exact"/>
        <w:rPr>
          <w:rFonts w:ascii="Cambria" w:hAnsi="Cambria"/>
          <w:sz w:val="20"/>
          <w:szCs w:val="20"/>
        </w:rPr>
      </w:pPr>
      <w:r w:rsidRPr="005B07DD">
        <w:rPr>
          <w:rFonts w:ascii="Cambria" w:hAnsi="Cambria"/>
          <w:sz w:val="20"/>
          <w:szCs w:val="20"/>
        </w:rPr>
        <w:t xml:space="preserve">Tous les chiffres, y compris la réserve, peuvent faire l'objet de négociations ultérieures.  </w:t>
      </w:r>
    </w:p>
    <w:p w14:paraId="6C2943A1" w14:textId="77777777" w:rsidR="00CB5441" w:rsidRPr="005B07DD" w:rsidRDefault="00CB5441" w:rsidP="0070212D">
      <w:pPr>
        <w:pStyle w:val="ListParagraph"/>
        <w:spacing w:line="240" w:lineRule="exact"/>
        <w:ind w:left="976"/>
        <w:rPr>
          <w:rFonts w:ascii="Cambria" w:hAnsi="Cambria"/>
          <w:sz w:val="20"/>
          <w:szCs w:val="20"/>
        </w:rPr>
      </w:pPr>
    </w:p>
    <w:p w14:paraId="3DB25D65" w14:textId="1AB16245" w:rsidR="00FD708A" w:rsidRPr="005B07DD" w:rsidRDefault="0044179E" w:rsidP="00855DFE">
      <w:pPr>
        <w:tabs>
          <w:tab w:val="left" w:pos="426"/>
        </w:tabs>
        <w:spacing w:line="240" w:lineRule="exact"/>
        <w:ind w:left="426" w:hanging="426"/>
        <w:rPr>
          <w:rFonts w:ascii="Cambria" w:hAnsi="Cambria"/>
          <w:sz w:val="20"/>
          <w:szCs w:val="20"/>
        </w:rPr>
      </w:pPr>
      <w:r w:rsidRPr="005B07DD">
        <w:rPr>
          <w:rFonts w:ascii="Cambria" w:hAnsi="Cambria"/>
          <w:sz w:val="20"/>
          <w:szCs w:val="20"/>
        </w:rPr>
        <w:t xml:space="preserve">3. </w:t>
      </w:r>
      <w:r w:rsidRPr="005B07DD">
        <w:rPr>
          <w:rFonts w:ascii="Cambria" w:hAnsi="Cambria"/>
          <w:sz w:val="20"/>
          <w:szCs w:val="20"/>
        </w:rPr>
        <w:tab/>
        <w:t xml:space="preserve">Sur la base des idées </w:t>
      </w:r>
      <w:r w:rsidR="00D86CAA">
        <w:rPr>
          <w:rFonts w:ascii="Cambria" w:hAnsi="Cambria"/>
          <w:sz w:val="20"/>
          <w:szCs w:val="20"/>
        </w:rPr>
        <w:t xml:space="preserve">exposées </w:t>
      </w:r>
      <w:r w:rsidRPr="005B07DD">
        <w:rPr>
          <w:rFonts w:ascii="Cambria" w:hAnsi="Cambria"/>
          <w:sz w:val="20"/>
          <w:szCs w:val="20"/>
        </w:rPr>
        <w:t xml:space="preserve">ci-dessus, les </w:t>
      </w:r>
      <w:r w:rsidRPr="008D08C8">
        <w:rPr>
          <w:rFonts w:ascii="Cambria" w:hAnsi="Cambria"/>
          <w:b/>
          <w:bCs/>
          <w:sz w:val="20"/>
          <w:szCs w:val="20"/>
        </w:rPr>
        <w:t xml:space="preserve">tableaux 1.1 et 1.2 </w:t>
      </w:r>
      <w:r w:rsidR="00F65229" w:rsidRPr="008D08C8">
        <w:rPr>
          <w:rFonts w:ascii="Cambria" w:hAnsi="Cambria"/>
          <w:b/>
          <w:bCs/>
          <w:sz w:val="20"/>
          <w:szCs w:val="20"/>
        </w:rPr>
        <w:t>de l’appendice</w:t>
      </w:r>
      <w:r w:rsidR="00F65229" w:rsidRPr="00F65229">
        <w:rPr>
          <w:rFonts w:ascii="Cambria" w:hAnsi="Cambria"/>
          <w:b/>
          <w:bCs/>
          <w:sz w:val="20"/>
          <w:szCs w:val="20"/>
        </w:rPr>
        <w:t xml:space="preserve"> 1</w:t>
      </w:r>
      <w:r w:rsidR="00F65229">
        <w:rPr>
          <w:rFonts w:ascii="Cambria" w:hAnsi="Cambria"/>
          <w:sz w:val="20"/>
          <w:szCs w:val="20"/>
        </w:rPr>
        <w:t xml:space="preserve"> </w:t>
      </w:r>
      <w:r w:rsidRPr="005B07DD">
        <w:rPr>
          <w:rFonts w:ascii="Cambria" w:hAnsi="Cambria"/>
          <w:sz w:val="20"/>
          <w:szCs w:val="20"/>
        </w:rPr>
        <w:t>sont formulés à titre indicatif. Si la Sous-commission 2 choisit un autre chiffre pour le TAC, ceux-ci doivent être ajustés ou supprimés.</w:t>
      </w:r>
    </w:p>
    <w:p w14:paraId="1C7F1A11" w14:textId="77777777" w:rsidR="00FD708A" w:rsidRPr="005B07DD" w:rsidRDefault="00FD708A" w:rsidP="00A24F31">
      <w:pPr>
        <w:spacing w:line="240" w:lineRule="exact"/>
        <w:rPr>
          <w:rFonts w:ascii="Cambria" w:hAnsi="Cambria"/>
          <w:sz w:val="20"/>
          <w:szCs w:val="20"/>
        </w:rPr>
      </w:pPr>
    </w:p>
    <w:p w14:paraId="6CABD529" w14:textId="1A2B9CBE" w:rsidR="00CE1CAA" w:rsidRPr="005B07DD" w:rsidRDefault="00FD708A" w:rsidP="00855DFE">
      <w:pPr>
        <w:tabs>
          <w:tab w:val="left" w:pos="426"/>
        </w:tabs>
        <w:spacing w:line="240" w:lineRule="exact"/>
        <w:ind w:left="426" w:hanging="426"/>
        <w:rPr>
          <w:rFonts w:ascii="Cambria" w:hAnsi="Cambria"/>
          <w:sz w:val="20"/>
          <w:szCs w:val="20"/>
        </w:rPr>
      </w:pPr>
      <w:r w:rsidRPr="005B07DD">
        <w:rPr>
          <w:rFonts w:ascii="Cambria" w:hAnsi="Cambria"/>
          <w:sz w:val="20"/>
          <w:szCs w:val="20"/>
        </w:rPr>
        <w:t xml:space="preserve">4. </w:t>
      </w:r>
      <w:r w:rsidRPr="005B07DD">
        <w:rPr>
          <w:rFonts w:ascii="Cambria" w:hAnsi="Cambria"/>
          <w:sz w:val="20"/>
          <w:szCs w:val="20"/>
        </w:rPr>
        <w:tab/>
        <w:t xml:space="preserve">En outre, une limite de report, qui est actuellement de 5% du quota initial, devrait être portée à 20% sur la base de la recommandation du SCRS. Il s'agit d'aider les détenteurs de petits quotas qui n'ont pas pêché le thon rouge dans le passé, mais qui essaient de développer leurs propres pêcheries de thon rouge, car il leur faudra peut-être un certain temps pour apprendre à capturer le poisson. </w:t>
      </w:r>
    </w:p>
    <w:p w14:paraId="7C932092" w14:textId="570DEFC0" w:rsidR="008635B6" w:rsidRPr="005B07DD" w:rsidRDefault="00812D8E" w:rsidP="00A24F31">
      <w:pPr>
        <w:spacing w:line="240" w:lineRule="exact"/>
        <w:rPr>
          <w:rFonts w:ascii="Cambria" w:hAnsi="Cambria"/>
          <w:sz w:val="20"/>
          <w:szCs w:val="20"/>
        </w:rPr>
      </w:pPr>
      <w:r w:rsidRPr="005B07DD">
        <w:rPr>
          <w:rFonts w:ascii="Cambria" w:hAnsi="Cambria"/>
          <w:sz w:val="20"/>
          <w:szCs w:val="20"/>
        </w:rPr>
        <w:t xml:space="preserve">     </w:t>
      </w:r>
    </w:p>
    <w:sectPr w:rsidR="008635B6" w:rsidRPr="005B07DD" w:rsidSect="00A24F31">
      <w:headerReference w:type="default" r:id="rId11"/>
      <w:footerReference w:type="default" r:id="rId12"/>
      <w:pgSz w:w="11906" w:h="16838" w:code="9"/>
      <w:pgMar w:top="1418" w:right="1418" w:bottom="1418" w:left="1418" w:header="851"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93B30" w14:textId="77777777" w:rsidR="008B247E" w:rsidRDefault="008B247E" w:rsidP="00C3632B">
      <w:r>
        <w:separator/>
      </w:r>
    </w:p>
  </w:endnote>
  <w:endnote w:type="continuationSeparator" w:id="0">
    <w:p w14:paraId="569CF826" w14:textId="77777777" w:rsidR="008B247E" w:rsidRDefault="008B247E" w:rsidP="00C3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09E6" w14:textId="475AFEAB" w:rsidR="00855DFE" w:rsidRPr="00855DFE" w:rsidRDefault="00855DFE" w:rsidP="00855DFE">
    <w:pPr>
      <w:widowControl/>
      <w:tabs>
        <w:tab w:val="center" w:pos="4535"/>
        <w:tab w:val="center" w:pos="4680"/>
        <w:tab w:val="left" w:pos="6150"/>
        <w:tab w:val="right" w:pos="9360"/>
      </w:tabs>
      <w:jc w:val="center"/>
      <w:rPr>
        <w:rFonts w:ascii="Cambria" w:hAnsi="Cambria"/>
        <w:sz w:val="20"/>
      </w:rPr>
    </w:pPr>
    <w:r w:rsidRPr="00855DFE">
      <w:rPr>
        <w:rFonts w:ascii="Cambria" w:eastAsia="Calibri" w:hAnsi="Cambria" w:cs="Calibri"/>
        <w:sz w:val="20"/>
      </w:rPr>
      <w:fldChar w:fldCharType="begin"/>
    </w:r>
    <w:r w:rsidRPr="00855DFE">
      <w:rPr>
        <w:rFonts w:ascii="Cambria" w:eastAsia="Calibri" w:hAnsi="Cambria" w:cs="Calibri"/>
        <w:sz w:val="20"/>
      </w:rPr>
      <w:instrText xml:space="preserve"> PAGE </w:instrText>
    </w:r>
    <w:r w:rsidRPr="00855DFE">
      <w:rPr>
        <w:rFonts w:ascii="Cambria" w:eastAsia="Calibri" w:hAnsi="Cambria" w:cs="Calibri"/>
        <w:sz w:val="20"/>
      </w:rPr>
      <w:fldChar w:fldCharType="separate"/>
    </w:r>
    <w:r w:rsidRPr="00855DFE">
      <w:rPr>
        <w:rFonts w:ascii="Cambria" w:eastAsia="Calibri" w:hAnsi="Cambria" w:cs="Calibri"/>
        <w:sz w:val="20"/>
      </w:rPr>
      <w:t>1</w:t>
    </w:r>
    <w:r w:rsidRPr="00855DFE">
      <w:rPr>
        <w:rFonts w:ascii="Cambria" w:eastAsia="Calibri" w:hAnsi="Cambria" w:cs="Calibri"/>
        <w:sz w:val="20"/>
      </w:rPr>
      <w:fldChar w:fldCharType="end"/>
    </w:r>
    <w:r>
      <w:rPr>
        <w:rFonts w:ascii="Cambria" w:hAnsi="Cambria"/>
        <w:sz w:val="20"/>
      </w:rPr>
      <w:t xml:space="preserve"> / </w:t>
    </w:r>
    <w:r w:rsidRPr="00855DFE">
      <w:rPr>
        <w:rFonts w:ascii="Cambria" w:eastAsia="Calibri" w:hAnsi="Cambria" w:cs="Calibri"/>
        <w:sz w:val="20"/>
      </w:rPr>
      <w:fldChar w:fldCharType="begin"/>
    </w:r>
    <w:r w:rsidRPr="00855DFE">
      <w:rPr>
        <w:rFonts w:ascii="Cambria" w:eastAsia="Calibri" w:hAnsi="Cambria" w:cs="Calibri"/>
        <w:sz w:val="20"/>
      </w:rPr>
      <w:instrText xml:space="preserve"> NUMPAGES  </w:instrText>
    </w:r>
    <w:r w:rsidRPr="00855DFE">
      <w:rPr>
        <w:rFonts w:ascii="Cambria" w:eastAsia="Calibri" w:hAnsi="Cambria" w:cs="Calibri"/>
        <w:sz w:val="20"/>
      </w:rPr>
      <w:fldChar w:fldCharType="separate"/>
    </w:r>
    <w:r w:rsidRPr="00855DFE">
      <w:rPr>
        <w:rFonts w:ascii="Cambria" w:eastAsia="Calibri" w:hAnsi="Cambria" w:cs="Calibri"/>
        <w:sz w:val="20"/>
      </w:rPr>
      <w:t>8</w:t>
    </w:r>
    <w:r w:rsidRPr="00855DFE">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BEC0A" w14:textId="77777777" w:rsidR="008B247E" w:rsidRDefault="008B247E" w:rsidP="00C3632B">
      <w:r>
        <w:separator/>
      </w:r>
    </w:p>
  </w:footnote>
  <w:footnote w:type="continuationSeparator" w:id="0">
    <w:p w14:paraId="77C09FF3" w14:textId="77777777" w:rsidR="008B247E" w:rsidRDefault="008B247E" w:rsidP="00C3632B">
      <w:r>
        <w:continuationSeparator/>
      </w:r>
    </w:p>
  </w:footnote>
  <w:footnote w:id="1">
    <w:p w14:paraId="02A21D8B" w14:textId="3713F8CB" w:rsidR="00165428" w:rsidRPr="000E3734" w:rsidRDefault="00165428" w:rsidP="006B65F6">
      <w:pPr>
        <w:pStyle w:val="FootnoteText"/>
        <w:jc w:val="both"/>
        <w:rPr>
          <w:rFonts w:ascii="Cambria" w:hAnsi="Cambria"/>
          <w:sz w:val="16"/>
          <w:szCs w:val="16"/>
        </w:rPr>
      </w:pPr>
      <w:r>
        <w:rPr>
          <w:rStyle w:val="FootnoteReference"/>
          <w:rFonts w:ascii="Cambria" w:hAnsi="Cambria"/>
          <w:sz w:val="16"/>
          <w:szCs w:val="16"/>
        </w:rPr>
        <w:footnoteRef/>
      </w:r>
      <w:r>
        <w:rPr>
          <w:rFonts w:ascii="Cambria" w:hAnsi="Cambria"/>
          <w:sz w:val="16"/>
        </w:rPr>
        <w:t xml:space="preserve"> Les chiffres de 2025 n'ont pas été utilisés car certaines CPC n'ont pas encore terminé la campagne de pêche de </w:t>
      </w:r>
      <w:r w:rsidRPr="000E3734">
        <w:rPr>
          <w:rFonts w:ascii="Cambria" w:hAnsi="Cambria"/>
          <w:sz w:val="16"/>
        </w:rPr>
        <w:t xml:space="preserve">2025 et </w:t>
      </w:r>
      <w:r w:rsidR="00AE16C7" w:rsidRPr="000E3734">
        <w:rPr>
          <w:rFonts w:ascii="Cambria" w:hAnsi="Cambria"/>
          <w:sz w:val="16"/>
        </w:rPr>
        <w:t xml:space="preserve">il n’est donc pas possible de </w:t>
      </w:r>
      <w:r w:rsidRPr="000E3734">
        <w:rPr>
          <w:rFonts w:ascii="Cambria" w:hAnsi="Cambria"/>
          <w:sz w:val="16"/>
        </w:rPr>
        <w:t>comparer ces chiffres entre les CPC.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A659" w14:textId="5232CBD2" w:rsidR="00B178D1" w:rsidRPr="00B178D1" w:rsidRDefault="00B178D1" w:rsidP="00B178D1">
    <w:pPr>
      <w:tabs>
        <w:tab w:val="center" w:pos="4680"/>
        <w:tab w:val="left" w:pos="6520"/>
        <w:tab w:val="right" w:pos="9360"/>
        <w:tab w:val="right" w:pos="14240"/>
      </w:tabs>
      <w:autoSpaceDE w:val="0"/>
      <w:autoSpaceDN w:val="0"/>
      <w:jc w:val="right"/>
      <w:rPr>
        <w:rFonts w:ascii="Cambria" w:eastAsia="Calibri" w:hAnsi="Cambria" w:cs="Cambria"/>
        <w:b/>
        <w:bCs/>
        <w:kern w:val="0"/>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PA2_612/2025</w:t>
    </w:r>
  </w:p>
  <w:p w14:paraId="5020D595" w14:textId="6E29EC5D" w:rsidR="00B178D1" w:rsidRDefault="00B178D1" w:rsidP="0070212D">
    <w:pPr>
      <w:tabs>
        <w:tab w:val="left" w:pos="7320"/>
      </w:tabs>
      <w:autoSpaceDE w:val="0"/>
      <w:autoSpaceDN w:val="0"/>
      <w:spacing w:line="240" w:lineRule="exact"/>
      <w:jc w:val="right"/>
    </w:pPr>
    <w:r w:rsidRPr="00B178D1">
      <w:rPr>
        <w:rFonts w:ascii="Cambria" w:eastAsia="Cambria" w:hAnsi="Cambria" w:cs="Cambria"/>
        <w:b/>
        <w:sz w:val="16"/>
      </w:rPr>
      <w:fldChar w:fldCharType="begin"/>
    </w:r>
    <w:r w:rsidRPr="00B178D1">
      <w:rPr>
        <w:rFonts w:ascii="Cambria" w:eastAsia="Cambria" w:hAnsi="Cambria" w:cs="Cambria"/>
        <w:b/>
        <w:sz w:val="16"/>
      </w:rPr>
      <w:instrText xml:space="preserve"> TIME \@ "dd/MM/yyyy H:mm" </w:instrText>
    </w:r>
    <w:r w:rsidRPr="00B178D1">
      <w:rPr>
        <w:rFonts w:ascii="Cambria" w:eastAsia="Cambria" w:hAnsi="Cambria" w:cs="Cambria"/>
        <w:b/>
        <w:sz w:val="16"/>
      </w:rPr>
      <w:fldChar w:fldCharType="separate"/>
    </w:r>
    <w:r w:rsidR="005B07DD">
      <w:rPr>
        <w:rFonts w:ascii="Cambria" w:eastAsia="Cambria" w:hAnsi="Cambria" w:cs="Cambria"/>
        <w:b/>
        <w:noProof/>
        <w:sz w:val="16"/>
      </w:rPr>
      <w:t>27/10/2025 11:36</w:t>
    </w:r>
    <w:r w:rsidRPr="00B178D1">
      <w:rPr>
        <w:rFonts w:ascii="Cambria" w:eastAsia="Cambria" w:hAnsi="Cambria" w:cs="Cambria"/>
        <w:b/>
        <w:bCs/>
        <w:kern w:val="0"/>
        <w:sz w:val="16"/>
        <w:szCs w:val="16"/>
        <w:lang w:val="es-ES_tradnl" w:eastAsia="en-US"/>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48DA"/>
    <w:multiLevelType w:val="hybridMultilevel"/>
    <w:tmpl w:val="B66CD67A"/>
    <w:lvl w:ilvl="0" w:tplc="2C7AC2E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70E543C4"/>
    <w:multiLevelType w:val="hybridMultilevel"/>
    <w:tmpl w:val="F670B56C"/>
    <w:lvl w:ilvl="0" w:tplc="06E008C6">
      <w:start w:val="1"/>
      <w:numFmt w:val="decimal"/>
      <w:lvlText w:val="(%1)"/>
      <w:lvlJc w:val="left"/>
      <w:pPr>
        <w:ind w:left="976" w:hanging="408"/>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76236C61"/>
    <w:multiLevelType w:val="hybridMultilevel"/>
    <w:tmpl w:val="5060D06C"/>
    <w:lvl w:ilvl="0" w:tplc="E9D29F9A">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48135">
    <w:abstractNumId w:val="2"/>
  </w:num>
  <w:num w:numId="2" w16cid:durableId="693728020">
    <w:abstractNumId w:val="0"/>
  </w:num>
  <w:num w:numId="3" w16cid:durableId="1500999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B6"/>
    <w:rsid w:val="00016763"/>
    <w:rsid w:val="00071744"/>
    <w:rsid w:val="00074365"/>
    <w:rsid w:val="00096A3C"/>
    <w:rsid w:val="000D7C2D"/>
    <w:rsid w:val="000E3734"/>
    <w:rsid w:val="00141242"/>
    <w:rsid w:val="00160896"/>
    <w:rsid w:val="0016515D"/>
    <w:rsid w:val="00165428"/>
    <w:rsid w:val="001E2A2D"/>
    <w:rsid w:val="001E63AC"/>
    <w:rsid w:val="00205768"/>
    <w:rsid w:val="00294472"/>
    <w:rsid w:val="00330FFB"/>
    <w:rsid w:val="00353D60"/>
    <w:rsid w:val="003C520B"/>
    <w:rsid w:val="003F144B"/>
    <w:rsid w:val="0044179E"/>
    <w:rsid w:val="0045779B"/>
    <w:rsid w:val="0047205F"/>
    <w:rsid w:val="004D071C"/>
    <w:rsid w:val="00524A03"/>
    <w:rsid w:val="00562E87"/>
    <w:rsid w:val="005A7422"/>
    <w:rsid w:val="005B07DD"/>
    <w:rsid w:val="005B4D83"/>
    <w:rsid w:val="00605EDD"/>
    <w:rsid w:val="00647F0D"/>
    <w:rsid w:val="006A1369"/>
    <w:rsid w:val="006B65F6"/>
    <w:rsid w:val="0070212D"/>
    <w:rsid w:val="00711E16"/>
    <w:rsid w:val="00796D4F"/>
    <w:rsid w:val="007B4ABB"/>
    <w:rsid w:val="007C30BB"/>
    <w:rsid w:val="007E562A"/>
    <w:rsid w:val="00812D8E"/>
    <w:rsid w:val="00827C38"/>
    <w:rsid w:val="0083262A"/>
    <w:rsid w:val="00835F06"/>
    <w:rsid w:val="00855DFE"/>
    <w:rsid w:val="008635B6"/>
    <w:rsid w:val="00863665"/>
    <w:rsid w:val="008709CB"/>
    <w:rsid w:val="008B247E"/>
    <w:rsid w:val="008D08C8"/>
    <w:rsid w:val="00922EDC"/>
    <w:rsid w:val="00940EE7"/>
    <w:rsid w:val="00955D19"/>
    <w:rsid w:val="00995BDB"/>
    <w:rsid w:val="009A6998"/>
    <w:rsid w:val="009C6ACF"/>
    <w:rsid w:val="00A10008"/>
    <w:rsid w:val="00A16559"/>
    <w:rsid w:val="00A24F31"/>
    <w:rsid w:val="00A92AC3"/>
    <w:rsid w:val="00A92E32"/>
    <w:rsid w:val="00AA45E5"/>
    <w:rsid w:val="00AE16C7"/>
    <w:rsid w:val="00AE3665"/>
    <w:rsid w:val="00AF318C"/>
    <w:rsid w:val="00B10F93"/>
    <w:rsid w:val="00B178D1"/>
    <w:rsid w:val="00B57487"/>
    <w:rsid w:val="00BC2DE2"/>
    <w:rsid w:val="00BE7BCC"/>
    <w:rsid w:val="00C02357"/>
    <w:rsid w:val="00C3632B"/>
    <w:rsid w:val="00C86F38"/>
    <w:rsid w:val="00CB5441"/>
    <w:rsid w:val="00CE1CAA"/>
    <w:rsid w:val="00CF047D"/>
    <w:rsid w:val="00D54253"/>
    <w:rsid w:val="00D57D6E"/>
    <w:rsid w:val="00D647F0"/>
    <w:rsid w:val="00D86CAA"/>
    <w:rsid w:val="00D90C58"/>
    <w:rsid w:val="00DE193F"/>
    <w:rsid w:val="00DF26E8"/>
    <w:rsid w:val="00E545AB"/>
    <w:rsid w:val="00E95BE2"/>
    <w:rsid w:val="00EF5D73"/>
    <w:rsid w:val="00EF6584"/>
    <w:rsid w:val="00F210F3"/>
    <w:rsid w:val="00F65229"/>
    <w:rsid w:val="00FB272B"/>
    <w:rsid w:val="00FD7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DB6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32B"/>
    <w:pPr>
      <w:tabs>
        <w:tab w:val="center" w:pos="4252"/>
        <w:tab w:val="right" w:pos="8504"/>
      </w:tabs>
      <w:snapToGrid w:val="0"/>
    </w:pPr>
  </w:style>
  <w:style w:type="character" w:customStyle="1" w:styleId="HeaderChar">
    <w:name w:val="Header Char"/>
    <w:basedOn w:val="DefaultParagraphFont"/>
    <w:link w:val="Header"/>
    <w:uiPriority w:val="99"/>
    <w:rsid w:val="00C3632B"/>
  </w:style>
  <w:style w:type="paragraph" w:styleId="Footer">
    <w:name w:val="footer"/>
    <w:basedOn w:val="Normal"/>
    <w:link w:val="FooterChar"/>
    <w:uiPriority w:val="99"/>
    <w:unhideWhenUsed/>
    <w:rsid w:val="00C3632B"/>
    <w:pPr>
      <w:tabs>
        <w:tab w:val="center" w:pos="4252"/>
        <w:tab w:val="right" w:pos="8504"/>
      </w:tabs>
      <w:snapToGrid w:val="0"/>
    </w:pPr>
  </w:style>
  <w:style w:type="character" w:customStyle="1" w:styleId="FooterChar">
    <w:name w:val="Footer Char"/>
    <w:basedOn w:val="DefaultParagraphFont"/>
    <w:link w:val="Footer"/>
    <w:uiPriority w:val="99"/>
    <w:rsid w:val="00C3632B"/>
  </w:style>
  <w:style w:type="paragraph" w:styleId="FootnoteText">
    <w:name w:val="footnote text"/>
    <w:basedOn w:val="Normal"/>
    <w:link w:val="FootnoteTextChar"/>
    <w:uiPriority w:val="99"/>
    <w:semiHidden/>
    <w:unhideWhenUsed/>
    <w:rsid w:val="00330FFB"/>
    <w:pPr>
      <w:snapToGrid w:val="0"/>
      <w:jc w:val="left"/>
    </w:pPr>
  </w:style>
  <w:style w:type="character" w:customStyle="1" w:styleId="FootnoteTextChar">
    <w:name w:val="Footnote Text Char"/>
    <w:basedOn w:val="DefaultParagraphFont"/>
    <w:link w:val="FootnoteText"/>
    <w:uiPriority w:val="99"/>
    <w:semiHidden/>
    <w:rsid w:val="00330FFB"/>
  </w:style>
  <w:style w:type="character" w:styleId="FootnoteReference">
    <w:name w:val="footnote reference"/>
    <w:basedOn w:val="DefaultParagraphFont"/>
    <w:uiPriority w:val="99"/>
    <w:semiHidden/>
    <w:unhideWhenUsed/>
    <w:rsid w:val="00330FFB"/>
    <w:rPr>
      <w:vertAlign w:val="superscript"/>
    </w:rPr>
  </w:style>
  <w:style w:type="character" w:styleId="Hyperlink">
    <w:name w:val="Hyperlink"/>
    <w:basedOn w:val="DefaultParagraphFont"/>
    <w:uiPriority w:val="99"/>
    <w:unhideWhenUsed/>
    <w:rsid w:val="00524A03"/>
    <w:rPr>
      <w:color w:val="0563C1" w:themeColor="hyperlink"/>
      <w:u w:val="single"/>
    </w:rPr>
  </w:style>
  <w:style w:type="paragraph" w:styleId="ListParagraph">
    <w:name w:val="List Paragraph"/>
    <w:basedOn w:val="Normal"/>
    <w:uiPriority w:val="34"/>
    <w:qFormat/>
    <w:rsid w:val="00855DFE"/>
    <w:pPr>
      <w:ind w:left="720"/>
      <w:contextualSpacing/>
    </w:pPr>
  </w:style>
  <w:style w:type="character" w:styleId="UnresolvedMention">
    <w:name w:val="Unresolved Mention"/>
    <w:basedOn w:val="DefaultParagraphFont"/>
    <w:uiPriority w:val="99"/>
    <w:semiHidden/>
    <w:unhideWhenUsed/>
    <w:rsid w:val="00D57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go_ota810@maff.go.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ccat.int/Documents/Recs/compendiopdf-f/2022-08-f.pdf" TargetMode="External"/><Relationship Id="rId4" Type="http://schemas.openxmlformats.org/officeDocument/2006/relationships/settings" Target="settings.xml"/><Relationship Id="rId9" Type="http://schemas.openxmlformats.org/officeDocument/2006/relationships/hyperlink" Target="https://www.iccat.int/Documents/Recs/compendiopdf-f/2022-08-f.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6F8D-A13C-4740-BF67-176C9E21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2025-10-27T08:16:00Z</dcterms:created>
  <dcterms:modified xsi:type="dcterms:W3CDTF">2025-10-27T11:28:00Z</dcterms:modified>
</cp:coreProperties>
</file>