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0BAD" w14:textId="742D7470" w:rsidR="00B178D1" w:rsidRPr="00EC37F5" w:rsidRDefault="00B178D1" w:rsidP="00B178D1">
      <w:pPr>
        <w:spacing w:line="240" w:lineRule="exact"/>
        <w:jc w:val="right"/>
        <w:rPr>
          <w:rFonts w:ascii="Cambria" w:hAnsi="Cambria"/>
          <w:b/>
          <w:bCs/>
          <w:sz w:val="20"/>
          <w:szCs w:val="20"/>
        </w:rPr>
      </w:pPr>
      <w:r w:rsidRPr="00EC37F5">
        <w:rPr>
          <w:rFonts w:ascii="Cambria" w:hAnsi="Cambria"/>
          <w:b/>
          <w:bCs/>
          <w:sz w:val="20"/>
          <w:szCs w:val="20"/>
        </w:rPr>
        <w:t xml:space="preserve">Original: English </w:t>
      </w:r>
    </w:p>
    <w:p w14:paraId="55CE0A3D" w14:textId="77777777" w:rsidR="00B178D1" w:rsidRPr="00EC37F5" w:rsidRDefault="00B178D1" w:rsidP="00B178D1">
      <w:pPr>
        <w:spacing w:line="240" w:lineRule="exact"/>
        <w:jc w:val="right"/>
        <w:rPr>
          <w:rFonts w:ascii="Cambria" w:hAnsi="Cambria"/>
          <w:b/>
          <w:bCs/>
          <w:sz w:val="20"/>
          <w:szCs w:val="20"/>
        </w:rPr>
      </w:pPr>
    </w:p>
    <w:p w14:paraId="755CDD29" w14:textId="77777777" w:rsidR="00A92AC3" w:rsidRPr="00EC37F5" w:rsidRDefault="00524A03" w:rsidP="001E63AC">
      <w:pPr>
        <w:spacing w:line="240" w:lineRule="exact"/>
        <w:jc w:val="center"/>
        <w:rPr>
          <w:rFonts w:ascii="Cambria" w:hAnsi="Cambria"/>
          <w:b/>
          <w:bCs/>
          <w:sz w:val="20"/>
          <w:szCs w:val="20"/>
        </w:rPr>
      </w:pPr>
      <w:r w:rsidRPr="00EC37F5">
        <w:rPr>
          <w:rFonts w:ascii="Cambria" w:hAnsi="Cambria"/>
          <w:b/>
          <w:bCs/>
          <w:sz w:val="20"/>
          <w:szCs w:val="20"/>
        </w:rPr>
        <w:t xml:space="preserve">Explanatory note on a </w:t>
      </w:r>
    </w:p>
    <w:p w14:paraId="1CEB5E5E" w14:textId="34F6BEDE" w:rsidR="00524A03" w:rsidRPr="00EC37F5" w:rsidRDefault="00A92AC3" w:rsidP="001E63AC">
      <w:pPr>
        <w:spacing w:line="240" w:lineRule="exact"/>
        <w:jc w:val="center"/>
        <w:rPr>
          <w:rFonts w:ascii="Cambria" w:hAnsi="Cambria"/>
          <w:b/>
          <w:bCs/>
          <w:sz w:val="20"/>
          <w:szCs w:val="20"/>
        </w:rPr>
      </w:pPr>
      <w:r w:rsidRPr="00EC37F5">
        <w:rPr>
          <w:rFonts w:ascii="Cambria" w:hAnsi="Cambria"/>
          <w:b/>
          <w:bCs/>
          <w:sz w:val="20"/>
          <w:szCs w:val="20"/>
        </w:rPr>
        <w:t xml:space="preserve">Draft </w:t>
      </w:r>
      <w:r w:rsidR="00524A03" w:rsidRPr="00EC37F5">
        <w:rPr>
          <w:rFonts w:ascii="Cambria" w:hAnsi="Cambria"/>
          <w:b/>
          <w:bCs/>
          <w:sz w:val="20"/>
          <w:szCs w:val="20"/>
        </w:rPr>
        <w:t>allocation scheme for the</w:t>
      </w:r>
      <w:r w:rsidRPr="00EC37F5">
        <w:rPr>
          <w:rFonts w:ascii="Cambria" w:hAnsi="Cambria"/>
          <w:b/>
          <w:bCs/>
          <w:sz w:val="20"/>
          <w:szCs w:val="20"/>
        </w:rPr>
        <w:t xml:space="preserve"> </w:t>
      </w:r>
      <w:r w:rsidR="00524A03" w:rsidRPr="00EC37F5">
        <w:rPr>
          <w:rFonts w:ascii="Cambria" w:hAnsi="Cambria"/>
          <w:b/>
          <w:bCs/>
          <w:sz w:val="20"/>
          <w:szCs w:val="20"/>
        </w:rPr>
        <w:t>eastern Atlantic and Mediterranean bluefin tuna stock</w:t>
      </w:r>
    </w:p>
    <w:p w14:paraId="0C90049C" w14:textId="003DF0FC" w:rsidR="00524A03" w:rsidRPr="00EC37F5" w:rsidRDefault="00855DFE" w:rsidP="001E63AC">
      <w:pPr>
        <w:spacing w:line="240" w:lineRule="exact"/>
        <w:jc w:val="center"/>
        <w:rPr>
          <w:rFonts w:ascii="Cambria" w:hAnsi="Cambria"/>
          <w:i/>
          <w:iCs/>
          <w:sz w:val="20"/>
          <w:szCs w:val="20"/>
        </w:rPr>
      </w:pPr>
      <w:r w:rsidRPr="00EC37F5">
        <w:rPr>
          <w:rFonts w:ascii="Cambria" w:hAnsi="Cambria"/>
          <w:i/>
          <w:iCs/>
          <w:sz w:val="20"/>
          <w:szCs w:val="20"/>
        </w:rPr>
        <w:t>(</w:t>
      </w:r>
      <w:r w:rsidR="00524A03" w:rsidRPr="00EC37F5">
        <w:rPr>
          <w:rFonts w:ascii="Cambria" w:hAnsi="Cambria"/>
          <w:i/>
          <w:iCs/>
          <w:sz w:val="20"/>
          <w:szCs w:val="20"/>
        </w:rPr>
        <w:t xml:space="preserve">submitted by </w:t>
      </w:r>
      <w:r w:rsidR="00A92AC3" w:rsidRPr="00EC37F5">
        <w:rPr>
          <w:rFonts w:ascii="Cambria" w:hAnsi="Cambria"/>
          <w:i/>
          <w:iCs/>
          <w:sz w:val="20"/>
          <w:szCs w:val="20"/>
        </w:rPr>
        <w:t xml:space="preserve">the </w:t>
      </w:r>
      <w:r w:rsidR="00524A03" w:rsidRPr="00EC37F5">
        <w:rPr>
          <w:rFonts w:ascii="Cambria" w:hAnsi="Cambria"/>
          <w:i/>
          <w:iCs/>
          <w:sz w:val="20"/>
          <w:szCs w:val="20"/>
        </w:rPr>
        <w:t>Panel 2 Chair</w:t>
      </w:r>
      <w:r w:rsidRPr="00EC37F5">
        <w:rPr>
          <w:rFonts w:ascii="Cambria" w:hAnsi="Cambria"/>
          <w:i/>
          <w:iCs/>
          <w:sz w:val="20"/>
          <w:szCs w:val="20"/>
        </w:rPr>
        <w:t>)</w:t>
      </w:r>
    </w:p>
    <w:p w14:paraId="0C0D7A97" w14:textId="77777777" w:rsidR="00524A03" w:rsidRPr="00EC37F5" w:rsidRDefault="00524A03" w:rsidP="001E63AC">
      <w:pPr>
        <w:spacing w:line="240" w:lineRule="exact"/>
        <w:jc w:val="center"/>
        <w:rPr>
          <w:rFonts w:ascii="Cambria" w:hAnsi="Cambria"/>
          <w:sz w:val="20"/>
          <w:szCs w:val="20"/>
        </w:rPr>
      </w:pPr>
    </w:p>
    <w:p w14:paraId="7C24A2E2" w14:textId="77777777" w:rsidR="00524A03" w:rsidRPr="00EC37F5" w:rsidRDefault="00524A03" w:rsidP="001E63AC">
      <w:pPr>
        <w:spacing w:line="240" w:lineRule="exact"/>
        <w:jc w:val="center"/>
        <w:rPr>
          <w:rFonts w:ascii="Cambria" w:hAnsi="Cambria"/>
          <w:sz w:val="20"/>
          <w:szCs w:val="20"/>
        </w:rPr>
      </w:pPr>
    </w:p>
    <w:p w14:paraId="2489A280" w14:textId="6E718B1F" w:rsidR="00524A03" w:rsidRPr="00EC37F5" w:rsidRDefault="00524A03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1. </w:t>
      </w:r>
      <w:proofErr w:type="gramStart"/>
      <w:r w:rsidR="00855DFE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The Panel</w:t>
      </w:r>
      <w:proofErr w:type="gramEnd"/>
      <w:r w:rsidRPr="00EC37F5">
        <w:rPr>
          <w:rFonts w:ascii="Cambria" w:hAnsi="Cambria"/>
          <w:sz w:val="20"/>
          <w:szCs w:val="20"/>
        </w:rPr>
        <w:t xml:space="preserve"> 2 has been discussing the eastern Atlantic and Mediterranean bluefin tuna allocation issue in the last three years through annual meetings and intersessional meetings. During discussion, Panel 2 Chair as well as several CPCs provided ideas to find solutions. </w:t>
      </w:r>
    </w:p>
    <w:p w14:paraId="4F2BDFA4" w14:textId="77777777" w:rsidR="00524A03" w:rsidRPr="00EC37F5" w:rsidRDefault="00524A03" w:rsidP="001E63AC">
      <w:pPr>
        <w:spacing w:line="240" w:lineRule="exact"/>
        <w:rPr>
          <w:rFonts w:ascii="Cambria" w:hAnsi="Cambria"/>
          <w:sz w:val="20"/>
          <w:szCs w:val="20"/>
        </w:rPr>
      </w:pPr>
    </w:p>
    <w:p w14:paraId="612F79EE" w14:textId="0A8A9793" w:rsidR="00524A03" w:rsidRPr="00EC37F5" w:rsidRDefault="00524A03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2</w:t>
      </w:r>
      <w:proofErr w:type="gramStart"/>
      <w:r w:rsidRPr="00EC37F5">
        <w:rPr>
          <w:rFonts w:ascii="Cambria" w:hAnsi="Cambria"/>
          <w:sz w:val="20"/>
          <w:szCs w:val="20"/>
        </w:rPr>
        <w:t xml:space="preserve">. </w:t>
      </w:r>
      <w:r w:rsidR="00855DFE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As</w:t>
      </w:r>
      <w:proofErr w:type="gramEnd"/>
      <w:r w:rsidRPr="00EC37F5">
        <w:rPr>
          <w:rFonts w:ascii="Cambria" w:hAnsi="Cambria"/>
          <w:sz w:val="20"/>
          <w:szCs w:val="20"/>
        </w:rPr>
        <w:t xml:space="preserve"> to the T</w:t>
      </w:r>
      <w:r w:rsidR="00B57487" w:rsidRPr="00EC37F5">
        <w:rPr>
          <w:rFonts w:ascii="Cambria" w:hAnsi="Cambria"/>
          <w:sz w:val="20"/>
          <w:szCs w:val="20"/>
        </w:rPr>
        <w:t xml:space="preserve">otal </w:t>
      </w:r>
      <w:r w:rsidRPr="00EC37F5">
        <w:rPr>
          <w:rFonts w:ascii="Cambria" w:hAnsi="Cambria"/>
          <w:sz w:val="20"/>
          <w:szCs w:val="20"/>
        </w:rPr>
        <w:t>A</w:t>
      </w:r>
      <w:r w:rsidR="00B57487" w:rsidRPr="00EC37F5">
        <w:rPr>
          <w:rFonts w:ascii="Cambria" w:hAnsi="Cambria"/>
          <w:sz w:val="20"/>
          <w:szCs w:val="20"/>
        </w:rPr>
        <w:t xml:space="preserve">llowable </w:t>
      </w:r>
      <w:r w:rsidRPr="00EC37F5">
        <w:rPr>
          <w:rFonts w:ascii="Cambria" w:hAnsi="Cambria"/>
          <w:sz w:val="20"/>
          <w:szCs w:val="20"/>
        </w:rPr>
        <w:t>C</w:t>
      </w:r>
      <w:r w:rsidR="00B57487" w:rsidRPr="00EC37F5">
        <w:rPr>
          <w:rFonts w:ascii="Cambria" w:hAnsi="Cambria"/>
          <w:sz w:val="20"/>
          <w:szCs w:val="20"/>
        </w:rPr>
        <w:t>atch (TAC)</w:t>
      </w:r>
      <w:r w:rsidRPr="00EC37F5">
        <w:rPr>
          <w:rFonts w:ascii="Cambria" w:hAnsi="Cambria"/>
          <w:sz w:val="20"/>
          <w:szCs w:val="20"/>
        </w:rPr>
        <w:t>, the SCRS provides the results of two M</w:t>
      </w:r>
      <w:r w:rsidR="00096A3C" w:rsidRPr="00EC37F5">
        <w:rPr>
          <w:rFonts w:ascii="Cambria" w:hAnsi="Cambria"/>
          <w:sz w:val="20"/>
          <w:szCs w:val="20"/>
        </w:rPr>
        <w:t>anagement Procedures (M</w:t>
      </w:r>
      <w:r w:rsidRPr="00EC37F5">
        <w:rPr>
          <w:rFonts w:ascii="Cambria" w:hAnsi="Cambria"/>
          <w:sz w:val="20"/>
          <w:szCs w:val="20"/>
        </w:rPr>
        <w:t>Ps</w:t>
      </w:r>
      <w:r w:rsidR="00096A3C" w:rsidRPr="00EC37F5">
        <w:rPr>
          <w:rFonts w:ascii="Cambria" w:hAnsi="Cambria"/>
          <w:sz w:val="20"/>
          <w:szCs w:val="20"/>
        </w:rPr>
        <w:t>)</w:t>
      </w:r>
      <w:r w:rsidRPr="00EC37F5">
        <w:rPr>
          <w:rFonts w:ascii="Cambria" w:hAnsi="Cambria"/>
          <w:sz w:val="20"/>
          <w:szCs w:val="20"/>
        </w:rPr>
        <w:t xml:space="preserve">: the adopted BR and BR </w:t>
      </w:r>
      <w:proofErr w:type="gramStart"/>
      <w:r w:rsidRPr="00EC37F5">
        <w:rPr>
          <w:rFonts w:ascii="Cambria" w:hAnsi="Cambria"/>
          <w:sz w:val="20"/>
          <w:szCs w:val="20"/>
        </w:rPr>
        <w:t>retuned</w:t>
      </w:r>
      <w:proofErr w:type="gramEnd"/>
      <w:r w:rsidRPr="00EC37F5">
        <w:rPr>
          <w:rFonts w:ascii="Cambria" w:hAnsi="Cambria"/>
          <w:sz w:val="20"/>
          <w:szCs w:val="20"/>
        </w:rPr>
        <w:t xml:space="preserve"> to meet the management objective under the re-conditioned O</w:t>
      </w:r>
      <w:r w:rsidR="009A6998" w:rsidRPr="00EC37F5">
        <w:rPr>
          <w:rFonts w:ascii="Cambria" w:hAnsi="Cambria"/>
          <w:sz w:val="20"/>
          <w:szCs w:val="20"/>
        </w:rPr>
        <w:t xml:space="preserve">perating </w:t>
      </w:r>
      <w:r w:rsidRPr="00EC37F5">
        <w:rPr>
          <w:rFonts w:ascii="Cambria" w:hAnsi="Cambria"/>
          <w:sz w:val="20"/>
          <w:szCs w:val="20"/>
        </w:rPr>
        <w:t>M</w:t>
      </w:r>
      <w:r w:rsidR="009A6998" w:rsidRPr="00EC37F5">
        <w:rPr>
          <w:rFonts w:ascii="Cambria" w:hAnsi="Cambria"/>
          <w:sz w:val="20"/>
          <w:szCs w:val="20"/>
        </w:rPr>
        <w:t>odels (OMs)</w:t>
      </w:r>
      <w:r w:rsidRPr="00EC37F5">
        <w:rPr>
          <w:rFonts w:ascii="Cambria" w:hAnsi="Cambria"/>
          <w:sz w:val="20"/>
          <w:szCs w:val="20"/>
        </w:rPr>
        <w:t xml:space="preserve"> for the Commission’s consideration. The former gives 48,403 t and the latter gives 45,191 t. Panel 2 can choose one of them, but also another figure if there is a consensus among Members and scientific justification supporting it. </w:t>
      </w:r>
    </w:p>
    <w:p w14:paraId="75659A1E" w14:textId="77777777" w:rsidR="00524A03" w:rsidRPr="00EC37F5" w:rsidRDefault="00524A03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</w:p>
    <w:p w14:paraId="55D65800" w14:textId="22D70D00" w:rsidR="00524A03" w:rsidRPr="00EC37F5" w:rsidRDefault="00524A03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3</w:t>
      </w:r>
      <w:proofErr w:type="gramStart"/>
      <w:r w:rsidRPr="00EC37F5">
        <w:rPr>
          <w:rFonts w:ascii="Cambria" w:hAnsi="Cambria"/>
          <w:sz w:val="20"/>
          <w:szCs w:val="20"/>
        </w:rPr>
        <w:t xml:space="preserve">. </w:t>
      </w:r>
      <w:r w:rsidR="00855DFE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As</w:t>
      </w:r>
      <w:proofErr w:type="gramEnd"/>
      <w:r w:rsidRPr="00EC37F5">
        <w:rPr>
          <w:rFonts w:ascii="Cambria" w:hAnsi="Cambria"/>
          <w:sz w:val="20"/>
          <w:szCs w:val="20"/>
        </w:rPr>
        <w:t xml:space="preserve"> I promised at the Panel 2 Intersessional last March, I have produced a draft allocation </w:t>
      </w:r>
      <w:proofErr w:type="gramStart"/>
      <w:r w:rsidRPr="00EC37F5">
        <w:rPr>
          <w:rFonts w:ascii="Cambria" w:hAnsi="Cambria"/>
          <w:sz w:val="20"/>
          <w:szCs w:val="20"/>
        </w:rPr>
        <w:t>scheme  based</w:t>
      </w:r>
      <w:proofErr w:type="gramEnd"/>
      <w:r w:rsidRPr="00EC37F5">
        <w:rPr>
          <w:rFonts w:ascii="Cambria" w:hAnsi="Cambria"/>
          <w:sz w:val="20"/>
          <w:szCs w:val="20"/>
        </w:rPr>
        <w:t xml:space="preserve"> on the discussions during the three-year period. Please note that there are two versions: </w:t>
      </w:r>
      <w:r w:rsidRPr="00EC37F5">
        <w:rPr>
          <w:rFonts w:ascii="Cambria" w:hAnsi="Cambria"/>
          <w:b/>
          <w:bCs/>
          <w:sz w:val="20"/>
          <w:szCs w:val="20"/>
        </w:rPr>
        <w:t>Table 1</w:t>
      </w:r>
      <w:r w:rsidR="00BE7BCC" w:rsidRPr="00EC37F5">
        <w:rPr>
          <w:rFonts w:ascii="Cambria" w:hAnsi="Cambria"/>
          <w:b/>
          <w:bCs/>
          <w:sz w:val="20"/>
          <w:szCs w:val="20"/>
        </w:rPr>
        <w:t>.</w:t>
      </w:r>
      <w:r w:rsidRPr="00EC37F5">
        <w:rPr>
          <w:rFonts w:ascii="Cambria" w:hAnsi="Cambria"/>
          <w:b/>
          <w:bCs/>
          <w:sz w:val="20"/>
          <w:szCs w:val="20"/>
        </w:rPr>
        <w:t>1</w:t>
      </w:r>
      <w:r w:rsidRPr="00EC37F5">
        <w:rPr>
          <w:rFonts w:ascii="Cambria" w:hAnsi="Cambria"/>
          <w:sz w:val="20"/>
          <w:szCs w:val="20"/>
        </w:rPr>
        <w:t xml:space="preserve"> </w:t>
      </w:r>
      <w:r w:rsidR="007C0DFA" w:rsidRPr="00EC37F5">
        <w:rPr>
          <w:rFonts w:ascii="Cambria" w:hAnsi="Cambria"/>
          <w:sz w:val="20"/>
          <w:szCs w:val="20"/>
        </w:rPr>
        <w:t xml:space="preserve">of </w:t>
      </w:r>
      <w:r w:rsidR="007C0DFA" w:rsidRPr="00EC37F5">
        <w:rPr>
          <w:rFonts w:ascii="Cambria" w:hAnsi="Cambria"/>
          <w:b/>
          <w:bCs/>
          <w:sz w:val="20"/>
          <w:szCs w:val="20"/>
        </w:rPr>
        <w:t>Appendix 1</w:t>
      </w:r>
      <w:r w:rsidR="007C0DFA" w:rsidRPr="00EC37F5">
        <w:rPr>
          <w:rFonts w:ascii="Cambria" w:hAnsi="Cambria"/>
          <w:sz w:val="20"/>
          <w:szCs w:val="20"/>
        </w:rPr>
        <w:t xml:space="preserve"> </w:t>
      </w:r>
      <w:r w:rsidRPr="00EC37F5">
        <w:rPr>
          <w:rFonts w:ascii="Cambria" w:hAnsi="Cambria"/>
          <w:sz w:val="20"/>
          <w:szCs w:val="20"/>
        </w:rPr>
        <w:t xml:space="preserve">for 48,403 t and </w:t>
      </w:r>
      <w:r w:rsidRPr="00EC37F5">
        <w:rPr>
          <w:rFonts w:ascii="Cambria" w:hAnsi="Cambria"/>
          <w:b/>
          <w:bCs/>
          <w:sz w:val="20"/>
          <w:szCs w:val="20"/>
        </w:rPr>
        <w:t>Table 1</w:t>
      </w:r>
      <w:r w:rsidR="00BE7BCC" w:rsidRPr="00EC37F5">
        <w:rPr>
          <w:rFonts w:ascii="Cambria" w:hAnsi="Cambria"/>
          <w:b/>
          <w:bCs/>
          <w:sz w:val="20"/>
          <w:szCs w:val="20"/>
        </w:rPr>
        <w:t>.</w:t>
      </w:r>
      <w:r w:rsidRPr="00EC37F5">
        <w:rPr>
          <w:rFonts w:ascii="Cambria" w:hAnsi="Cambria"/>
          <w:b/>
          <w:bCs/>
          <w:sz w:val="20"/>
          <w:szCs w:val="20"/>
        </w:rPr>
        <w:t>2</w:t>
      </w:r>
      <w:r w:rsidRPr="00EC37F5">
        <w:rPr>
          <w:rFonts w:ascii="Cambria" w:hAnsi="Cambria"/>
          <w:sz w:val="20"/>
          <w:szCs w:val="20"/>
        </w:rPr>
        <w:t xml:space="preserve"> </w:t>
      </w:r>
      <w:r w:rsidR="007C0DFA" w:rsidRPr="00EC37F5">
        <w:rPr>
          <w:rFonts w:ascii="Cambria" w:hAnsi="Cambria"/>
          <w:sz w:val="20"/>
          <w:szCs w:val="20"/>
        </w:rPr>
        <w:t xml:space="preserve">of </w:t>
      </w:r>
      <w:r w:rsidR="007C0DFA" w:rsidRPr="00EC37F5">
        <w:rPr>
          <w:rFonts w:ascii="Cambria" w:hAnsi="Cambria"/>
          <w:b/>
          <w:bCs/>
          <w:sz w:val="20"/>
          <w:szCs w:val="20"/>
        </w:rPr>
        <w:t>Appendix 1</w:t>
      </w:r>
      <w:r w:rsidR="007C0DFA" w:rsidRPr="00EC37F5">
        <w:rPr>
          <w:rFonts w:ascii="Cambria" w:hAnsi="Cambria"/>
          <w:b/>
          <w:bCs/>
          <w:sz w:val="20"/>
          <w:szCs w:val="20"/>
        </w:rPr>
        <w:t xml:space="preserve"> </w:t>
      </w:r>
      <w:r w:rsidRPr="00EC37F5">
        <w:rPr>
          <w:rFonts w:ascii="Cambria" w:hAnsi="Cambria"/>
          <w:sz w:val="20"/>
          <w:szCs w:val="20"/>
        </w:rPr>
        <w:t xml:space="preserve">for 45,191 t for indicative purposes only. </w:t>
      </w:r>
      <w:r w:rsidR="00BE7BCC" w:rsidRPr="00EC37F5">
        <w:rPr>
          <w:rFonts w:ascii="Cambria" w:hAnsi="Cambria"/>
          <w:sz w:val="20"/>
          <w:szCs w:val="20"/>
        </w:rPr>
        <w:t>Again,</w:t>
      </w:r>
      <w:r w:rsidRPr="00EC37F5">
        <w:rPr>
          <w:rFonts w:ascii="Cambria" w:hAnsi="Cambria"/>
          <w:sz w:val="20"/>
          <w:szCs w:val="20"/>
        </w:rPr>
        <w:t xml:space="preserve"> it is Panel 2 not Chair to decide on the TAC.</w:t>
      </w:r>
    </w:p>
    <w:p w14:paraId="1AFACF72" w14:textId="77777777" w:rsidR="00524A03" w:rsidRPr="00EC37F5" w:rsidRDefault="00524A03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</w:p>
    <w:p w14:paraId="60EDDD5A" w14:textId="77777777" w:rsidR="003F144B" w:rsidRPr="00EC37F5" w:rsidRDefault="00524A03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4</w:t>
      </w:r>
      <w:proofErr w:type="gramStart"/>
      <w:r w:rsidRPr="00EC37F5">
        <w:rPr>
          <w:rFonts w:ascii="Cambria" w:hAnsi="Cambria"/>
          <w:sz w:val="20"/>
          <w:szCs w:val="20"/>
        </w:rPr>
        <w:t xml:space="preserve">. </w:t>
      </w:r>
      <w:r w:rsidR="00855DFE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I</w:t>
      </w:r>
      <w:proofErr w:type="gramEnd"/>
      <w:r w:rsidRPr="00EC37F5">
        <w:rPr>
          <w:rFonts w:ascii="Cambria" w:hAnsi="Cambria"/>
          <w:sz w:val="20"/>
          <w:szCs w:val="20"/>
        </w:rPr>
        <w:t xml:space="preserve"> intend to interview each Panel 2 Member during the annual meeting. I will be available during the </w:t>
      </w:r>
      <w:r w:rsidR="00A16559" w:rsidRPr="00EC37F5">
        <w:rPr>
          <w:rFonts w:ascii="Cambria" w:hAnsi="Cambria"/>
          <w:sz w:val="20"/>
          <w:szCs w:val="20"/>
        </w:rPr>
        <w:t>Compliance Committee (</w:t>
      </w:r>
      <w:r w:rsidRPr="00EC37F5">
        <w:rPr>
          <w:rFonts w:ascii="Cambria" w:hAnsi="Cambria"/>
          <w:sz w:val="20"/>
          <w:szCs w:val="20"/>
        </w:rPr>
        <w:t>COC</w:t>
      </w:r>
      <w:r w:rsidR="00A16559" w:rsidRPr="00EC37F5">
        <w:rPr>
          <w:rFonts w:ascii="Cambria" w:hAnsi="Cambria"/>
          <w:sz w:val="20"/>
          <w:szCs w:val="20"/>
        </w:rPr>
        <w:t>)</w:t>
      </w:r>
      <w:r w:rsidRPr="00EC37F5">
        <w:rPr>
          <w:rFonts w:ascii="Cambria" w:hAnsi="Cambria"/>
          <w:sz w:val="20"/>
          <w:szCs w:val="20"/>
        </w:rPr>
        <w:t xml:space="preserve"> session (15</w:t>
      </w:r>
      <w:r w:rsidR="00DE193F" w:rsidRPr="00EC37F5">
        <w:rPr>
          <w:rFonts w:ascii="Cambria" w:hAnsi="Cambria"/>
          <w:sz w:val="20"/>
          <w:szCs w:val="20"/>
        </w:rPr>
        <w:t>-</w:t>
      </w:r>
      <w:r w:rsidRPr="00EC37F5">
        <w:rPr>
          <w:rFonts w:ascii="Cambria" w:hAnsi="Cambria"/>
          <w:sz w:val="20"/>
          <w:szCs w:val="20"/>
        </w:rPr>
        <w:t>16</w:t>
      </w:r>
      <w:r w:rsidR="00DE193F" w:rsidRPr="00EC37F5">
        <w:rPr>
          <w:rFonts w:ascii="Cambria" w:hAnsi="Cambria"/>
          <w:sz w:val="20"/>
          <w:szCs w:val="20"/>
        </w:rPr>
        <w:t xml:space="preserve"> November</w:t>
      </w:r>
      <w:r w:rsidRPr="00EC37F5">
        <w:rPr>
          <w:rFonts w:ascii="Cambria" w:hAnsi="Cambria"/>
          <w:sz w:val="20"/>
          <w:szCs w:val="20"/>
        </w:rPr>
        <w:t xml:space="preserve">) as well as COC, </w:t>
      </w:r>
      <w:r w:rsidR="00940EE7" w:rsidRPr="00EC37F5">
        <w:rPr>
          <w:rFonts w:ascii="Cambria" w:hAnsi="Cambria"/>
          <w:sz w:val="20"/>
          <w:szCs w:val="20"/>
        </w:rPr>
        <w:t xml:space="preserve">the </w:t>
      </w:r>
      <w:r w:rsidR="00940EE7" w:rsidRPr="00EC37F5">
        <w:rPr>
          <w:rFonts w:ascii="Cambria" w:eastAsia="Calibri" w:hAnsi="Cambria" w:cs="Cambria"/>
          <w:color w:val="000000"/>
          <w:sz w:val="20"/>
          <w:szCs w:val="20"/>
        </w:rPr>
        <w:t>Permanent Working Group for the Improvement of ICCAT Statistics and Conservation Measures (</w:t>
      </w:r>
      <w:r w:rsidRPr="00EC37F5">
        <w:rPr>
          <w:rFonts w:ascii="Cambria" w:hAnsi="Cambria"/>
          <w:sz w:val="20"/>
          <w:szCs w:val="20"/>
        </w:rPr>
        <w:t>PWG</w:t>
      </w:r>
      <w:r w:rsidR="00940EE7" w:rsidRPr="00EC37F5">
        <w:rPr>
          <w:rFonts w:ascii="Cambria" w:hAnsi="Cambria"/>
          <w:sz w:val="20"/>
          <w:szCs w:val="20"/>
        </w:rPr>
        <w:t>)</w:t>
      </w:r>
      <w:r w:rsidRPr="00EC37F5">
        <w:rPr>
          <w:rFonts w:ascii="Cambria" w:hAnsi="Cambria"/>
          <w:sz w:val="20"/>
          <w:szCs w:val="20"/>
        </w:rPr>
        <w:t xml:space="preserve"> and </w:t>
      </w:r>
      <w:r w:rsidR="00DF26E8" w:rsidRPr="00EC37F5">
        <w:rPr>
          <w:rFonts w:ascii="Cambria" w:hAnsi="Cambria"/>
          <w:sz w:val="20"/>
          <w:szCs w:val="20"/>
        </w:rPr>
        <w:t>the Standing Committee on Finance and Administration (STACFAD)</w:t>
      </w:r>
      <w:r w:rsidRPr="00EC37F5">
        <w:rPr>
          <w:rFonts w:ascii="Cambria" w:hAnsi="Cambria"/>
          <w:sz w:val="20"/>
          <w:szCs w:val="20"/>
        </w:rPr>
        <w:t xml:space="preserve"> sessions as well as coffee and lunch break during the annual meeting. Please contact me at </w:t>
      </w:r>
      <w:hyperlink r:id="rId8" w:history="1">
        <w:r w:rsidRPr="00EC37F5">
          <w:rPr>
            <w:rFonts w:ascii="Cambria" w:hAnsi="Cambria"/>
            <w:sz w:val="20"/>
            <w:szCs w:val="20"/>
          </w:rPr>
          <w:t>shingo_ota810@maff.go.jp</w:t>
        </w:r>
      </w:hyperlink>
      <w:r w:rsidRPr="00EC37F5">
        <w:rPr>
          <w:rFonts w:ascii="Cambria" w:hAnsi="Cambria"/>
          <w:sz w:val="20"/>
          <w:szCs w:val="20"/>
        </w:rPr>
        <w:t xml:space="preserve"> and indicate your preferred timing if you want to arrange a meeting with me. Please note that our French interpreter will be available only from Monday</w:t>
      </w:r>
      <w:r w:rsidR="005A7422" w:rsidRPr="00EC37F5">
        <w:rPr>
          <w:rFonts w:ascii="Cambria" w:hAnsi="Cambria"/>
          <w:sz w:val="20"/>
          <w:szCs w:val="20"/>
        </w:rPr>
        <w:t>,</w:t>
      </w:r>
      <w:r w:rsidRPr="00EC37F5">
        <w:rPr>
          <w:rFonts w:ascii="Cambria" w:hAnsi="Cambria"/>
          <w:sz w:val="20"/>
          <w:szCs w:val="20"/>
        </w:rPr>
        <w:t xml:space="preserve"> </w:t>
      </w:r>
      <w:r w:rsidR="003F144B" w:rsidRPr="00EC37F5">
        <w:rPr>
          <w:rFonts w:ascii="Cambria" w:hAnsi="Cambria"/>
          <w:sz w:val="20"/>
          <w:szCs w:val="20"/>
        </w:rPr>
        <w:t xml:space="preserve">17 </w:t>
      </w:r>
      <w:r w:rsidR="005A7422" w:rsidRPr="00EC37F5">
        <w:rPr>
          <w:rFonts w:ascii="Cambria" w:hAnsi="Cambria"/>
          <w:sz w:val="20"/>
          <w:szCs w:val="20"/>
        </w:rPr>
        <w:t>November</w:t>
      </w:r>
      <w:r w:rsidRPr="00EC37F5">
        <w:rPr>
          <w:rFonts w:ascii="Cambria" w:hAnsi="Cambria"/>
          <w:sz w:val="20"/>
          <w:szCs w:val="20"/>
        </w:rPr>
        <w:t>.</w:t>
      </w:r>
      <w:r w:rsidR="00995BDB" w:rsidRPr="00EC37F5">
        <w:rPr>
          <w:rFonts w:ascii="Cambria" w:hAnsi="Cambria"/>
          <w:sz w:val="20"/>
          <w:szCs w:val="20"/>
        </w:rPr>
        <w:t xml:space="preserve"> </w:t>
      </w:r>
    </w:p>
    <w:p w14:paraId="786A6508" w14:textId="77777777" w:rsidR="003F144B" w:rsidRPr="00EC37F5" w:rsidRDefault="003F144B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</w:p>
    <w:p w14:paraId="7689BB82" w14:textId="2051AD19" w:rsidR="00524A03" w:rsidRPr="00EC37F5" w:rsidRDefault="00995BDB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I look forward to working with you in Sevilla.</w:t>
      </w:r>
    </w:p>
    <w:p w14:paraId="3301CDE8" w14:textId="77777777" w:rsidR="00524A03" w:rsidRPr="00EC37F5" w:rsidRDefault="00524A03" w:rsidP="001E63AC">
      <w:pPr>
        <w:widowControl/>
        <w:spacing w:line="240" w:lineRule="exact"/>
        <w:jc w:val="lef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br w:type="page"/>
      </w:r>
    </w:p>
    <w:p w14:paraId="0A5C432A" w14:textId="77777777" w:rsidR="00B178D1" w:rsidRPr="00EC37F5" w:rsidRDefault="00B178D1" w:rsidP="00B178D1">
      <w:pPr>
        <w:spacing w:line="240" w:lineRule="exact"/>
        <w:jc w:val="right"/>
        <w:rPr>
          <w:rFonts w:ascii="Cambria" w:hAnsi="Cambria"/>
          <w:b/>
          <w:bCs/>
          <w:sz w:val="20"/>
          <w:szCs w:val="20"/>
        </w:rPr>
      </w:pPr>
      <w:r w:rsidRPr="00EC37F5">
        <w:rPr>
          <w:rFonts w:ascii="Cambria" w:hAnsi="Cambria"/>
          <w:b/>
          <w:bCs/>
          <w:sz w:val="20"/>
          <w:szCs w:val="20"/>
        </w:rPr>
        <w:lastRenderedPageBreak/>
        <w:t xml:space="preserve">Original: English </w:t>
      </w:r>
    </w:p>
    <w:p w14:paraId="10894B66" w14:textId="77777777" w:rsidR="00B178D1" w:rsidRPr="00EC37F5" w:rsidRDefault="00B178D1" w:rsidP="00B178D1">
      <w:pPr>
        <w:spacing w:line="240" w:lineRule="exact"/>
        <w:jc w:val="right"/>
        <w:rPr>
          <w:rFonts w:ascii="Cambria" w:hAnsi="Cambria"/>
          <w:b/>
          <w:bCs/>
          <w:sz w:val="20"/>
          <w:szCs w:val="20"/>
        </w:rPr>
      </w:pPr>
    </w:p>
    <w:p w14:paraId="311146E2" w14:textId="77777777" w:rsidR="0044179E" w:rsidRPr="00EC37F5" w:rsidRDefault="0044179E" w:rsidP="00A24F31">
      <w:pPr>
        <w:spacing w:line="240" w:lineRule="exact"/>
        <w:jc w:val="right"/>
        <w:rPr>
          <w:rFonts w:ascii="Cambria" w:hAnsi="Cambria"/>
          <w:b/>
          <w:bCs/>
          <w:sz w:val="20"/>
          <w:szCs w:val="20"/>
        </w:rPr>
      </w:pPr>
    </w:p>
    <w:p w14:paraId="761F6693" w14:textId="47ED96F8" w:rsidR="00205768" w:rsidRPr="00EC37F5" w:rsidRDefault="00141242" w:rsidP="00A24F31">
      <w:pPr>
        <w:spacing w:line="240" w:lineRule="exact"/>
        <w:jc w:val="center"/>
        <w:rPr>
          <w:rFonts w:ascii="Cambria" w:hAnsi="Cambria"/>
          <w:b/>
          <w:bCs/>
          <w:sz w:val="20"/>
          <w:szCs w:val="20"/>
        </w:rPr>
      </w:pPr>
      <w:r w:rsidRPr="00EC37F5">
        <w:rPr>
          <w:rFonts w:ascii="Cambria" w:hAnsi="Cambria"/>
          <w:b/>
          <w:bCs/>
          <w:sz w:val="20"/>
          <w:szCs w:val="20"/>
        </w:rPr>
        <w:t xml:space="preserve">Draft allocation scheme for </w:t>
      </w:r>
      <w:r w:rsidR="008635B6" w:rsidRPr="00EC37F5">
        <w:rPr>
          <w:rFonts w:ascii="Cambria" w:hAnsi="Cambria"/>
          <w:b/>
          <w:bCs/>
          <w:sz w:val="20"/>
          <w:szCs w:val="20"/>
        </w:rPr>
        <w:t>the eastern Atlantic and Mediterranean bluefin tuna</w:t>
      </w:r>
      <w:r w:rsidRPr="00EC37F5">
        <w:rPr>
          <w:rFonts w:ascii="Cambria" w:hAnsi="Cambria"/>
          <w:b/>
          <w:bCs/>
          <w:sz w:val="20"/>
          <w:szCs w:val="20"/>
        </w:rPr>
        <w:t xml:space="preserve"> stock</w:t>
      </w:r>
    </w:p>
    <w:p w14:paraId="3D65A148" w14:textId="7EE90DE3" w:rsidR="00F139D7" w:rsidRPr="00EC37F5" w:rsidRDefault="00F139D7" w:rsidP="00A24F31">
      <w:pPr>
        <w:spacing w:line="240" w:lineRule="exact"/>
        <w:jc w:val="center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i/>
          <w:iCs/>
          <w:sz w:val="20"/>
          <w:szCs w:val="20"/>
        </w:rPr>
        <w:t>(submitted by the Panel 2 Chair)</w:t>
      </w:r>
    </w:p>
    <w:p w14:paraId="6A5BE4FD" w14:textId="626CA216" w:rsidR="008635B6" w:rsidRPr="00EC37F5" w:rsidRDefault="008635B6" w:rsidP="00A24F31">
      <w:pPr>
        <w:spacing w:line="240" w:lineRule="exact"/>
        <w:rPr>
          <w:rFonts w:ascii="Cambria" w:hAnsi="Cambria"/>
          <w:sz w:val="20"/>
          <w:szCs w:val="20"/>
        </w:rPr>
      </w:pPr>
    </w:p>
    <w:p w14:paraId="111B5286" w14:textId="62C9E35D" w:rsidR="005B4D83" w:rsidRPr="00EC37F5" w:rsidRDefault="00160896" w:rsidP="00855DFE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The scheme </w:t>
      </w:r>
      <w:r w:rsidR="003C520B" w:rsidRPr="00EC37F5">
        <w:rPr>
          <w:rFonts w:ascii="Cambria" w:hAnsi="Cambria"/>
          <w:sz w:val="20"/>
          <w:szCs w:val="20"/>
        </w:rPr>
        <w:t>is based on the following ideas</w:t>
      </w:r>
      <w:r w:rsidR="005B4D83" w:rsidRPr="00EC37F5">
        <w:rPr>
          <w:rFonts w:ascii="Cambria" w:hAnsi="Cambria"/>
          <w:sz w:val="20"/>
          <w:szCs w:val="20"/>
        </w:rPr>
        <w:t>:</w:t>
      </w:r>
    </w:p>
    <w:p w14:paraId="0A726CF0" w14:textId="77777777" w:rsidR="00855DFE" w:rsidRPr="00EC37F5" w:rsidRDefault="00855DFE" w:rsidP="00855DFE">
      <w:pPr>
        <w:pStyle w:val="ListParagraph"/>
        <w:tabs>
          <w:tab w:val="left" w:pos="426"/>
        </w:tabs>
        <w:spacing w:line="240" w:lineRule="exact"/>
        <w:ind w:left="792"/>
        <w:rPr>
          <w:rFonts w:ascii="Cambria" w:hAnsi="Cambria"/>
          <w:sz w:val="20"/>
          <w:szCs w:val="20"/>
        </w:rPr>
      </w:pPr>
    </w:p>
    <w:p w14:paraId="74CDF7AB" w14:textId="4EEEDEF7" w:rsidR="00165428" w:rsidRPr="00EC37F5" w:rsidRDefault="005B4D83" w:rsidP="00855DFE">
      <w:pPr>
        <w:spacing w:line="240" w:lineRule="exact"/>
        <w:ind w:firstLine="426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(1) </w:t>
      </w:r>
      <w:r w:rsidR="00165428" w:rsidRPr="00EC37F5">
        <w:rPr>
          <w:rFonts w:ascii="Cambria" w:hAnsi="Cambria"/>
          <w:sz w:val="20"/>
          <w:szCs w:val="20"/>
        </w:rPr>
        <w:t>The allocations under Rec. 22-08 are kept as a starting point.</w:t>
      </w:r>
    </w:p>
    <w:p w14:paraId="6A569FEE" w14:textId="331CF137" w:rsidR="00A92E32" w:rsidRPr="00EC37F5" w:rsidRDefault="00165428" w:rsidP="00855DFE">
      <w:pPr>
        <w:spacing w:line="240" w:lineRule="exact"/>
        <w:ind w:firstLine="426"/>
        <w:rPr>
          <w:rFonts w:ascii="Cambria" w:hAnsi="Cambria"/>
          <w:sz w:val="20"/>
          <w:szCs w:val="20"/>
        </w:rPr>
      </w:pPr>
      <w:r w:rsidRPr="00EC37F5">
        <w:rPr>
          <w:rFonts w:ascii="Cambria" w:hAnsi="Cambria" w:hint="eastAsia"/>
          <w:sz w:val="20"/>
          <w:szCs w:val="20"/>
        </w:rPr>
        <w:t>(</w:t>
      </w:r>
      <w:r w:rsidRPr="00EC37F5">
        <w:rPr>
          <w:rFonts w:ascii="Cambria" w:hAnsi="Cambria"/>
          <w:sz w:val="20"/>
          <w:szCs w:val="20"/>
        </w:rPr>
        <w:t xml:space="preserve">2) The increased portion of the TAC </w:t>
      </w:r>
      <w:r w:rsidR="005B4D83" w:rsidRPr="00EC37F5">
        <w:rPr>
          <w:rFonts w:ascii="Cambria" w:hAnsi="Cambria"/>
          <w:sz w:val="20"/>
          <w:szCs w:val="20"/>
        </w:rPr>
        <w:t>is divided into</w:t>
      </w:r>
      <w:r w:rsidR="003C520B" w:rsidRPr="00EC37F5">
        <w:rPr>
          <w:rFonts w:ascii="Cambria" w:hAnsi="Cambria"/>
          <w:sz w:val="20"/>
          <w:szCs w:val="20"/>
        </w:rPr>
        <w:t>:</w:t>
      </w:r>
      <w:r w:rsidR="005B4D83" w:rsidRPr="00EC37F5">
        <w:rPr>
          <w:rFonts w:ascii="Cambria" w:hAnsi="Cambria"/>
          <w:sz w:val="20"/>
          <w:szCs w:val="20"/>
        </w:rPr>
        <w:t xml:space="preserve"> </w:t>
      </w:r>
    </w:p>
    <w:p w14:paraId="4575B432" w14:textId="77777777" w:rsidR="00855DFE" w:rsidRPr="00EC37F5" w:rsidRDefault="00855DFE" w:rsidP="00855DFE">
      <w:pPr>
        <w:spacing w:line="240" w:lineRule="exact"/>
        <w:ind w:firstLine="426"/>
        <w:rPr>
          <w:rFonts w:ascii="Cambria" w:hAnsi="Cambria"/>
          <w:sz w:val="20"/>
          <w:szCs w:val="20"/>
        </w:rPr>
      </w:pPr>
    </w:p>
    <w:p w14:paraId="2090F2D3" w14:textId="5FFBB0A9" w:rsidR="00165428" w:rsidRPr="00EC37F5" w:rsidRDefault="00165428" w:rsidP="007C30BB">
      <w:pPr>
        <w:pStyle w:val="ListParagraph"/>
        <w:numPr>
          <w:ilvl w:val="0"/>
          <w:numId w:val="2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allocation for new entrants (CPCs requesting quotas)  </w:t>
      </w:r>
    </w:p>
    <w:p w14:paraId="4B99A27F" w14:textId="77777777" w:rsidR="007C30BB" w:rsidRPr="00EC37F5" w:rsidRDefault="007C30BB" w:rsidP="007C30BB">
      <w:pPr>
        <w:pStyle w:val="ListParagraph"/>
        <w:spacing w:line="240" w:lineRule="exact"/>
        <w:ind w:left="1200"/>
        <w:rPr>
          <w:rFonts w:ascii="Cambria" w:hAnsi="Cambria"/>
          <w:sz w:val="20"/>
          <w:szCs w:val="20"/>
        </w:rPr>
      </w:pPr>
    </w:p>
    <w:p w14:paraId="6747AA2A" w14:textId="0523A917" w:rsidR="00A92E32" w:rsidRPr="00EC37F5" w:rsidRDefault="00165428" w:rsidP="00A24F31">
      <w:pPr>
        <w:spacing w:line="240" w:lineRule="exact"/>
        <w:ind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(b) additional increase </w:t>
      </w:r>
      <w:r w:rsidR="003C520B" w:rsidRPr="00EC37F5">
        <w:rPr>
          <w:rFonts w:ascii="Cambria" w:hAnsi="Cambria"/>
          <w:sz w:val="20"/>
          <w:szCs w:val="20"/>
        </w:rPr>
        <w:t>based on specific ideas</w:t>
      </w:r>
      <w:r w:rsidRPr="00EC37F5">
        <w:rPr>
          <w:rFonts w:ascii="Cambria" w:hAnsi="Cambria"/>
          <w:sz w:val="20"/>
          <w:szCs w:val="20"/>
        </w:rPr>
        <w:t xml:space="preserve"> below:</w:t>
      </w:r>
    </w:p>
    <w:p w14:paraId="067B73DB" w14:textId="43139123" w:rsidR="00165428" w:rsidRPr="00EC37F5" w:rsidRDefault="00165428" w:rsidP="00A24F31">
      <w:pPr>
        <w:spacing w:line="240" w:lineRule="exact"/>
        <w:ind w:leftChars="202" w:left="424"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(i</w:t>
      </w:r>
      <w:proofErr w:type="gramStart"/>
      <w:r w:rsidRPr="00EC37F5">
        <w:rPr>
          <w:rFonts w:ascii="Cambria" w:hAnsi="Cambria"/>
          <w:sz w:val="20"/>
          <w:szCs w:val="20"/>
        </w:rPr>
        <w:t xml:space="preserve">) </w:t>
      </w:r>
      <w:r w:rsidR="00D90C58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small</w:t>
      </w:r>
      <w:proofErr w:type="gramEnd"/>
      <w:r w:rsidRPr="00EC37F5">
        <w:rPr>
          <w:rFonts w:ascii="Cambria" w:hAnsi="Cambria"/>
          <w:sz w:val="20"/>
          <w:szCs w:val="20"/>
        </w:rPr>
        <w:t xml:space="preserve"> quota </w:t>
      </w:r>
      <w:proofErr w:type="gramStart"/>
      <w:r w:rsidRPr="00EC37F5">
        <w:rPr>
          <w:rFonts w:ascii="Cambria" w:hAnsi="Cambria"/>
          <w:sz w:val="20"/>
          <w:szCs w:val="20"/>
        </w:rPr>
        <w:t>holders;</w:t>
      </w:r>
      <w:proofErr w:type="gramEnd"/>
      <w:r w:rsidRPr="00EC37F5">
        <w:rPr>
          <w:rFonts w:ascii="Cambria" w:hAnsi="Cambria"/>
          <w:sz w:val="20"/>
          <w:szCs w:val="20"/>
        </w:rPr>
        <w:t xml:space="preserve"> </w:t>
      </w:r>
    </w:p>
    <w:p w14:paraId="49184E48" w14:textId="60B3C939" w:rsidR="00165428" w:rsidRPr="00EC37F5" w:rsidRDefault="00165428" w:rsidP="00A24F31">
      <w:pPr>
        <w:spacing w:line="240" w:lineRule="exact"/>
        <w:ind w:leftChars="202" w:left="424"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(ii</w:t>
      </w:r>
      <w:proofErr w:type="gramStart"/>
      <w:r w:rsidRPr="00EC37F5">
        <w:rPr>
          <w:rFonts w:ascii="Cambria" w:hAnsi="Cambria"/>
          <w:sz w:val="20"/>
          <w:szCs w:val="20"/>
        </w:rPr>
        <w:t xml:space="preserve">) </w:t>
      </w:r>
      <w:r w:rsidR="00D90C58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developing</w:t>
      </w:r>
      <w:proofErr w:type="gramEnd"/>
      <w:r w:rsidRPr="00EC37F5">
        <w:rPr>
          <w:rFonts w:ascii="Cambria" w:hAnsi="Cambria"/>
          <w:sz w:val="20"/>
          <w:szCs w:val="20"/>
        </w:rPr>
        <w:t xml:space="preserve"> </w:t>
      </w:r>
      <w:proofErr w:type="gramStart"/>
      <w:r w:rsidRPr="00EC37F5">
        <w:rPr>
          <w:rFonts w:ascii="Cambria" w:hAnsi="Cambria"/>
          <w:sz w:val="20"/>
          <w:szCs w:val="20"/>
        </w:rPr>
        <w:t>status;</w:t>
      </w:r>
      <w:proofErr w:type="gramEnd"/>
      <w:r w:rsidRPr="00EC37F5">
        <w:rPr>
          <w:rFonts w:ascii="Cambria" w:hAnsi="Cambria"/>
          <w:sz w:val="20"/>
          <w:szCs w:val="20"/>
        </w:rPr>
        <w:t xml:space="preserve"> </w:t>
      </w:r>
    </w:p>
    <w:p w14:paraId="44800310" w14:textId="13829120" w:rsidR="00165428" w:rsidRPr="00EC37F5" w:rsidRDefault="00165428" w:rsidP="00D90C58">
      <w:pPr>
        <w:tabs>
          <w:tab w:val="left" w:pos="1701"/>
        </w:tabs>
        <w:spacing w:line="240" w:lineRule="exact"/>
        <w:ind w:leftChars="202" w:left="424"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(iii</w:t>
      </w:r>
      <w:proofErr w:type="gramStart"/>
      <w:r w:rsidRPr="00EC37F5">
        <w:rPr>
          <w:rFonts w:ascii="Cambria" w:hAnsi="Cambria"/>
          <w:sz w:val="20"/>
          <w:szCs w:val="20"/>
        </w:rPr>
        <w:t xml:space="preserve">) </w:t>
      </w:r>
      <w:r w:rsidR="00D90C58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coastal</w:t>
      </w:r>
      <w:proofErr w:type="gramEnd"/>
      <w:r w:rsidRPr="00EC37F5">
        <w:rPr>
          <w:rFonts w:ascii="Cambria" w:hAnsi="Cambria"/>
          <w:sz w:val="20"/>
          <w:szCs w:val="20"/>
        </w:rPr>
        <w:t xml:space="preserve"> countries </w:t>
      </w:r>
      <w:proofErr w:type="gramStart"/>
      <w:r w:rsidRPr="00EC37F5">
        <w:rPr>
          <w:rFonts w:ascii="Cambria" w:hAnsi="Cambria"/>
          <w:sz w:val="20"/>
          <w:szCs w:val="20"/>
        </w:rPr>
        <w:t>status;</w:t>
      </w:r>
      <w:proofErr w:type="gramEnd"/>
      <w:r w:rsidRPr="00EC37F5">
        <w:rPr>
          <w:rFonts w:ascii="Cambria" w:hAnsi="Cambria"/>
          <w:sz w:val="20"/>
          <w:szCs w:val="20"/>
        </w:rPr>
        <w:t xml:space="preserve"> </w:t>
      </w:r>
    </w:p>
    <w:p w14:paraId="7E024DA8" w14:textId="7B6030B6" w:rsidR="00165428" w:rsidRPr="00EC37F5" w:rsidRDefault="00165428" w:rsidP="00A24F31">
      <w:pPr>
        <w:spacing w:line="240" w:lineRule="exact"/>
        <w:ind w:leftChars="202" w:left="424"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(iv</w:t>
      </w:r>
      <w:proofErr w:type="gramStart"/>
      <w:r w:rsidRPr="00EC37F5">
        <w:rPr>
          <w:rFonts w:ascii="Cambria" w:hAnsi="Cambria"/>
          <w:sz w:val="20"/>
          <w:szCs w:val="20"/>
        </w:rPr>
        <w:t xml:space="preserve">) </w:t>
      </w:r>
      <w:r w:rsidR="00D90C58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provision</w:t>
      </w:r>
      <w:proofErr w:type="gramEnd"/>
      <w:r w:rsidRPr="00EC37F5">
        <w:rPr>
          <w:rFonts w:ascii="Cambria" w:hAnsi="Cambria"/>
          <w:sz w:val="20"/>
          <w:szCs w:val="20"/>
        </w:rPr>
        <w:t xml:space="preserve"> of MP </w:t>
      </w:r>
      <w:proofErr w:type="gramStart"/>
      <w:r w:rsidRPr="00EC37F5">
        <w:rPr>
          <w:rFonts w:ascii="Cambria" w:hAnsi="Cambria"/>
          <w:sz w:val="20"/>
          <w:szCs w:val="20"/>
        </w:rPr>
        <w:t>indices;</w:t>
      </w:r>
      <w:proofErr w:type="gramEnd"/>
      <w:r w:rsidRPr="00EC37F5">
        <w:rPr>
          <w:rFonts w:ascii="Cambria" w:hAnsi="Cambria"/>
          <w:sz w:val="20"/>
          <w:szCs w:val="20"/>
        </w:rPr>
        <w:t xml:space="preserve"> </w:t>
      </w:r>
    </w:p>
    <w:p w14:paraId="396A25DC" w14:textId="5D5E8DEC" w:rsidR="00165428" w:rsidRPr="00EC37F5" w:rsidRDefault="00165428" w:rsidP="00A24F31">
      <w:pPr>
        <w:spacing w:line="240" w:lineRule="exact"/>
        <w:ind w:leftChars="202" w:left="424"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(v</w:t>
      </w:r>
      <w:proofErr w:type="gramStart"/>
      <w:r w:rsidRPr="00EC37F5">
        <w:rPr>
          <w:rFonts w:ascii="Cambria" w:hAnsi="Cambria"/>
          <w:sz w:val="20"/>
          <w:szCs w:val="20"/>
        </w:rPr>
        <w:t xml:space="preserve">) </w:t>
      </w:r>
      <w:r w:rsidR="00D90C58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small</w:t>
      </w:r>
      <w:proofErr w:type="gramEnd"/>
      <w:r w:rsidRPr="00EC37F5">
        <w:rPr>
          <w:rFonts w:ascii="Cambria" w:hAnsi="Cambria"/>
          <w:sz w:val="20"/>
          <w:szCs w:val="20"/>
        </w:rPr>
        <w:t>-scale fisheries; and</w:t>
      </w:r>
    </w:p>
    <w:p w14:paraId="383B3E44" w14:textId="758A178F" w:rsidR="00165428" w:rsidRPr="00EC37F5" w:rsidRDefault="00165428" w:rsidP="00A24F31">
      <w:pPr>
        <w:spacing w:line="240" w:lineRule="exact"/>
        <w:ind w:leftChars="202" w:left="424"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(vi</w:t>
      </w:r>
      <w:proofErr w:type="gramStart"/>
      <w:r w:rsidRPr="00EC37F5">
        <w:rPr>
          <w:rFonts w:ascii="Cambria" w:hAnsi="Cambria"/>
          <w:sz w:val="20"/>
          <w:szCs w:val="20"/>
        </w:rPr>
        <w:t xml:space="preserve">) </w:t>
      </w:r>
      <w:r w:rsidR="00D90C58" w:rsidRPr="00EC37F5">
        <w:rPr>
          <w:rFonts w:ascii="Cambria" w:hAnsi="Cambria"/>
          <w:sz w:val="20"/>
          <w:szCs w:val="20"/>
        </w:rPr>
        <w:tab/>
      </w:r>
      <w:r w:rsidRPr="00EC37F5">
        <w:rPr>
          <w:rFonts w:ascii="Cambria" w:hAnsi="Cambria"/>
          <w:sz w:val="20"/>
          <w:szCs w:val="20"/>
        </w:rPr>
        <w:t>actual</w:t>
      </w:r>
      <w:proofErr w:type="gramEnd"/>
      <w:r w:rsidRPr="00EC37F5">
        <w:rPr>
          <w:rFonts w:ascii="Cambria" w:hAnsi="Cambria"/>
          <w:sz w:val="20"/>
          <w:szCs w:val="20"/>
        </w:rPr>
        <w:t xml:space="preserve"> usage of allocation in 2023 and 2024</w:t>
      </w:r>
      <w:r w:rsidRPr="00EC37F5">
        <w:rPr>
          <w:rStyle w:val="FootnoteReference"/>
          <w:rFonts w:ascii="Cambria" w:hAnsi="Cambria"/>
          <w:sz w:val="20"/>
          <w:szCs w:val="20"/>
        </w:rPr>
        <w:footnoteReference w:id="1"/>
      </w:r>
      <w:r w:rsidRPr="00EC37F5">
        <w:rPr>
          <w:rFonts w:ascii="Cambria" w:hAnsi="Cambria"/>
          <w:sz w:val="20"/>
          <w:szCs w:val="20"/>
        </w:rPr>
        <w:t xml:space="preserve">  </w:t>
      </w:r>
    </w:p>
    <w:p w14:paraId="1941FE5A" w14:textId="77777777" w:rsidR="007C30BB" w:rsidRPr="00EC37F5" w:rsidRDefault="007C30BB" w:rsidP="00A24F31">
      <w:pPr>
        <w:spacing w:line="240" w:lineRule="exact"/>
        <w:ind w:leftChars="202" w:left="424" w:firstLine="840"/>
        <w:rPr>
          <w:rFonts w:ascii="Cambria" w:hAnsi="Cambria"/>
          <w:sz w:val="20"/>
          <w:szCs w:val="20"/>
        </w:rPr>
      </w:pPr>
    </w:p>
    <w:p w14:paraId="5ED6A496" w14:textId="33F6B3FF" w:rsidR="00A92E32" w:rsidRPr="00EC37F5" w:rsidRDefault="003C520B" w:rsidP="00A24F31">
      <w:pPr>
        <w:spacing w:line="240" w:lineRule="exact"/>
        <w:ind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(</w:t>
      </w:r>
      <w:r w:rsidR="00165428" w:rsidRPr="00EC37F5">
        <w:rPr>
          <w:rFonts w:ascii="Cambria" w:hAnsi="Cambria"/>
          <w:sz w:val="20"/>
          <w:szCs w:val="20"/>
        </w:rPr>
        <w:t>c</w:t>
      </w:r>
      <w:r w:rsidRPr="00EC37F5">
        <w:rPr>
          <w:rFonts w:ascii="Cambria" w:hAnsi="Cambria"/>
          <w:sz w:val="20"/>
          <w:szCs w:val="20"/>
        </w:rPr>
        <w:t>)</w:t>
      </w:r>
      <w:r w:rsidR="00165428" w:rsidRPr="00EC37F5">
        <w:rPr>
          <w:rFonts w:ascii="Cambria" w:hAnsi="Cambria"/>
          <w:sz w:val="20"/>
          <w:szCs w:val="20"/>
        </w:rPr>
        <w:t xml:space="preserve"> pro rata </w:t>
      </w:r>
      <w:proofErr w:type="gramStart"/>
      <w:r w:rsidR="00165428" w:rsidRPr="00EC37F5">
        <w:rPr>
          <w:rFonts w:ascii="Cambria" w:hAnsi="Cambria"/>
          <w:sz w:val="20"/>
          <w:szCs w:val="20"/>
        </w:rPr>
        <w:t>increase;</w:t>
      </w:r>
      <w:proofErr w:type="gramEnd"/>
      <w:r w:rsidRPr="00EC37F5">
        <w:rPr>
          <w:rFonts w:ascii="Cambria" w:hAnsi="Cambria"/>
          <w:sz w:val="20"/>
          <w:szCs w:val="20"/>
        </w:rPr>
        <w:t xml:space="preserve"> </w:t>
      </w:r>
    </w:p>
    <w:p w14:paraId="683DCE6F" w14:textId="77777777" w:rsidR="007C30BB" w:rsidRPr="00EC37F5" w:rsidRDefault="007C30BB" w:rsidP="00A24F31">
      <w:pPr>
        <w:spacing w:line="240" w:lineRule="exact"/>
        <w:ind w:firstLine="840"/>
        <w:rPr>
          <w:rFonts w:ascii="Cambria" w:hAnsi="Cambria"/>
          <w:sz w:val="20"/>
          <w:szCs w:val="20"/>
        </w:rPr>
      </w:pPr>
    </w:p>
    <w:p w14:paraId="59F79A1B" w14:textId="6403309F" w:rsidR="003C520B" w:rsidRPr="00EC37F5" w:rsidRDefault="003C520B" w:rsidP="00A24F31">
      <w:pPr>
        <w:spacing w:line="240" w:lineRule="exact"/>
        <w:ind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(</w:t>
      </w:r>
      <w:r w:rsidR="00165428" w:rsidRPr="00EC37F5">
        <w:rPr>
          <w:rFonts w:ascii="Cambria" w:hAnsi="Cambria"/>
          <w:sz w:val="20"/>
          <w:szCs w:val="20"/>
        </w:rPr>
        <w:t>d</w:t>
      </w:r>
      <w:r w:rsidRPr="00EC37F5">
        <w:rPr>
          <w:rFonts w:ascii="Cambria" w:hAnsi="Cambria"/>
          <w:sz w:val="20"/>
          <w:szCs w:val="20"/>
        </w:rPr>
        <w:t>) reserve</w:t>
      </w:r>
      <w:r w:rsidR="00165428" w:rsidRPr="00EC37F5">
        <w:rPr>
          <w:rFonts w:ascii="Cambria" w:hAnsi="Cambria"/>
          <w:sz w:val="20"/>
          <w:szCs w:val="20"/>
        </w:rPr>
        <w:t xml:space="preserve">; and </w:t>
      </w:r>
    </w:p>
    <w:p w14:paraId="06CA0201" w14:textId="77777777" w:rsidR="007C30BB" w:rsidRPr="00EC37F5" w:rsidRDefault="007C30BB" w:rsidP="00A24F31">
      <w:pPr>
        <w:spacing w:line="240" w:lineRule="exact"/>
        <w:ind w:firstLine="840"/>
        <w:rPr>
          <w:rFonts w:ascii="Cambria" w:hAnsi="Cambria"/>
          <w:sz w:val="20"/>
          <w:szCs w:val="20"/>
        </w:rPr>
      </w:pPr>
    </w:p>
    <w:p w14:paraId="695F8261" w14:textId="584C6699" w:rsidR="00165428" w:rsidRPr="00EC37F5" w:rsidRDefault="00165428" w:rsidP="00A24F31">
      <w:pPr>
        <w:spacing w:line="240" w:lineRule="exact"/>
        <w:ind w:firstLine="840"/>
        <w:rPr>
          <w:rFonts w:ascii="Cambria" w:hAnsi="Cambria"/>
          <w:sz w:val="20"/>
          <w:szCs w:val="20"/>
        </w:rPr>
      </w:pPr>
      <w:r w:rsidRPr="00EC37F5">
        <w:rPr>
          <w:rFonts w:ascii="Cambria" w:hAnsi="Cambria" w:hint="eastAsia"/>
          <w:sz w:val="20"/>
          <w:szCs w:val="20"/>
        </w:rPr>
        <w:t>(</w:t>
      </w:r>
      <w:r w:rsidRPr="00EC37F5">
        <w:rPr>
          <w:rFonts w:ascii="Cambria" w:hAnsi="Cambria"/>
          <w:sz w:val="20"/>
          <w:szCs w:val="20"/>
        </w:rPr>
        <w:t>e) research quota</w:t>
      </w:r>
    </w:p>
    <w:p w14:paraId="0608D2BA" w14:textId="77777777" w:rsidR="00165428" w:rsidRPr="00EC37F5" w:rsidRDefault="00165428" w:rsidP="00A24F31">
      <w:pPr>
        <w:spacing w:line="240" w:lineRule="exact"/>
        <w:ind w:firstLine="840"/>
        <w:rPr>
          <w:rFonts w:ascii="Cambria" w:hAnsi="Cambria"/>
          <w:sz w:val="20"/>
          <w:szCs w:val="20"/>
        </w:rPr>
      </w:pPr>
    </w:p>
    <w:p w14:paraId="60CC0DCB" w14:textId="49BE3254" w:rsidR="00812D8E" w:rsidRPr="00EC37F5" w:rsidRDefault="00812D8E" w:rsidP="00855DFE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The scheme </w:t>
      </w:r>
      <w:r w:rsidR="00141242" w:rsidRPr="00EC37F5">
        <w:rPr>
          <w:rFonts w:ascii="Cambria" w:hAnsi="Cambria"/>
          <w:sz w:val="20"/>
          <w:szCs w:val="20"/>
        </w:rPr>
        <w:t xml:space="preserve">was </w:t>
      </w:r>
      <w:r w:rsidR="003C520B" w:rsidRPr="00EC37F5">
        <w:rPr>
          <w:rFonts w:ascii="Cambria" w:hAnsi="Cambria"/>
          <w:sz w:val="20"/>
          <w:szCs w:val="20"/>
        </w:rPr>
        <w:t xml:space="preserve">drafted </w:t>
      </w:r>
      <w:r w:rsidRPr="00EC37F5">
        <w:rPr>
          <w:rFonts w:ascii="Cambria" w:hAnsi="Cambria"/>
          <w:sz w:val="20"/>
          <w:szCs w:val="20"/>
        </w:rPr>
        <w:t xml:space="preserve">in the following </w:t>
      </w:r>
      <w:r w:rsidR="003C520B" w:rsidRPr="00EC37F5">
        <w:rPr>
          <w:rFonts w:ascii="Cambria" w:hAnsi="Cambria"/>
          <w:sz w:val="20"/>
          <w:szCs w:val="20"/>
        </w:rPr>
        <w:t>steps</w:t>
      </w:r>
      <w:r w:rsidRPr="00EC37F5">
        <w:rPr>
          <w:rFonts w:ascii="Cambria" w:hAnsi="Cambria"/>
          <w:sz w:val="20"/>
          <w:szCs w:val="20"/>
        </w:rPr>
        <w:t>:</w:t>
      </w:r>
    </w:p>
    <w:p w14:paraId="58C46BE7" w14:textId="77777777" w:rsidR="00855DFE" w:rsidRPr="00EC37F5" w:rsidRDefault="00855DFE" w:rsidP="00855DFE">
      <w:pPr>
        <w:pStyle w:val="ListParagraph"/>
        <w:tabs>
          <w:tab w:val="left" w:pos="426"/>
        </w:tabs>
        <w:spacing w:line="240" w:lineRule="exact"/>
        <w:ind w:left="426"/>
        <w:rPr>
          <w:rFonts w:ascii="Cambria" w:hAnsi="Cambria"/>
          <w:sz w:val="20"/>
          <w:szCs w:val="20"/>
        </w:rPr>
      </w:pPr>
    </w:p>
    <w:p w14:paraId="2C509029" w14:textId="7610D0B1" w:rsidR="00812D8E" w:rsidRPr="00EC37F5" w:rsidRDefault="00812D8E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TAC </w:t>
      </w:r>
      <w:r w:rsidR="00141242" w:rsidRPr="00EC37F5">
        <w:rPr>
          <w:rFonts w:ascii="Cambria" w:hAnsi="Cambria"/>
          <w:sz w:val="20"/>
          <w:szCs w:val="20"/>
        </w:rPr>
        <w:t>is</w:t>
      </w:r>
      <w:r w:rsidRPr="00EC37F5">
        <w:rPr>
          <w:rFonts w:ascii="Cambria" w:hAnsi="Cambria"/>
          <w:sz w:val="20"/>
          <w:szCs w:val="20"/>
        </w:rPr>
        <w:t xml:space="preserve"> increased by </w:t>
      </w:r>
      <w:r w:rsidR="00605EDD" w:rsidRPr="00EC37F5">
        <w:rPr>
          <w:rFonts w:ascii="Cambria" w:hAnsi="Cambria"/>
          <w:sz w:val="20"/>
          <w:szCs w:val="20"/>
        </w:rPr>
        <w:t>X</w:t>
      </w:r>
      <w:r w:rsidRPr="00EC37F5">
        <w:rPr>
          <w:rFonts w:ascii="Cambria" w:hAnsi="Cambria"/>
          <w:sz w:val="20"/>
          <w:szCs w:val="20"/>
        </w:rPr>
        <w:t xml:space="preserve"> t</w:t>
      </w:r>
      <w:r w:rsidR="00711E16" w:rsidRPr="00EC37F5">
        <w:rPr>
          <w:rFonts w:ascii="Cambria" w:hAnsi="Cambria"/>
          <w:sz w:val="20"/>
          <w:szCs w:val="20"/>
        </w:rPr>
        <w:t>.</w:t>
      </w:r>
    </w:p>
    <w:p w14:paraId="1244D7A0" w14:textId="77777777" w:rsidR="007C30BB" w:rsidRPr="00EC37F5" w:rsidRDefault="007C30BB" w:rsidP="007C30BB">
      <w:pPr>
        <w:pStyle w:val="ListParagraph"/>
        <w:spacing w:line="240" w:lineRule="exact"/>
        <w:ind w:left="834"/>
        <w:rPr>
          <w:rFonts w:ascii="Cambria" w:hAnsi="Cambria"/>
          <w:sz w:val="20"/>
          <w:szCs w:val="20"/>
        </w:rPr>
      </w:pPr>
    </w:p>
    <w:p w14:paraId="49056F4C" w14:textId="2FFF3EDB" w:rsidR="00141242" w:rsidRPr="00EC37F5" w:rsidRDefault="00812D8E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Existing quota holders </w:t>
      </w:r>
      <w:r w:rsidR="00141242" w:rsidRPr="00EC37F5">
        <w:rPr>
          <w:rFonts w:ascii="Cambria" w:hAnsi="Cambria"/>
          <w:sz w:val="20"/>
          <w:szCs w:val="20"/>
        </w:rPr>
        <w:t>were divided into two groups (large quota holders (more than 1,000 t) and small quota holders</w:t>
      </w:r>
      <w:r w:rsidR="00CB5441" w:rsidRPr="00EC37F5">
        <w:rPr>
          <w:rFonts w:ascii="Cambria" w:hAnsi="Cambria" w:hint="eastAsia"/>
          <w:sz w:val="20"/>
          <w:szCs w:val="20"/>
        </w:rPr>
        <w:t xml:space="preserve"> </w:t>
      </w:r>
      <w:r w:rsidR="00CB5441" w:rsidRPr="00EC37F5">
        <w:rPr>
          <w:rFonts w:ascii="Cambria" w:hAnsi="Cambria"/>
          <w:sz w:val="20"/>
          <w:szCs w:val="20"/>
        </w:rPr>
        <w:t>(no more than 1,000 t</w:t>
      </w:r>
      <w:r w:rsidR="00141242" w:rsidRPr="00EC37F5">
        <w:rPr>
          <w:rFonts w:ascii="Cambria" w:hAnsi="Cambria"/>
          <w:sz w:val="20"/>
          <w:szCs w:val="20"/>
        </w:rPr>
        <w:t>).</w:t>
      </w:r>
    </w:p>
    <w:p w14:paraId="1DAC559E" w14:textId="77777777" w:rsidR="007C30BB" w:rsidRPr="00EC37F5" w:rsidRDefault="007C30BB" w:rsidP="007C30BB">
      <w:pPr>
        <w:pStyle w:val="ListParagraph"/>
        <w:spacing w:line="240" w:lineRule="exact"/>
        <w:ind w:left="834"/>
        <w:rPr>
          <w:rFonts w:ascii="Cambria" w:hAnsi="Cambria"/>
          <w:sz w:val="20"/>
          <w:szCs w:val="20"/>
        </w:rPr>
      </w:pPr>
    </w:p>
    <w:p w14:paraId="5E41125B" w14:textId="299A4095" w:rsidR="00812D8E" w:rsidRPr="00EC37F5" w:rsidRDefault="00141242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N</w:t>
      </w:r>
      <w:r w:rsidR="00812D8E" w:rsidRPr="00EC37F5">
        <w:rPr>
          <w:rFonts w:ascii="Cambria" w:hAnsi="Cambria"/>
          <w:sz w:val="20"/>
          <w:szCs w:val="20"/>
        </w:rPr>
        <w:t>ew entrants</w:t>
      </w:r>
      <w:r w:rsidR="00165428" w:rsidRPr="00EC37F5">
        <w:rPr>
          <w:rFonts w:ascii="Cambria" w:hAnsi="Cambria"/>
          <w:sz w:val="20"/>
          <w:szCs w:val="20"/>
        </w:rPr>
        <w:t xml:space="preserve"> </w:t>
      </w:r>
      <w:r w:rsidRPr="00EC37F5">
        <w:rPr>
          <w:rFonts w:ascii="Cambria" w:hAnsi="Cambria"/>
          <w:sz w:val="20"/>
          <w:szCs w:val="20"/>
        </w:rPr>
        <w:t>were</w:t>
      </w:r>
      <w:r w:rsidR="00812D8E" w:rsidRPr="00EC37F5">
        <w:rPr>
          <w:rFonts w:ascii="Cambria" w:hAnsi="Cambria"/>
          <w:sz w:val="20"/>
          <w:szCs w:val="20"/>
        </w:rPr>
        <w:t xml:space="preserve"> </w:t>
      </w:r>
      <w:r w:rsidRPr="00EC37F5">
        <w:rPr>
          <w:rFonts w:ascii="Cambria" w:hAnsi="Cambria"/>
          <w:sz w:val="20"/>
          <w:szCs w:val="20"/>
        </w:rPr>
        <w:t>added</w:t>
      </w:r>
      <w:r w:rsidR="00CB5441" w:rsidRPr="00EC37F5">
        <w:rPr>
          <w:rFonts w:ascii="Cambria" w:hAnsi="Cambria"/>
          <w:sz w:val="20"/>
          <w:szCs w:val="20"/>
        </w:rPr>
        <w:t xml:space="preserve"> to the list of </w:t>
      </w:r>
      <w:proofErr w:type="gramStart"/>
      <w:r w:rsidR="00CB5441" w:rsidRPr="00EC37F5">
        <w:rPr>
          <w:rFonts w:ascii="Cambria" w:hAnsi="Cambria"/>
          <w:sz w:val="20"/>
          <w:szCs w:val="20"/>
        </w:rPr>
        <w:t>CPCs</w:t>
      </w:r>
      <w:proofErr w:type="gramEnd"/>
      <w:r w:rsidR="00165428" w:rsidRPr="00EC37F5">
        <w:rPr>
          <w:rFonts w:ascii="Cambria" w:hAnsi="Cambria"/>
          <w:sz w:val="20"/>
          <w:szCs w:val="20"/>
        </w:rPr>
        <w:t xml:space="preserve"> and e</w:t>
      </w:r>
      <w:r w:rsidR="007E562A" w:rsidRPr="00EC37F5">
        <w:rPr>
          <w:rFonts w:ascii="Cambria" w:hAnsi="Cambria"/>
          <w:sz w:val="20"/>
          <w:szCs w:val="20"/>
        </w:rPr>
        <w:t>ach</w:t>
      </w:r>
      <w:r w:rsidR="00812D8E" w:rsidRPr="00EC37F5">
        <w:rPr>
          <w:rFonts w:ascii="Cambria" w:hAnsi="Cambria"/>
          <w:sz w:val="20"/>
          <w:szCs w:val="20"/>
        </w:rPr>
        <w:t xml:space="preserve"> new entrant</w:t>
      </w:r>
      <w:r w:rsidR="007E562A" w:rsidRPr="00EC37F5">
        <w:rPr>
          <w:rFonts w:ascii="Cambria" w:hAnsi="Cambria"/>
          <w:sz w:val="20"/>
          <w:szCs w:val="20"/>
        </w:rPr>
        <w:t xml:space="preserve"> receives 50 t</w:t>
      </w:r>
      <w:r w:rsidR="00812D8E" w:rsidRPr="00EC37F5">
        <w:rPr>
          <w:rFonts w:ascii="Cambria" w:hAnsi="Cambria"/>
          <w:sz w:val="20"/>
          <w:szCs w:val="20"/>
        </w:rPr>
        <w:t>, following the case of Namibia.</w:t>
      </w:r>
    </w:p>
    <w:p w14:paraId="2439645D" w14:textId="77777777" w:rsidR="007C30BB" w:rsidRPr="00EC37F5" w:rsidRDefault="007C30BB" w:rsidP="007C30BB">
      <w:pPr>
        <w:pStyle w:val="ListParagraph"/>
        <w:spacing w:line="240" w:lineRule="exact"/>
        <w:ind w:left="834"/>
        <w:rPr>
          <w:rFonts w:ascii="Cambria" w:hAnsi="Cambria"/>
          <w:sz w:val="20"/>
          <w:szCs w:val="20"/>
        </w:rPr>
      </w:pPr>
    </w:p>
    <w:p w14:paraId="129EF07A" w14:textId="33FB4F8C" w:rsidR="00812D8E" w:rsidRPr="00EC37F5" w:rsidRDefault="007E562A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Each s</w:t>
      </w:r>
      <w:r w:rsidR="00812D8E" w:rsidRPr="00EC37F5">
        <w:rPr>
          <w:rFonts w:ascii="Cambria" w:hAnsi="Cambria"/>
          <w:sz w:val="20"/>
          <w:szCs w:val="20"/>
        </w:rPr>
        <w:t>mall quota holder</w:t>
      </w:r>
      <w:r w:rsidR="005B4D83" w:rsidRPr="00EC37F5">
        <w:rPr>
          <w:rFonts w:ascii="Cambria" w:hAnsi="Cambria"/>
          <w:sz w:val="20"/>
          <w:szCs w:val="20"/>
        </w:rPr>
        <w:t xml:space="preserve"> </w:t>
      </w:r>
      <w:r w:rsidR="00812D8E" w:rsidRPr="00EC37F5">
        <w:rPr>
          <w:rFonts w:ascii="Cambria" w:hAnsi="Cambria"/>
          <w:sz w:val="20"/>
          <w:szCs w:val="20"/>
        </w:rPr>
        <w:t>receive</w:t>
      </w:r>
      <w:r w:rsidRPr="00EC37F5">
        <w:rPr>
          <w:rFonts w:ascii="Cambria" w:hAnsi="Cambria"/>
          <w:sz w:val="20"/>
          <w:szCs w:val="20"/>
        </w:rPr>
        <w:t>s</w:t>
      </w:r>
      <w:r w:rsidR="00812D8E" w:rsidRPr="00EC37F5">
        <w:rPr>
          <w:rFonts w:ascii="Cambria" w:hAnsi="Cambria"/>
          <w:sz w:val="20"/>
          <w:szCs w:val="20"/>
        </w:rPr>
        <w:t xml:space="preserve"> </w:t>
      </w:r>
      <w:r w:rsidRPr="00EC37F5">
        <w:rPr>
          <w:rFonts w:ascii="Cambria" w:hAnsi="Cambria"/>
          <w:sz w:val="20"/>
          <w:szCs w:val="20"/>
        </w:rPr>
        <w:t xml:space="preserve">a </w:t>
      </w:r>
      <w:r w:rsidR="00812D8E" w:rsidRPr="00EC37F5">
        <w:rPr>
          <w:rFonts w:ascii="Cambria" w:hAnsi="Cambria"/>
          <w:sz w:val="20"/>
          <w:szCs w:val="20"/>
        </w:rPr>
        <w:t xml:space="preserve">certain amount in a reverse-weighting way (smaller holders get larger figures). </w:t>
      </w:r>
    </w:p>
    <w:p w14:paraId="59C4E7AB" w14:textId="77777777" w:rsidR="007C30BB" w:rsidRPr="00EC37F5" w:rsidRDefault="007C30BB" w:rsidP="00855DFE">
      <w:pPr>
        <w:spacing w:line="240" w:lineRule="exact"/>
        <w:ind w:left="834" w:hanging="408"/>
        <w:rPr>
          <w:rFonts w:ascii="Cambria" w:hAnsi="Cambria"/>
          <w:sz w:val="20"/>
          <w:szCs w:val="20"/>
        </w:rPr>
      </w:pPr>
    </w:p>
    <w:p w14:paraId="4047555E" w14:textId="1298A581" w:rsidR="005B4D83" w:rsidRPr="00EC37F5" w:rsidRDefault="007E562A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Each d</w:t>
      </w:r>
      <w:r w:rsidR="005B4D83" w:rsidRPr="00EC37F5">
        <w:rPr>
          <w:rFonts w:ascii="Cambria" w:hAnsi="Cambria"/>
          <w:sz w:val="20"/>
          <w:szCs w:val="20"/>
        </w:rPr>
        <w:t>eveloping CPC receive</w:t>
      </w:r>
      <w:r w:rsidRPr="00EC37F5">
        <w:rPr>
          <w:rFonts w:ascii="Cambria" w:hAnsi="Cambria"/>
          <w:sz w:val="20"/>
          <w:szCs w:val="20"/>
        </w:rPr>
        <w:t>s</w:t>
      </w:r>
      <w:r w:rsidR="005B4D83" w:rsidRPr="00EC37F5">
        <w:rPr>
          <w:rFonts w:ascii="Cambria" w:hAnsi="Cambria"/>
          <w:sz w:val="20"/>
          <w:szCs w:val="20"/>
        </w:rPr>
        <w:t xml:space="preserve"> </w:t>
      </w:r>
      <w:r w:rsidRPr="00EC37F5">
        <w:rPr>
          <w:rFonts w:ascii="Cambria" w:hAnsi="Cambria"/>
          <w:sz w:val="20"/>
          <w:szCs w:val="20"/>
        </w:rPr>
        <w:t xml:space="preserve">an </w:t>
      </w:r>
      <w:r w:rsidR="005B4D83" w:rsidRPr="00EC37F5">
        <w:rPr>
          <w:rFonts w:ascii="Cambria" w:hAnsi="Cambria"/>
          <w:sz w:val="20"/>
          <w:szCs w:val="20"/>
        </w:rPr>
        <w:t>additional amount</w:t>
      </w:r>
      <w:r w:rsidR="00141242" w:rsidRPr="00EC37F5">
        <w:rPr>
          <w:rFonts w:ascii="Cambria" w:hAnsi="Cambria"/>
          <w:sz w:val="20"/>
          <w:szCs w:val="20"/>
        </w:rPr>
        <w:t>.</w:t>
      </w:r>
    </w:p>
    <w:p w14:paraId="0EB34194" w14:textId="77777777" w:rsidR="007C30BB" w:rsidRPr="00EC37F5" w:rsidRDefault="007C30BB" w:rsidP="00855DFE">
      <w:pPr>
        <w:spacing w:line="240" w:lineRule="exact"/>
        <w:ind w:left="834" w:hanging="408"/>
        <w:rPr>
          <w:rFonts w:ascii="Cambria" w:hAnsi="Cambria"/>
          <w:sz w:val="20"/>
          <w:szCs w:val="20"/>
        </w:rPr>
      </w:pPr>
    </w:p>
    <w:p w14:paraId="36DB7F95" w14:textId="57B5640C" w:rsidR="00CE1CAA" w:rsidRPr="00EC37F5" w:rsidRDefault="00605EDD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E</w:t>
      </w:r>
      <w:r w:rsidR="007E562A" w:rsidRPr="00EC37F5">
        <w:rPr>
          <w:rFonts w:ascii="Cambria" w:hAnsi="Cambria"/>
          <w:sz w:val="20"/>
          <w:szCs w:val="20"/>
        </w:rPr>
        <w:t>ach c</w:t>
      </w:r>
      <w:r w:rsidR="00CE1CAA" w:rsidRPr="00EC37F5">
        <w:rPr>
          <w:rFonts w:ascii="Cambria" w:hAnsi="Cambria"/>
          <w:sz w:val="20"/>
          <w:szCs w:val="20"/>
        </w:rPr>
        <w:t>oastal CPC receive</w:t>
      </w:r>
      <w:r w:rsidR="007E562A" w:rsidRPr="00EC37F5">
        <w:rPr>
          <w:rFonts w:ascii="Cambria" w:hAnsi="Cambria"/>
          <w:sz w:val="20"/>
          <w:szCs w:val="20"/>
        </w:rPr>
        <w:t>s</w:t>
      </w:r>
      <w:r w:rsidR="00CE1CAA" w:rsidRPr="00EC37F5">
        <w:rPr>
          <w:rFonts w:ascii="Cambria" w:hAnsi="Cambria"/>
          <w:sz w:val="20"/>
          <w:szCs w:val="20"/>
        </w:rPr>
        <w:t xml:space="preserve"> </w:t>
      </w:r>
      <w:r w:rsidR="007E562A" w:rsidRPr="00EC37F5">
        <w:rPr>
          <w:rFonts w:ascii="Cambria" w:hAnsi="Cambria"/>
          <w:sz w:val="20"/>
          <w:szCs w:val="20"/>
        </w:rPr>
        <w:t xml:space="preserve">an </w:t>
      </w:r>
      <w:r w:rsidR="00CE1CAA" w:rsidRPr="00EC37F5">
        <w:rPr>
          <w:rFonts w:ascii="Cambria" w:hAnsi="Cambria"/>
          <w:sz w:val="20"/>
          <w:szCs w:val="20"/>
        </w:rPr>
        <w:t>additional amount</w:t>
      </w:r>
      <w:r w:rsidRPr="00EC37F5">
        <w:rPr>
          <w:rFonts w:ascii="Cambria" w:hAnsi="Cambria"/>
          <w:sz w:val="20"/>
          <w:szCs w:val="20"/>
        </w:rPr>
        <w:t>.</w:t>
      </w:r>
      <w:r w:rsidR="00C3632B" w:rsidRPr="00EC37F5">
        <w:rPr>
          <w:rFonts w:ascii="Cambria" w:hAnsi="Cambria"/>
          <w:sz w:val="20"/>
          <w:szCs w:val="20"/>
        </w:rPr>
        <w:t xml:space="preserve"> </w:t>
      </w:r>
      <w:r w:rsidR="007E562A" w:rsidRPr="00EC37F5">
        <w:rPr>
          <w:rFonts w:ascii="Cambria" w:hAnsi="Cambria"/>
          <w:sz w:val="20"/>
          <w:szCs w:val="20"/>
        </w:rPr>
        <w:t>A c</w:t>
      </w:r>
      <w:r w:rsidR="00CE1CAA" w:rsidRPr="00EC37F5">
        <w:rPr>
          <w:rFonts w:ascii="Cambria" w:hAnsi="Cambria"/>
          <w:sz w:val="20"/>
          <w:szCs w:val="20"/>
        </w:rPr>
        <w:t xml:space="preserve">oastal CPC where bluefin tuna does not migrate into </w:t>
      </w:r>
      <w:r w:rsidR="007E562A" w:rsidRPr="00EC37F5">
        <w:rPr>
          <w:rFonts w:ascii="Cambria" w:hAnsi="Cambria"/>
          <w:sz w:val="20"/>
          <w:szCs w:val="20"/>
        </w:rPr>
        <w:t>its</w:t>
      </w:r>
      <w:r w:rsidR="00CE1CAA" w:rsidRPr="00EC37F5">
        <w:rPr>
          <w:rFonts w:ascii="Cambria" w:hAnsi="Cambria"/>
          <w:sz w:val="20"/>
          <w:szCs w:val="20"/>
        </w:rPr>
        <w:t xml:space="preserve"> </w:t>
      </w:r>
      <w:r w:rsidR="004D071C" w:rsidRPr="00EC37F5">
        <w:rPr>
          <w:rFonts w:ascii="Cambria" w:eastAsia="Cambria" w:hAnsi="Cambria"/>
          <w:sz w:val="20"/>
          <w:szCs w:val="20"/>
        </w:rPr>
        <w:t>Exclusive Economic Zone (</w:t>
      </w:r>
      <w:r w:rsidR="00CE1CAA" w:rsidRPr="00EC37F5">
        <w:rPr>
          <w:rFonts w:ascii="Cambria" w:hAnsi="Cambria"/>
          <w:sz w:val="20"/>
          <w:szCs w:val="20"/>
        </w:rPr>
        <w:t>EEZ</w:t>
      </w:r>
      <w:r w:rsidR="00FB272B" w:rsidRPr="00EC37F5">
        <w:rPr>
          <w:rFonts w:ascii="Cambria" w:hAnsi="Cambria"/>
          <w:sz w:val="20"/>
          <w:szCs w:val="20"/>
        </w:rPr>
        <w:t>)</w:t>
      </w:r>
      <w:r w:rsidR="00CE1CAA" w:rsidRPr="00EC37F5">
        <w:rPr>
          <w:rFonts w:ascii="Cambria" w:hAnsi="Cambria"/>
          <w:sz w:val="20"/>
          <w:szCs w:val="20"/>
        </w:rPr>
        <w:t xml:space="preserve"> do</w:t>
      </w:r>
      <w:r w:rsidR="007E562A" w:rsidRPr="00EC37F5">
        <w:rPr>
          <w:rFonts w:ascii="Cambria" w:hAnsi="Cambria"/>
          <w:sz w:val="20"/>
          <w:szCs w:val="20"/>
        </w:rPr>
        <w:t>es</w:t>
      </w:r>
      <w:r w:rsidR="00CE1CAA" w:rsidRPr="00EC37F5">
        <w:rPr>
          <w:rFonts w:ascii="Cambria" w:hAnsi="Cambria"/>
          <w:sz w:val="20"/>
          <w:szCs w:val="20"/>
        </w:rPr>
        <w:t xml:space="preserve"> not receive this.</w:t>
      </w:r>
    </w:p>
    <w:p w14:paraId="3BC3DAD0" w14:textId="77777777" w:rsidR="007C30BB" w:rsidRPr="00EC37F5" w:rsidRDefault="007C30BB" w:rsidP="00855DFE">
      <w:pPr>
        <w:spacing w:line="240" w:lineRule="exact"/>
        <w:ind w:left="834" w:hanging="408"/>
        <w:rPr>
          <w:rFonts w:ascii="Cambria" w:hAnsi="Cambria"/>
          <w:sz w:val="20"/>
          <w:szCs w:val="20"/>
        </w:rPr>
      </w:pPr>
    </w:p>
    <w:p w14:paraId="54BB5F8E" w14:textId="1F2AC89F" w:rsidR="00CE1CAA" w:rsidRPr="00EC37F5" w:rsidRDefault="00C3632B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E</w:t>
      </w:r>
      <w:r w:rsidR="007E562A" w:rsidRPr="00EC37F5">
        <w:rPr>
          <w:rFonts w:ascii="Cambria" w:hAnsi="Cambria"/>
          <w:sz w:val="20"/>
          <w:szCs w:val="20"/>
        </w:rPr>
        <w:t xml:space="preserve">ach </w:t>
      </w:r>
      <w:r w:rsidR="00CE1CAA" w:rsidRPr="00EC37F5">
        <w:rPr>
          <w:rFonts w:ascii="Cambria" w:hAnsi="Cambria"/>
          <w:sz w:val="20"/>
          <w:szCs w:val="20"/>
        </w:rPr>
        <w:t>CPC whose fishing indices are used in the MP receive</w:t>
      </w:r>
      <w:r w:rsidR="007E562A" w:rsidRPr="00EC37F5">
        <w:rPr>
          <w:rFonts w:ascii="Cambria" w:hAnsi="Cambria"/>
          <w:sz w:val="20"/>
          <w:szCs w:val="20"/>
        </w:rPr>
        <w:t>s</w:t>
      </w:r>
      <w:r w:rsidR="00CE1CAA" w:rsidRPr="00EC37F5">
        <w:rPr>
          <w:rFonts w:ascii="Cambria" w:hAnsi="Cambria"/>
          <w:sz w:val="20"/>
          <w:szCs w:val="20"/>
        </w:rPr>
        <w:t xml:space="preserve"> </w:t>
      </w:r>
      <w:r w:rsidR="007E562A" w:rsidRPr="00EC37F5">
        <w:rPr>
          <w:rFonts w:ascii="Cambria" w:hAnsi="Cambria"/>
          <w:sz w:val="20"/>
          <w:szCs w:val="20"/>
        </w:rPr>
        <w:t xml:space="preserve">an </w:t>
      </w:r>
      <w:r w:rsidR="00CE1CAA" w:rsidRPr="00EC37F5">
        <w:rPr>
          <w:rFonts w:ascii="Cambria" w:hAnsi="Cambria"/>
          <w:sz w:val="20"/>
          <w:szCs w:val="20"/>
        </w:rPr>
        <w:t>additional amount</w:t>
      </w:r>
      <w:r w:rsidR="00165428" w:rsidRPr="00EC37F5">
        <w:rPr>
          <w:rFonts w:ascii="Cambria" w:hAnsi="Cambria"/>
          <w:sz w:val="20"/>
          <w:szCs w:val="20"/>
        </w:rPr>
        <w:t xml:space="preserve"> to stabilize the implementation of the MP</w:t>
      </w:r>
      <w:r w:rsidR="00835F06" w:rsidRPr="00EC37F5">
        <w:rPr>
          <w:rFonts w:ascii="Cambria" w:hAnsi="Cambria" w:hint="eastAsia"/>
          <w:sz w:val="20"/>
          <w:szCs w:val="20"/>
        </w:rPr>
        <w:t>.</w:t>
      </w:r>
      <w:r w:rsidRPr="00EC37F5">
        <w:rPr>
          <w:rFonts w:ascii="Cambria" w:hAnsi="Cambria"/>
          <w:sz w:val="20"/>
          <w:szCs w:val="20"/>
        </w:rPr>
        <w:t xml:space="preserve"> </w:t>
      </w:r>
    </w:p>
    <w:p w14:paraId="24DC7C6C" w14:textId="77777777" w:rsidR="007C30BB" w:rsidRPr="00EC37F5" w:rsidRDefault="007C30BB" w:rsidP="00855DFE">
      <w:pPr>
        <w:spacing w:line="240" w:lineRule="exact"/>
        <w:ind w:left="834" w:hanging="408"/>
        <w:rPr>
          <w:rFonts w:ascii="Cambria" w:hAnsi="Cambria"/>
          <w:sz w:val="20"/>
          <w:szCs w:val="20"/>
        </w:rPr>
      </w:pPr>
    </w:p>
    <w:p w14:paraId="6B32A156" w14:textId="10645B94" w:rsidR="007C30BB" w:rsidRPr="00EC37F5" w:rsidRDefault="00C3632B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E</w:t>
      </w:r>
      <w:r w:rsidR="007E562A" w:rsidRPr="00EC37F5">
        <w:rPr>
          <w:rFonts w:ascii="Cambria" w:hAnsi="Cambria"/>
          <w:sz w:val="20"/>
          <w:szCs w:val="20"/>
        </w:rPr>
        <w:t xml:space="preserve">ach </w:t>
      </w:r>
      <w:r w:rsidR="00CE1CAA" w:rsidRPr="00EC37F5">
        <w:rPr>
          <w:rFonts w:ascii="Cambria" w:hAnsi="Cambria"/>
          <w:sz w:val="20"/>
          <w:szCs w:val="20"/>
        </w:rPr>
        <w:t>CPC that allocate</w:t>
      </w:r>
      <w:r w:rsidR="007E562A" w:rsidRPr="00EC37F5">
        <w:rPr>
          <w:rFonts w:ascii="Cambria" w:hAnsi="Cambria"/>
          <w:sz w:val="20"/>
          <w:szCs w:val="20"/>
        </w:rPr>
        <w:t>s</w:t>
      </w:r>
      <w:r w:rsidR="00CE1CAA" w:rsidRPr="00EC37F5">
        <w:rPr>
          <w:rFonts w:ascii="Cambria" w:hAnsi="Cambria"/>
          <w:sz w:val="20"/>
          <w:szCs w:val="20"/>
        </w:rPr>
        <w:t xml:space="preserve"> </w:t>
      </w:r>
      <w:r w:rsidR="007E562A" w:rsidRPr="00EC37F5">
        <w:rPr>
          <w:rFonts w:ascii="Cambria" w:hAnsi="Cambria"/>
          <w:sz w:val="20"/>
          <w:szCs w:val="20"/>
        </w:rPr>
        <w:t>part of its</w:t>
      </w:r>
      <w:r w:rsidR="00CE1CAA" w:rsidRPr="00EC37F5">
        <w:rPr>
          <w:rFonts w:ascii="Cambria" w:hAnsi="Cambria"/>
          <w:sz w:val="20"/>
          <w:szCs w:val="20"/>
        </w:rPr>
        <w:t xml:space="preserve"> quota to small-scale fisheries </w:t>
      </w:r>
      <w:r w:rsidR="00562E87" w:rsidRPr="00EC37F5">
        <w:rPr>
          <w:rFonts w:ascii="Cambria" w:hAnsi="Cambria"/>
          <w:sz w:val="20"/>
          <w:szCs w:val="20"/>
        </w:rPr>
        <w:t>receives</w:t>
      </w:r>
      <w:r w:rsidR="00CE1CAA" w:rsidRPr="00EC37F5">
        <w:rPr>
          <w:rFonts w:ascii="Cambria" w:hAnsi="Cambria"/>
          <w:sz w:val="20"/>
          <w:szCs w:val="20"/>
        </w:rPr>
        <w:t xml:space="preserve"> </w:t>
      </w:r>
      <w:r w:rsidR="007E562A" w:rsidRPr="00EC37F5">
        <w:rPr>
          <w:rFonts w:ascii="Cambria" w:hAnsi="Cambria"/>
          <w:sz w:val="20"/>
          <w:szCs w:val="20"/>
        </w:rPr>
        <w:t xml:space="preserve">an </w:t>
      </w:r>
      <w:r w:rsidR="00CE1CAA" w:rsidRPr="00EC37F5">
        <w:rPr>
          <w:rFonts w:ascii="Cambria" w:hAnsi="Cambria"/>
          <w:sz w:val="20"/>
          <w:szCs w:val="20"/>
        </w:rPr>
        <w:t>additional amount</w:t>
      </w:r>
      <w:r w:rsidRPr="00EC37F5">
        <w:rPr>
          <w:rFonts w:ascii="Cambria" w:hAnsi="Cambria"/>
          <w:sz w:val="20"/>
          <w:szCs w:val="20"/>
        </w:rPr>
        <w:t xml:space="preserve">. </w:t>
      </w:r>
      <w:r w:rsidR="005B4D83" w:rsidRPr="00EC37F5">
        <w:rPr>
          <w:rFonts w:ascii="Cambria" w:hAnsi="Cambria"/>
          <w:sz w:val="20"/>
          <w:szCs w:val="20"/>
        </w:rPr>
        <w:t xml:space="preserve"> </w:t>
      </w:r>
    </w:p>
    <w:p w14:paraId="751CFFF4" w14:textId="299D5F48" w:rsidR="00812D8E" w:rsidRPr="00EC37F5" w:rsidRDefault="00812D8E" w:rsidP="007C30BB">
      <w:pPr>
        <w:pStyle w:val="ListParagraph"/>
        <w:spacing w:line="240" w:lineRule="exact"/>
        <w:ind w:left="834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   </w:t>
      </w:r>
    </w:p>
    <w:p w14:paraId="7DB07C63" w14:textId="222D10AF" w:rsidR="00605EDD" w:rsidRPr="00EC37F5" w:rsidRDefault="00CE1CAA" w:rsidP="0070212D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The </w:t>
      </w:r>
      <w:r w:rsidR="00605EDD" w:rsidRPr="00EC37F5">
        <w:rPr>
          <w:rFonts w:ascii="Cambria" w:hAnsi="Cambria"/>
          <w:sz w:val="20"/>
          <w:szCs w:val="20"/>
        </w:rPr>
        <w:t xml:space="preserve">additional </w:t>
      </w:r>
      <w:r w:rsidRPr="00EC37F5">
        <w:rPr>
          <w:rFonts w:ascii="Cambria" w:hAnsi="Cambria"/>
          <w:sz w:val="20"/>
          <w:szCs w:val="20"/>
        </w:rPr>
        <w:t xml:space="preserve">amount </w:t>
      </w:r>
      <w:r w:rsidR="00605EDD" w:rsidRPr="00EC37F5">
        <w:rPr>
          <w:rFonts w:ascii="Cambria" w:hAnsi="Cambria"/>
          <w:sz w:val="20"/>
          <w:szCs w:val="20"/>
        </w:rPr>
        <w:t xml:space="preserve">in </w:t>
      </w:r>
      <w:r w:rsidRPr="00EC37F5">
        <w:rPr>
          <w:rFonts w:ascii="Cambria" w:hAnsi="Cambria"/>
          <w:sz w:val="20"/>
          <w:szCs w:val="20"/>
        </w:rPr>
        <w:t>(</w:t>
      </w:r>
      <w:r w:rsidR="00B10F93" w:rsidRPr="00EC37F5">
        <w:rPr>
          <w:rFonts w:ascii="Cambria" w:hAnsi="Cambria"/>
          <w:sz w:val="20"/>
          <w:szCs w:val="20"/>
        </w:rPr>
        <w:t>4</w:t>
      </w:r>
      <w:r w:rsidRPr="00EC37F5">
        <w:rPr>
          <w:rFonts w:ascii="Cambria" w:hAnsi="Cambria"/>
          <w:sz w:val="20"/>
          <w:szCs w:val="20"/>
        </w:rPr>
        <w:t>) to (</w:t>
      </w:r>
      <w:r w:rsidR="00B10F93" w:rsidRPr="00EC37F5">
        <w:rPr>
          <w:rFonts w:ascii="Cambria" w:hAnsi="Cambria"/>
          <w:sz w:val="20"/>
          <w:szCs w:val="20"/>
        </w:rPr>
        <w:t>8</w:t>
      </w:r>
      <w:r w:rsidRPr="00EC37F5">
        <w:rPr>
          <w:rFonts w:ascii="Cambria" w:hAnsi="Cambria"/>
          <w:sz w:val="20"/>
          <w:szCs w:val="20"/>
        </w:rPr>
        <w:t xml:space="preserve">) </w:t>
      </w:r>
      <w:r w:rsidR="00605EDD" w:rsidRPr="00EC37F5">
        <w:rPr>
          <w:rFonts w:ascii="Cambria" w:hAnsi="Cambria"/>
          <w:sz w:val="20"/>
          <w:szCs w:val="20"/>
        </w:rPr>
        <w:t xml:space="preserve">is subject to reduction, depending on actual usage in 2023 and 2024. Please see </w:t>
      </w:r>
      <w:r w:rsidR="00AE3665" w:rsidRPr="00EC37F5">
        <w:rPr>
          <w:rFonts w:ascii="Cambria" w:hAnsi="Cambria"/>
          <w:sz w:val="20"/>
          <w:szCs w:val="20"/>
        </w:rPr>
        <w:t>(</w:t>
      </w:r>
      <w:r w:rsidR="00605EDD" w:rsidRPr="00EC37F5">
        <w:rPr>
          <w:rFonts w:ascii="Cambria" w:hAnsi="Cambria"/>
          <w:sz w:val="20"/>
          <w:szCs w:val="20"/>
        </w:rPr>
        <w:t>*5</w:t>
      </w:r>
      <w:r w:rsidR="00AE3665" w:rsidRPr="00EC37F5">
        <w:rPr>
          <w:rFonts w:ascii="Cambria" w:hAnsi="Cambria"/>
          <w:sz w:val="20"/>
          <w:szCs w:val="20"/>
        </w:rPr>
        <w:t>)</w:t>
      </w:r>
      <w:r w:rsidR="00605EDD" w:rsidRPr="00EC37F5">
        <w:rPr>
          <w:rFonts w:ascii="Cambria" w:hAnsi="Cambria"/>
          <w:sz w:val="20"/>
          <w:szCs w:val="20"/>
        </w:rPr>
        <w:t xml:space="preserve"> in </w:t>
      </w:r>
      <w:r w:rsidR="00605EDD" w:rsidRPr="00EC37F5">
        <w:rPr>
          <w:rFonts w:ascii="Cambria" w:hAnsi="Cambria"/>
          <w:b/>
          <w:bCs/>
          <w:sz w:val="20"/>
          <w:szCs w:val="20"/>
        </w:rPr>
        <w:t>Table 1</w:t>
      </w:r>
      <w:r w:rsidR="00AE3665" w:rsidRPr="00EC37F5">
        <w:rPr>
          <w:rFonts w:ascii="Cambria" w:hAnsi="Cambria"/>
          <w:b/>
          <w:bCs/>
          <w:sz w:val="20"/>
          <w:szCs w:val="20"/>
        </w:rPr>
        <w:t>.</w:t>
      </w:r>
      <w:r w:rsidR="00FD708A" w:rsidRPr="00EC37F5">
        <w:rPr>
          <w:rFonts w:ascii="Cambria" w:hAnsi="Cambria"/>
          <w:b/>
          <w:bCs/>
          <w:sz w:val="20"/>
          <w:szCs w:val="20"/>
        </w:rPr>
        <w:t>1 and 1</w:t>
      </w:r>
      <w:r w:rsidR="00AE3665" w:rsidRPr="00EC37F5">
        <w:rPr>
          <w:rFonts w:ascii="Cambria" w:hAnsi="Cambria"/>
          <w:b/>
          <w:bCs/>
          <w:sz w:val="20"/>
          <w:szCs w:val="20"/>
        </w:rPr>
        <w:t>.</w:t>
      </w:r>
      <w:r w:rsidR="00FD708A" w:rsidRPr="00EC37F5">
        <w:rPr>
          <w:rFonts w:ascii="Cambria" w:hAnsi="Cambria"/>
          <w:b/>
          <w:bCs/>
          <w:sz w:val="20"/>
          <w:szCs w:val="20"/>
        </w:rPr>
        <w:t>2</w:t>
      </w:r>
      <w:r w:rsidR="001E4D27" w:rsidRPr="00EC37F5">
        <w:rPr>
          <w:rFonts w:ascii="Cambria" w:hAnsi="Cambria"/>
          <w:b/>
          <w:bCs/>
          <w:sz w:val="20"/>
          <w:szCs w:val="20"/>
        </w:rPr>
        <w:t xml:space="preserve"> (</w:t>
      </w:r>
      <w:r w:rsidR="00AB4B8C" w:rsidRPr="00EC37F5">
        <w:rPr>
          <w:rFonts w:ascii="Cambria" w:hAnsi="Cambria"/>
          <w:b/>
          <w:bCs/>
          <w:sz w:val="20"/>
          <w:szCs w:val="20"/>
        </w:rPr>
        <w:t>Appendix</w:t>
      </w:r>
      <w:r w:rsidR="00A426D0" w:rsidRPr="00EC37F5">
        <w:rPr>
          <w:rFonts w:ascii="Cambria" w:hAnsi="Cambria"/>
          <w:b/>
          <w:bCs/>
          <w:sz w:val="20"/>
          <w:szCs w:val="20"/>
        </w:rPr>
        <w:t xml:space="preserve"> 1</w:t>
      </w:r>
      <w:r w:rsidR="00AB4B8C" w:rsidRPr="00EC37F5">
        <w:rPr>
          <w:rFonts w:ascii="Cambria" w:hAnsi="Cambria"/>
          <w:b/>
          <w:bCs/>
          <w:sz w:val="20"/>
          <w:szCs w:val="20"/>
        </w:rPr>
        <w:t>)</w:t>
      </w:r>
      <w:r w:rsidR="00605EDD" w:rsidRPr="00EC37F5">
        <w:rPr>
          <w:rFonts w:ascii="Cambria" w:hAnsi="Cambria"/>
          <w:sz w:val="20"/>
          <w:szCs w:val="20"/>
        </w:rPr>
        <w:t>.</w:t>
      </w:r>
    </w:p>
    <w:p w14:paraId="1B41AF3A" w14:textId="77777777" w:rsidR="007C30BB" w:rsidRPr="00EC37F5" w:rsidRDefault="007C30BB" w:rsidP="00855DFE">
      <w:pPr>
        <w:spacing w:line="240" w:lineRule="exact"/>
        <w:ind w:left="834" w:hanging="408"/>
        <w:rPr>
          <w:rFonts w:ascii="Cambria" w:hAnsi="Cambria"/>
          <w:sz w:val="20"/>
          <w:szCs w:val="20"/>
        </w:rPr>
      </w:pPr>
    </w:p>
    <w:p w14:paraId="2D0248B5" w14:textId="77777777" w:rsidR="0070212D" w:rsidRPr="00EC37F5" w:rsidRDefault="0070212D" w:rsidP="00855DFE">
      <w:pPr>
        <w:spacing w:line="240" w:lineRule="exact"/>
        <w:ind w:left="834" w:hanging="408"/>
        <w:rPr>
          <w:rFonts w:ascii="Cambria" w:hAnsi="Cambria"/>
          <w:sz w:val="20"/>
          <w:szCs w:val="20"/>
        </w:rPr>
      </w:pPr>
    </w:p>
    <w:p w14:paraId="20BAADA2" w14:textId="77777777" w:rsidR="0070212D" w:rsidRPr="00EC37F5" w:rsidRDefault="0070212D" w:rsidP="00855DFE">
      <w:pPr>
        <w:spacing w:line="240" w:lineRule="exact"/>
        <w:ind w:left="834" w:hanging="408"/>
        <w:rPr>
          <w:rFonts w:ascii="Cambria" w:hAnsi="Cambria"/>
          <w:sz w:val="20"/>
          <w:szCs w:val="20"/>
        </w:rPr>
      </w:pPr>
    </w:p>
    <w:p w14:paraId="736CD7FC" w14:textId="074617CD" w:rsidR="00605EDD" w:rsidRPr="00EC37F5" w:rsidRDefault="00605EDD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lastRenderedPageBreak/>
        <w:t>The figure after subtracting the amounts in (</w:t>
      </w:r>
      <w:r w:rsidR="00B10F93" w:rsidRPr="00EC37F5">
        <w:rPr>
          <w:rFonts w:ascii="Cambria" w:hAnsi="Cambria"/>
          <w:sz w:val="20"/>
          <w:szCs w:val="20"/>
        </w:rPr>
        <w:t>3</w:t>
      </w:r>
      <w:r w:rsidRPr="00EC37F5">
        <w:rPr>
          <w:rFonts w:ascii="Cambria" w:hAnsi="Cambria"/>
          <w:sz w:val="20"/>
          <w:szCs w:val="20"/>
        </w:rPr>
        <w:t>) to (</w:t>
      </w:r>
      <w:r w:rsidR="00B10F93" w:rsidRPr="00EC37F5">
        <w:rPr>
          <w:rFonts w:ascii="Cambria" w:hAnsi="Cambria"/>
          <w:sz w:val="20"/>
          <w:szCs w:val="20"/>
        </w:rPr>
        <w:t>8</w:t>
      </w:r>
      <w:r w:rsidRPr="00EC37F5">
        <w:rPr>
          <w:rFonts w:ascii="Cambria" w:hAnsi="Cambria"/>
          <w:sz w:val="20"/>
          <w:szCs w:val="20"/>
        </w:rPr>
        <w:t>)</w:t>
      </w:r>
      <w:r w:rsidR="00B10F93" w:rsidRPr="00EC37F5">
        <w:rPr>
          <w:rFonts w:ascii="Cambria" w:hAnsi="Cambria"/>
          <w:sz w:val="20"/>
          <w:szCs w:val="20"/>
        </w:rPr>
        <w:t>,</w:t>
      </w:r>
      <w:r w:rsidR="00CE1CAA" w:rsidRPr="00EC37F5">
        <w:rPr>
          <w:rFonts w:ascii="Cambria" w:hAnsi="Cambria"/>
          <w:sz w:val="20"/>
          <w:szCs w:val="20"/>
        </w:rPr>
        <w:t xml:space="preserve"> a reserve </w:t>
      </w:r>
      <w:r w:rsidR="00B10F93" w:rsidRPr="00EC37F5">
        <w:rPr>
          <w:rFonts w:ascii="Cambria" w:hAnsi="Cambria"/>
          <w:sz w:val="20"/>
          <w:szCs w:val="20"/>
        </w:rPr>
        <w:t xml:space="preserve">and research quota </w:t>
      </w:r>
      <w:r w:rsidR="00CE1CAA" w:rsidRPr="00EC37F5">
        <w:rPr>
          <w:rFonts w:ascii="Cambria" w:hAnsi="Cambria"/>
          <w:sz w:val="20"/>
          <w:szCs w:val="20"/>
        </w:rPr>
        <w:t xml:space="preserve">from </w:t>
      </w:r>
      <w:r w:rsidRPr="00EC37F5">
        <w:rPr>
          <w:rFonts w:ascii="Cambria" w:hAnsi="Cambria"/>
          <w:sz w:val="20"/>
          <w:szCs w:val="20"/>
        </w:rPr>
        <w:t>TAC</w:t>
      </w:r>
      <w:r w:rsidR="00CE1CAA" w:rsidRPr="00EC37F5">
        <w:rPr>
          <w:rFonts w:ascii="Cambria" w:hAnsi="Cambria"/>
          <w:sz w:val="20"/>
          <w:szCs w:val="20"/>
        </w:rPr>
        <w:t xml:space="preserve"> is allocated in a pro rata manner, using the shares </w:t>
      </w:r>
      <w:r w:rsidR="001E2A2D" w:rsidRPr="00EC37F5">
        <w:rPr>
          <w:rFonts w:ascii="Cambria" w:hAnsi="Cambria"/>
          <w:sz w:val="20"/>
          <w:szCs w:val="20"/>
        </w:rPr>
        <w:t xml:space="preserve">in </w:t>
      </w:r>
      <w:hyperlink r:id="rId9" w:history="1">
        <w:r w:rsidR="001E2A2D" w:rsidRPr="00EC37F5">
          <w:rPr>
            <w:rStyle w:val="Hyperlink"/>
            <w:rFonts w:ascii="Cambria" w:hAnsi="Cambria"/>
            <w:sz w:val="20"/>
            <w:szCs w:val="20"/>
            <w:u w:val="none"/>
          </w:rPr>
          <w:t>Rec. 22-08</w:t>
        </w:r>
      </w:hyperlink>
      <w:r w:rsidR="001E2A2D" w:rsidRPr="00EC37F5">
        <w:rPr>
          <w:rFonts w:ascii="Cambria" w:hAnsi="Cambria"/>
          <w:sz w:val="20"/>
          <w:szCs w:val="20"/>
        </w:rPr>
        <w:t>.</w:t>
      </w:r>
      <w:r w:rsidR="00C3632B" w:rsidRPr="00EC37F5">
        <w:rPr>
          <w:rFonts w:ascii="Cambria" w:hAnsi="Cambria"/>
          <w:sz w:val="20"/>
          <w:szCs w:val="20"/>
        </w:rPr>
        <w:t xml:space="preserve"> </w:t>
      </w:r>
      <w:r w:rsidRPr="00EC37F5">
        <w:rPr>
          <w:rFonts w:ascii="Cambria" w:hAnsi="Cambria"/>
          <w:sz w:val="20"/>
          <w:szCs w:val="20"/>
        </w:rPr>
        <w:t xml:space="preserve">However, those CPCs that have not used the allocation at all in 2023 and 2024 will not receive any. </w:t>
      </w:r>
    </w:p>
    <w:p w14:paraId="1880F9A0" w14:textId="77777777" w:rsidR="007C30BB" w:rsidRPr="00EC37F5" w:rsidRDefault="007C30BB" w:rsidP="007C30BB">
      <w:pPr>
        <w:pStyle w:val="ListParagraph"/>
        <w:spacing w:line="240" w:lineRule="exact"/>
        <w:ind w:left="834"/>
        <w:rPr>
          <w:rFonts w:ascii="Cambria" w:hAnsi="Cambria"/>
          <w:sz w:val="20"/>
          <w:szCs w:val="20"/>
        </w:rPr>
      </w:pPr>
    </w:p>
    <w:p w14:paraId="1AD6C3F1" w14:textId="0C930244" w:rsidR="001E2A2D" w:rsidRPr="00EC37F5" w:rsidRDefault="00C3632B" w:rsidP="007C30BB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The research quota (20 t) included in the current TAC (40,570 t) will continue.</w:t>
      </w:r>
    </w:p>
    <w:p w14:paraId="2F5C2C10" w14:textId="77777777" w:rsidR="007C30BB" w:rsidRPr="00EC37F5" w:rsidRDefault="007C30BB" w:rsidP="0070212D">
      <w:pPr>
        <w:pStyle w:val="ListParagraph"/>
        <w:spacing w:line="240" w:lineRule="exact"/>
        <w:ind w:left="976"/>
        <w:rPr>
          <w:rFonts w:ascii="Cambria" w:hAnsi="Cambria"/>
          <w:sz w:val="20"/>
          <w:szCs w:val="20"/>
        </w:rPr>
      </w:pPr>
    </w:p>
    <w:p w14:paraId="5A7FFBA8" w14:textId="51ECF96F" w:rsidR="00CB5441" w:rsidRPr="00EC37F5" w:rsidRDefault="0083262A" w:rsidP="0070212D">
      <w:pPr>
        <w:pStyle w:val="ListParagraph"/>
        <w:numPr>
          <w:ilvl w:val="0"/>
          <w:numId w:val="3"/>
        </w:numPr>
        <w:spacing w:line="240" w:lineRule="exact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 xml:space="preserve">All the </w:t>
      </w:r>
      <w:proofErr w:type="gramStart"/>
      <w:r w:rsidRPr="00EC37F5">
        <w:rPr>
          <w:rFonts w:ascii="Cambria" w:hAnsi="Cambria"/>
          <w:sz w:val="20"/>
          <w:szCs w:val="20"/>
        </w:rPr>
        <w:t>figures</w:t>
      </w:r>
      <w:proofErr w:type="gramEnd"/>
      <w:r w:rsidRPr="00EC37F5">
        <w:rPr>
          <w:rFonts w:ascii="Cambria" w:hAnsi="Cambria"/>
          <w:sz w:val="20"/>
          <w:szCs w:val="20"/>
        </w:rPr>
        <w:t xml:space="preserve"> including </w:t>
      </w:r>
      <w:proofErr w:type="gramStart"/>
      <w:r w:rsidR="00605EDD" w:rsidRPr="00EC37F5">
        <w:rPr>
          <w:rFonts w:ascii="Cambria" w:hAnsi="Cambria"/>
          <w:sz w:val="20"/>
          <w:szCs w:val="20"/>
        </w:rPr>
        <w:t>reserve</w:t>
      </w:r>
      <w:proofErr w:type="gramEnd"/>
      <w:r w:rsidR="001E2A2D" w:rsidRPr="00EC37F5">
        <w:rPr>
          <w:rFonts w:ascii="Cambria" w:hAnsi="Cambria"/>
          <w:sz w:val="20"/>
          <w:szCs w:val="20"/>
        </w:rPr>
        <w:t xml:space="preserve"> </w:t>
      </w:r>
      <w:r w:rsidRPr="00EC37F5">
        <w:rPr>
          <w:rFonts w:ascii="Cambria" w:hAnsi="Cambria"/>
          <w:sz w:val="20"/>
          <w:szCs w:val="20"/>
        </w:rPr>
        <w:t>are</w:t>
      </w:r>
      <w:r w:rsidR="001E2A2D" w:rsidRPr="00EC37F5">
        <w:rPr>
          <w:rFonts w:ascii="Cambria" w:hAnsi="Cambria"/>
          <w:sz w:val="20"/>
          <w:szCs w:val="20"/>
        </w:rPr>
        <w:t xml:space="preserve"> subject to further </w:t>
      </w:r>
      <w:r w:rsidR="00605EDD" w:rsidRPr="00EC37F5">
        <w:rPr>
          <w:rFonts w:ascii="Cambria" w:hAnsi="Cambria"/>
          <w:sz w:val="20"/>
          <w:szCs w:val="20"/>
        </w:rPr>
        <w:t>negotiation</w:t>
      </w:r>
      <w:r w:rsidR="001E2A2D" w:rsidRPr="00EC37F5">
        <w:rPr>
          <w:rFonts w:ascii="Cambria" w:hAnsi="Cambria"/>
          <w:sz w:val="20"/>
          <w:szCs w:val="20"/>
        </w:rPr>
        <w:t xml:space="preserve">. </w:t>
      </w:r>
      <w:r w:rsidR="00CE1CAA" w:rsidRPr="00EC37F5">
        <w:rPr>
          <w:rFonts w:ascii="Cambria" w:hAnsi="Cambria"/>
          <w:sz w:val="20"/>
          <w:szCs w:val="20"/>
        </w:rPr>
        <w:t xml:space="preserve"> </w:t>
      </w:r>
    </w:p>
    <w:p w14:paraId="6C2943A1" w14:textId="77777777" w:rsidR="00CB5441" w:rsidRPr="00EC37F5" w:rsidRDefault="00CB5441" w:rsidP="0070212D">
      <w:pPr>
        <w:pStyle w:val="ListParagraph"/>
        <w:spacing w:line="240" w:lineRule="exact"/>
        <w:ind w:left="976"/>
        <w:rPr>
          <w:rFonts w:ascii="Cambria" w:hAnsi="Cambria"/>
          <w:sz w:val="20"/>
          <w:szCs w:val="20"/>
        </w:rPr>
      </w:pPr>
    </w:p>
    <w:p w14:paraId="3DB25D65" w14:textId="43A2F07E" w:rsidR="00FD708A" w:rsidRPr="00EC37F5" w:rsidRDefault="0044179E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EC37F5">
        <w:rPr>
          <w:rFonts w:ascii="Cambria" w:hAnsi="Cambria"/>
          <w:sz w:val="20"/>
          <w:szCs w:val="20"/>
        </w:rPr>
        <w:t>3</w:t>
      </w:r>
      <w:proofErr w:type="gramStart"/>
      <w:r w:rsidR="00CB5441" w:rsidRPr="00EC37F5">
        <w:rPr>
          <w:rFonts w:ascii="Cambria" w:hAnsi="Cambria"/>
          <w:sz w:val="20"/>
          <w:szCs w:val="20"/>
        </w:rPr>
        <w:t xml:space="preserve">. </w:t>
      </w:r>
      <w:r w:rsidR="00855DFE" w:rsidRPr="00EC37F5">
        <w:rPr>
          <w:rFonts w:ascii="Cambria" w:hAnsi="Cambria"/>
          <w:sz w:val="20"/>
          <w:szCs w:val="20"/>
        </w:rPr>
        <w:tab/>
      </w:r>
      <w:r w:rsidR="00FD708A" w:rsidRPr="00EC37F5">
        <w:rPr>
          <w:rFonts w:ascii="Cambria" w:hAnsi="Cambria"/>
          <w:sz w:val="20"/>
          <w:szCs w:val="20"/>
        </w:rPr>
        <w:t>Based</w:t>
      </w:r>
      <w:proofErr w:type="gramEnd"/>
      <w:r w:rsidR="00FD708A" w:rsidRPr="00EC37F5">
        <w:rPr>
          <w:rFonts w:ascii="Cambria" w:hAnsi="Cambria"/>
          <w:sz w:val="20"/>
          <w:szCs w:val="20"/>
        </w:rPr>
        <w:t xml:space="preserve"> on the ideas above, </w:t>
      </w:r>
      <w:r w:rsidR="00FD708A" w:rsidRPr="00EC37F5">
        <w:rPr>
          <w:rFonts w:ascii="Cambria" w:hAnsi="Cambria"/>
          <w:b/>
          <w:bCs/>
          <w:sz w:val="20"/>
          <w:szCs w:val="20"/>
        </w:rPr>
        <w:t>Table 1</w:t>
      </w:r>
      <w:r w:rsidR="0016515D" w:rsidRPr="00EC37F5">
        <w:rPr>
          <w:rFonts w:ascii="Cambria" w:hAnsi="Cambria"/>
          <w:b/>
          <w:bCs/>
          <w:sz w:val="20"/>
          <w:szCs w:val="20"/>
        </w:rPr>
        <w:t>.</w:t>
      </w:r>
      <w:r w:rsidR="00FD708A" w:rsidRPr="00EC37F5">
        <w:rPr>
          <w:rFonts w:ascii="Cambria" w:hAnsi="Cambria"/>
          <w:b/>
          <w:bCs/>
          <w:sz w:val="20"/>
          <w:szCs w:val="20"/>
        </w:rPr>
        <w:t>1 and Table 1</w:t>
      </w:r>
      <w:r w:rsidR="0016515D" w:rsidRPr="00EC37F5">
        <w:rPr>
          <w:rFonts w:ascii="Cambria" w:hAnsi="Cambria"/>
          <w:b/>
          <w:bCs/>
          <w:sz w:val="20"/>
          <w:szCs w:val="20"/>
        </w:rPr>
        <w:t>.</w:t>
      </w:r>
      <w:r w:rsidR="00FD708A" w:rsidRPr="00EC37F5">
        <w:rPr>
          <w:rFonts w:ascii="Cambria" w:hAnsi="Cambria"/>
          <w:b/>
          <w:bCs/>
          <w:sz w:val="20"/>
          <w:szCs w:val="20"/>
        </w:rPr>
        <w:t>2</w:t>
      </w:r>
      <w:r w:rsidR="00FD708A" w:rsidRPr="00EC37F5">
        <w:rPr>
          <w:rFonts w:ascii="Cambria" w:hAnsi="Cambria"/>
          <w:sz w:val="20"/>
          <w:szCs w:val="20"/>
        </w:rPr>
        <w:t xml:space="preserve"> </w:t>
      </w:r>
      <w:r w:rsidR="00D62F56" w:rsidRPr="00EC37F5">
        <w:rPr>
          <w:rFonts w:ascii="Cambria" w:hAnsi="Cambria"/>
          <w:sz w:val="20"/>
          <w:szCs w:val="20"/>
        </w:rPr>
        <w:t xml:space="preserve">of </w:t>
      </w:r>
      <w:r w:rsidR="00D62F56" w:rsidRPr="00EC37F5">
        <w:rPr>
          <w:rFonts w:ascii="Cambria" w:hAnsi="Cambria"/>
          <w:b/>
          <w:bCs/>
          <w:sz w:val="20"/>
          <w:szCs w:val="20"/>
        </w:rPr>
        <w:t>Appendix 1</w:t>
      </w:r>
      <w:r w:rsidR="00D62F56" w:rsidRPr="00EC37F5">
        <w:rPr>
          <w:rFonts w:ascii="Cambria" w:hAnsi="Cambria"/>
          <w:sz w:val="20"/>
          <w:szCs w:val="20"/>
        </w:rPr>
        <w:t xml:space="preserve"> </w:t>
      </w:r>
      <w:r w:rsidR="00FD708A" w:rsidRPr="00EC37F5">
        <w:rPr>
          <w:rFonts w:ascii="Cambria" w:hAnsi="Cambria"/>
          <w:sz w:val="20"/>
          <w:szCs w:val="20"/>
        </w:rPr>
        <w:t>are formulated for indicative purposes. If Panel 2 chooses another figure</w:t>
      </w:r>
      <w:r w:rsidR="00955D19" w:rsidRPr="00EC37F5">
        <w:rPr>
          <w:rFonts w:ascii="Cambria" w:hAnsi="Cambria" w:hint="eastAsia"/>
          <w:sz w:val="20"/>
          <w:szCs w:val="20"/>
        </w:rPr>
        <w:t xml:space="preserve"> for TAC</w:t>
      </w:r>
      <w:r w:rsidR="00FD708A" w:rsidRPr="00EC37F5">
        <w:rPr>
          <w:rFonts w:ascii="Cambria" w:hAnsi="Cambria"/>
          <w:sz w:val="20"/>
          <w:szCs w:val="20"/>
        </w:rPr>
        <w:t>, these must be adjusted or abolished.</w:t>
      </w:r>
    </w:p>
    <w:p w14:paraId="1C7F1A11" w14:textId="77777777" w:rsidR="00FD708A" w:rsidRPr="00EC37F5" w:rsidRDefault="00FD708A" w:rsidP="00A24F31">
      <w:pPr>
        <w:spacing w:line="240" w:lineRule="exact"/>
        <w:rPr>
          <w:rFonts w:ascii="Cambria" w:hAnsi="Cambria"/>
          <w:sz w:val="20"/>
          <w:szCs w:val="20"/>
        </w:rPr>
      </w:pPr>
    </w:p>
    <w:p w14:paraId="6CABD529" w14:textId="26E99FB7" w:rsidR="00CE1CAA" w:rsidRPr="00995BDB" w:rsidRDefault="00FD708A" w:rsidP="00855DFE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EC37F5">
        <w:rPr>
          <w:rFonts w:ascii="Cambria" w:hAnsi="Cambria" w:hint="eastAsia"/>
          <w:sz w:val="20"/>
          <w:szCs w:val="20"/>
        </w:rPr>
        <w:t>4</w:t>
      </w:r>
      <w:proofErr w:type="gramStart"/>
      <w:r w:rsidRPr="00EC37F5">
        <w:rPr>
          <w:rFonts w:ascii="Cambria" w:hAnsi="Cambria"/>
          <w:sz w:val="20"/>
          <w:szCs w:val="20"/>
        </w:rPr>
        <w:t xml:space="preserve">. </w:t>
      </w:r>
      <w:r w:rsidR="00855DFE" w:rsidRPr="00EC37F5">
        <w:rPr>
          <w:rFonts w:ascii="Cambria" w:hAnsi="Cambria"/>
          <w:sz w:val="20"/>
          <w:szCs w:val="20"/>
        </w:rPr>
        <w:tab/>
      </w:r>
      <w:r w:rsidR="00CB5441" w:rsidRPr="00EC37F5">
        <w:rPr>
          <w:rFonts w:ascii="Cambria" w:hAnsi="Cambria"/>
          <w:sz w:val="20"/>
          <w:szCs w:val="20"/>
        </w:rPr>
        <w:t>In</w:t>
      </w:r>
      <w:proofErr w:type="gramEnd"/>
      <w:r w:rsidR="00CB5441" w:rsidRPr="00EC37F5">
        <w:rPr>
          <w:rFonts w:ascii="Cambria" w:hAnsi="Cambria"/>
          <w:sz w:val="20"/>
          <w:szCs w:val="20"/>
        </w:rPr>
        <w:t xml:space="preserve"> addition, a carry-over limit, which is currently 5 % of the initial quota, should be increased to 20% based on the SCRS recommendation. This is to help small quota holders that have not </w:t>
      </w:r>
      <w:proofErr w:type="gramStart"/>
      <w:r w:rsidR="00CB5441" w:rsidRPr="00EC37F5">
        <w:rPr>
          <w:rFonts w:ascii="Cambria" w:hAnsi="Cambria"/>
          <w:sz w:val="20"/>
          <w:szCs w:val="20"/>
        </w:rPr>
        <w:t>fished</w:t>
      </w:r>
      <w:proofErr w:type="gramEnd"/>
      <w:r w:rsidR="00CB5441" w:rsidRPr="00EC37F5">
        <w:rPr>
          <w:rFonts w:ascii="Cambria" w:hAnsi="Cambria"/>
          <w:sz w:val="20"/>
          <w:szCs w:val="20"/>
        </w:rPr>
        <w:t xml:space="preserve"> bluefin tuna in the past but try to develop their own bluefin tuna fisheries</w:t>
      </w:r>
      <w:r w:rsidR="00AF318C" w:rsidRPr="00EC37F5">
        <w:rPr>
          <w:rFonts w:ascii="Cambria" w:hAnsi="Cambria"/>
          <w:sz w:val="20"/>
          <w:szCs w:val="20"/>
        </w:rPr>
        <w:t xml:space="preserve"> since i</w:t>
      </w:r>
      <w:r w:rsidR="00CB5441" w:rsidRPr="00EC37F5">
        <w:rPr>
          <w:rFonts w:ascii="Cambria" w:hAnsi="Cambria"/>
          <w:sz w:val="20"/>
          <w:szCs w:val="20"/>
        </w:rPr>
        <w:t xml:space="preserve">t may take </w:t>
      </w:r>
      <w:r w:rsidR="00AF318C" w:rsidRPr="00EC37F5">
        <w:rPr>
          <w:rFonts w:ascii="Cambria" w:hAnsi="Cambria"/>
          <w:sz w:val="20"/>
          <w:szCs w:val="20"/>
        </w:rPr>
        <w:t xml:space="preserve">them </w:t>
      </w:r>
      <w:r w:rsidR="00CB5441" w:rsidRPr="00EC37F5">
        <w:rPr>
          <w:rFonts w:ascii="Cambria" w:hAnsi="Cambria"/>
          <w:sz w:val="20"/>
          <w:szCs w:val="20"/>
        </w:rPr>
        <w:t>some time to learn how to catch fish</w:t>
      </w:r>
      <w:r w:rsidR="00AF318C" w:rsidRPr="00EC37F5">
        <w:rPr>
          <w:rFonts w:ascii="Cambria" w:hAnsi="Cambria"/>
          <w:sz w:val="20"/>
          <w:szCs w:val="20"/>
        </w:rPr>
        <w:t>.</w:t>
      </w:r>
      <w:r w:rsidR="00CB5441" w:rsidRPr="00995BDB">
        <w:rPr>
          <w:rFonts w:ascii="Cambria" w:hAnsi="Cambria"/>
          <w:sz w:val="20"/>
          <w:szCs w:val="20"/>
        </w:rPr>
        <w:t xml:space="preserve">    </w:t>
      </w:r>
      <w:r w:rsidR="00CE1CAA" w:rsidRPr="00995BDB">
        <w:rPr>
          <w:rFonts w:ascii="Cambria" w:hAnsi="Cambria"/>
          <w:sz w:val="20"/>
          <w:szCs w:val="20"/>
        </w:rPr>
        <w:t xml:space="preserve"> </w:t>
      </w:r>
    </w:p>
    <w:p w14:paraId="7C932092" w14:textId="570DEFC0" w:rsidR="008635B6" w:rsidRPr="00995BDB" w:rsidRDefault="00812D8E" w:rsidP="00A24F31">
      <w:pPr>
        <w:spacing w:line="240" w:lineRule="exact"/>
        <w:rPr>
          <w:rFonts w:ascii="Cambria" w:hAnsi="Cambria"/>
          <w:sz w:val="20"/>
          <w:szCs w:val="20"/>
        </w:rPr>
      </w:pPr>
      <w:r w:rsidRPr="00995BDB">
        <w:rPr>
          <w:rFonts w:ascii="Cambria" w:hAnsi="Cambria"/>
          <w:sz w:val="20"/>
          <w:szCs w:val="20"/>
        </w:rPr>
        <w:t xml:space="preserve">  </w:t>
      </w:r>
      <w:r w:rsidR="00160896" w:rsidRPr="00995BDB">
        <w:rPr>
          <w:rFonts w:ascii="Cambria" w:hAnsi="Cambria"/>
          <w:sz w:val="20"/>
          <w:szCs w:val="20"/>
        </w:rPr>
        <w:t xml:space="preserve">   </w:t>
      </w:r>
    </w:p>
    <w:sectPr w:rsidR="008635B6" w:rsidRPr="00995BDB" w:rsidSect="00A24F31">
      <w:headerReference w:type="default" r:id="rId10"/>
      <w:footerReference w:type="default" r:id="rId11"/>
      <w:pgSz w:w="11906" w:h="16838" w:code="9"/>
      <w:pgMar w:top="1418" w:right="1418" w:bottom="1418" w:left="1418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741A" w14:textId="77777777" w:rsidR="00F210F3" w:rsidRDefault="00F210F3" w:rsidP="00C3632B">
      <w:r>
        <w:separator/>
      </w:r>
    </w:p>
  </w:endnote>
  <w:endnote w:type="continuationSeparator" w:id="0">
    <w:p w14:paraId="6868913E" w14:textId="77777777" w:rsidR="00F210F3" w:rsidRDefault="00F210F3" w:rsidP="00C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09E6" w14:textId="475AFEAB" w:rsidR="00855DFE" w:rsidRPr="00855DFE" w:rsidRDefault="00855DFE" w:rsidP="00855DFE">
    <w:pPr>
      <w:widowControl/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hAnsi="Cambria"/>
        <w:sz w:val="20"/>
      </w:rPr>
    </w:pPr>
    <w:r w:rsidRPr="00855DFE">
      <w:rPr>
        <w:rFonts w:ascii="Cambria" w:eastAsia="Calibri" w:hAnsi="Cambria" w:cs="Calibri"/>
        <w:sz w:val="20"/>
        <w:szCs w:val="20"/>
      </w:rPr>
      <w:fldChar w:fldCharType="begin"/>
    </w:r>
    <w:r w:rsidRPr="00855DFE">
      <w:rPr>
        <w:rFonts w:ascii="Cambria" w:eastAsia="Calibri" w:hAnsi="Cambria" w:cs="Calibri"/>
        <w:sz w:val="20"/>
        <w:szCs w:val="20"/>
      </w:rPr>
      <w:instrText xml:space="preserve"> PAGE </w:instrText>
    </w:r>
    <w:r w:rsidRPr="00855DFE">
      <w:rPr>
        <w:rFonts w:ascii="Cambria" w:eastAsia="Calibri" w:hAnsi="Cambria" w:cs="Calibri"/>
        <w:sz w:val="20"/>
        <w:szCs w:val="20"/>
      </w:rPr>
      <w:fldChar w:fldCharType="separate"/>
    </w:r>
    <w:r w:rsidRPr="00855DFE">
      <w:rPr>
        <w:rFonts w:ascii="Cambria" w:eastAsia="Calibri" w:hAnsi="Cambria" w:cs="Calibri"/>
        <w:sz w:val="20"/>
        <w:szCs w:val="20"/>
      </w:rPr>
      <w:t>1</w:t>
    </w:r>
    <w:r w:rsidRPr="00855DFE">
      <w:rPr>
        <w:rFonts w:ascii="Cambria" w:eastAsia="Calibri" w:hAnsi="Cambria" w:cs="Calibri"/>
        <w:sz w:val="20"/>
        <w:szCs w:val="20"/>
      </w:rPr>
      <w:fldChar w:fldCharType="end"/>
    </w:r>
    <w:r w:rsidRPr="00855DFE">
      <w:rPr>
        <w:rFonts w:ascii="Cambria" w:eastAsia="Calibri" w:hAnsi="Cambria" w:cs="Calibri"/>
        <w:sz w:val="20"/>
        <w:szCs w:val="20"/>
      </w:rPr>
      <w:t xml:space="preserve"> / </w:t>
    </w:r>
    <w:r w:rsidRPr="00855DFE">
      <w:rPr>
        <w:rFonts w:ascii="Cambria" w:eastAsia="Calibri" w:hAnsi="Cambria" w:cs="Calibri"/>
        <w:sz w:val="20"/>
        <w:szCs w:val="20"/>
      </w:rPr>
      <w:fldChar w:fldCharType="begin"/>
    </w:r>
    <w:r w:rsidRPr="00855DFE">
      <w:rPr>
        <w:rFonts w:ascii="Cambria" w:eastAsia="Calibri" w:hAnsi="Cambria" w:cs="Calibri"/>
        <w:sz w:val="20"/>
        <w:szCs w:val="20"/>
      </w:rPr>
      <w:instrText xml:space="preserve"> NUMPAGES  </w:instrText>
    </w:r>
    <w:r w:rsidRPr="00855DFE">
      <w:rPr>
        <w:rFonts w:ascii="Cambria" w:eastAsia="Calibri" w:hAnsi="Cambria" w:cs="Calibri"/>
        <w:sz w:val="20"/>
        <w:szCs w:val="20"/>
      </w:rPr>
      <w:fldChar w:fldCharType="separate"/>
    </w:r>
    <w:r w:rsidRPr="00855DFE">
      <w:rPr>
        <w:rFonts w:ascii="Cambria" w:eastAsia="Calibri" w:hAnsi="Cambria" w:cs="Calibri"/>
        <w:sz w:val="20"/>
        <w:szCs w:val="20"/>
      </w:rPr>
      <w:t>8</w:t>
    </w:r>
    <w:r w:rsidRPr="00855DFE">
      <w:rPr>
        <w:rFonts w:ascii="Cambria" w:eastAsia="Calibri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CEB9" w14:textId="77777777" w:rsidR="00F210F3" w:rsidRDefault="00F210F3" w:rsidP="00C3632B">
      <w:r>
        <w:separator/>
      </w:r>
    </w:p>
  </w:footnote>
  <w:footnote w:type="continuationSeparator" w:id="0">
    <w:p w14:paraId="2968A119" w14:textId="77777777" w:rsidR="00F210F3" w:rsidRDefault="00F210F3" w:rsidP="00C3632B">
      <w:r>
        <w:continuationSeparator/>
      </w:r>
    </w:p>
  </w:footnote>
  <w:footnote w:id="1">
    <w:p w14:paraId="02A21D8B" w14:textId="77777777" w:rsidR="00165428" w:rsidRPr="00855DFE" w:rsidRDefault="00165428" w:rsidP="006B65F6">
      <w:pPr>
        <w:pStyle w:val="FootnoteText"/>
        <w:jc w:val="both"/>
        <w:rPr>
          <w:rFonts w:ascii="Cambria" w:hAnsi="Cambria"/>
          <w:sz w:val="16"/>
          <w:szCs w:val="16"/>
        </w:rPr>
      </w:pPr>
      <w:r w:rsidRPr="00855DFE">
        <w:rPr>
          <w:rStyle w:val="FootnoteReference"/>
          <w:rFonts w:ascii="Cambria" w:hAnsi="Cambria"/>
          <w:sz w:val="16"/>
          <w:szCs w:val="16"/>
        </w:rPr>
        <w:footnoteRef/>
      </w:r>
      <w:r w:rsidRPr="00855DFE">
        <w:rPr>
          <w:rFonts w:ascii="Cambria" w:hAnsi="Cambria"/>
          <w:sz w:val="16"/>
          <w:szCs w:val="16"/>
        </w:rPr>
        <w:t xml:space="preserve"> The figures in 2025 were not used because some CPCs have not yet finished the 2025 fishing season and thus cannot compare those figures among CPCs.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A659" w14:textId="5232CBD2" w:rsidR="00B178D1" w:rsidRPr="00B178D1" w:rsidRDefault="00B178D1" w:rsidP="00B178D1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kern w:val="0"/>
        <w:sz w:val="20"/>
        <w:szCs w:val="20"/>
        <w:lang w:eastAsia="en-US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B178D1">
      <w:rPr>
        <w:rFonts w:ascii="Cambria" w:eastAsia="Calibri" w:hAnsi="Cambria" w:cs="Cambria"/>
        <w:b/>
        <w:bCs/>
        <w:kern w:val="0"/>
        <w:sz w:val="20"/>
        <w:szCs w:val="20"/>
        <w:lang w:eastAsia="en-US"/>
      </w:rPr>
      <w:t>PA2_6</w:t>
    </w:r>
    <w:r>
      <w:rPr>
        <w:rFonts w:ascii="Cambria" w:eastAsia="Calibri" w:hAnsi="Cambria" w:cs="Cambria"/>
        <w:b/>
        <w:bCs/>
        <w:kern w:val="0"/>
        <w:sz w:val="20"/>
        <w:szCs w:val="20"/>
        <w:lang w:eastAsia="en-US"/>
      </w:rPr>
      <w:t>12</w:t>
    </w:r>
    <w:r w:rsidRPr="00B178D1">
      <w:rPr>
        <w:rFonts w:ascii="Cambria" w:eastAsia="Calibri" w:hAnsi="Cambria" w:cs="Cambria"/>
        <w:b/>
        <w:bCs/>
        <w:kern w:val="0"/>
        <w:sz w:val="20"/>
        <w:szCs w:val="20"/>
        <w:lang w:eastAsia="en-US"/>
      </w:rPr>
      <w:t>/2025</w:t>
    </w:r>
  </w:p>
  <w:p w14:paraId="5020D595" w14:textId="67104897" w:rsidR="00B178D1" w:rsidRDefault="00B178D1" w:rsidP="0070212D">
    <w:pPr>
      <w:tabs>
        <w:tab w:val="left" w:pos="7320"/>
      </w:tabs>
      <w:autoSpaceDE w:val="0"/>
      <w:autoSpaceDN w:val="0"/>
      <w:spacing w:line="240" w:lineRule="exact"/>
      <w:jc w:val="right"/>
    </w:pPr>
    <w:r w:rsidRPr="00B178D1">
      <w:rPr>
        <w:rFonts w:ascii="Cambria" w:eastAsia="Cambria" w:hAnsi="Cambria" w:cs="Cambria"/>
        <w:b/>
        <w:bCs/>
        <w:kern w:val="0"/>
        <w:sz w:val="16"/>
        <w:szCs w:val="16"/>
        <w:lang w:val="es-ES_tradnl" w:eastAsia="en-US"/>
      </w:rPr>
      <w:fldChar w:fldCharType="begin"/>
    </w:r>
    <w:r w:rsidRPr="00B178D1">
      <w:rPr>
        <w:rFonts w:ascii="Cambria" w:eastAsia="Cambria" w:hAnsi="Cambria" w:cs="Cambria"/>
        <w:b/>
        <w:bCs/>
        <w:kern w:val="0"/>
        <w:sz w:val="16"/>
        <w:szCs w:val="16"/>
        <w:lang w:val="es-ES_tradnl" w:eastAsia="en-US"/>
      </w:rPr>
      <w:instrText xml:space="preserve"> TIME \@ "dd/MM/yyyy H:mm" </w:instrText>
    </w:r>
    <w:r w:rsidRPr="00B178D1">
      <w:rPr>
        <w:rFonts w:ascii="Cambria" w:eastAsia="Cambria" w:hAnsi="Cambria" w:cs="Cambria"/>
        <w:b/>
        <w:bCs/>
        <w:kern w:val="0"/>
        <w:sz w:val="16"/>
        <w:szCs w:val="16"/>
        <w:lang w:val="es-ES_tradnl" w:eastAsia="en-US"/>
      </w:rPr>
      <w:fldChar w:fldCharType="separate"/>
    </w:r>
    <w:r w:rsidR="00156076">
      <w:rPr>
        <w:rFonts w:ascii="Cambria" w:eastAsia="Cambria" w:hAnsi="Cambria" w:cs="Cambria"/>
        <w:b/>
        <w:bCs/>
        <w:noProof/>
        <w:kern w:val="0"/>
        <w:sz w:val="16"/>
        <w:szCs w:val="16"/>
        <w:lang w:val="es-ES_tradnl" w:eastAsia="en-US"/>
      </w:rPr>
      <w:t>27/10/2025 11:19</w:t>
    </w:r>
    <w:r w:rsidRPr="00B178D1">
      <w:rPr>
        <w:rFonts w:ascii="Cambria" w:eastAsia="Cambria" w:hAnsi="Cambria" w:cs="Cambria"/>
        <w:b/>
        <w:bCs/>
        <w:kern w:val="0"/>
        <w:sz w:val="16"/>
        <w:szCs w:val="16"/>
        <w:lang w:val="es-ES_tradnl" w:eastAsia="en-US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48DA"/>
    <w:multiLevelType w:val="hybridMultilevel"/>
    <w:tmpl w:val="B66CD67A"/>
    <w:lvl w:ilvl="0" w:tplc="2C7AC2EE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0E543C4"/>
    <w:multiLevelType w:val="hybridMultilevel"/>
    <w:tmpl w:val="F670B56C"/>
    <w:lvl w:ilvl="0" w:tplc="06E008C6">
      <w:start w:val="1"/>
      <w:numFmt w:val="decimal"/>
      <w:lvlText w:val="(%1)"/>
      <w:lvlJc w:val="left"/>
      <w:pPr>
        <w:ind w:left="976" w:hanging="40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236C61"/>
    <w:multiLevelType w:val="hybridMultilevel"/>
    <w:tmpl w:val="5060D06C"/>
    <w:lvl w:ilvl="0" w:tplc="E9D29F9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8135">
    <w:abstractNumId w:val="2"/>
  </w:num>
  <w:num w:numId="2" w16cid:durableId="693728020">
    <w:abstractNumId w:val="0"/>
  </w:num>
  <w:num w:numId="3" w16cid:durableId="150099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6"/>
    <w:rsid w:val="00071744"/>
    <w:rsid w:val="00074365"/>
    <w:rsid w:val="00096A3C"/>
    <w:rsid w:val="000D7C2D"/>
    <w:rsid w:val="00141242"/>
    <w:rsid w:val="00156076"/>
    <w:rsid w:val="00160896"/>
    <w:rsid w:val="0016515D"/>
    <w:rsid w:val="00165428"/>
    <w:rsid w:val="001E2A2D"/>
    <w:rsid w:val="001E4D27"/>
    <w:rsid w:val="001E63AC"/>
    <w:rsid w:val="00205768"/>
    <w:rsid w:val="00330FFB"/>
    <w:rsid w:val="003C520B"/>
    <w:rsid w:val="003F144B"/>
    <w:rsid w:val="0044179E"/>
    <w:rsid w:val="004D071C"/>
    <w:rsid w:val="004D3A10"/>
    <w:rsid w:val="00524A03"/>
    <w:rsid w:val="00562E87"/>
    <w:rsid w:val="005A7422"/>
    <w:rsid w:val="005B4D83"/>
    <w:rsid w:val="00605EDD"/>
    <w:rsid w:val="00647F0D"/>
    <w:rsid w:val="006B65F6"/>
    <w:rsid w:val="0070212D"/>
    <w:rsid w:val="00711E16"/>
    <w:rsid w:val="00796D4F"/>
    <w:rsid w:val="007C0DFA"/>
    <w:rsid w:val="007C30BB"/>
    <w:rsid w:val="007E562A"/>
    <w:rsid w:val="00812D8E"/>
    <w:rsid w:val="00827C38"/>
    <w:rsid w:val="0083262A"/>
    <w:rsid w:val="00835F06"/>
    <w:rsid w:val="00855DFE"/>
    <w:rsid w:val="008635B6"/>
    <w:rsid w:val="00863665"/>
    <w:rsid w:val="00940EE7"/>
    <w:rsid w:val="00955D19"/>
    <w:rsid w:val="00995BDB"/>
    <w:rsid w:val="009A6998"/>
    <w:rsid w:val="00A16559"/>
    <w:rsid w:val="00A24F31"/>
    <w:rsid w:val="00A426D0"/>
    <w:rsid w:val="00A92AC3"/>
    <w:rsid w:val="00A92E32"/>
    <w:rsid w:val="00AA45E5"/>
    <w:rsid w:val="00AB4B8C"/>
    <w:rsid w:val="00AE3665"/>
    <w:rsid w:val="00AF318C"/>
    <w:rsid w:val="00B10F93"/>
    <w:rsid w:val="00B178D1"/>
    <w:rsid w:val="00B57487"/>
    <w:rsid w:val="00BA5DD6"/>
    <w:rsid w:val="00BE7BCC"/>
    <w:rsid w:val="00C02357"/>
    <w:rsid w:val="00C3632B"/>
    <w:rsid w:val="00C86F38"/>
    <w:rsid w:val="00CB5441"/>
    <w:rsid w:val="00CE1CAA"/>
    <w:rsid w:val="00CF047D"/>
    <w:rsid w:val="00D54253"/>
    <w:rsid w:val="00D57D6E"/>
    <w:rsid w:val="00D62F56"/>
    <w:rsid w:val="00D90C58"/>
    <w:rsid w:val="00DE193F"/>
    <w:rsid w:val="00DF26E8"/>
    <w:rsid w:val="00E95BE2"/>
    <w:rsid w:val="00EC37F5"/>
    <w:rsid w:val="00F139D7"/>
    <w:rsid w:val="00F210F3"/>
    <w:rsid w:val="00FB272B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DB6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32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3632B"/>
  </w:style>
  <w:style w:type="paragraph" w:styleId="Footer">
    <w:name w:val="footer"/>
    <w:basedOn w:val="Normal"/>
    <w:link w:val="FooterChar"/>
    <w:uiPriority w:val="99"/>
    <w:unhideWhenUsed/>
    <w:rsid w:val="00C3632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3632B"/>
  </w:style>
  <w:style w:type="paragraph" w:styleId="FootnoteText">
    <w:name w:val="footnote text"/>
    <w:basedOn w:val="Normal"/>
    <w:link w:val="FootnoteTextChar"/>
    <w:uiPriority w:val="99"/>
    <w:semiHidden/>
    <w:unhideWhenUsed/>
    <w:rsid w:val="00330FFB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0FFB"/>
  </w:style>
  <w:style w:type="character" w:styleId="FootnoteReference">
    <w:name w:val="footnote reference"/>
    <w:basedOn w:val="DefaultParagraphFont"/>
    <w:uiPriority w:val="99"/>
    <w:semiHidden/>
    <w:unhideWhenUsed/>
    <w:rsid w:val="00330F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4A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5D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7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go_ota810@maff.g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ccat.int/Documents/Recs/compendiopdf-e/2022-08-e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6F8D-A13C-4740-BF67-176C9E21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2025-10-27T08:16:00Z</dcterms:created>
  <dcterms:modified xsi:type="dcterms:W3CDTF">2025-10-27T11:35:00Z</dcterms:modified>
</cp:coreProperties>
</file>