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10100" w14:textId="77777777" w:rsidR="00E30020" w:rsidRPr="00E30020" w:rsidRDefault="00E30020" w:rsidP="007D0E69">
      <w:pPr>
        <w:widowControl/>
        <w:jc w:val="center"/>
        <w:rPr>
          <w:rFonts w:ascii="Cambria" w:eastAsia="Cambria" w:hAnsi="Cambria" w:cs="Cambria"/>
          <w:b/>
          <w:sz w:val="20"/>
        </w:rPr>
      </w:pPr>
      <w:r w:rsidRPr="00E30020">
        <w:rPr>
          <w:rFonts w:ascii="Cambria" w:eastAsia="Cambria" w:hAnsi="Cambria" w:cs="Cambria"/>
          <w:b/>
          <w:sz w:val="20"/>
        </w:rPr>
        <w:t>Portada para acompañar nuevas propuestas</w:t>
      </w:r>
    </w:p>
    <w:p w14:paraId="0B104381" w14:textId="77777777" w:rsidR="00E30020" w:rsidRPr="00E30020" w:rsidRDefault="00E30020" w:rsidP="007D0E69">
      <w:pPr>
        <w:widowControl/>
        <w:jc w:val="center"/>
        <w:rPr>
          <w:rFonts w:ascii="Cambria" w:eastAsia="Cambria" w:hAnsi="Cambria" w:cs="Cambria"/>
          <w:b/>
          <w:sz w:val="20"/>
        </w:rPr>
      </w:pPr>
    </w:p>
    <w:p w14:paraId="09FA71ED" w14:textId="5BFBA53C" w:rsidR="00E30020" w:rsidRPr="00E30020" w:rsidRDefault="00E30020" w:rsidP="007D0E69">
      <w:pPr>
        <w:widowControl/>
        <w:jc w:val="center"/>
        <w:rPr>
          <w:rFonts w:ascii="Cambria" w:eastAsia="Cambria" w:hAnsi="Cambria" w:cs="Cambria"/>
          <w:bCs/>
          <w:i/>
          <w:iCs/>
          <w:sz w:val="20"/>
        </w:rPr>
      </w:pPr>
      <w:r w:rsidRPr="00E30020">
        <w:rPr>
          <w:rFonts w:ascii="Cambria" w:eastAsia="Cambria" w:hAnsi="Cambria" w:cs="Cambria"/>
          <w:bCs/>
          <w:i/>
          <w:iCs/>
          <w:sz w:val="20"/>
        </w:rPr>
        <w:t xml:space="preserve">(presentado por </w:t>
      </w:r>
      <w:r>
        <w:rPr>
          <w:rFonts w:ascii="Cambria" w:eastAsia="Cambria" w:hAnsi="Cambria" w:cs="Cambria"/>
          <w:bCs/>
          <w:i/>
          <w:iCs/>
          <w:sz w:val="20"/>
        </w:rPr>
        <w:t>la Unión Europea</w:t>
      </w:r>
      <w:r w:rsidRPr="00E30020">
        <w:rPr>
          <w:rFonts w:ascii="Cambria" w:eastAsia="Cambria" w:hAnsi="Cambria" w:cs="Cambria"/>
          <w:bCs/>
          <w:i/>
          <w:iCs/>
          <w:sz w:val="20"/>
        </w:rPr>
        <w:t>)</w:t>
      </w:r>
    </w:p>
    <w:p w14:paraId="2CEC3812" w14:textId="77777777" w:rsidR="00E30020" w:rsidRPr="00E30020" w:rsidRDefault="00E30020" w:rsidP="007D0E69">
      <w:pPr>
        <w:widowControl/>
        <w:jc w:val="center"/>
        <w:rPr>
          <w:rFonts w:ascii="Cambria" w:eastAsia="Cambria" w:hAnsi="Cambria" w:cs="Cambria"/>
          <w:bCs/>
          <w:i/>
          <w:iCs/>
          <w:spacing w:val="-2"/>
          <w:sz w:val="20"/>
          <w:szCs w:val="20"/>
        </w:rPr>
      </w:pPr>
    </w:p>
    <w:p w14:paraId="391A1291" w14:textId="1C166CD2" w:rsidR="00E30020" w:rsidRPr="00E30020" w:rsidRDefault="00E30020" w:rsidP="007D0E69">
      <w:pPr>
        <w:autoSpaceDE w:val="0"/>
        <w:autoSpaceDN w:val="0"/>
        <w:jc w:val="both"/>
        <w:rPr>
          <w:rFonts w:ascii="Cambria" w:eastAsia="Cambria" w:hAnsi="Cambria" w:cs="Cambria"/>
          <w:b/>
          <w:bCs/>
          <w:color w:val="EE0000"/>
          <w:spacing w:val="-2"/>
          <w:sz w:val="20"/>
          <w:szCs w:val="20"/>
        </w:rPr>
      </w:pPr>
      <w:r w:rsidRPr="00E30020">
        <w:rPr>
          <w:rFonts w:ascii="Cambria" w:eastAsia="Cambria" w:hAnsi="Cambria" w:cs="Cambria"/>
          <w:b/>
          <w:sz w:val="20"/>
        </w:rPr>
        <w:t>Título de la propuesta de Proyecto de Recomendación/Resolución:</w:t>
      </w:r>
      <w:r w:rsidRPr="00E30020">
        <w:rPr>
          <w:rFonts w:ascii="Cambria" w:eastAsia="Cambria" w:hAnsi="Cambria" w:cs="Cambria"/>
          <w:bCs/>
          <w:color w:val="FF0000"/>
          <w:sz w:val="20"/>
        </w:rPr>
        <w:t xml:space="preserve"> </w:t>
      </w:r>
      <w:r w:rsidRPr="00772689">
        <w:rPr>
          <w:rFonts w:ascii="Cambria" w:hAnsi="Cambria"/>
          <w:color w:val="EE0000"/>
          <w:sz w:val="20"/>
        </w:rPr>
        <w:t>Proyecto de Recomendación de ICCAT para un plan de conservación y ordenación para el atún rojo del Atlá</w:t>
      </w:r>
      <w:r>
        <w:rPr>
          <w:rFonts w:ascii="Cambria" w:hAnsi="Cambria"/>
          <w:color w:val="EE0000"/>
          <w:sz w:val="20"/>
        </w:rPr>
        <w:t>ntico oeste</w:t>
      </w:r>
    </w:p>
    <w:p w14:paraId="2C48C93D" w14:textId="77777777" w:rsidR="00E30020" w:rsidRPr="00E30020" w:rsidRDefault="00E30020" w:rsidP="007D0E69">
      <w:pPr>
        <w:jc w:val="both"/>
        <w:rPr>
          <w:rFonts w:ascii="Cambria" w:eastAsia="Arial" w:hAnsi="Cambria" w:cs="Arial"/>
          <w:bCs/>
          <w:i/>
          <w:iCs/>
          <w:color w:val="FF0000"/>
          <w:sz w:val="20"/>
          <w:szCs w:val="20"/>
        </w:rPr>
      </w:pPr>
    </w:p>
    <w:p w14:paraId="7F5CED6B" w14:textId="243E974D" w:rsidR="00E30020" w:rsidRPr="00E30020" w:rsidRDefault="00E30020" w:rsidP="007D0E69">
      <w:pPr>
        <w:autoSpaceDE w:val="0"/>
        <w:autoSpaceDN w:val="0"/>
        <w:jc w:val="both"/>
        <w:rPr>
          <w:rFonts w:ascii="Cambria" w:eastAsia="Cambria" w:hAnsi="Cambria" w:cs="Cambria"/>
          <w:b/>
          <w:bCs/>
          <w:color w:val="EE0000"/>
          <w:sz w:val="20"/>
          <w:szCs w:val="20"/>
        </w:rPr>
      </w:pPr>
      <w:r w:rsidRPr="00E30020">
        <w:rPr>
          <w:rFonts w:ascii="Cambria" w:eastAsia="Cambria" w:hAnsi="Cambria" w:cs="Cambria"/>
          <w:b/>
          <w:sz w:val="20"/>
        </w:rPr>
        <w:t xml:space="preserve">Título de la(s) recomendación(es) o resolución(es) actualmente vigente(s) que aborda(n) la misma cuestión o cuestiones relacionadas: </w:t>
      </w:r>
      <w:r>
        <w:rPr>
          <w:rFonts w:ascii="Cambria" w:hAnsi="Cambria"/>
          <w:i/>
          <w:iCs/>
          <w:color w:val="EE0000"/>
          <w:sz w:val="20"/>
        </w:rPr>
        <w:t xml:space="preserve">Recomendación de ICCAT para un plan de conservación y ordenación para el atún rojo del Atlántico oeste </w:t>
      </w:r>
      <w:r>
        <w:rPr>
          <w:rFonts w:ascii="Cambria" w:hAnsi="Cambria"/>
          <w:color w:val="EE0000"/>
          <w:sz w:val="20"/>
        </w:rPr>
        <w:t>(Rec. 22-10)</w:t>
      </w:r>
    </w:p>
    <w:p w14:paraId="2EDBC784" w14:textId="77777777" w:rsidR="00E30020" w:rsidRPr="00E30020" w:rsidRDefault="00E30020" w:rsidP="007D0E69">
      <w:pPr>
        <w:autoSpaceDE w:val="0"/>
        <w:autoSpaceDN w:val="0"/>
        <w:ind w:left="318"/>
        <w:jc w:val="both"/>
        <w:rPr>
          <w:rFonts w:ascii="Cambria" w:eastAsia="Cambria" w:hAnsi="Cambria" w:cs="Cambria"/>
          <w:sz w:val="20"/>
          <w:szCs w:val="20"/>
        </w:rPr>
      </w:pPr>
    </w:p>
    <w:p w14:paraId="4081CFF2" w14:textId="6B0BC0CD" w:rsidR="00E30020" w:rsidRPr="00E30020" w:rsidRDefault="00E30020" w:rsidP="007D0E69">
      <w:pPr>
        <w:widowControl/>
        <w:numPr>
          <w:ilvl w:val="0"/>
          <w:numId w:val="8"/>
        </w:numPr>
        <w:autoSpaceDE w:val="0"/>
        <w:autoSpaceDN w:val="0"/>
        <w:ind w:left="426" w:hanging="426"/>
        <w:jc w:val="both"/>
        <w:rPr>
          <w:rFonts w:ascii="Cambria" w:eastAsia="Cambria" w:hAnsi="Cambria" w:cs="Cambria"/>
          <w:color w:val="FF0000"/>
          <w:sz w:val="20"/>
          <w:szCs w:val="20"/>
        </w:rPr>
      </w:pPr>
      <w:r w:rsidRPr="00E30020">
        <w:rPr>
          <w:rFonts w:ascii="Cambria" w:eastAsia="Cambria" w:hAnsi="Cambria" w:cs="Cambria"/>
          <w:sz w:val="20"/>
        </w:rPr>
        <w:t xml:space="preserve">¿Crea nuevas </w:t>
      </w:r>
      <w:r w:rsidRPr="00E30020">
        <w:rPr>
          <w:rFonts w:ascii="Cambria" w:eastAsia="Cambria" w:hAnsi="Cambria" w:cs="Cambria"/>
          <w:b/>
          <w:sz w:val="20"/>
        </w:rPr>
        <w:t xml:space="preserve">obligaciones de comunicación </w:t>
      </w:r>
      <w:r w:rsidRPr="00E30020">
        <w:rPr>
          <w:rFonts w:ascii="Cambria" w:eastAsia="Cambria" w:hAnsi="Cambria" w:cs="Cambria"/>
          <w:sz w:val="20"/>
        </w:rPr>
        <w:t xml:space="preserve">para las CPC?    </w:t>
      </w:r>
      <w:r w:rsidRPr="00E30020">
        <w:rPr>
          <w:rFonts w:ascii="Cambria" w:eastAsia="Cambria" w:hAnsi="Cambria" w:cs="Cambria"/>
          <w:color w:val="EE0000"/>
          <w:sz w:val="20"/>
        </w:rPr>
        <w:t xml:space="preserve"> Sí </w:t>
      </w:r>
      <w:sdt>
        <w:sdtPr>
          <w:rPr>
            <w:rFonts w:ascii="Cambria" w:eastAsia="Cambria" w:hAnsi="Cambria" w:cs="Cambria"/>
            <w:color w:val="EE0000"/>
            <w:sz w:val="20"/>
          </w:rPr>
          <w:id w:val="279852826"/>
          <w14:checkbox>
            <w14:checked w14:val="1"/>
            <w14:checkedState w14:val="2612" w14:font="MS Gothic"/>
            <w14:uncheckedState w14:val="2610" w14:font="MS Gothic"/>
          </w14:checkbox>
        </w:sdtPr>
        <w:sdtEndPr/>
        <w:sdtContent>
          <w:r w:rsidRPr="00E30020">
            <w:rPr>
              <w:rFonts w:ascii="MS Gothic" w:eastAsia="MS Gothic" w:hAnsi="MS Gothic" w:cs="Cambria" w:hint="eastAsia"/>
              <w:color w:val="EE0000"/>
              <w:sz w:val="20"/>
            </w:rPr>
            <w:t>☒</w:t>
          </w:r>
        </w:sdtContent>
      </w:sdt>
      <w:r w:rsidRPr="00E30020">
        <w:rPr>
          <w:rFonts w:ascii="Cambria" w:eastAsia="Cambria" w:hAnsi="Cambria" w:cs="Cambria"/>
          <w:color w:val="EE0000"/>
          <w:sz w:val="20"/>
        </w:rPr>
        <w:tab/>
      </w:r>
      <w:r w:rsidRPr="00E30020">
        <w:rPr>
          <w:rFonts w:ascii="Cambria" w:eastAsia="Cambria" w:hAnsi="Cambria" w:cs="Cambria"/>
          <w:sz w:val="20"/>
        </w:rPr>
        <w:t xml:space="preserve">No </w:t>
      </w:r>
      <w:sdt>
        <w:sdtPr>
          <w:rPr>
            <w:rFonts w:ascii="Cambria" w:eastAsia="Cambria" w:hAnsi="Cambria" w:cs="Cambria"/>
            <w:spacing w:val="-2"/>
            <w:sz w:val="20"/>
            <w:szCs w:val="20"/>
          </w:rPr>
          <w:id w:val="-1068185848"/>
          <w14:checkbox>
            <w14:checked w14:val="0"/>
            <w14:checkedState w14:val="2612" w14:font="MS Gothic"/>
            <w14:uncheckedState w14:val="2610" w14:font="MS Gothic"/>
          </w14:checkbox>
        </w:sdtPr>
        <w:sdtEndPr/>
        <w:sdtContent>
          <w:r>
            <w:rPr>
              <w:rFonts w:ascii="MS Gothic" w:eastAsia="MS Gothic" w:hAnsi="MS Gothic" w:cs="Cambria" w:hint="eastAsia"/>
              <w:spacing w:val="-2"/>
              <w:sz w:val="20"/>
              <w:szCs w:val="20"/>
            </w:rPr>
            <w:t>☐</w:t>
          </w:r>
        </w:sdtContent>
      </w:sdt>
    </w:p>
    <w:p w14:paraId="4F134B35" w14:textId="77777777" w:rsidR="00E30020" w:rsidRPr="00E30020" w:rsidRDefault="00E30020" w:rsidP="007D0E69">
      <w:pPr>
        <w:autoSpaceDE w:val="0"/>
        <w:autoSpaceDN w:val="0"/>
        <w:rPr>
          <w:rFonts w:ascii="Cambria" w:eastAsia="Cambria" w:hAnsi="Cambria" w:cs="Cambria"/>
          <w:sz w:val="20"/>
          <w:szCs w:val="20"/>
        </w:rPr>
      </w:pPr>
    </w:p>
    <w:p w14:paraId="3239175B" w14:textId="77777777" w:rsidR="00E30020" w:rsidRPr="00E30020" w:rsidRDefault="00E30020" w:rsidP="007D0E69">
      <w:pPr>
        <w:autoSpaceDE w:val="0"/>
        <w:autoSpaceDN w:val="0"/>
        <w:ind w:left="426"/>
        <w:jc w:val="both"/>
        <w:rPr>
          <w:rFonts w:ascii="Cambria" w:eastAsia="Cambria" w:hAnsi="Cambria" w:cs="Cambria"/>
          <w:sz w:val="20"/>
        </w:rPr>
      </w:pPr>
      <w:r w:rsidRPr="00E30020">
        <w:rPr>
          <w:rFonts w:ascii="Cambria" w:eastAsia="Cambria" w:hAnsi="Cambria" w:cs="Cambria"/>
          <w:sz w:val="20"/>
        </w:rPr>
        <w:t xml:space="preserve">Breve descripción de la(s) nueva(s) obligación(es) de comunicación: </w:t>
      </w:r>
    </w:p>
    <w:p w14:paraId="5341D580" w14:textId="77777777" w:rsidR="00E30020" w:rsidRPr="00E30020" w:rsidRDefault="00E30020" w:rsidP="007D0E69">
      <w:pPr>
        <w:autoSpaceDE w:val="0"/>
        <w:autoSpaceDN w:val="0"/>
        <w:ind w:left="426"/>
        <w:jc w:val="both"/>
        <w:rPr>
          <w:rFonts w:ascii="Cambria" w:eastAsia="Cambria" w:hAnsi="Cambria" w:cs="Cambria"/>
          <w:color w:val="FF0000"/>
          <w:sz w:val="20"/>
        </w:rPr>
      </w:pPr>
    </w:p>
    <w:p w14:paraId="5B84FB3F" w14:textId="77777777" w:rsidR="00E30020" w:rsidRPr="007D4948" w:rsidRDefault="00E30020" w:rsidP="007D0E69">
      <w:pPr>
        <w:autoSpaceDE w:val="0"/>
        <w:autoSpaceDN w:val="0"/>
        <w:ind w:left="426"/>
        <w:jc w:val="both"/>
        <w:rPr>
          <w:rFonts w:ascii="Cambria" w:eastAsia="Cambria" w:hAnsi="Cambria" w:cs="Cambria"/>
          <w:color w:val="EE0000"/>
          <w:sz w:val="20"/>
          <w:szCs w:val="20"/>
        </w:rPr>
      </w:pPr>
      <w:r>
        <w:rPr>
          <w:rFonts w:ascii="Cambria" w:hAnsi="Cambria"/>
          <w:color w:val="EE0000"/>
          <w:sz w:val="20"/>
        </w:rPr>
        <w:t xml:space="preserve">Esta Recomendación enmendada crearía algunas obligaciones similares para las CPC que capturan atún rojo del Atlántico oeste a las que existen para las CPC que capturan atún rojo del Atlántico este. </w:t>
      </w:r>
    </w:p>
    <w:p w14:paraId="382A1C9B" w14:textId="77777777" w:rsidR="00E30020" w:rsidRPr="00E30020" w:rsidRDefault="00E30020" w:rsidP="007D0E69">
      <w:pPr>
        <w:autoSpaceDE w:val="0"/>
        <w:autoSpaceDN w:val="0"/>
        <w:rPr>
          <w:rFonts w:ascii="Cambria" w:eastAsia="Cambria" w:hAnsi="Cambria" w:cs="Cambria"/>
          <w:sz w:val="20"/>
          <w:szCs w:val="20"/>
        </w:rPr>
      </w:pPr>
    </w:p>
    <w:p w14:paraId="42982FAA" w14:textId="77777777" w:rsidR="00E30020" w:rsidRPr="00E30020" w:rsidRDefault="00E30020" w:rsidP="007D0E69">
      <w:pPr>
        <w:widowControl/>
        <w:numPr>
          <w:ilvl w:val="0"/>
          <w:numId w:val="8"/>
        </w:numPr>
        <w:tabs>
          <w:tab w:val="left" w:pos="6804"/>
        </w:tabs>
        <w:autoSpaceDE w:val="0"/>
        <w:autoSpaceDN w:val="0"/>
        <w:ind w:left="426" w:hanging="426"/>
        <w:jc w:val="both"/>
        <w:rPr>
          <w:rFonts w:ascii="Cambria" w:eastAsia="Cambria" w:hAnsi="Cambria" w:cs="Cambria"/>
          <w:sz w:val="20"/>
          <w:szCs w:val="20"/>
        </w:rPr>
      </w:pPr>
      <w:r w:rsidRPr="00E30020">
        <w:rPr>
          <w:rFonts w:ascii="Cambria" w:eastAsia="Cambria" w:hAnsi="Cambria" w:cs="Cambria"/>
          <w:sz w:val="20"/>
        </w:rPr>
        <w:t xml:space="preserve">¿Requiere aportaciones o </w:t>
      </w:r>
      <w:r w:rsidRPr="00E30020">
        <w:rPr>
          <w:rFonts w:ascii="Cambria" w:eastAsia="Cambria" w:hAnsi="Cambria" w:cs="Cambria"/>
          <w:b/>
          <w:sz w:val="20"/>
        </w:rPr>
        <w:t xml:space="preserve">trabajo </w:t>
      </w:r>
      <w:r w:rsidRPr="00E30020">
        <w:rPr>
          <w:rFonts w:ascii="Cambria" w:eastAsia="Cambria" w:hAnsi="Cambria" w:cs="Cambria"/>
          <w:bCs/>
          <w:sz w:val="20"/>
        </w:rPr>
        <w:t>adicional</w:t>
      </w:r>
      <w:r w:rsidRPr="00E30020">
        <w:rPr>
          <w:rFonts w:ascii="Cambria" w:eastAsia="Cambria" w:hAnsi="Cambria" w:cs="Cambria"/>
          <w:b/>
          <w:sz w:val="20"/>
        </w:rPr>
        <w:t xml:space="preserve"> por parte del SCRS</w:t>
      </w:r>
      <w:r w:rsidRPr="00E30020">
        <w:rPr>
          <w:rFonts w:ascii="Cambria" w:eastAsia="Cambria" w:hAnsi="Cambria" w:cs="Cambria"/>
          <w:sz w:val="20"/>
        </w:rPr>
        <w:t xml:space="preserve">?  Sí </w:t>
      </w:r>
      <w:sdt>
        <w:sdtPr>
          <w:rPr>
            <w:rFonts w:ascii="Cambria" w:eastAsia="Cambria" w:hAnsi="Cambria" w:cs="Cambria"/>
            <w:sz w:val="20"/>
          </w:rPr>
          <w:id w:val="89124157"/>
          <w14:checkbox>
            <w14:checked w14:val="0"/>
            <w14:checkedState w14:val="2612" w14:font="MS Gothic"/>
            <w14:uncheckedState w14:val="2610" w14:font="MS Gothic"/>
          </w14:checkbox>
        </w:sdtPr>
        <w:sdtEndPr/>
        <w:sdtContent>
          <w:r w:rsidRPr="00E30020">
            <w:rPr>
              <w:rFonts w:ascii="Segoe UI Symbol" w:eastAsia="Cambria" w:hAnsi="Segoe UI Symbol" w:cs="Segoe UI Symbol"/>
              <w:sz w:val="20"/>
            </w:rPr>
            <w:t>☐</w:t>
          </w:r>
        </w:sdtContent>
      </w:sdt>
      <w:r w:rsidRPr="00E30020">
        <w:rPr>
          <w:rFonts w:ascii="Cambria" w:eastAsia="Cambria" w:hAnsi="Cambria" w:cs="Cambria"/>
          <w:sz w:val="20"/>
        </w:rPr>
        <w:tab/>
      </w:r>
      <w:r w:rsidRPr="00E30020">
        <w:rPr>
          <w:rFonts w:ascii="Cambria" w:eastAsia="Cambria" w:hAnsi="Cambria" w:cs="Cambria"/>
          <w:color w:val="FF0000"/>
          <w:sz w:val="20"/>
        </w:rPr>
        <w:t xml:space="preserve">No </w:t>
      </w:r>
      <w:sdt>
        <w:sdtPr>
          <w:rPr>
            <w:rFonts w:ascii="Cambria" w:eastAsia="Cambria" w:hAnsi="Cambria" w:cs="Cambria"/>
            <w:color w:val="FF0000"/>
            <w:spacing w:val="-2"/>
            <w:sz w:val="20"/>
            <w:szCs w:val="20"/>
          </w:rPr>
          <w:id w:val="-1209718574"/>
          <w14:checkbox>
            <w14:checked w14:val="1"/>
            <w14:checkedState w14:val="2612" w14:font="MS Gothic"/>
            <w14:uncheckedState w14:val="2610" w14:font="MS Gothic"/>
          </w14:checkbox>
        </w:sdtPr>
        <w:sdtEndPr/>
        <w:sdtContent>
          <w:r w:rsidRPr="00E30020">
            <w:rPr>
              <w:rFonts w:ascii="Segoe UI Symbol" w:eastAsia="Cambria" w:hAnsi="Segoe UI Symbol" w:cs="Segoe UI Symbol"/>
              <w:color w:val="FF0000"/>
              <w:spacing w:val="-2"/>
              <w:sz w:val="20"/>
              <w:szCs w:val="20"/>
            </w:rPr>
            <w:t>☒</w:t>
          </w:r>
        </w:sdtContent>
      </w:sdt>
    </w:p>
    <w:p w14:paraId="63695FED" w14:textId="77777777" w:rsidR="00E30020" w:rsidRPr="00E30020" w:rsidRDefault="00E30020" w:rsidP="007D0E69">
      <w:pPr>
        <w:autoSpaceDE w:val="0"/>
        <w:autoSpaceDN w:val="0"/>
        <w:ind w:left="360"/>
        <w:rPr>
          <w:rFonts w:ascii="Cambria" w:eastAsia="Cambria" w:hAnsi="Cambria" w:cs="Cambria"/>
          <w:sz w:val="20"/>
          <w:szCs w:val="20"/>
        </w:rPr>
      </w:pPr>
    </w:p>
    <w:p w14:paraId="5C91F8C3" w14:textId="2D7F231D" w:rsidR="00E30020" w:rsidRPr="00E30020" w:rsidRDefault="00E30020" w:rsidP="007D0E69">
      <w:pPr>
        <w:tabs>
          <w:tab w:val="left" w:pos="6804"/>
          <w:tab w:val="left" w:pos="7371"/>
        </w:tabs>
        <w:autoSpaceDE w:val="0"/>
        <w:autoSpaceDN w:val="0"/>
        <w:ind w:left="360" w:firstLine="66"/>
        <w:jc w:val="both"/>
        <w:rPr>
          <w:rFonts w:ascii="Cambria" w:eastAsia="Cambria" w:hAnsi="Cambria" w:cs="Cambria"/>
          <w:sz w:val="20"/>
          <w:szCs w:val="20"/>
        </w:rPr>
      </w:pPr>
      <w:r w:rsidRPr="00E30020">
        <w:rPr>
          <w:rFonts w:ascii="Cambria" w:eastAsia="Cambria" w:hAnsi="Cambria" w:cs="Cambria"/>
          <w:sz w:val="20"/>
        </w:rPr>
        <w:t>¿Está este trabajo ya incluido en el Plan de trabajo actual del SCRS?</w:t>
      </w:r>
      <w:r w:rsidR="000A32A7">
        <w:rPr>
          <w:rFonts w:ascii="Cambria" w:eastAsia="Cambria" w:hAnsi="Cambria" w:cs="Cambria"/>
          <w:sz w:val="20"/>
        </w:rPr>
        <w:tab/>
      </w:r>
      <w:r w:rsidRPr="00E30020">
        <w:rPr>
          <w:rFonts w:ascii="Cambria" w:eastAsia="Cambria" w:hAnsi="Cambria" w:cs="Cambria"/>
          <w:color w:val="EE0000"/>
          <w:sz w:val="20"/>
        </w:rPr>
        <w:t xml:space="preserve">Sí </w:t>
      </w:r>
      <w:sdt>
        <w:sdtPr>
          <w:rPr>
            <w:rFonts w:ascii="Cambria" w:eastAsia="Cambria" w:hAnsi="Cambria" w:cs="Cambria"/>
            <w:color w:val="EE0000"/>
            <w:sz w:val="20"/>
          </w:rPr>
          <w:id w:val="-1260672485"/>
          <w14:checkbox>
            <w14:checked w14:val="1"/>
            <w14:checkedState w14:val="2612" w14:font="MS Gothic"/>
            <w14:uncheckedState w14:val="2610" w14:font="MS Gothic"/>
          </w14:checkbox>
        </w:sdtPr>
        <w:sdtEndPr/>
        <w:sdtContent>
          <w:r w:rsidRPr="00E30020">
            <w:rPr>
              <w:rFonts w:ascii="MS Gothic" w:eastAsia="MS Gothic" w:hAnsi="MS Gothic" w:cs="Cambria" w:hint="eastAsia"/>
              <w:color w:val="EE0000"/>
              <w:sz w:val="20"/>
            </w:rPr>
            <w:t>☒</w:t>
          </w:r>
        </w:sdtContent>
      </w:sdt>
      <w:r w:rsidRPr="00E30020">
        <w:rPr>
          <w:rFonts w:ascii="Cambria" w:eastAsia="Cambria" w:hAnsi="Cambria" w:cs="Cambria"/>
          <w:sz w:val="20"/>
        </w:rPr>
        <w:tab/>
      </w:r>
      <w:r w:rsidRPr="00E30020">
        <w:rPr>
          <w:rFonts w:ascii="Cambria" w:eastAsia="Cambria" w:hAnsi="Cambria" w:cs="Cambria"/>
          <w:color w:val="000000"/>
          <w:sz w:val="20"/>
        </w:rPr>
        <w:t xml:space="preserve">No </w:t>
      </w:r>
      <w:sdt>
        <w:sdtPr>
          <w:rPr>
            <w:rFonts w:ascii="Cambria" w:eastAsia="Cambria" w:hAnsi="Cambria" w:cs="Cambria"/>
            <w:color w:val="000000"/>
            <w:spacing w:val="-2"/>
            <w:sz w:val="20"/>
            <w:szCs w:val="20"/>
          </w:rPr>
          <w:id w:val="818388141"/>
          <w14:checkbox>
            <w14:checked w14:val="0"/>
            <w14:checkedState w14:val="2612" w14:font="MS Gothic"/>
            <w14:uncheckedState w14:val="2610" w14:font="MS Gothic"/>
          </w14:checkbox>
        </w:sdtPr>
        <w:sdtEndPr/>
        <w:sdtContent>
          <w:r w:rsidRPr="00E30020">
            <w:rPr>
              <w:rFonts w:ascii="Segoe UI Symbol" w:eastAsia="Cambria" w:hAnsi="Segoe UI Symbol" w:cs="Segoe UI Symbol"/>
              <w:color w:val="000000"/>
              <w:spacing w:val="-2"/>
              <w:sz w:val="20"/>
              <w:szCs w:val="20"/>
            </w:rPr>
            <w:t>☐</w:t>
          </w:r>
        </w:sdtContent>
      </w:sdt>
    </w:p>
    <w:p w14:paraId="67013FBB" w14:textId="77777777" w:rsidR="00E30020" w:rsidRPr="00E30020" w:rsidRDefault="00E30020" w:rsidP="007D0E69">
      <w:pPr>
        <w:autoSpaceDE w:val="0"/>
        <w:autoSpaceDN w:val="0"/>
        <w:ind w:left="360"/>
        <w:rPr>
          <w:rFonts w:ascii="Cambria" w:eastAsia="Cambria" w:hAnsi="Cambria" w:cs="Cambria"/>
          <w:sz w:val="20"/>
          <w:szCs w:val="20"/>
        </w:rPr>
      </w:pPr>
    </w:p>
    <w:p w14:paraId="011FDBCF" w14:textId="77777777" w:rsidR="00E30020" w:rsidRDefault="00E30020" w:rsidP="007D0E69">
      <w:pPr>
        <w:autoSpaceDE w:val="0"/>
        <w:autoSpaceDN w:val="0"/>
        <w:ind w:left="360"/>
        <w:jc w:val="both"/>
        <w:rPr>
          <w:rFonts w:ascii="Cambria" w:eastAsia="Cambria" w:hAnsi="Cambria" w:cs="Cambria"/>
          <w:color w:val="FF0000"/>
          <w:sz w:val="20"/>
        </w:rPr>
      </w:pPr>
      <w:r w:rsidRPr="00E30020">
        <w:rPr>
          <w:rFonts w:ascii="Cambria" w:eastAsia="Cambria" w:hAnsi="Cambria" w:cs="Cambria"/>
          <w:sz w:val="20"/>
        </w:rPr>
        <w:t xml:space="preserve">Breve descripción del nuevo trabajo científico necesario (es decir, evaluación del stock, análisis, consultor externo): </w:t>
      </w:r>
    </w:p>
    <w:p w14:paraId="3FE88D9A" w14:textId="77777777" w:rsidR="00E30020" w:rsidRDefault="00E30020" w:rsidP="007D0E69">
      <w:pPr>
        <w:autoSpaceDE w:val="0"/>
        <w:autoSpaceDN w:val="0"/>
        <w:ind w:left="360"/>
        <w:jc w:val="both"/>
        <w:rPr>
          <w:rFonts w:ascii="Cambria" w:eastAsia="Cambria" w:hAnsi="Cambria" w:cs="Cambria"/>
          <w:color w:val="FF0000"/>
          <w:sz w:val="20"/>
        </w:rPr>
      </w:pPr>
    </w:p>
    <w:p w14:paraId="1045D8F3" w14:textId="3E4032C5" w:rsidR="00E30020" w:rsidRPr="00E30020" w:rsidRDefault="00E30020" w:rsidP="007D0E69">
      <w:pPr>
        <w:autoSpaceDE w:val="0"/>
        <w:autoSpaceDN w:val="0"/>
        <w:ind w:left="360"/>
        <w:jc w:val="both"/>
        <w:rPr>
          <w:rFonts w:ascii="Cambria" w:eastAsia="Cambria" w:hAnsi="Cambria" w:cs="Cambria"/>
          <w:color w:val="FF0000"/>
          <w:sz w:val="20"/>
        </w:rPr>
      </w:pPr>
      <w:r>
        <w:rPr>
          <w:rFonts w:ascii="Cambria" w:hAnsi="Cambria"/>
          <w:color w:val="EE0000"/>
          <w:sz w:val="20"/>
        </w:rPr>
        <w:t xml:space="preserve">Esta Recomendación enmendada proporcionaría información al SCRS para su análisis, como ya se ha hecho para el atún rojo del Atlántico este. Sin embargo, no se requeriría un nuevo trabajo científico como tal, sino sólo el análisis de los datos recién recogidos y comunicados. </w:t>
      </w:r>
    </w:p>
    <w:p w14:paraId="36B909FA" w14:textId="77777777" w:rsidR="00E30020" w:rsidRPr="00E30020" w:rsidRDefault="00E30020" w:rsidP="007D0E69">
      <w:pPr>
        <w:autoSpaceDE w:val="0"/>
        <w:autoSpaceDN w:val="0"/>
        <w:ind w:left="318"/>
        <w:rPr>
          <w:rFonts w:ascii="Cambria" w:eastAsia="Cambria" w:hAnsi="Cambria" w:cs="Cambria"/>
          <w:sz w:val="20"/>
          <w:szCs w:val="20"/>
        </w:rPr>
      </w:pPr>
    </w:p>
    <w:p w14:paraId="73C08F70" w14:textId="77777777" w:rsidR="00E30020" w:rsidRPr="00E30020" w:rsidRDefault="00E30020" w:rsidP="007D0E69">
      <w:pPr>
        <w:widowControl/>
        <w:numPr>
          <w:ilvl w:val="0"/>
          <w:numId w:val="8"/>
        </w:numPr>
        <w:autoSpaceDE w:val="0"/>
        <w:autoSpaceDN w:val="0"/>
        <w:ind w:left="426" w:hanging="426"/>
        <w:jc w:val="both"/>
        <w:rPr>
          <w:rFonts w:ascii="Cambria" w:eastAsia="Cambria" w:hAnsi="Cambria" w:cs="Cambria"/>
          <w:sz w:val="20"/>
          <w:szCs w:val="20"/>
        </w:rPr>
      </w:pPr>
      <w:r w:rsidRPr="00E30020">
        <w:rPr>
          <w:rFonts w:ascii="Cambria" w:eastAsia="Cambria" w:hAnsi="Cambria" w:cs="Cambria"/>
          <w:sz w:val="20"/>
        </w:rPr>
        <w:t xml:space="preserve">¿Implica la creación de un </w:t>
      </w:r>
      <w:r w:rsidRPr="00E30020">
        <w:rPr>
          <w:rFonts w:ascii="Cambria" w:eastAsia="Cambria" w:hAnsi="Cambria" w:cs="Cambria"/>
          <w:b/>
          <w:sz w:val="20"/>
        </w:rPr>
        <w:t>nuevo grupo de trabajo o proceso intersesiones</w:t>
      </w:r>
      <w:r w:rsidRPr="00E30020">
        <w:rPr>
          <w:rFonts w:ascii="Cambria" w:eastAsia="Cambria" w:hAnsi="Cambria" w:cs="Cambria"/>
          <w:sz w:val="20"/>
        </w:rPr>
        <w:t xml:space="preserve">?    Sí </w:t>
      </w:r>
      <w:sdt>
        <w:sdtPr>
          <w:rPr>
            <w:rFonts w:ascii="Cambria" w:eastAsia="Cambria" w:hAnsi="Cambria" w:cs="Cambria"/>
            <w:sz w:val="20"/>
          </w:rPr>
          <w:id w:val="1144702017"/>
          <w14:checkbox>
            <w14:checked w14:val="0"/>
            <w14:checkedState w14:val="2612" w14:font="MS Gothic"/>
            <w14:uncheckedState w14:val="2610" w14:font="MS Gothic"/>
          </w14:checkbox>
        </w:sdtPr>
        <w:sdtEndPr/>
        <w:sdtContent>
          <w:r w:rsidRPr="00E30020">
            <w:rPr>
              <w:rFonts w:ascii="Segoe UI Symbol" w:eastAsia="Cambria" w:hAnsi="Segoe UI Symbol" w:cs="Segoe UI Symbol"/>
              <w:sz w:val="20"/>
            </w:rPr>
            <w:t>☐</w:t>
          </w:r>
        </w:sdtContent>
      </w:sdt>
      <w:r w:rsidRPr="00E30020">
        <w:rPr>
          <w:rFonts w:ascii="Cambria" w:eastAsia="Cambria" w:hAnsi="Cambria" w:cs="Cambria"/>
          <w:sz w:val="20"/>
        </w:rPr>
        <w:tab/>
      </w:r>
      <w:r w:rsidRPr="00E30020">
        <w:rPr>
          <w:rFonts w:ascii="Cambria" w:eastAsia="Cambria" w:hAnsi="Cambria" w:cs="Cambria"/>
          <w:color w:val="FF0000"/>
          <w:sz w:val="20"/>
        </w:rPr>
        <w:t xml:space="preserve">No </w:t>
      </w:r>
      <w:sdt>
        <w:sdtPr>
          <w:rPr>
            <w:rFonts w:ascii="Cambria" w:eastAsia="Cambria" w:hAnsi="Cambria" w:cs="Cambria"/>
            <w:color w:val="FF0000"/>
            <w:spacing w:val="-2"/>
            <w:sz w:val="20"/>
            <w:szCs w:val="20"/>
          </w:rPr>
          <w:id w:val="1655565838"/>
          <w14:checkbox>
            <w14:checked w14:val="1"/>
            <w14:checkedState w14:val="2612" w14:font="MS Gothic"/>
            <w14:uncheckedState w14:val="2610" w14:font="MS Gothic"/>
          </w14:checkbox>
        </w:sdtPr>
        <w:sdtEndPr/>
        <w:sdtContent>
          <w:r w:rsidRPr="00E30020">
            <w:rPr>
              <w:rFonts w:ascii="Segoe UI Symbol" w:eastAsia="Cambria" w:hAnsi="Segoe UI Symbol" w:cs="Segoe UI Symbol"/>
              <w:color w:val="FF0000"/>
              <w:spacing w:val="-2"/>
              <w:sz w:val="20"/>
              <w:szCs w:val="20"/>
            </w:rPr>
            <w:t>☒</w:t>
          </w:r>
        </w:sdtContent>
      </w:sdt>
    </w:p>
    <w:p w14:paraId="3D4BB0CD" w14:textId="77777777" w:rsidR="00E30020" w:rsidRPr="00E30020" w:rsidRDefault="00E30020" w:rsidP="007D0E69">
      <w:pPr>
        <w:autoSpaceDE w:val="0"/>
        <w:autoSpaceDN w:val="0"/>
        <w:ind w:left="318"/>
        <w:rPr>
          <w:rFonts w:ascii="Cambria" w:eastAsia="Cambria" w:hAnsi="Cambria" w:cs="Cambria"/>
          <w:sz w:val="20"/>
          <w:szCs w:val="20"/>
        </w:rPr>
      </w:pPr>
    </w:p>
    <w:p w14:paraId="426C0EF1" w14:textId="77777777" w:rsidR="00E30020" w:rsidRPr="00E30020" w:rsidRDefault="00E30020" w:rsidP="007D0E69">
      <w:pPr>
        <w:widowControl/>
        <w:numPr>
          <w:ilvl w:val="0"/>
          <w:numId w:val="8"/>
        </w:numPr>
        <w:autoSpaceDE w:val="0"/>
        <w:autoSpaceDN w:val="0"/>
        <w:ind w:left="426" w:hanging="426"/>
        <w:jc w:val="both"/>
        <w:rPr>
          <w:rFonts w:ascii="Cambria" w:eastAsia="Cambria" w:hAnsi="Cambria" w:cs="Cambria"/>
          <w:sz w:val="20"/>
          <w:szCs w:val="20"/>
        </w:rPr>
      </w:pPr>
      <w:r w:rsidRPr="00E30020">
        <w:rPr>
          <w:rFonts w:ascii="Cambria" w:eastAsia="Cambria" w:hAnsi="Cambria" w:cs="Cambria"/>
          <w:sz w:val="20"/>
        </w:rPr>
        <w:t xml:space="preserve">¿Requiere un nuevo </w:t>
      </w:r>
      <w:r w:rsidRPr="00E30020">
        <w:rPr>
          <w:rFonts w:ascii="Cambria" w:eastAsia="Cambria" w:hAnsi="Cambria" w:cs="Cambria"/>
          <w:b/>
          <w:sz w:val="20"/>
        </w:rPr>
        <w:t>programa o actividades adicionales que deba gestionar la Secretaría</w:t>
      </w:r>
      <w:r w:rsidRPr="00E30020">
        <w:rPr>
          <w:rFonts w:ascii="Cambria" w:eastAsia="Cambria" w:hAnsi="Cambria" w:cs="Cambria"/>
          <w:sz w:val="20"/>
        </w:rPr>
        <w:t xml:space="preserve">?  </w:t>
      </w:r>
    </w:p>
    <w:p w14:paraId="468612EF" w14:textId="77777777" w:rsidR="00E30020" w:rsidRPr="00E30020" w:rsidRDefault="00E30020" w:rsidP="007D0E69">
      <w:pPr>
        <w:autoSpaceDE w:val="0"/>
        <w:autoSpaceDN w:val="0"/>
        <w:ind w:left="426"/>
        <w:rPr>
          <w:rFonts w:ascii="Cambria" w:eastAsia="Cambria" w:hAnsi="Cambria" w:cs="Cambria"/>
          <w:spacing w:val="-2"/>
          <w:sz w:val="20"/>
          <w:szCs w:val="20"/>
        </w:rPr>
      </w:pPr>
    </w:p>
    <w:p w14:paraId="20913D6F" w14:textId="1A1A09E9" w:rsidR="00E30020" w:rsidRPr="00E30020" w:rsidRDefault="00E30020" w:rsidP="007D0E69">
      <w:pPr>
        <w:autoSpaceDE w:val="0"/>
        <w:autoSpaceDN w:val="0"/>
        <w:ind w:left="318"/>
        <w:rPr>
          <w:rFonts w:ascii="Cambria" w:eastAsia="Cambria" w:hAnsi="Cambria" w:cs="Cambria"/>
          <w:spacing w:val="-2"/>
          <w:sz w:val="20"/>
          <w:szCs w:val="20"/>
        </w:rPr>
      </w:pPr>
      <w:r w:rsidRPr="00E30020">
        <w:rPr>
          <w:rFonts w:ascii="Cambria" w:eastAsia="Cambria" w:hAnsi="Cambria" w:cs="Cambria"/>
          <w:color w:val="EE0000"/>
          <w:sz w:val="20"/>
        </w:rPr>
        <w:t xml:space="preserve">   Sí </w:t>
      </w:r>
      <w:sdt>
        <w:sdtPr>
          <w:rPr>
            <w:rFonts w:ascii="Cambria" w:eastAsia="Cambria" w:hAnsi="Cambria" w:cs="Cambria"/>
            <w:color w:val="EE0000"/>
            <w:sz w:val="20"/>
          </w:rPr>
          <w:id w:val="1536081079"/>
          <w14:checkbox>
            <w14:checked w14:val="1"/>
            <w14:checkedState w14:val="2612" w14:font="MS Gothic"/>
            <w14:uncheckedState w14:val="2610" w14:font="MS Gothic"/>
          </w14:checkbox>
        </w:sdtPr>
        <w:sdtEndPr/>
        <w:sdtContent>
          <w:r w:rsidRPr="00E30020">
            <w:rPr>
              <w:rFonts w:ascii="MS Gothic" w:eastAsia="MS Gothic" w:hAnsi="MS Gothic" w:cs="Cambria" w:hint="eastAsia"/>
              <w:color w:val="EE0000"/>
              <w:sz w:val="20"/>
            </w:rPr>
            <w:t>☒</w:t>
          </w:r>
        </w:sdtContent>
      </w:sdt>
      <w:r w:rsidRPr="00E30020">
        <w:rPr>
          <w:rFonts w:ascii="Cambria" w:eastAsia="Cambria" w:hAnsi="Cambria" w:cs="Cambria"/>
          <w:color w:val="EE0000"/>
          <w:sz w:val="20"/>
        </w:rPr>
        <w:tab/>
      </w:r>
      <w:r w:rsidRPr="00E30020">
        <w:rPr>
          <w:rFonts w:ascii="Cambria" w:eastAsia="Cambria" w:hAnsi="Cambria" w:cs="Cambria"/>
          <w:sz w:val="20"/>
        </w:rPr>
        <w:t xml:space="preserve">No </w:t>
      </w:r>
      <w:sdt>
        <w:sdtPr>
          <w:rPr>
            <w:rFonts w:ascii="Cambria" w:eastAsia="Cambria" w:hAnsi="Cambria" w:cs="Cambria"/>
            <w:spacing w:val="-2"/>
            <w:sz w:val="20"/>
            <w:szCs w:val="20"/>
          </w:rPr>
          <w:id w:val="560759300"/>
          <w14:checkbox>
            <w14:checked w14:val="0"/>
            <w14:checkedState w14:val="2612" w14:font="MS Gothic"/>
            <w14:uncheckedState w14:val="2610" w14:font="MS Gothic"/>
          </w14:checkbox>
        </w:sdtPr>
        <w:sdtEndPr/>
        <w:sdtContent>
          <w:r w:rsidRPr="00E30020">
            <w:rPr>
              <w:rFonts w:ascii="MS Gothic" w:eastAsia="MS Gothic" w:hAnsi="MS Gothic" w:cs="Cambria" w:hint="eastAsia"/>
              <w:spacing w:val="-2"/>
              <w:sz w:val="20"/>
              <w:szCs w:val="20"/>
            </w:rPr>
            <w:t>☐</w:t>
          </w:r>
        </w:sdtContent>
      </w:sdt>
    </w:p>
    <w:p w14:paraId="7EEE804C" w14:textId="77777777" w:rsidR="00E30020" w:rsidRPr="00E30020" w:rsidRDefault="00E30020" w:rsidP="007D0E69">
      <w:pPr>
        <w:autoSpaceDE w:val="0"/>
        <w:autoSpaceDN w:val="0"/>
        <w:ind w:left="318"/>
        <w:rPr>
          <w:rFonts w:ascii="Cambria" w:eastAsia="Cambria" w:hAnsi="Cambria" w:cs="Cambria"/>
          <w:sz w:val="20"/>
          <w:szCs w:val="20"/>
        </w:rPr>
      </w:pPr>
    </w:p>
    <w:p w14:paraId="1EBCCD8F" w14:textId="7C0CF688" w:rsidR="00E30020" w:rsidRPr="00E30020" w:rsidRDefault="00E30020" w:rsidP="007D0E69">
      <w:pPr>
        <w:autoSpaceDE w:val="0"/>
        <w:autoSpaceDN w:val="0"/>
        <w:ind w:left="360" w:firstLine="66"/>
        <w:jc w:val="both"/>
        <w:rPr>
          <w:rFonts w:ascii="Cambria" w:eastAsia="Cambria" w:hAnsi="Cambria" w:cs="Cambria"/>
          <w:spacing w:val="-2"/>
          <w:sz w:val="20"/>
          <w:szCs w:val="20"/>
        </w:rPr>
      </w:pPr>
      <w:r w:rsidRPr="00E30020">
        <w:rPr>
          <w:rFonts w:ascii="Cambria" w:eastAsia="Cambria" w:hAnsi="Cambria" w:cs="Cambria"/>
          <w:sz w:val="20"/>
        </w:rPr>
        <w:t xml:space="preserve">Breve descripción del nuevo trabajo necesario de la Secretaría: </w:t>
      </w:r>
    </w:p>
    <w:p w14:paraId="430398E2" w14:textId="77777777" w:rsidR="00E30020" w:rsidRDefault="00E30020" w:rsidP="007D0E69">
      <w:pPr>
        <w:autoSpaceDE w:val="0"/>
        <w:autoSpaceDN w:val="0"/>
        <w:ind w:left="426"/>
        <w:jc w:val="both"/>
        <w:rPr>
          <w:rFonts w:ascii="Cambria" w:hAnsi="Cambria"/>
          <w:color w:val="EE0000"/>
          <w:sz w:val="20"/>
        </w:rPr>
      </w:pPr>
    </w:p>
    <w:p w14:paraId="4DDD0FBD" w14:textId="4B02BC6E" w:rsidR="00E30020" w:rsidRPr="007D4948" w:rsidRDefault="00E30020" w:rsidP="007D0E69">
      <w:pPr>
        <w:autoSpaceDE w:val="0"/>
        <w:autoSpaceDN w:val="0"/>
        <w:ind w:left="426"/>
        <w:jc w:val="both"/>
        <w:rPr>
          <w:rFonts w:ascii="Cambria" w:eastAsia="Cambria" w:hAnsi="Cambria" w:cs="Cambria"/>
          <w:color w:val="EE0000"/>
          <w:sz w:val="20"/>
          <w:szCs w:val="20"/>
        </w:rPr>
      </w:pPr>
      <w:r>
        <w:rPr>
          <w:rFonts w:ascii="Cambria" w:hAnsi="Cambria"/>
          <w:color w:val="EE0000"/>
          <w:sz w:val="20"/>
        </w:rPr>
        <w:t xml:space="preserve">Esta Recomendación enmendada proporcionaría información a la Secretaría para su análisis, como ya se ha hecho para el atún rojo del Atlántico este. Sin embargo, no se crearía ninguna nueva tarea como tal, sino que se analizarían los datos comunicados por más CPC. </w:t>
      </w:r>
    </w:p>
    <w:p w14:paraId="4C26BACB" w14:textId="77777777" w:rsidR="00E30020" w:rsidRPr="00E30020" w:rsidRDefault="00E30020" w:rsidP="007D0E69">
      <w:pPr>
        <w:autoSpaceDE w:val="0"/>
        <w:autoSpaceDN w:val="0"/>
        <w:rPr>
          <w:rFonts w:ascii="Cambria" w:eastAsia="Cambria" w:hAnsi="Cambria" w:cs="Cambria"/>
          <w:spacing w:val="-2"/>
          <w:sz w:val="20"/>
          <w:szCs w:val="20"/>
        </w:rPr>
      </w:pPr>
    </w:p>
    <w:p w14:paraId="0F4BF63A" w14:textId="77777777" w:rsidR="00E30020" w:rsidRPr="00E30020" w:rsidRDefault="00E30020" w:rsidP="007D0E69">
      <w:pPr>
        <w:widowControl/>
        <w:numPr>
          <w:ilvl w:val="0"/>
          <w:numId w:val="8"/>
        </w:numPr>
        <w:autoSpaceDE w:val="0"/>
        <w:autoSpaceDN w:val="0"/>
        <w:ind w:left="426" w:hanging="426"/>
        <w:jc w:val="both"/>
        <w:rPr>
          <w:rFonts w:ascii="Cambria" w:eastAsia="Cambria" w:hAnsi="Cambria" w:cs="Cambria"/>
          <w:spacing w:val="-2"/>
          <w:sz w:val="20"/>
          <w:szCs w:val="20"/>
        </w:rPr>
      </w:pPr>
      <w:r w:rsidRPr="00E30020">
        <w:rPr>
          <w:rFonts w:ascii="Cambria" w:eastAsia="Cambria" w:hAnsi="Cambria" w:cs="Cambria"/>
          <w:sz w:val="20"/>
        </w:rPr>
        <w:t>¿Cuál es el calendario propuesto para la implementación? ¿Existen distintos calendarios específicos para determinadas CPC, pesquerías, regiones, etc.?</w:t>
      </w:r>
    </w:p>
    <w:p w14:paraId="7031BF52" w14:textId="77777777" w:rsidR="00E30020" w:rsidRPr="00E30020" w:rsidRDefault="00E30020" w:rsidP="007D0E69">
      <w:pPr>
        <w:autoSpaceDE w:val="0"/>
        <w:autoSpaceDN w:val="0"/>
        <w:ind w:left="426"/>
        <w:jc w:val="both"/>
        <w:rPr>
          <w:rFonts w:ascii="Cambria" w:eastAsia="Cambria" w:hAnsi="Cambria" w:cs="Cambria"/>
          <w:spacing w:val="-2"/>
          <w:sz w:val="20"/>
          <w:szCs w:val="20"/>
        </w:rPr>
      </w:pPr>
    </w:p>
    <w:p w14:paraId="392FD6E5" w14:textId="77777777" w:rsidR="00E30020" w:rsidRPr="007D4948" w:rsidRDefault="00E30020" w:rsidP="007D0E69">
      <w:pPr>
        <w:autoSpaceDE w:val="0"/>
        <w:autoSpaceDN w:val="0"/>
        <w:ind w:left="426"/>
        <w:jc w:val="both"/>
        <w:rPr>
          <w:rFonts w:ascii="Cambria" w:eastAsia="Cambria" w:hAnsi="Cambria" w:cs="Cambria"/>
          <w:color w:val="EE0000"/>
          <w:spacing w:val="-2"/>
          <w:sz w:val="20"/>
          <w:szCs w:val="20"/>
        </w:rPr>
      </w:pPr>
      <w:r>
        <w:rPr>
          <w:rFonts w:ascii="Cambria" w:hAnsi="Cambria"/>
          <w:color w:val="EE0000"/>
          <w:sz w:val="20"/>
        </w:rPr>
        <w:t>Aunque el conjunto completo de disposiciones figura en las modificaciones propuestas, su entrada en vigor respectiva sigue la estructura y el enfoque gradual esbozados en el PA2_24/i2025, por lo que se propone una implementación directa para los siguientes elementos: (1) plan de pesca; (2) normas sobre capturas fortuitas; (3) registro de buques, (4) autorizaciones de pesca y (5) requisitos de registro. Los demás elementos sólo entrarían en vigor con una implementación aplazada, en enero de 2027 o 2028. Para facilitar la lectura del documento, las disposiciones aplazadas están marcadas en azul para las propuestas para 2027 y en verde para las propuestas para 2028.</w:t>
      </w:r>
      <w:r>
        <w:rPr>
          <w:rFonts w:ascii="Cambria" w:hAnsi="Cambria"/>
          <w:color w:val="EE0000"/>
        </w:rPr>
        <w:t xml:space="preserve"> </w:t>
      </w:r>
    </w:p>
    <w:p w14:paraId="0627DF93" w14:textId="77777777" w:rsidR="00E30020" w:rsidRPr="00E30020" w:rsidRDefault="00E30020" w:rsidP="007D0E69">
      <w:pPr>
        <w:autoSpaceDE w:val="0"/>
        <w:autoSpaceDN w:val="0"/>
        <w:rPr>
          <w:rFonts w:ascii="Cambria" w:eastAsia="Cambria" w:hAnsi="Cambria" w:cs="Cambria"/>
          <w:b/>
          <w:bCs/>
          <w:spacing w:val="-2"/>
          <w:sz w:val="20"/>
          <w:szCs w:val="20"/>
        </w:rPr>
      </w:pPr>
    </w:p>
    <w:p w14:paraId="47D28E1A" w14:textId="528204CF" w:rsidR="00E30020" w:rsidRPr="00E30020" w:rsidRDefault="00E30020" w:rsidP="007D0E69">
      <w:pPr>
        <w:widowControl/>
        <w:numPr>
          <w:ilvl w:val="0"/>
          <w:numId w:val="8"/>
        </w:numPr>
        <w:autoSpaceDE w:val="0"/>
        <w:autoSpaceDN w:val="0"/>
        <w:ind w:left="426" w:hanging="426"/>
        <w:jc w:val="both"/>
        <w:rPr>
          <w:rFonts w:ascii="Cambria" w:eastAsia="Arial" w:hAnsi="Cambria" w:cs="Arial"/>
          <w:sz w:val="20"/>
          <w:szCs w:val="20"/>
        </w:rPr>
      </w:pPr>
      <w:bookmarkStart w:id="0" w:name="_Hlk211955220"/>
      <w:r w:rsidRPr="00E30020">
        <w:rPr>
          <w:rFonts w:ascii="Cambria" w:eastAsia="Cambria" w:hAnsi="Cambria" w:cs="Cambria"/>
          <w:sz w:val="20"/>
        </w:rPr>
        <w:t>¿Hay alguna otra información pertinente sobre las repercusiones de la propuesta en lo referente a los recursos y a la carga de trabajo?</w:t>
      </w:r>
      <w:bookmarkEnd w:id="0"/>
      <w:r w:rsidRPr="00E30020">
        <w:rPr>
          <w:rFonts w:ascii="Cambria" w:hAnsi="Cambria" w:cs="Arial"/>
          <w:b/>
          <w:kern w:val="2"/>
          <w:sz w:val="20"/>
          <w14:ligatures w14:val="standardContextual"/>
        </w:rPr>
        <w:br w:type="page"/>
      </w:r>
    </w:p>
    <w:p w14:paraId="2E83D9BF" w14:textId="77777777" w:rsidR="00E30020" w:rsidRPr="00F02D62" w:rsidRDefault="00E30020" w:rsidP="007D0E69">
      <w:pPr>
        <w:autoSpaceDE w:val="0"/>
        <w:autoSpaceDN w:val="0"/>
        <w:jc w:val="right"/>
        <w:rPr>
          <w:rFonts w:ascii="Cambria" w:eastAsia="Cambria" w:hAnsi="Cambria" w:cs="Cambria"/>
          <w:b/>
          <w:bCs/>
          <w:spacing w:val="-4"/>
          <w:sz w:val="20"/>
          <w:szCs w:val="20"/>
        </w:rPr>
      </w:pPr>
      <w:r w:rsidRPr="00F02D62">
        <w:rPr>
          <w:rFonts w:ascii="Cambria" w:hAnsi="Cambria"/>
          <w:b/>
          <w:sz w:val="20"/>
          <w:szCs w:val="20"/>
        </w:rPr>
        <w:lastRenderedPageBreak/>
        <w:t>Original: inglés</w:t>
      </w:r>
    </w:p>
    <w:p w14:paraId="612DC2E7" w14:textId="77777777" w:rsidR="00E30020" w:rsidRPr="00F02D62" w:rsidRDefault="00E30020" w:rsidP="007D0E69">
      <w:pPr>
        <w:autoSpaceDE w:val="0"/>
        <w:autoSpaceDN w:val="0"/>
        <w:jc w:val="both"/>
        <w:rPr>
          <w:rFonts w:ascii="Cambria" w:eastAsia="Cambria" w:hAnsi="Cambria" w:cs="Cambria"/>
          <w:b/>
          <w:bCs/>
          <w:spacing w:val="-4"/>
          <w:sz w:val="20"/>
          <w:szCs w:val="20"/>
        </w:rPr>
      </w:pPr>
    </w:p>
    <w:p w14:paraId="339AF20F" w14:textId="5063794C" w:rsidR="00E30020" w:rsidRPr="00F02D62" w:rsidRDefault="00E30020" w:rsidP="007D0E69">
      <w:pPr>
        <w:autoSpaceDE w:val="0"/>
        <w:autoSpaceDN w:val="0"/>
        <w:jc w:val="center"/>
        <w:rPr>
          <w:rFonts w:ascii="Cambria" w:eastAsia="Cambria" w:hAnsi="Cambria" w:cs="Cambria"/>
          <w:b/>
          <w:bCs/>
          <w:spacing w:val="-4"/>
          <w:sz w:val="20"/>
          <w:szCs w:val="20"/>
        </w:rPr>
      </w:pPr>
      <w:r w:rsidRPr="00F02D62">
        <w:rPr>
          <w:rFonts w:ascii="Cambria" w:hAnsi="Cambria"/>
          <w:b/>
          <w:bCs/>
          <w:sz w:val="20"/>
          <w:szCs w:val="20"/>
        </w:rPr>
        <w:t>Nota explicativa al Proyecto de Recomendación de ICCAT</w:t>
      </w:r>
      <w:r w:rsidR="002E746C">
        <w:rPr>
          <w:rFonts w:ascii="Cambria" w:hAnsi="Cambria"/>
          <w:b/>
          <w:bCs/>
          <w:sz w:val="20"/>
          <w:szCs w:val="20"/>
        </w:rPr>
        <w:t xml:space="preserve"> </w:t>
      </w:r>
      <w:r w:rsidRPr="00F02D62">
        <w:rPr>
          <w:rFonts w:ascii="Cambria" w:hAnsi="Cambria"/>
          <w:b/>
          <w:bCs/>
          <w:sz w:val="20"/>
          <w:szCs w:val="20"/>
        </w:rPr>
        <w:t xml:space="preserve"> para un plan de conservación y ordenación para el atún rojo del Atlántico oeste</w:t>
      </w:r>
    </w:p>
    <w:p w14:paraId="44CFE544" w14:textId="77777777" w:rsidR="004F16F6" w:rsidRDefault="004F16F6" w:rsidP="007D0E69">
      <w:pPr>
        <w:jc w:val="center"/>
        <w:rPr>
          <w:rFonts w:ascii="Cambria" w:hAnsi="Cambria"/>
          <w:i/>
          <w:sz w:val="20"/>
          <w:szCs w:val="20"/>
        </w:rPr>
      </w:pPr>
    </w:p>
    <w:p w14:paraId="5A44F0A1" w14:textId="499A7038" w:rsidR="00E30020" w:rsidRPr="00F02D62" w:rsidRDefault="00E30020" w:rsidP="007D0E69">
      <w:pPr>
        <w:jc w:val="center"/>
        <w:rPr>
          <w:rFonts w:ascii="Cambria" w:eastAsia="Cambria" w:hAnsi="Cambria" w:cs="Cambria"/>
          <w:i/>
          <w:sz w:val="20"/>
          <w:szCs w:val="20"/>
        </w:rPr>
      </w:pPr>
      <w:r w:rsidRPr="00F02D62">
        <w:rPr>
          <w:rFonts w:ascii="Cambria" w:hAnsi="Cambria"/>
          <w:i/>
          <w:sz w:val="20"/>
          <w:szCs w:val="20"/>
        </w:rPr>
        <w:t>(presentado por la Unión Europea)</w:t>
      </w:r>
    </w:p>
    <w:p w14:paraId="4D2AC533" w14:textId="77777777" w:rsidR="00E30020" w:rsidRPr="00F02D62" w:rsidRDefault="00E30020" w:rsidP="007D0E69">
      <w:pPr>
        <w:autoSpaceDE w:val="0"/>
        <w:autoSpaceDN w:val="0"/>
        <w:rPr>
          <w:rFonts w:ascii="Cambria" w:eastAsia="Cambria" w:hAnsi="Cambria" w:cs="Cambria"/>
          <w:sz w:val="20"/>
          <w:szCs w:val="20"/>
        </w:rPr>
      </w:pPr>
    </w:p>
    <w:p w14:paraId="7CDC198E" w14:textId="4603498D" w:rsidR="00E30020" w:rsidRPr="00F02D62" w:rsidRDefault="00E30020" w:rsidP="007D0E69">
      <w:pPr>
        <w:autoSpaceDE w:val="0"/>
        <w:autoSpaceDN w:val="0"/>
        <w:jc w:val="both"/>
        <w:rPr>
          <w:rFonts w:ascii="Cambria" w:eastAsia="Cambria" w:hAnsi="Cambria" w:cs="Cambria"/>
          <w:sz w:val="20"/>
          <w:szCs w:val="20"/>
        </w:rPr>
      </w:pPr>
      <w:r w:rsidRPr="00F02D62">
        <w:rPr>
          <w:rFonts w:ascii="Cambria" w:hAnsi="Cambria"/>
          <w:sz w:val="20"/>
          <w:szCs w:val="20"/>
        </w:rPr>
        <w:t xml:space="preserve">El conjunto de medidas descritas en esta </w:t>
      </w:r>
      <w:r w:rsidRPr="00F10478">
        <w:rPr>
          <w:rFonts w:ascii="Cambria" w:hAnsi="Cambria"/>
          <w:sz w:val="20"/>
          <w:szCs w:val="20"/>
        </w:rPr>
        <w:t>propuesta se basa directamente en las propuestas presentadas previamente a la Subcomisión 2</w:t>
      </w:r>
      <w:r w:rsidR="004F16F6" w:rsidRPr="00F10478">
        <w:rPr>
          <w:rFonts w:ascii="Cambria" w:hAnsi="Cambria"/>
          <w:sz w:val="20"/>
          <w:szCs w:val="20"/>
        </w:rPr>
        <w:t>:</w:t>
      </w:r>
      <w:r w:rsidRPr="00F10478">
        <w:rPr>
          <w:rFonts w:ascii="Cambria" w:hAnsi="Cambria"/>
          <w:sz w:val="20"/>
          <w:szCs w:val="20"/>
        </w:rPr>
        <w:t xml:space="preserve"> el documento PA2_609/2024</w:t>
      </w:r>
      <w:r w:rsidR="004F16F6" w:rsidRPr="00F10478">
        <w:rPr>
          <w:rFonts w:ascii="Cambria" w:hAnsi="Cambria"/>
          <w:sz w:val="20"/>
          <w:szCs w:val="20"/>
        </w:rPr>
        <w:t xml:space="preserve"> en la reunión anual de ICCAT de 2024</w:t>
      </w:r>
      <w:r w:rsidRPr="00F10478">
        <w:rPr>
          <w:rFonts w:ascii="Cambria" w:hAnsi="Cambria"/>
          <w:sz w:val="20"/>
          <w:szCs w:val="20"/>
        </w:rPr>
        <w:t>, el documento PA2_24/i2025 presentado en la re</w:t>
      </w:r>
      <w:r w:rsidRPr="00F02D62">
        <w:rPr>
          <w:rFonts w:ascii="Cambria" w:hAnsi="Cambria"/>
          <w:sz w:val="20"/>
          <w:szCs w:val="20"/>
        </w:rPr>
        <w:t>unión intersesiones de la Subcomisión 2 en marzo de 2025 y el documento IMM_11/i2025 presentado en la 18ª reunión del Grupo de trabajo sobre medidas de seguimiento integradas (IMM) en junio de 2025.</w:t>
      </w:r>
    </w:p>
    <w:p w14:paraId="22CD493C" w14:textId="77777777" w:rsidR="00E30020" w:rsidRPr="00F02D62" w:rsidRDefault="00E30020" w:rsidP="007D0E69">
      <w:pPr>
        <w:autoSpaceDE w:val="0"/>
        <w:autoSpaceDN w:val="0"/>
        <w:jc w:val="both"/>
        <w:rPr>
          <w:rFonts w:ascii="Cambria" w:eastAsia="Cambria" w:hAnsi="Cambria" w:cs="Cambria"/>
          <w:sz w:val="20"/>
          <w:szCs w:val="20"/>
        </w:rPr>
      </w:pPr>
    </w:p>
    <w:p w14:paraId="387F44F6" w14:textId="77777777" w:rsidR="00E30020" w:rsidRPr="00F02D62" w:rsidRDefault="00E30020" w:rsidP="007D0E69">
      <w:pPr>
        <w:autoSpaceDE w:val="0"/>
        <w:autoSpaceDN w:val="0"/>
        <w:jc w:val="both"/>
        <w:rPr>
          <w:rFonts w:ascii="Cambria" w:eastAsia="Cambria" w:hAnsi="Cambria" w:cs="Cambria"/>
          <w:sz w:val="20"/>
          <w:szCs w:val="20"/>
        </w:rPr>
      </w:pPr>
      <w:r w:rsidRPr="00F02D62">
        <w:rPr>
          <w:rFonts w:ascii="Cambria" w:hAnsi="Cambria"/>
          <w:sz w:val="20"/>
          <w:szCs w:val="20"/>
        </w:rPr>
        <w:t>Estos documentos anteriores presentaban la justificación y un enfoque gradual con vistas a respaldar el debate sobre la armonización de las medidas de ordenación, control y seguimiento del atún rojo del Atlántico occidental con las ya establecidas para el stock oriental.</w:t>
      </w:r>
    </w:p>
    <w:p w14:paraId="058553C2" w14:textId="77777777" w:rsidR="00E30020" w:rsidRPr="00F02D62" w:rsidRDefault="00E30020" w:rsidP="007D0E69">
      <w:pPr>
        <w:autoSpaceDE w:val="0"/>
        <w:autoSpaceDN w:val="0"/>
        <w:jc w:val="both"/>
        <w:rPr>
          <w:rFonts w:ascii="Cambria" w:eastAsia="Cambria" w:hAnsi="Cambria" w:cs="Cambria"/>
          <w:sz w:val="20"/>
          <w:szCs w:val="20"/>
        </w:rPr>
      </w:pPr>
    </w:p>
    <w:p w14:paraId="66EAEA67" w14:textId="0FB8EEB4" w:rsidR="00E30020" w:rsidRPr="00F02D62" w:rsidRDefault="00E30020" w:rsidP="007D0E69">
      <w:pPr>
        <w:autoSpaceDE w:val="0"/>
        <w:autoSpaceDN w:val="0"/>
        <w:jc w:val="both"/>
        <w:rPr>
          <w:rFonts w:ascii="Cambria" w:eastAsia="Cambria" w:hAnsi="Cambria" w:cs="Cambria"/>
          <w:sz w:val="20"/>
          <w:szCs w:val="20"/>
        </w:rPr>
      </w:pPr>
      <w:r w:rsidRPr="00F02D62">
        <w:rPr>
          <w:rFonts w:ascii="Cambria" w:hAnsi="Cambria"/>
          <w:sz w:val="20"/>
          <w:szCs w:val="20"/>
        </w:rPr>
        <w:t>Tras el debate mantenido en la 18ª reunión del Grupo de trabajo sobre IMM, celebrada en junio de 2025, la obligación de presentar un plan de pesca se modificó para abarcar únicamente a las CPC con una cuota igual o superior a 50 t, a fin de evitar imponer una carga desproporcionada a los capturadores</w:t>
      </w:r>
      <w:r w:rsidR="00C8782F">
        <w:rPr>
          <w:rFonts w:ascii="Cambria" w:hAnsi="Cambria"/>
          <w:sz w:val="20"/>
          <w:szCs w:val="20"/>
        </w:rPr>
        <w:t xml:space="preserve"> muy </w:t>
      </w:r>
      <w:r w:rsidR="00C8782F" w:rsidRPr="00F02D62">
        <w:rPr>
          <w:rFonts w:ascii="Cambria" w:hAnsi="Cambria"/>
          <w:sz w:val="20"/>
          <w:szCs w:val="20"/>
        </w:rPr>
        <w:t>pequeños</w:t>
      </w:r>
      <w:r w:rsidRPr="00F02D62">
        <w:rPr>
          <w:rFonts w:ascii="Cambria" w:hAnsi="Cambria"/>
          <w:sz w:val="20"/>
          <w:szCs w:val="20"/>
        </w:rPr>
        <w:t xml:space="preserve">. </w:t>
      </w:r>
    </w:p>
    <w:p w14:paraId="5D2F62B5" w14:textId="77777777" w:rsidR="00E30020" w:rsidRPr="00F02D62" w:rsidRDefault="00E30020" w:rsidP="007D0E69">
      <w:pPr>
        <w:autoSpaceDE w:val="0"/>
        <w:autoSpaceDN w:val="0"/>
        <w:jc w:val="both"/>
        <w:rPr>
          <w:rFonts w:ascii="Cambria" w:eastAsia="Cambria" w:hAnsi="Cambria" w:cs="Cambria"/>
          <w:sz w:val="20"/>
          <w:szCs w:val="20"/>
        </w:rPr>
      </w:pPr>
    </w:p>
    <w:p w14:paraId="7DEAAC2A" w14:textId="77777777" w:rsidR="00E30020" w:rsidRPr="00F02D62" w:rsidRDefault="00E30020" w:rsidP="007D0E69">
      <w:pPr>
        <w:autoSpaceDE w:val="0"/>
        <w:autoSpaceDN w:val="0"/>
        <w:jc w:val="both"/>
        <w:rPr>
          <w:rFonts w:ascii="Cambria" w:eastAsia="Cambria" w:hAnsi="Cambria" w:cs="Cambria"/>
          <w:sz w:val="20"/>
          <w:szCs w:val="20"/>
        </w:rPr>
      </w:pPr>
      <w:r w:rsidRPr="00F02D62">
        <w:rPr>
          <w:rFonts w:ascii="Cambria" w:hAnsi="Cambria"/>
          <w:sz w:val="20"/>
          <w:szCs w:val="20"/>
        </w:rPr>
        <w:t xml:space="preserve">Aunque el conjunto completo de disposiciones figura en las modificaciones propuestas, su entrada en vigor respectiva sigue la estructura y el enfoque gradual esbozados en el PA2_24/i2025, por lo que se propone una implementación directa para los siguientes elementos: (1) plan de pesca; (2) normas sobre capturas fortuitas; (3) registro de buques, (4) autorizaciones de pesca y (5) requisitos de registro. </w:t>
      </w:r>
    </w:p>
    <w:p w14:paraId="2EDBD579" w14:textId="77777777" w:rsidR="00E30020" w:rsidRPr="00F02D62" w:rsidRDefault="00E30020" w:rsidP="007D0E69">
      <w:pPr>
        <w:autoSpaceDE w:val="0"/>
        <w:autoSpaceDN w:val="0"/>
        <w:jc w:val="both"/>
        <w:rPr>
          <w:rFonts w:ascii="Cambria" w:eastAsia="Cambria" w:hAnsi="Cambria" w:cs="Cambria"/>
          <w:sz w:val="20"/>
          <w:szCs w:val="20"/>
        </w:rPr>
      </w:pPr>
    </w:p>
    <w:p w14:paraId="42995381" w14:textId="77777777" w:rsidR="00E30020" w:rsidRPr="00F02D62" w:rsidRDefault="00E30020" w:rsidP="007D0E69">
      <w:pPr>
        <w:autoSpaceDE w:val="0"/>
        <w:autoSpaceDN w:val="0"/>
        <w:jc w:val="both"/>
        <w:rPr>
          <w:rFonts w:ascii="Cambria" w:eastAsia="Cambria" w:hAnsi="Cambria" w:cs="Cambria"/>
          <w:sz w:val="20"/>
          <w:szCs w:val="20"/>
        </w:rPr>
      </w:pPr>
      <w:r w:rsidRPr="00F02D62">
        <w:rPr>
          <w:rFonts w:ascii="Cambria" w:hAnsi="Cambria"/>
          <w:sz w:val="20"/>
          <w:szCs w:val="20"/>
        </w:rPr>
        <w:t xml:space="preserve">Los demás elementos sólo entrarían en vigor con una implementación aplazada, en enero de 2027 o 2028. Para facilitar la lectura de la propuesta, las disposiciones aplazadas están marcadas en azul para las propuestas para 2027 y en verde para las propuestas para 2028. </w:t>
      </w:r>
    </w:p>
    <w:p w14:paraId="0F255FD2" w14:textId="77777777" w:rsidR="00E30020" w:rsidRPr="00F02D62" w:rsidRDefault="00E30020" w:rsidP="007D0E69">
      <w:pPr>
        <w:autoSpaceDE w:val="0"/>
        <w:autoSpaceDN w:val="0"/>
        <w:ind w:right="393"/>
        <w:jc w:val="both"/>
        <w:rPr>
          <w:rFonts w:ascii="Cambria" w:eastAsia="Cambria" w:hAnsi="Cambria" w:cs="Cambria"/>
          <w:iCs/>
          <w:sz w:val="20"/>
          <w:szCs w:val="20"/>
        </w:rPr>
      </w:pPr>
    </w:p>
    <w:p w14:paraId="27D9BA9B" w14:textId="77777777" w:rsidR="00E30020" w:rsidRPr="00F02D62" w:rsidRDefault="00E30020" w:rsidP="007D0E69">
      <w:pPr>
        <w:rPr>
          <w:rFonts w:ascii="Cambria" w:hAnsi="Cambria"/>
          <w:sz w:val="20"/>
          <w:szCs w:val="20"/>
        </w:rPr>
      </w:pPr>
    </w:p>
    <w:p w14:paraId="270862AB" w14:textId="77777777" w:rsidR="00E30020" w:rsidRDefault="00E30020" w:rsidP="007D0E69">
      <w:pPr>
        <w:rPr>
          <w:rFonts w:ascii="Cambria" w:eastAsia="Times New Roman" w:hAnsi="Cambria" w:cs="Times New Roman"/>
          <w:b/>
          <w:bCs/>
          <w:sz w:val="20"/>
          <w:szCs w:val="20"/>
        </w:rPr>
      </w:pPr>
      <w:r>
        <w:rPr>
          <w:rFonts w:ascii="Cambria" w:eastAsia="Times New Roman" w:hAnsi="Cambria" w:cs="Times New Roman"/>
          <w:bCs/>
          <w:sz w:val="20"/>
          <w:szCs w:val="20"/>
        </w:rPr>
        <w:br w:type="page"/>
      </w:r>
    </w:p>
    <w:p w14:paraId="57AFFC2C" w14:textId="0AF78850" w:rsidR="00E30020" w:rsidRDefault="00E30020" w:rsidP="007D0E69">
      <w:pPr>
        <w:autoSpaceDE w:val="0"/>
        <w:autoSpaceDN w:val="0"/>
        <w:jc w:val="right"/>
        <w:rPr>
          <w:rFonts w:ascii="Cambria" w:hAnsi="Cambria"/>
          <w:b/>
          <w:bCs/>
          <w:sz w:val="20"/>
          <w:szCs w:val="20"/>
        </w:rPr>
      </w:pPr>
      <w:r>
        <w:rPr>
          <w:rFonts w:ascii="Cambria" w:hAnsi="Cambria"/>
          <w:b/>
          <w:bCs/>
          <w:sz w:val="20"/>
          <w:szCs w:val="20"/>
        </w:rPr>
        <w:lastRenderedPageBreak/>
        <w:t>Original: inglés</w:t>
      </w:r>
    </w:p>
    <w:p w14:paraId="730EFFE0" w14:textId="77777777" w:rsidR="00E30020" w:rsidRDefault="00E30020" w:rsidP="007D0E69">
      <w:pPr>
        <w:autoSpaceDE w:val="0"/>
        <w:autoSpaceDN w:val="0"/>
        <w:jc w:val="right"/>
        <w:rPr>
          <w:rFonts w:ascii="Cambria" w:hAnsi="Cambria"/>
          <w:b/>
          <w:bCs/>
          <w:sz w:val="20"/>
          <w:szCs w:val="20"/>
        </w:rPr>
      </w:pPr>
    </w:p>
    <w:p w14:paraId="68FCF7B0" w14:textId="77777777" w:rsidR="00F10478" w:rsidRDefault="00E30020" w:rsidP="007D0E69">
      <w:pPr>
        <w:autoSpaceDE w:val="0"/>
        <w:autoSpaceDN w:val="0"/>
        <w:jc w:val="center"/>
        <w:rPr>
          <w:rFonts w:ascii="Cambria" w:hAnsi="Cambria"/>
          <w:b/>
          <w:bCs/>
          <w:sz w:val="20"/>
          <w:szCs w:val="20"/>
        </w:rPr>
      </w:pPr>
      <w:r w:rsidRPr="00F02D62">
        <w:rPr>
          <w:rFonts w:ascii="Cambria" w:hAnsi="Cambria"/>
          <w:b/>
          <w:bCs/>
          <w:sz w:val="20"/>
          <w:szCs w:val="20"/>
        </w:rPr>
        <w:t xml:space="preserve">Proyecto de Recomendación de ICCAT para un plan de conservación y ordenación </w:t>
      </w:r>
    </w:p>
    <w:p w14:paraId="7BE93556" w14:textId="634F0197" w:rsidR="00E30020" w:rsidRPr="00F02D62" w:rsidRDefault="00E30020" w:rsidP="007D0E69">
      <w:pPr>
        <w:autoSpaceDE w:val="0"/>
        <w:autoSpaceDN w:val="0"/>
        <w:jc w:val="center"/>
        <w:rPr>
          <w:rFonts w:ascii="Cambria" w:eastAsia="Cambria" w:hAnsi="Cambria" w:cs="Cambria"/>
          <w:b/>
          <w:bCs/>
          <w:spacing w:val="-4"/>
          <w:sz w:val="20"/>
          <w:szCs w:val="20"/>
        </w:rPr>
      </w:pPr>
      <w:r w:rsidRPr="00F02D62">
        <w:rPr>
          <w:rFonts w:ascii="Cambria" w:hAnsi="Cambria"/>
          <w:b/>
          <w:bCs/>
          <w:sz w:val="20"/>
          <w:szCs w:val="20"/>
        </w:rPr>
        <w:t>para el atún rojo del Atlántico oeste</w:t>
      </w:r>
    </w:p>
    <w:p w14:paraId="7250A1F8" w14:textId="77777777" w:rsidR="005D5654" w:rsidRPr="005D5654" w:rsidRDefault="005D5654" w:rsidP="007D0E69">
      <w:pPr>
        <w:tabs>
          <w:tab w:val="left" w:pos="426"/>
          <w:tab w:val="center" w:pos="4680"/>
          <w:tab w:val="left" w:pos="6430"/>
        </w:tabs>
        <w:jc w:val="both"/>
        <w:rPr>
          <w:rFonts w:ascii="Cambria" w:hAnsi="Cambria"/>
          <w:i/>
          <w:color w:val="231F20"/>
          <w:sz w:val="20"/>
          <w:szCs w:val="20"/>
        </w:rPr>
      </w:pPr>
    </w:p>
    <w:p w14:paraId="1A62AA98" w14:textId="77777777" w:rsidR="005D5654" w:rsidRPr="005D5654" w:rsidRDefault="005D5654" w:rsidP="007D0E69">
      <w:pPr>
        <w:tabs>
          <w:tab w:val="left" w:pos="426"/>
          <w:tab w:val="center" w:pos="4680"/>
          <w:tab w:val="left" w:pos="6430"/>
        </w:tabs>
        <w:jc w:val="both"/>
        <w:rPr>
          <w:rFonts w:ascii="Cambria" w:eastAsia="Cambria" w:hAnsi="Cambria" w:cs="Cambria"/>
          <w:i/>
          <w:sz w:val="20"/>
          <w:szCs w:val="20"/>
        </w:rPr>
      </w:pPr>
      <w:r w:rsidRPr="005D5654">
        <w:rPr>
          <w:rFonts w:ascii="Cambria" w:hAnsi="Cambria"/>
          <w:i/>
          <w:color w:val="231F20"/>
          <w:sz w:val="20"/>
          <w:szCs w:val="20"/>
        </w:rPr>
        <w:tab/>
      </w:r>
      <w:r w:rsidRPr="005D5654">
        <w:rPr>
          <w:rFonts w:ascii="Cambria" w:hAnsi="Cambria"/>
          <w:i/>
          <w:iCs/>
          <w:sz w:val="20"/>
          <w:szCs w:val="20"/>
        </w:rPr>
        <w:t>CONSTATANDO</w:t>
      </w:r>
      <w:r w:rsidRPr="005D5654">
        <w:rPr>
          <w:rFonts w:ascii="Cambria" w:hAnsi="Cambria"/>
          <w:sz w:val="20"/>
          <w:szCs w:val="20"/>
        </w:rPr>
        <w:t xml:space="preserve"> que el objetivo del Convenio es mantener las poblaciones de túnidos y especies afines en niveles que permitan el rendimiento máximo sostenible (RMS);</w:t>
      </w:r>
    </w:p>
    <w:p w14:paraId="56375AAA" w14:textId="77777777" w:rsidR="005D5654" w:rsidRPr="005D5654" w:rsidRDefault="005D5654" w:rsidP="007D0E69">
      <w:pPr>
        <w:tabs>
          <w:tab w:val="left" w:pos="426"/>
          <w:tab w:val="center" w:pos="4680"/>
          <w:tab w:val="left" w:pos="6430"/>
        </w:tabs>
        <w:jc w:val="both"/>
        <w:rPr>
          <w:rFonts w:ascii="Cambria" w:eastAsia="Cambria" w:hAnsi="Cambria" w:cs="Cambria"/>
          <w:i/>
          <w:sz w:val="20"/>
          <w:szCs w:val="20"/>
        </w:rPr>
      </w:pPr>
    </w:p>
    <w:p w14:paraId="249E169C" w14:textId="5F0B8451" w:rsidR="005D5654" w:rsidRPr="00E30020" w:rsidRDefault="00E30020" w:rsidP="00F95C82">
      <w:pPr>
        <w:tabs>
          <w:tab w:val="left" w:pos="426"/>
          <w:tab w:val="center" w:pos="4680"/>
          <w:tab w:val="left" w:pos="6430"/>
        </w:tabs>
        <w:ind w:firstLine="426"/>
        <w:jc w:val="both"/>
        <w:rPr>
          <w:rFonts w:ascii="Cambria" w:eastAsia="Cambria" w:hAnsi="Cambria" w:cs="Cambria"/>
          <w:iCs/>
          <w:sz w:val="20"/>
          <w:szCs w:val="20"/>
        </w:rPr>
      </w:pPr>
      <w:r w:rsidRPr="002E5E77">
        <w:rPr>
          <w:rFonts w:ascii="Cambria" w:hAnsi="Cambria"/>
          <w:iCs/>
          <w:sz w:val="20"/>
          <w:szCs w:val="20"/>
        </w:rPr>
        <w:t>[…]</w:t>
      </w:r>
    </w:p>
    <w:p w14:paraId="5FD612E5" w14:textId="77777777" w:rsidR="005D5654" w:rsidRPr="005D5654" w:rsidRDefault="005D5654" w:rsidP="007D0E69">
      <w:pPr>
        <w:tabs>
          <w:tab w:val="left" w:pos="426"/>
          <w:tab w:val="center" w:pos="4680"/>
          <w:tab w:val="left" w:pos="6430"/>
        </w:tabs>
        <w:jc w:val="both"/>
        <w:rPr>
          <w:rFonts w:ascii="Cambria" w:eastAsia="Cambria" w:hAnsi="Cambria" w:cs="Cambria"/>
          <w:i/>
          <w:sz w:val="20"/>
          <w:szCs w:val="20"/>
        </w:rPr>
      </w:pPr>
    </w:p>
    <w:p w14:paraId="329FCC2F" w14:textId="77777777" w:rsidR="005D5654" w:rsidRPr="005D5654" w:rsidRDefault="005D5654" w:rsidP="007D0E69">
      <w:pPr>
        <w:tabs>
          <w:tab w:val="left" w:pos="426"/>
          <w:tab w:val="center" w:pos="4680"/>
          <w:tab w:val="left" w:pos="6430"/>
        </w:tabs>
        <w:jc w:val="both"/>
        <w:rPr>
          <w:rFonts w:ascii="Cambria" w:hAnsi="Cambria"/>
          <w:sz w:val="20"/>
          <w:szCs w:val="20"/>
        </w:rPr>
      </w:pPr>
      <w:r w:rsidRPr="005D5654">
        <w:rPr>
          <w:rFonts w:ascii="Cambria" w:hAnsi="Cambria"/>
          <w:i/>
          <w:sz w:val="20"/>
          <w:szCs w:val="20"/>
        </w:rPr>
        <w:t xml:space="preserve"> </w:t>
      </w:r>
      <w:r w:rsidRPr="005D5654">
        <w:rPr>
          <w:rFonts w:ascii="Cambria" w:hAnsi="Cambria"/>
          <w:i/>
          <w:sz w:val="20"/>
          <w:szCs w:val="20"/>
        </w:rPr>
        <w:tab/>
      </w:r>
      <w:r w:rsidRPr="005D5654">
        <w:rPr>
          <w:rFonts w:ascii="Cambria" w:hAnsi="Cambria"/>
          <w:i/>
          <w:iCs/>
          <w:sz w:val="20"/>
          <w:szCs w:val="20"/>
        </w:rPr>
        <w:t>RECORDANDO</w:t>
      </w:r>
      <w:r w:rsidRPr="005D5654">
        <w:rPr>
          <w:rFonts w:ascii="Cambria" w:hAnsi="Cambria"/>
          <w:sz w:val="20"/>
          <w:szCs w:val="20"/>
        </w:rPr>
        <w:t xml:space="preserve"> que el SCRS, al no poder resolver la incertidumbre sobre el reclutamiento, proporcionó en 2017 un asesoramiento de ordenación a corto plazo basado en una tasa de mortalidad por pesca (F</w:t>
      </w:r>
      <w:r w:rsidRPr="005D5654">
        <w:rPr>
          <w:rFonts w:ascii="Cambria" w:hAnsi="Cambria"/>
          <w:sz w:val="20"/>
          <w:szCs w:val="20"/>
          <w:vertAlign w:val="subscript"/>
        </w:rPr>
        <w:t>0,1</w:t>
      </w:r>
      <w:r w:rsidRPr="005D5654">
        <w:rPr>
          <w:rFonts w:ascii="Cambria" w:hAnsi="Cambria"/>
          <w:sz w:val="20"/>
          <w:szCs w:val="20"/>
        </w:rPr>
        <w:t>) que el SCRS consideró una aproximación razonable a F</w:t>
      </w:r>
      <w:r w:rsidRPr="005D5654">
        <w:rPr>
          <w:rFonts w:ascii="Cambria" w:hAnsi="Cambria"/>
          <w:sz w:val="20"/>
          <w:szCs w:val="20"/>
          <w:vertAlign w:val="subscript"/>
        </w:rPr>
        <w:t>RMS</w:t>
      </w:r>
      <w:r w:rsidRPr="005D5654">
        <w:rPr>
          <w:rFonts w:ascii="Cambria" w:hAnsi="Cambria"/>
          <w:sz w:val="20"/>
          <w:szCs w:val="20"/>
        </w:rPr>
        <w:t xml:space="preserve"> y que tenía en cuenta el efecto de los cambios en el reclutamiento sobre la biomasa del stock, lo que proporcionó la base para la ordenación provisional del stock a la espera del desarrollo de un procedimiento de ordenación (MP) mediante el proceso de evaluación de estrategias de ordenación (MSE); </w:t>
      </w:r>
    </w:p>
    <w:p w14:paraId="3768FD9E" w14:textId="77777777" w:rsidR="005D5654" w:rsidRPr="005D5654" w:rsidRDefault="005D5654" w:rsidP="007D0E69">
      <w:pPr>
        <w:tabs>
          <w:tab w:val="left" w:pos="426"/>
          <w:tab w:val="center" w:pos="4680"/>
          <w:tab w:val="left" w:pos="6430"/>
        </w:tabs>
        <w:jc w:val="both"/>
        <w:rPr>
          <w:rFonts w:ascii="Cambria" w:hAnsi="Cambria"/>
          <w:sz w:val="20"/>
          <w:szCs w:val="20"/>
        </w:rPr>
      </w:pPr>
    </w:p>
    <w:p w14:paraId="51D6685F" w14:textId="77777777" w:rsidR="005D5654" w:rsidRPr="005D5654" w:rsidRDefault="005D5654" w:rsidP="007D0E69">
      <w:pPr>
        <w:tabs>
          <w:tab w:val="left" w:pos="426"/>
          <w:tab w:val="center" w:pos="4680"/>
          <w:tab w:val="left" w:pos="6430"/>
        </w:tabs>
        <w:jc w:val="both"/>
        <w:rPr>
          <w:rFonts w:ascii="Cambria" w:eastAsia="Cambria" w:hAnsi="Cambria" w:cs="Cambria"/>
          <w:sz w:val="20"/>
          <w:szCs w:val="20"/>
        </w:rPr>
      </w:pPr>
      <w:r w:rsidRPr="005D5654">
        <w:rPr>
          <w:rFonts w:ascii="Cambria" w:hAnsi="Cambria"/>
          <w:i/>
          <w:sz w:val="20"/>
          <w:szCs w:val="20"/>
        </w:rPr>
        <w:tab/>
      </w:r>
      <w:r w:rsidRPr="005D5654">
        <w:rPr>
          <w:rFonts w:ascii="Cambria" w:hAnsi="Cambria"/>
          <w:i/>
          <w:iCs/>
          <w:sz w:val="20"/>
          <w:szCs w:val="20"/>
        </w:rPr>
        <w:t xml:space="preserve">RECORDANDO ADEMÁS </w:t>
      </w:r>
      <w:r w:rsidRPr="005D5654">
        <w:rPr>
          <w:rFonts w:ascii="Cambria" w:hAnsi="Cambria"/>
          <w:sz w:val="20"/>
          <w:szCs w:val="20"/>
        </w:rPr>
        <w:t xml:space="preserve">que la Rec. 17-06 fue enmendada y prorrogada durante 2021 por la </w:t>
      </w:r>
      <w:r w:rsidRPr="005D5654">
        <w:rPr>
          <w:rFonts w:ascii="Cambria" w:hAnsi="Cambria"/>
          <w:i/>
          <w:iCs/>
          <w:sz w:val="20"/>
          <w:szCs w:val="20"/>
        </w:rPr>
        <w:t xml:space="preserve">Recomendación de ICCAT que enmienda la Rec. 17-06 para un plan provisional de conservación y ordenación para el atún rojo del Atlántico oeste </w:t>
      </w:r>
      <w:r w:rsidRPr="005D5654">
        <w:rPr>
          <w:rFonts w:ascii="Cambria" w:hAnsi="Cambria"/>
          <w:sz w:val="20"/>
          <w:szCs w:val="20"/>
        </w:rPr>
        <w:t xml:space="preserve">(Rec. 20-06), que fue enmendada y prorrogada de nuevo durante 2022 mediante la </w:t>
      </w:r>
      <w:r w:rsidRPr="005D5654">
        <w:rPr>
          <w:rFonts w:ascii="Cambria" w:hAnsi="Cambria"/>
          <w:i/>
          <w:iCs/>
          <w:sz w:val="20"/>
          <w:szCs w:val="20"/>
        </w:rPr>
        <w:t xml:space="preserve">Recomendación de ICCAT que enmienda la Recomendación 17-06 para un plan provisional de conservación y ordenación para el atún rojo del Atlántico oeste </w:t>
      </w:r>
      <w:r w:rsidRPr="005D5654">
        <w:rPr>
          <w:rFonts w:ascii="Cambria" w:hAnsi="Cambria"/>
          <w:sz w:val="20"/>
          <w:szCs w:val="20"/>
        </w:rPr>
        <w:t>(Rec. 21-07), que incluía un aumento del total admisible de capturas (TAC) después de tener en cuenta el asesoramiento del SCRS en 2021;</w:t>
      </w:r>
    </w:p>
    <w:p w14:paraId="296ED36A" w14:textId="77777777" w:rsidR="005D5654" w:rsidRPr="005D5654" w:rsidRDefault="005D5654" w:rsidP="007D0E69">
      <w:pPr>
        <w:tabs>
          <w:tab w:val="left" w:pos="426"/>
          <w:tab w:val="center" w:pos="4680"/>
          <w:tab w:val="left" w:pos="6430"/>
        </w:tabs>
        <w:jc w:val="both"/>
        <w:rPr>
          <w:rFonts w:ascii="Cambria" w:eastAsia="Cambria" w:hAnsi="Cambria" w:cs="Cambria"/>
          <w:i/>
          <w:sz w:val="20"/>
          <w:szCs w:val="20"/>
        </w:rPr>
      </w:pPr>
    </w:p>
    <w:p w14:paraId="1BB14740" w14:textId="77777777" w:rsidR="005D5654" w:rsidRPr="005D5654" w:rsidRDefault="005D5654" w:rsidP="007D0E69">
      <w:pPr>
        <w:tabs>
          <w:tab w:val="left" w:pos="426"/>
          <w:tab w:val="center" w:pos="4680"/>
          <w:tab w:val="left" w:pos="6430"/>
        </w:tabs>
        <w:jc w:val="both"/>
        <w:rPr>
          <w:rFonts w:ascii="Cambria" w:eastAsia="Cambria" w:hAnsi="Cambria" w:cs="Cambria"/>
          <w:sz w:val="20"/>
          <w:szCs w:val="20"/>
        </w:rPr>
      </w:pPr>
      <w:r w:rsidRPr="005D5654">
        <w:rPr>
          <w:rFonts w:ascii="Cambria" w:hAnsi="Cambria"/>
          <w:sz w:val="20"/>
          <w:szCs w:val="20"/>
        </w:rPr>
        <w:tab/>
      </w:r>
      <w:r w:rsidRPr="005D5654">
        <w:rPr>
          <w:rFonts w:ascii="Cambria" w:hAnsi="Cambria"/>
          <w:i/>
          <w:iCs/>
          <w:sz w:val="20"/>
          <w:szCs w:val="20"/>
        </w:rPr>
        <w:t xml:space="preserve">PLENAMENTE CONSCIENTE </w:t>
      </w:r>
      <w:r w:rsidRPr="005D5654">
        <w:rPr>
          <w:rFonts w:ascii="Cambria" w:hAnsi="Cambria"/>
          <w:sz w:val="20"/>
          <w:szCs w:val="20"/>
        </w:rPr>
        <w:t>de la intención de sustituir el plan provisional de conservación y ordenación aprobado por primera vez en 2017 con un plan de conservación y ordenación basado en un MP probado a través de la MSE para gestionar la pesquería de atún rojo de forma más eficaz ante las incertidumbres identificadas;</w:t>
      </w:r>
    </w:p>
    <w:p w14:paraId="7B072F7F" w14:textId="77777777" w:rsidR="005D5654" w:rsidRPr="005D5654" w:rsidRDefault="005D5654" w:rsidP="007D0E69">
      <w:pPr>
        <w:tabs>
          <w:tab w:val="left" w:pos="426"/>
          <w:tab w:val="center" w:pos="4680"/>
          <w:tab w:val="left" w:pos="6430"/>
        </w:tabs>
        <w:jc w:val="both"/>
        <w:rPr>
          <w:rFonts w:ascii="Cambria" w:eastAsia="Cambria" w:hAnsi="Cambria" w:cs="Cambria"/>
          <w:i/>
          <w:sz w:val="20"/>
          <w:szCs w:val="20"/>
        </w:rPr>
      </w:pPr>
    </w:p>
    <w:p w14:paraId="5DB625C1" w14:textId="77777777" w:rsidR="005D5654" w:rsidRPr="005D5654" w:rsidRDefault="005D5654" w:rsidP="007D0E69">
      <w:pPr>
        <w:tabs>
          <w:tab w:val="left" w:pos="426"/>
          <w:tab w:val="center" w:pos="4680"/>
          <w:tab w:val="left" w:pos="6430"/>
        </w:tabs>
        <w:jc w:val="both"/>
        <w:rPr>
          <w:rFonts w:ascii="Cambria" w:eastAsia="Cambria" w:hAnsi="Cambria" w:cs="Cambria"/>
          <w:sz w:val="20"/>
          <w:szCs w:val="20"/>
        </w:rPr>
      </w:pPr>
      <w:r w:rsidRPr="005D5654">
        <w:rPr>
          <w:rFonts w:ascii="Cambria" w:hAnsi="Cambria"/>
          <w:i/>
          <w:sz w:val="20"/>
          <w:szCs w:val="20"/>
        </w:rPr>
        <w:tab/>
      </w:r>
      <w:r w:rsidRPr="005D5654">
        <w:rPr>
          <w:rFonts w:ascii="Cambria" w:hAnsi="Cambria"/>
          <w:i/>
          <w:iCs/>
          <w:sz w:val="20"/>
          <w:szCs w:val="20"/>
        </w:rPr>
        <w:t>APRECIANDO</w:t>
      </w:r>
      <w:r w:rsidRPr="005D5654">
        <w:rPr>
          <w:rFonts w:ascii="Cambria" w:hAnsi="Cambria"/>
          <w:sz w:val="20"/>
          <w:szCs w:val="20"/>
        </w:rPr>
        <w:t xml:space="preserve"> el importante trabajo realizado por ICCAT para avanzar en la MSE para el atún rojo, lo que incluye la adopción de la R</w:t>
      </w:r>
      <w:r w:rsidRPr="005D5654">
        <w:rPr>
          <w:rFonts w:ascii="Cambria" w:hAnsi="Cambria"/>
          <w:i/>
          <w:iCs/>
          <w:sz w:val="20"/>
          <w:szCs w:val="20"/>
        </w:rPr>
        <w:t xml:space="preserve">esolución de ICCAT sobre el desarrollo de objetivos de ordenación iniciales para el atún rojo del este y del oeste </w:t>
      </w:r>
      <w:r w:rsidRPr="005D5654">
        <w:rPr>
          <w:rFonts w:ascii="Cambria" w:hAnsi="Cambria"/>
          <w:sz w:val="20"/>
          <w:szCs w:val="20"/>
        </w:rPr>
        <w:t xml:space="preserve">(Res. 18-03), y las actividades intersesiones realizadas para finalizar estos objetivos de ordenación en consonancia con el Convenio, con la </w:t>
      </w:r>
      <w:r w:rsidRPr="005D5654">
        <w:rPr>
          <w:rFonts w:ascii="Cambria" w:hAnsi="Cambria"/>
          <w:i/>
          <w:iCs/>
          <w:sz w:val="20"/>
          <w:szCs w:val="20"/>
        </w:rPr>
        <w:t>Recomendación de ICCAT sobre los principios de toma de decisiones para las medidas de conservación y ordenación de ICCA</w:t>
      </w:r>
      <w:r w:rsidRPr="005D5654">
        <w:rPr>
          <w:rFonts w:ascii="Cambria" w:hAnsi="Cambria"/>
          <w:sz w:val="20"/>
          <w:szCs w:val="20"/>
        </w:rPr>
        <w:t xml:space="preserve">T (Rec. 11-13) y con la </w:t>
      </w:r>
      <w:r w:rsidRPr="005D5654">
        <w:rPr>
          <w:rFonts w:ascii="Cambria" w:hAnsi="Cambria"/>
          <w:i/>
          <w:iCs/>
          <w:sz w:val="20"/>
          <w:szCs w:val="20"/>
        </w:rPr>
        <w:t>Recomendación de ICCAT sobre el desarrollo de normas de control de capturas y de evaluación de estrategias de ordenació</w:t>
      </w:r>
      <w:r w:rsidRPr="005D5654">
        <w:rPr>
          <w:rFonts w:ascii="Cambria" w:hAnsi="Cambria"/>
          <w:sz w:val="20"/>
          <w:szCs w:val="20"/>
        </w:rPr>
        <w:t>n (Rec. 15-07);</w:t>
      </w:r>
    </w:p>
    <w:p w14:paraId="2FD33874" w14:textId="77777777" w:rsidR="005D5654" w:rsidRPr="005D5654" w:rsidRDefault="005D5654" w:rsidP="007D0E69">
      <w:pPr>
        <w:tabs>
          <w:tab w:val="left" w:pos="426"/>
          <w:tab w:val="center" w:pos="4680"/>
          <w:tab w:val="left" w:pos="6430"/>
        </w:tabs>
        <w:jc w:val="both"/>
        <w:rPr>
          <w:rFonts w:ascii="Cambria" w:eastAsia="Cambria" w:hAnsi="Cambria" w:cs="Cambria"/>
          <w:i/>
          <w:sz w:val="20"/>
          <w:szCs w:val="20"/>
        </w:rPr>
      </w:pPr>
    </w:p>
    <w:p w14:paraId="55297DBA" w14:textId="77777777" w:rsidR="005D5654" w:rsidRPr="005D5654" w:rsidRDefault="005D5654" w:rsidP="007D0E69">
      <w:pPr>
        <w:tabs>
          <w:tab w:val="left" w:pos="426"/>
          <w:tab w:val="center" w:pos="4680"/>
          <w:tab w:val="left" w:pos="6430"/>
        </w:tabs>
        <w:jc w:val="both"/>
        <w:rPr>
          <w:rFonts w:ascii="Cambria" w:eastAsia="Cambria" w:hAnsi="Cambria" w:cs="Cambria"/>
          <w:sz w:val="20"/>
          <w:szCs w:val="20"/>
        </w:rPr>
      </w:pPr>
      <w:r w:rsidRPr="005D5654">
        <w:rPr>
          <w:rFonts w:ascii="Cambria" w:hAnsi="Cambria"/>
          <w:i/>
          <w:sz w:val="20"/>
          <w:szCs w:val="20"/>
        </w:rPr>
        <w:tab/>
      </w:r>
      <w:r w:rsidRPr="005D5654">
        <w:rPr>
          <w:rFonts w:ascii="Cambria" w:hAnsi="Cambria"/>
          <w:i/>
          <w:iCs/>
          <w:sz w:val="20"/>
          <w:szCs w:val="20"/>
        </w:rPr>
        <w:t>RECONOCIENDO</w:t>
      </w:r>
      <w:r w:rsidRPr="005D5654">
        <w:rPr>
          <w:rFonts w:ascii="Cambria" w:hAnsi="Cambria"/>
          <w:sz w:val="20"/>
          <w:szCs w:val="20"/>
        </w:rPr>
        <w:t xml:space="preserve"> el marco de MSE completo desarrollado por el SCRS que se ha utilizado para poner a prueba los MP candidatos con el fin de demostrar las compensaciones de factores entre los objetivos de ordenación identificados por la Subcomisión 2 con respecto al estado del stock, la seguridad, la estabilidad y el rendimiento, y considerando el resultado de dichas pruebas, que también incluían el examen de los ciclos de ordenación de dos y tres años y el posible establecimiento de un umbral mínimo de cambio de TAC;</w:t>
      </w:r>
    </w:p>
    <w:p w14:paraId="33C91C44" w14:textId="77777777" w:rsidR="005D5654" w:rsidRPr="005D5654" w:rsidRDefault="005D5654" w:rsidP="007D0E69">
      <w:pPr>
        <w:tabs>
          <w:tab w:val="left" w:pos="426"/>
          <w:tab w:val="center" w:pos="4680"/>
          <w:tab w:val="left" w:pos="6430"/>
        </w:tabs>
        <w:jc w:val="both"/>
        <w:rPr>
          <w:rFonts w:ascii="Cambria" w:eastAsia="Cambria" w:hAnsi="Cambria" w:cs="Cambria"/>
          <w:i/>
          <w:sz w:val="20"/>
          <w:szCs w:val="20"/>
        </w:rPr>
      </w:pPr>
    </w:p>
    <w:p w14:paraId="454E326C" w14:textId="77777777" w:rsidR="005D5654" w:rsidRDefault="005D5654" w:rsidP="007D0E69">
      <w:pPr>
        <w:tabs>
          <w:tab w:val="left" w:pos="426"/>
          <w:tab w:val="center" w:pos="4680"/>
          <w:tab w:val="left" w:pos="6430"/>
        </w:tabs>
        <w:jc w:val="both"/>
        <w:rPr>
          <w:rFonts w:ascii="Cambria" w:hAnsi="Cambria"/>
          <w:sz w:val="20"/>
          <w:szCs w:val="20"/>
        </w:rPr>
      </w:pPr>
      <w:r w:rsidRPr="005D5654">
        <w:rPr>
          <w:rFonts w:ascii="Cambria" w:hAnsi="Cambria"/>
          <w:i/>
          <w:sz w:val="20"/>
          <w:szCs w:val="20"/>
        </w:rPr>
        <w:tab/>
      </w:r>
      <w:r w:rsidRPr="005D5654">
        <w:rPr>
          <w:rFonts w:ascii="Cambria" w:hAnsi="Cambria"/>
          <w:i/>
          <w:iCs/>
          <w:sz w:val="20"/>
          <w:szCs w:val="20"/>
        </w:rPr>
        <w:t xml:space="preserve">ACOGIENDO CON SATISFACCIÓN </w:t>
      </w:r>
      <w:r w:rsidRPr="005D5654">
        <w:rPr>
          <w:rFonts w:ascii="Cambria" w:hAnsi="Cambria"/>
          <w:sz w:val="20"/>
          <w:szCs w:val="20"/>
        </w:rPr>
        <w:t>la adopción de un MP en 2022 para establecer los TAC tanto para las zonas de ordenación del atún rojo del Atlántico este y Mediterráneo como del Atlántico occidental, a partir de 2023;</w:t>
      </w:r>
    </w:p>
    <w:p w14:paraId="68904A6A" w14:textId="77777777" w:rsidR="007D0E69" w:rsidRPr="005D5654" w:rsidRDefault="007D0E69" w:rsidP="007D0E69">
      <w:pPr>
        <w:tabs>
          <w:tab w:val="left" w:pos="426"/>
          <w:tab w:val="center" w:pos="4680"/>
          <w:tab w:val="left" w:pos="6430"/>
        </w:tabs>
        <w:jc w:val="both"/>
        <w:rPr>
          <w:rFonts w:ascii="Cambria" w:eastAsia="Cambria" w:hAnsi="Cambria" w:cs="Cambria"/>
          <w:sz w:val="20"/>
          <w:szCs w:val="20"/>
        </w:rPr>
      </w:pPr>
    </w:p>
    <w:p w14:paraId="63F12B47" w14:textId="77777777" w:rsidR="005D5654" w:rsidRPr="005D5654" w:rsidRDefault="005D5654" w:rsidP="007D0E69">
      <w:pPr>
        <w:tabs>
          <w:tab w:val="left" w:pos="426"/>
          <w:tab w:val="center" w:pos="4680"/>
          <w:tab w:val="left" w:pos="6430"/>
        </w:tabs>
        <w:jc w:val="both"/>
        <w:rPr>
          <w:rFonts w:ascii="Cambria" w:hAnsi="Cambria"/>
          <w:i/>
          <w:color w:val="231F20"/>
          <w:sz w:val="20"/>
          <w:szCs w:val="20"/>
        </w:rPr>
      </w:pPr>
      <w:r w:rsidRPr="005D5654">
        <w:rPr>
          <w:rFonts w:ascii="Cambria" w:hAnsi="Cambria"/>
          <w:i/>
          <w:color w:val="231F20"/>
          <w:sz w:val="20"/>
          <w:szCs w:val="20"/>
        </w:rPr>
        <w:tab/>
      </w:r>
      <w:r w:rsidRPr="005D5654">
        <w:rPr>
          <w:rFonts w:ascii="Cambria" w:hAnsi="Cambria"/>
          <w:i/>
          <w:color w:val="231F20"/>
          <w:sz w:val="20"/>
          <w:szCs w:val="20"/>
        </w:rPr>
        <w:tab/>
      </w:r>
      <w:r w:rsidRPr="005D5654">
        <w:rPr>
          <w:rFonts w:ascii="Cambria" w:hAnsi="Cambria"/>
          <w:i/>
          <w:iCs/>
          <w:color w:val="231F20"/>
          <w:sz w:val="20"/>
          <w:szCs w:val="20"/>
        </w:rPr>
        <w:t>RECONOCIENDO</w:t>
      </w:r>
      <w:r w:rsidRPr="005D5654">
        <w:rPr>
          <w:rFonts w:ascii="Cambria" w:hAnsi="Cambria"/>
          <w:color w:val="231F20"/>
          <w:sz w:val="20"/>
          <w:szCs w:val="20"/>
        </w:rPr>
        <w:t xml:space="preserve"> que un elemento importante del MP es su revisión y que el SCRS ha recomendado que la primera revisión se realice antes de 2028 para garantizar que el MP tiene el desempeño previsto y para determinar si existen condiciones que justifiquen: el recondicionamiento de los modelos operativos de la MSE; la recalibración del MP existente; y/o la consideración de procedimientos de ordenación candidatos alternativos o de una nueva MSE completa; </w:t>
      </w:r>
      <w:r w:rsidRPr="005D5654">
        <w:rPr>
          <w:rFonts w:ascii="Cambria" w:hAnsi="Cambria"/>
          <w:i/>
          <w:color w:val="231F20"/>
          <w:sz w:val="20"/>
          <w:szCs w:val="20"/>
        </w:rPr>
        <w:tab/>
      </w:r>
    </w:p>
    <w:p w14:paraId="36163F06" w14:textId="77777777" w:rsidR="005D5654" w:rsidRPr="005D5654" w:rsidRDefault="005D5654" w:rsidP="007D0E69">
      <w:pPr>
        <w:tabs>
          <w:tab w:val="left" w:pos="426"/>
          <w:tab w:val="center" w:pos="4680"/>
          <w:tab w:val="left" w:pos="6430"/>
        </w:tabs>
        <w:ind w:firstLine="340"/>
        <w:jc w:val="both"/>
        <w:rPr>
          <w:rFonts w:ascii="Cambria" w:hAnsi="Cambria"/>
          <w:i/>
          <w:color w:val="231F20"/>
          <w:sz w:val="20"/>
          <w:szCs w:val="20"/>
        </w:rPr>
      </w:pPr>
    </w:p>
    <w:p w14:paraId="0E7CA92B" w14:textId="77777777" w:rsidR="005D5654" w:rsidRDefault="005D5654" w:rsidP="007D0E69">
      <w:pPr>
        <w:tabs>
          <w:tab w:val="left" w:pos="426"/>
          <w:tab w:val="center" w:pos="4680"/>
          <w:tab w:val="left" w:pos="6430"/>
        </w:tabs>
        <w:ind w:firstLine="340"/>
        <w:jc w:val="both"/>
        <w:rPr>
          <w:rFonts w:ascii="Cambria" w:hAnsi="Cambria"/>
          <w:color w:val="231F20"/>
          <w:sz w:val="20"/>
          <w:szCs w:val="20"/>
        </w:rPr>
      </w:pPr>
      <w:r w:rsidRPr="005D5654">
        <w:rPr>
          <w:rFonts w:ascii="Cambria" w:hAnsi="Cambria"/>
          <w:sz w:val="20"/>
          <w:szCs w:val="20"/>
        </w:rPr>
        <w:br w:type="page"/>
      </w:r>
      <w:r w:rsidRPr="005D5654">
        <w:rPr>
          <w:rFonts w:ascii="Cambria" w:hAnsi="Cambria"/>
          <w:i/>
          <w:iCs/>
          <w:color w:val="231F20"/>
          <w:sz w:val="20"/>
          <w:szCs w:val="20"/>
        </w:rPr>
        <w:t>DESTACANDO</w:t>
      </w:r>
      <w:r w:rsidRPr="005D5654">
        <w:rPr>
          <w:rFonts w:ascii="Cambria" w:hAnsi="Cambria"/>
          <w:color w:val="231F20"/>
          <w:sz w:val="20"/>
          <w:szCs w:val="20"/>
        </w:rPr>
        <w:t xml:space="preserve"> el valor de la investigación continuada sobre el stock, lo que incluye el aumento del muestreo biológico y de las pesquerías, para proporcionar apoyo adicional para abordar algunas incertidumbres clave en la evaluación de stock y en la MSE, incluyendo la estructura de tallas de las capturas y liberaciones, las muestras genéticas para la identificación del stock y los estudios genéticos de marcado-recaptura, la estimación de la edad y el crecimiento, y el marcado electrónico para el seguimiento de las migraciones del stock y las tasas de mezcla;</w:t>
      </w:r>
    </w:p>
    <w:p w14:paraId="13E4CE61" w14:textId="77777777" w:rsidR="007D0E69" w:rsidRPr="005D5654" w:rsidRDefault="007D0E69" w:rsidP="007D0E69">
      <w:pPr>
        <w:tabs>
          <w:tab w:val="left" w:pos="426"/>
          <w:tab w:val="center" w:pos="4680"/>
          <w:tab w:val="left" w:pos="6430"/>
        </w:tabs>
        <w:ind w:firstLine="340"/>
        <w:jc w:val="both"/>
        <w:rPr>
          <w:rFonts w:ascii="Cambria" w:eastAsia="Cambria" w:hAnsi="Cambria" w:cs="Cambria"/>
          <w:color w:val="231F20"/>
          <w:sz w:val="20"/>
          <w:szCs w:val="20"/>
        </w:rPr>
      </w:pPr>
    </w:p>
    <w:p w14:paraId="5F727DE2" w14:textId="77777777" w:rsidR="005D5654" w:rsidRDefault="005D5654" w:rsidP="007D0E69">
      <w:pPr>
        <w:tabs>
          <w:tab w:val="left" w:pos="426"/>
          <w:tab w:val="center" w:pos="4680"/>
          <w:tab w:val="left" w:pos="6430"/>
        </w:tabs>
        <w:jc w:val="both"/>
        <w:rPr>
          <w:rFonts w:ascii="Cambria" w:hAnsi="Cambria"/>
          <w:color w:val="231F20"/>
          <w:sz w:val="20"/>
          <w:szCs w:val="20"/>
        </w:rPr>
      </w:pPr>
      <w:r w:rsidRPr="005D5654">
        <w:rPr>
          <w:rFonts w:ascii="Cambria" w:hAnsi="Cambria"/>
          <w:i/>
          <w:color w:val="231F20"/>
          <w:sz w:val="20"/>
          <w:szCs w:val="20"/>
        </w:rPr>
        <w:tab/>
      </w:r>
      <w:r w:rsidRPr="005D5654">
        <w:rPr>
          <w:rFonts w:ascii="Cambria" w:hAnsi="Cambria"/>
          <w:i/>
          <w:color w:val="231F20"/>
          <w:sz w:val="20"/>
          <w:szCs w:val="20"/>
        </w:rPr>
        <w:tab/>
      </w:r>
      <w:r w:rsidRPr="005D5654">
        <w:rPr>
          <w:rFonts w:ascii="Cambria" w:hAnsi="Cambria"/>
          <w:i/>
          <w:iCs/>
          <w:color w:val="231F20"/>
          <w:sz w:val="20"/>
          <w:szCs w:val="20"/>
        </w:rPr>
        <w:t xml:space="preserve">RECONOCIENDO </w:t>
      </w:r>
      <w:r w:rsidRPr="005D5654">
        <w:rPr>
          <w:rFonts w:ascii="Cambria" w:hAnsi="Cambria"/>
          <w:color w:val="231F20"/>
          <w:sz w:val="20"/>
          <w:szCs w:val="20"/>
        </w:rPr>
        <w:t xml:space="preserve">la </w:t>
      </w:r>
      <w:r w:rsidRPr="005D5654">
        <w:rPr>
          <w:rFonts w:ascii="Cambria" w:hAnsi="Cambria"/>
          <w:i/>
          <w:iCs/>
          <w:color w:val="231F20"/>
          <w:sz w:val="20"/>
          <w:szCs w:val="20"/>
        </w:rPr>
        <w:t>Resolución de ICCAT sobre los criterios de ICCAT para la asignación de posibilidades de pesca</w:t>
      </w:r>
      <w:r w:rsidRPr="005D5654">
        <w:rPr>
          <w:rFonts w:ascii="Cambria" w:hAnsi="Cambria"/>
          <w:color w:val="231F20"/>
          <w:sz w:val="20"/>
          <w:szCs w:val="20"/>
        </w:rPr>
        <w:t xml:space="preserve"> (Res. 15-13);</w:t>
      </w:r>
    </w:p>
    <w:p w14:paraId="3C7A161A" w14:textId="77777777" w:rsidR="007D0E69" w:rsidRPr="005D5654" w:rsidRDefault="007D0E69" w:rsidP="007D0E69">
      <w:pPr>
        <w:tabs>
          <w:tab w:val="left" w:pos="426"/>
          <w:tab w:val="center" w:pos="4680"/>
          <w:tab w:val="left" w:pos="6430"/>
        </w:tabs>
        <w:jc w:val="both"/>
        <w:rPr>
          <w:rFonts w:ascii="Cambria" w:eastAsia="Cambria" w:hAnsi="Cambria" w:cs="Cambria"/>
          <w:color w:val="231F20"/>
          <w:sz w:val="20"/>
          <w:szCs w:val="20"/>
        </w:rPr>
      </w:pPr>
    </w:p>
    <w:p w14:paraId="465427D5" w14:textId="516106E5" w:rsidR="005D5654" w:rsidRDefault="005D5654" w:rsidP="007D0E69">
      <w:pPr>
        <w:tabs>
          <w:tab w:val="left" w:pos="426"/>
          <w:tab w:val="center" w:pos="4680"/>
          <w:tab w:val="left" w:pos="6430"/>
        </w:tabs>
        <w:jc w:val="both"/>
        <w:rPr>
          <w:rFonts w:ascii="Cambria" w:hAnsi="Cambria"/>
          <w:color w:val="231F20"/>
          <w:sz w:val="20"/>
          <w:szCs w:val="20"/>
        </w:rPr>
      </w:pPr>
      <w:r w:rsidRPr="005D5654">
        <w:rPr>
          <w:rFonts w:ascii="Cambria" w:hAnsi="Cambria"/>
          <w:i/>
          <w:color w:val="231F20"/>
          <w:sz w:val="20"/>
          <w:szCs w:val="20"/>
        </w:rPr>
        <w:tab/>
        <w:t>RENOVANDO</w:t>
      </w:r>
      <w:r w:rsidRPr="005D5654">
        <w:rPr>
          <w:rFonts w:ascii="Cambria" w:hAnsi="Cambria"/>
          <w:color w:val="231F20"/>
          <w:sz w:val="20"/>
          <w:szCs w:val="20"/>
        </w:rPr>
        <w:t xml:space="preserve"> el compromiso con la plena implementación de las obligaciones de comunicación existentes, incluyendo las establecidas en la </w:t>
      </w:r>
      <w:r w:rsidRPr="005D5654">
        <w:rPr>
          <w:rFonts w:ascii="Cambria" w:hAnsi="Cambria"/>
          <w:i/>
          <w:iCs/>
          <w:color w:val="231F20"/>
          <w:sz w:val="20"/>
          <w:szCs w:val="20"/>
        </w:rPr>
        <w:t>Recomendación de ICCAT sobre el registro de capturas realizadas por barcos en la zona del Convenio ICCAT</w:t>
      </w:r>
      <w:r w:rsidRPr="005D5654">
        <w:rPr>
          <w:rFonts w:ascii="Cambria" w:hAnsi="Cambria"/>
          <w:color w:val="231F20"/>
          <w:sz w:val="20"/>
          <w:szCs w:val="20"/>
        </w:rPr>
        <w:t xml:space="preserve"> (Rec. 03-13);</w:t>
      </w:r>
    </w:p>
    <w:p w14:paraId="75F67BCC" w14:textId="77777777" w:rsidR="007D0E69" w:rsidRDefault="007D0E69" w:rsidP="007D0E69">
      <w:pPr>
        <w:tabs>
          <w:tab w:val="left" w:pos="426"/>
          <w:tab w:val="center" w:pos="4680"/>
          <w:tab w:val="left" w:pos="6430"/>
        </w:tabs>
        <w:jc w:val="both"/>
        <w:rPr>
          <w:rFonts w:ascii="Cambria" w:hAnsi="Cambria"/>
          <w:color w:val="231F20"/>
          <w:sz w:val="20"/>
          <w:szCs w:val="20"/>
        </w:rPr>
      </w:pPr>
    </w:p>
    <w:p w14:paraId="700783BE" w14:textId="6756E58D" w:rsidR="00E30020" w:rsidRPr="005F4C62" w:rsidRDefault="00E30020" w:rsidP="007D0E69">
      <w:pPr>
        <w:tabs>
          <w:tab w:val="left" w:pos="426"/>
          <w:tab w:val="center" w:pos="4680"/>
          <w:tab w:val="left" w:pos="6430"/>
        </w:tabs>
        <w:jc w:val="both"/>
        <w:rPr>
          <w:rFonts w:ascii="Cambria" w:hAnsi="Cambria"/>
          <w:color w:val="231F20"/>
          <w:sz w:val="20"/>
          <w:u w:val="single"/>
        </w:rPr>
      </w:pPr>
      <w:r w:rsidRPr="00CE2296">
        <w:rPr>
          <w:rFonts w:ascii="Cambria" w:hAnsi="Cambria"/>
          <w:color w:val="231F20"/>
          <w:sz w:val="20"/>
        </w:rPr>
        <w:tab/>
      </w:r>
      <w:r w:rsidRPr="005F4C62">
        <w:rPr>
          <w:rFonts w:ascii="Cambria" w:hAnsi="Cambria"/>
          <w:i/>
          <w:iCs/>
          <w:color w:val="231F20"/>
          <w:sz w:val="20"/>
          <w:u w:val="single"/>
        </w:rPr>
        <w:t>CONSCIENTE</w:t>
      </w:r>
      <w:r w:rsidRPr="005F4C62">
        <w:rPr>
          <w:rFonts w:ascii="Cambria" w:hAnsi="Cambria"/>
          <w:color w:val="231F20"/>
          <w:sz w:val="20"/>
          <w:u w:val="single"/>
        </w:rPr>
        <w:t xml:space="preserve"> de que con la adopción del procedimiento de ordenación para el atún rojo, establecido por la Rec. 22-09 de ICCAT, aplicable tanto a los stocks orientales como a los occidentales, que incluye un conjunto común de objetivos de ordenación y la interdependencia del establecimiento de</w:t>
      </w:r>
      <w:r w:rsidR="002E746C" w:rsidRPr="005F4C62">
        <w:rPr>
          <w:rFonts w:ascii="Cambria" w:hAnsi="Cambria"/>
          <w:color w:val="231F20"/>
          <w:sz w:val="20"/>
          <w:u w:val="single"/>
        </w:rPr>
        <w:t>l</w:t>
      </w:r>
      <w:r w:rsidRPr="005F4C62">
        <w:rPr>
          <w:rFonts w:ascii="Cambria" w:hAnsi="Cambria"/>
          <w:color w:val="231F20"/>
          <w:sz w:val="20"/>
          <w:u w:val="single"/>
        </w:rPr>
        <w:t xml:space="preserve"> total admisible de captura (TAC) para cada zona, es necesario que exista igualdad de condiciones en las actividades de ordenación, control e inspección llevadas a cabo en el contexto de la ordenación pesquera de cada stock;</w:t>
      </w:r>
    </w:p>
    <w:p w14:paraId="6B560356" w14:textId="77777777" w:rsidR="00E30020" w:rsidRPr="005F4C62" w:rsidRDefault="00E30020" w:rsidP="007D0E69">
      <w:pPr>
        <w:tabs>
          <w:tab w:val="left" w:pos="426"/>
          <w:tab w:val="center" w:pos="4680"/>
          <w:tab w:val="left" w:pos="6430"/>
        </w:tabs>
        <w:jc w:val="both"/>
        <w:rPr>
          <w:rFonts w:ascii="Cambria" w:hAnsi="Cambria"/>
          <w:color w:val="231F20"/>
          <w:sz w:val="20"/>
          <w:u w:val="single"/>
        </w:rPr>
      </w:pPr>
    </w:p>
    <w:p w14:paraId="5DCAE90F" w14:textId="77777777" w:rsidR="00E30020" w:rsidRPr="005F4C62" w:rsidRDefault="00E30020" w:rsidP="007D0E69">
      <w:pPr>
        <w:tabs>
          <w:tab w:val="left" w:pos="426"/>
          <w:tab w:val="center" w:pos="4680"/>
          <w:tab w:val="left" w:pos="6430"/>
        </w:tabs>
        <w:jc w:val="both"/>
        <w:rPr>
          <w:rFonts w:ascii="Cambria" w:hAnsi="Cambria"/>
          <w:color w:val="231F20"/>
          <w:sz w:val="20"/>
          <w:u w:val="single"/>
        </w:rPr>
      </w:pPr>
      <w:r w:rsidRPr="005F4C62">
        <w:rPr>
          <w:rFonts w:ascii="Cambria" w:hAnsi="Cambria"/>
          <w:i/>
          <w:color w:val="231F20"/>
          <w:sz w:val="20"/>
        </w:rPr>
        <w:tab/>
      </w:r>
      <w:r w:rsidRPr="005F4C62">
        <w:rPr>
          <w:rFonts w:ascii="Cambria" w:hAnsi="Cambria"/>
          <w:i/>
          <w:iCs/>
          <w:color w:val="231F20"/>
          <w:sz w:val="20"/>
          <w:u w:val="single"/>
        </w:rPr>
        <w:t>RECONOCIENDO</w:t>
      </w:r>
      <w:r w:rsidRPr="005F4C62">
        <w:rPr>
          <w:rFonts w:ascii="Cambria" w:hAnsi="Cambria"/>
          <w:color w:val="231F20"/>
          <w:sz w:val="20"/>
          <w:u w:val="single"/>
        </w:rPr>
        <w:t xml:space="preserve"> que los planes de pesca para el stock oriental por sí solos no permiten un conocimiento exhaustivo de las pesquerías de atún rojo, las temporadas de pesca, las flotas operativas o los planes de ordenación, control e inspección implementados por cada CPC y que, por lo tanto, se necesita un plan anual similar también para el stock occidental;</w:t>
      </w:r>
    </w:p>
    <w:p w14:paraId="4C5BD72A" w14:textId="77777777" w:rsidR="00E30020" w:rsidRPr="005F4C62" w:rsidRDefault="00E30020" w:rsidP="007D0E69">
      <w:pPr>
        <w:tabs>
          <w:tab w:val="left" w:pos="426"/>
          <w:tab w:val="center" w:pos="4680"/>
          <w:tab w:val="left" w:pos="6430"/>
        </w:tabs>
        <w:jc w:val="both"/>
        <w:rPr>
          <w:rFonts w:ascii="Cambria" w:hAnsi="Cambria"/>
          <w:color w:val="231F20"/>
          <w:sz w:val="20"/>
          <w:u w:val="single"/>
        </w:rPr>
      </w:pPr>
    </w:p>
    <w:p w14:paraId="7A5A439D" w14:textId="77777777" w:rsidR="00E30020" w:rsidRPr="005F4C62" w:rsidRDefault="00E30020" w:rsidP="007D0E69">
      <w:pPr>
        <w:tabs>
          <w:tab w:val="left" w:pos="426"/>
          <w:tab w:val="center" w:pos="4680"/>
          <w:tab w:val="left" w:pos="6430"/>
        </w:tabs>
        <w:jc w:val="both"/>
        <w:rPr>
          <w:rFonts w:ascii="Cambria" w:hAnsi="Cambria"/>
          <w:color w:val="231F20"/>
          <w:sz w:val="20"/>
          <w:u w:val="single"/>
        </w:rPr>
      </w:pPr>
      <w:r w:rsidRPr="005F4C62">
        <w:rPr>
          <w:rFonts w:ascii="Cambria" w:hAnsi="Cambria"/>
          <w:i/>
          <w:color w:val="231F20"/>
          <w:sz w:val="20"/>
        </w:rPr>
        <w:tab/>
      </w:r>
      <w:r w:rsidRPr="005F4C62">
        <w:rPr>
          <w:rFonts w:ascii="Cambria" w:hAnsi="Cambria"/>
          <w:i/>
          <w:iCs/>
          <w:color w:val="231F20"/>
          <w:sz w:val="20"/>
          <w:u w:val="single"/>
        </w:rPr>
        <w:t>CONSIDERANDO</w:t>
      </w:r>
      <w:r w:rsidRPr="005F4C62">
        <w:rPr>
          <w:rFonts w:ascii="Cambria" w:hAnsi="Cambria"/>
          <w:color w:val="231F20"/>
          <w:sz w:val="20"/>
          <w:u w:val="single"/>
        </w:rPr>
        <w:t xml:space="preserve"> los nuevos retos que plantea la acuicultura de atún rojo a la hora de garantizar un control, seguimiento y certificación exhaustivos de las capturas de atún rojo, tal y como se presentaron a la Comisión de ICCAT en su reunión anual de 2022 y se detallarán en reuniones posteriores en 2023 y 2024, que requerirán una mayor exhaustividad de las medidas de seguimiento y control establecidas para permitir una distinción completa del origen de los peces.</w:t>
      </w:r>
    </w:p>
    <w:p w14:paraId="73E0EAAC" w14:textId="77777777" w:rsidR="00E30020" w:rsidRPr="005F4C62" w:rsidRDefault="00E30020" w:rsidP="007D0E69">
      <w:pPr>
        <w:tabs>
          <w:tab w:val="left" w:pos="426"/>
          <w:tab w:val="center" w:pos="4680"/>
          <w:tab w:val="left" w:pos="6430"/>
        </w:tabs>
        <w:jc w:val="both"/>
        <w:rPr>
          <w:rFonts w:ascii="Cambria" w:hAnsi="Cambria"/>
          <w:color w:val="231F20"/>
          <w:sz w:val="20"/>
          <w:u w:val="single"/>
        </w:rPr>
      </w:pPr>
    </w:p>
    <w:p w14:paraId="1697C671" w14:textId="6D65938A" w:rsidR="00E30020" w:rsidRPr="00CE2296" w:rsidRDefault="00E30020" w:rsidP="007D0E69">
      <w:pPr>
        <w:tabs>
          <w:tab w:val="left" w:pos="426"/>
          <w:tab w:val="center" w:pos="4680"/>
          <w:tab w:val="left" w:pos="6430"/>
        </w:tabs>
        <w:jc w:val="both"/>
        <w:rPr>
          <w:rFonts w:ascii="Cambria" w:hAnsi="Cambria"/>
          <w:color w:val="231F20"/>
          <w:sz w:val="20"/>
          <w:u w:val="single"/>
        </w:rPr>
      </w:pPr>
      <w:r w:rsidRPr="005F4C62">
        <w:rPr>
          <w:rFonts w:ascii="Cambria" w:hAnsi="Cambria"/>
          <w:i/>
          <w:color w:val="231F20"/>
          <w:sz w:val="20"/>
        </w:rPr>
        <w:tab/>
      </w:r>
      <w:r w:rsidRPr="005F4C62">
        <w:rPr>
          <w:rFonts w:ascii="Cambria" w:hAnsi="Cambria"/>
          <w:i/>
          <w:iCs/>
          <w:color w:val="231F20"/>
          <w:sz w:val="20"/>
          <w:u w:val="single"/>
        </w:rPr>
        <w:t>TENIENDO EN CUENTA ADEMÁS</w:t>
      </w:r>
      <w:r w:rsidRPr="005F4C62">
        <w:rPr>
          <w:rFonts w:ascii="Cambria" w:hAnsi="Cambria"/>
          <w:color w:val="231F20"/>
          <w:sz w:val="20"/>
          <w:u w:val="single"/>
        </w:rPr>
        <w:t xml:space="preserve"> el amplio conjunto de medidas adicionales implementadas por la Recomendación 2</w:t>
      </w:r>
      <w:r w:rsidR="00DA6919">
        <w:rPr>
          <w:rFonts w:ascii="Cambria" w:hAnsi="Cambria"/>
          <w:color w:val="231F20"/>
          <w:sz w:val="20"/>
          <w:u w:val="single"/>
        </w:rPr>
        <w:t>4-05</w:t>
      </w:r>
      <w:r w:rsidRPr="005F4C62">
        <w:rPr>
          <w:rFonts w:ascii="Cambria" w:hAnsi="Cambria"/>
          <w:color w:val="231F20"/>
          <w:sz w:val="20"/>
          <w:u w:val="single"/>
        </w:rPr>
        <w:t xml:space="preserve"> de ICCAT para el stock de atún rojo del este, que</w:t>
      </w:r>
      <w:r w:rsidR="00B638AC">
        <w:rPr>
          <w:rFonts w:ascii="Cambria" w:hAnsi="Cambria"/>
          <w:color w:val="231F20"/>
          <w:sz w:val="20"/>
          <w:u w:val="single"/>
        </w:rPr>
        <w:t>,</w:t>
      </w:r>
      <w:r w:rsidRPr="005F4C62">
        <w:rPr>
          <w:rFonts w:ascii="Cambria" w:hAnsi="Cambria"/>
          <w:color w:val="231F20"/>
          <w:sz w:val="20"/>
          <w:u w:val="single"/>
        </w:rPr>
        <w:t xml:space="preserve"> en aras de la creación de unas condiciones equitativas, deberían incorporarse a esta Recomendació</w:t>
      </w:r>
      <w:r w:rsidRPr="002E5E77">
        <w:rPr>
          <w:rFonts w:ascii="Cambria" w:hAnsi="Cambria"/>
          <w:color w:val="231F20"/>
          <w:sz w:val="20"/>
          <w:u w:val="single"/>
        </w:rPr>
        <w:t>n</w:t>
      </w:r>
      <w:r w:rsidR="00B638AC">
        <w:rPr>
          <w:rFonts w:ascii="Cambria" w:hAnsi="Cambria"/>
          <w:color w:val="231F20"/>
          <w:sz w:val="20"/>
          <w:u w:val="single"/>
        </w:rPr>
        <w:t>. L</w:t>
      </w:r>
      <w:r w:rsidRPr="002E5E77">
        <w:rPr>
          <w:rFonts w:ascii="Cambria" w:hAnsi="Cambria"/>
          <w:color w:val="231F20"/>
          <w:sz w:val="20"/>
          <w:u w:val="single"/>
        </w:rPr>
        <w:t>a incorporación se hará progresivamente, empezando por un conjunto inicial de medidas de ordenación y medidas clave de seguimiento</w:t>
      </w:r>
      <w:r w:rsidR="007D0E69" w:rsidRPr="002E5E77">
        <w:rPr>
          <w:rFonts w:ascii="Cambria" w:hAnsi="Cambria"/>
          <w:color w:val="231F20"/>
          <w:sz w:val="20"/>
          <w:u w:val="single"/>
        </w:rPr>
        <w:t>;</w:t>
      </w:r>
    </w:p>
    <w:p w14:paraId="52A7C0AF" w14:textId="77777777" w:rsidR="007D0E69" w:rsidRDefault="007D0E69" w:rsidP="007D0E69">
      <w:pPr>
        <w:ind w:left="2092" w:right="1457" w:hanging="455"/>
        <w:jc w:val="center"/>
        <w:rPr>
          <w:rFonts w:ascii="Cambria" w:hAnsi="Cambria"/>
          <w:color w:val="231F20"/>
          <w:sz w:val="20"/>
          <w:szCs w:val="20"/>
        </w:rPr>
      </w:pPr>
    </w:p>
    <w:p w14:paraId="25890354" w14:textId="50FB458B" w:rsidR="005D5654" w:rsidRPr="005D5654" w:rsidRDefault="005D5654" w:rsidP="007D0E69">
      <w:pPr>
        <w:ind w:left="2092" w:right="1457" w:hanging="455"/>
        <w:jc w:val="center"/>
        <w:rPr>
          <w:rFonts w:ascii="Cambria" w:hAnsi="Cambria"/>
          <w:color w:val="231F20"/>
          <w:sz w:val="20"/>
          <w:szCs w:val="20"/>
        </w:rPr>
      </w:pPr>
      <w:r w:rsidRPr="005D5654">
        <w:rPr>
          <w:rFonts w:ascii="Cambria" w:hAnsi="Cambria"/>
          <w:color w:val="231F20"/>
          <w:sz w:val="20"/>
          <w:szCs w:val="20"/>
        </w:rPr>
        <w:t xml:space="preserve">LA COMISIÓN INTERNACIONAL PARA LA CONSERVACIÓN </w:t>
      </w:r>
    </w:p>
    <w:p w14:paraId="1451650A" w14:textId="77777777" w:rsidR="005D5654" w:rsidRPr="005D5654" w:rsidRDefault="005D5654" w:rsidP="007D0E69">
      <w:pPr>
        <w:ind w:left="2092" w:right="1457" w:hanging="455"/>
        <w:jc w:val="center"/>
        <w:rPr>
          <w:rFonts w:ascii="Cambria" w:hAnsi="Cambria"/>
          <w:color w:val="231F20"/>
          <w:sz w:val="20"/>
          <w:szCs w:val="20"/>
        </w:rPr>
      </w:pPr>
      <w:r w:rsidRPr="005D5654">
        <w:rPr>
          <w:rFonts w:ascii="Cambria" w:hAnsi="Cambria"/>
          <w:color w:val="231F20"/>
          <w:sz w:val="20"/>
          <w:szCs w:val="20"/>
        </w:rPr>
        <w:t>DEL ATÚN ATLÁNTICO (ICCAT) RECOMIENDA LO SIGUIENTE:</w:t>
      </w:r>
    </w:p>
    <w:p w14:paraId="119DFAF7" w14:textId="77777777" w:rsidR="005D5654" w:rsidRPr="005D5654" w:rsidRDefault="005D5654" w:rsidP="007D0E69">
      <w:pPr>
        <w:rPr>
          <w:rFonts w:ascii="Cambria" w:eastAsia="Cambria" w:hAnsi="Cambria" w:cs="Cambria"/>
          <w:sz w:val="20"/>
          <w:szCs w:val="20"/>
        </w:rPr>
      </w:pPr>
    </w:p>
    <w:p w14:paraId="74B19065" w14:textId="67BA5742" w:rsidR="005D5654" w:rsidRPr="005F4C62" w:rsidRDefault="005D5654" w:rsidP="007D0E69">
      <w:pPr>
        <w:widowControl/>
        <w:numPr>
          <w:ilvl w:val="0"/>
          <w:numId w:val="5"/>
        </w:numPr>
        <w:ind w:left="426" w:hanging="426"/>
        <w:jc w:val="both"/>
        <w:rPr>
          <w:rFonts w:ascii="Cambria" w:eastAsia="Cambria" w:hAnsi="Cambria" w:cs="Cambria"/>
          <w:strike/>
          <w:sz w:val="20"/>
          <w:szCs w:val="20"/>
        </w:rPr>
      </w:pPr>
      <w:r w:rsidRPr="005D5654">
        <w:rPr>
          <w:rFonts w:ascii="Cambria" w:hAnsi="Cambria"/>
          <w:color w:val="231F20"/>
          <w:sz w:val="20"/>
          <w:szCs w:val="20"/>
        </w:rPr>
        <w:t xml:space="preserve">Las Partes contratantes y las Partes, Entidades o Entidades pesqueras no contratantes colaboradoras (CPC) cuyos buques hayan estado pescando activamente atún rojo en el Atlántico occidental implementarán el siguiente plan de conservación y ordenación a partir de 2023, lo que incluye el establecimiento de TAC basados en la aplicación del procedimiento de ordenación (MP) para el atún rojo adoptado en la </w:t>
      </w:r>
      <w:r w:rsidRPr="005D5654">
        <w:rPr>
          <w:rFonts w:ascii="Cambria" w:hAnsi="Cambria"/>
          <w:i/>
          <w:iCs/>
          <w:color w:val="231F20"/>
          <w:sz w:val="20"/>
          <w:szCs w:val="20"/>
        </w:rPr>
        <w:t>Recomendación de ICCAT para establecer un procedimiento de ordenación para el atún rojo del Atlántico que se utilizará para las zonas de ordenación del Atlántico occidental y del Atlántico oriental y Mediterráneo</w:t>
      </w:r>
      <w:r w:rsidRPr="005D5654">
        <w:rPr>
          <w:rFonts w:ascii="Cambria" w:hAnsi="Cambria"/>
          <w:color w:val="231F20"/>
          <w:sz w:val="20"/>
          <w:szCs w:val="20"/>
        </w:rPr>
        <w:t xml:space="preserve"> (Rec. 22-</w:t>
      </w:r>
      <w:r w:rsidRPr="005F4C62">
        <w:rPr>
          <w:rFonts w:ascii="Cambria" w:hAnsi="Cambria"/>
          <w:color w:val="231F20"/>
          <w:sz w:val="20"/>
          <w:szCs w:val="20"/>
        </w:rPr>
        <w:t>09</w:t>
      </w:r>
      <w:r w:rsidR="00F95C82" w:rsidRPr="005F4C62">
        <w:rPr>
          <w:rFonts w:ascii="Cambria" w:hAnsi="Cambria"/>
          <w:color w:val="231F20"/>
          <w:sz w:val="20"/>
          <w:szCs w:val="20"/>
          <w:vertAlign w:val="superscript"/>
        </w:rPr>
        <w:footnoteReference w:id="1"/>
      </w:r>
      <w:r w:rsidRPr="005F4C62">
        <w:rPr>
          <w:rFonts w:ascii="Cambria" w:hAnsi="Cambria"/>
          <w:color w:val="231F20"/>
          <w:sz w:val="20"/>
          <w:szCs w:val="20"/>
        </w:rPr>
        <w:t xml:space="preserve">). </w:t>
      </w:r>
    </w:p>
    <w:p w14:paraId="5AFD7B82" w14:textId="77777777" w:rsidR="005D5654" w:rsidRPr="005D5654" w:rsidRDefault="005D5654" w:rsidP="007D0E69">
      <w:pPr>
        <w:tabs>
          <w:tab w:val="left" w:pos="535"/>
        </w:tabs>
        <w:jc w:val="both"/>
        <w:rPr>
          <w:rFonts w:ascii="Cambria" w:eastAsia="Cambria" w:hAnsi="Cambria" w:cs="Cambria"/>
          <w:strike/>
          <w:sz w:val="20"/>
          <w:szCs w:val="20"/>
        </w:rPr>
      </w:pPr>
    </w:p>
    <w:p w14:paraId="49781E24" w14:textId="77777777" w:rsidR="005D5654" w:rsidRPr="005D5654" w:rsidRDefault="005D5654" w:rsidP="007D0E69">
      <w:pPr>
        <w:outlineLvl w:val="0"/>
        <w:rPr>
          <w:rFonts w:ascii="Cambria" w:eastAsia="Cambria" w:hAnsi="Cambria" w:cs="Cambria"/>
          <w:iCs/>
          <w:sz w:val="20"/>
          <w:szCs w:val="20"/>
        </w:rPr>
      </w:pPr>
      <w:r w:rsidRPr="005D5654">
        <w:rPr>
          <w:rFonts w:ascii="Cambria" w:eastAsia="Times New Roman" w:hAnsi="Cambria" w:cs="Times New Roman"/>
          <w:b/>
          <w:iCs/>
          <w:color w:val="231F20"/>
          <w:sz w:val="20"/>
          <w:szCs w:val="20"/>
        </w:rPr>
        <w:t>Límites de capacidad y esfuerzo</w:t>
      </w:r>
    </w:p>
    <w:p w14:paraId="202924D8" w14:textId="77777777" w:rsidR="005D5654" w:rsidRPr="005D5654" w:rsidRDefault="005D5654" w:rsidP="007D0E69">
      <w:pPr>
        <w:rPr>
          <w:rFonts w:ascii="Cambria" w:eastAsia="Cambria" w:hAnsi="Cambria" w:cs="Cambria"/>
          <w:b/>
          <w:i/>
          <w:sz w:val="20"/>
          <w:szCs w:val="20"/>
        </w:rPr>
      </w:pPr>
    </w:p>
    <w:p w14:paraId="65773D2C" w14:textId="77777777" w:rsidR="005D5654" w:rsidRPr="005D5654" w:rsidRDefault="005D5654" w:rsidP="007D0E69">
      <w:pPr>
        <w:widowControl/>
        <w:numPr>
          <w:ilvl w:val="0"/>
          <w:numId w:val="5"/>
        </w:numPr>
        <w:ind w:left="425" w:hanging="425"/>
        <w:jc w:val="both"/>
        <w:rPr>
          <w:rFonts w:ascii="Cambria" w:eastAsia="Cambria" w:hAnsi="Cambria" w:cs="Cambria"/>
          <w:sz w:val="20"/>
          <w:szCs w:val="20"/>
        </w:rPr>
      </w:pPr>
      <w:r w:rsidRPr="005D5654">
        <w:rPr>
          <w:rFonts w:ascii="Cambria" w:hAnsi="Cambria"/>
          <w:color w:val="231F20"/>
          <w:sz w:val="20"/>
          <w:szCs w:val="20"/>
        </w:rPr>
        <w:t>Con el fin de evitar el aumento de la mortalidad por pesca del atún rojo en el Atlántico este u oeste, las CPC continuarán tomando medidas para prohibir cualquier transferencia del esfuerzo de pesca desde el Atlántico occidental hacia el Atlántico oriental y Mediterráneo, y desde el Atlántico oriental y Mediterráneo hacia el Atlántico occidental.</w:t>
      </w:r>
    </w:p>
    <w:p w14:paraId="2A729E7F" w14:textId="77777777" w:rsidR="005D5654" w:rsidRPr="005D5654" w:rsidRDefault="005D5654" w:rsidP="007D0E69">
      <w:pPr>
        <w:jc w:val="both"/>
        <w:rPr>
          <w:rFonts w:ascii="Cambria" w:eastAsia="Cambria" w:hAnsi="Cambria" w:cs="Cambria"/>
          <w:sz w:val="20"/>
          <w:szCs w:val="20"/>
        </w:rPr>
      </w:pPr>
    </w:p>
    <w:p w14:paraId="06981905" w14:textId="77777777" w:rsidR="00F95C82" w:rsidRDefault="00F95C82">
      <w:pPr>
        <w:rPr>
          <w:rFonts w:ascii="Cambria" w:eastAsia="Times New Roman" w:hAnsi="Cambria" w:cs="Times New Roman"/>
          <w:b/>
          <w:iCs/>
          <w:color w:val="231F20"/>
          <w:sz w:val="20"/>
          <w:szCs w:val="20"/>
        </w:rPr>
      </w:pPr>
      <w:r>
        <w:rPr>
          <w:rFonts w:ascii="Cambria" w:eastAsia="Times New Roman" w:hAnsi="Cambria" w:cs="Times New Roman"/>
          <w:b/>
          <w:iCs/>
          <w:color w:val="231F20"/>
          <w:sz w:val="20"/>
          <w:szCs w:val="20"/>
        </w:rPr>
        <w:br w:type="page"/>
      </w:r>
    </w:p>
    <w:p w14:paraId="0A373BFE" w14:textId="6D7397EC" w:rsidR="005D5654" w:rsidRPr="005D5654" w:rsidRDefault="005D5654" w:rsidP="007D0E69">
      <w:pPr>
        <w:jc w:val="both"/>
        <w:outlineLvl w:val="0"/>
        <w:rPr>
          <w:rFonts w:ascii="Cambria" w:eastAsia="Cambria" w:hAnsi="Cambria" w:cs="Cambria"/>
          <w:iCs/>
          <w:sz w:val="20"/>
          <w:szCs w:val="20"/>
        </w:rPr>
      </w:pPr>
      <w:r w:rsidRPr="005D5654">
        <w:rPr>
          <w:rFonts w:ascii="Cambria" w:eastAsia="Times New Roman" w:hAnsi="Cambria" w:cs="Times New Roman"/>
          <w:b/>
          <w:iCs/>
          <w:color w:val="231F20"/>
          <w:sz w:val="20"/>
          <w:szCs w:val="20"/>
        </w:rPr>
        <w:t>TAC, asignaciones de TAC y límites de captura</w:t>
      </w:r>
    </w:p>
    <w:p w14:paraId="04052830" w14:textId="77777777" w:rsidR="005D5654" w:rsidRPr="005D5654" w:rsidRDefault="005D5654" w:rsidP="007D0E69">
      <w:pPr>
        <w:jc w:val="both"/>
        <w:rPr>
          <w:rFonts w:ascii="Cambria" w:eastAsia="Cambria" w:hAnsi="Cambria" w:cs="Cambria"/>
          <w:b/>
          <w:i/>
          <w:sz w:val="20"/>
          <w:szCs w:val="20"/>
        </w:rPr>
      </w:pPr>
    </w:p>
    <w:p w14:paraId="54E373A8" w14:textId="77777777" w:rsidR="005D5654" w:rsidRPr="005D5654" w:rsidRDefault="005D5654" w:rsidP="007D0E69">
      <w:pPr>
        <w:widowControl/>
        <w:numPr>
          <w:ilvl w:val="0"/>
          <w:numId w:val="5"/>
        </w:numPr>
        <w:ind w:left="425" w:hanging="425"/>
        <w:jc w:val="both"/>
        <w:rPr>
          <w:rFonts w:ascii="Cambria" w:eastAsia="Cambria" w:hAnsi="Cambria" w:cs="Cambria"/>
          <w:sz w:val="20"/>
          <w:szCs w:val="20"/>
        </w:rPr>
      </w:pPr>
      <w:r w:rsidRPr="005D5654">
        <w:rPr>
          <w:rFonts w:ascii="Cambria" w:hAnsi="Cambria"/>
          <w:color w:val="231F20"/>
          <w:sz w:val="20"/>
          <w:szCs w:val="20"/>
        </w:rPr>
        <w:t xml:space="preserve">De conformidad con la aplicación del MP establecido en la Rec. 22-09 se establece un total admisible de captura (TAC) anual, incluidos los descartes de peces muertos, de 2.726 t para </w:t>
      </w:r>
      <w:r w:rsidRPr="005D5654">
        <w:rPr>
          <w:rFonts w:ascii="Cambria" w:eastAsia="Cambria" w:hAnsi="Cambria" w:cs="Cambria"/>
          <w:color w:val="231F20"/>
          <w:sz w:val="20"/>
          <w:szCs w:val="20"/>
        </w:rPr>
        <w:t xml:space="preserve">2023, 2024 y 2025. </w:t>
      </w:r>
      <w:r w:rsidRPr="005D5654">
        <w:rPr>
          <w:rFonts w:ascii="Cambria" w:hAnsi="Cambria"/>
          <w:color w:val="231F20"/>
          <w:sz w:val="20"/>
          <w:szCs w:val="20"/>
        </w:rPr>
        <w:t>Los TAC para el periodo 2026-2028 se establecerán en la reunión anual de ICCAT de 2025 de acuerdo con la aplicación del MP.</w:t>
      </w:r>
    </w:p>
    <w:p w14:paraId="34D8D30B" w14:textId="77777777" w:rsidR="005D5654" w:rsidRPr="005D5654" w:rsidRDefault="005D5654" w:rsidP="007D0E69">
      <w:pPr>
        <w:tabs>
          <w:tab w:val="left" w:pos="530"/>
        </w:tabs>
        <w:ind w:left="7347"/>
        <w:jc w:val="both"/>
        <w:rPr>
          <w:rFonts w:ascii="Cambria" w:eastAsia="Cambria" w:hAnsi="Cambria" w:cs="Cambria"/>
          <w:color w:val="231F20"/>
          <w:sz w:val="20"/>
          <w:szCs w:val="20"/>
        </w:rPr>
      </w:pPr>
    </w:p>
    <w:p w14:paraId="7D250CC2" w14:textId="77777777" w:rsidR="005D5654" w:rsidRPr="005D5654" w:rsidRDefault="005D5654" w:rsidP="007D0E69">
      <w:pPr>
        <w:widowControl/>
        <w:numPr>
          <w:ilvl w:val="0"/>
          <w:numId w:val="5"/>
        </w:numPr>
        <w:ind w:left="425" w:hanging="425"/>
        <w:jc w:val="both"/>
        <w:rPr>
          <w:rFonts w:ascii="Cambria" w:eastAsia="Cambria" w:hAnsi="Cambria" w:cs="Cambria"/>
          <w:sz w:val="20"/>
          <w:szCs w:val="20"/>
        </w:rPr>
      </w:pPr>
      <w:r w:rsidRPr="005D5654">
        <w:rPr>
          <w:rFonts w:ascii="Cambria" w:hAnsi="Cambria"/>
          <w:color w:val="231F20"/>
          <w:sz w:val="20"/>
          <w:szCs w:val="20"/>
        </w:rPr>
        <w:t xml:space="preserve">Las CPC actualizarán anualmente los índices de abundancia y los indicadores de la pesquería y los proporcionarán al SCRS cuando se les solicite para apoyar la evaluación anual del SCRS sobre la aparición de circunstancias excepcionales, tal y como se especifica en la Rec. 22-09, y para otros fines científicos pertinentes que determine el SCRS. </w:t>
      </w:r>
    </w:p>
    <w:p w14:paraId="11675E6C" w14:textId="77777777" w:rsidR="005D5654" w:rsidRPr="005D5654" w:rsidRDefault="005D5654" w:rsidP="007D0E69">
      <w:pPr>
        <w:jc w:val="both"/>
        <w:rPr>
          <w:rFonts w:ascii="Cambria" w:eastAsia="Cambria" w:hAnsi="Cambria" w:cs="Cambria"/>
          <w:sz w:val="20"/>
          <w:szCs w:val="20"/>
        </w:rPr>
      </w:pPr>
    </w:p>
    <w:p w14:paraId="459E1719" w14:textId="77777777" w:rsidR="005D5654" w:rsidRPr="005D5654" w:rsidRDefault="005D5654" w:rsidP="007D0E69">
      <w:pPr>
        <w:widowControl/>
        <w:numPr>
          <w:ilvl w:val="0"/>
          <w:numId w:val="5"/>
        </w:numPr>
        <w:ind w:left="425" w:hanging="425"/>
        <w:jc w:val="both"/>
        <w:rPr>
          <w:rFonts w:ascii="Cambria" w:eastAsia="Cambria" w:hAnsi="Cambria" w:cs="Cambria"/>
          <w:sz w:val="20"/>
          <w:szCs w:val="20"/>
        </w:rPr>
      </w:pPr>
      <w:r w:rsidRPr="005D5654">
        <w:rPr>
          <w:rFonts w:ascii="Cambria" w:hAnsi="Cambria"/>
          <w:sz w:val="20"/>
          <w:szCs w:val="20"/>
        </w:rPr>
        <w:t>La asignación del TAC anual, incluidos los descartes de ejemplares muertos, se indicará de la siguiente manera:</w:t>
      </w:r>
    </w:p>
    <w:p w14:paraId="5CE8E6F5" w14:textId="77777777" w:rsidR="005D5654" w:rsidRPr="005D5654" w:rsidRDefault="005D5654" w:rsidP="007D0E69">
      <w:pPr>
        <w:pBdr>
          <w:top w:val="nil"/>
          <w:left w:val="nil"/>
          <w:bottom w:val="nil"/>
          <w:right w:val="nil"/>
          <w:between w:val="nil"/>
        </w:pBdr>
        <w:ind w:left="720"/>
        <w:rPr>
          <w:rFonts w:ascii="Cambria" w:eastAsia="Cambria" w:hAnsi="Cambria" w:cs="Cambria"/>
          <w:color w:val="000000"/>
          <w:sz w:val="20"/>
          <w:szCs w:val="20"/>
        </w:rPr>
      </w:pPr>
    </w:p>
    <w:p w14:paraId="6DF12CC7" w14:textId="77777777" w:rsidR="005D5654" w:rsidRPr="005D5654" w:rsidRDefault="005D5654" w:rsidP="007D0E69">
      <w:pPr>
        <w:widowControl/>
        <w:numPr>
          <w:ilvl w:val="1"/>
          <w:numId w:val="3"/>
        </w:numPr>
        <w:tabs>
          <w:tab w:val="left" w:pos="993"/>
        </w:tabs>
        <w:ind w:left="993" w:hanging="426"/>
        <w:jc w:val="both"/>
        <w:rPr>
          <w:rFonts w:ascii="Cambria" w:eastAsia="Cambria" w:hAnsi="Cambria" w:cs="Cambria"/>
          <w:sz w:val="20"/>
          <w:szCs w:val="20"/>
        </w:rPr>
      </w:pPr>
      <w:r w:rsidRPr="005D5654">
        <w:rPr>
          <w:rFonts w:ascii="Cambria" w:hAnsi="Cambria"/>
          <w:color w:val="231F20"/>
          <w:sz w:val="20"/>
          <w:szCs w:val="20"/>
        </w:rPr>
        <w:t>El TAC anual incluirá las siguientes asignaciones:</w:t>
      </w:r>
    </w:p>
    <w:p w14:paraId="584FBE16" w14:textId="77777777" w:rsidR="005D5654" w:rsidRPr="005D5654" w:rsidRDefault="005D5654" w:rsidP="007D0E69">
      <w:pPr>
        <w:rPr>
          <w:rFonts w:ascii="Cambria" w:eastAsia="Cambria" w:hAnsi="Cambria" w:cs="Cambria"/>
          <w:sz w:val="20"/>
          <w:szCs w:val="20"/>
        </w:rPr>
      </w:pPr>
    </w:p>
    <w:tbl>
      <w:tblPr>
        <w:tblW w:w="8784" w:type="dxa"/>
        <w:tblInd w:w="425" w:type="dxa"/>
        <w:tblLayout w:type="fixed"/>
        <w:tblLook w:val="0000" w:firstRow="0" w:lastRow="0" w:firstColumn="0" w:lastColumn="0" w:noHBand="0" w:noVBand="0"/>
      </w:tblPr>
      <w:tblGrid>
        <w:gridCol w:w="7650"/>
        <w:gridCol w:w="1134"/>
      </w:tblGrid>
      <w:tr w:rsidR="005D5654" w:rsidRPr="005D5654" w14:paraId="3D73DFAD" w14:textId="77777777" w:rsidTr="00885113">
        <w:trPr>
          <w:trHeight w:val="380"/>
        </w:trPr>
        <w:tc>
          <w:tcPr>
            <w:tcW w:w="7650" w:type="dxa"/>
            <w:tcBorders>
              <w:top w:val="single" w:sz="4" w:space="0" w:color="231F20"/>
              <w:left w:val="single" w:sz="4" w:space="0" w:color="231F20"/>
              <w:bottom w:val="single" w:sz="4" w:space="0" w:color="231F20"/>
              <w:right w:val="single" w:sz="4" w:space="0" w:color="231F20"/>
            </w:tcBorders>
          </w:tcPr>
          <w:p w14:paraId="063C2C23" w14:textId="77777777" w:rsidR="005D5654" w:rsidRPr="005D5654" w:rsidRDefault="005D5654" w:rsidP="007D0E69">
            <w:pPr>
              <w:ind w:left="396"/>
              <w:jc w:val="center"/>
              <w:rPr>
                <w:rFonts w:ascii="Cambria" w:eastAsia="Cambria" w:hAnsi="Cambria" w:cs="Cambria"/>
                <w:sz w:val="20"/>
                <w:szCs w:val="20"/>
              </w:rPr>
            </w:pPr>
            <w:r w:rsidRPr="005D5654">
              <w:rPr>
                <w:rFonts w:ascii="Cambria" w:hAnsi="Cambria"/>
                <w:i/>
                <w:color w:val="231F20"/>
                <w:sz w:val="20"/>
                <w:szCs w:val="20"/>
              </w:rPr>
              <w:t>CPC</w:t>
            </w:r>
          </w:p>
        </w:tc>
        <w:tc>
          <w:tcPr>
            <w:tcW w:w="1134" w:type="dxa"/>
            <w:tcBorders>
              <w:top w:val="single" w:sz="4" w:space="0" w:color="231F20"/>
              <w:left w:val="single" w:sz="4" w:space="0" w:color="231F20"/>
              <w:bottom w:val="single" w:sz="4" w:space="0" w:color="231F20"/>
              <w:right w:val="single" w:sz="4" w:space="0" w:color="231F20"/>
            </w:tcBorders>
          </w:tcPr>
          <w:p w14:paraId="4D75DB88" w14:textId="77777777" w:rsidR="005D5654" w:rsidRPr="005D5654" w:rsidRDefault="005D5654" w:rsidP="007D0E69">
            <w:pPr>
              <w:ind w:left="-2"/>
              <w:rPr>
                <w:rFonts w:ascii="Cambria" w:eastAsia="Cambria" w:hAnsi="Cambria" w:cs="Cambria"/>
                <w:sz w:val="20"/>
                <w:szCs w:val="20"/>
              </w:rPr>
            </w:pPr>
            <w:r w:rsidRPr="005D5654">
              <w:rPr>
                <w:rFonts w:ascii="Cambria" w:hAnsi="Cambria"/>
                <w:i/>
                <w:color w:val="231F20"/>
                <w:sz w:val="20"/>
                <w:szCs w:val="20"/>
              </w:rPr>
              <w:t>Asignación</w:t>
            </w:r>
          </w:p>
        </w:tc>
      </w:tr>
      <w:tr w:rsidR="005D5654" w:rsidRPr="005D5654" w14:paraId="54A000D2" w14:textId="77777777" w:rsidTr="00885113">
        <w:trPr>
          <w:trHeight w:val="380"/>
        </w:trPr>
        <w:tc>
          <w:tcPr>
            <w:tcW w:w="7650" w:type="dxa"/>
            <w:tcBorders>
              <w:top w:val="single" w:sz="4" w:space="0" w:color="231F20"/>
              <w:left w:val="single" w:sz="4" w:space="0" w:color="231F20"/>
              <w:bottom w:val="single" w:sz="4" w:space="0" w:color="231F20"/>
              <w:right w:val="single" w:sz="4" w:space="0" w:color="231F20"/>
            </w:tcBorders>
          </w:tcPr>
          <w:p w14:paraId="2158BF93" w14:textId="77777777" w:rsidR="005D5654" w:rsidRPr="005D5654" w:rsidRDefault="005D5654" w:rsidP="007D0E69">
            <w:pPr>
              <w:ind w:left="94"/>
              <w:rPr>
                <w:rFonts w:ascii="Cambria" w:eastAsia="Cambria" w:hAnsi="Cambria" w:cs="Cambria"/>
                <w:sz w:val="20"/>
                <w:szCs w:val="20"/>
              </w:rPr>
            </w:pPr>
            <w:r w:rsidRPr="005D5654">
              <w:rPr>
                <w:rFonts w:ascii="Cambria" w:hAnsi="Cambria"/>
                <w:color w:val="231F20"/>
                <w:sz w:val="20"/>
                <w:szCs w:val="20"/>
              </w:rPr>
              <w:t>Estados Unidos (captura fortuita relacionada con las pesquerías de palangre en las inmediaciones de la línea divisoria de la zona de ordenación)</w:t>
            </w:r>
          </w:p>
        </w:tc>
        <w:tc>
          <w:tcPr>
            <w:tcW w:w="1134" w:type="dxa"/>
            <w:tcBorders>
              <w:top w:val="single" w:sz="4" w:space="0" w:color="231F20"/>
              <w:left w:val="single" w:sz="4" w:space="0" w:color="231F20"/>
              <w:bottom w:val="single" w:sz="4" w:space="0" w:color="231F20"/>
              <w:right w:val="single" w:sz="4" w:space="0" w:color="231F20"/>
            </w:tcBorders>
          </w:tcPr>
          <w:p w14:paraId="64BA2811" w14:textId="77777777" w:rsidR="005D5654" w:rsidRPr="005D5654" w:rsidRDefault="005D5654" w:rsidP="007D0E69">
            <w:pPr>
              <w:jc w:val="center"/>
              <w:rPr>
                <w:rFonts w:ascii="Cambria" w:eastAsia="Cambria" w:hAnsi="Cambria" w:cs="Cambria"/>
                <w:sz w:val="20"/>
                <w:szCs w:val="20"/>
              </w:rPr>
            </w:pPr>
            <w:r w:rsidRPr="005D5654">
              <w:rPr>
                <w:rFonts w:ascii="Cambria" w:hAnsi="Cambria"/>
                <w:color w:val="231F20"/>
                <w:sz w:val="20"/>
                <w:szCs w:val="20"/>
              </w:rPr>
              <w:t>25 t</w:t>
            </w:r>
          </w:p>
        </w:tc>
      </w:tr>
      <w:tr w:rsidR="005D5654" w:rsidRPr="005D5654" w14:paraId="085EA494" w14:textId="77777777" w:rsidTr="00885113">
        <w:trPr>
          <w:trHeight w:val="380"/>
        </w:trPr>
        <w:tc>
          <w:tcPr>
            <w:tcW w:w="7650" w:type="dxa"/>
            <w:tcBorders>
              <w:top w:val="single" w:sz="4" w:space="0" w:color="231F20"/>
              <w:left w:val="single" w:sz="4" w:space="0" w:color="231F20"/>
              <w:bottom w:val="single" w:sz="4" w:space="0" w:color="231F20"/>
              <w:right w:val="single" w:sz="4" w:space="0" w:color="231F20"/>
            </w:tcBorders>
          </w:tcPr>
          <w:p w14:paraId="194C60AB" w14:textId="77777777" w:rsidR="005D5654" w:rsidRPr="005D5654" w:rsidRDefault="005D5654" w:rsidP="007D0E69">
            <w:pPr>
              <w:ind w:left="94"/>
              <w:rPr>
                <w:rFonts w:ascii="Cambria" w:eastAsia="Cambria" w:hAnsi="Cambria" w:cs="Cambria"/>
                <w:sz w:val="20"/>
                <w:szCs w:val="20"/>
              </w:rPr>
            </w:pPr>
            <w:r w:rsidRPr="005D5654">
              <w:rPr>
                <w:rFonts w:ascii="Cambria" w:hAnsi="Cambria"/>
                <w:color w:val="231F20"/>
                <w:sz w:val="20"/>
                <w:szCs w:val="20"/>
              </w:rPr>
              <w:t>Canadá (captura fortuita relacionada con las pesquerías de palangre en las inmediaciones de la línea divisoria de la zona de ordenación.)</w:t>
            </w:r>
          </w:p>
        </w:tc>
        <w:tc>
          <w:tcPr>
            <w:tcW w:w="1134" w:type="dxa"/>
            <w:tcBorders>
              <w:top w:val="single" w:sz="4" w:space="0" w:color="231F20"/>
              <w:left w:val="single" w:sz="4" w:space="0" w:color="231F20"/>
              <w:bottom w:val="single" w:sz="4" w:space="0" w:color="231F20"/>
              <w:right w:val="single" w:sz="4" w:space="0" w:color="231F20"/>
            </w:tcBorders>
          </w:tcPr>
          <w:p w14:paraId="22253493" w14:textId="77777777" w:rsidR="005D5654" w:rsidRPr="005D5654" w:rsidRDefault="005D5654" w:rsidP="007D0E69">
            <w:pPr>
              <w:jc w:val="center"/>
              <w:rPr>
                <w:rFonts w:ascii="Cambria" w:eastAsia="Cambria" w:hAnsi="Cambria" w:cs="Cambria"/>
                <w:sz w:val="20"/>
                <w:szCs w:val="20"/>
              </w:rPr>
            </w:pPr>
            <w:r w:rsidRPr="005D5654">
              <w:rPr>
                <w:rFonts w:ascii="Cambria" w:hAnsi="Cambria"/>
                <w:color w:val="231F20"/>
                <w:sz w:val="20"/>
                <w:szCs w:val="20"/>
              </w:rPr>
              <w:t>15 t</w:t>
            </w:r>
          </w:p>
        </w:tc>
      </w:tr>
    </w:tbl>
    <w:p w14:paraId="46D8F0F2" w14:textId="77777777" w:rsidR="00F10478" w:rsidRDefault="00F10478" w:rsidP="00F10478">
      <w:pPr>
        <w:widowControl/>
        <w:tabs>
          <w:tab w:val="left" w:pos="993"/>
        </w:tabs>
        <w:ind w:left="993"/>
        <w:jc w:val="both"/>
        <w:rPr>
          <w:rFonts w:ascii="Cambria" w:hAnsi="Cambria"/>
          <w:color w:val="231F20"/>
          <w:sz w:val="20"/>
          <w:szCs w:val="20"/>
        </w:rPr>
      </w:pPr>
    </w:p>
    <w:p w14:paraId="31DC6595" w14:textId="4BB7021D" w:rsidR="005D5654" w:rsidRPr="005D5654" w:rsidRDefault="005D5654" w:rsidP="007D0E69">
      <w:pPr>
        <w:widowControl/>
        <w:numPr>
          <w:ilvl w:val="1"/>
          <w:numId w:val="3"/>
        </w:numPr>
        <w:tabs>
          <w:tab w:val="left" w:pos="993"/>
        </w:tabs>
        <w:ind w:left="993" w:hanging="426"/>
        <w:jc w:val="both"/>
        <w:rPr>
          <w:rFonts w:ascii="Cambria" w:hAnsi="Cambria"/>
          <w:color w:val="231F20"/>
          <w:sz w:val="20"/>
          <w:szCs w:val="20"/>
        </w:rPr>
      </w:pPr>
      <w:r w:rsidRPr="005D5654">
        <w:rPr>
          <w:rFonts w:ascii="Cambria" w:hAnsi="Cambria"/>
          <w:color w:val="231F20"/>
          <w:sz w:val="20"/>
          <w:szCs w:val="20"/>
        </w:rPr>
        <w:t>Tras sustraer las cantidades mencionadas en el párrafo 5 a), el resto del TAC anual se asignará del siguiente modo:</w:t>
      </w:r>
    </w:p>
    <w:tbl>
      <w:tblPr>
        <w:tblW w:w="9066" w:type="dxa"/>
        <w:tblInd w:w="285" w:type="dxa"/>
        <w:tblLayout w:type="fixed"/>
        <w:tblLook w:val="0000" w:firstRow="0" w:lastRow="0" w:firstColumn="0" w:lastColumn="0" w:noHBand="0" w:noVBand="0"/>
      </w:tblPr>
      <w:tblGrid>
        <w:gridCol w:w="2042"/>
        <w:gridCol w:w="1779"/>
        <w:gridCol w:w="1559"/>
        <w:gridCol w:w="2127"/>
        <w:gridCol w:w="1559"/>
      </w:tblGrid>
      <w:tr w:rsidR="005D5654" w:rsidRPr="005D5654" w14:paraId="63E07B6E" w14:textId="77777777" w:rsidTr="00885113">
        <w:trPr>
          <w:trHeight w:val="260"/>
        </w:trPr>
        <w:tc>
          <w:tcPr>
            <w:tcW w:w="2042" w:type="dxa"/>
            <w:tcBorders>
              <w:top w:val="single" w:sz="4" w:space="0" w:color="231F20"/>
              <w:left w:val="single" w:sz="4" w:space="0" w:color="231F20"/>
              <w:bottom w:val="single" w:sz="4" w:space="0" w:color="231F20"/>
              <w:right w:val="single" w:sz="4" w:space="0" w:color="231F20"/>
            </w:tcBorders>
          </w:tcPr>
          <w:p w14:paraId="6F31D839" w14:textId="77777777" w:rsidR="005D5654" w:rsidRPr="005D5654" w:rsidRDefault="005D5654" w:rsidP="007D0E69">
            <w:pPr>
              <w:rPr>
                <w:rFonts w:ascii="Cambria" w:eastAsia="Cambria" w:hAnsi="Cambria" w:cs="Cambria"/>
                <w:sz w:val="20"/>
                <w:szCs w:val="20"/>
              </w:rPr>
            </w:pPr>
          </w:p>
        </w:tc>
        <w:tc>
          <w:tcPr>
            <w:tcW w:w="7024" w:type="dxa"/>
            <w:gridSpan w:val="4"/>
            <w:tcBorders>
              <w:top w:val="single" w:sz="4" w:space="0" w:color="231F20"/>
              <w:left w:val="single" w:sz="4" w:space="0" w:color="231F20"/>
              <w:bottom w:val="single" w:sz="4" w:space="0" w:color="231F20"/>
              <w:right w:val="single" w:sz="4" w:space="0" w:color="231F20"/>
            </w:tcBorders>
          </w:tcPr>
          <w:p w14:paraId="6640ED67" w14:textId="77777777" w:rsidR="005D5654" w:rsidRPr="005D5654" w:rsidRDefault="005D5654" w:rsidP="007D0E69">
            <w:pPr>
              <w:ind w:left="1636"/>
              <w:rPr>
                <w:rFonts w:ascii="Cambria" w:eastAsia="Cambria" w:hAnsi="Cambria" w:cs="Cambria"/>
                <w:sz w:val="20"/>
                <w:szCs w:val="20"/>
              </w:rPr>
            </w:pPr>
            <w:r w:rsidRPr="005D5654">
              <w:rPr>
                <w:rFonts w:ascii="Cambria" w:hAnsi="Cambria"/>
                <w:i/>
                <w:color w:val="231F20"/>
                <w:sz w:val="20"/>
                <w:szCs w:val="20"/>
              </w:rPr>
              <w:t>Si el resto del TAC anual es:</w:t>
            </w:r>
          </w:p>
        </w:tc>
      </w:tr>
      <w:tr w:rsidR="005D5654" w:rsidRPr="005D5654" w14:paraId="6C1B5475" w14:textId="77777777" w:rsidTr="00885113">
        <w:trPr>
          <w:trHeight w:val="440"/>
        </w:trPr>
        <w:tc>
          <w:tcPr>
            <w:tcW w:w="2042" w:type="dxa"/>
            <w:tcBorders>
              <w:top w:val="single" w:sz="4" w:space="0" w:color="231F20"/>
              <w:left w:val="single" w:sz="4" w:space="0" w:color="231F20"/>
              <w:bottom w:val="single" w:sz="4" w:space="0" w:color="231F20"/>
              <w:right w:val="single" w:sz="4" w:space="0" w:color="231F20"/>
            </w:tcBorders>
            <w:vAlign w:val="center"/>
          </w:tcPr>
          <w:p w14:paraId="35EC2432" w14:textId="77777777" w:rsidR="005D5654" w:rsidRPr="005D5654" w:rsidRDefault="005D5654" w:rsidP="007D0E69">
            <w:pPr>
              <w:ind w:left="96"/>
              <w:rPr>
                <w:rFonts w:ascii="Cambria" w:eastAsia="Cambria" w:hAnsi="Cambria" w:cs="Cambria"/>
                <w:sz w:val="20"/>
                <w:szCs w:val="20"/>
              </w:rPr>
            </w:pPr>
            <w:r w:rsidRPr="005D5654">
              <w:rPr>
                <w:rFonts w:ascii="Cambria" w:hAnsi="Cambria"/>
                <w:color w:val="231F20"/>
                <w:sz w:val="20"/>
                <w:szCs w:val="20"/>
              </w:rPr>
              <w:t>CPC</w:t>
            </w:r>
          </w:p>
        </w:tc>
        <w:tc>
          <w:tcPr>
            <w:tcW w:w="1779" w:type="dxa"/>
            <w:tcBorders>
              <w:top w:val="single" w:sz="4" w:space="0" w:color="231F20"/>
              <w:left w:val="single" w:sz="4" w:space="0" w:color="231F20"/>
              <w:bottom w:val="single" w:sz="4" w:space="0" w:color="231F20"/>
              <w:right w:val="single" w:sz="4" w:space="0" w:color="231F20"/>
            </w:tcBorders>
            <w:vAlign w:val="center"/>
          </w:tcPr>
          <w:p w14:paraId="3F3567F5" w14:textId="77777777" w:rsidR="005D5654" w:rsidRPr="005D5654" w:rsidRDefault="005D5654" w:rsidP="007D0E69">
            <w:pPr>
              <w:ind w:left="662" w:right="472" w:hanging="190"/>
              <w:rPr>
                <w:rFonts w:ascii="Cambria" w:eastAsia="Cambria" w:hAnsi="Cambria" w:cs="Cambria"/>
                <w:sz w:val="20"/>
                <w:szCs w:val="20"/>
              </w:rPr>
            </w:pPr>
            <w:r w:rsidRPr="005D5654">
              <w:rPr>
                <w:rFonts w:ascii="Cambria" w:hAnsi="Cambria"/>
                <w:color w:val="231F20"/>
                <w:sz w:val="20"/>
                <w:szCs w:val="20"/>
              </w:rPr>
              <w:t>&lt;2.413 t (A)</w:t>
            </w:r>
          </w:p>
        </w:tc>
        <w:tc>
          <w:tcPr>
            <w:tcW w:w="1559" w:type="dxa"/>
            <w:tcBorders>
              <w:top w:val="single" w:sz="4" w:space="0" w:color="231F20"/>
              <w:left w:val="single" w:sz="4" w:space="0" w:color="231F20"/>
              <w:bottom w:val="single" w:sz="4" w:space="0" w:color="231F20"/>
              <w:right w:val="single" w:sz="4" w:space="0" w:color="231F20"/>
            </w:tcBorders>
            <w:vAlign w:val="center"/>
          </w:tcPr>
          <w:p w14:paraId="7EE1FB04" w14:textId="77777777" w:rsidR="005D5654" w:rsidRPr="005D5654" w:rsidRDefault="005D5654" w:rsidP="007D0E69">
            <w:pPr>
              <w:ind w:left="589" w:right="446" w:hanging="141"/>
              <w:rPr>
                <w:rFonts w:ascii="Cambria" w:eastAsia="Cambria" w:hAnsi="Cambria" w:cs="Cambria"/>
                <w:sz w:val="20"/>
                <w:szCs w:val="20"/>
              </w:rPr>
            </w:pPr>
            <w:r w:rsidRPr="005D5654">
              <w:rPr>
                <w:rFonts w:ascii="Cambria" w:hAnsi="Cambria"/>
                <w:color w:val="231F20"/>
                <w:sz w:val="20"/>
                <w:szCs w:val="20"/>
              </w:rPr>
              <w:t>2.413 t (B)</w:t>
            </w:r>
          </w:p>
        </w:tc>
        <w:tc>
          <w:tcPr>
            <w:tcW w:w="2127" w:type="dxa"/>
            <w:tcBorders>
              <w:top w:val="single" w:sz="4" w:space="0" w:color="231F20"/>
              <w:left w:val="single" w:sz="4" w:space="0" w:color="231F20"/>
              <w:bottom w:val="single" w:sz="4" w:space="0" w:color="231F20"/>
              <w:right w:val="single" w:sz="4" w:space="0" w:color="231F20"/>
            </w:tcBorders>
            <w:vAlign w:val="center"/>
          </w:tcPr>
          <w:p w14:paraId="3E67C090" w14:textId="77777777" w:rsidR="005D5654" w:rsidRPr="005D5654" w:rsidRDefault="005D5654" w:rsidP="007D0E69">
            <w:pPr>
              <w:ind w:left="764" w:right="330" w:hanging="433"/>
              <w:rPr>
                <w:rFonts w:ascii="Cambria" w:eastAsia="Cambria" w:hAnsi="Cambria" w:cs="Cambria"/>
                <w:sz w:val="20"/>
                <w:szCs w:val="20"/>
              </w:rPr>
            </w:pPr>
            <w:r w:rsidRPr="005D5654">
              <w:rPr>
                <w:rFonts w:ascii="Cambria" w:hAnsi="Cambria"/>
                <w:color w:val="231F20"/>
                <w:sz w:val="20"/>
                <w:szCs w:val="20"/>
              </w:rPr>
              <w:t>&gt;2.413-2.660 t (C)</w:t>
            </w:r>
          </w:p>
        </w:tc>
        <w:tc>
          <w:tcPr>
            <w:tcW w:w="1559" w:type="dxa"/>
            <w:tcBorders>
              <w:top w:val="single" w:sz="4" w:space="0" w:color="231F20"/>
              <w:left w:val="single" w:sz="4" w:space="0" w:color="231F20"/>
              <w:bottom w:val="single" w:sz="4" w:space="0" w:color="231F20"/>
              <w:right w:val="single" w:sz="4" w:space="0" w:color="231F20"/>
            </w:tcBorders>
            <w:vAlign w:val="center"/>
          </w:tcPr>
          <w:p w14:paraId="2D5334BF" w14:textId="77777777" w:rsidR="005D5654" w:rsidRPr="005D5654" w:rsidRDefault="005D5654" w:rsidP="007D0E69">
            <w:pPr>
              <w:ind w:left="530" w:right="339" w:hanging="190"/>
              <w:rPr>
                <w:rFonts w:ascii="Cambria" w:eastAsia="Cambria" w:hAnsi="Cambria" w:cs="Cambria"/>
                <w:sz w:val="20"/>
                <w:szCs w:val="20"/>
              </w:rPr>
            </w:pPr>
            <w:r w:rsidRPr="005D5654">
              <w:rPr>
                <w:rFonts w:ascii="Cambria" w:hAnsi="Cambria"/>
                <w:color w:val="231F20"/>
                <w:sz w:val="20"/>
                <w:szCs w:val="20"/>
              </w:rPr>
              <w:t>&gt;2.660 t (D)</w:t>
            </w:r>
          </w:p>
        </w:tc>
      </w:tr>
      <w:tr w:rsidR="005D5654" w:rsidRPr="005D5654" w14:paraId="66D19869" w14:textId="77777777" w:rsidTr="00885113">
        <w:trPr>
          <w:trHeight w:val="220"/>
        </w:trPr>
        <w:tc>
          <w:tcPr>
            <w:tcW w:w="2042" w:type="dxa"/>
            <w:tcBorders>
              <w:top w:val="single" w:sz="4" w:space="0" w:color="231F20"/>
              <w:left w:val="single" w:sz="4" w:space="0" w:color="231F20"/>
              <w:bottom w:val="single" w:sz="4" w:space="0" w:color="231F20"/>
              <w:right w:val="single" w:sz="4" w:space="0" w:color="231F20"/>
            </w:tcBorders>
          </w:tcPr>
          <w:p w14:paraId="6F83FADF" w14:textId="77777777" w:rsidR="005D5654" w:rsidRPr="005D5654" w:rsidRDefault="005D5654" w:rsidP="007D0E69">
            <w:pPr>
              <w:ind w:left="96"/>
              <w:rPr>
                <w:rFonts w:ascii="Cambria" w:eastAsia="Cambria" w:hAnsi="Cambria" w:cs="Cambria"/>
                <w:sz w:val="20"/>
                <w:szCs w:val="20"/>
              </w:rPr>
            </w:pPr>
            <w:r w:rsidRPr="005D5654">
              <w:rPr>
                <w:rFonts w:ascii="Cambria" w:hAnsi="Cambria"/>
                <w:color w:val="231F20"/>
                <w:sz w:val="20"/>
                <w:szCs w:val="20"/>
              </w:rPr>
              <w:t>Estados Unidos</w:t>
            </w:r>
          </w:p>
        </w:tc>
        <w:tc>
          <w:tcPr>
            <w:tcW w:w="1779" w:type="dxa"/>
            <w:tcBorders>
              <w:top w:val="single" w:sz="4" w:space="0" w:color="231F20"/>
              <w:left w:val="single" w:sz="4" w:space="0" w:color="231F20"/>
              <w:bottom w:val="single" w:sz="4" w:space="0" w:color="231F20"/>
              <w:right w:val="single" w:sz="4" w:space="0" w:color="231F20"/>
            </w:tcBorders>
          </w:tcPr>
          <w:p w14:paraId="353C2C48" w14:textId="77777777" w:rsidR="005D5654" w:rsidRPr="005D5654" w:rsidRDefault="005D5654" w:rsidP="007D0E69">
            <w:pPr>
              <w:ind w:left="502"/>
              <w:rPr>
                <w:rFonts w:ascii="Cambria" w:eastAsia="Cambria" w:hAnsi="Cambria" w:cs="Cambria"/>
                <w:sz w:val="20"/>
                <w:szCs w:val="20"/>
              </w:rPr>
            </w:pPr>
            <w:r w:rsidRPr="005D5654">
              <w:rPr>
                <w:rFonts w:ascii="Cambria" w:hAnsi="Cambria"/>
                <w:color w:val="231F20"/>
                <w:sz w:val="20"/>
                <w:szCs w:val="20"/>
              </w:rPr>
              <w:t>54,02 %</w:t>
            </w:r>
          </w:p>
        </w:tc>
        <w:tc>
          <w:tcPr>
            <w:tcW w:w="1559" w:type="dxa"/>
            <w:tcBorders>
              <w:top w:val="single" w:sz="4" w:space="0" w:color="231F20"/>
              <w:left w:val="single" w:sz="4" w:space="0" w:color="231F20"/>
              <w:bottom w:val="single" w:sz="4" w:space="0" w:color="231F20"/>
              <w:right w:val="single" w:sz="4" w:space="0" w:color="231F20"/>
            </w:tcBorders>
          </w:tcPr>
          <w:p w14:paraId="607B95F4" w14:textId="77777777" w:rsidR="005D5654" w:rsidRPr="005D5654" w:rsidRDefault="005D5654" w:rsidP="007D0E69">
            <w:pPr>
              <w:ind w:left="452"/>
              <w:rPr>
                <w:rFonts w:ascii="Cambria" w:eastAsia="Cambria" w:hAnsi="Cambria" w:cs="Cambria"/>
                <w:sz w:val="20"/>
                <w:szCs w:val="20"/>
              </w:rPr>
            </w:pPr>
            <w:r w:rsidRPr="005D5654">
              <w:rPr>
                <w:rFonts w:ascii="Cambria" w:hAnsi="Cambria"/>
                <w:color w:val="231F20"/>
                <w:sz w:val="20"/>
                <w:szCs w:val="20"/>
              </w:rPr>
              <w:t>1.303 t</w:t>
            </w:r>
          </w:p>
        </w:tc>
        <w:tc>
          <w:tcPr>
            <w:tcW w:w="2127" w:type="dxa"/>
            <w:tcBorders>
              <w:top w:val="single" w:sz="4" w:space="0" w:color="231F20"/>
              <w:left w:val="single" w:sz="4" w:space="0" w:color="231F20"/>
              <w:bottom w:val="single" w:sz="4" w:space="0" w:color="231F20"/>
              <w:right w:val="single" w:sz="4" w:space="0" w:color="231F20"/>
            </w:tcBorders>
          </w:tcPr>
          <w:p w14:paraId="00349CA4" w14:textId="77777777" w:rsidR="005D5654" w:rsidRPr="005D5654" w:rsidRDefault="005D5654" w:rsidP="007D0E69">
            <w:pPr>
              <w:jc w:val="center"/>
              <w:rPr>
                <w:rFonts w:ascii="Cambria" w:eastAsia="Cambria" w:hAnsi="Cambria" w:cs="Cambria"/>
                <w:sz w:val="20"/>
                <w:szCs w:val="20"/>
              </w:rPr>
            </w:pPr>
            <w:r w:rsidRPr="005D5654">
              <w:rPr>
                <w:rFonts w:ascii="Cambria" w:hAnsi="Cambria"/>
                <w:color w:val="231F20"/>
                <w:sz w:val="20"/>
                <w:szCs w:val="20"/>
              </w:rPr>
              <w:t>1.303 t</w:t>
            </w:r>
          </w:p>
        </w:tc>
        <w:tc>
          <w:tcPr>
            <w:tcW w:w="1559" w:type="dxa"/>
            <w:tcBorders>
              <w:top w:val="single" w:sz="4" w:space="0" w:color="231F20"/>
              <w:left w:val="single" w:sz="4" w:space="0" w:color="231F20"/>
              <w:bottom w:val="single" w:sz="4" w:space="0" w:color="231F20"/>
              <w:right w:val="single" w:sz="4" w:space="0" w:color="231F20"/>
            </w:tcBorders>
          </w:tcPr>
          <w:p w14:paraId="7D6A01BD" w14:textId="77777777" w:rsidR="005D5654" w:rsidRPr="005D5654" w:rsidRDefault="005D5654" w:rsidP="007D0E69">
            <w:pPr>
              <w:ind w:left="370"/>
              <w:rPr>
                <w:rFonts w:ascii="Cambria" w:eastAsia="Cambria" w:hAnsi="Cambria" w:cs="Cambria"/>
                <w:sz w:val="20"/>
                <w:szCs w:val="20"/>
              </w:rPr>
            </w:pPr>
            <w:r w:rsidRPr="005D5654">
              <w:rPr>
                <w:rFonts w:ascii="Cambria" w:hAnsi="Cambria"/>
                <w:color w:val="231F20"/>
                <w:sz w:val="20"/>
                <w:szCs w:val="20"/>
              </w:rPr>
              <w:t>49,00 %</w:t>
            </w:r>
          </w:p>
        </w:tc>
      </w:tr>
      <w:tr w:rsidR="005D5654" w:rsidRPr="005D5654" w14:paraId="5F550298" w14:textId="77777777" w:rsidTr="00885113">
        <w:trPr>
          <w:trHeight w:val="220"/>
        </w:trPr>
        <w:tc>
          <w:tcPr>
            <w:tcW w:w="2042" w:type="dxa"/>
            <w:tcBorders>
              <w:top w:val="single" w:sz="4" w:space="0" w:color="231F20"/>
              <w:left w:val="single" w:sz="4" w:space="0" w:color="231F20"/>
              <w:bottom w:val="single" w:sz="4" w:space="0" w:color="231F20"/>
              <w:right w:val="single" w:sz="4" w:space="0" w:color="231F20"/>
            </w:tcBorders>
          </w:tcPr>
          <w:p w14:paraId="11D0D9D3" w14:textId="77777777" w:rsidR="005D5654" w:rsidRPr="005D5654" w:rsidRDefault="005D5654" w:rsidP="007D0E69">
            <w:pPr>
              <w:ind w:left="96"/>
              <w:rPr>
                <w:rFonts w:ascii="Cambria" w:eastAsia="Cambria" w:hAnsi="Cambria" w:cs="Cambria"/>
                <w:sz w:val="20"/>
                <w:szCs w:val="20"/>
              </w:rPr>
            </w:pPr>
            <w:r w:rsidRPr="005D5654">
              <w:rPr>
                <w:rFonts w:ascii="Cambria" w:hAnsi="Cambria"/>
                <w:color w:val="231F20"/>
                <w:sz w:val="20"/>
                <w:szCs w:val="20"/>
              </w:rPr>
              <w:t>Canadá</w:t>
            </w:r>
          </w:p>
        </w:tc>
        <w:tc>
          <w:tcPr>
            <w:tcW w:w="1779" w:type="dxa"/>
            <w:tcBorders>
              <w:top w:val="single" w:sz="4" w:space="0" w:color="231F20"/>
              <w:left w:val="single" w:sz="4" w:space="0" w:color="231F20"/>
              <w:bottom w:val="single" w:sz="4" w:space="0" w:color="231F20"/>
              <w:right w:val="single" w:sz="4" w:space="0" w:color="231F20"/>
            </w:tcBorders>
          </w:tcPr>
          <w:p w14:paraId="144139CA" w14:textId="77777777" w:rsidR="005D5654" w:rsidRPr="005D5654" w:rsidRDefault="005D5654" w:rsidP="007D0E69">
            <w:pPr>
              <w:ind w:left="502"/>
              <w:rPr>
                <w:rFonts w:ascii="Cambria" w:eastAsia="Cambria" w:hAnsi="Cambria" w:cs="Cambria"/>
                <w:sz w:val="20"/>
                <w:szCs w:val="20"/>
              </w:rPr>
            </w:pPr>
            <w:r w:rsidRPr="005D5654">
              <w:rPr>
                <w:rFonts w:ascii="Cambria" w:hAnsi="Cambria"/>
                <w:color w:val="231F20"/>
                <w:sz w:val="20"/>
                <w:szCs w:val="20"/>
              </w:rPr>
              <w:t>22,32 %</w:t>
            </w:r>
          </w:p>
        </w:tc>
        <w:tc>
          <w:tcPr>
            <w:tcW w:w="1559" w:type="dxa"/>
            <w:tcBorders>
              <w:top w:val="single" w:sz="4" w:space="0" w:color="231F20"/>
              <w:left w:val="single" w:sz="4" w:space="0" w:color="231F20"/>
              <w:bottom w:val="single" w:sz="4" w:space="0" w:color="231F20"/>
              <w:right w:val="single" w:sz="4" w:space="0" w:color="231F20"/>
            </w:tcBorders>
          </w:tcPr>
          <w:p w14:paraId="2552AE76" w14:textId="77777777" w:rsidR="005D5654" w:rsidRPr="005D5654" w:rsidRDefault="005D5654" w:rsidP="007D0E69">
            <w:pPr>
              <w:ind w:left="1"/>
              <w:jc w:val="center"/>
              <w:rPr>
                <w:rFonts w:ascii="Cambria" w:eastAsia="Cambria" w:hAnsi="Cambria" w:cs="Cambria"/>
                <w:sz w:val="20"/>
                <w:szCs w:val="20"/>
              </w:rPr>
            </w:pPr>
            <w:r w:rsidRPr="005D5654">
              <w:rPr>
                <w:rFonts w:ascii="Cambria" w:hAnsi="Cambria"/>
                <w:color w:val="231F20"/>
                <w:sz w:val="20"/>
                <w:szCs w:val="20"/>
              </w:rPr>
              <w:t>539 t</w:t>
            </w:r>
          </w:p>
        </w:tc>
        <w:tc>
          <w:tcPr>
            <w:tcW w:w="2127" w:type="dxa"/>
            <w:tcBorders>
              <w:top w:val="single" w:sz="4" w:space="0" w:color="231F20"/>
              <w:left w:val="single" w:sz="4" w:space="0" w:color="231F20"/>
              <w:bottom w:val="single" w:sz="4" w:space="0" w:color="231F20"/>
              <w:right w:val="single" w:sz="4" w:space="0" w:color="231F20"/>
            </w:tcBorders>
          </w:tcPr>
          <w:p w14:paraId="6FFBA18E" w14:textId="77777777" w:rsidR="005D5654" w:rsidRPr="005D5654" w:rsidRDefault="005D5654" w:rsidP="007D0E69">
            <w:pPr>
              <w:ind w:left="1"/>
              <w:jc w:val="center"/>
              <w:rPr>
                <w:rFonts w:ascii="Cambria" w:eastAsia="Cambria" w:hAnsi="Cambria" w:cs="Cambria"/>
                <w:sz w:val="20"/>
                <w:szCs w:val="20"/>
              </w:rPr>
            </w:pPr>
            <w:r w:rsidRPr="005D5654">
              <w:rPr>
                <w:rFonts w:ascii="Cambria" w:hAnsi="Cambria"/>
                <w:color w:val="231F20"/>
                <w:sz w:val="20"/>
                <w:szCs w:val="20"/>
              </w:rPr>
              <w:t>539 t</w:t>
            </w:r>
          </w:p>
        </w:tc>
        <w:tc>
          <w:tcPr>
            <w:tcW w:w="1559" w:type="dxa"/>
            <w:tcBorders>
              <w:top w:val="single" w:sz="4" w:space="0" w:color="231F20"/>
              <w:left w:val="single" w:sz="4" w:space="0" w:color="231F20"/>
              <w:bottom w:val="single" w:sz="4" w:space="0" w:color="231F20"/>
              <w:right w:val="single" w:sz="4" w:space="0" w:color="231F20"/>
            </w:tcBorders>
          </w:tcPr>
          <w:p w14:paraId="2371C9BC" w14:textId="77777777" w:rsidR="005D5654" w:rsidRPr="005D5654" w:rsidRDefault="005D5654" w:rsidP="007D0E69">
            <w:pPr>
              <w:ind w:left="370"/>
              <w:rPr>
                <w:rFonts w:ascii="Cambria" w:eastAsia="Cambria" w:hAnsi="Cambria" w:cs="Cambria"/>
                <w:sz w:val="20"/>
                <w:szCs w:val="20"/>
              </w:rPr>
            </w:pPr>
            <w:r w:rsidRPr="005D5654">
              <w:rPr>
                <w:rFonts w:ascii="Cambria" w:hAnsi="Cambria"/>
                <w:color w:val="231F20"/>
                <w:sz w:val="20"/>
                <w:szCs w:val="20"/>
              </w:rPr>
              <w:t>20,24 %</w:t>
            </w:r>
          </w:p>
        </w:tc>
      </w:tr>
      <w:tr w:rsidR="005D5654" w:rsidRPr="005D5654" w14:paraId="165FBC7A" w14:textId="77777777" w:rsidTr="00885113">
        <w:trPr>
          <w:trHeight w:val="800"/>
        </w:trPr>
        <w:tc>
          <w:tcPr>
            <w:tcW w:w="2042" w:type="dxa"/>
            <w:tcBorders>
              <w:top w:val="single" w:sz="4" w:space="0" w:color="231F20"/>
              <w:left w:val="single" w:sz="4" w:space="0" w:color="231F20"/>
              <w:bottom w:val="single" w:sz="4" w:space="0" w:color="231F20"/>
              <w:right w:val="single" w:sz="4" w:space="0" w:color="231F20"/>
            </w:tcBorders>
          </w:tcPr>
          <w:p w14:paraId="5B515E21" w14:textId="77777777" w:rsidR="005D5654" w:rsidRPr="005D5654" w:rsidRDefault="005D5654" w:rsidP="007D0E69">
            <w:pPr>
              <w:rPr>
                <w:rFonts w:ascii="Cambria" w:eastAsia="Cambria" w:hAnsi="Cambria" w:cs="Cambria"/>
                <w:sz w:val="20"/>
                <w:szCs w:val="20"/>
              </w:rPr>
            </w:pPr>
          </w:p>
          <w:p w14:paraId="5B94FAD1" w14:textId="77777777" w:rsidR="005D5654" w:rsidRPr="005D5654" w:rsidRDefault="005D5654" w:rsidP="007D0E69">
            <w:pPr>
              <w:ind w:left="96"/>
              <w:rPr>
                <w:rFonts w:ascii="Cambria" w:eastAsia="Cambria" w:hAnsi="Cambria" w:cs="Cambria"/>
                <w:sz w:val="20"/>
                <w:szCs w:val="20"/>
              </w:rPr>
            </w:pPr>
            <w:r w:rsidRPr="005D5654">
              <w:rPr>
                <w:rFonts w:ascii="Cambria" w:hAnsi="Cambria"/>
                <w:color w:val="231F20"/>
                <w:sz w:val="20"/>
                <w:szCs w:val="20"/>
              </w:rPr>
              <w:t>Japón</w:t>
            </w:r>
          </w:p>
        </w:tc>
        <w:tc>
          <w:tcPr>
            <w:tcW w:w="1779" w:type="dxa"/>
            <w:tcBorders>
              <w:top w:val="single" w:sz="4" w:space="0" w:color="231F20"/>
              <w:left w:val="single" w:sz="4" w:space="0" w:color="231F20"/>
              <w:bottom w:val="single" w:sz="4" w:space="0" w:color="231F20"/>
              <w:right w:val="single" w:sz="4" w:space="0" w:color="231F20"/>
            </w:tcBorders>
          </w:tcPr>
          <w:p w14:paraId="7D67142A" w14:textId="77777777" w:rsidR="005D5654" w:rsidRPr="005D5654" w:rsidRDefault="005D5654" w:rsidP="007D0E69">
            <w:pPr>
              <w:rPr>
                <w:rFonts w:ascii="Cambria" w:eastAsia="Cambria" w:hAnsi="Cambria" w:cs="Cambria"/>
                <w:sz w:val="20"/>
                <w:szCs w:val="20"/>
              </w:rPr>
            </w:pPr>
          </w:p>
          <w:p w14:paraId="767D9334" w14:textId="77777777" w:rsidR="005D5654" w:rsidRPr="005D5654" w:rsidRDefault="005D5654" w:rsidP="007D0E69">
            <w:pPr>
              <w:ind w:left="502"/>
              <w:rPr>
                <w:rFonts w:ascii="Cambria" w:eastAsia="Cambria" w:hAnsi="Cambria" w:cs="Cambria"/>
                <w:sz w:val="20"/>
                <w:szCs w:val="20"/>
              </w:rPr>
            </w:pPr>
            <w:r w:rsidRPr="005D5654">
              <w:rPr>
                <w:rFonts w:ascii="Cambria" w:hAnsi="Cambria"/>
                <w:color w:val="231F20"/>
                <w:sz w:val="20"/>
                <w:szCs w:val="20"/>
              </w:rPr>
              <w:t>17,64 %</w:t>
            </w:r>
          </w:p>
        </w:tc>
        <w:tc>
          <w:tcPr>
            <w:tcW w:w="1559" w:type="dxa"/>
            <w:tcBorders>
              <w:top w:val="single" w:sz="4" w:space="0" w:color="231F20"/>
              <w:left w:val="single" w:sz="4" w:space="0" w:color="231F20"/>
              <w:bottom w:val="single" w:sz="4" w:space="0" w:color="231F20"/>
              <w:right w:val="single" w:sz="4" w:space="0" w:color="231F20"/>
            </w:tcBorders>
          </w:tcPr>
          <w:p w14:paraId="4A852D26" w14:textId="77777777" w:rsidR="005D5654" w:rsidRPr="005D5654" w:rsidRDefault="005D5654" w:rsidP="007D0E69">
            <w:pPr>
              <w:rPr>
                <w:rFonts w:ascii="Cambria" w:eastAsia="Cambria" w:hAnsi="Cambria" w:cs="Cambria"/>
                <w:sz w:val="20"/>
                <w:szCs w:val="20"/>
              </w:rPr>
            </w:pPr>
          </w:p>
          <w:p w14:paraId="7221DD00" w14:textId="77777777" w:rsidR="005D5654" w:rsidRPr="005D5654" w:rsidRDefault="005D5654" w:rsidP="007D0E69">
            <w:pPr>
              <w:ind w:left="1"/>
              <w:jc w:val="center"/>
              <w:rPr>
                <w:rFonts w:ascii="Cambria" w:eastAsia="Cambria" w:hAnsi="Cambria" w:cs="Cambria"/>
                <w:sz w:val="20"/>
                <w:szCs w:val="20"/>
              </w:rPr>
            </w:pPr>
            <w:r w:rsidRPr="005D5654">
              <w:rPr>
                <w:rFonts w:ascii="Cambria" w:hAnsi="Cambria"/>
                <w:color w:val="231F20"/>
                <w:sz w:val="20"/>
                <w:szCs w:val="20"/>
              </w:rPr>
              <w:t>426 t</w:t>
            </w:r>
          </w:p>
        </w:tc>
        <w:tc>
          <w:tcPr>
            <w:tcW w:w="2127" w:type="dxa"/>
            <w:tcBorders>
              <w:top w:val="single" w:sz="4" w:space="0" w:color="231F20"/>
              <w:left w:val="single" w:sz="4" w:space="0" w:color="231F20"/>
              <w:bottom w:val="single" w:sz="4" w:space="0" w:color="231F20"/>
              <w:right w:val="single" w:sz="4" w:space="0" w:color="231F20"/>
            </w:tcBorders>
          </w:tcPr>
          <w:p w14:paraId="18282CCF" w14:textId="77777777" w:rsidR="005D5654" w:rsidRPr="005D5654" w:rsidRDefault="005D5654" w:rsidP="007D0E69">
            <w:pPr>
              <w:ind w:left="136" w:right="135"/>
              <w:jc w:val="center"/>
              <w:rPr>
                <w:rFonts w:ascii="Cambria" w:eastAsia="Cambria" w:hAnsi="Cambria" w:cs="Cambria"/>
                <w:color w:val="231F20"/>
                <w:sz w:val="20"/>
                <w:szCs w:val="20"/>
              </w:rPr>
            </w:pPr>
            <w:r w:rsidRPr="005D5654">
              <w:rPr>
                <w:rFonts w:ascii="Cambria" w:hAnsi="Cambria"/>
                <w:color w:val="231F20"/>
                <w:sz w:val="20"/>
                <w:szCs w:val="20"/>
              </w:rPr>
              <w:t xml:space="preserve">426 t + </w:t>
            </w:r>
          </w:p>
          <w:p w14:paraId="584BB293" w14:textId="77777777" w:rsidR="005D5654" w:rsidRPr="005D5654" w:rsidRDefault="005D5654" w:rsidP="007D0E69">
            <w:pPr>
              <w:ind w:left="136" w:right="135"/>
              <w:jc w:val="center"/>
              <w:rPr>
                <w:rFonts w:ascii="Cambria" w:eastAsia="Cambria" w:hAnsi="Cambria" w:cs="Cambria"/>
                <w:color w:val="231F20"/>
                <w:sz w:val="20"/>
                <w:szCs w:val="20"/>
              </w:rPr>
            </w:pPr>
            <w:r w:rsidRPr="005D5654">
              <w:rPr>
                <w:rFonts w:ascii="Cambria" w:hAnsi="Cambria"/>
                <w:color w:val="231F20"/>
                <w:sz w:val="20"/>
                <w:szCs w:val="20"/>
              </w:rPr>
              <w:t xml:space="preserve">todo incremento entre </w:t>
            </w:r>
          </w:p>
          <w:p w14:paraId="6B0EA623" w14:textId="77777777" w:rsidR="005D5654" w:rsidRPr="005D5654" w:rsidRDefault="005D5654" w:rsidP="007D0E69">
            <w:pPr>
              <w:ind w:left="136" w:right="135"/>
              <w:jc w:val="center"/>
              <w:rPr>
                <w:rFonts w:ascii="Cambria" w:eastAsia="Cambria" w:hAnsi="Cambria" w:cs="Cambria"/>
                <w:sz w:val="20"/>
                <w:szCs w:val="20"/>
              </w:rPr>
            </w:pPr>
            <w:r w:rsidRPr="005D5654">
              <w:rPr>
                <w:rFonts w:ascii="Cambria" w:hAnsi="Cambria"/>
                <w:color w:val="231F20"/>
                <w:sz w:val="20"/>
                <w:szCs w:val="20"/>
              </w:rPr>
              <w:t>2.413 t y 2.660 t</w:t>
            </w:r>
          </w:p>
        </w:tc>
        <w:tc>
          <w:tcPr>
            <w:tcW w:w="1559" w:type="dxa"/>
            <w:tcBorders>
              <w:top w:val="single" w:sz="4" w:space="0" w:color="231F20"/>
              <w:left w:val="single" w:sz="4" w:space="0" w:color="231F20"/>
              <w:bottom w:val="single" w:sz="4" w:space="0" w:color="231F20"/>
              <w:right w:val="single" w:sz="4" w:space="0" w:color="231F20"/>
            </w:tcBorders>
          </w:tcPr>
          <w:p w14:paraId="2C088CC5" w14:textId="77777777" w:rsidR="005D5654" w:rsidRPr="005D5654" w:rsidRDefault="005D5654" w:rsidP="007D0E69">
            <w:pPr>
              <w:rPr>
                <w:rFonts w:ascii="Cambria" w:eastAsia="Cambria" w:hAnsi="Cambria" w:cs="Cambria"/>
                <w:sz w:val="20"/>
                <w:szCs w:val="20"/>
              </w:rPr>
            </w:pPr>
          </w:p>
          <w:p w14:paraId="5F0D2560" w14:textId="77777777" w:rsidR="005D5654" w:rsidRPr="005D5654" w:rsidRDefault="005D5654" w:rsidP="007D0E69">
            <w:pPr>
              <w:ind w:left="370"/>
              <w:rPr>
                <w:rFonts w:ascii="Cambria" w:eastAsia="Cambria" w:hAnsi="Cambria" w:cs="Cambria"/>
                <w:sz w:val="20"/>
                <w:szCs w:val="20"/>
              </w:rPr>
            </w:pPr>
            <w:r w:rsidRPr="005D5654">
              <w:rPr>
                <w:rFonts w:ascii="Cambria" w:hAnsi="Cambria"/>
                <w:color w:val="231F20"/>
                <w:sz w:val="20"/>
                <w:szCs w:val="20"/>
              </w:rPr>
              <w:t>24,74 %</w:t>
            </w:r>
          </w:p>
        </w:tc>
      </w:tr>
      <w:tr w:rsidR="005D5654" w:rsidRPr="005D5654" w14:paraId="69F32DF3" w14:textId="77777777" w:rsidTr="00885113">
        <w:trPr>
          <w:trHeight w:val="700"/>
        </w:trPr>
        <w:tc>
          <w:tcPr>
            <w:tcW w:w="2042" w:type="dxa"/>
            <w:tcBorders>
              <w:top w:val="single" w:sz="4" w:space="0" w:color="231F20"/>
              <w:left w:val="single" w:sz="4" w:space="0" w:color="231F20"/>
              <w:bottom w:val="single" w:sz="4" w:space="0" w:color="231F20"/>
              <w:right w:val="single" w:sz="4" w:space="0" w:color="231F20"/>
            </w:tcBorders>
          </w:tcPr>
          <w:p w14:paraId="71CE5DAC" w14:textId="77777777" w:rsidR="005D5654" w:rsidRPr="005D5654" w:rsidRDefault="005D5654" w:rsidP="007D0E69">
            <w:pPr>
              <w:ind w:left="96" w:right="397"/>
              <w:rPr>
                <w:rFonts w:ascii="Cambria" w:eastAsia="Cambria" w:hAnsi="Cambria" w:cs="Cambria"/>
                <w:sz w:val="20"/>
                <w:szCs w:val="20"/>
              </w:rPr>
            </w:pPr>
            <w:r w:rsidRPr="005D5654">
              <w:rPr>
                <w:rFonts w:ascii="Cambria" w:hAnsi="Cambria"/>
                <w:color w:val="231F20"/>
                <w:sz w:val="20"/>
                <w:szCs w:val="20"/>
              </w:rPr>
              <w:t>Reino Unido (por Bermudas)</w:t>
            </w:r>
          </w:p>
        </w:tc>
        <w:tc>
          <w:tcPr>
            <w:tcW w:w="1779" w:type="dxa"/>
            <w:tcBorders>
              <w:top w:val="single" w:sz="4" w:space="0" w:color="231F20"/>
              <w:left w:val="single" w:sz="4" w:space="0" w:color="231F20"/>
              <w:bottom w:val="single" w:sz="4" w:space="0" w:color="231F20"/>
              <w:right w:val="single" w:sz="4" w:space="0" w:color="231F20"/>
            </w:tcBorders>
          </w:tcPr>
          <w:p w14:paraId="14EC8905" w14:textId="77777777" w:rsidR="005D5654" w:rsidRPr="005D5654" w:rsidRDefault="005D5654" w:rsidP="007D0E69">
            <w:pPr>
              <w:jc w:val="center"/>
              <w:rPr>
                <w:rFonts w:ascii="Cambria" w:eastAsia="Cambria" w:hAnsi="Cambria" w:cs="Cambria"/>
                <w:sz w:val="20"/>
                <w:szCs w:val="20"/>
              </w:rPr>
            </w:pPr>
            <w:r w:rsidRPr="005D5654">
              <w:rPr>
                <w:rFonts w:ascii="Cambria" w:hAnsi="Cambria"/>
                <w:color w:val="231F20"/>
                <w:sz w:val="20"/>
                <w:szCs w:val="20"/>
              </w:rPr>
              <w:t>0,23 %</w:t>
            </w:r>
          </w:p>
        </w:tc>
        <w:tc>
          <w:tcPr>
            <w:tcW w:w="1559" w:type="dxa"/>
            <w:tcBorders>
              <w:top w:val="single" w:sz="4" w:space="0" w:color="231F20"/>
              <w:left w:val="single" w:sz="4" w:space="0" w:color="231F20"/>
              <w:bottom w:val="single" w:sz="4" w:space="0" w:color="231F20"/>
              <w:right w:val="single" w:sz="4" w:space="0" w:color="231F20"/>
            </w:tcBorders>
          </w:tcPr>
          <w:p w14:paraId="51515045" w14:textId="77777777" w:rsidR="005D5654" w:rsidRPr="005D5654" w:rsidRDefault="005D5654" w:rsidP="007D0E69">
            <w:pPr>
              <w:ind w:left="547"/>
              <w:rPr>
                <w:rFonts w:ascii="Cambria" w:eastAsia="Cambria" w:hAnsi="Cambria" w:cs="Cambria"/>
                <w:sz w:val="20"/>
                <w:szCs w:val="20"/>
              </w:rPr>
            </w:pPr>
            <w:r w:rsidRPr="005D5654">
              <w:rPr>
                <w:rFonts w:ascii="Cambria" w:hAnsi="Cambria"/>
                <w:color w:val="231F20"/>
                <w:sz w:val="20"/>
                <w:szCs w:val="20"/>
              </w:rPr>
              <w:t>5,5 t</w:t>
            </w:r>
          </w:p>
        </w:tc>
        <w:tc>
          <w:tcPr>
            <w:tcW w:w="2127" w:type="dxa"/>
            <w:tcBorders>
              <w:top w:val="single" w:sz="4" w:space="0" w:color="231F20"/>
              <w:left w:val="single" w:sz="4" w:space="0" w:color="231F20"/>
              <w:bottom w:val="single" w:sz="4" w:space="0" w:color="231F20"/>
              <w:right w:val="single" w:sz="4" w:space="0" w:color="231F20"/>
            </w:tcBorders>
          </w:tcPr>
          <w:p w14:paraId="37813D89" w14:textId="77777777" w:rsidR="005D5654" w:rsidRPr="005D5654" w:rsidRDefault="005D5654" w:rsidP="007D0E69">
            <w:pPr>
              <w:ind w:left="728"/>
              <w:rPr>
                <w:rFonts w:ascii="Cambria" w:eastAsia="Cambria" w:hAnsi="Cambria" w:cs="Cambria"/>
                <w:sz w:val="20"/>
                <w:szCs w:val="20"/>
              </w:rPr>
            </w:pPr>
            <w:r w:rsidRPr="005D5654">
              <w:rPr>
                <w:rFonts w:ascii="Cambria" w:hAnsi="Cambria"/>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tcPr>
          <w:p w14:paraId="74227BC5" w14:textId="77777777" w:rsidR="005D5654" w:rsidRPr="005D5654" w:rsidRDefault="005D5654" w:rsidP="007D0E69">
            <w:pPr>
              <w:ind w:left="417"/>
              <w:rPr>
                <w:rFonts w:ascii="Cambria" w:eastAsia="Cambria" w:hAnsi="Cambria" w:cs="Cambria"/>
                <w:sz w:val="20"/>
                <w:szCs w:val="20"/>
              </w:rPr>
            </w:pPr>
            <w:r w:rsidRPr="005D5654">
              <w:rPr>
                <w:rFonts w:ascii="Cambria" w:hAnsi="Cambria"/>
                <w:color w:val="231F20"/>
                <w:sz w:val="20"/>
                <w:szCs w:val="20"/>
              </w:rPr>
              <w:t>0,23 %</w:t>
            </w:r>
          </w:p>
        </w:tc>
      </w:tr>
      <w:tr w:rsidR="005D5654" w:rsidRPr="005D5654" w14:paraId="456BF16E" w14:textId="77777777" w:rsidTr="00885113">
        <w:trPr>
          <w:trHeight w:val="700"/>
        </w:trPr>
        <w:tc>
          <w:tcPr>
            <w:tcW w:w="2042" w:type="dxa"/>
            <w:tcBorders>
              <w:top w:val="single" w:sz="4" w:space="0" w:color="231F20"/>
              <w:left w:val="single" w:sz="4" w:space="0" w:color="231F20"/>
              <w:bottom w:val="single" w:sz="4" w:space="0" w:color="231F20"/>
              <w:right w:val="single" w:sz="4" w:space="0" w:color="231F20"/>
            </w:tcBorders>
          </w:tcPr>
          <w:p w14:paraId="3136A702" w14:textId="77777777" w:rsidR="005D5654" w:rsidRPr="005D5654" w:rsidRDefault="005D5654" w:rsidP="007D0E69">
            <w:pPr>
              <w:ind w:left="96" w:right="128"/>
              <w:rPr>
                <w:rFonts w:ascii="Cambria" w:eastAsia="Cambria" w:hAnsi="Cambria" w:cs="Cambria"/>
                <w:sz w:val="20"/>
                <w:szCs w:val="20"/>
              </w:rPr>
            </w:pPr>
            <w:r w:rsidRPr="005D5654">
              <w:rPr>
                <w:rFonts w:ascii="Cambria" w:hAnsi="Cambria"/>
                <w:color w:val="231F20"/>
                <w:sz w:val="20"/>
                <w:szCs w:val="20"/>
              </w:rPr>
              <w:t>Francia (por San Pedro y Miquelón)</w:t>
            </w:r>
          </w:p>
        </w:tc>
        <w:tc>
          <w:tcPr>
            <w:tcW w:w="1779" w:type="dxa"/>
            <w:tcBorders>
              <w:top w:val="single" w:sz="4" w:space="0" w:color="231F20"/>
              <w:left w:val="single" w:sz="4" w:space="0" w:color="231F20"/>
              <w:bottom w:val="single" w:sz="4" w:space="0" w:color="231F20"/>
              <w:right w:val="single" w:sz="4" w:space="0" w:color="231F20"/>
            </w:tcBorders>
          </w:tcPr>
          <w:p w14:paraId="18B1C881" w14:textId="77777777" w:rsidR="005D5654" w:rsidRPr="005D5654" w:rsidRDefault="005D5654" w:rsidP="007D0E69">
            <w:pPr>
              <w:jc w:val="center"/>
              <w:rPr>
                <w:rFonts w:ascii="Cambria" w:eastAsia="Cambria" w:hAnsi="Cambria" w:cs="Cambria"/>
                <w:sz w:val="20"/>
                <w:szCs w:val="20"/>
              </w:rPr>
            </w:pPr>
            <w:r w:rsidRPr="005D5654">
              <w:rPr>
                <w:rFonts w:ascii="Cambria" w:hAnsi="Cambria"/>
                <w:color w:val="231F20"/>
                <w:sz w:val="20"/>
                <w:szCs w:val="20"/>
              </w:rPr>
              <w:t>0,23 %</w:t>
            </w:r>
          </w:p>
        </w:tc>
        <w:tc>
          <w:tcPr>
            <w:tcW w:w="1559" w:type="dxa"/>
            <w:tcBorders>
              <w:top w:val="single" w:sz="4" w:space="0" w:color="231F20"/>
              <w:left w:val="single" w:sz="4" w:space="0" w:color="231F20"/>
              <w:bottom w:val="single" w:sz="4" w:space="0" w:color="231F20"/>
              <w:right w:val="single" w:sz="4" w:space="0" w:color="231F20"/>
            </w:tcBorders>
          </w:tcPr>
          <w:p w14:paraId="7765A8FE" w14:textId="77777777" w:rsidR="005D5654" w:rsidRPr="005D5654" w:rsidRDefault="005D5654" w:rsidP="007D0E69">
            <w:pPr>
              <w:ind w:left="547"/>
              <w:rPr>
                <w:rFonts w:ascii="Cambria" w:eastAsia="Cambria" w:hAnsi="Cambria" w:cs="Cambria"/>
                <w:sz w:val="20"/>
                <w:szCs w:val="20"/>
              </w:rPr>
            </w:pPr>
            <w:r w:rsidRPr="005D5654">
              <w:rPr>
                <w:rFonts w:ascii="Cambria" w:hAnsi="Cambria"/>
                <w:color w:val="231F20"/>
                <w:sz w:val="20"/>
                <w:szCs w:val="20"/>
              </w:rPr>
              <w:t>5,5 t</w:t>
            </w:r>
          </w:p>
        </w:tc>
        <w:tc>
          <w:tcPr>
            <w:tcW w:w="2127" w:type="dxa"/>
            <w:tcBorders>
              <w:top w:val="single" w:sz="4" w:space="0" w:color="231F20"/>
              <w:left w:val="single" w:sz="4" w:space="0" w:color="231F20"/>
              <w:bottom w:val="single" w:sz="4" w:space="0" w:color="231F20"/>
              <w:right w:val="single" w:sz="4" w:space="0" w:color="231F20"/>
            </w:tcBorders>
          </w:tcPr>
          <w:p w14:paraId="121117F4" w14:textId="77777777" w:rsidR="005D5654" w:rsidRPr="005D5654" w:rsidRDefault="005D5654" w:rsidP="007D0E69">
            <w:pPr>
              <w:ind w:left="728"/>
              <w:rPr>
                <w:rFonts w:ascii="Cambria" w:eastAsia="Cambria" w:hAnsi="Cambria" w:cs="Cambria"/>
                <w:sz w:val="20"/>
                <w:szCs w:val="20"/>
              </w:rPr>
            </w:pPr>
            <w:r w:rsidRPr="005D5654">
              <w:rPr>
                <w:rFonts w:ascii="Cambria" w:hAnsi="Cambria"/>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tcPr>
          <w:p w14:paraId="34D0B2E6" w14:textId="77777777" w:rsidR="005D5654" w:rsidRPr="005D5654" w:rsidRDefault="005D5654" w:rsidP="007D0E69">
            <w:pPr>
              <w:ind w:left="417"/>
              <w:rPr>
                <w:rFonts w:ascii="Cambria" w:eastAsia="Cambria" w:hAnsi="Cambria" w:cs="Cambria"/>
                <w:sz w:val="20"/>
                <w:szCs w:val="20"/>
              </w:rPr>
            </w:pPr>
            <w:r w:rsidRPr="005D5654">
              <w:rPr>
                <w:rFonts w:ascii="Cambria" w:hAnsi="Cambria"/>
                <w:color w:val="231F20"/>
                <w:sz w:val="20"/>
                <w:szCs w:val="20"/>
              </w:rPr>
              <w:t>0,23 %</w:t>
            </w:r>
          </w:p>
        </w:tc>
      </w:tr>
      <w:tr w:rsidR="005D5654" w:rsidRPr="005D5654" w14:paraId="5551D091" w14:textId="77777777" w:rsidTr="00885113">
        <w:trPr>
          <w:trHeight w:val="220"/>
        </w:trPr>
        <w:tc>
          <w:tcPr>
            <w:tcW w:w="2042" w:type="dxa"/>
            <w:tcBorders>
              <w:top w:val="single" w:sz="4" w:space="0" w:color="231F20"/>
              <w:left w:val="single" w:sz="4" w:space="0" w:color="231F20"/>
              <w:bottom w:val="single" w:sz="4" w:space="0" w:color="231F20"/>
              <w:right w:val="single" w:sz="4" w:space="0" w:color="231F20"/>
            </w:tcBorders>
          </w:tcPr>
          <w:p w14:paraId="5919D490" w14:textId="77777777" w:rsidR="005D5654" w:rsidRPr="005D5654" w:rsidRDefault="005D5654" w:rsidP="007D0E69">
            <w:pPr>
              <w:ind w:left="96"/>
              <w:rPr>
                <w:rFonts w:ascii="Cambria" w:eastAsia="Cambria" w:hAnsi="Cambria" w:cs="Cambria"/>
                <w:sz w:val="20"/>
                <w:szCs w:val="20"/>
              </w:rPr>
            </w:pPr>
            <w:r w:rsidRPr="005D5654">
              <w:rPr>
                <w:rFonts w:ascii="Cambria" w:hAnsi="Cambria"/>
                <w:color w:val="231F20"/>
                <w:sz w:val="20"/>
                <w:szCs w:val="20"/>
              </w:rPr>
              <w:t>México</w:t>
            </w:r>
          </w:p>
        </w:tc>
        <w:tc>
          <w:tcPr>
            <w:tcW w:w="1779" w:type="dxa"/>
            <w:tcBorders>
              <w:top w:val="single" w:sz="4" w:space="0" w:color="231F20"/>
              <w:left w:val="single" w:sz="4" w:space="0" w:color="231F20"/>
              <w:bottom w:val="single" w:sz="4" w:space="0" w:color="231F20"/>
              <w:right w:val="single" w:sz="4" w:space="0" w:color="231F20"/>
            </w:tcBorders>
          </w:tcPr>
          <w:p w14:paraId="4EFC7CB7" w14:textId="77777777" w:rsidR="005D5654" w:rsidRPr="005D5654" w:rsidRDefault="005D5654" w:rsidP="007D0E69">
            <w:pPr>
              <w:jc w:val="center"/>
              <w:rPr>
                <w:rFonts w:ascii="Cambria" w:eastAsia="Cambria" w:hAnsi="Cambria" w:cs="Cambria"/>
                <w:sz w:val="20"/>
                <w:szCs w:val="20"/>
              </w:rPr>
            </w:pPr>
            <w:r w:rsidRPr="005D5654">
              <w:rPr>
                <w:rFonts w:ascii="Cambria" w:hAnsi="Cambria"/>
                <w:color w:val="231F20"/>
                <w:sz w:val="20"/>
                <w:szCs w:val="20"/>
              </w:rPr>
              <w:t>5,56%</w:t>
            </w:r>
          </w:p>
        </w:tc>
        <w:tc>
          <w:tcPr>
            <w:tcW w:w="1559" w:type="dxa"/>
            <w:tcBorders>
              <w:top w:val="single" w:sz="4" w:space="0" w:color="231F20"/>
              <w:left w:val="single" w:sz="4" w:space="0" w:color="231F20"/>
              <w:bottom w:val="single" w:sz="4" w:space="0" w:color="231F20"/>
              <w:right w:val="single" w:sz="4" w:space="0" w:color="231F20"/>
            </w:tcBorders>
          </w:tcPr>
          <w:p w14:paraId="4749619B" w14:textId="77777777" w:rsidR="005D5654" w:rsidRPr="005D5654" w:rsidRDefault="005D5654" w:rsidP="007D0E69">
            <w:pPr>
              <w:ind w:left="1"/>
              <w:jc w:val="center"/>
              <w:rPr>
                <w:rFonts w:ascii="Cambria" w:eastAsia="Cambria" w:hAnsi="Cambria" w:cs="Cambria"/>
                <w:sz w:val="20"/>
                <w:szCs w:val="20"/>
              </w:rPr>
            </w:pPr>
            <w:r w:rsidRPr="005D5654">
              <w:rPr>
                <w:rFonts w:ascii="Cambria" w:hAnsi="Cambria"/>
                <w:color w:val="231F20"/>
                <w:sz w:val="20"/>
                <w:szCs w:val="20"/>
              </w:rPr>
              <w:t>134 t</w:t>
            </w:r>
          </w:p>
        </w:tc>
        <w:tc>
          <w:tcPr>
            <w:tcW w:w="2127" w:type="dxa"/>
            <w:tcBorders>
              <w:top w:val="single" w:sz="4" w:space="0" w:color="231F20"/>
              <w:left w:val="single" w:sz="4" w:space="0" w:color="231F20"/>
              <w:bottom w:val="single" w:sz="4" w:space="0" w:color="231F20"/>
              <w:right w:val="single" w:sz="4" w:space="0" w:color="231F20"/>
            </w:tcBorders>
          </w:tcPr>
          <w:p w14:paraId="65324B14" w14:textId="77777777" w:rsidR="005D5654" w:rsidRPr="005D5654" w:rsidRDefault="005D5654" w:rsidP="007D0E69">
            <w:pPr>
              <w:ind w:left="1"/>
              <w:jc w:val="center"/>
              <w:rPr>
                <w:rFonts w:ascii="Cambria" w:eastAsia="Cambria" w:hAnsi="Cambria" w:cs="Cambria"/>
                <w:sz w:val="20"/>
                <w:szCs w:val="20"/>
              </w:rPr>
            </w:pPr>
            <w:r w:rsidRPr="005D5654">
              <w:rPr>
                <w:rFonts w:ascii="Cambria" w:hAnsi="Cambria"/>
                <w:color w:val="231F20"/>
                <w:sz w:val="20"/>
                <w:szCs w:val="20"/>
              </w:rPr>
              <w:t>134 t</w:t>
            </w:r>
          </w:p>
        </w:tc>
        <w:tc>
          <w:tcPr>
            <w:tcW w:w="1559" w:type="dxa"/>
            <w:tcBorders>
              <w:top w:val="single" w:sz="4" w:space="0" w:color="231F20"/>
              <w:left w:val="single" w:sz="4" w:space="0" w:color="231F20"/>
              <w:bottom w:val="single" w:sz="4" w:space="0" w:color="231F20"/>
              <w:right w:val="single" w:sz="4" w:space="0" w:color="231F20"/>
            </w:tcBorders>
          </w:tcPr>
          <w:p w14:paraId="55771AF3" w14:textId="77777777" w:rsidR="005D5654" w:rsidRPr="005D5654" w:rsidRDefault="005D5654" w:rsidP="007D0E69">
            <w:pPr>
              <w:ind w:left="417"/>
              <w:rPr>
                <w:rFonts w:ascii="Cambria" w:eastAsia="Cambria" w:hAnsi="Cambria" w:cs="Cambria"/>
                <w:sz w:val="20"/>
                <w:szCs w:val="20"/>
              </w:rPr>
            </w:pPr>
            <w:r w:rsidRPr="005D5654">
              <w:rPr>
                <w:rFonts w:ascii="Cambria" w:hAnsi="Cambria"/>
                <w:color w:val="231F20"/>
                <w:sz w:val="20"/>
                <w:szCs w:val="20"/>
              </w:rPr>
              <w:t>5,56 %</w:t>
            </w:r>
          </w:p>
        </w:tc>
      </w:tr>
    </w:tbl>
    <w:p w14:paraId="3EBB20EB" w14:textId="77777777" w:rsidR="005D5654" w:rsidRPr="005D5654" w:rsidRDefault="005D5654" w:rsidP="007D0E69">
      <w:pPr>
        <w:rPr>
          <w:rFonts w:ascii="Cambria" w:eastAsia="Cambria" w:hAnsi="Cambria" w:cs="Cambria"/>
          <w:sz w:val="20"/>
          <w:szCs w:val="20"/>
        </w:rPr>
      </w:pPr>
    </w:p>
    <w:p w14:paraId="2BEAB3D6" w14:textId="77777777" w:rsidR="005D5654" w:rsidRPr="005D5654" w:rsidRDefault="005D5654" w:rsidP="007D0E69">
      <w:pPr>
        <w:widowControl/>
        <w:numPr>
          <w:ilvl w:val="1"/>
          <w:numId w:val="3"/>
        </w:numPr>
        <w:tabs>
          <w:tab w:val="left" w:pos="993"/>
        </w:tabs>
        <w:ind w:left="993" w:hanging="426"/>
        <w:jc w:val="both"/>
        <w:rPr>
          <w:rFonts w:ascii="Cambria" w:eastAsia="Cambria" w:hAnsi="Cambria" w:cs="Cambria"/>
          <w:sz w:val="20"/>
          <w:szCs w:val="20"/>
        </w:rPr>
      </w:pPr>
      <w:r w:rsidRPr="005D5654">
        <w:rPr>
          <w:rFonts w:ascii="Cambria" w:hAnsi="Cambria"/>
          <w:color w:val="231F20"/>
          <w:sz w:val="20"/>
          <w:szCs w:val="20"/>
        </w:rPr>
        <w:t>De conformidad con los párrafos 1, 3 y 5 b), los TAC anuales para 2023-2025 darán lugar a las siguientes asignaciones de cuota específicas de cada CPC, sin incluir la tolerancia para captura fortuita mencionada en el párrafo 5 a):</w:t>
      </w:r>
    </w:p>
    <w:p w14:paraId="6601D1C3" w14:textId="77777777" w:rsidR="005D5654" w:rsidRPr="005D5654" w:rsidRDefault="005D5654" w:rsidP="007D0E69">
      <w:pPr>
        <w:ind w:left="1722"/>
        <w:rPr>
          <w:rFonts w:ascii="Cambria" w:eastAsia="Cambria" w:hAnsi="Cambria" w:cs="Cambria"/>
          <w:sz w:val="20"/>
          <w:szCs w:val="20"/>
        </w:rPr>
      </w:pPr>
    </w:p>
    <w:p w14:paraId="6ED90871" w14:textId="77777777" w:rsidR="005D5654" w:rsidRPr="005D5654" w:rsidRDefault="005D5654" w:rsidP="007D0E69">
      <w:pPr>
        <w:tabs>
          <w:tab w:val="left" w:pos="4621"/>
        </w:tabs>
        <w:ind w:left="1"/>
        <w:jc w:val="center"/>
        <w:rPr>
          <w:rFonts w:ascii="Cambria" w:hAnsi="Cambria"/>
          <w:i/>
          <w:color w:val="231F20"/>
          <w:sz w:val="20"/>
          <w:szCs w:val="20"/>
        </w:rPr>
      </w:pPr>
      <w:r w:rsidRPr="005D5654">
        <w:rPr>
          <w:rFonts w:ascii="Cambria" w:hAnsi="Cambria"/>
          <w:i/>
          <w:color w:val="231F20"/>
          <w:sz w:val="20"/>
          <w:szCs w:val="20"/>
        </w:rPr>
        <w:t xml:space="preserve">TAC </w:t>
      </w:r>
      <w:r w:rsidRPr="005D5654">
        <w:rPr>
          <w:rFonts w:ascii="Cambria" w:hAnsi="Cambria"/>
          <w:i/>
          <w:iCs/>
          <w:color w:val="231F20"/>
          <w:sz w:val="20"/>
          <w:szCs w:val="20"/>
        </w:rPr>
        <w:t>anual</w:t>
      </w:r>
      <w:r w:rsidRPr="005D5654">
        <w:rPr>
          <w:rFonts w:ascii="Cambria" w:hAnsi="Cambria"/>
          <w:i/>
          <w:color w:val="231F20"/>
          <w:sz w:val="20"/>
          <w:szCs w:val="20"/>
        </w:rPr>
        <w:t xml:space="preserve"> para </w:t>
      </w:r>
      <w:r w:rsidRPr="005D5654">
        <w:rPr>
          <w:rFonts w:ascii="Cambria" w:hAnsi="Cambria"/>
          <w:i/>
          <w:iCs/>
          <w:color w:val="231F20"/>
          <w:sz w:val="20"/>
          <w:szCs w:val="20"/>
        </w:rPr>
        <w:t>2023-2025</w:t>
      </w:r>
      <w:r w:rsidRPr="005D5654">
        <w:rPr>
          <w:rFonts w:ascii="Cambria" w:hAnsi="Cambria"/>
          <w:i/>
          <w:color w:val="231F20"/>
          <w:sz w:val="20"/>
          <w:szCs w:val="20"/>
        </w:rPr>
        <w:t>: 2.726 t</w:t>
      </w:r>
    </w:p>
    <w:p w14:paraId="1725D8C1" w14:textId="77777777" w:rsidR="005D5654" w:rsidRPr="005D5654" w:rsidRDefault="005D5654" w:rsidP="007D0E69">
      <w:pPr>
        <w:tabs>
          <w:tab w:val="left" w:pos="4621"/>
        </w:tabs>
        <w:ind w:left="1"/>
        <w:jc w:val="center"/>
        <w:rPr>
          <w:rFonts w:ascii="Cambria" w:eastAsia="Cambria" w:hAnsi="Cambria" w:cs="Cambria"/>
          <w:i/>
          <w:color w:val="231F20"/>
          <w:sz w:val="20"/>
          <w:szCs w:val="20"/>
        </w:rPr>
      </w:pPr>
    </w:p>
    <w:p w14:paraId="21F927C7" w14:textId="77777777" w:rsidR="005D5654" w:rsidRPr="005D5654" w:rsidRDefault="005D5654" w:rsidP="007D0E69">
      <w:pPr>
        <w:pBdr>
          <w:top w:val="none" w:sz="0" w:space="0" w:color="000000"/>
          <w:left w:val="none" w:sz="0" w:space="0" w:color="000000"/>
          <w:bottom w:val="none" w:sz="0" w:space="0" w:color="000000"/>
          <w:right w:val="none" w:sz="0" w:space="0" w:color="000000"/>
          <w:between w:val="none" w:sz="0" w:space="0" w:color="000000"/>
        </w:pBdr>
        <w:tabs>
          <w:tab w:val="left" w:pos="2268"/>
          <w:tab w:val="right" w:pos="6521"/>
        </w:tabs>
        <w:ind w:left="2"/>
        <w:rPr>
          <w:rFonts w:ascii="Cambria" w:eastAsia="Cambria" w:hAnsi="Cambria" w:cs="Cambria"/>
          <w:sz w:val="20"/>
          <w:szCs w:val="20"/>
        </w:rPr>
      </w:pPr>
      <w:r w:rsidRPr="005D5654">
        <w:rPr>
          <w:rFonts w:ascii="Cambria" w:hAnsi="Cambria"/>
          <w:color w:val="231F20"/>
          <w:sz w:val="20"/>
          <w:szCs w:val="20"/>
        </w:rPr>
        <w:tab/>
        <w:t>Estados Unidos</w:t>
      </w:r>
      <w:r w:rsidRPr="005D5654">
        <w:rPr>
          <w:rFonts w:ascii="Cambria" w:hAnsi="Cambria"/>
          <w:color w:val="231F20"/>
          <w:sz w:val="20"/>
          <w:szCs w:val="20"/>
        </w:rPr>
        <w:tab/>
      </w:r>
      <w:r w:rsidRPr="005D5654">
        <w:rPr>
          <w:rFonts w:ascii="Cambria" w:eastAsia="Cambria" w:hAnsi="Cambria" w:cs="Cambria"/>
          <w:color w:val="231F20"/>
          <w:sz w:val="20"/>
          <w:szCs w:val="20"/>
        </w:rPr>
        <w:t>1.316,14 t</w:t>
      </w:r>
    </w:p>
    <w:p w14:paraId="6E77B197" w14:textId="77777777" w:rsidR="005D5654" w:rsidRPr="005D5654" w:rsidRDefault="005D5654" w:rsidP="007D0E69">
      <w:pPr>
        <w:pBdr>
          <w:top w:val="none" w:sz="0" w:space="0" w:color="000000"/>
          <w:left w:val="none" w:sz="0" w:space="0" w:color="000000"/>
          <w:bottom w:val="none" w:sz="0" w:space="0" w:color="000000"/>
          <w:right w:val="none" w:sz="0" w:space="0" w:color="000000"/>
          <w:between w:val="none" w:sz="0" w:space="0" w:color="000000"/>
        </w:pBdr>
        <w:tabs>
          <w:tab w:val="left" w:pos="2268"/>
          <w:tab w:val="right" w:pos="6521"/>
        </w:tabs>
        <w:ind w:left="2"/>
        <w:rPr>
          <w:rFonts w:ascii="Cambria" w:eastAsia="Cambria" w:hAnsi="Cambria" w:cs="Cambria"/>
          <w:color w:val="231F20"/>
          <w:sz w:val="20"/>
          <w:szCs w:val="20"/>
        </w:rPr>
      </w:pPr>
      <w:r w:rsidRPr="005D5654">
        <w:rPr>
          <w:rFonts w:ascii="Cambria" w:hAnsi="Cambria"/>
          <w:color w:val="231F20"/>
          <w:sz w:val="20"/>
          <w:szCs w:val="20"/>
        </w:rPr>
        <w:tab/>
        <w:t>Canadá</w:t>
      </w:r>
      <w:r w:rsidRPr="005D5654">
        <w:rPr>
          <w:rFonts w:ascii="Cambria" w:hAnsi="Cambria"/>
          <w:color w:val="231F20"/>
          <w:sz w:val="20"/>
          <w:szCs w:val="20"/>
        </w:rPr>
        <w:tab/>
      </w:r>
      <w:r w:rsidRPr="005D5654">
        <w:rPr>
          <w:rFonts w:ascii="Cambria" w:eastAsia="Cambria" w:hAnsi="Cambria" w:cs="Cambria"/>
          <w:color w:val="231F20"/>
          <w:sz w:val="20"/>
          <w:szCs w:val="20"/>
        </w:rPr>
        <w:t>543,65</w:t>
      </w:r>
      <w:r w:rsidRPr="005D5654">
        <w:rPr>
          <w:rFonts w:ascii="Cambria" w:hAnsi="Cambria"/>
          <w:color w:val="231F20"/>
          <w:sz w:val="20"/>
        </w:rPr>
        <w:t xml:space="preserve"> t</w:t>
      </w:r>
    </w:p>
    <w:p w14:paraId="00E4E5D2" w14:textId="77777777" w:rsidR="005D5654" w:rsidRPr="005D5654" w:rsidRDefault="005D5654" w:rsidP="007D0E69">
      <w:pPr>
        <w:pBdr>
          <w:top w:val="none" w:sz="0" w:space="0" w:color="000000"/>
          <w:left w:val="none" w:sz="0" w:space="0" w:color="000000"/>
          <w:bottom w:val="none" w:sz="0" w:space="0" w:color="000000"/>
          <w:right w:val="none" w:sz="0" w:space="0" w:color="000000"/>
          <w:between w:val="none" w:sz="0" w:space="0" w:color="000000"/>
        </w:pBdr>
        <w:tabs>
          <w:tab w:val="left" w:pos="2268"/>
          <w:tab w:val="right" w:pos="6521"/>
        </w:tabs>
        <w:ind w:left="2"/>
        <w:rPr>
          <w:rFonts w:ascii="Cambria" w:eastAsia="Cambria" w:hAnsi="Cambria" w:cs="Cambria"/>
          <w:color w:val="231F20"/>
          <w:sz w:val="20"/>
          <w:szCs w:val="20"/>
        </w:rPr>
      </w:pPr>
      <w:r w:rsidRPr="005D5654">
        <w:rPr>
          <w:rFonts w:ascii="Cambria" w:hAnsi="Cambria"/>
          <w:color w:val="231F20"/>
          <w:sz w:val="20"/>
          <w:szCs w:val="20"/>
        </w:rPr>
        <w:tab/>
        <w:t>Japón</w:t>
      </w:r>
      <w:r w:rsidRPr="005D5654">
        <w:rPr>
          <w:rFonts w:ascii="Cambria" w:hAnsi="Cambria"/>
          <w:color w:val="231F20"/>
          <w:sz w:val="20"/>
          <w:szCs w:val="20"/>
        </w:rPr>
        <w:tab/>
      </w:r>
      <w:r w:rsidRPr="005D5654">
        <w:rPr>
          <w:rFonts w:ascii="Cambria" w:eastAsia="Cambria" w:hAnsi="Cambria" w:cs="Cambria"/>
          <w:color w:val="231F20"/>
          <w:sz w:val="20"/>
          <w:szCs w:val="20"/>
        </w:rPr>
        <w:t>664,52</w:t>
      </w:r>
      <w:r w:rsidRPr="005D5654">
        <w:rPr>
          <w:rFonts w:ascii="Cambria" w:hAnsi="Cambria"/>
          <w:color w:val="231F20"/>
          <w:sz w:val="20"/>
        </w:rPr>
        <w:t xml:space="preserve"> t</w:t>
      </w:r>
    </w:p>
    <w:p w14:paraId="6851556B" w14:textId="77777777" w:rsidR="005D5654" w:rsidRPr="005D5654" w:rsidRDefault="005D5654" w:rsidP="007D0E69">
      <w:pPr>
        <w:pBdr>
          <w:top w:val="none" w:sz="0" w:space="0" w:color="000000"/>
          <w:left w:val="none" w:sz="0" w:space="0" w:color="000000"/>
          <w:bottom w:val="none" w:sz="0" w:space="0" w:color="000000"/>
          <w:right w:val="none" w:sz="0" w:space="0" w:color="000000"/>
          <w:between w:val="none" w:sz="0" w:space="0" w:color="000000"/>
        </w:pBdr>
        <w:tabs>
          <w:tab w:val="left" w:pos="2268"/>
          <w:tab w:val="right" w:pos="6521"/>
        </w:tabs>
        <w:ind w:left="2"/>
        <w:rPr>
          <w:rFonts w:ascii="Cambria" w:eastAsia="Cambria" w:hAnsi="Cambria" w:cs="Cambria"/>
          <w:color w:val="231F20"/>
          <w:sz w:val="20"/>
          <w:szCs w:val="20"/>
        </w:rPr>
      </w:pPr>
      <w:r w:rsidRPr="005D5654">
        <w:rPr>
          <w:rFonts w:ascii="Cambria" w:hAnsi="Cambria"/>
          <w:color w:val="231F20"/>
          <w:sz w:val="20"/>
          <w:szCs w:val="20"/>
        </w:rPr>
        <w:tab/>
        <w:t>Reino Unido (por Bermudas)</w:t>
      </w:r>
      <w:r w:rsidRPr="005D5654">
        <w:rPr>
          <w:rFonts w:ascii="Cambria" w:hAnsi="Cambria"/>
          <w:color w:val="231F20"/>
          <w:sz w:val="20"/>
          <w:szCs w:val="20"/>
        </w:rPr>
        <w:tab/>
      </w:r>
      <w:r w:rsidRPr="005D5654">
        <w:rPr>
          <w:rFonts w:ascii="Cambria" w:eastAsia="Cambria" w:hAnsi="Cambria" w:cs="Cambria"/>
          <w:color w:val="231F20"/>
          <w:sz w:val="20"/>
          <w:szCs w:val="20"/>
        </w:rPr>
        <w:t>6,18</w:t>
      </w:r>
      <w:r w:rsidRPr="005D5654">
        <w:rPr>
          <w:rFonts w:ascii="Cambria" w:hAnsi="Cambria"/>
          <w:color w:val="231F20"/>
          <w:sz w:val="20"/>
        </w:rPr>
        <w:t xml:space="preserve"> t</w:t>
      </w:r>
    </w:p>
    <w:p w14:paraId="1346E98E" w14:textId="77777777" w:rsidR="005D5654" w:rsidRPr="005D5654" w:rsidRDefault="005D5654" w:rsidP="007D0E69">
      <w:pPr>
        <w:pBdr>
          <w:top w:val="none" w:sz="0" w:space="0" w:color="000000"/>
          <w:left w:val="none" w:sz="0" w:space="0" w:color="000000"/>
          <w:bottom w:val="none" w:sz="0" w:space="0" w:color="000000"/>
          <w:right w:val="none" w:sz="0" w:space="0" w:color="000000"/>
          <w:between w:val="none" w:sz="0" w:space="0" w:color="000000"/>
        </w:pBdr>
        <w:tabs>
          <w:tab w:val="left" w:pos="2268"/>
          <w:tab w:val="right" w:pos="6521"/>
        </w:tabs>
        <w:ind w:left="2"/>
        <w:rPr>
          <w:rFonts w:ascii="Cambria" w:eastAsia="Cambria" w:hAnsi="Cambria" w:cs="Cambria"/>
          <w:sz w:val="20"/>
          <w:szCs w:val="20"/>
        </w:rPr>
      </w:pPr>
      <w:r w:rsidRPr="005D5654">
        <w:rPr>
          <w:rFonts w:ascii="Cambria" w:hAnsi="Cambria"/>
          <w:color w:val="231F20"/>
          <w:sz w:val="20"/>
          <w:szCs w:val="20"/>
        </w:rPr>
        <w:tab/>
        <w:t xml:space="preserve">Francia (por San Pedro y Miquelón) </w:t>
      </w:r>
      <w:r w:rsidRPr="005D5654">
        <w:rPr>
          <w:rFonts w:ascii="Cambria" w:hAnsi="Cambria"/>
          <w:color w:val="231F20"/>
          <w:sz w:val="20"/>
          <w:szCs w:val="20"/>
        </w:rPr>
        <w:tab/>
      </w:r>
      <w:r w:rsidRPr="005D5654">
        <w:rPr>
          <w:rFonts w:ascii="Cambria" w:eastAsia="Cambria" w:hAnsi="Cambria" w:cs="Cambria"/>
          <w:color w:val="231F20"/>
          <w:sz w:val="20"/>
          <w:szCs w:val="20"/>
        </w:rPr>
        <w:t>6,18</w:t>
      </w:r>
      <w:r w:rsidRPr="005D5654">
        <w:rPr>
          <w:rFonts w:ascii="Cambria" w:hAnsi="Cambria"/>
          <w:color w:val="231F20"/>
          <w:sz w:val="20"/>
        </w:rPr>
        <w:t xml:space="preserve"> t</w:t>
      </w:r>
    </w:p>
    <w:p w14:paraId="227A98F2" w14:textId="77777777" w:rsidR="005D5654" w:rsidRPr="005D5654" w:rsidRDefault="005D5654" w:rsidP="007D0E69">
      <w:pPr>
        <w:pBdr>
          <w:top w:val="none" w:sz="0" w:space="0" w:color="000000"/>
          <w:left w:val="none" w:sz="0" w:space="0" w:color="000000"/>
          <w:bottom w:val="none" w:sz="0" w:space="0" w:color="000000"/>
          <w:right w:val="none" w:sz="0" w:space="0" w:color="000000"/>
          <w:between w:val="none" w:sz="0" w:space="0" w:color="000000"/>
        </w:pBdr>
        <w:tabs>
          <w:tab w:val="left" w:pos="2268"/>
          <w:tab w:val="right" w:pos="6521"/>
        </w:tabs>
        <w:ind w:left="2" w:right="9"/>
        <w:rPr>
          <w:rFonts w:ascii="Cambria" w:hAnsi="Cambria"/>
          <w:sz w:val="20"/>
          <w:szCs w:val="20"/>
        </w:rPr>
      </w:pPr>
      <w:r w:rsidRPr="005D5654">
        <w:rPr>
          <w:rFonts w:ascii="Cambria" w:hAnsi="Cambria"/>
          <w:color w:val="231F20"/>
          <w:sz w:val="20"/>
          <w:szCs w:val="20"/>
        </w:rPr>
        <w:tab/>
        <w:t>México</w:t>
      </w:r>
      <w:r w:rsidRPr="005D5654">
        <w:rPr>
          <w:rFonts w:ascii="Cambria" w:hAnsi="Cambria"/>
          <w:color w:val="231F20"/>
          <w:sz w:val="20"/>
          <w:szCs w:val="20"/>
        </w:rPr>
        <w:tab/>
      </w:r>
      <w:r w:rsidRPr="005D5654">
        <w:rPr>
          <w:rFonts w:ascii="Cambria" w:eastAsia="Cambria" w:hAnsi="Cambria" w:cs="Cambria"/>
          <w:color w:val="231F20"/>
          <w:sz w:val="20"/>
          <w:szCs w:val="20"/>
        </w:rPr>
        <w:t>149,34</w:t>
      </w:r>
      <w:r w:rsidRPr="005D5654">
        <w:rPr>
          <w:rFonts w:ascii="Cambria" w:hAnsi="Cambria"/>
          <w:color w:val="231F20"/>
          <w:sz w:val="20"/>
        </w:rPr>
        <w:t xml:space="preserve"> t</w:t>
      </w:r>
    </w:p>
    <w:p w14:paraId="544A43C5" w14:textId="77777777" w:rsidR="005D5654" w:rsidRPr="005D5654" w:rsidRDefault="005D5654" w:rsidP="007D0E69">
      <w:pPr>
        <w:pBdr>
          <w:top w:val="none" w:sz="0" w:space="0" w:color="000000"/>
          <w:left w:val="none" w:sz="0" w:space="0" w:color="000000"/>
          <w:bottom w:val="none" w:sz="0" w:space="0" w:color="000000"/>
          <w:right w:val="none" w:sz="0" w:space="0" w:color="000000"/>
          <w:between w:val="none" w:sz="0" w:space="0" w:color="000000"/>
        </w:pBdr>
        <w:ind w:right="9"/>
        <w:rPr>
          <w:rFonts w:ascii="Cambria" w:eastAsia="Cambria" w:hAnsi="Cambria" w:cs="Cambria"/>
          <w:sz w:val="20"/>
          <w:szCs w:val="20"/>
        </w:rPr>
      </w:pPr>
    </w:p>
    <w:p w14:paraId="4016BDD3" w14:textId="77777777" w:rsidR="005D5654" w:rsidRPr="005D5654" w:rsidRDefault="005D5654" w:rsidP="007D0E69">
      <w:pPr>
        <w:ind w:left="993"/>
        <w:jc w:val="both"/>
        <w:rPr>
          <w:rFonts w:ascii="Cambria" w:eastAsia="Cambria" w:hAnsi="Cambria" w:cs="Cambria"/>
          <w:color w:val="231F20"/>
          <w:sz w:val="20"/>
          <w:szCs w:val="20"/>
        </w:rPr>
      </w:pPr>
      <w:r w:rsidRPr="005D5654">
        <w:rPr>
          <w:rFonts w:ascii="Cambria" w:hAnsi="Cambria"/>
          <w:color w:val="231F20"/>
          <w:sz w:val="20"/>
          <w:szCs w:val="20"/>
        </w:rPr>
        <w:t>En ningún caso las asignaciones a Francia (por San Pedro y Miquelón) y Reino Unido (por Bermudas) serán inferiores a 4 t en un año determinado, a menos que la pesquería esté cerrada.</w:t>
      </w:r>
    </w:p>
    <w:p w14:paraId="437D18A6" w14:textId="77777777" w:rsidR="005D5654" w:rsidRPr="005D5654" w:rsidRDefault="005D5654" w:rsidP="007D0E69">
      <w:pPr>
        <w:ind w:left="993"/>
        <w:jc w:val="both"/>
        <w:rPr>
          <w:rFonts w:ascii="Cambria" w:eastAsia="Cambria" w:hAnsi="Cambria" w:cs="Cambria"/>
          <w:sz w:val="20"/>
          <w:szCs w:val="20"/>
        </w:rPr>
      </w:pPr>
    </w:p>
    <w:p w14:paraId="31277FB5" w14:textId="524126C1" w:rsidR="005D5654" w:rsidRPr="005F4C62" w:rsidRDefault="005D5654" w:rsidP="007D0E69">
      <w:pPr>
        <w:widowControl/>
        <w:numPr>
          <w:ilvl w:val="1"/>
          <w:numId w:val="3"/>
        </w:numPr>
        <w:tabs>
          <w:tab w:val="left" w:pos="993"/>
        </w:tabs>
        <w:ind w:left="993" w:hanging="426"/>
        <w:jc w:val="both"/>
        <w:rPr>
          <w:rFonts w:ascii="Cambria" w:eastAsia="Cambria" w:hAnsi="Cambria" w:cs="Cambria"/>
          <w:color w:val="231F20"/>
          <w:sz w:val="20"/>
          <w:szCs w:val="20"/>
        </w:rPr>
      </w:pPr>
      <w:r w:rsidRPr="005D5654">
        <w:rPr>
          <w:rFonts w:ascii="Cambria" w:hAnsi="Cambria"/>
          <w:color w:val="231F20"/>
          <w:sz w:val="20"/>
          <w:szCs w:val="20"/>
        </w:rPr>
        <w:t xml:space="preserve">Dependiendo de la disponibilidad, México puede transferir a </w:t>
      </w:r>
      <w:r w:rsidRPr="005F4C62">
        <w:rPr>
          <w:rFonts w:ascii="Cambria" w:hAnsi="Cambria"/>
          <w:color w:val="231F20"/>
          <w:sz w:val="20"/>
          <w:szCs w:val="20"/>
        </w:rPr>
        <w:t xml:space="preserve">Canadá hasta 149,34 t de su cuota ajustada, en cada uno de los años del periodo 2023-2025, para respaldar los trabajos de investigación en colaboración, tal y como se especifican en el párrafo </w:t>
      </w:r>
      <w:r w:rsidR="007D0E69" w:rsidRPr="005F4C62">
        <w:rPr>
          <w:rFonts w:ascii="Cambria" w:hAnsi="Cambria"/>
          <w:color w:val="231F20"/>
          <w:sz w:val="20"/>
          <w:szCs w:val="20"/>
          <w:u w:val="single"/>
        </w:rPr>
        <w:t>5</w:t>
      </w:r>
      <w:r w:rsidRPr="005F4C62">
        <w:rPr>
          <w:rFonts w:ascii="Cambria" w:hAnsi="Cambria"/>
          <w:color w:val="231F20"/>
          <w:sz w:val="20"/>
          <w:szCs w:val="20"/>
          <w:u w:val="single"/>
        </w:rPr>
        <w:t>4</w:t>
      </w:r>
      <w:r w:rsidRPr="005F4C62">
        <w:rPr>
          <w:rFonts w:ascii="Cambria" w:hAnsi="Cambria"/>
          <w:color w:val="231F20"/>
          <w:sz w:val="20"/>
          <w:szCs w:val="20"/>
        </w:rPr>
        <w:t>.</w:t>
      </w:r>
    </w:p>
    <w:p w14:paraId="138FB20C" w14:textId="77777777" w:rsidR="005F4C62" w:rsidRPr="005F4C62" w:rsidRDefault="005F4C62" w:rsidP="005F4C62">
      <w:pPr>
        <w:widowControl/>
        <w:tabs>
          <w:tab w:val="left" w:pos="993"/>
        </w:tabs>
        <w:ind w:left="993"/>
        <w:jc w:val="both"/>
        <w:rPr>
          <w:rFonts w:ascii="Cambria" w:eastAsia="Cambria" w:hAnsi="Cambria" w:cs="Cambria"/>
          <w:color w:val="231F20"/>
          <w:sz w:val="20"/>
          <w:szCs w:val="20"/>
        </w:rPr>
      </w:pPr>
    </w:p>
    <w:p w14:paraId="535B0FB4" w14:textId="32E325E5" w:rsidR="005D5654" w:rsidRPr="005F4C62" w:rsidRDefault="005D5654" w:rsidP="007D0E69">
      <w:pPr>
        <w:widowControl/>
        <w:numPr>
          <w:ilvl w:val="1"/>
          <w:numId w:val="3"/>
        </w:numPr>
        <w:tabs>
          <w:tab w:val="left" w:pos="993"/>
        </w:tabs>
        <w:ind w:left="993" w:hanging="426"/>
        <w:jc w:val="both"/>
        <w:rPr>
          <w:rFonts w:ascii="Cambria" w:eastAsia="Cambria" w:hAnsi="Cambria" w:cs="Cambria"/>
          <w:sz w:val="20"/>
          <w:szCs w:val="20"/>
        </w:rPr>
      </w:pPr>
      <w:r w:rsidRPr="005F4C62">
        <w:rPr>
          <w:rFonts w:ascii="Cambria" w:hAnsi="Cambria"/>
          <w:color w:val="231F20"/>
          <w:sz w:val="20"/>
          <w:szCs w:val="20"/>
        </w:rPr>
        <w:t xml:space="preserve">Dependiendo de la disponibilidad, el Reino Unido (con respecto a Bermudas) puede transferir a Estados Unidos una cantidad que no supere su cuota ajustada, en cada uno de los años del periodo 2023-2025 para respaldar los trabajos de investigación en colaboración, tal y como se especifican en el párrafo </w:t>
      </w:r>
      <w:r w:rsidR="007D0E69" w:rsidRPr="005F4C62">
        <w:rPr>
          <w:rFonts w:ascii="Cambria" w:hAnsi="Cambria"/>
          <w:color w:val="231F20"/>
          <w:sz w:val="20"/>
          <w:szCs w:val="20"/>
          <w:u w:val="single"/>
        </w:rPr>
        <w:t>54</w:t>
      </w:r>
      <w:r w:rsidRPr="005F4C62">
        <w:rPr>
          <w:rFonts w:ascii="Cambria" w:hAnsi="Cambria"/>
          <w:color w:val="231F20"/>
          <w:sz w:val="20"/>
          <w:szCs w:val="20"/>
        </w:rPr>
        <w:t>.</w:t>
      </w:r>
    </w:p>
    <w:p w14:paraId="03A0CE3B" w14:textId="77777777" w:rsidR="007D0E69" w:rsidRPr="005F4C62" w:rsidRDefault="007D0E69" w:rsidP="007D0E69">
      <w:pPr>
        <w:widowControl/>
        <w:tabs>
          <w:tab w:val="left" w:pos="993"/>
        </w:tabs>
        <w:ind w:left="993"/>
        <w:jc w:val="both"/>
        <w:rPr>
          <w:rFonts w:ascii="Cambria" w:eastAsia="Cambria" w:hAnsi="Cambria" w:cs="Cambria"/>
          <w:sz w:val="20"/>
          <w:szCs w:val="20"/>
        </w:rPr>
      </w:pPr>
    </w:p>
    <w:p w14:paraId="67765B22" w14:textId="3CB496A8" w:rsidR="005D5654" w:rsidRPr="005F4C62" w:rsidRDefault="005D5654" w:rsidP="007D0E69">
      <w:pPr>
        <w:widowControl/>
        <w:numPr>
          <w:ilvl w:val="1"/>
          <w:numId w:val="3"/>
        </w:numPr>
        <w:tabs>
          <w:tab w:val="left" w:pos="993"/>
        </w:tabs>
        <w:ind w:left="993" w:hanging="426"/>
        <w:jc w:val="both"/>
        <w:rPr>
          <w:rFonts w:ascii="Cambria" w:eastAsia="Cambria" w:hAnsi="Cambria" w:cs="Cambria"/>
          <w:sz w:val="20"/>
          <w:szCs w:val="20"/>
        </w:rPr>
      </w:pPr>
      <w:r w:rsidRPr="005F4C62">
        <w:rPr>
          <w:rFonts w:ascii="Cambria" w:hAnsi="Cambria"/>
          <w:color w:val="231F20"/>
          <w:sz w:val="20"/>
          <w:szCs w:val="20"/>
        </w:rPr>
        <w:t xml:space="preserve">Dependiendo de la disponibilidad, Francia (con respecto a San Pedro y Miquelón) puede transferir a Canadá una cantidad que no supere su cuota ajustada, en cada uno de los años del periodo 2023-2025, para respaldar los trabajos de investigación en colaboración, tal y como se especifican en el párrafo </w:t>
      </w:r>
      <w:r w:rsidR="007D0E69" w:rsidRPr="005F4C62">
        <w:rPr>
          <w:rFonts w:ascii="Cambria" w:hAnsi="Cambria"/>
          <w:color w:val="231F20"/>
          <w:sz w:val="20"/>
          <w:szCs w:val="20"/>
          <w:u w:val="single"/>
        </w:rPr>
        <w:t>54</w:t>
      </w:r>
      <w:r w:rsidRPr="005F4C62">
        <w:rPr>
          <w:rFonts w:ascii="Cambria" w:hAnsi="Cambria"/>
          <w:color w:val="231F20"/>
          <w:sz w:val="20"/>
          <w:szCs w:val="20"/>
        </w:rPr>
        <w:t>.</w:t>
      </w:r>
    </w:p>
    <w:p w14:paraId="678BDFAD" w14:textId="77777777" w:rsidR="007D0E69" w:rsidRPr="005D5654" w:rsidRDefault="007D0E69" w:rsidP="007D0E69">
      <w:pPr>
        <w:widowControl/>
        <w:tabs>
          <w:tab w:val="left" w:pos="993"/>
        </w:tabs>
        <w:ind w:left="993"/>
        <w:jc w:val="both"/>
        <w:rPr>
          <w:rFonts w:ascii="Cambria" w:eastAsia="Cambria" w:hAnsi="Cambria" w:cs="Cambria"/>
          <w:sz w:val="20"/>
          <w:szCs w:val="20"/>
        </w:rPr>
      </w:pPr>
    </w:p>
    <w:p w14:paraId="42931306" w14:textId="77777777" w:rsidR="005D5654" w:rsidRPr="005D5654" w:rsidRDefault="005D5654" w:rsidP="007D0E69">
      <w:pPr>
        <w:widowControl/>
        <w:numPr>
          <w:ilvl w:val="1"/>
          <w:numId w:val="3"/>
        </w:numPr>
        <w:tabs>
          <w:tab w:val="left" w:pos="993"/>
        </w:tabs>
        <w:ind w:left="993" w:hanging="426"/>
        <w:jc w:val="both"/>
        <w:rPr>
          <w:rFonts w:ascii="Cambria" w:eastAsia="Cambria" w:hAnsi="Cambria" w:cs="Cambria"/>
          <w:sz w:val="20"/>
          <w:szCs w:val="20"/>
        </w:rPr>
      </w:pPr>
      <w:r w:rsidRPr="005D5654">
        <w:rPr>
          <w:rFonts w:ascii="Cambria" w:hAnsi="Cambria"/>
          <w:color w:val="231F20"/>
          <w:sz w:val="20"/>
          <w:szCs w:val="20"/>
        </w:rPr>
        <w:t>Las CPC que tengan previsto participar en las actividades de investigación en colaboración especificadas en los párrafos 5 d), 5e) y 5f) anteriores notificarán al SCRS y a la Comisión información detallada sobre los programas de investigación que van a emprender antes de que se inicien, y presentarán los resultados de la investigación al SCRS.</w:t>
      </w:r>
    </w:p>
    <w:p w14:paraId="1F4DA7B2" w14:textId="16D8BFFA" w:rsidR="005D5654" w:rsidRPr="005D5654" w:rsidRDefault="005D5654" w:rsidP="007D0E69">
      <w:pPr>
        <w:widowControl/>
        <w:rPr>
          <w:rFonts w:ascii="Cambria" w:hAnsi="Cambria"/>
          <w:color w:val="231F20"/>
          <w:sz w:val="20"/>
          <w:szCs w:val="20"/>
        </w:rPr>
      </w:pPr>
    </w:p>
    <w:p w14:paraId="01271B54" w14:textId="77777777" w:rsidR="005D5654" w:rsidRPr="005D5654" w:rsidRDefault="005D5654" w:rsidP="007D0E69">
      <w:pPr>
        <w:widowControl/>
        <w:numPr>
          <w:ilvl w:val="0"/>
          <w:numId w:val="5"/>
        </w:numPr>
        <w:ind w:left="425" w:hanging="425"/>
        <w:jc w:val="both"/>
        <w:rPr>
          <w:rFonts w:ascii="Cambria" w:eastAsia="Cambria" w:hAnsi="Cambria" w:cs="Cambria"/>
          <w:sz w:val="20"/>
          <w:szCs w:val="20"/>
        </w:rPr>
      </w:pPr>
      <w:r w:rsidRPr="005D5654">
        <w:rPr>
          <w:rFonts w:ascii="Cambria" w:hAnsi="Cambria"/>
          <w:color w:val="231F20"/>
          <w:sz w:val="20"/>
          <w:szCs w:val="20"/>
        </w:rPr>
        <w:t>La cuota total de una CPC incluirá sus asignaciones establecidas en el párrafo 5, ajustadas según el exceso o remanente de captura en coherencia con el resto de este párrafo. Cada año se considerará un periodo de ordenación independiente a efectos del resto de este párrafo:</w:t>
      </w:r>
    </w:p>
    <w:p w14:paraId="545019D1" w14:textId="77777777" w:rsidR="005D5654" w:rsidRPr="005D5654" w:rsidRDefault="005D5654" w:rsidP="007D0E69">
      <w:pPr>
        <w:tabs>
          <w:tab w:val="left" w:pos="529"/>
        </w:tabs>
        <w:ind w:left="528"/>
        <w:jc w:val="both"/>
        <w:rPr>
          <w:rFonts w:ascii="Cambria" w:eastAsia="Cambria" w:hAnsi="Cambria" w:cs="Cambria"/>
          <w:color w:val="231F20"/>
          <w:sz w:val="20"/>
          <w:szCs w:val="20"/>
        </w:rPr>
      </w:pPr>
    </w:p>
    <w:p w14:paraId="1FFB3887" w14:textId="77777777" w:rsidR="005D5654" w:rsidRPr="007D0E69" w:rsidRDefault="005D5654" w:rsidP="007D0E69">
      <w:pPr>
        <w:widowControl/>
        <w:numPr>
          <w:ilvl w:val="0"/>
          <w:numId w:val="1"/>
        </w:numPr>
        <w:ind w:left="990" w:hanging="423"/>
        <w:jc w:val="both"/>
        <w:rPr>
          <w:rFonts w:ascii="Cambria" w:eastAsia="Cambria" w:hAnsi="Cambria" w:cs="Cambria"/>
          <w:color w:val="231F20"/>
          <w:sz w:val="20"/>
          <w:szCs w:val="20"/>
        </w:rPr>
      </w:pPr>
      <w:r w:rsidRPr="005D5654">
        <w:rPr>
          <w:rFonts w:ascii="Cambria" w:hAnsi="Cambria"/>
          <w:color w:val="231F20"/>
          <w:sz w:val="20"/>
          <w:szCs w:val="20"/>
        </w:rPr>
        <w:t xml:space="preserve">Cualquier remanente de una cuota total de una CPC en un año determinado podría traspasarse al año siguiente. Sin embargo, el remanente que se traspase no podrá superar en ningún caso el 10 % de la asignación inicial de cuota de la CPC, establecida de conformidad con el párrafo </w:t>
      </w:r>
      <w:r w:rsidRPr="005D5654">
        <w:rPr>
          <w:rFonts w:ascii="Cambria" w:hAnsi="Cambria"/>
          <w:i/>
          <w:iCs/>
          <w:color w:val="231F20"/>
          <w:sz w:val="20"/>
          <w:szCs w:val="20"/>
        </w:rPr>
        <w:t>5</w:t>
      </w:r>
      <w:r w:rsidRPr="005D5654">
        <w:rPr>
          <w:rFonts w:ascii="Cambria" w:hAnsi="Cambria"/>
          <w:color w:val="231F20"/>
          <w:sz w:val="20"/>
          <w:szCs w:val="20"/>
        </w:rPr>
        <w:t>, con  la excepción de Reino Unido (por Bermudas), Francia (por San Pedro y Miquelón) y México (es decir, las Partes contratantes con asignaciones iniciales de 149,34 t  o menos), para las que el remanente que se traspase no superará en ningún caso el 100 % de la asignación inicial establecida en el párrafo 5 (a saber, la cuota total para dicha CPC no debe superar el doble de su cuota anual en cualquier año).</w:t>
      </w:r>
    </w:p>
    <w:p w14:paraId="5BCC4317" w14:textId="77777777" w:rsidR="007D0E69" w:rsidRPr="005D5654" w:rsidRDefault="007D0E69" w:rsidP="007D0E69">
      <w:pPr>
        <w:widowControl/>
        <w:ind w:left="990"/>
        <w:jc w:val="both"/>
        <w:rPr>
          <w:rFonts w:ascii="Cambria" w:eastAsia="Cambria" w:hAnsi="Cambria" w:cs="Cambria"/>
          <w:color w:val="231F20"/>
          <w:sz w:val="20"/>
          <w:szCs w:val="20"/>
        </w:rPr>
      </w:pPr>
    </w:p>
    <w:p w14:paraId="03B44A92" w14:textId="77777777" w:rsidR="005D5654" w:rsidRPr="007D0E69" w:rsidRDefault="005D5654" w:rsidP="007D0E69">
      <w:pPr>
        <w:widowControl/>
        <w:numPr>
          <w:ilvl w:val="0"/>
          <w:numId w:val="1"/>
        </w:numPr>
        <w:tabs>
          <w:tab w:val="left" w:pos="798"/>
        </w:tabs>
        <w:ind w:left="990"/>
        <w:jc w:val="both"/>
        <w:rPr>
          <w:rFonts w:ascii="Cambria" w:eastAsia="Cambria" w:hAnsi="Cambria" w:cs="Cambria"/>
          <w:color w:val="231F20"/>
          <w:sz w:val="20"/>
          <w:szCs w:val="20"/>
        </w:rPr>
      </w:pPr>
      <w:r w:rsidRPr="005D5654">
        <w:rPr>
          <w:rFonts w:ascii="Cambria" w:hAnsi="Cambria"/>
          <w:color w:val="231F20"/>
          <w:sz w:val="20"/>
          <w:szCs w:val="20"/>
        </w:rPr>
        <w:t>Si, en el periodo de ordenación aplicable, y en cada periodo de ordenación subsiguiente, cualquier CPC tiene un exceso de captura con respecto a su cuota total, en el periodo de ordenación posterior se deducirá de su cuota inicial el 100 % de la cantidad de exceso de captura respecto a dicha cuota total, e ICCAT podría autorizar otras acciones apropiadas.</w:t>
      </w:r>
    </w:p>
    <w:p w14:paraId="399E0125" w14:textId="77777777" w:rsidR="007D0E69" w:rsidRPr="005D5654" w:rsidRDefault="007D0E69" w:rsidP="007D0E69">
      <w:pPr>
        <w:widowControl/>
        <w:tabs>
          <w:tab w:val="left" w:pos="798"/>
        </w:tabs>
        <w:ind w:left="990"/>
        <w:jc w:val="both"/>
        <w:rPr>
          <w:rFonts w:ascii="Cambria" w:eastAsia="Cambria" w:hAnsi="Cambria" w:cs="Cambria"/>
          <w:color w:val="231F20"/>
          <w:sz w:val="20"/>
          <w:szCs w:val="20"/>
        </w:rPr>
      </w:pPr>
    </w:p>
    <w:p w14:paraId="369D6701" w14:textId="77777777" w:rsidR="005D5654" w:rsidRPr="007D0E69" w:rsidRDefault="005D5654" w:rsidP="007D0E69">
      <w:pPr>
        <w:widowControl/>
        <w:numPr>
          <w:ilvl w:val="0"/>
          <w:numId w:val="1"/>
        </w:numPr>
        <w:tabs>
          <w:tab w:val="left" w:pos="993"/>
        </w:tabs>
        <w:ind w:left="990"/>
        <w:jc w:val="both"/>
        <w:rPr>
          <w:rFonts w:ascii="Cambria" w:eastAsia="Cambria" w:hAnsi="Cambria" w:cs="Cambria"/>
          <w:color w:val="231F20"/>
          <w:sz w:val="20"/>
          <w:szCs w:val="20"/>
        </w:rPr>
      </w:pPr>
      <w:r w:rsidRPr="005D5654">
        <w:rPr>
          <w:rFonts w:ascii="Cambria" w:hAnsi="Cambria"/>
          <w:color w:val="231F20"/>
          <w:sz w:val="20"/>
          <w:szCs w:val="20"/>
        </w:rPr>
        <w:t>No obstante el párrafo 6 b), si una CPC tiene un exceso de captura de su cuota total durante dos periodos de ordenación consecutivos, la Comisión recomendará las medidas apropiadas, que pueden incluir, sin limitarse a ello, una reducción de la cuota total de la CPC igual a un mínimo del 125 % de la cantidad de exceso de captura y, si es necesario, medidas comerciales restrictivas. Cualquier medida comercial adoptada con arreglo a este párrafo consistirá en restricciones a la importación de la especie en cuestión y será acorde con las obligaciones internacionales de cada CPC. Las medidas comerciales tendrán la duración y las condiciones que determine la Comisión.</w:t>
      </w:r>
    </w:p>
    <w:p w14:paraId="667ADC7C" w14:textId="77777777" w:rsidR="007D0E69" w:rsidRDefault="007D0E69" w:rsidP="007D0E69">
      <w:pPr>
        <w:widowControl/>
        <w:tabs>
          <w:tab w:val="left" w:pos="993"/>
        </w:tabs>
        <w:jc w:val="both"/>
        <w:rPr>
          <w:rFonts w:ascii="Cambria" w:eastAsia="Cambria" w:hAnsi="Cambria" w:cs="Cambria"/>
          <w:color w:val="231F20"/>
          <w:sz w:val="20"/>
          <w:szCs w:val="20"/>
        </w:rPr>
      </w:pPr>
    </w:p>
    <w:p w14:paraId="11E38EC7" w14:textId="77777777" w:rsidR="007D0E69" w:rsidRPr="00BF691B" w:rsidRDefault="007D0E69" w:rsidP="007D0E69">
      <w:pPr>
        <w:tabs>
          <w:tab w:val="left" w:pos="970"/>
          <w:tab w:val="left" w:pos="8364"/>
          <w:tab w:val="left" w:pos="8505"/>
        </w:tabs>
        <w:ind w:right="-1"/>
        <w:jc w:val="both"/>
        <w:rPr>
          <w:rFonts w:ascii="Cambria" w:hAnsi="Cambria"/>
          <w:b/>
          <w:bCs/>
          <w:color w:val="221F1F"/>
          <w:sz w:val="20"/>
          <w:szCs w:val="20"/>
          <w:u w:val="single"/>
        </w:rPr>
      </w:pPr>
      <w:r w:rsidRPr="00BF691B">
        <w:rPr>
          <w:rFonts w:ascii="Cambria" w:hAnsi="Cambria"/>
          <w:b/>
          <w:sz w:val="20"/>
          <w:u w:val="single"/>
        </w:rPr>
        <w:t xml:space="preserve">Presentación de planes anuales de pesca, planes de ordenación de la capacidad de pesca y de inspección </w:t>
      </w:r>
    </w:p>
    <w:p w14:paraId="61E91AB8" w14:textId="77777777" w:rsidR="007D0E69" w:rsidRPr="00BF691B" w:rsidRDefault="007D0E69" w:rsidP="007D0E69">
      <w:pPr>
        <w:spacing w:before="1"/>
        <w:ind w:left="528" w:hanging="395"/>
        <w:jc w:val="both"/>
        <w:rPr>
          <w:rFonts w:ascii="Cambria" w:eastAsia="Times New Roman" w:hAnsi="Cambria" w:cs="Times New Roman"/>
          <w:b/>
          <w:bCs/>
          <w:sz w:val="20"/>
          <w:szCs w:val="20"/>
          <w:u w:val="single"/>
        </w:rPr>
      </w:pPr>
    </w:p>
    <w:p w14:paraId="46B2E80C" w14:textId="77777777" w:rsidR="007D0E69" w:rsidRPr="00BF691B" w:rsidRDefault="007D0E69" w:rsidP="007D0E69">
      <w:pPr>
        <w:numPr>
          <w:ilvl w:val="0"/>
          <w:numId w:val="9"/>
        </w:numPr>
        <w:autoSpaceDE w:val="0"/>
        <w:autoSpaceDN w:val="0"/>
        <w:spacing w:before="1"/>
        <w:ind w:left="426" w:hanging="426"/>
        <w:jc w:val="both"/>
        <w:rPr>
          <w:rFonts w:ascii="Cambria" w:eastAsia="Times New Roman" w:hAnsi="Cambria" w:cs="Times New Roman"/>
          <w:sz w:val="20"/>
          <w:szCs w:val="20"/>
          <w:u w:val="single"/>
        </w:rPr>
      </w:pPr>
      <w:r w:rsidRPr="00BF691B">
        <w:rPr>
          <w:rFonts w:ascii="Cambria" w:hAnsi="Cambria"/>
          <w:sz w:val="20"/>
          <w:u w:val="single"/>
        </w:rPr>
        <w:t xml:space="preserve">Antes del 15 de febrero de cada año, cada CPC con una cuota asignada de atún rojo del Atlántico oeste de 50 t o superior enviará a la Secretaría de ICCAT: </w:t>
      </w:r>
    </w:p>
    <w:p w14:paraId="587D0114" w14:textId="77777777" w:rsidR="007D0E69" w:rsidRPr="00BF691B" w:rsidRDefault="007D0E69" w:rsidP="007D0E69">
      <w:pPr>
        <w:spacing w:before="1"/>
        <w:ind w:left="528" w:hanging="395"/>
        <w:jc w:val="both"/>
        <w:rPr>
          <w:rFonts w:ascii="Cambria" w:eastAsia="Times New Roman" w:hAnsi="Cambria" w:cs="Times New Roman"/>
          <w:sz w:val="20"/>
          <w:szCs w:val="20"/>
          <w:u w:val="single"/>
        </w:rPr>
      </w:pPr>
    </w:p>
    <w:p w14:paraId="4E9F4B9C" w14:textId="77777777" w:rsidR="007D0E69" w:rsidRPr="00BF691B" w:rsidRDefault="007D0E69" w:rsidP="007D0E69">
      <w:pPr>
        <w:numPr>
          <w:ilvl w:val="1"/>
          <w:numId w:val="9"/>
        </w:numPr>
        <w:tabs>
          <w:tab w:val="left" w:pos="851"/>
        </w:tabs>
        <w:autoSpaceDE w:val="0"/>
        <w:autoSpaceDN w:val="0"/>
        <w:ind w:left="851" w:right="-1"/>
        <w:jc w:val="both"/>
        <w:rPr>
          <w:rFonts w:ascii="Cambria" w:hAnsi="Cambria"/>
          <w:color w:val="221F1F"/>
          <w:sz w:val="20"/>
          <w:szCs w:val="20"/>
          <w:u w:val="single"/>
        </w:rPr>
      </w:pPr>
      <w:r w:rsidRPr="00BF691B">
        <w:rPr>
          <w:rFonts w:ascii="Cambria" w:hAnsi="Cambria"/>
          <w:color w:val="221F1F"/>
          <w:sz w:val="20"/>
          <w:u w:val="single"/>
        </w:rPr>
        <w:t xml:space="preserve">Un plan de pesca anual para los buques de captura y las almadrabas que pescan atún rojo en el Atlántico oeste, redactado de conformidad con los párrafos 9 y 10. </w:t>
      </w:r>
    </w:p>
    <w:p w14:paraId="3174F042" w14:textId="77777777" w:rsidR="007D0E69" w:rsidRPr="00BF691B" w:rsidRDefault="007D0E69" w:rsidP="007D0E69">
      <w:pPr>
        <w:tabs>
          <w:tab w:val="left" w:pos="851"/>
        </w:tabs>
        <w:autoSpaceDE w:val="0"/>
        <w:autoSpaceDN w:val="0"/>
        <w:ind w:left="851" w:right="-1"/>
        <w:jc w:val="both"/>
        <w:rPr>
          <w:rFonts w:ascii="Cambria" w:hAnsi="Cambria"/>
          <w:color w:val="221F1F"/>
          <w:sz w:val="20"/>
          <w:szCs w:val="20"/>
          <w:u w:val="single"/>
        </w:rPr>
      </w:pPr>
    </w:p>
    <w:p w14:paraId="5024765D" w14:textId="77777777" w:rsidR="007D0E69" w:rsidRPr="00BF691B" w:rsidRDefault="007D0E69" w:rsidP="007D0E69">
      <w:pPr>
        <w:numPr>
          <w:ilvl w:val="1"/>
          <w:numId w:val="9"/>
        </w:numPr>
        <w:tabs>
          <w:tab w:val="left" w:pos="851"/>
        </w:tabs>
        <w:autoSpaceDE w:val="0"/>
        <w:autoSpaceDN w:val="0"/>
        <w:ind w:left="851" w:right="-1"/>
        <w:jc w:val="both"/>
        <w:rPr>
          <w:rFonts w:ascii="Cambria" w:hAnsi="Cambria"/>
          <w:color w:val="221F1F"/>
          <w:sz w:val="20"/>
          <w:szCs w:val="20"/>
          <w:u w:val="single"/>
        </w:rPr>
      </w:pPr>
      <w:r w:rsidRPr="00BF691B">
        <w:rPr>
          <w:rFonts w:ascii="Cambria" w:hAnsi="Cambria"/>
          <w:color w:val="221F1F"/>
          <w:sz w:val="20"/>
          <w:u w:val="single"/>
        </w:rPr>
        <w:t xml:space="preserve">Un plan anual de ordenación de la capacidad pesquera que garantice que la capacidad pesquera autorizada de la CPC se corresponde con su cuota asignada, redactado para incluir la información prevista en el párrafo 5. </w:t>
      </w:r>
    </w:p>
    <w:p w14:paraId="0A527590" w14:textId="77777777" w:rsidR="007D0E69" w:rsidRPr="00BF691B" w:rsidRDefault="007D0E69" w:rsidP="007D0E69">
      <w:pPr>
        <w:tabs>
          <w:tab w:val="left" w:pos="851"/>
        </w:tabs>
        <w:autoSpaceDE w:val="0"/>
        <w:autoSpaceDN w:val="0"/>
        <w:ind w:left="851" w:right="-1"/>
        <w:jc w:val="both"/>
        <w:rPr>
          <w:rFonts w:ascii="Cambria" w:hAnsi="Cambria"/>
          <w:color w:val="221F1F"/>
          <w:sz w:val="20"/>
          <w:szCs w:val="20"/>
          <w:u w:val="single"/>
        </w:rPr>
      </w:pPr>
    </w:p>
    <w:p w14:paraId="21DDADB2" w14:textId="77777777" w:rsidR="007D0E69" w:rsidRPr="00BF691B" w:rsidRDefault="007D0E69" w:rsidP="007D0E69">
      <w:pPr>
        <w:numPr>
          <w:ilvl w:val="1"/>
          <w:numId w:val="9"/>
        </w:numPr>
        <w:tabs>
          <w:tab w:val="left" w:pos="851"/>
        </w:tabs>
        <w:autoSpaceDE w:val="0"/>
        <w:autoSpaceDN w:val="0"/>
        <w:ind w:left="851" w:right="-1"/>
        <w:jc w:val="both"/>
        <w:rPr>
          <w:rFonts w:ascii="Cambria" w:hAnsi="Cambria"/>
          <w:color w:val="221F1F"/>
          <w:sz w:val="20"/>
          <w:szCs w:val="20"/>
          <w:u w:val="single"/>
        </w:rPr>
      </w:pPr>
      <w:r w:rsidRPr="00BF691B">
        <w:rPr>
          <w:rFonts w:ascii="Cambria" w:hAnsi="Cambria"/>
          <w:color w:val="221F1F"/>
          <w:sz w:val="20"/>
          <w:u w:val="single"/>
        </w:rPr>
        <w:t>Un plan de seguimiento, control e inspección con el objetivo de garantizar el cumplimiento de las disposiciones de esta Recomendación. Este plan designará también a la autoridad de control competente de la CPC y la lista de puntos de contacto designados responsables de la implementación de este plan de inspección, control y seguimiento.</w:t>
      </w:r>
    </w:p>
    <w:p w14:paraId="505D4C52" w14:textId="77777777" w:rsidR="007D0E69" w:rsidRPr="00CE2296" w:rsidRDefault="007D0E69" w:rsidP="007D0E69">
      <w:pPr>
        <w:tabs>
          <w:tab w:val="left" w:pos="970"/>
        </w:tabs>
        <w:ind w:right="395"/>
        <w:jc w:val="both"/>
        <w:rPr>
          <w:rFonts w:ascii="Cambria" w:hAnsi="Cambria"/>
          <w:color w:val="221F1F"/>
          <w:sz w:val="20"/>
          <w:szCs w:val="20"/>
          <w:highlight w:val="yellow"/>
          <w:u w:val="single"/>
        </w:rPr>
      </w:pPr>
    </w:p>
    <w:p w14:paraId="2645CAA5" w14:textId="44A5BC5C" w:rsidR="007D0E69" w:rsidRPr="00BF691B" w:rsidRDefault="007D0E69" w:rsidP="007D0E69">
      <w:pPr>
        <w:numPr>
          <w:ilvl w:val="0"/>
          <w:numId w:val="9"/>
        </w:numPr>
        <w:autoSpaceDE w:val="0"/>
        <w:autoSpaceDN w:val="0"/>
        <w:spacing w:before="1"/>
        <w:ind w:left="426" w:hanging="426"/>
        <w:jc w:val="both"/>
        <w:rPr>
          <w:rFonts w:ascii="Cambria" w:eastAsia="Times New Roman" w:hAnsi="Cambria" w:cs="Times New Roman"/>
          <w:sz w:val="20"/>
          <w:szCs w:val="20"/>
          <w:u w:val="single"/>
        </w:rPr>
      </w:pPr>
      <w:r w:rsidRPr="00BF691B">
        <w:rPr>
          <w:rFonts w:ascii="Cambria" w:hAnsi="Cambria"/>
          <w:sz w:val="20"/>
          <w:u w:val="single"/>
        </w:rPr>
        <w:t>Antes del 31 de marzo, la Comisión convocará una reunión intersesiones de la Subcomisión 2 para analizar y, si procede, aprobar los planes mencionados en el párrafo 7. Si la Comisión encuentra algún fallo grave en los planes presentados y no puede aprobarlos, la Comisión tomará una decisión sobre la suspensión automática de la pesca de atún rojo durante dicho año por parte de dicha CPC. La no presentación del plan mencionado antes dará lugar automáticamente a la suspensión de la pesca de atún rojo en dicho año.</w:t>
      </w:r>
      <w:r w:rsidR="00BF691B" w:rsidRPr="00BF691B">
        <w:rPr>
          <w:rFonts w:ascii="Cambria" w:hAnsi="Cambria"/>
          <w:sz w:val="20"/>
          <w:u w:val="single"/>
        </w:rPr>
        <w:t xml:space="preserve"> </w:t>
      </w:r>
      <w:r w:rsidRPr="00BF691B">
        <w:rPr>
          <w:rFonts w:ascii="Cambria" w:hAnsi="Cambria"/>
          <w:sz w:val="20"/>
          <w:u w:val="single"/>
        </w:rPr>
        <w:t xml:space="preserve">En la reunión intersesiones de la Subcomisión 2 también se analizarán y, si procede, </w:t>
      </w:r>
      <w:r w:rsidR="00BF691B" w:rsidRPr="000C578A">
        <w:rPr>
          <w:rFonts w:ascii="Cambria" w:hAnsi="Cambria"/>
          <w:sz w:val="20"/>
          <w:u w:val="single"/>
        </w:rPr>
        <w:t xml:space="preserve">se </w:t>
      </w:r>
      <w:r w:rsidRPr="000C578A">
        <w:rPr>
          <w:rFonts w:ascii="Cambria" w:hAnsi="Cambria"/>
          <w:sz w:val="20"/>
          <w:u w:val="single"/>
        </w:rPr>
        <w:t xml:space="preserve">aprobarán los planes previstos </w:t>
      </w:r>
      <w:r w:rsidRPr="00BF691B">
        <w:rPr>
          <w:rFonts w:ascii="Cambria" w:hAnsi="Cambria"/>
          <w:sz w:val="20"/>
          <w:u w:val="single"/>
        </w:rPr>
        <w:t xml:space="preserve">para el atún rojo del este y el Mediterráneo, de conformidad con </w:t>
      </w:r>
      <w:r w:rsidR="00BF691B" w:rsidRPr="00BF691B">
        <w:rPr>
          <w:rFonts w:ascii="Cambria" w:hAnsi="Cambria"/>
          <w:sz w:val="20"/>
          <w:u w:val="single"/>
        </w:rPr>
        <w:t>la</w:t>
      </w:r>
      <w:r w:rsidR="00BF691B">
        <w:rPr>
          <w:rFonts w:ascii="Cambria" w:hAnsi="Cambria"/>
          <w:sz w:val="20"/>
          <w:u w:val="single"/>
        </w:rPr>
        <w:t xml:space="preserve"> </w:t>
      </w:r>
      <w:r w:rsidRPr="00BF691B">
        <w:rPr>
          <w:rFonts w:ascii="Cambria" w:hAnsi="Cambria"/>
          <w:sz w:val="20"/>
          <w:u w:val="single"/>
        </w:rPr>
        <w:t>Rec. </w:t>
      </w:r>
      <w:r w:rsidR="00DA6919" w:rsidRPr="005F4C62">
        <w:rPr>
          <w:rFonts w:ascii="Cambria" w:hAnsi="Cambria"/>
          <w:color w:val="231F20"/>
          <w:sz w:val="20"/>
          <w:u w:val="single"/>
        </w:rPr>
        <w:t>2</w:t>
      </w:r>
      <w:r w:rsidR="00DA6919">
        <w:rPr>
          <w:rFonts w:ascii="Cambria" w:hAnsi="Cambria"/>
          <w:color w:val="231F20"/>
          <w:sz w:val="20"/>
          <w:u w:val="single"/>
        </w:rPr>
        <w:t>4-05</w:t>
      </w:r>
      <w:r w:rsidRPr="00BF691B">
        <w:rPr>
          <w:rFonts w:ascii="Cambria" w:hAnsi="Cambria"/>
          <w:sz w:val="20"/>
          <w:u w:val="single"/>
        </w:rPr>
        <w:t xml:space="preserve"> de ICCAT. Esta obligación podría cumplirse por medios electrónicos si la Comisión así lo decide. </w:t>
      </w:r>
    </w:p>
    <w:p w14:paraId="5E7BE226" w14:textId="77777777" w:rsidR="007D0E69" w:rsidRPr="00BF691B" w:rsidRDefault="007D0E69" w:rsidP="007D0E69">
      <w:pPr>
        <w:rPr>
          <w:u w:val="single"/>
        </w:rPr>
      </w:pPr>
    </w:p>
    <w:p w14:paraId="519FAD36" w14:textId="77777777" w:rsidR="007D0E69" w:rsidRPr="00BF691B" w:rsidRDefault="007D0E69" w:rsidP="007D0E69">
      <w:pPr>
        <w:jc w:val="both"/>
        <w:outlineLvl w:val="0"/>
        <w:rPr>
          <w:rFonts w:ascii="Cambria" w:eastAsia="Times New Roman" w:hAnsi="Cambria" w:cs="Times New Roman"/>
          <w:b/>
          <w:iCs/>
          <w:color w:val="221F1F"/>
          <w:sz w:val="20"/>
          <w:szCs w:val="20"/>
          <w:u w:val="single"/>
        </w:rPr>
      </w:pPr>
      <w:r w:rsidRPr="00BF691B">
        <w:rPr>
          <w:rFonts w:ascii="Cambria" w:hAnsi="Cambria"/>
          <w:b/>
          <w:color w:val="221F1F"/>
          <w:sz w:val="20"/>
          <w:u w:val="single"/>
        </w:rPr>
        <w:t>Planes de pesca anuales</w:t>
      </w:r>
    </w:p>
    <w:p w14:paraId="75C4CF8C" w14:textId="77777777" w:rsidR="007D0E69" w:rsidRPr="00BF691B" w:rsidRDefault="007D0E69" w:rsidP="007D0E69">
      <w:pPr>
        <w:jc w:val="both"/>
        <w:outlineLvl w:val="0"/>
        <w:rPr>
          <w:rFonts w:ascii="Cambria" w:eastAsia="Times New Roman" w:hAnsi="Cambria" w:cs="Times New Roman"/>
          <w:b/>
          <w:i/>
          <w:color w:val="221F1F"/>
          <w:sz w:val="20"/>
          <w:szCs w:val="20"/>
          <w:u w:val="single"/>
        </w:rPr>
      </w:pPr>
    </w:p>
    <w:p w14:paraId="1A5B3362" w14:textId="316621BD" w:rsidR="007D0E69" w:rsidRPr="0075542A" w:rsidRDefault="007D0E69" w:rsidP="007D0E69">
      <w:pPr>
        <w:numPr>
          <w:ilvl w:val="0"/>
          <w:numId w:val="9"/>
        </w:numPr>
        <w:autoSpaceDE w:val="0"/>
        <w:autoSpaceDN w:val="0"/>
        <w:spacing w:before="1"/>
        <w:ind w:left="426" w:hanging="426"/>
        <w:jc w:val="both"/>
        <w:rPr>
          <w:rFonts w:ascii="Cambria" w:eastAsia="Times New Roman" w:hAnsi="Cambria" w:cs="Times New Roman"/>
          <w:sz w:val="20"/>
          <w:szCs w:val="20"/>
          <w:u w:val="single"/>
        </w:rPr>
      </w:pPr>
      <w:r w:rsidRPr="0075542A">
        <w:rPr>
          <w:rFonts w:ascii="Cambria" w:hAnsi="Cambria"/>
          <w:sz w:val="20"/>
          <w:u w:val="single"/>
        </w:rPr>
        <w:t xml:space="preserve">En el plan de pesca </w:t>
      </w:r>
      <w:r w:rsidR="0075542A" w:rsidRPr="000C578A">
        <w:rPr>
          <w:rFonts w:ascii="Cambria" w:hAnsi="Cambria"/>
          <w:sz w:val="20"/>
          <w:u w:val="single"/>
        </w:rPr>
        <w:t xml:space="preserve">anual </w:t>
      </w:r>
      <w:r w:rsidRPr="000C578A">
        <w:rPr>
          <w:rFonts w:ascii="Cambria" w:hAnsi="Cambria"/>
          <w:sz w:val="20"/>
          <w:u w:val="single"/>
        </w:rPr>
        <w:t xml:space="preserve">se identificarán¸ </w:t>
      </w:r>
      <w:r w:rsidRPr="000C578A">
        <w:rPr>
          <w:rFonts w:ascii="Cambria" w:hAnsi="Cambria"/>
          <w:i/>
          <w:iCs/>
          <w:sz w:val="20"/>
          <w:u w:val="single"/>
        </w:rPr>
        <w:t>inter alia</w:t>
      </w:r>
      <w:r w:rsidRPr="000C578A">
        <w:rPr>
          <w:rFonts w:ascii="Cambria" w:hAnsi="Cambria"/>
          <w:sz w:val="20"/>
          <w:u w:val="single"/>
        </w:rPr>
        <w:t>,</w:t>
      </w:r>
      <w:r w:rsidRPr="0075542A">
        <w:rPr>
          <w:rFonts w:ascii="Cambria" w:hAnsi="Cambria"/>
          <w:sz w:val="20"/>
          <w:u w:val="single"/>
        </w:rPr>
        <w:t xml:space="preserve"> las cuotas asignadas a cada grupo de artes, cuando proceda, el método utilizado para asignar y gestionar las cuotas, así como las medidas para garantizar la observancia de las cuotas individuales, las temporadas de pesca abiertas para cada categoría de arte y las normas sobre captura fortuita. </w:t>
      </w:r>
    </w:p>
    <w:p w14:paraId="7B81B55C" w14:textId="77777777" w:rsidR="007D0E69" w:rsidRPr="00CE2296" w:rsidRDefault="007D0E69" w:rsidP="007D0E69">
      <w:pPr>
        <w:rPr>
          <w:highlight w:val="yellow"/>
        </w:rPr>
      </w:pPr>
    </w:p>
    <w:p w14:paraId="3A1796EA" w14:textId="2C2DDC09" w:rsidR="007D0E69" w:rsidRPr="0075542A" w:rsidRDefault="007D0E69" w:rsidP="007D0E69">
      <w:pPr>
        <w:numPr>
          <w:ilvl w:val="0"/>
          <w:numId w:val="9"/>
        </w:numPr>
        <w:autoSpaceDE w:val="0"/>
        <w:autoSpaceDN w:val="0"/>
        <w:spacing w:before="1"/>
        <w:ind w:left="426" w:hanging="426"/>
        <w:jc w:val="both"/>
        <w:rPr>
          <w:rFonts w:ascii="Cambria" w:eastAsia="Times New Roman" w:hAnsi="Cambria" w:cs="Times New Roman"/>
          <w:sz w:val="20"/>
          <w:szCs w:val="20"/>
          <w:u w:val="single"/>
        </w:rPr>
      </w:pPr>
      <w:r w:rsidRPr="0075542A">
        <w:rPr>
          <w:rFonts w:ascii="Cambria" w:hAnsi="Cambria"/>
          <w:sz w:val="20"/>
          <w:u w:val="single"/>
        </w:rPr>
        <w:t xml:space="preserve">Cualquier modificación ulterior al plan de pesca anual se transmitirá a la Secretaría de ICCAT al menos un día laborable antes del ejercicio de la actividad correspondiente a dicha modificación. No obstante esta disposición, se permitirán las transferencias de cuota entre diferentes grupos de artes y las transferencias entre cuota de captura fortuita y </w:t>
      </w:r>
      <w:r w:rsidRPr="000C578A">
        <w:rPr>
          <w:rFonts w:ascii="Cambria" w:hAnsi="Cambria"/>
          <w:sz w:val="20"/>
          <w:u w:val="single"/>
        </w:rPr>
        <w:t>cuota</w:t>
      </w:r>
      <w:r w:rsidR="0075542A" w:rsidRPr="000C578A">
        <w:rPr>
          <w:rFonts w:ascii="Cambria" w:hAnsi="Cambria"/>
          <w:sz w:val="20"/>
          <w:u w:val="single"/>
        </w:rPr>
        <w:t>s</w:t>
      </w:r>
      <w:r w:rsidRPr="000C578A">
        <w:rPr>
          <w:rFonts w:ascii="Cambria" w:hAnsi="Cambria"/>
          <w:sz w:val="20"/>
          <w:u w:val="single"/>
        </w:rPr>
        <w:t xml:space="preserve"> dirigida</w:t>
      </w:r>
      <w:r w:rsidR="0075542A" w:rsidRPr="000C578A">
        <w:rPr>
          <w:rFonts w:ascii="Cambria" w:hAnsi="Cambria"/>
          <w:sz w:val="20"/>
          <w:u w:val="single"/>
        </w:rPr>
        <w:t>s</w:t>
      </w:r>
      <w:r w:rsidRPr="000C578A">
        <w:rPr>
          <w:rFonts w:ascii="Cambria" w:hAnsi="Cambria"/>
          <w:sz w:val="20"/>
          <w:u w:val="single"/>
        </w:rPr>
        <w:t xml:space="preserve"> de la misma CPC</w:t>
      </w:r>
      <w:r w:rsidRPr="0075542A">
        <w:rPr>
          <w:rFonts w:ascii="Cambria" w:hAnsi="Cambria"/>
          <w:sz w:val="20"/>
          <w:u w:val="single"/>
        </w:rPr>
        <w:t>, siempre que la información sobre las transferencias sea transmitida a la Secretaría de ICCAT como muy tarde cuando la transferencia entre en vigor.</w:t>
      </w:r>
    </w:p>
    <w:p w14:paraId="360558AA" w14:textId="77777777" w:rsidR="007D0E69" w:rsidRPr="00CE2296" w:rsidRDefault="007D0E69" w:rsidP="007D0E69">
      <w:pPr>
        <w:rPr>
          <w:highlight w:val="yellow"/>
          <w:u w:val="single"/>
        </w:rPr>
      </w:pPr>
    </w:p>
    <w:p w14:paraId="06273A71" w14:textId="77777777" w:rsidR="007D0E69" w:rsidRPr="0075542A" w:rsidRDefault="007D0E69" w:rsidP="007D0E69">
      <w:pPr>
        <w:jc w:val="both"/>
        <w:outlineLvl w:val="0"/>
        <w:rPr>
          <w:rFonts w:ascii="Cambria" w:eastAsia="Times New Roman" w:hAnsi="Cambria" w:cs="Times New Roman"/>
          <w:b/>
          <w:iCs/>
          <w:color w:val="221F1F"/>
          <w:sz w:val="20"/>
          <w:szCs w:val="20"/>
          <w:highlight w:val="cyan"/>
          <w:u w:val="single"/>
        </w:rPr>
      </w:pPr>
      <w:r w:rsidRPr="0075542A">
        <w:rPr>
          <w:rFonts w:ascii="Cambria" w:hAnsi="Cambria"/>
          <w:b/>
          <w:color w:val="221F1F"/>
          <w:sz w:val="20"/>
          <w:highlight w:val="cyan"/>
          <w:u w:val="single"/>
        </w:rPr>
        <w:t>Medidas sobre ordenación de la capacidad</w:t>
      </w:r>
    </w:p>
    <w:p w14:paraId="29F9BBDF" w14:textId="77777777" w:rsidR="007D0E69" w:rsidRPr="00CE2296" w:rsidRDefault="007D0E69" w:rsidP="007D0E69">
      <w:pPr>
        <w:rPr>
          <w:highlight w:val="yellow"/>
          <w:u w:val="single"/>
        </w:rPr>
      </w:pPr>
    </w:p>
    <w:p w14:paraId="6CA9240A" w14:textId="77777777" w:rsidR="007D0E69" w:rsidRPr="0075542A" w:rsidRDefault="007D0E69" w:rsidP="007D0E69">
      <w:pPr>
        <w:numPr>
          <w:ilvl w:val="0"/>
          <w:numId w:val="9"/>
        </w:numPr>
        <w:autoSpaceDE w:val="0"/>
        <w:autoSpaceDN w:val="0"/>
        <w:ind w:left="426" w:hanging="426"/>
        <w:jc w:val="both"/>
        <w:rPr>
          <w:rFonts w:ascii="Cambria" w:eastAsia="Times New Roman" w:hAnsi="Cambria" w:cs="Times New Roman"/>
          <w:color w:val="221F1F"/>
          <w:sz w:val="20"/>
          <w:szCs w:val="20"/>
          <w:u w:val="single"/>
        </w:rPr>
      </w:pPr>
      <w:r w:rsidRPr="0075542A">
        <w:rPr>
          <w:rFonts w:ascii="Cambria" w:hAnsi="Cambria"/>
          <w:color w:val="221F1F"/>
          <w:sz w:val="20"/>
          <w:highlight w:val="cyan"/>
          <w:u w:val="single"/>
        </w:rPr>
        <w:t xml:space="preserve">Cada </w:t>
      </w:r>
      <w:r w:rsidRPr="0075542A">
        <w:rPr>
          <w:rFonts w:ascii="Cambria" w:hAnsi="Cambria"/>
          <w:color w:val="221F1F"/>
          <w:sz w:val="20"/>
          <w:u w:val="single"/>
        </w:rPr>
        <w:t>CPC ajustará su capacidad de pesca para garantizar que sea acorde con su cuota asignada utilizando las tasas de captura anuales pertinentes por segmento de la flota y arte. Estos parámetros deberían ser facilitados por el SCRS antes de la reunión anual de 2025, y cada vez que se lleve a cabo una evaluación de stock para el atún rojo del oeste, lo que incluye tasas específicas para los tipos de arte y las zonas de pesca.</w:t>
      </w:r>
    </w:p>
    <w:p w14:paraId="254CE46A" w14:textId="77777777" w:rsidR="007D0E69" w:rsidRPr="005D5654" w:rsidRDefault="007D0E69" w:rsidP="007D0E69">
      <w:pPr>
        <w:widowControl/>
        <w:tabs>
          <w:tab w:val="left" w:pos="993"/>
        </w:tabs>
        <w:jc w:val="both"/>
        <w:rPr>
          <w:rFonts w:ascii="Cambria" w:eastAsia="Cambria" w:hAnsi="Cambria" w:cs="Cambria"/>
          <w:color w:val="231F20"/>
          <w:sz w:val="20"/>
          <w:szCs w:val="20"/>
        </w:rPr>
      </w:pPr>
    </w:p>
    <w:p w14:paraId="4F857265" w14:textId="77777777" w:rsidR="005D5654" w:rsidRPr="005D5654" w:rsidRDefault="005D5654" w:rsidP="007D0E69">
      <w:pPr>
        <w:jc w:val="both"/>
        <w:outlineLvl w:val="0"/>
        <w:rPr>
          <w:rFonts w:ascii="Cambria" w:eastAsia="Cambria" w:hAnsi="Cambria" w:cs="Cambria"/>
          <w:iCs/>
          <w:sz w:val="20"/>
          <w:szCs w:val="20"/>
        </w:rPr>
      </w:pPr>
      <w:r w:rsidRPr="005D5654">
        <w:rPr>
          <w:rFonts w:ascii="Cambria" w:eastAsia="Times New Roman" w:hAnsi="Cambria" w:cs="Times New Roman"/>
          <w:b/>
          <w:iCs/>
          <w:color w:val="231F20"/>
          <w:sz w:val="20"/>
          <w:szCs w:val="20"/>
        </w:rPr>
        <w:t>Requisitos de talla mínima de los peces y protección de los peces pequeños</w:t>
      </w:r>
    </w:p>
    <w:p w14:paraId="4D826F26" w14:textId="77777777" w:rsidR="005D5654" w:rsidRPr="005D5654" w:rsidRDefault="005D5654" w:rsidP="007D0E69">
      <w:pPr>
        <w:jc w:val="both"/>
        <w:rPr>
          <w:rFonts w:ascii="Cambria" w:eastAsia="Cambria" w:hAnsi="Cambria" w:cs="Cambria"/>
          <w:b/>
          <w:i/>
          <w:sz w:val="20"/>
          <w:szCs w:val="20"/>
        </w:rPr>
      </w:pPr>
    </w:p>
    <w:p w14:paraId="1FEED235" w14:textId="77777777" w:rsidR="005D5654" w:rsidRPr="005D5654" w:rsidRDefault="005D5654" w:rsidP="007D0E69">
      <w:pPr>
        <w:widowControl/>
        <w:numPr>
          <w:ilvl w:val="0"/>
          <w:numId w:val="10"/>
        </w:numPr>
        <w:ind w:left="426" w:hanging="426"/>
        <w:jc w:val="both"/>
        <w:rPr>
          <w:rFonts w:ascii="Cambria" w:eastAsia="Cambria" w:hAnsi="Cambria" w:cs="Cambria"/>
          <w:sz w:val="20"/>
          <w:szCs w:val="20"/>
        </w:rPr>
      </w:pPr>
      <w:r w:rsidRPr="005D5654">
        <w:rPr>
          <w:rFonts w:ascii="Cambria" w:hAnsi="Cambria"/>
          <w:color w:val="231F20"/>
          <w:sz w:val="20"/>
          <w:szCs w:val="20"/>
        </w:rPr>
        <w:t>Las CPC prohibirán la pesca y desembarque de atún rojo del Atlántico oeste que pesen menos de 30 kg, o como alternativa, con una longitud a la horquilla inferior a 115 cm.</w:t>
      </w:r>
    </w:p>
    <w:p w14:paraId="28030715" w14:textId="77777777" w:rsidR="005D5654" w:rsidRPr="005D5654" w:rsidRDefault="005D5654" w:rsidP="007D0E69">
      <w:pPr>
        <w:jc w:val="both"/>
        <w:rPr>
          <w:rFonts w:ascii="Cambria" w:eastAsia="Cambria" w:hAnsi="Cambria" w:cs="Cambria"/>
          <w:sz w:val="20"/>
          <w:szCs w:val="20"/>
        </w:rPr>
      </w:pPr>
    </w:p>
    <w:p w14:paraId="17338394" w14:textId="77777777" w:rsidR="005D5654" w:rsidRPr="005D5654" w:rsidRDefault="005D5654" w:rsidP="007D0E69">
      <w:pPr>
        <w:widowControl/>
        <w:numPr>
          <w:ilvl w:val="0"/>
          <w:numId w:val="10"/>
        </w:numPr>
        <w:ind w:left="425" w:hanging="425"/>
        <w:jc w:val="both"/>
        <w:rPr>
          <w:rFonts w:ascii="Cambria" w:eastAsia="Cambria" w:hAnsi="Cambria" w:cs="Cambria"/>
          <w:sz w:val="20"/>
          <w:szCs w:val="20"/>
        </w:rPr>
      </w:pPr>
      <w:r w:rsidRPr="005D5654">
        <w:rPr>
          <w:rFonts w:ascii="Cambria" w:hAnsi="Cambria"/>
          <w:color w:val="231F20"/>
          <w:sz w:val="20"/>
          <w:szCs w:val="20"/>
        </w:rPr>
        <w:t>No obstante las medidas anteriores, las CPC podrían conceder tolerancias de captura de atún rojo del Atlántico oeste con un peso inferior a 30 kg o, como alternativa, con una longitud a la horquilla inferior a 115 cm, siempre que limiten la pesca de estos peces a no más del 10 % en peso de la cuota total de atún rojo para cada CPC y que implementen medidas para que los pescadores no obtengan beneficios económicos de estos peces. Cualquier exceso de captura de dicho límite de tolerancia en un año deberá restarse del límite de tolerancia aplicable en el siguiente año o en el año posterior al siguiente. Las CPC que concedan dicha tolerancia prohibirán la captura y el desembarque de atún rojo del Atlántico occidental con una longitud a la horquilla inferior a 67 cm, excepto como objeto de un proyecto de investigación notificado al SCRS, desarrollado teniendo en cuenta las prioridades de investigación recomendadas por el SCRS y realizado por personas debidamente autorizadas por la CPC para llevar a cabo dicha investigación.</w:t>
      </w:r>
    </w:p>
    <w:p w14:paraId="2E4B7B2A" w14:textId="77777777" w:rsidR="005D5654" w:rsidRPr="005D5654" w:rsidRDefault="005D5654" w:rsidP="007D0E69">
      <w:pPr>
        <w:rPr>
          <w:rFonts w:ascii="Cambria" w:eastAsia="Cambria" w:hAnsi="Cambria" w:cs="Cambria"/>
          <w:color w:val="231F20"/>
          <w:sz w:val="20"/>
          <w:szCs w:val="20"/>
        </w:rPr>
      </w:pPr>
    </w:p>
    <w:p w14:paraId="20C0CF27" w14:textId="77777777" w:rsidR="005D5654" w:rsidRPr="005D5654" w:rsidRDefault="005D5654" w:rsidP="007D0E69">
      <w:pPr>
        <w:widowControl/>
        <w:numPr>
          <w:ilvl w:val="0"/>
          <w:numId w:val="10"/>
        </w:numPr>
        <w:ind w:left="425" w:hanging="425"/>
        <w:jc w:val="both"/>
        <w:rPr>
          <w:rFonts w:ascii="Cambria" w:eastAsia="Cambria" w:hAnsi="Cambria" w:cs="Cambria"/>
          <w:sz w:val="20"/>
          <w:szCs w:val="20"/>
        </w:rPr>
      </w:pPr>
      <w:r w:rsidRPr="005D5654">
        <w:rPr>
          <w:rFonts w:ascii="Cambria" w:hAnsi="Cambria"/>
          <w:color w:val="231F20"/>
          <w:sz w:val="20"/>
          <w:szCs w:val="20"/>
        </w:rPr>
        <w:t>Las CPC prohibirán a los pescadores vender u ofrecer para su venta peces de cualquier talla capturados en pesquerías de recreo.</w:t>
      </w:r>
    </w:p>
    <w:p w14:paraId="1FD7DD4B" w14:textId="77777777" w:rsidR="005D5654" w:rsidRPr="005D5654" w:rsidRDefault="005D5654" w:rsidP="007D0E69">
      <w:pPr>
        <w:rPr>
          <w:rFonts w:ascii="Cambria" w:eastAsia="Cambria" w:hAnsi="Cambria" w:cs="Cambria"/>
          <w:sz w:val="20"/>
          <w:szCs w:val="20"/>
        </w:rPr>
      </w:pPr>
    </w:p>
    <w:p w14:paraId="23B1CDA6" w14:textId="55F0AA74" w:rsidR="007D0E69" w:rsidRPr="005B4507" w:rsidRDefault="005D5654" w:rsidP="00F95C82">
      <w:pPr>
        <w:widowControl/>
        <w:numPr>
          <w:ilvl w:val="0"/>
          <w:numId w:val="10"/>
        </w:numPr>
        <w:ind w:left="425" w:hanging="425"/>
        <w:jc w:val="both"/>
        <w:outlineLvl w:val="0"/>
        <w:rPr>
          <w:rFonts w:ascii="Cambria" w:eastAsia="Times New Roman" w:hAnsi="Cambria" w:cs="Times New Roman"/>
          <w:b/>
          <w:iCs/>
          <w:color w:val="231F20"/>
          <w:sz w:val="20"/>
          <w:szCs w:val="20"/>
        </w:rPr>
      </w:pPr>
      <w:r w:rsidRPr="00F95C82">
        <w:rPr>
          <w:rFonts w:ascii="Cambria" w:hAnsi="Cambria"/>
          <w:color w:val="231F20"/>
          <w:sz w:val="20"/>
          <w:szCs w:val="20"/>
        </w:rPr>
        <w:t>Las CPC instarán a su pescadores comerciales y de recreo a que marquen y liberen todos los peces de menos de 30 kg o, como alternativa, con una longitud a la horquilla inferior a 115 cm, y comunicarán en su informe anual las acciones emprendidas a este efecto.</w:t>
      </w:r>
    </w:p>
    <w:p w14:paraId="711F2411" w14:textId="77777777" w:rsidR="005B4507" w:rsidRPr="00F95C82" w:rsidRDefault="005B4507" w:rsidP="005B4507">
      <w:pPr>
        <w:widowControl/>
        <w:ind w:left="425"/>
        <w:jc w:val="both"/>
        <w:outlineLvl w:val="0"/>
        <w:rPr>
          <w:rFonts w:ascii="Cambria" w:eastAsia="Times New Roman" w:hAnsi="Cambria" w:cs="Times New Roman"/>
          <w:b/>
          <w:iCs/>
          <w:color w:val="231F20"/>
          <w:sz w:val="20"/>
          <w:szCs w:val="20"/>
        </w:rPr>
      </w:pPr>
    </w:p>
    <w:p w14:paraId="253FFFC2" w14:textId="7BDB35F4" w:rsidR="005D5654" w:rsidRPr="005D5654" w:rsidRDefault="005D5654" w:rsidP="007D0E69">
      <w:pPr>
        <w:outlineLvl w:val="0"/>
        <w:rPr>
          <w:rFonts w:ascii="Cambria" w:eastAsia="Cambria" w:hAnsi="Cambria" w:cs="Cambria"/>
          <w:iCs/>
          <w:sz w:val="20"/>
          <w:szCs w:val="20"/>
        </w:rPr>
      </w:pPr>
      <w:r w:rsidRPr="005D5654">
        <w:rPr>
          <w:rFonts w:ascii="Cambria" w:eastAsia="Times New Roman" w:hAnsi="Cambria" w:cs="Times New Roman"/>
          <w:b/>
          <w:iCs/>
          <w:color w:val="231F20"/>
          <w:sz w:val="20"/>
          <w:szCs w:val="20"/>
        </w:rPr>
        <w:t>Restricciones de zona y tiempo</w:t>
      </w:r>
    </w:p>
    <w:p w14:paraId="23436C53" w14:textId="77777777" w:rsidR="005D5654" w:rsidRPr="005D5654" w:rsidRDefault="005D5654" w:rsidP="007D0E69">
      <w:pPr>
        <w:rPr>
          <w:rFonts w:ascii="Cambria" w:eastAsia="Cambria" w:hAnsi="Cambria" w:cs="Cambria"/>
          <w:b/>
          <w:i/>
          <w:sz w:val="20"/>
          <w:szCs w:val="20"/>
        </w:rPr>
      </w:pPr>
    </w:p>
    <w:p w14:paraId="6C9F847E" w14:textId="26650180" w:rsidR="005D5654" w:rsidRPr="005D5654" w:rsidRDefault="005D5654" w:rsidP="007D0E69">
      <w:pPr>
        <w:widowControl/>
        <w:numPr>
          <w:ilvl w:val="0"/>
          <w:numId w:val="10"/>
        </w:numPr>
        <w:ind w:left="425" w:hanging="425"/>
        <w:jc w:val="both"/>
        <w:rPr>
          <w:rFonts w:ascii="Cambria" w:hAnsi="Cambria"/>
          <w:b/>
          <w:bCs/>
          <w:i/>
          <w:iCs/>
          <w:color w:val="231F20"/>
          <w:sz w:val="20"/>
          <w:szCs w:val="20"/>
        </w:rPr>
      </w:pPr>
      <w:r w:rsidRPr="005D5654">
        <w:rPr>
          <w:rFonts w:ascii="Cambria" w:hAnsi="Cambria"/>
          <w:color w:val="231F20"/>
          <w:sz w:val="20"/>
          <w:szCs w:val="20"/>
        </w:rPr>
        <w:t xml:space="preserve">No habrá una pesquería dirigida al stock reproductor de atún rojo en las zonas de reproducción del Atlántico occidental (a saber, el golfo de México). Teniendo en cuenta el asesoramiento recibido del SCRS de conformidad con el párrafo </w:t>
      </w:r>
      <w:r w:rsidR="00453C02" w:rsidRPr="005B4507">
        <w:rPr>
          <w:rFonts w:ascii="Cambria" w:hAnsi="Cambria"/>
          <w:color w:val="231F20"/>
          <w:sz w:val="20"/>
          <w:szCs w:val="20"/>
          <w:u w:val="single"/>
        </w:rPr>
        <w:t>56</w:t>
      </w:r>
      <w:r w:rsidRPr="005B4507">
        <w:rPr>
          <w:rFonts w:ascii="Cambria" w:hAnsi="Cambria"/>
          <w:color w:val="231F20"/>
          <w:sz w:val="20"/>
          <w:szCs w:val="20"/>
        </w:rPr>
        <w:t>, la</w:t>
      </w:r>
      <w:r w:rsidRPr="005D5654">
        <w:rPr>
          <w:rFonts w:ascii="Cambria" w:hAnsi="Cambria"/>
          <w:color w:val="231F20"/>
          <w:sz w:val="20"/>
          <w:szCs w:val="20"/>
        </w:rPr>
        <w:t xml:space="preserve"> Comisión considerará examinar esta medida y la necesidad de acciones de ordenación alternativas, teniendo en cuenta los esfuerzos de México y otras CPC para conservar el atún rojo del Atlántico occidental, lo que incluye mediante la reducción de la captura fortuita.</w:t>
      </w:r>
    </w:p>
    <w:p w14:paraId="3EAAB588" w14:textId="0BF76185" w:rsidR="005D5654" w:rsidRPr="005D5654" w:rsidRDefault="005D5654" w:rsidP="007D0E69">
      <w:pPr>
        <w:widowControl/>
        <w:rPr>
          <w:rFonts w:ascii="Cambria" w:hAnsi="Cambria"/>
          <w:b/>
          <w:bCs/>
          <w:color w:val="231F20"/>
          <w:sz w:val="20"/>
          <w:szCs w:val="20"/>
        </w:rPr>
      </w:pPr>
    </w:p>
    <w:p w14:paraId="360301A4" w14:textId="77777777" w:rsidR="005D5654" w:rsidRPr="005D5654" w:rsidRDefault="005D5654" w:rsidP="007D0E69">
      <w:pPr>
        <w:tabs>
          <w:tab w:val="left" w:pos="536"/>
        </w:tabs>
        <w:jc w:val="both"/>
        <w:rPr>
          <w:rFonts w:ascii="Cambria" w:eastAsia="Cambria" w:hAnsi="Cambria" w:cs="Cambria"/>
          <w:b/>
          <w:bCs/>
          <w:sz w:val="20"/>
          <w:szCs w:val="20"/>
        </w:rPr>
      </w:pPr>
      <w:r w:rsidRPr="005D5654">
        <w:rPr>
          <w:rFonts w:ascii="Cambria" w:hAnsi="Cambria"/>
          <w:b/>
          <w:bCs/>
          <w:color w:val="231F20"/>
          <w:sz w:val="20"/>
          <w:szCs w:val="20"/>
        </w:rPr>
        <w:t>Transbordo</w:t>
      </w:r>
    </w:p>
    <w:p w14:paraId="2C62C540" w14:textId="77777777" w:rsidR="005D5654" w:rsidRPr="005D5654" w:rsidRDefault="005D5654" w:rsidP="007D0E69">
      <w:pPr>
        <w:jc w:val="both"/>
        <w:rPr>
          <w:rFonts w:ascii="Cambria" w:eastAsia="Cambria" w:hAnsi="Cambria" w:cs="Cambria"/>
          <w:b/>
          <w:i/>
          <w:sz w:val="20"/>
          <w:szCs w:val="20"/>
        </w:rPr>
      </w:pPr>
    </w:p>
    <w:p w14:paraId="6435E577" w14:textId="77777777" w:rsidR="005D5654" w:rsidRPr="00453C02" w:rsidRDefault="005D5654" w:rsidP="007D0E69">
      <w:pPr>
        <w:widowControl/>
        <w:numPr>
          <w:ilvl w:val="0"/>
          <w:numId w:val="10"/>
        </w:numPr>
        <w:ind w:left="425" w:hanging="425"/>
        <w:jc w:val="both"/>
        <w:rPr>
          <w:rFonts w:ascii="Cambria" w:eastAsia="Cambria" w:hAnsi="Cambria" w:cs="Cambria"/>
          <w:color w:val="231F20"/>
          <w:sz w:val="20"/>
          <w:szCs w:val="20"/>
        </w:rPr>
      </w:pPr>
      <w:r w:rsidRPr="005D5654">
        <w:rPr>
          <w:rFonts w:ascii="Cambria" w:hAnsi="Cambria"/>
          <w:color w:val="231F20"/>
          <w:sz w:val="20"/>
          <w:szCs w:val="20"/>
        </w:rPr>
        <w:t>Quedarán prohibidos los transbordos en el mar.</w:t>
      </w:r>
    </w:p>
    <w:p w14:paraId="7F27979A" w14:textId="77777777" w:rsidR="00453C02" w:rsidRDefault="00453C02" w:rsidP="00453C02">
      <w:pPr>
        <w:widowControl/>
        <w:jc w:val="both"/>
        <w:rPr>
          <w:rFonts w:ascii="Cambria" w:hAnsi="Cambria"/>
          <w:color w:val="231F20"/>
          <w:sz w:val="20"/>
          <w:szCs w:val="20"/>
        </w:rPr>
      </w:pPr>
    </w:p>
    <w:p w14:paraId="04287C2E" w14:textId="77777777" w:rsidR="00453C02" w:rsidRPr="005B4507" w:rsidRDefault="00453C02" w:rsidP="00453C02">
      <w:pPr>
        <w:numPr>
          <w:ilvl w:val="0"/>
          <w:numId w:val="11"/>
        </w:numPr>
        <w:autoSpaceDE w:val="0"/>
        <w:autoSpaceDN w:val="0"/>
        <w:ind w:left="426"/>
        <w:jc w:val="both"/>
        <w:rPr>
          <w:rFonts w:ascii="Cambria" w:eastAsia="Times New Roman" w:hAnsi="Cambria" w:cs="Times New Roman"/>
          <w:color w:val="231F20"/>
          <w:sz w:val="20"/>
          <w:szCs w:val="19"/>
          <w:u w:val="single"/>
        </w:rPr>
      </w:pPr>
      <w:r w:rsidRPr="005B4507">
        <w:rPr>
          <w:rFonts w:ascii="Cambria" w:hAnsi="Cambria"/>
          <w:color w:val="231F20"/>
          <w:sz w:val="20"/>
          <w:highlight w:val="green"/>
          <w:u w:val="single"/>
        </w:rPr>
        <w:t>Las operaciones de transbordo</w:t>
      </w:r>
      <w:r w:rsidRPr="005B4507">
        <w:rPr>
          <w:rFonts w:ascii="Cambria" w:hAnsi="Cambria"/>
          <w:color w:val="231F20"/>
          <w:sz w:val="20"/>
          <w:u w:val="single"/>
        </w:rPr>
        <w:t xml:space="preserve"> de atún rojo en el Atlántico oeste se permitirán únicamente en los puertos designados definidos y en las condiciones establecidas en los párrafos 71 a 75. Esto también se aplicará a las capturas fortuitas.</w:t>
      </w:r>
    </w:p>
    <w:p w14:paraId="20309846" w14:textId="77777777" w:rsidR="00453C02" w:rsidRPr="00453C02" w:rsidRDefault="00453C02" w:rsidP="00453C02">
      <w:pPr>
        <w:autoSpaceDE w:val="0"/>
        <w:autoSpaceDN w:val="0"/>
        <w:ind w:left="544"/>
        <w:jc w:val="both"/>
        <w:rPr>
          <w:rFonts w:ascii="Cambria" w:eastAsia="Times New Roman" w:hAnsi="Cambria" w:cs="Times New Roman"/>
          <w:color w:val="231F20"/>
          <w:sz w:val="20"/>
          <w:szCs w:val="19"/>
          <w:highlight w:val="yellow"/>
          <w:u w:val="single"/>
        </w:rPr>
      </w:pPr>
    </w:p>
    <w:p w14:paraId="034E8BAD" w14:textId="77777777" w:rsidR="00453C02" w:rsidRPr="009E43F0" w:rsidRDefault="00453C02" w:rsidP="00453C02">
      <w:pPr>
        <w:numPr>
          <w:ilvl w:val="0"/>
          <w:numId w:val="11"/>
        </w:numPr>
        <w:autoSpaceDE w:val="0"/>
        <w:autoSpaceDN w:val="0"/>
        <w:ind w:left="426" w:hanging="426"/>
        <w:jc w:val="both"/>
        <w:rPr>
          <w:rFonts w:ascii="Cambria" w:eastAsia="Times New Roman" w:hAnsi="Cambria" w:cs="Times New Roman"/>
          <w:color w:val="231F20"/>
          <w:sz w:val="20"/>
          <w:szCs w:val="19"/>
          <w:u w:val="single"/>
        </w:rPr>
      </w:pPr>
      <w:r w:rsidRPr="005B4507">
        <w:rPr>
          <w:rFonts w:ascii="Cambria" w:hAnsi="Cambria"/>
          <w:color w:val="231F20"/>
          <w:sz w:val="20"/>
          <w:highlight w:val="green"/>
          <w:u w:val="single"/>
        </w:rPr>
        <w:t>Todos los transbordos</w:t>
      </w:r>
      <w:r w:rsidRPr="005B4507">
        <w:rPr>
          <w:rFonts w:ascii="Cambria" w:hAnsi="Cambria"/>
          <w:color w:val="231F20"/>
          <w:sz w:val="20"/>
          <w:u w:val="single"/>
        </w:rPr>
        <w:t xml:space="preserve"> serán inspeccio</w:t>
      </w:r>
      <w:r w:rsidRPr="009E43F0">
        <w:rPr>
          <w:rFonts w:ascii="Cambria" w:hAnsi="Cambria"/>
          <w:color w:val="231F20"/>
          <w:sz w:val="20"/>
          <w:u w:val="single"/>
        </w:rPr>
        <w:t>nados por las autoridades pertinentes de la CPC del puerto. Esto también se aplicará a las capturas fortuitas.</w:t>
      </w:r>
    </w:p>
    <w:p w14:paraId="775121F1" w14:textId="77777777" w:rsidR="00453C02" w:rsidRPr="009E43F0" w:rsidRDefault="00453C02" w:rsidP="00453C02">
      <w:pPr>
        <w:autoSpaceDE w:val="0"/>
        <w:autoSpaceDN w:val="0"/>
        <w:jc w:val="both"/>
        <w:rPr>
          <w:rFonts w:ascii="Cambria" w:eastAsia="Times New Roman" w:hAnsi="Cambria" w:cs="Times New Roman"/>
          <w:color w:val="231F20"/>
          <w:sz w:val="20"/>
          <w:szCs w:val="19"/>
          <w:u w:val="single"/>
        </w:rPr>
      </w:pPr>
    </w:p>
    <w:p w14:paraId="7E90204C" w14:textId="77777777" w:rsidR="00453C02" w:rsidRPr="009E43F0" w:rsidRDefault="00453C02" w:rsidP="00453C02">
      <w:pPr>
        <w:rPr>
          <w:rFonts w:ascii="Cambria" w:hAnsi="Cambria"/>
          <w:b/>
          <w:bCs/>
          <w:sz w:val="20"/>
          <w:szCs w:val="20"/>
          <w:u w:val="single"/>
        </w:rPr>
      </w:pPr>
      <w:r w:rsidRPr="009E43F0">
        <w:rPr>
          <w:rFonts w:ascii="Cambria" w:hAnsi="Cambria"/>
          <w:b/>
          <w:sz w:val="20"/>
          <w:u w:val="single"/>
        </w:rPr>
        <w:t>Normas generales sobre capturas fortuitas</w:t>
      </w:r>
    </w:p>
    <w:p w14:paraId="7A33FD37" w14:textId="77777777" w:rsidR="00453C02" w:rsidRPr="00453C02" w:rsidRDefault="00453C02" w:rsidP="00453C02">
      <w:pPr>
        <w:rPr>
          <w:rFonts w:ascii="Cambria" w:hAnsi="Cambria"/>
          <w:sz w:val="20"/>
          <w:szCs w:val="20"/>
          <w:highlight w:val="yellow"/>
          <w:u w:val="single"/>
        </w:rPr>
      </w:pPr>
    </w:p>
    <w:p w14:paraId="37861FB1" w14:textId="77777777" w:rsidR="00453C02" w:rsidRPr="006C6543"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9E43F0">
        <w:rPr>
          <w:rFonts w:ascii="Cambria" w:hAnsi="Cambria"/>
          <w:color w:val="221F1F"/>
          <w:sz w:val="20"/>
          <w:highlight w:val="cyan"/>
          <w:u w:val="single"/>
        </w:rPr>
        <w:t xml:space="preserve">Las CPC asignarán </w:t>
      </w:r>
      <w:r w:rsidRPr="009E43F0">
        <w:rPr>
          <w:rFonts w:ascii="Cambria" w:hAnsi="Cambria"/>
          <w:color w:val="221F1F"/>
          <w:sz w:val="20"/>
          <w:u w:val="single"/>
        </w:rPr>
        <w:t xml:space="preserve">una cuota específica a la captura fortuita de atún rojo. </w:t>
      </w:r>
      <w:r w:rsidRPr="009E43F0">
        <w:rPr>
          <w:rFonts w:ascii="Cambria" w:hAnsi="Cambria"/>
          <w:sz w:val="20"/>
          <w:u w:val="single"/>
        </w:rPr>
        <w:t>Los niveles de capturas fortuitas autorizadas, así como la metodología para calcular estas capturas fortuitas en relación con las capturas totales a bordo (en peso o en número de ejemplares) estarán claramente definidos en los planes de pesca anuales enviados a la Secretaría de ICCAT de conformidad con el párrafo 9 de esta Recomendación, y nunca superarán el 20 % de las capturas totales a bordo al final de cada marea.</w:t>
      </w:r>
      <w:r w:rsidRPr="009E43F0">
        <w:rPr>
          <w:rFonts w:ascii="Cambria" w:hAnsi="Cambria"/>
          <w:color w:val="221F1F"/>
          <w:sz w:val="20"/>
          <w:u w:val="single"/>
        </w:rPr>
        <w:t xml:space="preserve"> </w:t>
      </w:r>
      <w:r w:rsidRPr="006C6543">
        <w:rPr>
          <w:rFonts w:ascii="Cambria" w:hAnsi="Cambria"/>
          <w:color w:val="221F1F"/>
          <w:sz w:val="20"/>
          <w:u w:val="single"/>
        </w:rPr>
        <w:t xml:space="preserve">El cálculo en número de ejemplares solo se aplicará a los túnidos y especies afines gestionados por ICCAT. </w:t>
      </w:r>
      <w:r w:rsidRPr="006C6543">
        <w:rPr>
          <w:rFonts w:ascii="Cambria" w:hAnsi="Cambria"/>
          <w:sz w:val="20"/>
          <w:u w:val="single"/>
        </w:rPr>
        <w:t>Para la flota de barcos costeros de pequeña escala, la cantidad de captura fortuita puede calcularse anualmente.</w:t>
      </w:r>
      <w:r w:rsidRPr="006C6543">
        <w:rPr>
          <w:rFonts w:ascii="Cambria" w:hAnsi="Cambria"/>
          <w:color w:val="221F1F"/>
          <w:sz w:val="20"/>
          <w:u w:val="single"/>
        </w:rPr>
        <w:t xml:space="preserve"> </w:t>
      </w:r>
    </w:p>
    <w:p w14:paraId="2F7A94C1" w14:textId="77777777" w:rsidR="00453C02" w:rsidRPr="009E43F0" w:rsidRDefault="00453C02" w:rsidP="00453C02">
      <w:pPr>
        <w:tabs>
          <w:tab w:val="left" w:pos="545"/>
        </w:tabs>
        <w:ind w:left="567" w:hanging="425"/>
        <w:rPr>
          <w:rFonts w:ascii="Cambria" w:hAnsi="Cambria"/>
          <w:color w:val="221F1F"/>
          <w:sz w:val="20"/>
          <w:szCs w:val="20"/>
          <w:u w:val="single"/>
        </w:rPr>
      </w:pPr>
    </w:p>
    <w:p w14:paraId="0CA98696" w14:textId="77777777" w:rsidR="00453C02" w:rsidRPr="009E43F0"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9E43F0">
        <w:rPr>
          <w:rFonts w:ascii="Cambria" w:hAnsi="Cambria"/>
          <w:sz w:val="20"/>
          <w:u w:val="single"/>
        </w:rPr>
        <w:t>Todas las capturas fortuitas de atún rojo muerto, ya sean retenidas o descartadas, se deducirán de la cuota de la CPC del pabellón y se comunicarán a ICCAT.</w:t>
      </w:r>
      <w:r w:rsidRPr="009E43F0">
        <w:rPr>
          <w:rFonts w:ascii="Cambria" w:hAnsi="Cambria"/>
          <w:color w:val="221F1F"/>
          <w:sz w:val="20"/>
          <w:u w:val="single"/>
        </w:rPr>
        <w:t xml:space="preserve"> Si la captura fortuita de atún rojo se produce en aguas bajo la jurisdicción pesquera de una CPC cuya legislación nacional actual requiera que todos los peces muertos o moribundos sean desembarcados, esta obligación de desembarque será cumplida también por los buques que enarbolan pabellones extranjeros. </w:t>
      </w:r>
    </w:p>
    <w:p w14:paraId="5E9CCD21" w14:textId="77777777" w:rsidR="00453C02" w:rsidRPr="009E43F0" w:rsidRDefault="00453C02" w:rsidP="00453C02">
      <w:pPr>
        <w:ind w:left="567" w:hanging="425"/>
        <w:rPr>
          <w:rFonts w:ascii="Cambria" w:hAnsi="Cambria"/>
          <w:sz w:val="20"/>
          <w:szCs w:val="20"/>
          <w:u w:val="single"/>
        </w:rPr>
      </w:pPr>
    </w:p>
    <w:p w14:paraId="4076645F" w14:textId="6155D684" w:rsidR="00453C02" w:rsidRPr="009E43F0"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6B4FDD">
        <w:rPr>
          <w:rFonts w:ascii="Cambria" w:hAnsi="Cambria"/>
          <w:color w:val="221F1F"/>
          <w:sz w:val="20"/>
          <w:highlight w:val="cyan"/>
          <w:u w:val="single"/>
        </w:rPr>
        <w:t>Si no se ha asignado</w:t>
      </w:r>
      <w:r w:rsidRPr="009E43F0">
        <w:rPr>
          <w:rFonts w:ascii="Cambria" w:hAnsi="Cambria"/>
          <w:color w:val="221F1F"/>
          <w:sz w:val="20"/>
          <w:u w:val="single"/>
        </w:rPr>
        <w:t xml:space="preserve"> una cuota a la CPC del buque de captura o de la almadraba </w:t>
      </w:r>
      <w:r w:rsidRPr="000C578A">
        <w:rPr>
          <w:rFonts w:ascii="Cambria" w:hAnsi="Cambria"/>
          <w:color w:val="221F1F"/>
          <w:sz w:val="20"/>
          <w:u w:val="single"/>
        </w:rPr>
        <w:t>afectad</w:t>
      </w:r>
      <w:r w:rsidR="003E36F4" w:rsidRPr="000C578A">
        <w:rPr>
          <w:rFonts w:ascii="Cambria" w:hAnsi="Cambria"/>
          <w:color w:val="221F1F"/>
          <w:sz w:val="20"/>
          <w:u w:val="single"/>
        </w:rPr>
        <w:t>os</w:t>
      </w:r>
      <w:r w:rsidRPr="009E43F0">
        <w:rPr>
          <w:rFonts w:ascii="Cambria" w:hAnsi="Cambria"/>
          <w:color w:val="221F1F"/>
          <w:sz w:val="20"/>
          <w:u w:val="single"/>
        </w:rPr>
        <w:t xml:space="preserve"> o si ya se ha consumido la cuota, no se permitirá la captura fortuita de atún rojo y la CPC deberá tomar las medidas necesarias para garantizar su liberación. </w:t>
      </w:r>
      <w:r w:rsidRPr="009E43F0">
        <w:rPr>
          <w:rFonts w:ascii="Cambria" w:hAnsi="Cambria"/>
          <w:sz w:val="20"/>
          <w:u w:val="single"/>
        </w:rPr>
        <w:t>Sin embargo, si dicho atún rojo está muerto, se desembarcará y se emprenderán las acciones de seguimiento adecuadas, de conformidad con la legislación nacional.</w:t>
      </w:r>
      <w:r w:rsidRPr="009E43F0">
        <w:rPr>
          <w:rFonts w:ascii="Cambria" w:hAnsi="Cambria"/>
          <w:color w:val="221F1F"/>
          <w:sz w:val="20"/>
          <w:u w:val="single"/>
        </w:rPr>
        <w:t xml:space="preserve"> Las CPC comunicarán anualmente la información sobre dichas cantidades a la Secretaría de ICCAT, y esta la transmitirá al SCRS. </w:t>
      </w:r>
    </w:p>
    <w:p w14:paraId="18F5743E" w14:textId="77777777" w:rsidR="00453C02" w:rsidRPr="009E43F0" w:rsidRDefault="00453C02" w:rsidP="00453C02">
      <w:pPr>
        <w:ind w:left="720"/>
        <w:contextualSpacing/>
        <w:rPr>
          <w:rFonts w:ascii="Cambria" w:hAnsi="Cambria"/>
          <w:color w:val="221F1F"/>
          <w:sz w:val="20"/>
          <w:szCs w:val="20"/>
          <w:u w:val="single"/>
        </w:rPr>
      </w:pPr>
    </w:p>
    <w:p w14:paraId="1B793F4C" w14:textId="039DB00D" w:rsidR="00453C02" w:rsidRPr="009E43F0"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336321">
        <w:rPr>
          <w:rFonts w:ascii="Cambria" w:hAnsi="Cambria"/>
          <w:color w:val="221F1F"/>
          <w:sz w:val="20"/>
          <w:highlight w:val="cyan"/>
          <w:u w:val="single"/>
        </w:rPr>
        <w:t>Para los buques</w:t>
      </w:r>
      <w:r w:rsidRPr="009E43F0">
        <w:rPr>
          <w:rFonts w:ascii="Cambria" w:hAnsi="Cambria"/>
          <w:color w:val="221F1F"/>
          <w:sz w:val="20"/>
          <w:u w:val="single"/>
        </w:rPr>
        <w:t xml:space="preserve"> que no pescan activamente atún rojo, cualquier cantidad de atún rojo que se </w:t>
      </w:r>
      <w:r w:rsidR="00570FDA" w:rsidRPr="000C578A">
        <w:rPr>
          <w:rFonts w:ascii="Cambria" w:hAnsi="Cambria"/>
          <w:color w:val="221F1F"/>
          <w:sz w:val="20"/>
          <w:u w:val="single"/>
        </w:rPr>
        <w:t>conserve</w:t>
      </w:r>
      <w:r w:rsidR="00570FDA">
        <w:rPr>
          <w:rFonts w:ascii="Cambria" w:hAnsi="Cambria"/>
          <w:color w:val="221F1F"/>
          <w:sz w:val="20"/>
          <w:u w:val="single"/>
        </w:rPr>
        <w:t xml:space="preserve"> </w:t>
      </w:r>
      <w:r w:rsidRPr="009E43F0">
        <w:rPr>
          <w:rFonts w:ascii="Cambria" w:hAnsi="Cambria"/>
          <w:color w:val="221F1F"/>
          <w:sz w:val="20"/>
          <w:u w:val="single"/>
        </w:rPr>
        <w:t xml:space="preserve">a bordo será claramente separada de otras especies de peces para permitir a las autoridades de control hacer un seguimiento del cumplimiento de esta norma. </w:t>
      </w:r>
    </w:p>
    <w:p w14:paraId="157E191C" w14:textId="77777777" w:rsidR="00453C02" w:rsidRPr="009E43F0" w:rsidRDefault="00453C02" w:rsidP="00453C02">
      <w:pPr>
        <w:ind w:left="720"/>
        <w:contextualSpacing/>
        <w:rPr>
          <w:rFonts w:ascii="Cambria" w:hAnsi="Cambria"/>
          <w:color w:val="221F1F"/>
          <w:sz w:val="20"/>
          <w:szCs w:val="20"/>
          <w:u w:val="single"/>
        </w:rPr>
      </w:pPr>
    </w:p>
    <w:p w14:paraId="2195FA20" w14:textId="77777777" w:rsidR="00453C02" w:rsidRPr="009E43F0"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9E43F0">
        <w:rPr>
          <w:rFonts w:ascii="Cambria" w:hAnsi="Cambria"/>
          <w:color w:val="221F1F"/>
          <w:sz w:val="20"/>
          <w:u w:val="single"/>
        </w:rPr>
        <w:t xml:space="preserve">Los procedimientos para los buques no autorizados con respecto al eBCD serán los establecidos en la disposición pertinente de la </w:t>
      </w:r>
      <w:r w:rsidRPr="00165526">
        <w:rPr>
          <w:rFonts w:ascii="Cambria" w:hAnsi="Cambria"/>
          <w:i/>
          <w:iCs/>
          <w:color w:val="221F1F"/>
          <w:sz w:val="20"/>
          <w:u w:val="single"/>
        </w:rPr>
        <w:t>Recomendación de ICCAT que enmienda la Recomendación 22-16 que enmienda la Recomendación 21-18 sobre la aplicación del sistema eBCD</w:t>
      </w:r>
      <w:r w:rsidRPr="009E43F0">
        <w:rPr>
          <w:rFonts w:ascii="Cambria" w:hAnsi="Cambria"/>
          <w:color w:val="221F1F"/>
          <w:sz w:val="20"/>
          <w:u w:val="single"/>
        </w:rPr>
        <w:t xml:space="preserve"> (Rec. 24-06).</w:t>
      </w:r>
    </w:p>
    <w:p w14:paraId="11A964E3" w14:textId="77777777" w:rsidR="00453C02" w:rsidRPr="009E43F0" w:rsidRDefault="00453C02" w:rsidP="00453C02">
      <w:pPr>
        <w:autoSpaceDE w:val="0"/>
        <w:autoSpaceDN w:val="0"/>
        <w:spacing w:before="1"/>
        <w:jc w:val="both"/>
        <w:rPr>
          <w:rFonts w:ascii="Cambria" w:eastAsia="Times New Roman" w:hAnsi="Cambria" w:cs="Times New Roman"/>
          <w:color w:val="221F1F"/>
          <w:sz w:val="20"/>
          <w:szCs w:val="20"/>
          <w:u w:val="single"/>
        </w:rPr>
      </w:pPr>
    </w:p>
    <w:p w14:paraId="2A9001FA" w14:textId="77777777" w:rsidR="00453C02" w:rsidRPr="00336321" w:rsidRDefault="00453C02" w:rsidP="00453C02">
      <w:pPr>
        <w:autoSpaceDE w:val="0"/>
        <w:autoSpaceDN w:val="0"/>
        <w:spacing w:before="1"/>
        <w:jc w:val="both"/>
        <w:rPr>
          <w:rFonts w:ascii="Cambria" w:eastAsia="Times New Roman" w:hAnsi="Cambria" w:cs="Times New Roman"/>
          <w:b/>
          <w:bCs/>
          <w:color w:val="221F1F"/>
          <w:sz w:val="20"/>
          <w:szCs w:val="20"/>
          <w:highlight w:val="cyan"/>
          <w:u w:val="single"/>
        </w:rPr>
      </w:pPr>
      <w:r w:rsidRPr="00336321">
        <w:rPr>
          <w:rFonts w:ascii="Cambria" w:hAnsi="Cambria"/>
          <w:b/>
          <w:color w:val="221F1F"/>
          <w:sz w:val="20"/>
          <w:highlight w:val="cyan"/>
          <w:u w:val="single"/>
        </w:rPr>
        <w:t>Pesquerías deportivas y de recreo</w:t>
      </w:r>
    </w:p>
    <w:p w14:paraId="71A89F6C" w14:textId="77777777" w:rsidR="00453C02" w:rsidRPr="00336321" w:rsidRDefault="00453C02" w:rsidP="00453C02">
      <w:pPr>
        <w:autoSpaceDE w:val="0"/>
        <w:autoSpaceDN w:val="0"/>
        <w:spacing w:before="1"/>
        <w:jc w:val="both"/>
        <w:rPr>
          <w:rFonts w:ascii="Cambria" w:eastAsia="Times New Roman" w:hAnsi="Cambria" w:cs="Times New Roman"/>
          <w:b/>
          <w:bCs/>
          <w:color w:val="221F1F"/>
          <w:sz w:val="20"/>
          <w:szCs w:val="20"/>
          <w:highlight w:val="cyan"/>
          <w:u w:val="single"/>
        </w:rPr>
      </w:pPr>
    </w:p>
    <w:p w14:paraId="6CF8D6A3" w14:textId="5E634CCD" w:rsidR="00453C02" w:rsidRPr="00165526"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336321">
        <w:rPr>
          <w:rFonts w:ascii="Cambria" w:hAnsi="Cambria"/>
          <w:color w:val="221F1F"/>
          <w:sz w:val="20"/>
          <w:highlight w:val="cyan"/>
          <w:u w:val="single"/>
        </w:rPr>
        <w:t>Cuando las CPC asignan</w:t>
      </w:r>
      <w:r w:rsidRPr="00677405">
        <w:rPr>
          <w:rFonts w:ascii="Cambria" w:hAnsi="Cambria"/>
          <w:color w:val="221F1F"/>
          <w:sz w:val="20"/>
          <w:u w:val="single"/>
        </w:rPr>
        <w:t>,</w:t>
      </w:r>
      <w:r w:rsidRPr="00165526">
        <w:rPr>
          <w:rFonts w:ascii="Cambria" w:hAnsi="Cambria"/>
          <w:color w:val="221F1F"/>
          <w:sz w:val="20"/>
          <w:u w:val="single"/>
        </w:rPr>
        <w:t xml:space="preserve"> si procede, una cuota específica a las pesquerías deportivas y de recreo, dicha cuota asignada debería establecerse incluso si la </w:t>
      </w:r>
      <w:r w:rsidR="00677405" w:rsidRPr="000C578A">
        <w:rPr>
          <w:rFonts w:ascii="Cambria" w:hAnsi="Cambria"/>
          <w:color w:val="221F1F"/>
          <w:sz w:val="20"/>
          <w:u w:val="single"/>
        </w:rPr>
        <w:t>captura</w:t>
      </w:r>
      <w:r w:rsidRPr="000C578A">
        <w:rPr>
          <w:rFonts w:ascii="Cambria" w:hAnsi="Cambria"/>
          <w:color w:val="221F1F"/>
          <w:sz w:val="20"/>
          <w:u w:val="single"/>
        </w:rPr>
        <w:t xml:space="preserve"> y liberación </w:t>
      </w:r>
      <w:r w:rsidR="00677405" w:rsidRPr="000C578A">
        <w:rPr>
          <w:rFonts w:ascii="Cambria" w:hAnsi="Cambria"/>
          <w:color w:val="221F1F"/>
          <w:sz w:val="20"/>
          <w:u w:val="single"/>
        </w:rPr>
        <w:t>son</w:t>
      </w:r>
      <w:r w:rsidRPr="000C578A">
        <w:rPr>
          <w:rFonts w:ascii="Cambria" w:hAnsi="Cambria"/>
          <w:color w:val="221F1F"/>
          <w:sz w:val="20"/>
          <w:u w:val="single"/>
        </w:rPr>
        <w:t xml:space="preserve"> obligatoria</w:t>
      </w:r>
      <w:r w:rsidR="00677405" w:rsidRPr="000C578A">
        <w:rPr>
          <w:rFonts w:ascii="Cambria" w:hAnsi="Cambria"/>
          <w:color w:val="221F1F"/>
          <w:sz w:val="20"/>
          <w:u w:val="single"/>
        </w:rPr>
        <w:t>s</w:t>
      </w:r>
      <w:r w:rsidRPr="00165526">
        <w:rPr>
          <w:rFonts w:ascii="Cambria" w:hAnsi="Cambria"/>
          <w:color w:val="221F1F"/>
          <w:sz w:val="20"/>
          <w:u w:val="single"/>
        </w:rPr>
        <w:t xml:space="preserve"> para el atún rojo capturado en pesquerías deportivas y de recreo con miras a tener en cuenta los posibles ejemplares muertos. Cada CPC regulará las pesquerías deportivas y de recreo expidiendo autorizaciones de pesca a los barcos dedicados a la pesca deportiva y de recreo.</w:t>
      </w:r>
    </w:p>
    <w:p w14:paraId="214F1457" w14:textId="77777777" w:rsidR="00453C02" w:rsidRPr="00453C02" w:rsidRDefault="00453C02" w:rsidP="00453C02">
      <w:pPr>
        <w:autoSpaceDE w:val="0"/>
        <w:autoSpaceDN w:val="0"/>
        <w:spacing w:before="1"/>
        <w:ind w:left="544"/>
        <w:jc w:val="both"/>
        <w:rPr>
          <w:rFonts w:ascii="Cambria" w:eastAsia="Times New Roman" w:hAnsi="Cambria" w:cs="Times New Roman"/>
          <w:color w:val="221F1F"/>
          <w:sz w:val="20"/>
          <w:szCs w:val="20"/>
          <w:highlight w:val="yellow"/>
          <w:u w:val="single"/>
        </w:rPr>
      </w:pPr>
    </w:p>
    <w:p w14:paraId="71CC2173" w14:textId="77777777" w:rsidR="00453C02" w:rsidRPr="00677405"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677405">
        <w:rPr>
          <w:rFonts w:ascii="Cambria" w:hAnsi="Cambria"/>
          <w:color w:val="221F1F"/>
          <w:sz w:val="20"/>
          <w:highlight w:val="cyan"/>
          <w:u w:val="single"/>
        </w:rPr>
        <w:t>Las CPC tomarán</w:t>
      </w:r>
      <w:r w:rsidRPr="00677405">
        <w:rPr>
          <w:rFonts w:ascii="Cambria" w:hAnsi="Cambria"/>
          <w:color w:val="221F1F"/>
          <w:sz w:val="20"/>
          <w:u w:val="single"/>
        </w:rPr>
        <w:t xml:space="preserve"> las medidas necesarias para prohibir la captura y retención a bordo, el transbordo o desembarque de más de un atún rojo por barco y por día para las pesquerías de recreo. Esta prohibición no se aplica a las CPC cuya legislación nacional requiera que todos los peces muertos, incluidos los ejemplares capturados en la pesquería deportiva y de recreo, deben ser desembarcados.</w:t>
      </w:r>
    </w:p>
    <w:p w14:paraId="3F2C1C6F" w14:textId="77777777" w:rsidR="00453C02" w:rsidRPr="00677405" w:rsidRDefault="00453C02" w:rsidP="00453C02">
      <w:pPr>
        <w:autoSpaceDE w:val="0"/>
        <w:autoSpaceDN w:val="0"/>
        <w:spacing w:before="1"/>
        <w:ind w:left="544"/>
        <w:jc w:val="both"/>
        <w:rPr>
          <w:rFonts w:ascii="Cambria" w:eastAsia="Times New Roman" w:hAnsi="Cambria" w:cs="Times New Roman"/>
          <w:color w:val="221F1F"/>
          <w:sz w:val="20"/>
          <w:szCs w:val="20"/>
          <w:u w:val="single"/>
        </w:rPr>
      </w:pPr>
    </w:p>
    <w:p w14:paraId="1A4B9848" w14:textId="77777777" w:rsidR="00453C02" w:rsidRPr="00A37382"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A37382">
        <w:rPr>
          <w:rFonts w:ascii="Cambria" w:hAnsi="Cambria"/>
          <w:color w:val="221F1F"/>
          <w:sz w:val="20"/>
          <w:highlight w:val="cyan"/>
          <w:u w:val="single"/>
        </w:rPr>
        <w:t>Queda prohibida</w:t>
      </w:r>
      <w:r w:rsidRPr="00A37382">
        <w:rPr>
          <w:rFonts w:ascii="Cambria" w:hAnsi="Cambria"/>
          <w:color w:val="221F1F"/>
          <w:sz w:val="20"/>
          <w:u w:val="single"/>
        </w:rPr>
        <w:t xml:space="preserve"> la comercialización de atún rojo capturado en la pesca de recreo y deportiva.</w:t>
      </w:r>
    </w:p>
    <w:p w14:paraId="611DC058" w14:textId="77777777" w:rsidR="00453C02" w:rsidRPr="00A37382" w:rsidRDefault="00453C02" w:rsidP="00453C02">
      <w:pPr>
        <w:autoSpaceDE w:val="0"/>
        <w:autoSpaceDN w:val="0"/>
        <w:spacing w:before="1"/>
        <w:ind w:left="544"/>
        <w:jc w:val="both"/>
        <w:rPr>
          <w:rFonts w:ascii="Cambria" w:eastAsia="Times New Roman" w:hAnsi="Cambria" w:cs="Times New Roman"/>
          <w:color w:val="221F1F"/>
          <w:sz w:val="12"/>
          <w:szCs w:val="12"/>
          <w:u w:val="single"/>
        </w:rPr>
      </w:pPr>
    </w:p>
    <w:p w14:paraId="4D68E708" w14:textId="77777777" w:rsidR="00453C02" w:rsidRPr="00A37382"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A37382">
        <w:rPr>
          <w:rFonts w:ascii="Cambria" w:hAnsi="Cambria"/>
          <w:color w:val="221F1F"/>
          <w:sz w:val="20"/>
          <w:highlight w:val="cyan"/>
          <w:u w:val="single"/>
        </w:rPr>
        <w:t>Cada CPC tomará</w:t>
      </w:r>
      <w:r w:rsidRPr="00A37382">
        <w:rPr>
          <w:rFonts w:ascii="Cambria" w:hAnsi="Cambria"/>
          <w:color w:val="221F1F"/>
          <w:sz w:val="20"/>
          <w:u w:val="single"/>
        </w:rPr>
        <w:t xml:space="preserve"> medidas para consignar los datos de captura, lo que incluye el peso de cada atún rojo capturado durante la pesca deportiva y de recreo, y comunicará a la Secretaría de ICCAT los datos para el año precedente antes del 31 de julio de cada año.</w:t>
      </w:r>
    </w:p>
    <w:p w14:paraId="4C73E96F" w14:textId="77777777" w:rsidR="00453C02" w:rsidRPr="00A37382" w:rsidRDefault="00453C02" w:rsidP="00453C02">
      <w:pPr>
        <w:autoSpaceDE w:val="0"/>
        <w:autoSpaceDN w:val="0"/>
        <w:spacing w:before="1"/>
        <w:ind w:left="544"/>
        <w:jc w:val="both"/>
        <w:rPr>
          <w:rFonts w:ascii="Cambria" w:eastAsia="Times New Roman" w:hAnsi="Cambria" w:cs="Times New Roman"/>
          <w:color w:val="221F1F"/>
          <w:sz w:val="12"/>
          <w:szCs w:val="12"/>
          <w:u w:val="single"/>
        </w:rPr>
      </w:pPr>
    </w:p>
    <w:p w14:paraId="15CF24C3" w14:textId="77777777" w:rsidR="00453C02" w:rsidRPr="00A37382"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A37382">
        <w:rPr>
          <w:rFonts w:ascii="Cambria" w:hAnsi="Cambria"/>
          <w:color w:val="221F1F"/>
          <w:sz w:val="20"/>
          <w:highlight w:val="cyan"/>
          <w:u w:val="single"/>
        </w:rPr>
        <w:t>Las capturas muertas</w:t>
      </w:r>
      <w:r w:rsidRPr="00A37382">
        <w:rPr>
          <w:rFonts w:ascii="Cambria" w:hAnsi="Cambria"/>
          <w:color w:val="221F1F"/>
          <w:sz w:val="20"/>
          <w:u w:val="single"/>
        </w:rPr>
        <w:t xml:space="preserve"> de las pesquerías deportivas y de recreo se descontarán de la cuota asignada a la CPC en virtud del párrafo 5.</w:t>
      </w:r>
    </w:p>
    <w:p w14:paraId="46C213B9" w14:textId="77777777" w:rsidR="00453C02" w:rsidRPr="00A37382" w:rsidRDefault="00453C02" w:rsidP="00453C02">
      <w:pPr>
        <w:autoSpaceDE w:val="0"/>
        <w:autoSpaceDN w:val="0"/>
        <w:spacing w:before="1"/>
        <w:ind w:left="544"/>
        <w:jc w:val="both"/>
        <w:rPr>
          <w:rFonts w:ascii="Cambria" w:eastAsia="Times New Roman" w:hAnsi="Cambria" w:cs="Times New Roman"/>
          <w:color w:val="221F1F"/>
          <w:sz w:val="12"/>
          <w:szCs w:val="12"/>
        </w:rPr>
      </w:pPr>
    </w:p>
    <w:p w14:paraId="1E7B739B" w14:textId="77777777" w:rsidR="00453C02" w:rsidRPr="00A37382"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A37382">
        <w:rPr>
          <w:rFonts w:ascii="Cambria" w:hAnsi="Cambria"/>
          <w:color w:val="221F1F"/>
          <w:sz w:val="20"/>
          <w:highlight w:val="cyan"/>
          <w:u w:val="single"/>
        </w:rPr>
        <w:t>Cada CPC tomará</w:t>
      </w:r>
      <w:r w:rsidRPr="00A37382">
        <w:rPr>
          <w:rFonts w:ascii="Cambria" w:hAnsi="Cambria"/>
          <w:color w:val="221F1F"/>
          <w:sz w:val="20"/>
          <w:u w:val="single"/>
        </w:rPr>
        <w:t xml:space="preserve"> las medidas necesarias para garantizar, en la medida de lo posible, la liberación del atún rojo, sobre todo de juveniles, capturado vivo en el marco de la pesca deportiva y de recreo. Cualquier atún rojo desembarcado debe desembarcarse entero, eviscerado y/o sin agallas.</w:t>
      </w:r>
    </w:p>
    <w:p w14:paraId="010EBB28" w14:textId="77777777" w:rsidR="00453C02" w:rsidRPr="00A37382" w:rsidRDefault="00453C02" w:rsidP="00453C02">
      <w:pPr>
        <w:autoSpaceDE w:val="0"/>
        <w:autoSpaceDN w:val="0"/>
        <w:spacing w:before="1"/>
        <w:ind w:left="544"/>
        <w:jc w:val="both"/>
        <w:rPr>
          <w:rFonts w:ascii="Cambria" w:eastAsia="Times New Roman" w:hAnsi="Cambria" w:cs="Times New Roman"/>
          <w:color w:val="221F1F"/>
          <w:sz w:val="12"/>
          <w:szCs w:val="12"/>
          <w:u w:val="single"/>
        </w:rPr>
      </w:pPr>
    </w:p>
    <w:p w14:paraId="2D2EA9B3" w14:textId="77777777" w:rsidR="00453C02" w:rsidRPr="00A37382"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A37382">
        <w:rPr>
          <w:rFonts w:ascii="Cambria" w:hAnsi="Cambria"/>
          <w:color w:val="221F1F"/>
          <w:sz w:val="20"/>
          <w:highlight w:val="cyan"/>
          <w:u w:val="single"/>
        </w:rPr>
        <w:t>Cualquier CPC</w:t>
      </w:r>
      <w:r w:rsidRPr="00A37382">
        <w:rPr>
          <w:rFonts w:ascii="Cambria" w:hAnsi="Cambria"/>
          <w:color w:val="221F1F"/>
          <w:sz w:val="20"/>
          <w:u w:val="single"/>
        </w:rPr>
        <w:t xml:space="preserve"> que desee llevar a cabo una pesquería deportiva de captura y liberación en el Atlántico noroccidental podría permitir a un número limitado de barcos de pesca deportiva que se dirijan al atún rojo con fines de "marcado y liberación", sin necesidad de asignarles una cuota específica. Esto se aplica a aquellos barcos que están operando en el contexto de un proyecto científico de un instituto de investigación integrado en un programa de investigación científica cuyos resultados deberán comunicarse al SCRS. En este contexto, la CPC tendrá la obligación de: a) enviar la descripción y medidas asociadas aplicables a esta pesquería como parte integral de sus planes de pesca y control mencionados en el párrafo 10 de esta Recomendación; b) controlar estrechamente las actividades de los buques afectados para garantizar que cumplen las disposiciones vigentes de esta Recomendación; c) garantizar que las operaciones de marcado y liberación las realiza personal formado para garantizar una elevada supervivencia de los ejemplares; y d) presentar anualmente un informe de las actividades científicas realizadas, al menos 60 días antes de la reunión del SCRS del año siguiente. Cualquier atún rojo que muera durante las actividades de marcado y liberación se comunicará y se deducirá de la cuota de la CPC.</w:t>
      </w:r>
    </w:p>
    <w:p w14:paraId="4C7467D8" w14:textId="77777777" w:rsidR="00453C02" w:rsidRPr="00453C02" w:rsidRDefault="00453C02" w:rsidP="00453C02">
      <w:pPr>
        <w:autoSpaceDE w:val="0"/>
        <w:autoSpaceDN w:val="0"/>
        <w:ind w:left="426"/>
        <w:jc w:val="both"/>
        <w:rPr>
          <w:rFonts w:ascii="Cambria" w:eastAsia="Times New Roman" w:hAnsi="Cambria" w:cs="Times New Roman"/>
          <w:color w:val="221F1F"/>
          <w:sz w:val="20"/>
          <w:szCs w:val="20"/>
          <w:highlight w:val="yellow"/>
          <w:u w:val="single"/>
        </w:rPr>
      </w:pPr>
    </w:p>
    <w:p w14:paraId="72310C65" w14:textId="77777777" w:rsidR="00453C02" w:rsidRPr="00A37382"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A37382">
        <w:rPr>
          <w:rFonts w:ascii="Cambria" w:hAnsi="Cambria"/>
          <w:color w:val="221F1F"/>
          <w:sz w:val="20"/>
          <w:highlight w:val="cyan"/>
          <w:u w:val="single"/>
        </w:rPr>
        <w:t>Las CPC facilitarán</w:t>
      </w:r>
      <w:r w:rsidRPr="00A37382">
        <w:rPr>
          <w:rFonts w:ascii="Cambria" w:hAnsi="Cambria"/>
          <w:color w:val="221F1F"/>
          <w:sz w:val="20"/>
          <w:u w:val="single"/>
        </w:rPr>
        <w:t>, a petición de ICCAT, la lista de los buques deportivos y de recreo que hayan recibido una autorización.</w:t>
      </w:r>
    </w:p>
    <w:p w14:paraId="5EB57843" w14:textId="77777777" w:rsidR="00453C02" w:rsidRPr="00A37382" w:rsidRDefault="00453C02" w:rsidP="00453C02">
      <w:pPr>
        <w:autoSpaceDE w:val="0"/>
        <w:autoSpaceDN w:val="0"/>
        <w:spacing w:before="1"/>
        <w:ind w:left="544"/>
        <w:jc w:val="both"/>
        <w:rPr>
          <w:rFonts w:ascii="Cambria" w:eastAsia="Times New Roman" w:hAnsi="Cambria" w:cs="Times New Roman"/>
          <w:color w:val="221F1F"/>
          <w:sz w:val="20"/>
          <w:szCs w:val="20"/>
          <w:u w:val="single"/>
        </w:rPr>
      </w:pPr>
    </w:p>
    <w:p w14:paraId="72D3846B" w14:textId="77777777" w:rsidR="00453C02" w:rsidRPr="00A37382"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A37382">
        <w:rPr>
          <w:rFonts w:ascii="Cambria" w:hAnsi="Cambria"/>
          <w:color w:val="221F1F"/>
          <w:sz w:val="20"/>
          <w:highlight w:val="cyan"/>
          <w:u w:val="single"/>
        </w:rPr>
        <w:t>El formato</w:t>
      </w:r>
      <w:r w:rsidRPr="00A37382">
        <w:rPr>
          <w:rFonts w:ascii="Cambria" w:hAnsi="Cambria"/>
          <w:color w:val="221F1F"/>
          <w:sz w:val="20"/>
          <w:u w:val="single"/>
        </w:rPr>
        <w:t xml:space="preserve"> de dicha lista, mencionada en el párrafo 36, incluirá la siguiente información:</w:t>
      </w:r>
    </w:p>
    <w:p w14:paraId="035107D6" w14:textId="77777777" w:rsidR="00453C02" w:rsidRPr="00A37382" w:rsidRDefault="00453C02" w:rsidP="00453C02">
      <w:pPr>
        <w:autoSpaceDE w:val="0"/>
        <w:autoSpaceDN w:val="0"/>
        <w:ind w:left="426"/>
        <w:jc w:val="both"/>
        <w:rPr>
          <w:rFonts w:ascii="Cambria" w:eastAsia="Times New Roman" w:hAnsi="Cambria" w:cs="Times New Roman"/>
          <w:color w:val="221F1F"/>
          <w:sz w:val="20"/>
          <w:szCs w:val="20"/>
          <w:u w:val="single"/>
        </w:rPr>
      </w:pPr>
    </w:p>
    <w:p w14:paraId="378BF428" w14:textId="77777777" w:rsidR="00453C02" w:rsidRPr="00A37382" w:rsidRDefault="00453C02" w:rsidP="00453C02">
      <w:pPr>
        <w:numPr>
          <w:ilvl w:val="1"/>
          <w:numId w:val="11"/>
        </w:numPr>
        <w:tabs>
          <w:tab w:val="left" w:pos="851"/>
        </w:tabs>
        <w:autoSpaceDE w:val="0"/>
        <w:autoSpaceDN w:val="0"/>
        <w:ind w:left="851" w:right="-1" w:hanging="401"/>
        <w:jc w:val="both"/>
        <w:rPr>
          <w:rFonts w:ascii="Cambria" w:hAnsi="Cambria"/>
          <w:color w:val="221F1F"/>
          <w:sz w:val="20"/>
          <w:szCs w:val="20"/>
          <w:u w:val="single"/>
        </w:rPr>
      </w:pPr>
      <w:r w:rsidRPr="00A37382">
        <w:rPr>
          <w:rFonts w:ascii="Cambria" w:hAnsi="Cambria"/>
          <w:color w:val="221F1F"/>
          <w:sz w:val="20"/>
          <w:u w:val="single"/>
        </w:rPr>
        <w:t>Nombre del buque, número de registro;</w:t>
      </w:r>
    </w:p>
    <w:p w14:paraId="0F2282F8" w14:textId="77777777" w:rsidR="00453C02" w:rsidRPr="00A37382" w:rsidRDefault="00453C02" w:rsidP="00453C02">
      <w:pPr>
        <w:numPr>
          <w:ilvl w:val="1"/>
          <w:numId w:val="11"/>
        </w:numPr>
        <w:tabs>
          <w:tab w:val="left" w:pos="851"/>
        </w:tabs>
        <w:autoSpaceDE w:val="0"/>
        <w:autoSpaceDN w:val="0"/>
        <w:ind w:left="851" w:right="-1" w:hanging="401"/>
        <w:jc w:val="both"/>
        <w:rPr>
          <w:rFonts w:ascii="Cambria" w:hAnsi="Cambria"/>
          <w:color w:val="221F1F"/>
          <w:sz w:val="20"/>
          <w:szCs w:val="20"/>
          <w:u w:val="single"/>
        </w:rPr>
      </w:pPr>
      <w:r w:rsidRPr="00A37382">
        <w:rPr>
          <w:rFonts w:ascii="Cambria" w:hAnsi="Cambria"/>
          <w:color w:val="221F1F"/>
          <w:sz w:val="20"/>
          <w:u w:val="single"/>
        </w:rPr>
        <w:t>Número de registro ICCAT (si procede);</w:t>
      </w:r>
    </w:p>
    <w:p w14:paraId="3A070ECE" w14:textId="77777777" w:rsidR="00453C02" w:rsidRPr="00A37382" w:rsidRDefault="00453C02" w:rsidP="00453C02">
      <w:pPr>
        <w:numPr>
          <w:ilvl w:val="1"/>
          <w:numId w:val="11"/>
        </w:numPr>
        <w:tabs>
          <w:tab w:val="left" w:pos="851"/>
        </w:tabs>
        <w:autoSpaceDE w:val="0"/>
        <w:autoSpaceDN w:val="0"/>
        <w:ind w:left="851" w:right="-1" w:hanging="401"/>
        <w:jc w:val="both"/>
        <w:rPr>
          <w:rFonts w:ascii="Cambria" w:hAnsi="Cambria"/>
          <w:color w:val="221F1F"/>
          <w:sz w:val="20"/>
          <w:szCs w:val="20"/>
          <w:u w:val="single"/>
        </w:rPr>
      </w:pPr>
      <w:r w:rsidRPr="00A37382">
        <w:rPr>
          <w:rFonts w:ascii="Cambria" w:hAnsi="Cambria"/>
          <w:color w:val="221F1F"/>
          <w:sz w:val="20"/>
          <w:u w:val="single"/>
        </w:rPr>
        <w:t>Nombre anterior (si procede);</w:t>
      </w:r>
    </w:p>
    <w:p w14:paraId="3BCFBCD8" w14:textId="77777777" w:rsidR="00453C02" w:rsidRPr="00A37382" w:rsidRDefault="00453C02" w:rsidP="00453C02">
      <w:pPr>
        <w:numPr>
          <w:ilvl w:val="1"/>
          <w:numId w:val="11"/>
        </w:numPr>
        <w:tabs>
          <w:tab w:val="left" w:pos="851"/>
        </w:tabs>
        <w:autoSpaceDE w:val="0"/>
        <w:autoSpaceDN w:val="0"/>
        <w:ind w:left="851" w:right="-1" w:hanging="401"/>
        <w:jc w:val="both"/>
        <w:rPr>
          <w:rFonts w:ascii="Cambria" w:hAnsi="Cambria"/>
          <w:color w:val="221F1F"/>
          <w:sz w:val="20"/>
          <w:szCs w:val="20"/>
          <w:u w:val="single"/>
        </w:rPr>
      </w:pPr>
      <w:r w:rsidRPr="00A37382">
        <w:rPr>
          <w:rFonts w:ascii="Cambria" w:hAnsi="Cambria"/>
          <w:color w:val="221F1F"/>
          <w:sz w:val="20"/>
          <w:u w:val="single"/>
        </w:rPr>
        <w:t>Nombre y dirección del (los) armador(es) y operador(es)</w:t>
      </w:r>
    </w:p>
    <w:p w14:paraId="2B8C734D" w14:textId="77777777" w:rsidR="00453C02" w:rsidRPr="00A37382" w:rsidRDefault="00453C02" w:rsidP="00453C02">
      <w:pPr>
        <w:rPr>
          <w:rFonts w:ascii="Cambria" w:hAnsi="Cambria"/>
          <w:b/>
          <w:bCs/>
          <w:sz w:val="20"/>
          <w:szCs w:val="20"/>
          <w:u w:val="single"/>
        </w:rPr>
      </w:pPr>
    </w:p>
    <w:p w14:paraId="463019BA" w14:textId="77777777" w:rsidR="00453C02" w:rsidRPr="00BF699F" w:rsidRDefault="00453C02" w:rsidP="00453C02">
      <w:pPr>
        <w:rPr>
          <w:rFonts w:ascii="Cambria" w:hAnsi="Cambria"/>
          <w:b/>
          <w:bCs/>
          <w:sz w:val="20"/>
          <w:szCs w:val="20"/>
          <w:highlight w:val="cyan"/>
          <w:u w:val="single"/>
        </w:rPr>
      </w:pPr>
      <w:r w:rsidRPr="00BF699F">
        <w:rPr>
          <w:rFonts w:ascii="Cambria" w:hAnsi="Cambria"/>
          <w:b/>
          <w:sz w:val="20"/>
          <w:highlight w:val="cyan"/>
          <w:u w:val="single"/>
        </w:rPr>
        <w:t>Uso de medios aéreos</w:t>
      </w:r>
    </w:p>
    <w:p w14:paraId="3E57DCB9" w14:textId="77777777" w:rsidR="00453C02" w:rsidRPr="00BF699F" w:rsidRDefault="00453C02" w:rsidP="00453C02">
      <w:pPr>
        <w:rPr>
          <w:rFonts w:ascii="Cambria" w:hAnsi="Cambria"/>
          <w:b/>
          <w:bCs/>
          <w:sz w:val="20"/>
          <w:szCs w:val="20"/>
          <w:highlight w:val="cyan"/>
          <w:u w:val="single"/>
        </w:rPr>
      </w:pPr>
    </w:p>
    <w:p w14:paraId="4BBB6B1D" w14:textId="77777777" w:rsidR="00453C02" w:rsidRPr="00BF699F"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BF699F">
        <w:rPr>
          <w:rFonts w:ascii="Cambria" w:hAnsi="Cambria"/>
          <w:color w:val="221F1F"/>
          <w:sz w:val="20"/>
          <w:highlight w:val="cyan"/>
          <w:u w:val="single"/>
        </w:rPr>
        <w:t>Queda prohibido</w:t>
      </w:r>
      <w:r w:rsidRPr="00BF699F">
        <w:rPr>
          <w:rFonts w:ascii="Cambria" w:hAnsi="Cambria"/>
          <w:color w:val="221F1F"/>
          <w:sz w:val="20"/>
          <w:u w:val="single"/>
        </w:rPr>
        <w:t xml:space="preserve"> el uso de cualquier medio aéreo, lo que incluye aviones, helicópteros o cualquier tipo de vehículo aéreo no tripulado para buscar atún rojo.</w:t>
      </w:r>
    </w:p>
    <w:p w14:paraId="7009236E" w14:textId="77777777" w:rsidR="00453C02" w:rsidRPr="00BF699F" w:rsidRDefault="00453C02" w:rsidP="00453C02">
      <w:pPr>
        <w:autoSpaceDE w:val="0"/>
        <w:autoSpaceDN w:val="0"/>
        <w:spacing w:before="1"/>
        <w:jc w:val="both"/>
        <w:rPr>
          <w:rFonts w:ascii="Cambria" w:eastAsia="Times New Roman" w:hAnsi="Cambria" w:cs="Times New Roman"/>
          <w:color w:val="221F1F"/>
          <w:sz w:val="20"/>
          <w:szCs w:val="20"/>
          <w:u w:val="single"/>
        </w:rPr>
      </w:pPr>
    </w:p>
    <w:p w14:paraId="29A12262" w14:textId="77777777" w:rsidR="00453C02" w:rsidRPr="00BF699F" w:rsidRDefault="00453C02" w:rsidP="00453C02">
      <w:pPr>
        <w:rPr>
          <w:rFonts w:ascii="Cambria" w:hAnsi="Cambria"/>
          <w:b/>
          <w:bCs/>
          <w:sz w:val="20"/>
          <w:szCs w:val="20"/>
          <w:u w:val="single"/>
        </w:rPr>
      </w:pPr>
      <w:r w:rsidRPr="00BF699F">
        <w:rPr>
          <w:rFonts w:ascii="Cambria" w:hAnsi="Cambria"/>
          <w:b/>
          <w:sz w:val="20"/>
          <w:u w:val="single"/>
        </w:rPr>
        <w:t xml:space="preserve">Autorizaciones de pesca para los buques, almadrabas y granjas autorizados a pescar atún rojo </w:t>
      </w:r>
    </w:p>
    <w:p w14:paraId="25B0C0FA" w14:textId="77777777" w:rsidR="00453C02" w:rsidRPr="00BF699F" w:rsidRDefault="00453C02" w:rsidP="00453C02">
      <w:pPr>
        <w:rPr>
          <w:rFonts w:ascii="Cambria" w:hAnsi="Cambria"/>
          <w:sz w:val="20"/>
          <w:szCs w:val="20"/>
          <w:u w:val="single"/>
        </w:rPr>
      </w:pPr>
    </w:p>
    <w:p w14:paraId="08E7F337" w14:textId="77777777" w:rsidR="00453C02" w:rsidRPr="00BF699F"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BF699F">
        <w:rPr>
          <w:rFonts w:ascii="Cambria" w:hAnsi="Cambria"/>
          <w:color w:val="221F1F"/>
          <w:sz w:val="20"/>
          <w:u w:val="single"/>
        </w:rPr>
        <w:t xml:space="preserve">Las CPC expedirán autorizaciones especiales y/o licencias de pesca nacionales a los buques y almadrabas incluidos en una de las listas mencionadas en los párrafos 36, 37 y 46. Las autorizaciones de pesca incluirán, como mínimo, la información estipulada en el </w:t>
      </w:r>
      <w:r w:rsidRPr="002E5E77">
        <w:rPr>
          <w:rFonts w:ascii="Cambria" w:hAnsi="Cambria"/>
          <w:b/>
          <w:bCs/>
          <w:color w:val="221F1F"/>
          <w:sz w:val="20"/>
          <w:u w:val="single"/>
        </w:rPr>
        <w:t>Anexo 1</w:t>
      </w:r>
      <w:r w:rsidRPr="00BF699F">
        <w:rPr>
          <w:rFonts w:ascii="Cambria" w:hAnsi="Cambria"/>
          <w:color w:val="221F1F"/>
          <w:sz w:val="20"/>
          <w:u w:val="single"/>
        </w:rPr>
        <w:t xml:space="preserve">. La CPC del pabellón se asegurará de que la información contenida en la autorización de pesca es precisa y coherente con las normas de ICCAT. La CPC del pabellón adoptará las medidas de ejecución necesarias conforme a su legislación y podría requerir al buque que se dirija inmediatamente a un puerto designado cuando se considere que la cuota individual se ha agotado. </w:t>
      </w:r>
    </w:p>
    <w:p w14:paraId="456A47E4" w14:textId="77777777" w:rsidR="00453C02" w:rsidRPr="00453C02" w:rsidRDefault="00453C02" w:rsidP="00453C02">
      <w:pPr>
        <w:rPr>
          <w:rFonts w:ascii="Cambria" w:hAnsi="Cambria"/>
          <w:b/>
          <w:bCs/>
          <w:sz w:val="20"/>
          <w:highlight w:val="yellow"/>
          <w:u w:val="single"/>
        </w:rPr>
      </w:pPr>
    </w:p>
    <w:p w14:paraId="1954D78A" w14:textId="18DD4AFF" w:rsidR="00453C02" w:rsidRPr="00BF699F" w:rsidRDefault="00453C02" w:rsidP="00453C02">
      <w:pPr>
        <w:rPr>
          <w:rFonts w:ascii="Cambria" w:hAnsi="Cambria"/>
          <w:b/>
          <w:bCs/>
          <w:sz w:val="20"/>
          <w:u w:val="single"/>
        </w:rPr>
      </w:pPr>
      <w:r w:rsidRPr="00BF699F">
        <w:rPr>
          <w:rFonts w:ascii="Cambria" w:hAnsi="Cambria"/>
          <w:b/>
          <w:sz w:val="20"/>
          <w:u w:val="single"/>
        </w:rPr>
        <w:t xml:space="preserve">Registro ICCAT de buques pesqueros </w:t>
      </w:r>
    </w:p>
    <w:p w14:paraId="66DD7736" w14:textId="77777777" w:rsidR="00453C02" w:rsidRPr="00BF699F" w:rsidRDefault="00453C02" w:rsidP="00453C02">
      <w:pPr>
        <w:rPr>
          <w:rFonts w:ascii="Cambria" w:hAnsi="Cambria"/>
          <w:b/>
          <w:bCs/>
          <w:sz w:val="20"/>
          <w:u w:val="single"/>
        </w:rPr>
      </w:pPr>
    </w:p>
    <w:p w14:paraId="593347A7" w14:textId="77777777" w:rsidR="00453C02" w:rsidRPr="00BF699F"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BF699F">
        <w:rPr>
          <w:rFonts w:ascii="Cambria" w:hAnsi="Cambria"/>
          <w:color w:val="221F1F"/>
          <w:sz w:val="20"/>
          <w:u w:val="single"/>
        </w:rPr>
        <w:t>Las CPC establecerán y mantendrán un registro ICCAT de todos los buques pesqueros.</w:t>
      </w:r>
    </w:p>
    <w:p w14:paraId="1F50C73C" w14:textId="77777777" w:rsidR="00453C02" w:rsidRPr="00BF699F" w:rsidRDefault="00453C02" w:rsidP="00453C02">
      <w:pPr>
        <w:ind w:left="567" w:hanging="567"/>
        <w:rPr>
          <w:rFonts w:ascii="Cambria" w:hAnsi="Cambria"/>
          <w:sz w:val="20"/>
          <w:u w:val="single"/>
        </w:rPr>
      </w:pPr>
    </w:p>
    <w:p w14:paraId="78F7FC0B" w14:textId="77777777" w:rsidR="00453C02" w:rsidRPr="00BF699F"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19"/>
          <w:u w:val="single"/>
        </w:rPr>
      </w:pPr>
      <w:r w:rsidRPr="00BF699F">
        <w:rPr>
          <w:rFonts w:ascii="Cambria" w:hAnsi="Cambria"/>
          <w:color w:val="221F1F"/>
          <w:sz w:val="20"/>
          <w:u w:val="single"/>
        </w:rPr>
        <w:t xml:space="preserve">Dicho registro consistirá en las siguientes listas: </w:t>
      </w:r>
    </w:p>
    <w:p w14:paraId="562E15AE" w14:textId="77777777" w:rsidR="00453C02" w:rsidRPr="00BF699F" w:rsidRDefault="00453C02" w:rsidP="00453C02">
      <w:pPr>
        <w:autoSpaceDE w:val="0"/>
        <w:autoSpaceDN w:val="0"/>
        <w:ind w:left="426"/>
        <w:jc w:val="both"/>
        <w:rPr>
          <w:rFonts w:ascii="Cambria" w:eastAsia="Times New Roman" w:hAnsi="Cambria" w:cs="Times New Roman"/>
          <w:color w:val="221F1F"/>
          <w:sz w:val="20"/>
          <w:szCs w:val="19"/>
          <w:u w:val="single"/>
        </w:rPr>
      </w:pPr>
    </w:p>
    <w:p w14:paraId="5C8D3B7D" w14:textId="77777777" w:rsidR="00453C02" w:rsidRPr="00BF699F" w:rsidRDefault="00453C02" w:rsidP="00BF699F">
      <w:pPr>
        <w:numPr>
          <w:ilvl w:val="1"/>
          <w:numId w:val="11"/>
        </w:numPr>
        <w:tabs>
          <w:tab w:val="left" w:pos="1276"/>
        </w:tabs>
        <w:autoSpaceDE w:val="0"/>
        <w:autoSpaceDN w:val="0"/>
        <w:ind w:left="851" w:right="-1" w:hanging="426"/>
        <w:jc w:val="both"/>
        <w:rPr>
          <w:rFonts w:ascii="Cambria" w:hAnsi="Cambria"/>
          <w:color w:val="221F1F"/>
          <w:sz w:val="20"/>
          <w:szCs w:val="20"/>
          <w:u w:val="single"/>
        </w:rPr>
      </w:pPr>
      <w:r w:rsidRPr="00BF699F">
        <w:rPr>
          <w:rFonts w:ascii="Cambria" w:hAnsi="Cambria"/>
          <w:color w:val="221F1F"/>
          <w:sz w:val="20"/>
          <w:u w:val="single"/>
        </w:rPr>
        <w:t>buques de captura que pescan activamente atún rojo; y</w:t>
      </w:r>
    </w:p>
    <w:p w14:paraId="3130103D" w14:textId="77777777" w:rsidR="00453C02" w:rsidRPr="00BF699F" w:rsidRDefault="00453C02" w:rsidP="00BF699F">
      <w:pPr>
        <w:numPr>
          <w:ilvl w:val="1"/>
          <w:numId w:val="11"/>
        </w:numPr>
        <w:tabs>
          <w:tab w:val="left" w:pos="1276"/>
        </w:tabs>
        <w:autoSpaceDE w:val="0"/>
        <w:autoSpaceDN w:val="0"/>
        <w:ind w:left="851" w:right="-1" w:hanging="426"/>
        <w:jc w:val="both"/>
        <w:rPr>
          <w:rFonts w:ascii="Cambria" w:hAnsi="Cambria"/>
          <w:color w:val="221F1F"/>
          <w:sz w:val="20"/>
          <w:szCs w:val="20"/>
          <w:u w:val="single"/>
        </w:rPr>
      </w:pPr>
      <w:r w:rsidRPr="00BF699F">
        <w:rPr>
          <w:rFonts w:ascii="Cambria" w:hAnsi="Cambria"/>
          <w:color w:val="221F1F"/>
          <w:sz w:val="20"/>
          <w:u w:val="single"/>
        </w:rPr>
        <w:t>otros buques que participan en actividades relacionadas con el atún rojo, distintos a los buques de captura.</w:t>
      </w:r>
    </w:p>
    <w:p w14:paraId="1BEBC83B" w14:textId="77777777" w:rsidR="00453C02" w:rsidRPr="00453C02" w:rsidRDefault="00453C02" w:rsidP="00453C02">
      <w:pPr>
        <w:ind w:left="185"/>
        <w:rPr>
          <w:rFonts w:ascii="Cambria" w:hAnsi="Cambria"/>
          <w:sz w:val="20"/>
          <w:highlight w:val="yellow"/>
          <w:u w:val="single"/>
        </w:rPr>
      </w:pPr>
    </w:p>
    <w:p w14:paraId="3F6D51A1" w14:textId="77777777" w:rsidR="00453C02" w:rsidRPr="00BF699F"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19"/>
          <w:u w:val="single"/>
        </w:rPr>
      </w:pPr>
      <w:r w:rsidRPr="00BF699F">
        <w:rPr>
          <w:rFonts w:ascii="Cambria" w:hAnsi="Cambria"/>
          <w:color w:val="221F1F"/>
          <w:sz w:val="20"/>
          <w:u w:val="single"/>
        </w:rPr>
        <w:t>Cada lista incluirá la siguiente información:</w:t>
      </w:r>
    </w:p>
    <w:p w14:paraId="76A5BE38" w14:textId="77777777" w:rsidR="00453C02" w:rsidRPr="00453C02" w:rsidRDefault="00453C02" w:rsidP="00453C02">
      <w:pPr>
        <w:autoSpaceDE w:val="0"/>
        <w:autoSpaceDN w:val="0"/>
        <w:ind w:left="426"/>
        <w:jc w:val="both"/>
        <w:rPr>
          <w:rFonts w:ascii="Cambria" w:eastAsia="Times New Roman" w:hAnsi="Cambria" w:cs="Times New Roman"/>
          <w:color w:val="221F1F"/>
          <w:sz w:val="20"/>
          <w:szCs w:val="19"/>
          <w:highlight w:val="yellow"/>
          <w:u w:val="single"/>
        </w:rPr>
      </w:pPr>
    </w:p>
    <w:p w14:paraId="5FE1714B" w14:textId="77777777" w:rsidR="00453C02" w:rsidRPr="00BF699F" w:rsidRDefault="00453C02" w:rsidP="00BF699F">
      <w:pPr>
        <w:numPr>
          <w:ilvl w:val="1"/>
          <w:numId w:val="11"/>
        </w:numPr>
        <w:tabs>
          <w:tab w:val="left" w:pos="993"/>
        </w:tabs>
        <w:autoSpaceDE w:val="0"/>
        <w:autoSpaceDN w:val="0"/>
        <w:ind w:left="851" w:right="-1" w:hanging="401"/>
        <w:jc w:val="both"/>
        <w:rPr>
          <w:rFonts w:ascii="Cambria" w:hAnsi="Cambria"/>
          <w:color w:val="221F1F"/>
          <w:sz w:val="20"/>
          <w:szCs w:val="20"/>
          <w:u w:val="single"/>
        </w:rPr>
      </w:pPr>
      <w:r w:rsidRPr="00BF699F">
        <w:rPr>
          <w:rFonts w:ascii="Cambria" w:hAnsi="Cambria"/>
          <w:color w:val="221F1F"/>
          <w:sz w:val="20"/>
          <w:u w:val="single"/>
        </w:rPr>
        <w:t>nombre y número de registro del buque;</w:t>
      </w:r>
    </w:p>
    <w:p w14:paraId="66C421FC" w14:textId="77777777" w:rsidR="00453C02" w:rsidRPr="00BF699F" w:rsidRDefault="00453C02" w:rsidP="00BF699F">
      <w:pPr>
        <w:numPr>
          <w:ilvl w:val="1"/>
          <w:numId w:val="11"/>
        </w:numPr>
        <w:tabs>
          <w:tab w:val="left" w:pos="993"/>
        </w:tabs>
        <w:autoSpaceDE w:val="0"/>
        <w:autoSpaceDN w:val="0"/>
        <w:ind w:left="851" w:right="-1" w:hanging="401"/>
        <w:jc w:val="both"/>
        <w:rPr>
          <w:rFonts w:ascii="Cambria" w:hAnsi="Cambria"/>
          <w:color w:val="221F1F"/>
          <w:sz w:val="20"/>
          <w:szCs w:val="20"/>
          <w:u w:val="single"/>
        </w:rPr>
      </w:pPr>
      <w:r w:rsidRPr="00BF699F">
        <w:rPr>
          <w:rFonts w:ascii="Cambria" w:hAnsi="Cambria"/>
          <w:color w:val="221F1F"/>
          <w:sz w:val="20"/>
          <w:u w:val="single"/>
        </w:rPr>
        <w:t>eslora y tonelaje de registro bruto (TRB) o, cuando sea posible, tonelaje bruto (TB);</w:t>
      </w:r>
    </w:p>
    <w:p w14:paraId="0D58B54A" w14:textId="77777777" w:rsidR="00453C02" w:rsidRPr="00BF699F" w:rsidRDefault="00453C02" w:rsidP="00BF699F">
      <w:pPr>
        <w:numPr>
          <w:ilvl w:val="1"/>
          <w:numId w:val="11"/>
        </w:numPr>
        <w:tabs>
          <w:tab w:val="left" w:pos="993"/>
        </w:tabs>
        <w:autoSpaceDE w:val="0"/>
        <w:autoSpaceDN w:val="0"/>
        <w:ind w:left="851" w:right="-1" w:hanging="401"/>
        <w:jc w:val="both"/>
        <w:rPr>
          <w:rFonts w:ascii="Cambria" w:hAnsi="Cambria"/>
          <w:color w:val="221F1F"/>
          <w:sz w:val="20"/>
          <w:szCs w:val="20"/>
          <w:u w:val="single"/>
        </w:rPr>
      </w:pPr>
      <w:r w:rsidRPr="00BF699F">
        <w:rPr>
          <w:rFonts w:ascii="Cambria" w:hAnsi="Cambria"/>
          <w:color w:val="221F1F"/>
          <w:sz w:val="20"/>
          <w:u w:val="single"/>
        </w:rPr>
        <w:t>número OMI (si procede);</w:t>
      </w:r>
    </w:p>
    <w:p w14:paraId="1F2F8B36" w14:textId="77777777" w:rsidR="00453C02" w:rsidRPr="00BF699F" w:rsidRDefault="00453C02" w:rsidP="00BF699F">
      <w:pPr>
        <w:numPr>
          <w:ilvl w:val="1"/>
          <w:numId w:val="11"/>
        </w:numPr>
        <w:tabs>
          <w:tab w:val="left" w:pos="993"/>
        </w:tabs>
        <w:autoSpaceDE w:val="0"/>
        <w:autoSpaceDN w:val="0"/>
        <w:ind w:left="851" w:right="-1" w:hanging="401"/>
        <w:jc w:val="both"/>
        <w:rPr>
          <w:rFonts w:ascii="Cambria" w:hAnsi="Cambria"/>
          <w:color w:val="221F1F"/>
          <w:sz w:val="20"/>
          <w:szCs w:val="20"/>
          <w:u w:val="single"/>
        </w:rPr>
      </w:pPr>
      <w:r w:rsidRPr="00BF699F">
        <w:rPr>
          <w:rFonts w:ascii="Cambria" w:hAnsi="Cambria"/>
          <w:color w:val="221F1F"/>
          <w:sz w:val="20"/>
          <w:u w:val="single"/>
        </w:rPr>
        <w:t>arte utilizado (si procede);</w:t>
      </w:r>
    </w:p>
    <w:p w14:paraId="7DFC5A59" w14:textId="77777777" w:rsidR="00453C02" w:rsidRPr="00BF699F" w:rsidRDefault="00453C02" w:rsidP="00BF699F">
      <w:pPr>
        <w:numPr>
          <w:ilvl w:val="1"/>
          <w:numId w:val="11"/>
        </w:numPr>
        <w:tabs>
          <w:tab w:val="left" w:pos="993"/>
        </w:tabs>
        <w:autoSpaceDE w:val="0"/>
        <w:autoSpaceDN w:val="0"/>
        <w:ind w:left="851" w:right="-1" w:hanging="401"/>
        <w:jc w:val="both"/>
        <w:rPr>
          <w:rFonts w:ascii="Cambria" w:hAnsi="Cambria"/>
          <w:color w:val="221F1F"/>
          <w:sz w:val="20"/>
          <w:szCs w:val="20"/>
          <w:u w:val="single"/>
        </w:rPr>
      </w:pPr>
      <w:r w:rsidRPr="00BF699F">
        <w:rPr>
          <w:rFonts w:ascii="Cambria" w:hAnsi="Cambria"/>
          <w:color w:val="221F1F"/>
          <w:sz w:val="20"/>
          <w:u w:val="single"/>
        </w:rPr>
        <w:t>pabellón anterior (si procede);</w:t>
      </w:r>
    </w:p>
    <w:p w14:paraId="55231053" w14:textId="77777777" w:rsidR="00453C02" w:rsidRPr="00BF699F" w:rsidRDefault="00453C02" w:rsidP="00BF699F">
      <w:pPr>
        <w:numPr>
          <w:ilvl w:val="1"/>
          <w:numId w:val="11"/>
        </w:numPr>
        <w:tabs>
          <w:tab w:val="left" w:pos="993"/>
        </w:tabs>
        <w:autoSpaceDE w:val="0"/>
        <w:autoSpaceDN w:val="0"/>
        <w:ind w:left="851" w:right="-1" w:hanging="401"/>
        <w:jc w:val="both"/>
        <w:rPr>
          <w:rFonts w:ascii="Cambria" w:hAnsi="Cambria"/>
          <w:color w:val="221F1F"/>
          <w:sz w:val="20"/>
          <w:szCs w:val="20"/>
          <w:u w:val="single"/>
        </w:rPr>
      </w:pPr>
      <w:r w:rsidRPr="00BF699F">
        <w:rPr>
          <w:rFonts w:ascii="Cambria" w:hAnsi="Cambria"/>
          <w:color w:val="221F1F"/>
          <w:sz w:val="20"/>
          <w:u w:val="single"/>
        </w:rPr>
        <w:t>nombre anterior (si procede);</w:t>
      </w:r>
    </w:p>
    <w:p w14:paraId="3D363411" w14:textId="77777777" w:rsidR="00453C02" w:rsidRPr="00BF699F" w:rsidRDefault="00453C02" w:rsidP="00BF699F">
      <w:pPr>
        <w:numPr>
          <w:ilvl w:val="1"/>
          <w:numId w:val="11"/>
        </w:numPr>
        <w:tabs>
          <w:tab w:val="left" w:pos="993"/>
        </w:tabs>
        <w:autoSpaceDE w:val="0"/>
        <w:autoSpaceDN w:val="0"/>
        <w:ind w:left="851" w:right="-1" w:hanging="401"/>
        <w:jc w:val="both"/>
        <w:rPr>
          <w:rFonts w:ascii="Cambria" w:hAnsi="Cambria"/>
          <w:color w:val="221F1F"/>
          <w:sz w:val="20"/>
          <w:szCs w:val="20"/>
          <w:u w:val="single"/>
        </w:rPr>
      </w:pPr>
      <w:r w:rsidRPr="00BF699F">
        <w:rPr>
          <w:rFonts w:ascii="Cambria" w:hAnsi="Cambria"/>
          <w:color w:val="221F1F"/>
          <w:sz w:val="20"/>
          <w:u w:val="single"/>
        </w:rPr>
        <w:t>detalles anteriores de eliminación de otros registros (si procede)</w:t>
      </w:r>
    </w:p>
    <w:p w14:paraId="637849F0" w14:textId="77777777" w:rsidR="00453C02" w:rsidRPr="00BF699F" w:rsidRDefault="00453C02" w:rsidP="00BF699F">
      <w:pPr>
        <w:numPr>
          <w:ilvl w:val="1"/>
          <w:numId w:val="11"/>
        </w:numPr>
        <w:tabs>
          <w:tab w:val="left" w:pos="993"/>
        </w:tabs>
        <w:autoSpaceDE w:val="0"/>
        <w:autoSpaceDN w:val="0"/>
        <w:ind w:left="851" w:right="-1" w:hanging="401"/>
        <w:jc w:val="both"/>
        <w:rPr>
          <w:rFonts w:ascii="Cambria" w:hAnsi="Cambria"/>
          <w:color w:val="221F1F"/>
          <w:sz w:val="20"/>
          <w:szCs w:val="20"/>
          <w:u w:val="single"/>
        </w:rPr>
      </w:pPr>
      <w:r w:rsidRPr="00BF699F">
        <w:rPr>
          <w:rFonts w:ascii="Cambria" w:hAnsi="Cambria"/>
          <w:color w:val="221F1F"/>
          <w:sz w:val="20"/>
          <w:u w:val="single"/>
        </w:rPr>
        <w:t>indicativo internacional de radio (si procede)</w:t>
      </w:r>
    </w:p>
    <w:p w14:paraId="18B96D42" w14:textId="77777777" w:rsidR="00453C02" w:rsidRPr="00BF699F" w:rsidRDefault="00453C02" w:rsidP="00BF699F">
      <w:pPr>
        <w:numPr>
          <w:ilvl w:val="1"/>
          <w:numId w:val="11"/>
        </w:numPr>
        <w:tabs>
          <w:tab w:val="left" w:pos="993"/>
        </w:tabs>
        <w:autoSpaceDE w:val="0"/>
        <w:autoSpaceDN w:val="0"/>
        <w:ind w:left="851" w:right="-1" w:hanging="401"/>
        <w:jc w:val="both"/>
        <w:rPr>
          <w:rFonts w:ascii="Cambria" w:hAnsi="Cambria"/>
          <w:color w:val="221F1F"/>
          <w:sz w:val="20"/>
          <w:szCs w:val="20"/>
          <w:u w:val="single"/>
        </w:rPr>
      </w:pPr>
      <w:r w:rsidRPr="00BF699F">
        <w:rPr>
          <w:rFonts w:ascii="Cambria" w:hAnsi="Cambria"/>
          <w:color w:val="221F1F"/>
          <w:sz w:val="20"/>
          <w:u w:val="single"/>
        </w:rPr>
        <w:t>nombre y dirección del o de los armadores y operadores;</w:t>
      </w:r>
    </w:p>
    <w:p w14:paraId="1CA13420" w14:textId="77777777" w:rsidR="00453C02" w:rsidRPr="00BF699F" w:rsidRDefault="00453C02" w:rsidP="00BF699F">
      <w:pPr>
        <w:numPr>
          <w:ilvl w:val="1"/>
          <w:numId w:val="11"/>
        </w:numPr>
        <w:tabs>
          <w:tab w:val="left" w:pos="993"/>
        </w:tabs>
        <w:autoSpaceDE w:val="0"/>
        <w:autoSpaceDN w:val="0"/>
        <w:ind w:left="851" w:right="-1" w:hanging="401"/>
        <w:jc w:val="both"/>
        <w:rPr>
          <w:rFonts w:ascii="Cambria" w:hAnsi="Cambria"/>
          <w:color w:val="221F1F"/>
          <w:sz w:val="20"/>
          <w:szCs w:val="20"/>
          <w:u w:val="single"/>
        </w:rPr>
      </w:pPr>
      <w:r w:rsidRPr="00BF699F">
        <w:rPr>
          <w:rFonts w:ascii="Cambria" w:hAnsi="Cambria"/>
          <w:color w:val="221F1F"/>
          <w:sz w:val="20"/>
          <w:u w:val="single"/>
        </w:rPr>
        <w:t>periodo de tiempo autorizado para pescar, operar y/o transportar atún rojo destinado a la cría.</w:t>
      </w:r>
    </w:p>
    <w:p w14:paraId="6F597D79" w14:textId="77777777" w:rsidR="00453C02" w:rsidRPr="00453C02" w:rsidRDefault="00453C02" w:rsidP="00453C02">
      <w:pPr>
        <w:tabs>
          <w:tab w:val="left" w:pos="970"/>
        </w:tabs>
        <w:autoSpaceDE w:val="0"/>
        <w:autoSpaceDN w:val="0"/>
        <w:ind w:right="-1"/>
        <w:jc w:val="both"/>
        <w:rPr>
          <w:rFonts w:ascii="Cambria" w:hAnsi="Cambria"/>
          <w:color w:val="221F1F"/>
          <w:sz w:val="20"/>
          <w:szCs w:val="20"/>
          <w:highlight w:val="yellow"/>
          <w:u w:val="single"/>
        </w:rPr>
      </w:pPr>
    </w:p>
    <w:p w14:paraId="572F8098" w14:textId="77777777" w:rsidR="00453C02" w:rsidRPr="0041175B"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41175B">
        <w:rPr>
          <w:rFonts w:ascii="Cambria" w:hAnsi="Cambria"/>
          <w:color w:val="221F1F"/>
          <w:sz w:val="20"/>
          <w:u w:val="single"/>
        </w:rPr>
        <w:t xml:space="preserve">Para los buques de más de 24 m (independientemente del arte utilizado, a excepción de los arrastreros de fondo) y para todos los buques de cerco, las CPC indicarán el número de buques a la Secretaría de ICCAT como parte de su plan de pesca definido en el párrafo 7 de esta Recomendación. </w:t>
      </w:r>
    </w:p>
    <w:p w14:paraId="546527F3" w14:textId="77777777" w:rsidR="00453C02" w:rsidRPr="0041175B" w:rsidRDefault="00453C02" w:rsidP="00453C02">
      <w:pPr>
        <w:autoSpaceDE w:val="0"/>
        <w:autoSpaceDN w:val="0"/>
        <w:spacing w:before="1"/>
        <w:jc w:val="both"/>
        <w:rPr>
          <w:rFonts w:ascii="Cambria" w:eastAsia="Times New Roman" w:hAnsi="Cambria" w:cs="Times New Roman"/>
          <w:color w:val="221F1F"/>
          <w:sz w:val="20"/>
          <w:szCs w:val="20"/>
          <w:u w:val="single"/>
        </w:rPr>
      </w:pPr>
    </w:p>
    <w:p w14:paraId="47BA8239" w14:textId="77777777" w:rsidR="00453C02" w:rsidRPr="0041175B"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41175B">
        <w:rPr>
          <w:rFonts w:ascii="Cambria" w:hAnsi="Cambria"/>
          <w:color w:val="221F1F"/>
          <w:sz w:val="20"/>
          <w:u w:val="single"/>
        </w:rPr>
        <w:t>El secretario ejecutivo de ICCAT establecerá y mantendrá el registro ICCAT de todos los buques de captura que pescan activamente atún rojo y todos los demás buques autorizados a operar para el atún rojo en el Atlántico oeste, y adoptará cualquier medida para garantizar la disponibilidad del registro a través de medios electrónicos, lo que incluye publicarlo en el sitio web de ICCAT de una forma coherente con los requisitos en cuanto a confidencialidad indicados por las CPC.</w:t>
      </w:r>
    </w:p>
    <w:p w14:paraId="5922A297" w14:textId="77777777" w:rsidR="00453C02" w:rsidRPr="0041175B" w:rsidRDefault="00453C02" w:rsidP="00453C02">
      <w:pPr>
        <w:autoSpaceDE w:val="0"/>
        <w:autoSpaceDN w:val="0"/>
        <w:spacing w:before="1"/>
        <w:jc w:val="both"/>
        <w:rPr>
          <w:rFonts w:ascii="Cambria" w:eastAsia="Times New Roman" w:hAnsi="Cambria" w:cs="Times New Roman"/>
          <w:color w:val="221F1F"/>
          <w:sz w:val="20"/>
          <w:szCs w:val="20"/>
          <w:u w:val="single"/>
        </w:rPr>
      </w:pPr>
    </w:p>
    <w:p w14:paraId="20C46B8D" w14:textId="77777777" w:rsidR="00453C02" w:rsidRPr="0041175B"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41175B">
        <w:rPr>
          <w:rFonts w:ascii="Cambria" w:hAnsi="Cambria"/>
          <w:color w:val="221F1F"/>
          <w:sz w:val="20"/>
          <w:u w:val="single"/>
        </w:rPr>
        <w:t>Cada CPC del pabellón presentará cada año en formato electrónico a la Secretaría de ICCAT: (i) a más tardar 15 días antes del comienzo de la actividad pesquera, la lista de sus buques de captura mencionados en el párrafo 37 a); y (ii) a más tardar 15 días antes del inicio de sus operaciones la lista de otros buques de pesca mencionados en el párrafo 37 b). Dicha presentación se realizará de conformidad con el formato establecido en las Directrices para presentar los datos y la información requeridos por ICCAT.</w:t>
      </w:r>
    </w:p>
    <w:p w14:paraId="2A5EBAE5" w14:textId="77777777" w:rsidR="00453C02" w:rsidRPr="0041175B" w:rsidRDefault="00453C02" w:rsidP="00453C02">
      <w:pPr>
        <w:autoSpaceDE w:val="0"/>
        <w:autoSpaceDN w:val="0"/>
        <w:spacing w:before="1"/>
        <w:ind w:left="544"/>
        <w:jc w:val="both"/>
        <w:rPr>
          <w:rFonts w:ascii="Cambria" w:eastAsia="Times New Roman" w:hAnsi="Cambria" w:cs="Times New Roman"/>
          <w:color w:val="221F1F"/>
          <w:sz w:val="20"/>
          <w:szCs w:val="20"/>
          <w:u w:val="single"/>
        </w:rPr>
      </w:pPr>
    </w:p>
    <w:p w14:paraId="0F349F4A" w14:textId="48CE6DCD" w:rsidR="00453C02" w:rsidRPr="0041175B"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41175B">
        <w:rPr>
          <w:rFonts w:ascii="Cambria" w:hAnsi="Cambria"/>
          <w:color w:val="221F1F"/>
          <w:sz w:val="20"/>
          <w:u w:val="single"/>
        </w:rPr>
        <w:t>No se aceptarán presentaciones con carácter retroactivo. Cualquier cambio ulterior solo se aceptará si un buque pesquero notificado se ve imposibilitado para participar debido a razones operativas legítimas o de fuerza mayor.</w:t>
      </w:r>
    </w:p>
    <w:p w14:paraId="70CF80EB" w14:textId="77777777" w:rsidR="00453C02" w:rsidRPr="00453C02" w:rsidRDefault="00453C02" w:rsidP="00453C02">
      <w:pPr>
        <w:autoSpaceDE w:val="0"/>
        <w:autoSpaceDN w:val="0"/>
        <w:spacing w:before="1"/>
        <w:jc w:val="both"/>
        <w:rPr>
          <w:rFonts w:ascii="Cambria" w:eastAsia="Times New Roman" w:hAnsi="Cambria" w:cs="Times New Roman"/>
          <w:color w:val="221F1F"/>
          <w:sz w:val="20"/>
          <w:szCs w:val="20"/>
          <w:highlight w:val="yellow"/>
          <w:u w:val="single"/>
        </w:rPr>
      </w:pPr>
    </w:p>
    <w:p w14:paraId="6391A98F" w14:textId="77777777" w:rsidR="00453C02" w:rsidRPr="0023000B"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19"/>
          <w:u w:val="single"/>
        </w:rPr>
      </w:pPr>
      <w:r w:rsidRPr="0023000B">
        <w:rPr>
          <w:rFonts w:ascii="Cambria" w:hAnsi="Cambria"/>
          <w:color w:val="221F1F"/>
          <w:sz w:val="20"/>
          <w:u w:val="single"/>
        </w:rPr>
        <w:t xml:space="preserve">En caso de que se den las circunstancias descritas en el párrafo 42, la CPC afectada informará inmediatamente a la Secretaría de ICCAT, facilitando: </w:t>
      </w:r>
    </w:p>
    <w:p w14:paraId="6622CC42" w14:textId="77777777" w:rsidR="00453C02" w:rsidRPr="00453C02" w:rsidRDefault="00453C02" w:rsidP="00453C02">
      <w:pPr>
        <w:ind w:left="720"/>
        <w:contextualSpacing/>
        <w:rPr>
          <w:rFonts w:ascii="Cambria" w:hAnsi="Cambria"/>
          <w:color w:val="221F1F"/>
          <w:sz w:val="20"/>
          <w:highlight w:val="yellow"/>
          <w:u w:val="single"/>
        </w:rPr>
      </w:pPr>
    </w:p>
    <w:p w14:paraId="6002DCBC" w14:textId="77777777" w:rsidR="00453C02" w:rsidRPr="0023000B" w:rsidRDefault="00453C02" w:rsidP="00453C02">
      <w:pPr>
        <w:numPr>
          <w:ilvl w:val="1"/>
          <w:numId w:val="11"/>
        </w:numPr>
        <w:tabs>
          <w:tab w:val="left" w:pos="851"/>
        </w:tabs>
        <w:autoSpaceDE w:val="0"/>
        <w:autoSpaceDN w:val="0"/>
        <w:ind w:left="851" w:right="-1"/>
        <w:contextualSpacing/>
        <w:jc w:val="both"/>
        <w:rPr>
          <w:rFonts w:ascii="Cambria" w:hAnsi="Cambria"/>
          <w:color w:val="221F1F"/>
          <w:sz w:val="20"/>
          <w:szCs w:val="20"/>
          <w:u w:val="single"/>
        </w:rPr>
      </w:pPr>
      <w:r w:rsidRPr="0023000B">
        <w:rPr>
          <w:rFonts w:ascii="Cambria" w:hAnsi="Cambria"/>
          <w:color w:val="221F1F"/>
          <w:sz w:val="20"/>
          <w:u w:val="single"/>
        </w:rPr>
        <w:t>detalles completos del buque(s) pesquero(s) que se prevé que reemplace al buque o buques, incluido en el registro mencionado en el párrafo 37; las CPC con menos de cinco buques incluidos en cualquiera de las dos listas mencionadas en el párrafo 37 podrían sustituir un buque por otro no previamente incluido en el registro, siempre y cuando la CPC afectada haya presentado a la Secretaría de ICCAT una solicitud para que se conceda un número ICCAT al buque en cuestión y el número solicitado se haya proporcionado;</w:t>
      </w:r>
    </w:p>
    <w:p w14:paraId="68DB138D" w14:textId="77777777" w:rsidR="00453C02" w:rsidRPr="0023000B" w:rsidRDefault="00453C02" w:rsidP="00453C02">
      <w:pPr>
        <w:tabs>
          <w:tab w:val="left" w:pos="851"/>
        </w:tabs>
        <w:autoSpaceDE w:val="0"/>
        <w:autoSpaceDN w:val="0"/>
        <w:ind w:left="851" w:right="-1"/>
        <w:contextualSpacing/>
        <w:jc w:val="both"/>
        <w:rPr>
          <w:rFonts w:ascii="Cambria" w:hAnsi="Cambria"/>
          <w:color w:val="221F1F"/>
          <w:sz w:val="20"/>
          <w:szCs w:val="20"/>
          <w:u w:val="single"/>
        </w:rPr>
      </w:pPr>
    </w:p>
    <w:p w14:paraId="378A00B5" w14:textId="32572BC4" w:rsidR="00453C02" w:rsidRPr="0023000B" w:rsidRDefault="00453C02" w:rsidP="00453C02">
      <w:pPr>
        <w:numPr>
          <w:ilvl w:val="1"/>
          <w:numId w:val="11"/>
        </w:numPr>
        <w:tabs>
          <w:tab w:val="left" w:pos="851"/>
        </w:tabs>
        <w:autoSpaceDE w:val="0"/>
        <w:autoSpaceDN w:val="0"/>
        <w:ind w:left="851" w:right="-1"/>
        <w:contextualSpacing/>
        <w:jc w:val="both"/>
        <w:rPr>
          <w:rFonts w:ascii="Cambria" w:hAnsi="Cambria"/>
          <w:color w:val="221F1F"/>
          <w:sz w:val="20"/>
          <w:szCs w:val="20"/>
          <w:u w:val="single"/>
        </w:rPr>
      </w:pPr>
      <w:r w:rsidRPr="0023000B">
        <w:rPr>
          <w:rFonts w:ascii="Cambria" w:hAnsi="Cambria"/>
          <w:color w:val="221F1F"/>
          <w:sz w:val="20"/>
          <w:u w:val="single"/>
        </w:rPr>
        <w:t>un informe exhaustivo de las razones que justifican la sustitución y cualquier prueba de apoyo o referencia pertinente.</w:t>
      </w:r>
    </w:p>
    <w:p w14:paraId="4449FC97" w14:textId="77777777" w:rsidR="00453C02" w:rsidRPr="00453C02" w:rsidRDefault="00453C02" w:rsidP="00453C02">
      <w:pPr>
        <w:autoSpaceDE w:val="0"/>
        <w:autoSpaceDN w:val="0"/>
        <w:spacing w:before="1"/>
        <w:jc w:val="both"/>
        <w:rPr>
          <w:rFonts w:ascii="Cambria" w:eastAsia="Times New Roman" w:hAnsi="Cambria" w:cs="Times New Roman"/>
          <w:color w:val="221F1F"/>
          <w:sz w:val="20"/>
          <w:szCs w:val="20"/>
          <w:highlight w:val="yellow"/>
          <w:u w:val="single"/>
        </w:rPr>
      </w:pPr>
    </w:p>
    <w:p w14:paraId="656C08B7" w14:textId="2FA1427F" w:rsidR="00453C02" w:rsidRPr="0023000B" w:rsidRDefault="00453C02" w:rsidP="00453C02">
      <w:pPr>
        <w:autoSpaceDE w:val="0"/>
        <w:autoSpaceDN w:val="0"/>
        <w:spacing w:before="1"/>
        <w:ind w:left="426"/>
        <w:jc w:val="both"/>
        <w:rPr>
          <w:rFonts w:ascii="Cambria" w:eastAsia="Times New Roman" w:hAnsi="Cambria" w:cs="Times New Roman"/>
          <w:color w:val="221F1F"/>
          <w:sz w:val="20"/>
          <w:szCs w:val="19"/>
          <w:u w:val="single"/>
        </w:rPr>
      </w:pPr>
      <w:r w:rsidRPr="0023000B">
        <w:rPr>
          <w:rFonts w:ascii="Cambria" w:hAnsi="Cambria"/>
          <w:color w:val="221F1F"/>
          <w:sz w:val="20"/>
          <w:u w:val="single"/>
        </w:rPr>
        <w:t xml:space="preserve">La Secretaría de ICCAT circulará dichos casos entre las CPC. Si cualquier CPC notifica que el caso no está suficientemente justificado o está incompleto, este se remitirá al Comité de Cumplimiento para una revisión más en profundidad y el caso quedará pendiente de la aprobación del Comité de </w:t>
      </w:r>
      <w:r w:rsidR="0023000B">
        <w:rPr>
          <w:rFonts w:ascii="Cambria" w:hAnsi="Cambria"/>
          <w:color w:val="221F1F"/>
          <w:sz w:val="20"/>
          <w:u w:val="single"/>
        </w:rPr>
        <w:t>C</w:t>
      </w:r>
      <w:r w:rsidRPr="0023000B">
        <w:rPr>
          <w:rFonts w:ascii="Cambria" w:hAnsi="Cambria"/>
          <w:color w:val="221F1F"/>
          <w:sz w:val="20"/>
          <w:u w:val="single"/>
        </w:rPr>
        <w:t xml:space="preserve">umplimiento. </w:t>
      </w:r>
    </w:p>
    <w:p w14:paraId="7C9748D7" w14:textId="77777777" w:rsidR="00453C02" w:rsidRPr="00453C02" w:rsidRDefault="00453C02" w:rsidP="00453C02">
      <w:pPr>
        <w:autoSpaceDE w:val="0"/>
        <w:autoSpaceDN w:val="0"/>
        <w:spacing w:before="1"/>
        <w:jc w:val="both"/>
        <w:rPr>
          <w:rFonts w:ascii="Cambria" w:eastAsia="Times New Roman" w:hAnsi="Cambria" w:cs="Times New Roman"/>
          <w:color w:val="221F1F"/>
          <w:sz w:val="20"/>
          <w:szCs w:val="20"/>
          <w:highlight w:val="yellow"/>
          <w:u w:val="single"/>
        </w:rPr>
      </w:pPr>
    </w:p>
    <w:p w14:paraId="52D263AE" w14:textId="1B0203A6" w:rsidR="00453C02" w:rsidRPr="0023000B"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23000B">
        <w:rPr>
          <w:rFonts w:ascii="Cambria" w:hAnsi="Cambria"/>
          <w:color w:val="221F1F"/>
          <w:sz w:val="20"/>
          <w:u w:val="single"/>
        </w:rPr>
        <w:t xml:space="preserve">Sin perjuicio </w:t>
      </w:r>
      <w:r w:rsidRPr="000C578A">
        <w:rPr>
          <w:rFonts w:ascii="Cambria" w:hAnsi="Cambria"/>
          <w:color w:val="221F1F"/>
          <w:sz w:val="20"/>
          <w:u w:val="single"/>
        </w:rPr>
        <w:t xml:space="preserve">de </w:t>
      </w:r>
      <w:r w:rsidR="0023000B" w:rsidRPr="000C578A">
        <w:rPr>
          <w:rFonts w:ascii="Cambria" w:hAnsi="Cambria"/>
          <w:color w:val="221F1F"/>
          <w:sz w:val="20"/>
          <w:u w:val="single"/>
        </w:rPr>
        <w:t>lo dispuesto en</w:t>
      </w:r>
      <w:r w:rsidR="0023000B">
        <w:rPr>
          <w:rFonts w:ascii="Cambria" w:hAnsi="Cambria"/>
          <w:color w:val="221F1F"/>
          <w:sz w:val="20"/>
          <w:u w:val="single"/>
        </w:rPr>
        <w:t xml:space="preserve"> </w:t>
      </w:r>
      <w:r w:rsidRPr="0023000B">
        <w:rPr>
          <w:rFonts w:ascii="Cambria" w:hAnsi="Cambria"/>
          <w:color w:val="221F1F"/>
          <w:sz w:val="20"/>
          <w:u w:val="single"/>
        </w:rPr>
        <w:t xml:space="preserve">los párrafos 20 al 24 y a efectos de esta Recomendación, se considerará que los buques pesqueros no incluidos en uno de los registros ICCAT mencionados en los párrafos 37 a) y b) anteriores no están autorizados a pescar, retener a bordo, transbordar, transportar, transferir, transformar o desembarcar atún rojo del Atlántico oeste. La prohibición de retención a bordo no se aplica a las CPC cuya legislación interna requiera que todo ejemplar muerto sea desembarcado, siempre y cuando el valor de la captura sea incautado. </w:t>
      </w:r>
    </w:p>
    <w:p w14:paraId="6C46E28D" w14:textId="77777777" w:rsidR="00453C02" w:rsidRPr="0023000B" w:rsidRDefault="00453C02" w:rsidP="00453C02">
      <w:pPr>
        <w:autoSpaceDE w:val="0"/>
        <w:autoSpaceDN w:val="0"/>
        <w:spacing w:before="1"/>
        <w:ind w:left="528" w:hanging="395"/>
        <w:jc w:val="both"/>
        <w:rPr>
          <w:rFonts w:ascii="Cambria" w:eastAsia="Times New Roman" w:hAnsi="Cambria" w:cs="Times New Roman"/>
          <w:color w:val="221F1F"/>
          <w:sz w:val="20"/>
          <w:szCs w:val="20"/>
          <w:u w:val="single"/>
        </w:rPr>
      </w:pPr>
    </w:p>
    <w:p w14:paraId="766E1AFA" w14:textId="77777777" w:rsidR="00453C02" w:rsidRPr="0023000B"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23000B">
        <w:rPr>
          <w:rFonts w:ascii="Cambria" w:hAnsi="Cambria"/>
          <w:color w:val="221F1F"/>
          <w:sz w:val="20"/>
          <w:u w:val="single"/>
        </w:rPr>
        <w:t xml:space="preserve">Se aplicarán, </w:t>
      </w:r>
      <w:r w:rsidRPr="000C578A">
        <w:rPr>
          <w:rFonts w:ascii="Cambria" w:hAnsi="Cambria"/>
          <w:i/>
          <w:iCs/>
          <w:color w:val="221F1F"/>
          <w:sz w:val="20"/>
          <w:u w:val="single"/>
        </w:rPr>
        <w:t>mutatis mutandis</w:t>
      </w:r>
      <w:r w:rsidRPr="000C578A">
        <w:rPr>
          <w:rFonts w:ascii="Cambria" w:hAnsi="Cambria"/>
          <w:color w:val="221F1F"/>
          <w:sz w:val="20"/>
          <w:u w:val="single"/>
        </w:rPr>
        <w:t>, l</w:t>
      </w:r>
      <w:r w:rsidRPr="0023000B">
        <w:rPr>
          <w:rFonts w:ascii="Cambria" w:hAnsi="Cambria"/>
          <w:color w:val="221F1F"/>
          <w:sz w:val="20"/>
          <w:u w:val="single"/>
        </w:rPr>
        <w:t xml:space="preserve">as condiciones y procedimientos mencionados en la </w:t>
      </w:r>
      <w:r w:rsidRPr="0023000B">
        <w:rPr>
          <w:rFonts w:ascii="Cambria" w:hAnsi="Cambria"/>
          <w:i/>
          <w:iCs/>
          <w:color w:val="221F1F"/>
          <w:sz w:val="20"/>
          <w:u w:val="single"/>
        </w:rPr>
        <w:t>Recomendación de ICCAT que enmienda la Recomendación 13-13 sobre el establecimiento de un registro de ICCAT de buques con una eslora total de 20 metros o superior con autorización para operar en la zona del Convenio</w:t>
      </w:r>
      <w:r w:rsidRPr="0023000B">
        <w:rPr>
          <w:rFonts w:ascii="Cambria" w:hAnsi="Cambria"/>
          <w:color w:val="221F1F"/>
          <w:sz w:val="20"/>
          <w:u w:val="single"/>
        </w:rPr>
        <w:t xml:space="preserve"> (Rec. 21-14) (con la excepción del párrafo 3).</w:t>
      </w:r>
    </w:p>
    <w:p w14:paraId="790DEE6A" w14:textId="77777777" w:rsidR="00453C02" w:rsidRPr="00453C02" w:rsidRDefault="00453C02" w:rsidP="00453C02">
      <w:pPr>
        <w:autoSpaceDE w:val="0"/>
        <w:autoSpaceDN w:val="0"/>
        <w:spacing w:before="1"/>
        <w:jc w:val="both"/>
        <w:rPr>
          <w:rFonts w:ascii="Cambria" w:eastAsia="Times New Roman" w:hAnsi="Cambria" w:cs="Times New Roman"/>
          <w:b/>
          <w:bCs/>
          <w:color w:val="221F1F"/>
          <w:sz w:val="20"/>
          <w:szCs w:val="20"/>
          <w:highlight w:val="yellow"/>
          <w:u w:val="single"/>
        </w:rPr>
      </w:pPr>
    </w:p>
    <w:p w14:paraId="2680539E" w14:textId="77777777" w:rsidR="00453C02" w:rsidRPr="001A12EA" w:rsidRDefault="00453C02" w:rsidP="00453C02">
      <w:pPr>
        <w:autoSpaceDE w:val="0"/>
        <w:autoSpaceDN w:val="0"/>
        <w:spacing w:before="1"/>
        <w:jc w:val="both"/>
        <w:rPr>
          <w:rFonts w:ascii="Cambria" w:eastAsia="Times New Roman" w:hAnsi="Cambria" w:cs="Times New Roman"/>
          <w:b/>
          <w:bCs/>
          <w:color w:val="221F1F"/>
          <w:sz w:val="20"/>
          <w:szCs w:val="20"/>
          <w:u w:val="single"/>
        </w:rPr>
      </w:pPr>
      <w:r w:rsidRPr="001A12EA">
        <w:rPr>
          <w:rFonts w:ascii="Cambria" w:hAnsi="Cambria"/>
          <w:b/>
          <w:color w:val="221F1F"/>
          <w:sz w:val="20"/>
          <w:u w:val="single"/>
        </w:rPr>
        <w:t>Registro ICCAT de almadrabas de túnidos autorizadas a pescar atún rojo</w:t>
      </w:r>
    </w:p>
    <w:p w14:paraId="241498A9" w14:textId="77777777" w:rsidR="00453C02" w:rsidRPr="00453C02" w:rsidRDefault="00453C02" w:rsidP="00453C02">
      <w:pPr>
        <w:autoSpaceDE w:val="0"/>
        <w:autoSpaceDN w:val="0"/>
        <w:spacing w:before="1"/>
        <w:ind w:left="117"/>
        <w:jc w:val="both"/>
        <w:rPr>
          <w:rFonts w:ascii="Cambria" w:eastAsia="Times New Roman" w:hAnsi="Cambria" w:cs="Times New Roman"/>
          <w:color w:val="221F1F"/>
          <w:sz w:val="20"/>
          <w:szCs w:val="20"/>
          <w:highlight w:val="yellow"/>
          <w:u w:val="single"/>
        </w:rPr>
      </w:pPr>
    </w:p>
    <w:p w14:paraId="45315114" w14:textId="77777777" w:rsidR="00453C02" w:rsidRPr="001A12EA"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1A12EA">
        <w:rPr>
          <w:rFonts w:ascii="Cambria" w:hAnsi="Cambria"/>
          <w:color w:val="221F1F"/>
          <w:sz w:val="20"/>
          <w:u w:val="single"/>
        </w:rPr>
        <w:t xml:space="preserve">La Comisión establecerá y mantendrá un registro ICCAT de todas las almadrabas de túnidos autorizadas a pescar atún rojo en el Atlántico oeste. A efectos de esta Recomendación, se considerará que las almadrabas de túnidos no incluidas en el registro no están autorizadas a ser utilizadas para pescar, retener y participar en cualquier operación de captura, transferencia, sacrificio o desembarque de atún rojo. </w:t>
      </w:r>
    </w:p>
    <w:p w14:paraId="10004343" w14:textId="77777777" w:rsidR="00453C02" w:rsidRPr="00453C02" w:rsidRDefault="00453C02" w:rsidP="00453C02">
      <w:pPr>
        <w:autoSpaceDE w:val="0"/>
        <w:autoSpaceDN w:val="0"/>
        <w:spacing w:before="1"/>
        <w:ind w:left="117"/>
        <w:jc w:val="both"/>
        <w:rPr>
          <w:rFonts w:ascii="Cambria" w:eastAsia="Times New Roman" w:hAnsi="Cambria" w:cs="Times New Roman"/>
          <w:color w:val="221F1F"/>
          <w:sz w:val="20"/>
          <w:szCs w:val="20"/>
          <w:highlight w:val="yellow"/>
          <w:u w:val="single"/>
        </w:rPr>
      </w:pPr>
    </w:p>
    <w:p w14:paraId="75211064" w14:textId="77777777" w:rsidR="00453C02" w:rsidRPr="006C5A1F"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6C5A1F">
        <w:rPr>
          <w:rFonts w:ascii="Cambria" w:hAnsi="Cambria"/>
          <w:color w:val="221F1F"/>
          <w:sz w:val="20"/>
          <w:u w:val="single"/>
        </w:rPr>
        <w:t>Cada CPC enviará electrónicamente a la Secretaría de ICCAT, como parte de su plan de pesca definido en los párrafos 9 y 10, la lista de sus almadrabas de túnidos autorizadas mencionada en el párrafo 46 (incluido el nombre de las almadrabas, número de registro y coordenadas geográficas del polígono de la almadraba).</w:t>
      </w:r>
    </w:p>
    <w:p w14:paraId="107ECF3B" w14:textId="77777777" w:rsidR="00453C02" w:rsidRPr="00453C02" w:rsidRDefault="00453C02" w:rsidP="00453C02">
      <w:pPr>
        <w:autoSpaceDE w:val="0"/>
        <w:autoSpaceDN w:val="0"/>
        <w:spacing w:before="1"/>
        <w:ind w:left="117"/>
        <w:jc w:val="both"/>
        <w:rPr>
          <w:rFonts w:ascii="Cambria" w:eastAsia="Times New Roman" w:hAnsi="Cambria" w:cs="Times New Roman"/>
          <w:color w:val="221F1F"/>
          <w:sz w:val="20"/>
          <w:szCs w:val="20"/>
          <w:highlight w:val="yellow"/>
          <w:u w:val="single"/>
        </w:rPr>
      </w:pPr>
    </w:p>
    <w:p w14:paraId="6BE0CA7F" w14:textId="77777777" w:rsidR="00453C02" w:rsidRPr="006C5A1F"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6C5A1F">
        <w:rPr>
          <w:rFonts w:ascii="Cambria" w:hAnsi="Cambria"/>
          <w:color w:val="221F1F"/>
          <w:sz w:val="20"/>
          <w:u w:val="single"/>
        </w:rPr>
        <w:t xml:space="preserve">Cada CPC notificará a la Secretaría de ICCAT, tras el establecimiento del registro ICCAT de almadrabas, cualquier incorporación o supresión y/o cualquier modificación del registro ICCAT de almadrabas en el momento en que se produzca dicho cambio. </w:t>
      </w:r>
    </w:p>
    <w:p w14:paraId="29C54F97" w14:textId="77777777" w:rsidR="00453C02" w:rsidRPr="00453C02" w:rsidRDefault="00453C02" w:rsidP="00453C02">
      <w:pPr>
        <w:autoSpaceDE w:val="0"/>
        <w:autoSpaceDN w:val="0"/>
        <w:spacing w:before="1"/>
        <w:ind w:left="117"/>
        <w:jc w:val="both"/>
        <w:rPr>
          <w:rFonts w:ascii="Cambria" w:eastAsia="Times New Roman" w:hAnsi="Cambria" w:cs="Times New Roman"/>
          <w:color w:val="221F1F"/>
          <w:sz w:val="20"/>
          <w:szCs w:val="20"/>
          <w:highlight w:val="yellow"/>
          <w:u w:val="single"/>
        </w:rPr>
      </w:pPr>
    </w:p>
    <w:p w14:paraId="118B2B9A" w14:textId="77777777" w:rsidR="00453C02" w:rsidRPr="006C5A1F"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6C5A1F">
        <w:rPr>
          <w:rFonts w:ascii="Cambria" w:hAnsi="Cambria"/>
          <w:color w:val="221F1F"/>
          <w:sz w:val="20"/>
          <w:u w:val="single"/>
        </w:rPr>
        <w:t xml:space="preserve">La Secretaría de ICCAT adoptará cualquier medida para garantizar la disponibilidad del registro a través de medios electrónicos, lo que incluye su publicación en el sitio web de ICCAT, de un modo coherente con los requisitos de confidencialidad señalados por las CPC. </w:t>
      </w:r>
    </w:p>
    <w:p w14:paraId="23145AF6" w14:textId="77777777" w:rsidR="00453C02" w:rsidRPr="00453C02" w:rsidRDefault="00453C02" w:rsidP="00453C02">
      <w:pPr>
        <w:rPr>
          <w:rFonts w:ascii="Cambria" w:hAnsi="Cambria"/>
          <w:b/>
          <w:bCs/>
          <w:sz w:val="20"/>
          <w:highlight w:val="yellow"/>
          <w:u w:val="single"/>
        </w:rPr>
      </w:pPr>
    </w:p>
    <w:p w14:paraId="5EF242B1" w14:textId="77777777" w:rsidR="00453C02" w:rsidRPr="006C5A1F" w:rsidRDefault="00453C02" w:rsidP="00453C02">
      <w:pPr>
        <w:autoSpaceDE w:val="0"/>
        <w:autoSpaceDN w:val="0"/>
        <w:spacing w:before="1"/>
        <w:jc w:val="both"/>
        <w:rPr>
          <w:rFonts w:ascii="Cambria" w:eastAsia="Times New Roman" w:hAnsi="Cambria" w:cs="Times New Roman"/>
          <w:b/>
          <w:bCs/>
          <w:color w:val="221F1F"/>
          <w:sz w:val="20"/>
          <w:szCs w:val="20"/>
          <w:u w:val="single"/>
        </w:rPr>
      </w:pPr>
      <w:r w:rsidRPr="006C5A1F">
        <w:rPr>
          <w:rFonts w:ascii="Cambria" w:hAnsi="Cambria"/>
          <w:b/>
          <w:color w:val="221F1F"/>
          <w:sz w:val="20"/>
          <w:u w:val="single"/>
        </w:rPr>
        <w:t xml:space="preserve">Registro ICCAT de granjas autorizadas a operar con atún rojo </w:t>
      </w:r>
    </w:p>
    <w:p w14:paraId="0EF56A67" w14:textId="77777777" w:rsidR="00453C02" w:rsidRPr="00453C02" w:rsidRDefault="00453C02" w:rsidP="00453C02">
      <w:pPr>
        <w:rPr>
          <w:highlight w:val="yellow"/>
          <w:u w:val="single"/>
        </w:rPr>
      </w:pPr>
    </w:p>
    <w:p w14:paraId="77FFACAF" w14:textId="77777777" w:rsidR="00453C02" w:rsidRPr="006C5A1F"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6C5A1F">
        <w:rPr>
          <w:rFonts w:ascii="Cambria" w:hAnsi="Cambria"/>
          <w:color w:val="221F1F"/>
          <w:sz w:val="20"/>
          <w:u w:val="single"/>
        </w:rPr>
        <w:t xml:space="preserve">La Secretaría de ICCAT mantendrá un Registro ICCAT de todas las granjas de túnidos autorizadas a operar con atún rojo en el Atlántico oeste. A efectos de esta Recomendación, se considerará que las granjas de túnidos no incluidas en el registro no están autorizadas a operar con atún rojo. </w:t>
      </w:r>
    </w:p>
    <w:p w14:paraId="2690A96A" w14:textId="77777777" w:rsidR="00453C02" w:rsidRPr="006C5A1F" w:rsidRDefault="00453C02" w:rsidP="00453C02">
      <w:pPr>
        <w:autoSpaceDE w:val="0"/>
        <w:autoSpaceDN w:val="0"/>
        <w:spacing w:before="1"/>
        <w:jc w:val="both"/>
        <w:rPr>
          <w:rFonts w:ascii="Cambria" w:eastAsia="Times New Roman" w:hAnsi="Cambria" w:cs="Times New Roman"/>
          <w:color w:val="221F1F"/>
          <w:sz w:val="20"/>
          <w:szCs w:val="20"/>
          <w:u w:val="single"/>
        </w:rPr>
      </w:pPr>
    </w:p>
    <w:p w14:paraId="16C01A75" w14:textId="77777777" w:rsidR="00453C02" w:rsidRPr="006C5A1F"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6C5A1F">
        <w:rPr>
          <w:rFonts w:ascii="Cambria" w:hAnsi="Cambria"/>
          <w:color w:val="221F1F"/>
          <w:sz w:val="20"/>
          <w:u w:val="single"/>
        </w:rPr>
        <w:t>Cada CPC notificará a la Secretaría de ICCAT cualquier añadido, cualquier eliminación y/o cualquier modificación del Registro ICCAT de granjas en el momento en que se produzca dicho cambio.</w:t>
      </w:r>
    </w:p>
    <w:p w14:paraId="62C3B0E6" w14:textId="77777777" w:rsidR="00453C02" w:rsidRPr="006C5A1F" w:rsidRDefault="00453C02" w:rsidP="00453C02">
      <w:pPr>
        <w:autoSpaceDE w:val="0"/>
        <w:autoSpaceDN w:val="0"/>
        <w:spacing w:before="1"/>
        <w:ind w:left="544"/>
        <w:jc w:val="both"/>
        <w:rPr>
          <w:rFonts w:ascii="Cambria" w:eastAsia="Times New Roman" w:hAnsi="Cambria" w:cs="Times New Roman"/>
          <w:color w:val="221F1F"/>
          <w:sz w:val="20"/>
          <w:szCs w:val="20"/>
          <w:u w:val="single"/>
        </w:rPr>
      </w:pPr>
    </w:p>
    <w:p w14:paraId="086662D1" w14:textId="77777777" w:rsidR="00453C02" w:rsidRPr="006C5A1F" w:rsidRDefault="00453C02" w:rsidP="00453C02">
      <w:pPr>
        <w:numPr>
          <w:ilvl w:val="0"/>
          <w:numId w:val="11"/>
        </w:numPr>
        <w:autoSpaceDE w:val="0"/>
        <w:autoSpaceDN w:val="0"/>
        <w:ind w:left="426" w:hanging="426"/>
        <w:jc w:val="both"/>
        <w:rPr>
          <w:rFonts w:ascii="Cambria" w:eastAsia="Times New Roman" w:hAnsi="Cambria" w:cs="Times New Roman"/>
          <w:color w:val="221F1F"/>
          <w:sz w:val="20"/>
          <w:szCs w:val="20"/>
          <w:u w:val="single"/>
        </w:rPr>
      </w:pPr>
      <w:r w:rsidRPr="006C5A1F">
        <w:rPr>
          <w:rFonts w:ascii="Cambria" w:hAnsi="Cambria"/>
          <w:color w:val="221F1F"/>
          <w:sz w:val="20"/>
          <w:u w:val="single"/>
        </w:rPr>
        <w:t xml:space="preserve">La Secretaría de ICCAT adoptará cualquier medida para garantizar la disponibilidad del registro a través de medios electrónicos, lo que incluye su publicación en el sitio web de ICCAT, de un modo coherente con los requisitos de confidencialidad señalados por las CPC. </w:t>
      </w:r>
    </w:p>
    <w:p w14:paraId="0D8AE18D" w14:textId="77777777" w:rsidR="00453C02" w:rsidRPr="005D5654" w:rsidRDefault="00453C02" w:rsidP="00453C02">
      <w:pPr>
        <w:widowControl/>
        <w:jc w:val="both"/>
        <w:rPr>
          <w:rFonts w:ascii="Cambria" w:eastAsia="Cambria" w:hAnsi="Cambria" w:cs="Cambria"/>
          <w:color w:val="231F20"/>
          <w:sz w:val="20"/>
          <w:szCs w:val="20"/>
        </w:rPr>
      </w:pPr>
    </w:p>
    <w:p w14:paraId="58DE29B3" w14:textId="36D943C4" w:rsidR="005D5654" w:rsidRPr="005D5654" w:rsidRDefault="005D5654" w:rsidP="007D0E69">
      <w:pPr>
        <w:outlineLvl w:val="0"/>
        <w:rPr>
          <w:rFonts w:ascii="Cambria" w:eastAsia="Cambria" w:hAnsi="Cambria" w:cs="Cambria"/>
          <w:iCs/>
          <w:sz w:val="20"/>
          <w:szCs w:val="20"/>
        </w:rPr>
      </w:pPr>
      <w:bookmarkStart w:id="1" w:name="_1fob9te"/>
      <w:bookmarkEnd w:id="1"/>
      <w:r w:rsidRPr="005D5654">
        <w:rPr>
          <w:rFonts w:ascii="Cambria" w:eastAsia="Times New Roman" w:hAnsi="Cambria" w:cs="Times New Roman"/>
          <w:b/>
          <w:iCs/>
          <w:color w:val="231F20"/>
          <w:sz w:val="20"/>
          <w:szCs w:val="20"/>
        </w:rPr>
        <w:t xml:space="preserve">Investigación científica </w:t>
      </w:r>
      <w:r w:rsidR="004051AA" w:rsidRPr="006C5A1F">
        <w:rPr>
          <w:rFonts w:ascii="Cambria" w:hAnsi="Cambria"/>
          <w:b/>
          <w:color w:val="231F20"/>
          <w:sz w:val="20"/>
          <w:u w:val="single"/>
        </w:rPr>
        <w:t>y tareas para el SCRS</w:t>
      </w:r>
      <w:r w:rsidR="004051AA">
        <w:rPr>
          <w:rFonts w:ascii="Cambria" w:hAnsi="Cambria"/>
          <w:b/>
          <w:color w:val="231F20"/>
          <w:sz w:val="20"/>
          <w:u w:val="single"/>
        </w:rPr>
        <w:t xml:space="preserve"> </w:t>
      </w:r>
    </w:p>
    <w:p w14:paraId="5DF29098" w14:textId="77777777" w:rsidR="005D5654" w:rsidRPr="005D5654" w:rsidRDefault="005D5654" w:rsidP="007D0E69">
      <w:pPr>
        <w:rPr>
          <w:rFonts w:ascii="Cambria" w:eastAsia="Cambria" w:hAnsi="Cambria" w:cs="Cambria"/>
          <w:b/>
          <w:i/>
          <w:sz w:val="20"/>
          <w:szCs w:val="20"/>
        </w:rPr>
      </w:pPr>
    </w:p>
    <w:p w14:paraId="3DA1FC86" w14:textId="77777777" w:rsidR="005D5654" w:rsidRPr="005D5654" w:rsidRDefault="005D5654" w:rsidP="004051AA">
      <w:pPr>
        <w:widowControl/>
        <w:numPr>
          <w:ilvl w:val="0"/>
          <w:numId w:val="12"/>
        </w:numPr>
        <w:ind w:left="426" w:hanging="426"/>
        <w:jc w:val="both"/>
        <w:rPr>
          <w:rFonts w:ascii="Cambria" w:eastAsia="Cambria" w:hAnsi="Cambria" w:cs="Cambria"/>
          <w:sz w:val="20"/>
          <w:szCs w:val="20"/>
        </w:rPr>
      </w:pPr>
      <w:r w:rsidRPr="005D5654">
        <w:rPr>
          <w:rFonts w:ascii="Cambria" w:hAnsi="Cambria"/>
          <w:color w:val="231F20"/>
          <w:sz w:val="20"/>
          <w:szCs w:val="20"/>
        </w:rPr>
        <w:t xml:space="preserve">Canadá, Estados Unidos, Japón, México y, cuando proceda, otras CPC que capturan atún rojo del Atlántico occidental continuarán colaborando para mejorar los índices de abundancia existentes y para desarrollar nuevos índices combinados. </w:t>
      </w:r>
    </w:p>
    <w:p w14:paraId="0A616A56" w14:textId="77777777" w:rsidR="005D5654" w:rsidRPr="005D5654" w:rsidRDefault="005D5654" w:rsidP="007D0E69">
      <w:pPr>
        <w:rPr>
          <w:rFonts w:ascii="Cambria" w:eastAsia="Cambria" w:hAnsi="Cambria" w:cs="Cambria"/>
          <w:sz w:val="20"/>
          <w:szCs w:val="20"/>
        </w:rPr>
      </w:pPr>
    </w:p>
    <w:p w14:paraId="56392DEC" w14:textId="77777777" w:rsidR="005D5654" w:rsidRPr="005D5654" w:rsidRDefault="005D5654" w:rsidP="004051AA">
      <w:pPr>
        <w:widowControl/>
        <w:numPr>
          <w:ilvl w:val="0"/>
          <w:numId w:val="12"/>
        </w:numPr>
        <w:ind w:left="425" w:hanging="425"/>
        <w:jc w:val="both"/>
        <w:rPr>
          <w:rFonts w:ascii="Cambria" w:eastAsia="Cambria" w:hAnsi="Cambria" w:cs="Cambria"/>
          <w:sz w:val="20"/>
          <w:szCs w:val="20"/>
        </w:rPr>
      </w:pPr>
      <w:r w:rsidRPr="005D5654">
        <w:rPr>
          <w:rFonts w:ascii="Cambria" w:hAnsi="Cambria"/>
          <w:color w:val="231F20"/>
          <w:sz w:val="20"/>
          <w:szCs w:val="20"/>
        </w:rPr>
        <w:t>Las CPC que capturan atún rojo del Atlántico en el Atlántico occidental deberían hacer todos los esfuerzos posibles para contribuir a las actividades de investigación prioritarias y a otras actividades científicas, lo que incluye las que se están llevando a cabo en el marco del GBYP de ICCAT o en colaboración con dicho programa.</w:t>
      </w:r>
      <w:r w:rsidRPr="005D5654">
        <w:rPr>
          <w:rFonts w:ascii="Cambria" w:eastAsia="Cambria" w:hAnsi="Cambria" w:cs="Cambria"/>
          <w:sz w:val="20"/>
          <w:szCs w:val="20"/>
        </w:rPr>
        <w:t xml:space="preserve"> </w:t>
      </w:r>
      <w:r w:rsidRPr="005D5654">
        <w:rPr>
          <w:rFonts w:ascii="Cambria" w:hAnsi="Cambria"/>
          <w:color w:val="231F20"/>
          <w:sz w:val="20"/>
          <w:szCs w:val="20"/>
        </w:rPr>
        <w:t>Con el fin de facilitar el recondicionamiento de los modelos operativos de la MSE y apoyar la revisión del MP desde ahora hasta 2028, las CPC deberían apoyar al SCRS en la realización de las cuatro iniciativas estratégicas identificadas en el informe del SCRS:</w:t>
      </w:r>
    </w:p>
    <w:p w14:paraId="6AA397EA" w14:textId="77777777" w:rsidR="005D5654" w:rsidRPr="005D5654" w:rsidRDefault="005D5654" w:rsidP="007D0E69">
      <w:pPr>
        <w:widowControl/>
        <w:ind w:left="720"/>
        <w:jc w:val="both"/>
        <w:rPr>
          <w:rFonts w:ascii="Cambria" w:eastAsia="Cambria" w:hAnsi="Cambria" w:cs="Cambria"/>
          <w:sz w:val="20"/>
          <w:szCs w:val="20"/>
          <w:lang w:eastAsia="ja-JP"/>
        </w:rPr>
      </w:pPr>
    </w:p>
    <w:p w14:paraId="2107DC67" w14:textId="77777777" w:rsidR="005D5654" w:rsidRPr="005D5654" w:rsidRDefault="005D5654" w:rsidP="007D0E69">
      <w:pPr>
        <w:widowControl/>
        <w:numPr>
          <w:ilvl w:val="0"/>
          <w:numId w:val="7"/>
        </w:numPr>
        <w:autoSpaceDE w:val="0"/>
        <w:autoSpaceDN w:val="0"/>
        <w:adjustRightInd w:val="0"/>
        <w:ind w:left="851" w:hanging="425"/>
        <w:jc w:val="both"/>
        <w:rPr>
          <w:rFonts w:ascii="Cambria" w:hAnsi="Cambria"/>
          <w:sz w:val="20"/>
        </w:rPr>
      </w:pPr>
      <w:r w:rsidRPr="005D5654">
        <w:rPr>
          <w:rFonts w:ascii="Cambria" w:hAnsi="Cambria" w:cs="Cambria"/>
          <w:sz w:val="20"/>
          <w:szCs w:val="20"/>
        </w:rPr>
        <w:t>coordinación del marcado del atún rojo,</w:t>
      </w:r>
    </w:p>
    <w:p w14:paraId="459F2094" w14:textId="77777777" w:rsidR="005D5654" w:rsidRPr="005D5654" w:rsidRDefault="005D5654" w:rsidP="007D0E69">
      <w:pPr>
        <w:widowControl/>
        <w:numPr>
          <w:ilvl w:val="0"/>
          <w:numId w:val="7"/>
        </w:numPr>
        <w:autoSpaceDE w:val="0"/>
        <w:autoSpaceDN w:val="0"/>
        <w:adjustRightInd w:val="0"/>
        <w:ind w:left="851" w:hanging="425"/>
        <w:jc w:val="both"/>
        <w:rPr>
          <w:rFonts w:ascii="Cambria" w:hAnsi="Cambria"/>
          <w:sz w:val="20"/>
        </w:rPr>
      </w:pPr>
      <w:r w:rsidRPr="005D5654">
        <w:rPr>
          <w:rFonts w:ascii="Cambria" w:hAnsi="Cambria"/>
          <w:sz w:val="20"/>
        </w:rPr>
        <w:t>coordinación de prospecciones de larvas,</w:t>
      </w:r>
    </w:p>
    <w:p w14:paraId="04B19A59" w14:textId="77777777" w:rsidR="005D5654" w:rsidRPr="005D5654" w:rsidRDefault="005D5654" w:rsidP="007D0E69">
      <w:pPr>
        <w:widowControl/>
        <w:numPr>
          <w:ilvl w:val="0"/>
          <w:numId w:val="7"/>
        </w:numPr>
        <w:autoSpaceDE w:val="0"/>
        <w:autoSpaceDN w:val="0"/>
        <w:adjustRightInd w:val="0"/>
        <w:ind w:left="851" w:hanging="425"/>
        <w:jc w:val="both"/>
        <w:rPr>
          <w:rFonts w:ascii="Cambria" w:hAnsi="Cambria"/>
          <w:sz w:val="20"/>
        </w:rPr>
      </w:pPr>
      <w:r w:rsidRPr="005D5654">
        <w:rPr>
          <w:rFonts w:ascii="Cambria" w:hAnsi="Cambria"/>
          <w:sz w:val="20"/>
        </w:rPr>
        <w:t>coordinación del muestreo biológico del atún rojo y</w:t>
      </w:r>
    </w:p>
    <w:p w14:paraId="2C7AEDDF" w14:textId="77777777" w:rsidR="005D5654" w:rsidRPr="005D5654" w:rsidRDefault="005D5654" w:rsidP="007D0E69">
      <w:pPr>
        <w:widowControl/>
        <w:numPr>
          <w:ilvl w:val="0"/>
          <w:numId w:val="7"/>
        </w:numPr>
        <w:autoSpaceDE w:val="0"/>
        <w:autoSpaceDN w:val="0"/>
        <w:adjustRightInd w:val="0"/>
        <w:ind w:left="851" w:hanging="425"/>
        <w:jc w:val="both"/>
        <w:rPr>
          <w:rFonts w:ascii="Cambria" w:hAnsi="Cambria"/>
          <w:sz w:val="20"/>
        </w:rPr>
      </w:pPr>
      <w:r w:rsidRPr="005D5654">
        <w:rPr>
          <w:rFonts w:ascii="Cambria" w:hAnsi="Cambria"/>
          <w:sz w:val="20"/>
        </w:rPr>
        <w:t>enfoques genómicos avanzados respecto a la estimación del tamaño de la población (CKMR/marcado genético).</w:t>
      </w:r>
    </w:p>
    <w:p w14:paraId="03045DEE" w14:textId="77777777" w:rsidR="005D5654" w:rsidRPr="005D5654" w:rsidRDefault="005D5654" w:rsidP="007D0E69">
      <w:pPr>
        <w:widowControl/>
        <w:autoSpaceDE w:val="0"/>
        <w:autoSpaceDN w:val="0"/>
        <w:adjustRightInd w:val="0"/>
        <w:ind w:left="540"/>
        <w:rPr>
          <w:rFonts w:ascii="Cambria" w:hAnsi="Cambria"/>
          <w:sz w:val="20"/>
        </w:rPr>
      </w:pPr>
    </w:p>
    <w:p w14:paraId="599425BD" w14:textId="17C8EA32" w:rsidR="005D5654" w:rsidRPr="005D5654" w:rsidRDefault="005D5654" w:rsidP="004051AA">
      <w:pPr>
        <w:widowControl/>
        <w:numPr>
          <w:ilvl w:val="0"/>
          <w:numId w:val="12"/>
        </w:numPr>
        <w:ind w:left="425" w:hanging="425"/>
        <w:jc w:val="both"/>
        <w:rPr>
          <w:rFonts w:ascii="Cambria" w:hAnsi="Cambria"/>
          <w:color w:val="231F20"/>
          <w:sz w:val="20"/>
        </w:rPr>
      </w:pPr>
      <w:r w:rsidRPr="005D5654">
        <w:rPr>
          <w:rFonts w:ascii="Cambria" w:hAnsi="Cambria"/>
          <w:color w:val="231F20"/>
          <w:sz w:val="20"/>
        </w:rPr>
        <w:t xml:space="preserve">Al llevar a cabo el trabajo especificado en el párrafo </w:t>
      </w:r>
      <w:r w:rsidR="00F95C82" w:rsidRPr="006C5A1F">
        <w:rPr>
          <w:rFonts w:ascii="Cambria" w:hAnsi="Cambria"/>
          <w:color w:val="231F20"/>
          <w:sz w:val="20"/>
          <w:u w:val="single"/>
        </w:rPr>
        <w:t>5</w:t>
      </w:r>
      <w:r w:rsidRPr="006C5A1F">
        <w:rPr>
          <w:rFonts w:ascii="Cambria" w:hAnsi="Cambria"/>
          <w:color w:val="231F20"/>
          <w:sz w:val="20"/>
          <w:u w:val="single"/>
        </w:rPr>
        <w:t>4</w:t>
      </w:r>
      <w:r w:rsidRPr="006C5A1F">
        <w:rPr>
          <w:rFonts w:ascii="Cambria" w:hAnsi="Cambria"/>
          <w:color w:val="231F20"/>
          <w:sz w:val="20"/>
        </w:rPr>
        <w:t>,</w:t>
      </w:r>
      <w:r w:rsidRPr="005D5654">
        <w:rPr>
          <w:rFonts w:ascii="Cambria" w:hAnsi="Cambria"/>
          <w:color w:val="231F20"/>
          <w:sz w:val="20"/>
        </w:rPr>
        <w:t xml:space="preserve"> como contribución a la investigación del SCRS, las CPC deberían realizar o continuar los esfuerzos especiales para mejorar el muestreo de las pesquerías de atún rojo del Atlántico, lo que incluye: proporcionar información sobre la talla y/o el peso de </w:t>
      </w:r>
      <w:r w:rsidRPr="005D5654">
        <w:rPr>
          <w:rFonts w:ascii="Cambria" w:hAnsi="Cambria"/>
          <w:color w:val="231F20"/>
          <w:sz w:val="20"/>
          <w:szCs w:val="20"/>
        </w:rPr>
        <w:t>los</w:t>
      </w:r>
      <w:r w:rsidRPr="005D5654">
        <w:rPr>
          <w:rFonts w:ascii="Cambria" w:hAnsi="Cambria"/>
          <w:color w:val="231F20"/>
          <w:sz w:val="20"/>
        </w:rPr>
        <w:t xml:space="preserve"> peces por flota, mes y zona; y la recopilación de muestras biológicas, lo que incluye tejidos y otolitos, que son fundamentales para los análisis genéticos de marcado y recuperación de ejemplares de parentesco estrecho y de stock de origen.</w:t>
      </w:r>
    </w:p>
    <w:p w14:paraId="237898EF" w14:textId="77777777" w:rsidR="005D5654" w:rsidRPr="005D5654" w:rsidRDefault="005D5654" w:rsidP="007D0E69">
      <w:pPr>
        <w:tabs>
          <w:tab w:val="left" w:pos="528"/>
        </w:tabs>
        <w:jc w:val="both"/>
        <w:rPr>
          <w:rFonts w:ascii="Cambria" w:eastAsia="Cambria" w:hAnsi="Cambria" w:cs="Cambria"/>
          <w:color w:val="231F20"/>
          <w:sz w:val="20"/>
          <w:szCs w:val="20"/>
        </w:rPr>
      </w:pPr>
    </w:p>
    <w:p w14:paraId="08562F2B" w14:textId="2C8DB27D" w:rsidR="005D5654" w:rsidRPr="006C5A1F" w:rsidRDefault="004051AA" w:rsidP="004051AA">
      <w:pPr>
        <w:widowControl/>
        <w:jc w:val="both"/>
        <w:rPr>
          <w:rFonts w:ascii="Cambria" w:eastAsia="Cambria" w:hAnsi="Cambria" w:cs="Cambria"/>
          <w:color w:val="231F20"/>
          <w:sz w:val="20"/>
          <w:szCs w:val="20"/>
        </w:rPr>
      </w:pPr>
      <w:r w:rsidRPr="006C5A1F">
        <w:rPr>
          <w:rFonts w:ascii="Cambria" w:hAnsi="Cambria"/>
          <w:color w:val="231F20"/>
          <w:sz w:val="20"/>
          <w:szCs w:val="20"/>
        </w:rPr>
        <w:t>[…]</w:t>
      </w:r>
    </w:p>
    <w:p w14:paraId="0A753624" w14:textId="77777777" w:rsidR="004051AA" w:rsidRPr="005D5654" w:rsidRDefault="004051AA" w:rsidP="004051AA">
      <w:pPr>
        <w:widowControl/>
        <w:jc w:val="both"/>
        <w:rPr>
          <w:rFonts w:ascii="Cambria" w:eastAsia="Cambria" w:hAnsi="Cambria" w:cs="Cambria"/>
          <w:color w:val="231F20"/>
          <w:sz w:val="20"/>
          <w:szCs w:val="20"/>
        </w:rPr>
      </w:pPr>
      <w:r w:rsidRPr="006C5A1F">
        <w:rPr>
          <w:rFonts w:ascii="Cambria" w:hAnsi="Cambria"/>
          <w:color w:val="231F20"/>
          <w:sz w:val="20"/>
          <w:szCs w:val="20"/>
        </w:rPr>
        <w:t>[…]</w:t>
      </w:r>
    </w:p>
    <w:p w14:paraId="6D5C4116" w14:textId="77777777" w:rsidR="005D5654" w:rsidRPr="005D5654" w:rsidRDefault="005D5654" w:rsidP="007D0E69">
      <w:pPr>
        <w:tabs>
          <w:tab w:val="left" w:pos="528"/>
        </w:tabs>
        <w:jc w:val="both"/>
        <w:rPr>
          <w:rFonts w:ascii="Cambria" w:eastAsia="Cambria" w:hAnsi="Cambria" w:cs="Cambria"/>
          <w:i/>
          <w:color w:val="231F20"/>
          <w:sz w:val="20"/>
          <w:szCs w:val="20"/>
        </w:rPr>
      </w:pPr>
    </w:p>
    <w:p w14:paraId="0739D93D" w14:textId="006D3BCD" w:rsidR="005D5654" w:rsidRPr="005D5654" w:rsidRDefault="005D5654" w:rsidP="004051AA">
      <w:pPr>
        <w:widowControl/>
        <w:numPr>
          <w:ilvl w:val="0"/>
          <w:numId w:val="12"/>
        </w:numPr>
        <w:ind w:left="425" w:hanging="425"/>
        <w:jc w:val="both"/>
        <w:rPr>
          <w:rFonts w:ascii="Cambria" w:eastAsia="Cambria" w:hAnsi="Cambria" w:cs="Cambria"/>
          <w:color w:val="231F20"/>
          <w:sz w:val="20"/>
          <w:szCs w:val="20"/>
        </w:rPr>
      </w:pPr>
      <w:r w:rsidRPr="005D5654">
        <w:rPr>
          <w:rFonts w:ascii="Cambria" w:hAnsi="Cambria"/>
          <w:color w:val="231F20"/>
          <w:sz w:val="20"/>
          <w:szCs w:val="20"/>
        </w:rPr>
        <w:t>En relación con el párraf</w:t>
      </w:r>
      <w:r w:rsidRPr="006C5A1F">
        <w:rPr>
          <w:rFonts w:ascii="Cambria" w:hAnsi="Cambria"/>
          <w:color w:val="231F20"/>
          <w:sz w:val="20"/>
          <w:szCs w:val="20"/>
        </w:rPr>
        <w:t xml:space="preserve">o </w:t>
      </w:r>
      <w:r w:rsidR="004051AA" w:rsidRPr="006C5A1F">
        <w:rPr>
          <w:rFonts w:ascii="Cambria" w:hAnsi="Cambria"/>
          <w:color w:val="231F20"/>
          <w:sz w:val="20"/>
          <w:szCs w:val="20"/>
          <w:u w:val="single"/>
        </w:rPr>
        <w:t>16</w:t>
      </w:r>
      <w:r w:rsidRPr="006C5A1F">
        <w:rPr>
          <w:rFonts w:ascii="Cambria" w:hAnsi="Cambria"/>
          <w:color w:val="231F20"/>
          <w:sz w:val="20"/>
          <w:szCs w:val="20"/>
        </w:rPr>
        <w:t>, el</w:t>
      </w:r>
      <w:r w:rsidRPr="005D5654">
        <w:rPr>
          <w:rFonts w:ascii="Cambria" w:hAnsi="Cambria"/>
          <w:color w:val="231F20"/>
          <w:sz w:val="20"/>
          <w:szCs w:val="20"/>
        </w:rPr>
        <w:t xml:space="preserve"> SCRS revisará cualquier nueva información disponible relacionada con la identificación de zonas y periodos específicos de reproducción del atún rojo dentro del océano Atlántico occidental, lo que incluye la información procedente de aquellas CPC que capturan atún rojo del Atlántico occidental, e informará a la Comisión sobre los resultados de esta revisión para su consideración. Se insta a las CPC afectadas a trabajar, a través del SCRS, con el fin de desarrollar un asesoramiento con miras a gestionar cualquier periodo identificado y zonas específicas en el marco de un enfoque precautorio. Además, el SCRS asesorará sobre la eficacia de la restricción de la pesca dirigida en el golfo de México para reducir la mortalidad del atún rojo en edad de reproducción.</w:t>
      </w:r>
    </w:p>
    <w:p w14:paraId="514FB088" w14:textId="77777777" w:rsidR="005D5654" w:rsidRPr="005D5654" w:rsidRDefault="005D5654" w:rsidP="007D0E69">
      <w:pPr>
        <w:rPr>
          <w:rFonts w:ascii="Cambria" w:eastAsia="Cambria" w:hAnsi="Cambria" w:cs="Cambria"/>
          <w:sz w:val="16"/>
          <w:szCs w:val="16"/>
        </w:rPr>
      </w:pPr>
    </w:p>
    <w:p w14:paraId="3F4C9E51" w14:textId="77777777" w:rsidR="004051AA" w:rsidRPr="006C5A1F" w:rsidRDefault="004051AA" w:rsidP="004051AA">
      <w:pPr>
        <w:widowControl/>
        <w:jc w:val="both"/>
        <w:rPr>
          <w:rFonts w:ascii="Cambria" w:eastAsia="Cambria" w:hAnsi="Cambria" w:cs="Cambria"/>
          <w:color w:val="231F20"/>
          <w:sz w:val="20"/>
          <w:szCs w:val="20"/>
        </w:rPr>
      </w:pPr>
      <w:r w:rsidRPr="006C5A1F">
        <w:rPr>
          <w:rFonts w:ascii="Cambria" w:hAnsi="Cambria"/>
          <w:color w:val="231F20"/>
          <w:sz w:val="20"/>
          <w:szCs w:val="20"/>
        </w:rPr>
        <w:t>[…]</w:t>
      </w:r>
    </w:p>
    <w:p w14:paraId="79626B0E" w14:textId="77777777" w:rsidR="004051AA" w:rsidRPr="005D5654" w:rsidRDefault="004051AA" w:rsidP="004051AA">
      <w:pPr>
        <w:widowControl/>
        <w:jc w:val="both"/>
        <w:rPr>
          <w:rFonts w:ascii="Cambria" w:eastAsia="Cambria" w:hAnsi="Cambria" w:cs="Cambria"/>
          <w:color w:val="231F20"/>
          <w:sz w:val="20"/>
          <w:szCs w:val="20"/>
        </w:rPr>
      </w:pPr>
      <w:r w:rsidRPr="006C5A1F">
        <w:rPr>
          <w:rFonts w:ascii="Cambria" w:hAnsi="Cambria"/>
          <w:color w:val="231F20"/>
          <w:sz w:val="20"/>
          <w:szCs w:val="20"/>
        </w:rPr>
        <w:t>[…]</w:t>
      </w:r>
    </w:p>
    <w:p w14:paraId="176473D5" w14:textId="77777777" w:rsidR="005D5654" w:rsidRPr="005D5654" w:rsidRDefault="005D5654" w:rsidP="004051AA">
      <w:pPr>
        <w:widowControl/>
        <w:jc w:val="both"/>
        <w:rPr>
          <w:rFonts w:ascii="Cambria" w:eastAsia="Cambria" w:hAnsi="Cambria" w:cs="Cambria"/>
          <w:sz w:val="20"/>
          <w:szCs w:val="20"/>
          <w:lang w:eastAsia="ja-JP"/>
        </w:rPr>
      </w:pPr>
    </w:p>
    <w:p w14:paraId="03BC7CF0" w14:textId="77777777" w:rsidR="005D5654" w:rsidRPr="005D5654" w:rsidRDefault="005D5654" w:rsidP="004051AA">
      <w:pPr>
        <w:widowControl/>
        <w:numPr>
          <w:ilvl w:val="0"/>
          <w:numId w:val="12"/>
        </w:numPr>
        <w:ind w:left="425" w:hanging="425"/>
        <w:jc w:val="both"/>
        <w:rPr>
          <w:rFonts w:ascii="Cambria" w:hAnsi="Cambria"/>
          <w:color w:val="231F20"/>
          <w:sz w:val="20"/>
          <w:szCs w:val="20"/>
        </w:rPr>
      </w:pPr>
      <w:r w:rsidRPr="005D5654">
        <w:rPr>
          <w:rFonts w:ascii="Cambria" w:hAnsi="Cambria"/>
          <w:color w:val="231F20"/>
          <w:sz w:val="20"/>
          <w:szCs w:val="20"/>
        </w:rPr>
        <w:t>Todas las CPC facilitarán los mejores datos de que dispongan para la evaluación del stock del SCRS, incluyendo información sobre capturas del rango más amplio de todas las clases de edad que se encuentren en sus pesquerías, de acuerdo con las restricciones sobre talla mínima.</w:t>
      </w:r>
    </w:p>
    <w:p w14:paraId="7111AC65" w14:textId="77777777" w:rsidR="005D5654" w:rsidRPr="005D5654" w:rsidRDefault="005D5654" w:rsidP="007D0E69">
      <w:pPr>
        <w:tabs>
          <w:tab w:val="left" w:pos="530"/>
        </w:tabs>
        <w:ind w:left="528"/>
        <w:jc w:val="both"/>
        <w:rPr>
          <w:rFonts w:ascii="Cambria" w:hAnsi="Cambria"/>
          <w:color w:val="231F20"/>
          <w:sz w:val="20"/>
          <w:szCs w:val="20"/>
        </w:rPr>
      </w:pPr>
    </w:p>
    <w:p w14:paraId="4E0F9B26" w14:textId="77777777" w:rsidR="005D5654" w:rsidRPr="005D5654" w:rsidRDefault="005D5654" w:rsidP="007D0E69">
      <w:pPr>
        <w:tabs>
          <w:tab w:val="left" w:pos="530"/>
        </w:tabs>
        <w:ind w:left="528"/>
        <w:jc w:val="both"/>
        <w:rPr>
          <w:rFonts w:ascii="Cambria" w:hAnsi="Cambria"/>
          <w:color w:val="231F20"/>
          <w:sz w:val="20"/>
          <w:szCs w:val="20"/>
        </w:rPr>
      </w:pPr>
    </w:p>
    <w:p w14:paraId="47BFCF68" w14:textId="77777777" w:rsidR="005D5654" w:rsidRPr="006C5A1F" w:rsidRDefault="005D5654" w:rsidP="004051AA">
      <w:pPr>
        <w:widowControl/>
        <w:numPr>
          <w:ilvl w:val="0"/>
          <w:numId w:val="12"/>
        </w:numPr>
        <w:ind w:left="425" w:hanging="425"/>
        <w:jc w:val="both"/>
        <w:rPr>
          <w:rFonts w:ascii="Cambria" w:eastAsia="Cambria" w:hAnsi="Cambria" w:cs="Cambria"/>
          <w:sz w:val="20"/>
          <w:szCs w:val="20"/>
        </w:rPr>
      </w:pPr>
      <w:r w:rsidRPr="005D5654">
        <w:rPr>
          <w:rFonts w:ascii="Cambria" w:hAnsi="Cambria"/>
          <w:color w:val="231F20"/>
          <w:sz w:val="20"/>
          <w:szCs w:val="20"/>
        </w:rPr>
        <w:t xml:space="preserve">El SCRS debería proporcionar orientaciones sobre una gama de medidas de ordenación relacionadas con la talla de los peces para el atún rojo del Atlántico occidental y sobre su impacto en las consideraciones sobre rendimiento por recluta y reproductor por recluta. El SCRS debería comentar también el efecto de las medidas de ordenación relacionadas con la talla de los peces en su capacidad </w:t>
      </w:r>
      <w:r w:rsidRPr="006C5A1F">
        <w:rPr>
          <w:rFonts w:ascii="Cambria" w:hAnsi="Cambria"/>
          <w:color w:val="231F20"/>
          <w:sz w:val="20"/>
          <w:szCs w:val="20"/>
        </w:rPr>
        <w:t>de hacer un seguimiento del estado del stock.</w:t>
      </w:r>
    </w:p>
    <w:p w14:paraId="38572016" w14:textId="77777777" w:rsidR="00F95C82" w:rsidRPr="006C5A1F" w:rsidRDefault="00F95C82" w:rsidP="007D0E69">
      <w:pPr>
        <w:ind w:right="129"/>
        <w:jc w:val="both"/>
        <w:rPr>
          <w:rFonts w:ascii="Cambria" w:eastAsia="Cambria" w:hAnsi="Cambria" w:cs="Cambria"/>
          <w:sz w:val="20"/>
          <w:szCs w:val="20"/>
        </w:rPr>
      </w:pPr>
    </w:p>
    <w:p w14:paraId="24849104" w14:textId="093B05B8" w:rsidR="005D5654" w:rsidRDefault="00F95C82" w:rsidP="007D0E69">
      <w:pPr>
        <w:ind w:right="129"/>
        <w:jc w:val="both"/>
        <w:rPr>
          <w:rFonts w:ascii="Cambria" w:eastAsia="Cambria" w:hAnsi="Cambria" w:cs="Cambria"/>
          <w:sz w:val="20"/>
          <w:szCs w:val="20"/>
        </w:rPr>
      </w:pPr>
      <w:r w:rsidRPr="006C5A1F">
        <w:rPr>
          <w:rFonts w:ascii="Cambria" w:eastAsia="Cambria" w:hAnsi="Cambria" w:cs="Cambria"/>
          <w:sz w:val="20"/>
          <w:szCs w:val="20"/>
        </w:rPr>
        <w:t>[…]</w:t>
      </w:r>
    </w:p>
    <w:p w14:paraId="08F7105A" w14:textId="77777777" w:rsidR="00F95C82" w:rsidRPr="005D5654" w:rsidRDefault="00F95C82" w:rsidP="007D0E69">
      <w:pPr>
        <w:ind w:right="129"/>
        <w:jc w:val="both"/>
        <w:rPr>
          <w:rFonts w:ascii="Cambria" w:eastAsia="Cambria" w:hAnsi="Cambria" w:cs="Cambria"/>
          <w:sz w:val="20"/>
          <w:szCs w:val="20"/>
        </w:rPr>
      </w:pPr>
    </w:p>
    <w:p w14:paraId="74F71ACC" w14:textId="77777777" w:rsidR="004051AA" w:rsidRPr="006C5A1F" w:rsidRDefault="004051AA" w:rsidP="004051AA">
      <w:pPr>
        <w:rPr>
          <w:rFonts w:ascii="Cambria" w:eastAsia="Times New Roman" w:hAnsi="Cambria" w:cs="Times New Roman"/>
          <w:b/>
          <w:bCs/>
          <w:sz w:val="20"/>
          <w:szCs w:val="20"/>
          <w:u w:val="single"/>
        </w:rPr>
      </w:pPr>
      <w:r w:rsidRPr="006C5A1F">
        <w:rPr>
          <w:rFonts w:ascii="Cambria" w:hAnsi="Cambria"/>
          <w:b/>
          <w:sz w:val="20"/>
          <w:u w:val="single"/>
        </w:rPr>
        <w:t xml:space="preserve">Requisitos de registro y de comunicación de información </w:t>
      </w:r>
    </w:p>
    <w:p w14:paraId="46CBF806" w14:textId="77777777" w:rsidR="004051AA" w:rsidRPr="000B4A08" w:rsidRDefault="004051AA" w:rsidP="004051AA">
      <w:pPr>
        <w:autoSpaceDE w:val="0"/>
        <w:autoSpaceDN w:val="0"/>
        <w:spacing w:before="1"/>
        <w:ind w:left="117"/>
        <w:jc w:val="both"/>
        <w:rPr>
          <w:rFonts w:ascii="Cambria" w:eastAsia="Times New Roman" w:hAnsi="Cambria" w:cs="Times New Roman"/>
          <w:color w:val="231F20"/>
          <w:sz w:val="20"/>
          <w:szCs w:val="19"/>
          <w:highlight w:val="yellow"/>
          <w:u w:val="single"/>
        </w:rPr>
      </w:pPr>
    </w:p>
    <w:p w14:paraId="19F6D805" w14:textId="77777777" w:rsidR="004051AA" w:rsidRPr="000C578A" w:rsidRDefault="004051AA" w:rsidP="004051AA">
      <w:pPr>
        <w:numPr>
          <w:ilvl w:val="0"/>
          <w:numId w:val="13"/>
        </w:numPr>
        <w:autoSpaceDE w:val="0"/>
        <w:autoSpaceDN w:val="0"/>
        <w:ind w:left="426" w:hanging="426"/>
        <w:jc w:val="both"/>
        <w:rPr>
          <w:rFonts w:ascii="Cambria" w:eastAsia="Times New Roman" w:hAnsi="Cambria" w:cs="Times New Roman"/>
          <w:color w:val="231F20"/>
          <w:sz w:val="20"/>
          <w:szCs w:val="19"/>
          <w:u w:val="single"/>
        </w:rPr>
      </w:pPr>
      <w:r w:rsidRPr="000C578A">
        <w:rPr>
          <w:rFonts w:ascii="Cambria" w:hAnsi="Cambria"/>
          <w:color w:val="231F20"/>
          <w:sz w:val="20"/>
          <w:u w:val="single"/>
        </w:rPr>
        <w:t>Todas las CPC realizarán un seguimiento e informarán acerca de todas las fuentes de mortalidad por pesca, lo que incluye los descartes de peces muertos, y reducirán al mínimo estos descartes en la medida de lo posible.</w:t>
      </w:r>
    </w:p>
    <w:p w14:paraId="2DCA097D" w14:textId="77777777" w:rsidR="004051AA" w:rsidRPr="000B4A08" w:rsidRDefault="004051AA" w:rsidP="004051AA">
      <w:pPr>
        <w:autoSpaceDE w:val="0"/>
        <w:autoSpaceDN w:val="0"/>
        <w:spacing w:before="1"/>
        <w:ind w:left="117"/>
        <w:jc w:val="both"/>
        <w:rPr>
          <w:rFonts w:ascii="Cambria" w:eastAsia="Times New Roman" w:hAnsi="Cambria" w:cs="Times New Roman"/>
          <w:color w:val="231F20"/>
          <w:sz w:val="20"/>
          <w:szCs w:val="19"/>
          <w:highlight w:val="yellow"/>
          <w:u w:val="single"/>
        </w:rPr>
      </w:pPr>
    </w:p>
    <w:p w14:paraId="3ADAD9CD" w14:textId="77777777" w:rsidR="004051AA" w:rsidRPr="007B6EC6" w:rsidRDefault="004051AA" w:rsidP="004051AA">
      <w:pPr>
        <w:numPr>
          <w:ilvl w:val="0"/>
          <w:numId w:val="13"/>
        </w:numPr>
        <w:autoSpaceDE w:val="0"/>
        <w:autoSpaceDN w:val="0"/>
        <w:ind w:left="426" w:hanging="426"/>
        <w:jc w:val="both"/>
        <w:rPr>
          <w:rFonts w:ascii="Cambria" w:eastAsia="Times New Roman" w:hAnsi="Cambria" w:cs="Times New Roman"/>
          <w:color w:val="231F20"/>
          <w:sz w:val="20"/>
          <w:szCs w:val="19"/>
          <w:u w:val="single"/>
        </w:rPr>
      </w:pPr>
      <w:r w:rsidRPr="007B6EC6">
        <w:rPr>
          <w:rFonts w:ascii="Cambria" w:hAnsi="Cambria"/>
          <w:color w:val="231F20"/>
          <w:sz w:val="20"/>
          <w:u w:val="single"/>
        </w:rPr>
        <w:t xml:space="preserve">Cada CPC se asegurará de que sus buques pesqueros que desembarcan atún rojo están sujetos a un sistema de recopilación de datos, de conformidad con la </w:t>
      </w:r>
      <w:r w:rsidRPr="007B6EC6">
        <w:rPr>
          <w:rFonts w:ascii="Cambria" w:hAnsi="Cambria"/>
          <w:i/>
          <w:color w:val="231F20"/>
          <w:sz w:val="20"/>
          <w:u w:val="single"/>
        </w:rPr>
        <w:t>Recomendación de ICCAT sobre el registro de capturas realizadas por barcos pesqueros en la zona del Convenio ICCAT</w:t>
      </w:r>
      <w:r w:rsidRPr="007B6EC6">
        <w:rPr>
          <w:rFonts w:ascii="Cambria" w:hAnsi="Cambria"/>
          <w:color w:val="231F20"/>
          <w:sz w:val="20"/>
          <w:u w:val="single"/>
        </w:rPr>
        <w:t xml:space="preserve"> (Rec. 03-13)</w:t>
      </w:r>
    </w:p>
    <w:p w14:paraId="78E25BB2" w14:textId="77777777" w:rsidR="004051AA" w:rsidRPr="000B4A08" w:rsidRDefault="004051AA" w:rsidP="004051AA">
      <w:pPr>
        <w:ind w:left="720"/>
        <w:contextualSpacing/>
        <w:rPr>
          <w:rFonts w:ascii="Cambria" w:hAnsi="Cambria"/>
          <w:color w:val="231F20"/>
          <w:sz w:val="20"/>
          <w:highlight w:val="yellow"/>
          <w:u w:val="single"/>
        </w:rPr>
      </w:pPr>
    </w:p>
    <w:p w14:paraId="1EE4ADC8" w14:textId="66F7435F" w:rsidR="004051AA" w:rsidRPr="007B6EC6" w:rsidRDefault="004051AA" w:rsidP="004051AA">
      <w:pPr>
        <w:numPr>
          <w:ilvl w:val="0"/>
          <w:numId w:val="13"/>
        </w:numPr>
        <w:autoSpaceDE w:val="0"/>
        <w:autoSpaceDN w:val="0"/>
        <w:spacing w:before="1"/>
        <w:ind w:left="426" w:hanging="426"/>
        <w:jc w:val="both"/>
        <w:rPr>
          <w:rFonts w:ascii="Cambria" w:eastAsia="Times New Roman" w:hAnsi="Cambria" w:cs="Times New Roman"/>
          <w:sz w:val="20"/>
          <w:szCs w:val="20"/>
          <w:u w:val="single"/>
        </w:rPr>
      </w:pPr>
      <w:r w:rsidRPr="007B6EC6">
        <w:rPr>
          <w:rFonts w:ascii="Cambria" w:hAnsi="Cambria"/>
          <w:sz w:val="20"/>
          <w:u w:val="single"/>
        </w:rPr>
        <w:t xml:space="preserve">Los patrones de los buques de captura deben mantener un cuaderno de pesca electrónico o encuadernado para consignar sus operaciones de conformidad con las disposiciones previstas en el </w:t>
      </w:r>
      <w:r w:rsidRPr="002E5E77">
        <w:rPr>
          <w:rFonts w:ascii="Cambria" w:hAnsi="Cambria"/>
          <w:b/>
          <w:bCs/>
          <w:color w:val="231F20"/>
          <w:sz w:val="20"/>
          <w:u w:val="single"/>
        </w:rPr>
        <w:t>Anexo 2</w:t>
      </w:r>
      <w:r w:rsidRPr="007B6EC6">
        <w:rPr>
          <w:rFonts w:ascii="Cambria" w:hAnsi="Cambria"/>
          <w:color w:val="231F20"/>
          <w:sz w:val="20"/>
          <w:u w:val="single"/>
        </w:rPr>
        <w:t>.</w:t>
      </w:r>
    </w:p>
    <w:p w14:paraId="7B0E109A" w14:textId="71F2D9E7" w:rsidR="004051AA" w:rsidRPr="007B6EC6" w:rsidRDefault="004051AA" w:rsidP="004051AA">
      <w:pPr>
        <w:numPr>
          <w:ilvl w:val="0"/>
          <w:numId w:val="13"/>
        </w:numPr>
        <w:autoSpaceDE w:val="0"/>
        <w:autoSpaceDN w:val="0"/>
        <w:spacing w:before="1"/>
        <w:ind w:left="426" w:hanging="426"/>
        <w:jc w:val="both"/>
        <w:rPr>
          <w:rFonts w:ascii="Cambria" w:eastAsia="Times New Roman" w:hAnsi="Cambria" w:cs="Times New Roman"/>
          <w:color w:val="231F20"/>
          <w:sz w:val="20"/>
          <w:szCs w:val="19"/>
          <w:u w:val="single"/>
        </w:rPr>
      </w:pPr>
      <w:r w:rsidRPr="007B6EC6">
        <w:rPr>
          <w:rFonts w:ascii="Cambria" w:hAnsi="Cambria"/>
          <w:color w:val="231F20"/>
          <w:sz w:val="20"/>
          <w:u w:val="single"/>
        </w:rPr>
        <w:t xml:space="preserve">Cada CPC declarará sus capturas mensuales provisionales de atún rojo. Este informe se enviará a la Secretaría </w:t>
      </w:r>
      <w:r w:rsidR="007B6EC6">
        <w:rPr>
          <w:rFonts w:ascii="Cambria" w:hAnsi="Cambria"/>
          <w:color w:val="231F20"/>
          <w:sz w:val="20"/>
          <w:u w:val="single"/>
        </w:rPr>
        <w:t xml:space="preserve">de ICCAT </w:t>
      </w:r>
      <w:r w:rsidRPr="007B6EC6">
        <w:rPr>
          <w:rFonts w:ascii="Cambria" w:hAnsi="Cambria"/>
          <w:color w:val="231F20"/>
          <w:sz w:val="20"/>
          <w:u w:val="single"/>
        </w:rPr>
        <w:t>en los 30 días posteriores al fin del mes civil en el que se realizaron las capturas.</w:t>
      </w:r>
    </w:p>
    <w:p w14:paraId="659FDAB4" w14:textId="77777777" w:rsidR="004051AA" w:rsidRPr="000B4A08" w:rsidRDefault="004051AA" w:rsidP="004051AA">
      <w:pPr>
        <w:autoSpaceDE w:val="0"/>
        <w:autoSpaceDN w:val="0"/>
        <w:spacing w:before="1"/>
        <w:ind w:left="544"/>
        <w:jc w:val="both"/>
        <w:rPr>
          <w:rFonts w:ascii="Cambria" w:eastAsia="Times New Roman" w:hAnsi="Cambria" w:cs="Times New Roman"/>
          <w:color w:val="231F20"/>
          <w:sz w:val="20"/>
          <w:szCs w:val="19"/>
          <w:highlight w:val="yellow"/>
          <w:u w:val="single"/>
        </w:rPr>
      </w:pPr>
    </w:p>
    <w:p w14:paraId="409627D9" w14:textId="77777777" w:rsidR="004051AA" w:rsidRPr="007B6EC6" w:rsidRDefault="004051AA" w:rsidP="004051AA">
      <w:pPr>
        <w:numPr>
          <w:ilvl w:val="0"/>
          <w:numId w:val="13"/>
        </w:numPr>
        <w:autoSpaceDE w:val="0"/>
        <w:autoSpaceDN w:val="0"/>
        <w:spacing w:before="1"/>
        <w:ind w:left="426" w:hanging="426"/>
        <w:jc w:val="both"/>
        <w:rPr>
          <w:rFonts w:ascii="Cambria" w:eastAsia="Times New Roman" w:hAnsi="Cambria" w:cs="Times New Roman"/>
          <w:color w:val="231F20"/>
          <w:sz w:val="20"/>
          <w:szCs w:val="19"/>
          <w:u w:val="single"/>
        </w:rPr>
      </w:pPr>
      <w:r w:rsidRPr="007B6EC6">
        <w:rPr>
          <w:rFonts w:ascii="Cambria" w:hAnsi="Cambria"/>
          <w:color w:val="231F20"/>
          <w:sz w:val="20"/>
          <w:u w:val="single"/>
        </w:rPr>
        <w:t xml:space="preserve">La Secretaría de ICCAT, en los 10 días posteriores a las fechas límite mensuales para la recepción de las estadísticas provisionales de captura, recopilará la información recibida y la circulará entre las CPC, junto con las estadísticas de captura agregadas. </w:t>
      </w:r>
    </w:p>
    <w:p w14:paraId="5B837E5B" w14:textId="77777777" w:rsidR="004051AA" w:rsidRPr="000B4A08" w:rsidRDefault="004051AA" w:rsidP="004051AA">
      <w:pPr>
        <w:ind w:left="720"/>
        <w:contextualSpacing/>
        <w:rPr>
          <w:rFonts w:ascii="Cambria" w:hAnsi="Cambria"/>
          <w:color w:val="231F20"/>
          <w:sz w:val="20"/>
          <w:highlight w:val="yellow"/>
          <w:u w:val="single"/>
        </w:rPr>
      </w:pPr>
    </w:p>
    <w:p w14:paraId="5E9350AF" w14:textId="77777777" w:rsidR="004051AA" w:rsidRPr="007B6EC6" w:rsidRDefault="004051AA" w:rsidP="004051AA">
      <w:pPr>
        <w:numPr>
          <w:ilvl w:val="0"/>
          <w:numId w:val="13"/>
        </w:numPr>
        <w:autoSpaceDE w:val="0"/>
        <w:autoSpaceDN w:val="0"/>
        <w:spacing w:before="1"/>
        <w:ind w:left="426" w:hanging="426"/>
        <w:jc w:val="both"/>
        <w:rPr>
          <w:rFonts w:ascii="Cambria" w:eastAsia="Times New Roman" w:hAnsi="Cambria" w:cs="Times New Roman"/>
          <w:color w:val="231F20"/>
          <w:sz w:val="20"/>
          <w:szCs w:val="19"/>
          <w:u w:val="single"/>
        </w:rPr>
      </w:pPr>
      <w:r w:rsidRPr="007B6EC6">
        <w:rPr>
          <w:rFonts w:ascii="Cambria" w:hAnsi="Cambria"/>
          <w:color w:val="231F20"/>
          <w:sz w:val="20"/>
          <w:highlight w:val="cyan"/>
          <w:u w:val="single"/>
        </w:rPr>
        <w:t>Antes del 31 de julio de cada año</w:t>
      </w:r>
      <w:r w:rsidRPr="007B6EC6">
        <w:rPr>
          <w:rFonts w:ascii="Cambria" w:hAnsi="Cambria"/>
          <w:color w:val="231F20"/>
          <w:sz w:val="20"/>
          <w:u w:val="single"/>
        </w:rPr>
        <w:t>, cada CPC notificará a la Secretaría de ICCAT información detallada sobre las capturas de atún rojo realizadas en el Atlántico oeste durante el periodo de asignación de cuota anterior. Esta información incluirá:</w:t>
      </w:r>
    </w:p>
    <w:p w14:paraId="548B2B6E" w14:textId="77777777" w:rsidR="004051AA" w:rsidRPr="007B6EC6" w:rsidRDefault="004051AA" w:rsidP="004051AA">
      <w:pPr>
        <w:autoSpaceDE w:val="0"/>
        <w:autoSpaceDN w:val="0"/>
        <w:spacing w:before="1"/>
        <w:ind w:left="544"/>
        <w:jc w:val="both"/>
        <w:rPr>
          <w:rFonts w:ascii="Cambria" w:eastAsia="Times New Roman" w:hAnsi="Cambria" w:cs="Times New Roman"/>
          <w:color w:val="231F20"/>
          <w:sz w:val="20"/>
          <w:szCs w:val="19"/>
          <w:u w:val="single"/>
        </w:rPr>
      </w:pPr>
    </w:p>
    <w:p w14:paraId="7A0DFD57" w14:textId="77777777" w:rsidR="004051AA" w:rsidRPr="007B6EC6" w:rsidRDefault="004051AA" w:rsidP="004051AA">
      <w:pPr>
        <w:numPr>
          <w:ilvl w:val="1"/>
          <w:numId w:val="14"/>
        </w:numPr>
        <w:tabs>
          <w:tab w:val="left" w:pos="851"/>
        </w:tabs>
        <w:autoSpaceDE w:val="0"/>
        <w:autoSpaceDN w:val="0"/>
        <w:ind w:left="851" w:right="-1" w:hanging="425"/>
        <w:contextualSpacing/>
        <w:jc w:val="both"/>
        <w:rPr>
          <w:rFonts w:ascii="Cambria" w:hAnsi="Cambria"/>
          <w:color w:val="221F1F"/>
          <w:sz w:val="20"/>
          <w:szCs w:val="20"/>
          <w:u w:val="single"/>
        </w:rPr>
      </w:pPr>
      <w:r w:rsidRPr="007B6EC6">
        <w:rPr>
          <w:rFonts w:ascii="Cambria" w:hAnsi="Cambria"/>
          <w:color w:val="221F1F"/>
          <w:sz w:val="20"/>
          <w:u w:val="single"/>
        </w:rPr>
        <w:t>el nombre y número ICCAT de cada buque de captura;</w:t>
      </w:r>
    </w:p>
    <w:p w14:paraId="05BCDF68" w14:textId="77777777" w:rsidR="004051AA" w:rsidRPr="007B6EC6" w:rsidRDefault="004051AA" w:rsidP="004051AA">
      <w:pPr>
        <w:numPr>
          <w:ilvl w:val="1"/>
          <w:numId w:val="14"/>
        </w:numPr>
        <w:tabs>
          <w:tab w:val="left" w:pos="851"/>
        </w:tabs>
        <w:autoSpaceDE w:val="0"/>
        <w:autoSpaceDN w:val="0"/>
        <w:ind w:left="851" w:right="-1" w:hanging="425"/>
        <w:contextualSpacing/>
        <w:jc w:val="both"/>
        <w:rPr>
          <w:rFonts w:ascii="Cambria" w:hAnsi="Cambria"/>
          <w:color w:val="221F1F"/>
          <w:sz w:val="20"/>
          <w:szCs w:val="20"/>
          <w:u w:val="single"/>
        </w:rPr>
      </w:pPr>
      <w:r w:rsidRPr="007B6EC6">
        <w:rPr>
          <w:rFonts w:ascii="Cambria" w:hAnsi="Cambria"/>
          <w:color w:val="221F1F"/>
          <w:sz w:val="20"/>
          <w:u w:val="single"/>
        </w:rPr>
        <w:t>el(los) periodo(s) de autorización de cada buque de captura;</w:t>
      </w:r>
    </w:p>
    <w:p w14:paraId="39D3425E" w14:textId="77777777" w:rsidR="004051AA" w:rsidRPr="007B6EC6" w:rsidRDefault="004051AA" w:rsidP="004051AA">
      <w:pPr>
        <w:numPr>
          <w:ilvl w:val="1"/>
          <w:numId w:val="14"/>
        </w:numPr>
        <w:tabs>
          <w:tab w:val="left" w:pos="851"/>
        </w:tabs>
        <w:autoSpaceDE w:val="0"/>
        <w:autoSpaceDN w:val="0"/>
        <w:ind w:left="851" w:right="-1" w:hanging="425"/>
        <w:contextualSpacing/>
        <w:jc w:val="both"/>
        <w:rPr>
          <w:rFonts w:ascii="Cambria" w:hAnsi="Cambria"/>
          <w:color w:val="221F1F"/>
          <w:sz w:val="20"/>
          <w:szCs w:val="20"/>
          <w:u w:val="single"/>
        </w:rPr>
      </w:pPr>
      <w:r w:rsidRPr="007B6EC6">
        <w:rPr>
          <w:rFonts w:ascii="Cambria" w:hAnsi="Cambria"/>
          <w:color w:val="221F1F"/>
          <w:sz w:val="20"/>
          <w:u w:val="single"/>
        </w:rPr>
        <w:t>las capturas totales de cada buque de captura, lo que incluye registros de capturas nulas, durante el(los) periodo(s) de autorización;</w:t>
      </w:r>
    </w:p>
    <w:p w14:paraId="78A5E2B7" w14:textId="77777777" w:rsidR="004051AA" w:rsidRPr="007B6EC6" w:rsidRDefault="004051AA" w:rsidP="004051AA">
      <w:pPr>
        <w:numPr>
          <w:ilvl w:val="1"/>
          <w:numId w:val="14"/>
        </w:numPr>
        <w:tabs>
          <w:tab w:val="left" w:pos="851"/>
        </w:tabs>
        <w:autoSpaceDE w:val="0"/>
        <w:autoSpaceDN w:val="0"/>
        <w:ind w:left="851" w:right="-1" w:hanging="425"/>
        <w:contextualSpacing/>
        <w:jc w:val="both"/>
        <w:rPr>
          <w:rFonts w:ascii="Cambria" w:hAnsi="Cambria"/>
          <w:color w:val="221F1F"/>
          <w:sz w:val="20"/>
          <w:szCs w:val="20"/>
          <w:u w:val="single"/>
        </w:rPr>
      </w:pPr>
      <w:r w:rsidRPr="007B6EC6">
        <w:rPr>
          <w:rFonts w:ascii="Cambria" w:hAnsi="Cambria"/>
          <w:color w:val="221F1F"/>
          <w:sz w:val="20"/>
          <w:u w:val="single"/>
        </w:rPr>
        <w:t>el número total de días durante los cuales pescó cada buque de captura en el Atlántico este y el Mediterráneo durante el periodo de autorización(es);</w:t>
      </w:r>
    </w:p>
    <w:p w14:paraId="0EF78D21" w14:textId="77777777" w:rsidR="004051AA" w:rsidRPr="007B6EC6" w:rsidRDefault="004051AA" w:rsidP="004051AA">
      <w:pPr>
        <w:numPr>
          <w:ilvl w:val="1"/>
          <w:numId w:val="14"/>
        </w:numPr>
        <w:tabs>
          <w:tab w:val="left" w:pos="851"/>
        </w:tabs>
        <w:autoSpaceDE w:val="0"/>
        <w:autoSpaceDN w:val="0"/>
        <w:ind w:left="851" w:right="-1" w:hanging="425"/>
        <w:contextualSpacing/>
        <w:jc w:val="both"/>
        <w:rPr>
          <w:rFonts w:ascii="Cambria" w:hAnsi="Cambria"/>
          <w:color w:val="221F1F"/>
          <w:sz w:val="20"/>
          <w:szCs w:val="20"/>
          <w:u w:val="single"/>
        </w:rPr>
      </w:pPr>
      <w:r w:rsidRPr="007B6EC6">
        <w:rPr>
          <w:rFonts w:ascii="Cambria" w:hAnsi="Cambria"/>
          <w:color w:val="221F1F"/>
          <w:sz w:val="20"/>
          <w:u w:val="single"/>
        </w:rPr>
        <w:t>la captura total realizada fuera de su periodo de autorización (captura fortuita).</w:t>
      </w:r>
    </w:p>
    <w:p w14:paraId="49EDEE33" w14:textId="77777777" w:rsidR="004051AA" w:rsidRPr="007B6EC6" w:rsidRDefault="004051AA" w:rsidP="004051AA">
      <w:pPr>
        <w:autoSpaceDE w:val="0"/>
        <w:autoSpaceDN w:val="0"/>
        <w:spacing w:before="1"/>
        <w:ind w:left="544"/>
        <w:jc w:val="both"/>
        <w:rPr>
          <w:rFonts w:ascii="Cambria" w:eastAsia="Times New Roman" w:hAnsi="Cambria" w:cs="Times New Roman"/>
          <w:color w:val="231F20"/>
          <w:sz w:val="20"/>
          <w:szCs w:val="19"/>
          <w:u w:val="single"/>
        </w:rPr>
      </w:pPr>
    </w:p>
    <w:p w14:paraId="47D7F1BE" w14:textId="77777777" w:rsidR="004051AA" w:rsidRPr="007B6EC6" w:rsidRDefault="004051AA" w:rsidP="004051AA">
      <w:pPr>
        <w:numPr>
          <w:ilvl w:val="0"/>
          <w:numId w:val="13"/>
        </w:numPr>
        <w:autoSpaceDE w:val="0"/>
        <w:autoSpaceDN w:val="0"/>
        <w:spacing w:before="1"/>
        <w:ind w:left="426" w:hanging="426"/>
        <w:jc w:val="both"/>
        <w:rPr>
          <w:rFonts w:ascii="Cambria" w:eastAsia="Times New Roman" w:hAnsi="Cambria" w:cs="Times New Roman"/>
          <w:color w:val="231F20"/>
          <w:sz w:val="20"/>
          <w:szCs w:val="19"/>
          <w:u w:val="single"/>
        </w:rPr>
      </w:pPr>
      <w:r w:rsidRPr="00BD139B">
        <w:rPr>
          <w:rFonts w:ascii="Cambria" w:hAnsi="Cambria"/>
          <w:color w:val="231F20"/>
          <w:sz w:val="20"/>
          <w:highlight w:val="cyan"/>
          <w:u w:val="single"/>
        </w:rPr>
        <w:t>Para todos los buques</w:t>
      </w:r>
      <w:r w:rsidRPr="007B6EC6">
        <w:rPr>
          <w:rFonts w:ascii="Cambria" w:hAnsi="Cambria"/>
          <w:color w:val="231F20"/>
          <w:sz w:val="20"/>
          <w:u w:val="single"/>
        </w:rPr>
        <w:t xml:space="preserve"> no autorizados a pescar activamente atún rojo en el Atlántico oeste, pero que capturaron atún rojo de forma fortuita, se facilitará la siguiente información a la Secretaría de ICCAT:</w:t>
      </w:r>
    </w:p>
    <w:p w14:paraId="4261F059" w14:textId="77777777" w:rsidR="004051AA" w:rsidRPr="007B6EC6" w:rsidRDefault="004051AA" w:rsidP="004051AA">
      <w:pPr>
        <w:autoSpaceDE w:val="0"/>
        <w:autoSpaceDN w:val="0"/>
        <w:spacing w:before="1"/>
        <w:ind w:left="544"/>
        <w:jc w:val="both"/>
        <w:rPr>
          <w:rFonts w:ascii="Cambria" w:eastAsia="Times New Roman" w:hAnsi="Cambria" w:cs="Times New Roman"/>
          <w:color w:val="231F20"/>
          <w:sz w:val="20"/>
          <w:szCs w:val="19"/>
          <w:u w:val="single"/>
        </w:rPr>
      </w:pPr>
    </w:p>
    <w:p w14:paraId="424E5681" w14:textId="77777777" w:rsidR="004051AA" w:rsidRPr="007B6EC6" w:rsidRDefault="004051AA" w:rsidP="004051AA">
      <w:pPr>
        <w:numPr>
          <w:ilvl w:val="0"/>
          <w:numId w:val="15"/>
        </w:numPr>
        <w:tabs>
          <w:tab w:val="left" w:pos="851"/>
        </w:tabs>
        <w:autoSpaceDE w:val="0"/>
        <w:autoSpaceDN w:val="0"/>
        <w:ind w:left="851" w:right="-1" w:hanging="425"/>
        <w:contextualSpacing/>
        <w:jc w:val="both"/>
        <w:rPr>
          <w:rFonts w:ascii="Cambria" w:hAnsi="Cambria"/>
          <w:color w:val="221F1F"/>
          <w:sz w:val="20"/>
          <w:u w:val="single"/>
        </w:rPr>
      </w:pPr>
      <w:r w:rsidRPr="007B6EC6">
        <w:rPr>
          <w:rFonts w:ascii="Cambria" w:hAnsi="Cambria"/>
          <w:color w:val="221F1F"/>
          <w:sz w:val="20"/>
          <w:u w:val="single"/>
        </w:rPr>
        <w:t>el nombre y número ICCAT o el número del registro nacional del buque, si no está registrado en ICCAT;</w:t>
      </w:r>
    </w:p>
    <w:p w14:paraId="52597A57" w14:textId="77777777" w:rsidR="004051AA" w:rsidRPr="007B6EC6" w:rsidRDefault="004051AA" w:rsidP="004051AA">
      <w:pPr>
        <w:numPr>
          <w:ilvl w:val="0"/>
          <w:numId w:val="15"/>
        </w:numPr>
        <w:tabs>
          <w:tab w:val="left" w:pos="851"/>
        </w:tabs>
        <w:autoSpaceDE w:val="0"/>
        <w:autoSpaceDN w:val="0"/>
        <w:ind w:left="851" w:right="-1" w:hanging="425"/>
        <w:contextualSpacing/>
        <w:jc w:val="both"/>
        <w:rPr>
          <w:rFonts w:ascii="Cambria" w:hAnsi="Cambria"/>
          <w:color w:val="221F1F"/>
          <w:sz w:val="20"/>
          <w:u w:val="single"/>
        </w:rPr>
      </w:pPr>
      <w:r w:rsidRPr="007B6EC6">
        <w:rPr>
          <w:rFonts w:ascii="Cambria" w:hAnsi="Cambria"/>
          <w:color w:val="221F1F"/>
          <w:sz w:val="20"/>
          <w:u w:val="single"/>
        </w:rPr>
        <w:t>las capturas totales de atún rojo.</w:t>
      </w:r>
    </w:p>
    <w:p w14:paraId="4DB72F86" w14:textId="77777777" w:rsidR="004051AA" w:rsidRPr="000B4A08" w:rsidRDefault="004051AA" w:rsidP="004051AA">
      <w:pPr>
        <w:autoSpaceDE w:val="0"/>
        <w:autoSpaceDN w:val="0"/>
        <w:spacing w:before="1"/>
        <w:ind w:left="544"/>
        <w:jc w:val="both"/>
        <w:rPr>
          <w:rFonts w:ascii="Cambria" w:eastAsia="Times New Roman" w:hAnsi="Cambria" w:cs="Times New Roman"/>
          <w:color w:val="231F20"/>
          <w:sz w:val="20"/>
          <w:szCs w:val="19"/>
          <w:highlight w:val="yellow"/>
          <w:u w:val="single"/>
        </w:rPr>
      </w:pPr>
    </w:p>
    <w:p w14:paraId="07A7124E" w14:textId="77777777" w:rsidR="004051AA" w:rsidRPr="00BD139B" w:rsidRDefault="004051AA" w:rsidP="004051AA">
      <w:pPr>
        <w:numPr>
          <w:ilvl w:val="0"/>
          <w:numId w:val="13"/>
        </w:numPr>
        <w:autoSpaceDE w:val="0"/>
        <w:autoSpaceDN w:val="0"/>
        <w:spacing w:before="1"/>
        <w:ind w:left="426" w:hanging="426"/>
        <w:jc w:val="both"/>
        <w:rPr>
          <w:rFonts w:ascii="Cambria" w:eastAsia="Times New Roman" w:hAnsi="Cambria" w:cs="Times New Roman"/>
          <w:color w:val="231F20"/>
          <w:sz w:val="20"/>
          <w:szCs w:val="19"/>
          <w:u w:val="single"/>
        </w:rPr>
      </w:pPr>
      <w:r w:rsidRPr="00BD139B">
        <w:rPr>
          <w:rFonts w:ascii="Cambria" w:hAnsi="Cambria"/>
          <w:color w:val="231F20"/>
          <w:sz w:val="20"/>
          <w:highlight w:val="cyan"/>
          <w:u w:val="single"/>
        </w:rPr>
        <w:t>Cada CPC notificará</w:t>
      </w:r>
      <w:r w:rsidRPr="00BD139B">
        <w:rPr>
          <w:rFonts w:ascii="Cambria" w:hAnsi="Cambria"/>
          <w:color w:val="231F20"/>
          <w:sz w:val="20"/>
          <w:u w:val="single"/>
        </w:rPr>
        <w:t xml:space="preserve"> a la Secretaría de ICCAT cualquier información relacionada con los buques no cubiertos por los párrafos 37 y 38, pero que se sabe o se sospecha que han pescado atún rojo en el Atlántico este y el Mediterráneo. La Secretaría de ICCAT remitirá dicha información, sin demora, a la CPC del pabellón para que emprenda acciones apropiadas, con copia a las demás CPC para su información.</w:t>
      </w:r>
    </w:p>
    <w:p w14:paraId="2F760005" w14:textId="77777777" w:rsidR="004051AA" w:rsidRPr="000B4A08" w:rsidRDefault="004051AA" w:rsidP="004051AA">
      <w:pPr>
        <w:autoSpaceDE w:val="0"/>
        <w:autoSpaceDN w:val="0"/>
        <w:spacing w:before="1"/>
        <w:ind w:left="117"/>
        <w:jc w:val="both"/>
        <w:rPr>
          <w:rFonts w:ascii="Cambria" w:eastAsia="Times New Roman" w:hAnsi="Cambria" w:cs="Times New Roman"/>
          <w:color w:val="231F20"/>
          <w:sz w:val="20"/>
          <w:szCs w:val="19"/>
          <w:highlight w:val="yellow"/>
          <w:u w:val="single"/>
        </w:rPr>
      </w:pPr>
    </w:p>
    <w:p w14:paraId="5CEB96CF" w14:textId="77777777" w:rsidR="004051AA" w:rsidRPr="00EB065D" w:rsidRDefault="004051AA" w:rsidP="004051AA">
      <w:pPr>
        <w:autoSpaceDE w:val="0"/>
        <w:autoSpaceDN w:val="0"/>
        <w:spacing w:before="1"/>
        <w:ind w:left="426" w:hanging="426"/>
        <w:jc w:val="both"/>
        <w:rPr>
          <w:rFonts w:ascii="Cambria" w:eastAsia="Times New Roman" w:hAnsi="Cambria" w:cs="Times New Roman"/>
          <w:b/>
          <w:bCs/>
          <w:color w:val="231F20"/>
          <w:sz w:val="20"/>
          <w:szCs w:val="19"/>
          <w:highlight w:val="green"/>
          <w:u w:val="single"/>
        </w:rPr>
      </w:pPr>
      <w:r w:rsidRPr="00EB065D">
        <w:rPr>
          <w:rFonts w:ascii="Cambria" w:hAnsi="Cambria"/>
          <w:b/>
          <w:color w:val="231F20"/>
          <w:sz w:val="20"/>
          <w:highlight w:val="green"/>
          <w:u w:val="single"/>
        </w:rPr>
        <w:t>Informes de captura enviados por patrones y operadores de las almadrabas</w:t>
      </w:r>
    </w:p>
    <w:p w14:paraId="5505589E" w14:textId="77777777" w:rsidR="004051AA" w:rsidRPr="000B4A08" w:rsidRDefault="004051AA" w:rsidP="004051AA">
      <w:pPr>
        <w:autoSpaceDE w:val="0"/>
        <w:autoSpaceDN w:val="0"/>
        <w:spacing w:before="1"/>
        <w:ind w:left="117" w:hanging="395"/>
        <w:jc w:val="both"/>
        <w:rPr>
          <w:rFonts w:ascii="Cambria" w:eastAsia="Times New Roman" w:hAnsi="Cambria" w:cs="Times New Roman"/>
          <w:b/>
          <w:bCs/>
          <w:color w:val="231F20"/>
          <w:sz w:val="20"/>
          <w:szCs w:val="19"/>
          <w:highlight w:val="yellow"/>
          <w:u w:val="single"/>
        </w:rPr>
      </w:pPr>
    </w:p>
    <w:p w14:paraId="492581EF" w14:textId="77777777" w:rsidR="004051AA" w:rsidRPr="00EB065D" w:rsidRDefault="004051AA" w:rsidP="004051AA">
      <w:pPr>
        <w:numPr>
          <w:ilvl w:val="0"/>
          <w:numId w:val="13"/>
        </w:numPr>
        <w:autoSpaceDE w:val="0"/>
        <w:autoSpaceDN w:val="0"/>
        <w:spacing w:before="1"/>
        <w:ind w:left="426" w:hanging="426"/>
        <w:jc w:val="both"/>
        <w:rPr>
          <w:rFonts w:ascii="Cambria" w:eastAsia="Times New Roman" w:hAnsi="Cambria" w:cs="Times New Roman"/>
          <w:color w:val="231F20"/>
          <w:sz w:val="20"/>
          <w:szCs w:val="19"/>
          <w:u w:val="single"/>
        </w:rPr>
      </w:pPr>
      <w:r w:rsidRPr="00EB065D">
        <w:rPr>
          <w:rFonts w:ascii="Cambria" w:hAnsi="Cambria"/>
          <w:color w:val="231F20"/>
          <w:sz w:val="20"/>
          <w:highlight w:val="green"/>
          <w:u w:val="single"/>
        </w:rPr>
        <w:t>Cada CPC se</w:t>
      </w:r>
      <w:r w:rsidRPr="00EB065D">
        <w:rPr>
          <w:rFonts w:ascii="Cambria" w:hAnsi="Cambria"/>
          <w:color w:val="231F20"/>
          <w:sz w:val="20"/>
          <w:u w:val="single"/>
        </w:rPr>
        <w:t xml:space="preserve"> asegurará de que sus buques de captura que pescan activamente atún rojo comunican a sus autoridades, durante todo el periodo en el que están autorizados a pescar atún rojo, por medios electrónicos o mediante cualquier otro medio efectivo, la información diaria de sus cuadernos de pesca, lo que incluye fecha, hora y localización (latitud y longitud) de la captura, así como el peso y número de ejemplares de atún rojo capturados en la zona del plan, lo que incluye las liberaciones y descartes de peces muertos por debajo de la talla mínima mencionada en el párrafo 13. Los patrones enviarán esta información utilizando el formato que figura en el </w:t>
      </w:r>
      <w:r w:rsidRPr="002E5E77">
        <w:rPr>
          <w:rFonts w:ascii="Cambria" w:hAnsi="Cambria"/>
          <w:b/>
          <w:bCs/>
          <w:color w:val="231F20"/>
          <w:sz w:val="20"/>
          <w:u w:val="single"/>
        </w:rPr>
        <w:t>Anexo 2</w:t>
      </w:r>
      <w:r w:rsidRPr="00EB065D">
        <w:rPr>
          <w:rFonts w:ascii="Cambria" w:hAnsi="Cambria"/>
          <w:color w:val="231F20"/>
          <w:sz w:val="20"/>
          <w:u w:val="single"/>
        </w:rPr>
        <w:t xml:space="preserve"> o mediante los requisitos de comunicación de las CPC.</w:t>
      </w:r>
    </w:p>
    <w:p w14:paraId="3EF6942D" w14:textId="77777777" w:rsidR="004051AA" w:rsidRPr="00EB065D" w:rsidRDefault="004051AA" w:rsidP="004051AA">
      <w:pPr>
        <w:autoSpaceDE w:val="0"/>
        <w:autoSpaceDN w:val="0"/>
        <w:spacing w:before="1"/>
        <w:ind w:left="544"/>
        <w:jc w:val="both"/>
        <w:rPr>
          <w:rFonts w:ascii="Cambria" w:eastAsia="Times New Roman" w:hAnsi="Cambria" w:cs="Times New Roman"/>
          <w:color w:val="231F20"/>
          <w:sz w:val="20"/>
          <w:szCs w:val="19"/>
          <w:u w:val="single"/>
        </w:rPr>
      </w:pPr>
    </w:p>
    <w:p w14:paraId="149F60D6" w14:textId="77777777" w:rsidR="004051AA" w:rsidRPr="00EB065D" w:rsidRDefault="004051AA" w:rsidP="004051AA">
      <w:pPr>
        <w:numPr>
          <w:ilvl w:val="0"/>
          <w:numId w:val="13"/>
        </w:numPr>
        <w:autoSpaceDE w:val="0"/>
        <w:autoSpaceDN w:val="0"/>
        <w:spacing w:before="1"/>
        <w:ind w:left="426" w:hanging="426"/>
        <w:jc w:val="both"/>
        <w:rPr>
          <w:rFonts w:ascii="Cambria" w:eastAsia="Times New Roman" w:hAnsi="Cambria" w:cs="Times New Roman"/>
          <w:color w:val="231F20"/>
          <w:sz w:val="20"/>
          <w:szCs w:val="19"/>
          <w:u w:val="single"/>
        </w:rPr>
      </w:pPr>
      <w:r w:rsidRPr="00EB065D">
        <w:rPr>
          <w:rFonts w:ascii="Cambria" w:hAnsi="Cambria"/>
          <w:color w:val="231F20"/>
          <w:sz w:val="20"/>
          <w:highlight w:val="green"/>
          <w:u w:val="single"/>
        </w:rPr>
        <w:t>Los patrones de los buques de cerco</w:t>
      </w:r>
      <w:r w:rsidRPr="00EB065D">
        <w:rPr>
          <w:rFonts w:ascii="Cambria" w:hAnsi="Cambria"/>
          <w:color w:val="231F20"/>
          <w:sz w:val="20"/>
          <w:u w:val="single"/>
        </w:rPr>
        <w:t xml:space="preserve"> elaborarán los informes mencionados en el párrafo 67, operación de pesca por operación de pesca, lo que incluye las operaciones con capturas cero. El operador transmitirá los informes a las autoridades de su CPC del pabellón antes de las 9:00 h GMT para el día anterior.</w:t>
      </w:r>
    </w:p>
    <w:p w14:paraId="4152A717" w14:textId="77777777" w:rsidR="004051AA" w:rsidRPr="00EB065D" w:rsidRDefault="004051AA" w:rsidP="004051AA">
      <w:pPr>
        <w:autoSpaceDE w:val="0"/>
        <w:autoSpaceDN w:val="0"/>
        <w:spacing w:before="1"/>
        <w:ind w:left="544"/>
        <w:jc w:val="both"/>
        <w:rPr>
          <w:rFonts w:ascii="Cambria" w:eastAsia="Times New Roman" w:hAnsi="Cambria" w:cs="Times New Roman"/>
          <w:color w:val="231F20"/>
          <w:sz w:val="20"/>
          <w:szCs w:val="19"/>
          <w:u w:val="single"/>
        </w:rPr>
      </w:pPr>
    </w:p>
    <w:p w14:paraId="1AE103C9" w14:textId="0BF21108" w:rsidR="004051AA" w:rsidRPr="00EB065D" w:rsidRDefault="004051AA" w:rsidP="004051AA">
      <w:pPr>
        <w:numPr>
          <w:ilvl w:val="0"/>
          <w:numId w:val="13"/>
        </w:numPr>
        <w:autoSpaceDE w:val="0"/>
        <w:autoSpaceDN w:val="0"/>
        <w:spacing w:before="1"/>
        <w:ind w:left="426" w:hanging="426"/>
        <w:jc w:val="both"/>
        <w:rPr>
          <w:rFonts w:ascii="Cambria" w:eastAsia="Times New Roman" w:hAnsi="Cambria" w:cs="Times New Roman"/>
          <w:color w:val="231F20"/>
          <w:sz w:val="20"/>
          <w:szCs w:val="19"/>
          <w:u w:val="single"/>
        </w:rPr>
      </w:pPr>
      <w:r w:rsidRPr="00EB065D">
        <w:rPr>
          <w:rFonts w:ascii="Cambria" w:hAnsi="Cambria"/>
          <w:color w:val="231F20"/>
          <w:sz w:val="20"/>
          <w:highlight w:val="green"/>
          <w:u w:val="single"/>
        </w:rPr>
        <w:t>Los operadores de almadrabas</w:t>
      </w:r>
      <w:r w:rsidRPr="00EB065D">
        <w:rPr>
          <w:rFonts w:ascii="Cambria" w:hAnsi="Cambria"/>
          <w:color w:val="231F20"/>
          <w:sz w:val="20"/>
          <w:u w:val="single"/>
        </w:rPr>
        <w:t xml:space="preserve"> que pescan activamente atún rojo o sus representantes autorizados enviarán por vía electrónica un informe de capturas diario, incluyendo el número de registro ICCAT, la fecha, la hora y las capturas (peso y número de ejemplares), lo que incluye informes de captura cero y remitirán esta información a las autoridades de la CPC del pabellón por vía electrónica en un plazo de 48 horas, utilizando el formato que figura en el </w:t>
      </w:r>
      <w:r w:rsidRPr="002E5E77">
        <w:rPr>
          <w:rFonts w:ascii="Cambria" w:hAnsi="Cambria"/>
          <w:b/>
          <w:bCs/>
          <w:color w:val="231F20"/>
          <w:sz w:val="20"/>
          <w:u w:val="single"/>
        </w:rPr>
        <w:t>Anexo 2</w:t>
      </w:r>
      <w:r w:rsidRPr="00EB065D">
        <w:rPr>
          <w:rFonts w:ascii="Cambria" w:hAnsi="Cambria"/>
          <w:color w:val="231F20"/>
          <w:sz w:val="20"/>
          <w:u w:val="single"/>
        </w:rPr>
        <w:t>, durante todo el período en que estén autorizadas a pescar atún rojo.</w:t>
      </w:r>
    </w:p>
    <w:p w14:paraId="455AF51C" w14:textId="77777777" w:rsidR="004051AA" w:rsidRPr="000B4A08" w:rsidRDefault="004051AA" w:rsidP="004051AA">
      <w:pPr>
        <w:autoSpaceDE w:val="0"/>
        <w:autoSpaceDN w:val="0"/>
        <w:spacing w:before="1"/>
        <w:ind w:left="544"/>
        <w:jc w:val="both"/>
        <w:rPr>
          <w:rFonts w:ascii="Cambria" w:eastAsia="Times New Roman" w:hAnsi="Cambria" w:cs="Times New Roman"/>
          <w:color w:val="231F20"/>
          <w:sz w:val="20"/>
          <w:szCs w:val="19"/>
          <w:highlight w:val="yellow"/>
          <w:u w:val="single"/>
        </w:rPr>
      </w:pPr>
    </w:p>
    <w:p w14:paraId="4FDAD8E0" w14:textId="682F73A8" w:rsidR="004051AA" w:rsidRPr="008F4444" w:rsidRDefault="004051AA" w:rsidP="001836FF">
      <w:pPr>
        <w:numPr>
          <w:ilvl w:val="0"/>
          <w:numId w:val="13"/>
        </w:numPr>
        <w:autoSpaceDE w:val="0"/>
        <w:autoSpaceDN w:val="0"/>
        <w:spacing w:before="1"/>
        <w:ind w:left="426" w:hanging="426"/>
        <w:jc w:val="both"/>
        <w:rPr>
          <w:rFonts w:ascii="Cambria" w:eastAsia="Times New Roman" w:hAnsi="Cambria" w:cs="Times New Roman"/>
          <w:color w:val="231F20"/>
          <w:sz w:val="20"/>
          <w:szCs w:val="19"/>
          <w:u w:val="single"/>
        </w:rPr>
      </w:pPr>
      <w:r w:rsidRPr="008F4444">
        <w:rPr>
          <w:rFonts w:ascii="Cambria" w:hAnsi="Cambria"/>
          <w:color w:val="231F20"/>
          <w:sz w:val="20"/>
          <w:highlight w:val="green"/>
          <w:u w:val="single"/>
        </w:rPr>
        <w:t xml:space="preserve">Para los buques de captura </w:t>
      </w:r>
      <w:r w:rsidRPr="008F4444">
        <w:rPr>
          <w:rFonts w:ascii="Cambria" w:hAnsi="Cambria"/>
          <w:color w:val="231F20"/>
          <w:sz w:val="20"/>
          <w:u w:val="single"/>
        </w:rPr>
        <w:t>que no sean buques de cerco y almadrabas, los patrones transmitirán a sus autoridades de control los informes mencionados en el párrafo 67, como muy tarde el martes a mediodía para la semana anterior que finaliza el domingo.</w:t>
      </w:r>
    </w:p>
    <w:p w14:paraId="6471AB46" w14:textId="77777777" w:rsidR="00DE7996" w:rsidRDefault="00DE7996">
      <w:pPr>
        <w:rPr>
          <w:rFonts w:ascii="Cambria" w:hAnsi="Cambria"/>
          <w:b/>
          <w:color w:val="231F20"/>
          <w:sz w:val="20"/>
          <w:highlight w:val="yellow"/>
          <w:u w:val="single"/>
        </w:rPr>
      </w:pPr>
      <w:r>
        <w:rPr>
          <w:rFonts w:ascii="Cambria" w:hAnsi="Cambria"/>
          <w:b/>
          <w:color w:val="231F20"/>
          <w:sz w:val="20"/>
          <w:highlight w:val="yellow"/>
          <w:u w:val="single"/>
        </w:rPr>
        <w:br w:type="page"/>
      </w:r>
    </w:p>
    <w:p w14:paraId="2E416E94" w14:textId="33DA9ACE" w:rsidR="004051AA" w:rsidRPr="008F4444" w:rsidRDefault="004051AA" w:rsidP="004051AA">
      <w:pPr>
        <w:autoSpaceDE w:val="0"/>
        <w:autoSpaceDN w:val="0"/>
        <w:spacing w:before="1"/>
        <w:ind w:left="426" w:hanging="426"/>
        <w:jc w:val="both"/>
        <w:rPr>
          <w:rFonts w:ascii="Cambria" w:eastAsia="Times New Roman" w:hAnsi="Cambria" w:cs="Times New Roman"/>
          <w:b/>
          <w:bCs/>
          <w:color w:val="231F20"/>
          <w:sz w:val="20"/>
          <w:szCs w:val="19"/>
          <w:highlight w:val="cyan"/>
          <w:u w:val="single"/>
        </w:rPr>
      </w:pPr>
      <w:r w:rsidRPr="008F4444">
        <w:rPr>
          <w:rFonts w:ascii="Cambria" w:hAnsi="Cambria"/>
          <w:b/>
          <w:color w:val="231F20"/>
          <w:sz w:val="20"/>
          <w:highlight w:val="cyan"/>
          <w:u w:val="single"/>
        </w:rPr>
        <w:t>Puertos designados</w:t>
      </w:r>
    </w:p>
    <w:p w14:paraId="1F3BE614" w14:textId="77777777" w:rsidR="004051AA" w:rsidRPr="000B4A08" w:rsidRDefault="004051AA" w:rsidP="004051AA">
      <w:pPr>
        <w:autoSpaceDE w:val="0"/>
        <w:autoSpaceDN w:val="0"/>
        <w:spacing w:before="1"/>
        <w:ind w:left="117" w:hanging="395"/>
        <w:jc w:val="both"/>
        <w:rPr>
          <w:rFonts w:ascii="Cambria" w:eastAsia="Times New Roman" w:hAnsi="Cambria" w:cs="Times New Roman"/>
          <w:b/>
          <w:bCs/>
          <w:color w:val="231F20"/>
          <w:sz w:val="20"/>
          <w:szCs w:val="19"/>
          <w:highlight w:val="yellow"/>
          <w:u w:val="single"/>
        </w:rPr>
      </w:pPr>
    </w:p>
    <w:p w14:paraId="57F65D96" w14:textId="28E6D8D9" w:rsidR="004051AA" w:rsidRPr="008F4444" w:rsidRDefault="004051AA" w:rsidP="004051AA">
      <w:pPr>
        <w:numPr>
          <w:ilvl w:val="0"/>
          <w:numId w:val="13"/>
        </w:numPr>
        <w:autoSpaceDE w:val="0"/>
        <w:autoSpaceDN w:val="0"/>
        <w:spacing w:before="1"/>
        <w:ind w:left="426" w:hanging="426"/>
        <w:jc w:val="both"/>
        <w:rPr>
          <w:rFonts w:ascii="Cambria" w:eastAsia="Times New Roman" w:hAnsi="Cambria" w:cs="Times New Roman"/>
          <w:color w:val="231F20"/>
          <w:sz w:val="20"/>
          <w:szCs w:val="19"/>
          <w:u w:val="single"/>
        </w:rPr>
      </w:pPr>
      <w:r w:rsidRPr="008F4444">
        <w:rPr>
          <w:rFonts w:ascii="Cambria" w:hAnsi="Cambria"/>
          <w:color w:val="231F20"/>
          <w:sz w:val="20"/>
          <w:highlight w:val="cyan"/>
          <w:u w:val="single"/>
        </w:rPr>
        <w:t xml:space="preserve">Cada CPC a la que se haya asignado </w:t>
      </w:r>
      <w:r w:rsidRPr="008F4444">
        <w:rPr>
          <w:rFonts w:ascii="Cambria" w:hAnsi="Cambria"/>
          <w:color w:val="231F20"/>
          <w:sz w:val="20"/>
          <w:u w:val="single"/>
        </w:rPr>
        <w:t xml:space="preserve">una cuota de atún rojo designará puertos en los que se permitan las operaciones de desembarque o transbordo de atún rojo. Esta lista se comunicará cada año a la Secretaría de ICCAT como parte de su plan de pesca anual </w:t>
      </w:r>
      <w:r w:rsidR="008F4444">
        <w:rPr>
          <w:rFonts w:ascii="Cambria" w:hAnsi="Cambria"/>
          <w:color w:val="231F20"/>
          <w:sz w:val="20"/>
          <w:u w:val="single"/>
        </w:rPr>
        <w:t>remitido</w:t>
      </w:r>
      <w:r w:rsidRPr="008F4444">
        <w:rPr>
          <w:rFonts w:ascii="Cambria" w:hAnsi="Cambria"/>
          <w:color w:val="231F20"/>
          <w:sz w:val="20"/>
          <w:u w:val="single"/>
        </w:rPr>
        <w:t xml:space="preserve"> por cada CPC. Cualquier modificación se comunicará a la Secretaría de ICCAT. Otras CPC podrían designar puertos en los que las operaciones de desembarque o transbordo de atún rojo estén autorizadas y comunicar una lista de dichos puertos a la Secretaría de ICCAT.</w:t>
      </w:r>
    </w:p>
    <w:p w14:paraId="217138E8" w14:textId="77777777" w:rsidR="004051AA" w:rsidRPr="000B4A08" w:rsidRDefault="004051AA" w:rsidP="004051AA">
      <w:pPr>
        <w:autoSpaceDE w:val="0"/>
        <w:autoSpaceDN w:val="0"/>
        <w:spacing w:before="1"/>
        <w:ind w:left="544"/>
        <w:jc w:val="both"/>
        <w:rPr>
          <w:rFonts w:ascii="Cambria" w:eastAsia="Times New Roman" w:hAnsi="Cambria" w:cs="Times New Roman"/>
          <w:color w:val="231F20"/>
          <w:sz w:val="20"/>
          <w:szCs w:val="19"/>
          <w:highlight w:val="yellow"/>
          <w:u w:val="single"/>
        </w:rPr>
      </w:pPr>
    </w:p>
    <w:p w14:paraId="0FA0E7F6" w14:textId="77777777" w:rsidR="004051AA" w:rsidRPr="008F4444" w:rsidRDefault="004051AA" w:rsidP="004051AA">
      <w:pPr>
        <w:numPr>
          <w:ilvl w:val="0"/>
          <w:numId w:val="13"/>
        </w:numPr>
        <w:autoSpaceDE w:val="0"/>
        <w:autoSpaceDN w:val="0"/>
        <w:spacing w:before="1"/>
        <w:ind w:left="426" w:hanging="426"/>
        <w:jc w:val="both"/>
        <w:rPr>
          <w:rFonts w:ascii="Cambria" w:eastAsia="Times New Roman" w:hAnsi="Cambria" w:cs="Times New Roman"/>
          <w:color w:val="231F20"/>
          <w:sz w:val="20"/>
          <w:szCs w:val="19"/>
          <w:u w:val="single"/>
        </w:rPr>
      </w:pPr>
      <w:r w:rsidRPr="008F4444">
        <w:rPr>
          <w:rFonts w:ascii="Cambria" w:hAnsi="Cambria"/>
          <w:color w:val="231F20"/>
          <w:sz w:val="20"/>
          <w:highlight w:val="cyan"/>
          <w:u w:val="single"/>
        </w:rPr>
        <w:t xml:space="preserve">Para que un puerto sea clasificado </w:t>
      </w:r>
      <w:r w:rsidRPr="008F4444">
        <w:rPr>
          <w:rFonts w:ascii="Cambria" w:hAnsi="Cambria"/>
          <w:color w:val="231F20"/>
          <w:sz w:val="20"/>
          <w:u w:val="single"/>
        </w:rPr>
        <w:t>como puerto designado, el Estado rector del puerto se asegurará de que se cumplen las siguientes condiciones: a) horas establecidas de desembarque y transbordo; b) lugares establecidos de desembarque y transbordo; y c) procedimientos establecidos de inspección y vigilancia garantizando una cobertura de inspección durante todas las horas de desembarque y transbordo y en todos los lugares de desembarque y transbordo, de conformidad con el párrafo 76.</w:t>
      </w:r>
    </w:p>
    <w:p w14:paraId="2AEF8D61" w14:textId="77777777" w:rsidR="004051AA" w:rsidRPr="008F4444" w:rsidRDefault="004051AA" w:rsidP="004051AA">
      <w:pPr>
        <w:autoSpaceDE w:val="0"/>
        <w:autoSpaceDN w:val="0"/>
        <w:spacing w:before="1"/>
        <w:ind w:left="544"/>
        <w:jc w:val="both"/>
        <w:rPr>
          <w:rFonts w:ascii="Cambria" w:eastAsia="Times New Roman" w:hAnsi="Cambria" w:cs="Times New Roman"/>
          <w:color w:val="231F20"/>
          <w:sz w:val="20"/>
          <w:szCs w:val="19"/>
          <w:u w:val="single"/>
        </w:rPr>
      </w:pPr>
    </w:p>
    <w:p w14:paraId="430F80E1" w14:textId="77777777" w:rsidR="004051AA" w:rsidRPr="008F4444" w:rsidRDefault="004051AA" w:rsidP="004051AA">
      <w:pPr>
        <w:numPr>
          <w:ilvl w:val="0"/>
          <w:numId w:val="13"/>
        </w:numPr>
        <w:autoSpaceDE w:val="0"/>
        <w:autoSpaceDN w:val="0"/>
        <w:spacing w:before="1"/>
        <w:ind w:left="426" w:hanging="426"/>
        <w:jc w:val="both"/>
        <w:rPr>
          <w:rFonts w:ascii="Cambria" w:eastAsia="Times New Roman" w:hAnsi="Cambria" w:cs="Times New Roman"/>
          <w:color w:val="231F20"/>
          <w:sz w:val="20"/>
          <w:szCs w:val="19"/>
          <w:u w:val="single"/>
        </w:rPr>
      </w:pPr>
      <w:r w:rsidRPr="008F4444">
        <w:rPr>
          <w:rFonts w:ascii="Cambria" w:hAnsi="Cambria"/>
          <w:color w:val="231F20"/>
          <w:sz w:val="20"/>
          <w:highlight w:val="cyan"/>
          <w:u w:val="single"/>
        </w:rPr>
        <w:t>Queda prohibido</w:t>
      </w:r>
      <w:r w:rsidRPr="008F4444">
        <w:rPr>
          <w:rFonts w:ascii="Cambria" w:hAnsi="Cambria"/>
          <w:color w:val="231F20"/>
          <w:sz w:val="20"/>
          <w:u w:val="single"/>
        </w:rPr>
        <w:t xml:space="preserve"> desembarcar o transbordar cualquier cantidad de atún rojo pescado en el Atlántico oeste fuera de los puertos designados por las CPC con arreglo a los párrafos 71 y 72. Esto también se aplicará a las capturas fortuitas.</w:t>
      </w:r>
    </w:p>
    <w:p w14:paraId="44D00BE2" w14:textId="77777777" w:rsidR="004051AA" w:rsidRPr="008F4444" w:rsidRDefault="004051AA" w:rsidP="004051AA">
      <w:pPr>
        <w:autoSpaceDE w:val="0"/>
        <w:autoSpaceDN w:val="0"/>
        <w:spacing w:before="1"/>
        <w:ind w:left="544"/>
        <w:jc w:val="both"/>
        <w:rPr>
          <w:rFonts w:ascii="Cambria" w:eastAsia="Times New Roman" w:hAnsi="Cambria" w:cs="Times New Roman"/>
          <w:color w:val="231F20"/>
          <w:sz w:val="20"/>
          <w:szCs w:val="19"/>
          <w:u w:val="single"/>
        </w:rPr>
      </w:pPr>
    </w:p>
    <w:p w14:paraId="7C64B643" w14:textId="77777777" w:rsidR="004051AA" w:rsidRPr="008F4444" w:rsidRDefault="004051AA" w:rsidP="004051AA">
      <w:pPr>
        <w:numPr>
          <w:ilvl w:val="0"/>
          <w:numId w:val="13"/>
        </w:numPr>
        <w:autoSpaceDE w:val="0"/>
        <w:autoSpaceDN w:val="0"/>
        <w:spacing w:before="1"/>
        <w:ind w:left="426" w:hanging="426"/>
        <w:jc w:val="both"/>
        <w:rPr>
          <w:rFonts w:ascii="Cambria" w:eastAsia="Times New Roman" w:hAnsi="Cambria" w:cs="Times New Roman"/>
          <w:color w:val="231F20"/>
          <w:sz w:val="20"/>
          <w:szCs w:val="19"/>
          <w:u w:val="single"/>
        </w:rPr>
      </w:pPr>
      <w:r w:rsidRPr="008F4444">
        <w:rPr>
          <w:rFonts w:ascii="Cambria" w:hAnsi="Cambria"/>
          <w:color w:val="231F20"/>
          <w:sz w:val="20"/>
          <w:highlight w:val="cyan"/>
          <w:u w:val="single"/>
        </w:rPr>
        <w:t>Basándose en la información</w:t>
      </w:r>
      <w:r w:rsidRPr="008F4444">
        <w:rPr>
          <w:rFonts w:ascii="Cambria" w:hAnsi="Cambria"/>
          <w:color w:val="231F20"/>
          <w:sz w:val="20"/>
          <w:u w:val="single"/>
        </w:rPr>
        <w:t xml:space="preserve"> recibida por las CPC con arreglo al párrafo 71, la Secretaría de ICCAT mantendrá una lista de los puertos designados en el sitio web de ICCAT.</w:t>
      </w:r>
    </w:p>
    <w:p w14:paraId="3EB12E63" w14:textId="77777777" w:rsidR="004051AA" w:rsidRPr="008F4444" w:rsidRDefault="004051AA" w:rsidP="004051AA">
      <w:pPr>
        <w:autoSpaceDE w:val="0"/>
        <w:autoSpaceDN w:val="0"/>
        <w:spacing w:before="1"/>
        <w:ind w:left="544"/>
        <w:jc w:val="both"/>
        <w:rPr>
          <w:rFonts w:ascii="Cambria" w:eastAsia="Times New Roman" w:hAnsi="Cambria" w:cs="Times New Roman"/>
          <w:color w:val="231F20"/>
          <w:sz w:val="20"/>
          <w:szCs w:val="19"/>
          <w:u w:val="single"/>
        </w:rPr>
      </w:pPr>
    </w:p>
    <w:p w14:paraId="2E4D6428" w14:textId="77777777" w:rsidR="004051AA" w:rsidRPr="008F4444" w:rsidRDefault="004051AA" w:rsidP="004051AA">
      <w:pPr>
        <w:numPr>
          <w:ilvl w:val="0"/>
          <w:numId w:val="13"/>
        </w:numPr>
        <w:autoSpaceDE w:val="0"/>
        <w:autoSpaceDN w:val="0"/>
        <w:spacing w:before="1"/>
        <w:ind w:left="426" w:hanging="426"/>
        <w:jc w:val="both"/>
        <w:rPr>
          <w:rFonts w:ascii="Cambria" w:eastAsia="Times New Roman" w:hAnsi="Cambria" w:cs="Times New Roman"/>
          <w:color w:val="231F20"/>
          <w:sz w:val="20"/>
          <w:szCs w:val="19"/>
          <w:u w:val="single"/>
        </w:rPr>
      </w:pPr>
      <w:r w:rsidRPr="008F4444">
        <w:rPr>
          <w:rFonts w:ascii="Cambria" w:hAnsi="Cambria"/>
          <w:color w:val="231F20"/>
          <w:sz w:val="20"/>
          <w:highlight w:val="cyan"/>
          <w:u w:val="single"/>
        </w:rPr>
        <w:t>Las disposiciones de esta Recomendación</w:t>
      </w:r>
      <w:r w:rsidRPr="008F4444">
        <w:rPr>
          <w:rFonts w:ascii="Cambria" w:hAnsi="Cambria"/>
          <w:color w:val="231F20"/>
          <w:sz w:val="20"/>
          <w:u w:val="single"/>
        </w:rPr>
        <w:t xml:space="preserve"> no afectarán a la entrada en puerto de un buque pesquero de una CPC, de conformidad con las leyes internacionales, por razones de fuerza mayor o de peligro.</w:t>
      </w:r>
    </w:p>
    <w:p w14:paraId="6A08245A" w14:textId="77777777" w:rsidR="004051AA" w:rsidRPr="008F4444" w:rsidRDefault="004051AA" w:rsidP="004051AA">
      <w:pPr>
        <w:autoSpaceDE w:val="0"/>
        <w:autoSpaceDN w:val="0"/>
        <w:spacing w:before="1"/>
        <w:ind w:left="117"/>
        <w:jc w:val="both"/>
        <w:rPr>
          <w:rFonts w:ascii="Cambria" w:eastAsia="Times New Roman" w:hAnsi="Cambria" w:cs="Times New Roman"/>
          <w:color w:val="231F20"/>
          <w:sz w:val="20"/>
          <w:szCs w:val="19"/>
          <w:u w:val="single"/>
        </w:rPr>
      </w:pPr>
    </w:p>
    <w:p w14:paraId="55677805" w14:textId="77777777" w:rsidR="004051AA" w:rsidRPr="008F4444" w:rsidRDefault="004051AA" w:rsidP="004051AA">
      <w:pPr>
        <w:autoSpaceDE w:val="0"/>
        <w:autoSpaceDN w:val="0"/>
        <w:spacing w:before="1"/>
        <w:ind w:left="426" w:hanging="426"/>
        <w:jc w:val="both"/>
        <w:rPr>
          <w:rFonts w:ascii="Cambria" w:eastAsia="Times New Roman" w:hAnsi="Cambria" w:cs="Times New Roman"/>
          <w:b/>
          <w:bCs/>
          <w:color w:val="231F20"/>
          <w:sz w:val="20"/>
          <w:szCs w:val="19"/>
          <w:u w:val="single"/>
        </w:rPr>
      </w:pPr>
      <w:r w:rsidRPr="00020214">
        <w:rPr>
          <w:rFonts w:ascii="Cambria" w:hAnsi="Cambria"/>
          <w:b/>
          <w:color w:val="231F20"/>
          <w:sz w:val="20"/>
          <w:highlight w:val="green"/>
          <w:u w:val="single"/>
        </w:rPr>
        <w:t>Notificación previa de desembarques</w:t>
      </w:r>
    </w:p>
    <w:p w14:paraId="7D744429" w14:textId="77777777" w:rsidR="004051AA" w:rsidRPr="008F4444" w:rsidRDefault="004051AA" w:rsidP="004051AA">
      <w:pPr>
        <w:autoSpaceDE w:val="0"/>
        <w:autoSpaceDN w:val="0"/>
        <w:spacing w:before="1"/>
        <w:ind w:left="117" w:hanging="395"/>
        <w:jc w:val="both"/>
        <w:rPr>
          <w:rFonts w:ascii="Cambria" w:eastAsia="Times New Roman" w:hAnsi="Cambria" w:cs="Times New Roman"/>
          <w:b/>
          <w:bCs/>
          <w:color w:val="231F20"/>
          <w:sz w:val="20"/>
          <w:szCs w:val="19"/>
          <w:u w:val="single"/>
        </w:rPr>
      </w:pPr>
    </w:p>
    <w:p w14:paraId="7067CBC2" w14:textId="74A53E1F" w:rsidR="004051AA" w:rsidRPr="008F4444" w:rsidRDefault="004051AA" w:rsidP="004051AA">
      <w:pPr>
        <w:numPr>
          <w:ilvl w:val="0"/>
          <w:numId w:val="13"/>
        </w:numPr>
        <w:autoSpaceDE w:val="0"/>
        <w:autoSpaceDN w:val="0"/>
        <w:spacing w:before="1"/>
        <w:ind w:left="426" w:hanging="426"/>
        <w:jc w:val="both"/>
        <w:rPr>
          <w:rFonts w:ascii="Cambria" w:eastAsia="Times New Roman" w:hAnsi="Cambria" w:cs="Times New Roman"/>
          <w:color w:val="231F20"/>
          <w:sz w:val="20"/>
          <w:szCs w:val="19"/>
          <w:u w:val="single"/>
        </w:rPr>
      </w:pPr>
      <w:r w:rsidRPr="00020214">
        <w:rPr>
          <w:rFonts w:ascii="Cambria" w:hAnsi="Cambria"/>
          <w:color w:val="231F20"/>
          <w:sz w:val="20"/>
          <w:highlight w:val="green"/>
          <w:u w:val="single"/>
        </w:rPr>
        <w:t>Antes de la entrada en cualquier puerto</w:t>
      </w:r>
      <w:r w:rsidRPr="008F4444">
        <w:rPr>
          <w:rFonts w:ascii="Cambria" w:hAnsi="Cambria"/>
          <w:color w:val="231F20"/>
          <w:sz w:val="20"/>
          <w:u w:val="single"/>
        </w:rPr>
        <w:t xml:space="preserve">, los patrones de los buques pesqueros o su representante facilitarán a las autoridades pertinentes del puerto lo siguiente al menos </w:t>
      </w:r>
      <w:r w:rsidR="00020214">
        <w:rPr>
          <w:rFonts w:ascii="Cambria" w:hAnsi="Cambria"/>
          <w:color w:val="231F20"/>
          <w:sz w:val="20"/>
          <w:u w:val="single"/>
        </w:rPr>
        <w:t>cuatro</w:t>
      </w:r>
      <w:r w:rsidRPr="008F4444">
        <w:rPr>
          <w:rFonts w:ascii="Cambria" w:hAnsi="Cambria"/>
          <w:color w:val="231F20"/>
          <w:sz w:val="20"/>
          <w:u w:val="single"/>
        </w:rPr>
        <w:t xml:space="preserve"> horas antes de la hora estimada de llegada:</w:t>
      </w:r>
    </w:p>
    <w:p w14:paraId="3E1C3287" w14:textId="77777777" w:rsidR="004051AA" w:rsidRPr="008F4444" w:rsidRDefault="004051AA" w:rsidP="004051AA">
      <w:pPr>
        <w:autoSpaceDE w:val="0"/>
        <w:autoSpaceDN w:val="0"/>
        <w:spacing w:before="1"/>
        <w:ind w:left="426"/>
        <w:jc w:val="both"/>
        <w:rPr>
          <w:rFonts w:ascii="Cambria" w:eastAsia="Times New Roman" w:hAnsi="Cambria" w:cs="Times New Roman"/>
          <w:color w:val="231F20"/>
          <w:sz w:val="20"/>
          <w:szCs w:val="19"/>
          <w:u w:val="single"/>
        </w:rPr>
      </w:pPr>
    </w:p>
    <w:p w14:paraId="5900BCD9" w14:textId="77777777" w:rsidR="004051AA" w:rsidRPr="008F4444" w:rsidRDefault="004051AA" w:rsidP="00020214">
      <w:pPr>
        <w:numPr>
          <w:ilvl w:val="1"/>
          <w:numId w:val="16"/>
        </w:numPr>
        <w:tabs>
          <w:tab w:val="left" w:pos="851"/>
        </w:tabs>
        <w:autoSpaceDE w:val="0"/>
        <w:autoSpaceDN w:val="0"/>
        <w:ind w:left="993" w:right="-1" w:hanging="567"/>
        <w:contextualSpacing/>
        <w:jc w:val="both"/>
        <w:rPr>
          <w:rFonts w:ascii="Cambria" w:hAnsi="Cambria"/>
          <w:color w:val="221F1F"/>
          <w:sz w:val="20"/>
          <w:szCs w:val="20"/>
          <w:u w:val="single"/>
        </w:rPr>
      </w:pPr>
      <w:r w:rsidRPr="008F4444">
        <w:rPr>
          <w:rFonts w:ascii="Cambria" w:hAnsi="Cambria"/>
          <w:color w:val="221F1F"/>
          <w:sz w:val="20"/>
          <w:u w:val="single"/>
        </w:rPr>
        <w:t>hora estimada de llegada;</w:t>
      </w:r>
    </w:p>
    <w:p w14:paraId="0C59B5EA" w14:textId="77777777" w:rsidR="004051AA" w:rsidRPr="008F4444" w:rsidRDefault="004051AA" w:rsidP="00020214">
      <w:pPr>
        <w:numPr>
          <w:ilvl w:val="1"/>
          <w:numId w:val="16"/>
        </w:numPr>
        <w:tabs>
          <w:tab w:val="left" w:pos="851"/>
        </w:tabs>
        <w:autoSpaceDE w:val="0"/>
        <w:autoSpaceDN w:val="0"/>
        <w:ind w:left="993" w:right="-1" w:hanging="567"/>
        <w:contextualSpacing/>
        <w:jc w:val="both"/>
        <w:rPr>
          <w:rFonts w:ascii="Cambria" w:hAnsi="Cambria"/>
          <w:color w:val="221F1F"/>
          <w:sz w:val="20"/>
          <w:szCs w:val="20"/>
          <w:u w:val="single"/>
        </w:rPr>
      </w:pPr>
      <w:r w:rsidRPr="008F4444">
        <w:rPr>
          <w:rFonts w:ascii="Cambria" w:hAnsi="Cambria"/>
          <w:color w:val="221F1F"/>
          <w:sz w:val="20"/>
          <w:u w:val="single"/>
        </w:rPr>
        <w:t>estimación de la cantidad de atún rojo retenida a bordo;</w:t>
      </w:r>
    </w:p>
    <w:p w14:paraId="68A486C1" w14:textId="77777777" w:rsidR="004051AA" w:rsidRPr="008F4444" w:rsidRDefault="004051AA" w:rsidP="00020214">
      <w:pPr>
        <w:numPr>
          <w:ilvl w:val="1"/>
          <w:numId w:val="16"/>
        </w:numPr>
        <w:tabs>
          <w:tab w:val="left" w:pos="851"/>
        </w:tabs>
        <w:autoSpaceDE w:val="0"/>
        <w:autoSpaceDN w:val="0"/>
        <w:ind w:left="993" w:right="-1" w:hanging="567"/>
        <w:contextualSpacing/>
        <w:jc w:val="both"/>
        <w:rPr>
          <w:rFonts w:ascii="Cambria" w:hAnsi="Cambria"/>
          <w:color w:val="221F1F"/>
          <w:sz w:val="20"/>
          <w:szCs w:val="20"/>
          <w:u w:val="single"/>
        </w:rPr>
      </w:pPr>
      <w:r w:rsidRPr="008F4444">
        <w:rPr>
          <w:rFonts w:ascii="Cambria" w:hAnsi="Cambria"/>
          <w:color w:val="221F1F"/>
          <w:sz w:val="20"/>
          <w:u w:val="single"/>
        </w:rPr>
        <w:t>información sobre la zona geográfica donde se realizó la captura.</w:t>
      </w:r>
    </w:p>
    <w:p w14:paraId="0AD29586" w14:textId="77777777" w:rsidR="004051AA" w:rsidRPr="008F4444" w:rsidRDefault="004051AA" w:rsidP="004051AA">
      <w:pPr>
        <w:autoSpaceDE w:val="0"/>
        <w:autoSpaceDN w:val="0"/>
        <w:spacing w:before="1"/>
        <w:ind w:left="544"/>
        <w:jc w:val="both"/>
        <w:rPr>
          <w:rFonts w:ascii="Cambria" w:eastAsia="Times New Roman" w:hAnsi="Cambria" w:cs="Times New Roman"/>
          <w:color w:val="231F20"/>
          <w:sz w:val="20"/>
          <w:szCs w:val="19"/>
          <w:u w:val="single"/>
        </w:rPr>
      </w:pPr>
    </w:p>
    <w:p w14:paraId="4BBEEF60" w14:textId="77777777" w:rsidR="004051AA" w:rsidRPr="008F4444" w:rsidRDefault="004051AA" w:rsidP="004051AA">
      <w:pPr>
        <w:numPr>
          <w:ilvl w:val="0"/>
          <w:numId w:val="13"/>
        </w:numPr>
        <w:autoSpaceDE w:val="0"/>
        <w:autoSpaceDN w:val="0"/>
        <w:spacing w:before="1"/>
        <w:ind w:left="426" w:hanging="426"/>
        <w:jc w:val="both"/>
        <w:rPr>
          <w:rFonts w:ascii="Cambria" w:eastAsia="Times New Roman" w:hAnsi="Cambria" w:cs="Times New Roman"/>
          <w:color w:val="231F20"/>
          <w:sz w:val="20"/>
          <w:szCs w:val="19"/>
          <w:u w:val="single"/>
        </w:rPr>
      </w:pPr>
      <w:r w:rsidRPr="00020214">
        <w:rPr>
          <w:rFonts w:ascii="Cambria" w:hAnsi="Cambria"/>
          <w:color w:val="231F20"/>
          <w:sz w:val="20"/>
          <w:highlight w:val="green"/>
          <w:u w:val="single"/>
        </w:rPr>
        <w:t>Si los caladeros están a menos</w:t>
      </w:r>
      <w:r w:rsidRPr="008F4444">
        <w:rPr>
          <w:rFonts w:ascii="Cambria" w:hAnsi="Cambria"/>
          <w:color w:val="231F20"/>
          <w:sz w:val="20"/>
          <w:u w:val="single"/>
        </w:rPr>
        <w:t xml:space="preserve"> de cuatro horas del puerto de llegada, las cantidades estimadas de atún rojo que se llevan a bordo podrían modificarse en cualquier momento antes de la llegada.</w:t>
      </w:r>
    </w:p>
    <w:p w14:paraId="76F20A77" w14:textId="77777777" w:rsidR="004051AA" w:rsidRPr="008F4444" w:rsidRDefault="004051AA" w:rsidP="004051AA">
      <w:pPr>
        <w:autoSpaceDE w:val="0"/>
        <w:autoSpaceDN w:val="0"/>
        <w:spacing w:before="1"/>
        <w:jc w:val="both"/>
        <w:rPr>
          <w:rFonts w:ascii="Cambria" w:eastAsia="Times New Roman" w:hAnsi="Cambria" w:cs="Times New Roman"/>
          <w:color w:val="231F20"/>
          <w:sz w:val="20"/>
          <w:szCs w:val="19"/>
          <w:u w:val="single"/>
        </w:rPr>
      </w:pPr>
    </w:p>
    <w:p w14:paraId="3E887A35" w14:textId="77777777" w:rsidR="004051AA" w:rsidRPr="008F4444" w:rsidRDefault="004051AA" w:rsidP="00F95C82">
      <w:pPr>
        <w:autoSpaceDE w:val="0"/>
        <w:autoSpaceDN w:val="0"/>
        <w:spacing w:before="1"/>
        <w:ind w:left="117" w:hanging="117"/>
        <w:jc w:val="both"/>
        <w:rPr>
          <w:rFonts w:ascii="Cambria" w:eastAsia="Times New Roman" w:hAnsi="Cambria" w:cs="Times New Roman"/>
          <w:b/>
          <w:bCs/>
          <w:color w:val="231F20"/>
          <w:sz w:val="20"/>
          <w:szCs w:val="19"/>
          <w:u w:val="single"/>
        </w:rPr>
      </w:pPr>
      <w:r w:rsidRPr="00020214">
        <w:rPr>
          <w:rFonts w:ascii="Cambria" w:hAnsi="Cambria"/>
          <w:b/>
          <w:color w:val="231F20"/>
          <w:sz w:val="20"/>
          <w:highlight w:val="green"/>
          <w:u w:val="single"/>
        </w:rPr>
        <w:t>Medidas comerciales</w:t>
      </w:r>
    </w:p>
    <w:p w14:paraId="14C50A37" w14:textId="77777777" w:rsidR="004051AA" w:rsidRPr="008F4444" w:rsidRDefault="004051AA" w:rsidP="004051AA">
      <w:pPr>
        <w:autoSpaceDE w:val="0"/>
        <w:autoSpaceDN w:val="0"/>
        <w:spacing w:before="1"/>
        <w:ind w:left="117" w:hanging="395"/>
        <w:jc w:val="both"/>
        <w:rPr>
          <w:rFonts w:ascii="Cambria" w:eastAsia="Times New Roman" w:hAnsi="Cambria" w:cs="Times New Roman"/>
          <w:b/>
          <w:bCs/>
          <w:color w:val="231F20"/>
          <w:sz w:val="20"/>
          <w:szCs w:val="19"/>
          <w:u w:val="single"/>
        </w:rPr>
      </w:pPr>
    </w:p>
    <w:p w14:paraId="662593FB" w14:textId="77777777" w:rsidR="004051AA" w:rsidRPr="008F4444" w:rsidRDefault="004051AA" w:rsidP="004051AA">
      <w:pPr>
        <w:numPr>
          <w:ilvl w:val="0"/>
          <w:numId w:val="13"/>
        </w:numPr>
        <w:autoSpaceDE w:val="0"/>
        <w:autoSpaceDN w:val="0"/>
        <w:spacing w:before="1"/>
        <w:ind w:left="426" w:hanging="426"/>
        <w:jc w:val="both"/>
        <w:rPr>
          <w:rFonts w:ascii="Cambria" w:eastAsia="Times New Roman" w:hAnsi="Cambria" w:cs="Times New Roman"/>
          <w:color w:val="231F20"/>
          <w:sz w:val="20"/>
          <w:szCs w:val="19"/>
          <w:u w:val="single"/>
        </w:rPr>
      </w:pPr>
      <w:r w:rsidRPr="00020214">
        <w:rPr>
          <w:rFonts w:ascii="Cambria" w:hAnsi="Cambria"/>
          <w:color w:val="231F20"/>
          <w:sz w:val="20"/>
          <w:highlight w:val="green"/>
          <w:u w:val="single"/>
        </w:rPr>
        <w:t>En consonancia con sus derechos</w:t>
      </w:r>
      <w:r w:rsidRPr="008F4444">
        <w:rPr>
          <w:rFonts w:ascii="Cambria" w:hAnsi="Cambria"/>
          <w:color w:val="231F20"/>
          <w:sz w:val="20"/>
          <w:u w:val="single"/>
        </w:rPr>
        <w:t xml:space="preserve"> y obligaciones, con arreglo a la legislación internacional, las CPC exportadoras e importadoras tomarán las medidas necesarias:</w:t>
      </w:r>
    </w:p>
    <w:p w14:paraId="40218DD4" w14:textId="77777777" w:rsidR="004051AA" w:rsidRPr="000B4A08" w:rsidRDefault="004051AA" w:rsidP="004051AA">
      <w:pPr>
        <w:autoSpaceDE w:val="0"/>
        <w:autoSpaceDN w:val="0"/>
        <w:spacing w:before="1"/>
        <w:ind w:left="426"/>
        <w:jc w:val="both"/>
        <w:rPr>
          <w:rFonts w:ascii="Cambria" w:eastAsia="Times New Roman" w:hAnsi="Cambria" w:cs="Times New Roman"/>
          <w:color w:val="231F20"/>
          <w:sz w:val="20"/>
          <w:szCs w:val="19"/>
          <w:highlight w:val="yellow"/>
          <w:u w:val="single"/>
        </w:rPr>
      </w:pPr>
    </w:p>
    <w:p w14:paraId="4AAAE045" w14:textId="2C9ABBA8" w:rsidR="004051AA" w:rsidRPr="00691F6A" w:rsidRDefault="004051AA" w:rsidP="004051AA">
      <w:pPr>
        <w:numPr>
          <w:ilvl w:val="1"/>
          <w:numId w:val="17"/>
        </w:numPr>
        <w:tabs>
          <w:tab w:val="left" w:pos="851"/>
        </w:tabs>
        <w:autoSpaceDE w:val="0"/>
        <w:autoSpaceDN w:val="0"/>
        <w:ind w:left="851" w:right="-1" w:hanging="425"/>
        <w:contextualSpacing/>
        <w:jc w:val="both"/>
        <w:rPr>
          <w:rFonts w:ascii="Cambria" w:hAnsi="Cambria"/>
          <w:i/>
          <w:iCs/>
          <w:color w:val="221F1F"/>
          <w:sz w:val="20"/>
          <w:u w:val="single"/>
        </w:rPr>
      </w:pPr>
      <w:r w:rsidRPr="00E3481B">
        <w:rPr>
          <w:rFonts w:ascii="Cambria" w:hAnsi="Cambria"/>
          <w:color w:val="221F1F"/>
          <w:sz w:val="20"/>
          <w:u w:val="single"/>
        </w:rPr>
        <w:t xml:space="preserve">para prohibir el comercio interno, desembarques, importaciones, exportaciones, introducción en jaulas para su cría, reexportaciones y transbordos de atún rojo del Atlántico oeste que no vaya acompañado de la documentación precisa, completa y validada requerida por esta </w:t>
      </w:r>
      <w:r w:rsidRPr="00001367">
        <w:rPr>
          <w:rFonts w:ascii="Cambria" w:hAnsi="Cambria"/>
          <w:color w:val="221F1F"/>
          <w:sz w:val="20"/>
          <w:u w:val="single"/>
        </w:rPr>
        <w:t>Recomendación, por la</w:t>
      </w:r>
      <w:r w:rsidRPr="00E3481B">
        <w:rPr>
          <w:rFonts w:ascii="Cambria" w:hAnsi="Cambria"/>
          <w:i/>
          <w:iCs/>
          <w:color w:val="221F1F"/>
          <w:sz w:val="20"/>
          <w:u w:val="single"/>
        </w:rPr>
        <w:t xml:space="preserve"> Recomendación de ICCAT que enmienda y reemplaza la Recomendación 18-13 sobre el programa ICCAT de documentación de capturas de atún rojo</w:t>
      </w:r>
      <w:r w:rsidRPr="00E3481B">
        <w:rPr>
          <w:rFonts w:ascii="Cambria" w:hAnsi="Cambria"/>
          <w:color w:val="221F1F"/>
          <w:sz w:val="20"/>
          <w:u w:val="single"/>
        </w:rPr>
        <w:t xml:space="preserve"> (Rec. 23-21) y la </w:t>
      </w:r>
      <w:r w:rsidR="00691F6A" w:rsidRPr="00691F6A">
        <w:rPr>
          <w:rFonts w:ascii="Cambria" w:hAnsi="Cambria"/>
          <w:i/>
          <w:iCs/>
          <w:color w:val="221F1F"/>
          <w:sz w:val="20"/>
          <w:u w:val="single"/>
        </w:rPr>
        <w:t>Recomendación de ICCAT que enmienda la Recomendación 22-16  que enmienda la Recomendación 21-18 sobre la aplicación del sistema eBCD</w:t>
      </w:r>
      <w:r w:rsidR="00691F6A">
        <w:rPr>
          <w:rFonts w:ascii="Cambria" w:hAnsi="Cambria"/>
          <w:i/>
          <w:iCs/>
          <w:color w:val="221F1F"/>
          <w:sz w:val="20"/>
          <w:u w:val="single"/>
        </w:rPr>
        <w:t xml:space="preserve"> </w:t>
      </w:r>
      <w:r w:rsidRPr="00691F6A">
        <w:rPr>
          <w:rFonts w:ascii="Cambria" w:hAnsi="Cambria"/>
          <w:color w:val="221F1F"/>
          <w:sz w:val="20"/>
          <w:u w:val="single"/>
        </w:rPr>
        <w:t>(Rec. 2</w:t>
      </w:r>
      <w:r w:rsidR="00691F6A" w:rsidRPr="00691F6A">
        <w:rPr>
          <w:rFonts w:ascii="Cambria" w:hAnsi="Cambria"/>
          <w:color w:val="221F1F"/>
          <w:sz w:val="20"/>
          <w:u w:val="single"/>
        </w:rPr>
        <w:t>4</w:t>
      </w:r>
      <w:r w:rsidRPr="00691F6A">
        <w:rPr>
          <w:rFonts w:ascii="Cambria" w:hAnsi="Cambria"/>
          <w:color w:val="221F1F"/>
          <w:sz w:val="20"/>
          <w:u w:val="single"/>
        </w:rPr>
        <w:t>-16)</w:t>
      </w:r>
      <w:r w:rsidRPr="00691F6A">
        <w:rPr>
          <w:rFonts w:ascii="Cambria" w:hAnsi="Cambria"/>
          <w:i/>
          <w:iCs/>
          <w:color w:val="221F1F"/>
          <w:sz w:val="20"/>
          <w:u w:val="single"/>
        </w:rPr>
        <w:t>;</w:t>
      </w:r>
    </w:p>
    <w:p w14:paraId="764C69B1" w14:textId="77777777" w:rsidR="004051AA" w:rsidRPr="00E3481B" w:rsidRDefault="004051AA" w:rsidP="004051AA">
      <w:pPr>
        <w:tabs>
          <w:tab w:val="left" w:pos="851"/>
        </w:tabs>
        <w:autoSpaceDE w:val="0"/>
        <w:autoSpaceDN w:val="0"/>
        <w:ind w:left="851" w:right="-1"/>
        <w:contextualSpacing/>
        <w:jc w:val="both"/>
        <w:rPr>
          <w:rFonts w:ascii="Cambria" w:hAnsi="Cambria"/>
          <w:color w:val="221F1F"/>
          <w:sz w:val="20"/>
          <w:szCs w:val="20"/>
          <w:u w:val="single"/>
        </w:rPr>
      </w:pPr>
    </w:p>
    <w:p w14:paraId="186A99F9" w14:textId="77777777" w:rsidR="004051AA" w:rsidRPr="00E3481B" w:rsidRDefault="004051AA" w:rsidP="004051AA">
      <w:pPr>
        <w:numPr>
          <w:ilvl w:val="1"/>
          <w:numId w:val="17"/>
        </w:numPr>
        <w:tabs>
          <w:tab w:val="left" w:pos="851"/>
        </w:tabs>
        <w:autoSpaceDE w:val="0"/>
        <w:autoSpaceDN w:val="0"/>
        <w:ind w:left="851" w:right="-1" w:hanging="425"/>
        <w:contextualSpacing/>
        <w:jc w:val="both"/>
        <w:rPr>
          <w:rFonts w:ascii="Cambria" w:hAnsi="Cambria"/>
          <w:color w:val="221F1F"/>
          <w:sz w:val="20"/>
          <w:szCs w:val="20"/>
          <w:u w:val="single"/>
        </w:rPr>
      </w:pPr>
      <w:r w:rsidRPr="00E3481B">
        <w:rPr>
          <w:rFonts w:ascii="Cambria" w:hAnsi="Cambria"/>
          <w:color w:val="221F1F"/>
          <w:sz w:val="20"/>
          <w:u w:val="single"/>
        </w:rPr>
        <w:t>para prohibir el comercio interno, las importaciones, desembarques, introducción en jaulas para su cría, transformación, exportaciones, reexportaciones y transbordos dentro de su jurisdicción de atún rojo del Atlántico oeste capturado por los buques pesqueros o almadrabas cuya CPC no dispone de una cuota o límite de captura para esta especie, de conformidad con los términos de las medidas de conservación y ordenación de ICCAT o cuando se hayan agotado las posibilidades de pesca de la CPC o cuando las cuotas individuales de los buques de captura mencionados en el párrafo 9 están agotadas;</w:t>
      </w:r>
    </w:p>
    <w:p w14:paraId="75192138" w14:textId="77777777" w:rsidR="004051AA" w:rsidRPr="00E3481B" w:rsidRDefault="004051AA" w:rsidP="004051AA">
      <w:pPr>
        <w:tabs>
          <w:tab w:val="left" w:pos="851"/>
        </w:tabs>
        <w:autoSpaceDE w:val="0"/>
        <w:autoSpaceDN w:val="0"/>
        <w:ind w:right="-1"/>
        <w:contextualSpacing/>
        <w:jc w:val="both"/>
        <w:rPr>
          <w:rFonts w:ascii="Cambria" w:hAnsi="Cambria"/>
          <w:color w:val="221F1F"/>
          <w:sz w:val="20"/>
          <w:szCs w:val="20"/>
          <w:u w:val="single"/>
        </w:rPr>
      </w:pPr>
    </w:p>
    <w:p w14:paraId="4CA1B64E" w14:textId="77777777" w:rsidR="004051AA" w:rsidRPr="00680C75" w:rsidRDefault="004051AA" w:rsidP="004051AA">
      <w:pPr>
        <w:numPr>
          <w:ilvl w:val="1"/>
          <w:numId w:val="17"/>
        </w:numPr>
        <w:tabs>
          <w:tab w:val="left" w:pos="851"/>
        </w:tabs>
        <w:autoSpaceDE w:val="0"/>
        <w:autoSpaceDN w:val="0"/>
        <w:ind w:left="851" w:right="-1" w:hanging="425"/>
        <w:contextualSpacing/>
        <w:jc w:val="both"/>
        <w:rPr>
          <w:rFonts w:ascii="Cambria" w:hAnsi="Cambria"/>
          <w:color w:val="221F1F"/>
          <w:sz w:val="20"/>
          <w:szCs w:val="20"/>
          <w:u w:val="single"/>
        </w:rPr>
      </w:pPr>
      <w:r w:rsidRPr="00680C75">
        <w:rPr>
          <w:rFonts w:ascii="Cambria" w:hAnsi="Cambria"/>
          <w:color w:val="221F1F"/>
          <w:sz w:val="20"/>
          <w:u w:val="single"/>
        </w:rPr>
        <w:t>para prohibir el comercio interno, importaciones, desembarques, transformación y exportaciones de atún rojo del Atlántico oeste de las granjas que no cumplen las disposiciones relacionadas con la cría especificadas en esta Recomendación.</w:t>
      </w:r>
    </w:p>
    <w:p w14:paraId="4FED8CBD" w14:textId="77777777" w:rsidR="004051AA" w:rsidRPr="00680C75" w:rsidRDefault="004051AA" w:rsidP="004051AA">
      <w:pPr>
        <w:tabs>
          <w:tab w:val="left" w:pos="851"/>
        </w:tabs>
        <w:autoSpaceDE w:val="0"/>
        <w:autoSpaceDN w:val="0"/>
        <w:ind w:left="851" w:right="-1"/>
        <w:contextualSpacing/>
        <w:jc w:val="both"/>
        <w:rPr>
          <w:rFonts w:ascii="Cambria" w:hAnsi="Cambria"/>
          <w:color w:val="221F1F"/>
          <w:sz w:val="20"/>
          <w:szCs w:val="20"/>
          <w:u w:val="single"/>
        </w:rPr>
      </w:pPr>
    </w:p>
    <w:p w14:paraId="72DBA7CC" w14:textId="77777777" w:rsidR="004051AA" w:rsidRPr="00680C75" w:rsidRDefault="004051AA" w:rsidP="004051AA">
      <w:pPr>
        <w:numPr>
          <w:ilvl w:val="0"/>
          <w:numId w:val="13"/>
        </w:numPr>
        <w:autoSpaceDE w:val="0"/>
        <w:autoSpaceDN w:val="0"/>
        <w:spacing w:before="1"/>
        <w:ind w:left="426" w:hanging="426"/>
        <w:jc w:val="both"/>
        <w:rPr>
          <w:rFonts w:ascii="Cambria" w:eastAsia="Times New Roman" w:hAnsi="Cambria" w:cs="Times New Roman"/>
          <w:color w:val="231F20"/>
          <w:sz w:val="20"/>
          <w:szCs w:val="19"/>
          <w:u w:val="single"/>
        </w:rPr>
      </w:pPr>
      <w:r w:rsidRPr="00680C75">
        <w:rPr>
          <w:rFonts w:ascii="Cambria" w:hAnsi="Cambria"/>
          <w:color w:val="231F20"/>
          <w:sz w:val="20"/>
          <w:u w:val="single"/>
        </w:rPr>
        <w:t xml:space="preserve">Las disposiciones contenidas en los párrafos 11 (ordenación de la capacidad), 20, 22, 23 (normas generales sobre capturas fortuitas), 25-33 (pesquerías deportivas y de recreo), 34 (utilización de medios aéreos), 64-66 (requisitos de comunicación de información) y 71-75 (puertos designados) entrarán en vigor el </w:t>
      </w:r>
      <w:r w:rsidRPr="00680C75">
        <w:rPr>
          <w:rFonts w:ascii="Cambria" w:hAnsi="Cambria"/>
          <w:color w:val="231F20"/>
          <w:sz w:val="20"/>
          <w:highlight w:val="cyan"/>
          <w:u w:val="single"/>
        </w:rPr>
        <w:t>1 de enero de 2027</w:t>
      </w:r>
      <w:r w:rsidRPr="00680C75">
        <w:rPr>
          <w:rFonts w:ascii="Cambria" w:hAnsi="Cambria"/>
          <w:color w:val="231F20"/>
          <w:sz w:val="20"/>
          <w:u w:val="single"/>
        </w:rPr>
        <w:t xml:space="preserve">. </w:t>
      </w:r>
    </w:p>
    <w:p w14:paraId="6FC138AA" w14:textId="77777777" w:rsidR="004051AA" w:rsidRPr="00680C75" w:rsidRDefault="004051AA" w:rsidP="004051AA">
      <w:pPr>
        <w:autoSpaceDE w:val="0"/>
        <w:autoSpaceDN w:val="0"/>
        <w:spacing w:before="1"/>
        <w:jc w:val="both"/>
        <w:rPr>
          <w:rFonts w:ascii="Cambria" w:eastAsia="Times New Roman" w:hAnsi="Cambria" w:cs="Times New Roman"/>
          <w:color w:val="231F20"/>
          <w:sz w:val="20"/>
          <w:szCs w:val="19"/>
          <w:u w:val="single"/>
        </w:rPr>
      </w:pPr>
    </w:p>
    <w:p w14:paraId="62A7BFD3" w14:textId="77777777" w:rsidR="004051AA" w:rsidRPr="00680C75" w:rsidRDefault="004051AA" w:rsidP="004051AA">
      <w:pPr>
        <w:numPr>
          <w:ilvl w:val="0"/>
          <w:numId w:val="13"/>
        </w:numPr>
        <w:autoSpaceDE w:val="0"/>
        <w:autoSpaceDN w:val="0"/>
        <w:spacing w:before="1"/>
        <w:ind w:left="426" w:hanging="426"/>
        <w:jc w:val="both"/>
        <w:rPr>
          <w:rFonts w:ascii="Cambria" w:eastAsia="Times New Roman" w:hAnsi="Cambria" w:cs="Times New Roman"/>
          <w:color w:val="231F20"/>
          <w:sz w:val="20"/>
          <w:szCs w:val="19"/>
          <w:u w:val="single"/>
        </w:rPr>
      </w:pPr>
      <w:r w:rsidRPr="00680C75">
        <w:rPr>
          <w:rFonts w:ascii="Cambria" w:hAnsi="Cambria"/>
          <w:color w:val="231F20"/>
          <w:sz w:val="20"/>
          <w:u w:val="single"/>
        </w:rPr>
        <w:t xml:space="preserve">Las disposiciones contenidas en los párrafos 18-19 (transbordos), 67-70 (informes de captura enviados por patrones y operadores de las almadrabas), 76-77 (notificación previa sobre desembarques), 78 (medidas comerciales) entrarán en vigor el </w:t>
      </w:r>
      <w:r w:rsidRPr="00680C75">
        <w:rPr>
          <w:rFonts w:ascii="Cambria" w:hAnsi="Cambria"/>
          <w:color w:val="231F20"/>
          <w:sz w:val="20"/>
          <w:highlight w:val="green"/>
          <w:u w:val="single"/>
        </w:rPr>
        <w:t>1 de enero de 2028</w:t>
      </w:r>
      <w:r w:rsidRPr="00680C75">
        <w:rPr>
          <w:rFonts w:ascii="Cambria" w:hAnsi="Cambria"/>
          <w:color w:val="231F20"/>
          <w:sz w:val="20"/>
          <w:u w:val="single"/>
        </w:rPr>
        <w:t xml:space="preserve">. </w:t>
      </w:r>
    </w:p>
    <w:p w14:paraId="5876FB69" w14:textId="77777777" w:rsidR="004051AA" w:rsidRPr="00680C75" w:rsidRDefault="004051AA" w:rsidP="004051AA">
      <w:pPr>
        <w:autoSpaceDE w:val="0"/>
        <w:autoSpaceDN w:val="0"/>
        <w:spacing w:before="1"/>
        <w:jc w:val="both"/>
        <w:rPr>
          <w:rFonts w:ascii="Cambria" w:eastAsia="Times New Roman" w:hAnsi="Cambria" w:cs="Times New Roman"/>
          <w:color w:val="231F20"/>
          <w:sz w:val="20"/>
          <w:szCs w:val="19"/>
          <w:u w:val="single"/>
        </w:rPr>
      </w:pPr>
    </w:p>
    <w:p w14:paraId="6797CB5A" w14:textId="77777777" w:rsidR="004051AA" w:rsidRPr="00680C75" w:rsidRDefault="004051AA" w:rsidP="004051AA">
      <w:pPr>
        <w:numPr>
          <w:ilvl w:val="0"/>
          <w:numId w:val="13"/>
        </w:numPr>
        <w:autoSpaceDE w:val="0"/>
        <w:autoSpaceDN w:val="0"/>
        <w:spacing w:before="1"/>
        <w:ind w:left="426" w:hanging="426"/>
        <w:jc w:val="both"/>
        <w:rPr>
          <w:rFonts w:ascii="Cambria" w:eastAsia="Times New Roman" w:hAnsi="Cambria" w:cs="Times New Roman"/>
          <w:color w:val="231F20"/>
          <w:sz w:val="20"/>
          <w:szCs w:val="19"/>
          <w:u w:val="single"/>
        </w:rPr>
      </w:pPr>
      <w:r w:rsidRPr="00680C75">
        <w:rPr>
          <w:rFonts w:ascii="Cambria" w:hAnsi="Cambria"/>
          <w:color w:val="231F20"/>
          <w:sz w:val="20"/>
        </w:rPr>
        <w:t>Esta Recomendación revoca y sustituye la</w:t>
      </w:r>
      <w:r w:rsidRPr="00680C75">
        <w:rPr>
          <w:rFonts w:ascii="Cambria" w:hAnsi="Cambria"/>
          <w:color w:val="231F20"/>
          <w:sz w:val="20"/>
          <w:u w:val="single"/>
        </w:rPr>
        <w:t xml:space="preserve"> </w:t>
      </w:r>
      <w:r w:rsidRPr="00680C75">
        <w:rPr>
          <w:rFonts w:ascii="Cambria" w:hAnsi="Cambria"/>
          <w:i/>
          <w:iCs/>
          <w:color w:val="231F20"/>
          <w:sz w:val="20"/>
          <w:u w:val="single"/>
        </w:rPr>
        <w:t>Recomendación de ICCAT para un plan de conservación y ordenación para el atún rojo del Atlántico oeste</w:t>
      </w:r>
      <w:r w:rsidRPr="00680C75">
        <w:rPr>
          <w:rFonts w:ascii="Cambria" w:hAnsi="Cambria"/>
          <w:color w:val="231F20"/>
          <w:sz w:val="20"/>
          <w:u w:val="single"/>
        </w:rPr>
        <w:t xml:space="preserve"> (Rec. 22-10).</w:t>
      </w:r>
    </w:p>
    <w:p w14:paraId="45611E3A" w14:textId="77777777" w:rsidR="004051AA" w:rsidRPr="000B4A08" w:rsidRDefault="004051AA" w:rsidP="004051AA">
      <w:pPr>
        <w:ind w:left="720"/>
        <w:contextualSpacing/>
        <w:rPr>
          <w:rFonts w:ascii="Cambria" w:hAnsi="Cambria"/>
          <w:color w:val="231F20"/>
          <w:sz w:val="20"/>
          <w:u w:val="single"/>
        </w:rPr>
      </w:pPr>
    </w:p>
    <w:p w14:paraId="23056A69" w14:textId="5FB1E6F0" w:rsidR="005D5654" w:rsidRPr="004051AA" w:rsidRDefault="004051AA" w:rsidP="004051AA">
      <w:pPr>
        <w:widowControl/>
        <w:spacing w:after="160" w:line="278" w:lineRule="auto"/>
        <w:rPr>
          <w:rFonts w:ascii="Cambria" w:eastAsia="Cambria" w:hAnsi="Cambria" w:cs="Cambria"/>
          <w:b/>
          <w:bCs/>
          <w:sz w:val="20"/>
          <w:u w:val="single"/>
        </w:rPr>
      </w:pPr>
      <w:r>
        <w:br w:type="page"/>
      </w:r>
    </w:p>
    <w:p w14:paraId="4D1CEABB" w14:textId="77777777" w:rsidR="004051AA" w:rsidRPr="007448F8" w:rsidRDefault="004051AA" w:rsidP="004051AA">
      <w:pPr>
        <w:tabs>
          <w:tab w:val="left" w:pos="545"/>
        </w:tabs>
        <w:autoSpaceDE w:val="0"/>
        <w:autoSpaceDN w:val="0"/>
        <w:ind w:right="-1"/>
        <w:jc w:val="right"/>
        <w:rPr>
          <w:rFonts w:asciiTheme="minorHAnsi" w:eastAsia="Cambria" w:hAnsiTheme="minorHAnsi" w:cs="Cambria"/>
          <w:b/>
          <w:bCs/>
          <w:sz w:val="20"/>
          <w:szCs w:val="20"/>
          <w:u w:val="single"/>
        </w:rPr>
      </w:pPr>
      <w:r w:rsidRPr="007448F8">
        <w:rPr>
          <w:rFonts w:asciiTheme="minorHAnsi" w:hAnsiTheme="minorHAnsi"/>
          <w:b/>
          <w:sz w:val="20"/>
          <w:szCs w:val="20"/>
          <w:u w:val="single"/>
        </w:rPr>
        <w:t>Anexo 1</w:t>
      </w:r>
    </w:p>
    <w:p w14:paraId="6965EEA8" w14:textId="77777777" w:rsidR="004051AA" w:rsidRPr="007448F8" w:rsidRDefault="004051AA" w:rsidP="004051AA">
      <w:pPr>
        <w:tabs>
          <w:tab w:val="left" w:pos="545"/>
        </w:tabs>
        <w:autoSpaceDE w:val="0"/>
        <w:autoSpaceDN w:val="0"/>
        <w:ind w:right="395"/>
        <w:jc w:val="right"/>
        <w:rPr>
          <w:rFonts w:asciiTheme="minorHAnsi" w:eastAsia="Cambria" w:hAnsiTheme="minorHAnsi" w:cs="Cambria"/>
          <w:b/>
          <w:bCs/>
          <w:sz w:val="20"/>
          <w:szCs w:val="20"/>
          <w:u w:val="single"/>
        </w:rPr>
      </w:pPr>
    </w:p>
    <w:p w14:paraId="0681A45C" w14:textId="77777777" w:rsidR="004051AA" w:rsidRPr="007448F8" w:rsidRDefault="004051AA" w:rsidP="004051AA">
      <w:pPr>
        <w:tabs>
          <w:tab w:val="left" w:pos="545"/>
        </w:tabs>
        <w:autoSpaceDE w:val="0"/>
        <w:autoSpaceDN w:val="0"/>
        <w:ind w:right="397"/>
        <w:jc w:val="center"/>
        <w:rPr>
          <w:rFonts w:asciiTheme="minorHAnsi" w:eastAsia="Cambria" w:hAnsiTheme="minorHAnsi" w:cs="Cambria"/>
          <w:b/>
          <w:bCs/>
          <w:sz w:val="20"/>
          <w:szCs w:val="20"/>
          <w:u w:val="single"/>
        </w:rPr>
      </w:pPr>
      <w:r w:rsidRPr="007448F8">
        <w:rPr>
          <w:rFonts w:asciiTheme="minorHAnsi" w:hAnsiTheme="minorHAnsi"/>
          <w:b/>
          <w:sz w:val="20"/>
          <w:szCs w:val="20"/>
          <w:u w:val="single"/>
        </w:rPr>
        <w:t>Información mínima para las autorizaciones de pesca</w:t>
      </w:r>
    </w:p>
    <w:p w14:paraId="368B2488" w14:textId="77777777" w:rsidR="004051AA" w:rsidRPr="007448F8" w:rsidRDefault="004051AA" w:rsidP="004051AA">
      <w:pPr>
        <w:tabs>
          <w:tab w:val="left" w:pos="545"/>
        </w:tabs>
        <w:autoSpaceDE w:val="0"/>
        <w:autoSpaceDN w:val="0"/>
        <w:ind w:right="397"/>
        <w:jc w:val="center"/>
        <w:rPr>
          <w:rFonts w:asciiTheme="minorHAnsi" w:eastAsia="Cambria" w:hAnsiTheme="minorHAnsi" w:cs="Cambria"/>
          <w:b/>
          <w:bCs/>
          <w:sz w:val="20"/>
          <w:szCs w:val="20"/>
          <w:u w:val="single"/>
        </w:rPr>
      </w:pPr>
    </w:p>
    <w:p w14:paraId="13053759" w14:textId="77777777" w:rsidR="004051AA" w:rsidRPr="007448F8" w:rsidRDefault="004051AA" w:rsidP="004051AA">
      <w:pPr>
        <w:tabs>
          <w:tab w:val="left" w:pos="545"/>
        </w:tabs>
        <w:autoSpaceDE w:val="0"/>
        <w:autoSpaceDN w:val="0"/>
        <w:ind w:right="397"/>
        <w:jc w:val="both"/>
        <w:rPr>
          <w:rFonts w:asciiTheme="minorHAnsi" w:eastAsia="Cambria" w:hAnsiTheme="minorHAnsi" w:cs="Cambria"/>
          <w:sz w:val="20"/>
          <w:szCs w:val="20"/>
          <w:u w:val="single"/>
        </w:rPr>
      </w:pPr>
      <w:r w:rsidRPr="007448F8">
        <w:rPr>
          <w:rFonts w:asciiTheme="minorHAnsi" w:hAnsiTheme="minorHAnsi"/>
          <w:sz w:val="20"/>
          <w:szCs w:val="20"/>
          <w:u w:val="single"/>
        </w:rPr>
        <w:t xml:space="preserve">A.   IDENTIFICACIÓN </w:t>
      </w:r>
    </w:p>
    <w:p w14:paraId="4A28FED0" w14:textId="77777777" w:rsidR="004051AA" w:rsidRPr="007448F8" w:rsidRDefault="004051AA" w:rsidP="004051AA">
      <w:pPr>
        <w:tabs>
          <w:tab w:val="left" w:pos="545"/>
        </w:tabs>
        <w:autoSpaceDE w:val="0"/>
        <w:autoSpaceDN w:val="0"/>
        <w:ind w:right="397"/>
        <w:jc w:val="both"/>
        <w:rPr>
          <w:rFonts w:asciiTheme="minorHAnsi" w:eastAsia="Cambria" w:hAnsiTheme="minorHAnsi" w:cs="Cambria"/>
          <w:sz w:val="20"/>
          <w:szCs w:val="20"/>
          <w:u w:val="single"/>
        </w:rPr>
      </w:pPr>
    </w:p>
    <w:p w14:paraId="21C45538" w14:textId="77777777" w:rsidR="004051AA" w:rsidRPr="007448F8"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r w:rsidRPr="007448F8">
        <w:rPr>
          <w:rFonts w:asciiTheme="minorHAnsi" w:hAnsiTheme="minorHAnsi"/>
          <w:sz w:val="20"/>
          <w:szCs w:val="20"/>
          <w:u w:val="single"/>
        </w:rPr>
        <w:t>1.</w:t>
      </w:r>
      <w:r w:rsidRPr="007448F8">
        <w:rPr>
          <w:rFonts w:asciiTheme="minorHAnsi" w:hAnsiTheme="minorHAnsi"/>
          <w:sz w:val="20"/>
          <w:szCs w:val="20"/>
          <w:u w:val="single"/>
        </w:rPr>
        <w:tab/>
        <w:t xml:space="preserve">N.º registro ICCAT </w:t>
      </w:r>
    </w:p>
    <w:p w14:paraId="04060F27" w14:textId="77777777" w:rsidR="004051AA" w:rsidRPr="007448F8"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r w:rsidRPr="007448F8">
        <w:rPr>
          <w:rFonts w:asciiTheme="minorHAnsi" w:hAnsiTheme="minorHAnsi"/>
          <w:sz w:val="20"/>
          <w:szCs w:val="20"/>
          <w:u w:val="single"/>
        </w:rPr>
        <w:t>2.</w:t>
      </w:r>
      <w:r w:rsidRPr="007448F8">
        <w:rPr>
          <w:rFonts w:asciiTheme="minorHAnsi" w:hAnsiTheme="minorHAnsi"/>
          <w:sz w:val="20"/>
          <w:szCs w:val="20"/>
          <w:u w:val="single"/>
        </w:rPr>
        <w:tab/>
        <w:t xml:space="preserve">Nombre del buque pesquero </w:t>
      </w:r>
    </w:p>
    <w:p w14:paraId="777FFB6B" w14:textId="77777777" w:rsidR="004051AA" w:rsidRPr="007448F8"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r w:rsidRPr="007448F8">
        <w:rPr>
          <w:rFonts w:asciiTheme="minorHAnsi" w:hAnsiTheme="minorHAnsi"/>
          <w:sz w:val="20"/>
          <w:szCs w:val="20"/>
          <w:u w:val="single"/>
        </w:rPr>
        <w:t>3.</w:t>
      </w:r>
      <w:r w:rsidRPr="007448F8">
        <w:rPr>
          <w:rFonts w:asciiTheme="minorHAnsi" w:hAnsiTheme="minorHAnsi"/>
          <w:sz w:val="20"/>
          <w:szCs w:val="20"/>
          <w:u w:val="single"/>
        </w:rPr>
        <w:tab/>
        <w:t>Número de registro externo (letras y números)</w:t>
      </w:r>
    </w:p>
    <w:p w14:paraId="03DD372E" w14:textId="77777777" w:rsidR="004051AA" w:rsidRPr="007448F8"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r w:rsidRPr="007448F8">
        <w:rPr>
          <w:rFonts w:asciiTheme="minorHAnsi" w:hAnsiTheme="minorHAnsi"/>
          <w:sz w:val="20"/>
          <w:szCs w:val="20"/>
          <w:u w:val="single"/>
        </w:rPr>
        <w:t>4.</w:t>
      </w:r>
      <w:r w:rsidRPr="007448F8">
        <w:rPr>
          <w:rFonts w:asciiTheme="minorHAnsi" w:hAnsiTheme="minorHAnsi"/>
          <w:sz w:val="20"/>
          <w:szCs w:val="20"/>
          <w:u w:val="single"/>
        </w:rPr>
        <w:tab/>
        <w:t xml:space="preserve">Número OMI, si lo hubiera </w:t>
      </w:r>
    </w:p>
    <w:p w14:paraId="589A8433" w14:textId="77777777" w:rsidR="004051AA" w:rsidRPr="007448F8" w:rsidRDefault="004051AA" w:rsidP="004051AA">
      <w:pPr>
        <w:tabs>
          <w:tab w:val="left" w:pos="545"/>
        </w:tabs>
        <w:autoSpaceDE w:val="0"/>
        <w:autoSpaceDN w:val="0"/>
        <w:ind w:left="972" w:right="397" w:hanging="427"/>
        <w:jc w:val="both"/>
        <w:rPr>
          <w:rFonts w:asciiTheme="minorHAnsi" w:eastAsia="Cambria" w:hAnsiTheme="minorHAnsi" w:cs="Cambria"/>
          <w:sz w:val="20"/>
          <w:szCs w:val="20"/>
          <w:u w:val="single"/>
        </w:rPr>
      </w:pPr>
    </w:p>
    <w:p w14:paraId="3ACE83FA" w14:textId="77777777" w:rsidR="004051AA" w:rsidRPr="007448F8" w:rsidRDefault="004051AA" w:rsidP="007448F8">
      <w:pPr>
        <w:tabs>
          <w:tab w:val="left" w:pos="284"/>
        </w:tabs>
        <w:autoSpaceDE w:val="0"/>
        <w:autoSpaceDN w:val="0"/>
        <w:ind w:right="397"/>
        <w:jc w:val="both"/>
        <w:rPr>
          <w:rFonts w:asciiTheme="minorHAnsi" w:eastAsia="Cambria" w:hAnsiTheme="minorHAnsi" w:cs="Cambria"/>
          <w:sz w:val="20"/>
          <w:szCs w:val="20"/>
          <w:u w:val="single"/>
        </w:rPr>
      </w:pPr>
      <w:r w:rsidRPr="007448F8">
        <w:rPr>
          <w:rFonts w:asciiTheme="minorHAnsi" w:hAnsiTheme="minorHAnsi"/>
          <w:sz w:val="20"/>
          <w:szCs w:val="20"/>
          <w:u w:val="single"/>
        </w:rPr>
        <w:t>B.</w:t>
      </w:r>
      <w:r w:rsidRPr="007448F8">
        <w:rPr>
          <w:rFonts w:asciiTheme="minorHAnsi" w:hAnsiTheme="minorHAnsi"/>
          <w:sz w:val="20"/>
          <w:szCs w:val="20"/>
          <w:u w:val="single"/>
        </w:rPr>
        <w:tab/>
        <w:t xml:space="preserve">CONDICIONES PARA LA PESCA </w:t>
      </w:r>
    </w:p>
    <w:p w14:paraId="1FA9D36E" w14:textId="77777777" w:rsidR="004051AA" w:rsidRPr="007448F8" w:rsidRDefault="004051AA" w:rsidP="004051AA">
      <w:pPr>
        <w:tabs>
          <w:tab w:val="left" w:pos="545"/>
        </w:tabs>
        <w:autoSpaceDE w:val="0"/>
        <w:autoSpaceDN w:val="0"/>
        <w:ind w:right="397"/>
        <w:jc w:val="both"/>
        <w:rPr>
          <w:rFonts w:asciiTheme="minorHAnsi" w:eastAsia="Cambria" w:hAnsiTheme="minorHAnsi" w:cs="Cambria"/>
          <w:sz w:val="20"/>
          <w:szCs w:val="20"/>
          <w:u w:val="single"/>
        </w:rPr>
      </w:pPr>
    </w:p>
    <w:p w14:paraId="5120F2FC" w14:textId="77777777" w:rsidR="004051AA" w:rsidRPr="007448F8"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r w:rsidRPr="007448F8">
        <w:rPr>
          <w:rFonts w:asciiTheme="minorHAnsi" w:hAnsiTheme="minorHAnsi"/>
          <w:sz w:val="20"/>
          <w:szCs w:val="20"/>
          <w:u w:val="single"/>
        </w:rPr>
        <w:t>1.</w:t>
      </w:r>
      <w:r w:rsidRPr="007448F8">
        <w:rPr>
          <w:rFonts w:asciiTheme="minorHAnsi" w:hAnsiTheme="minorHAnsi"/>
          <w:sz w:val="20"/>
          <w:szCs w:val="20"/>
          <w:u w:val="single"/>
        </w:rPr>
        <w:tab/>
        <w:t xml:space="preserve">Fecha de expedición </w:t>
      </w:r>
    </w:p>
    <w:p w14:paraId="78168715" w14:textId="77777777" w:rsidR="004051AA" w:rsidRPr="007448F8"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r w:rsidRPr="007448F8">
        <w:rPr>
          <w:rFonts w:asciiTheme="minorHAnsi" w:hAnsiTheme="minorHAnsi"/>
          <w:sz w:val="20"/>
          <w:szCs w:val="20"/>
          <w:u w:val="single"/>
        </w:rPr>
        <w:t>2.</w:t>
      </w:r>
      <w:r w:rsidRPr="007448F8">
        <w:rPr>
          <w:rFonts w:asciiTheme="minorHAnsi" w:hAnsiTheme="minorHAnsi"/>
          <w:sz w:val="20"/>
          <w:szCs w:val="20"/>
          <w:u w:val="single"/>
        </w:rPr>
        <w:tab/>
        <w:t xml:space="preserve">Periodo de validez </w:t>
      </w:r>
    </w:p>
    <w:p w14:paraId="13493328" w14:textId="77777777" w:rsidR="004051AA" w:rsidRPr="007448F8"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r w:rsidRPr="007448F8">
        <w:rPr>
          <w:rFonts w:asciiTheme="minorHAnsi" w:hAnsiTheme="minorHAnsi"/>
          <w:sz w:val="20"/>
          <w:szCs w:val="20"/>
          <w:u w:val="single"/>
        </w:rPr>
        <w:t>3.</w:t>
      </w:r>
      <w:r w:rsidRPr="007448F8">
        <w:rPr>
          <w:rFonts w:asciiTheme="minorHAnsi" w:hAnsiTheme="minorHAnsi"/>
          <w:sz w:val="20"/>
          <w:szCs w:val="20"/>
          <w:u w:val="single"/>
        </w:rPr>
        <w:tab/>
        <w:t xml:space="preserve">Condiciones de la autorización para pescar, lo que incluye, cuando proceda, las especies, la zona, el arte pesquero y cualquier otra condición aplicable derivada de esta Recomendación y/o de la legislación nacional. </w:t>
      </w:r>
    </w:p>
    <w:p w14:paraId="7A3C4930" w14:textId="77777777" w:rsidR="004051AA" w:rsidRPr="007448F8" w:rsidRDefault="004051AA" w:rsidP="004051AA">
      <w:pPr>
        <w:tabs>
          <w:tab w:val="left" w:pos="545"/>
        </w:tabs>
        <w:autoSpaceDE w:val="0"/>
        <w:autoSpaceDN w:val="0"/>
        <w:spacing w:before="140"/>
        <w:ind w:left="567" w:right="395"/>
        <w:jc w:val="both"/>
        <w:rPr>
          <w:rFonts w:asciiTheme="minorHAnsi" w:eastAsia="Cambria" w:hAnsiTheme="minorHAnsi" w:cs="Cambria"/>
          <w:sz w:val="20"/>
          <w:szCs w:val="20"/>
          <w:u w:val="single"/>
        </w:rPr>
      </w:pPr>
    </w:p>
    <w:tbl>
      <w:tblPr>
        <w:tblStyle w:val="TableGrid"/>
        <w:tblW w:w="0" w:type="auto"/>
        <w:tblInd w:w="567" w:type="dxa"/>
        <w:tblLook w:val="04A0" w:firstRow="1" w:lastRow="0" w:firstColumn="1" w:lastColumn="0" w:noHBand="0" w:noVBand="1"/>
      </w:tblPr>
      <w:tblGrid>
        <w:gridCol w:w="1474"/>
        <w:gridCol w:w="1404"/>
        <w:gridCol w:w="1404"/>
        <w:gridCol w:w="1404"/>
        <w:gridCol w:w="1404"/>
        <w:gridCol w:w="1404"/>
      </w:tblGrid>
      <w:tr w:rsidR="004051AA" w:rsidRPr="007448F8" w14:paraId="36229D04" w14:textId="77777777" w:rsidTr="005D5DF3">
        <w:tc>
          <w:tcPr>
            <w:tcW w:w="1539" w:type="dxa"/>
          </w:tcPr>
          <w:p w14:paraId="75D0B776"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p>
        </w:tc>
        <w:tc>
          <w:tcPr>
            <w:tcW w:w="1540" w:type="dxa"/>
          </w:tcPr>
          <w:p w14:paraId="631B21FA"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r w:rsidRPr="007448F8">
              <w:rPr>
                <w:rFonts w:asciiTheme="minorHAnsi" w:hAnsiTheme="minorHAnsi"/>
                <w:sz w:val="20"/>
                <w:szCs w:val="20"/>
                <w:u w:val="single"/>
              </w:rPr>
              <w:t xml:space="preserve">Desde ... hasta ... </w:t>
            </w:r>
          </w:p>
        </w:tc>
        <w:tc>
          <w:tcPr>
            <w:tcW w:w="1540" w:type="dxa"/>
          </w:tcPr>
          <w:p w14:paraId="22F35441"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r w:rsidRPr="007448F8">
              <w:rPr>
                <w:rFonts w:asciiTheme="minorHAnsi" w:hAnsiTheme="minorHAnsi"/>
                <w:sz w:val="20"/>
                <w:szCs w:val="20"/>
                <w:u w:val="single"/>
              </w:rPr>
              <w:t xml:space="preserve">Desde ... hasta ... </w:t>
            </w:r>
          </w:p>
        </w:tc>
        <w:tc>
          <w:tcPr>
            <w:tcW w:w="1540" w:type="dxa"/>
          </w:tcPr>
          <w:p w14:paraId="6BF412AF"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r w:rsidRPr="007448F8">
              <w:rPr>
                <w:rFonts w:asciiTheme="minorHAnsi" w:hAnsiTheme="minorHAnsi"/>
                <w:sz w:val="20"/>
                <w:szCs w:val="20"/>
                <w:u w:val="single"/>
              </w:rPr>
              <w:t xml:space="preserve">Desde ... hasta ... </w:t>
            </w:r>
          </w:p>
        </w:tc>
        <w:tc>
          <w:tcPr>
            <w:tcW w:w="1540" w:type="dxa"/>
          </w:tcPr>
          <w:p w14:paraId="0D7DB1F2"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r w:rsidRPr="007448F8">
              <w:rPr>
                <w:rFonts w:asciiTheme="minorHAnsi" w:hAnsiTheme="minorHAnsi"/>
                <w:sz w:val="20"/>
                <w:szCs w:val="20"/>
                <w:u w:val="single"/>
              </w:rPr>
              <w:t xml:space="preserve">Desde ... hasta ... </w:t>
            </w:r>
          </w:p>
        </w:tc>
        <w:tc>
          <w:tcPr>
            <w:tcW w:w="1540" w:type="dxa"/>
          </w:tcPr>
          <w:p w14:paraId="2A2059D2"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r w:rsidRPr="007448F8">
              <w:rPr>
                <w:rFonts w:asciiTheme="minorHAnsi" w:hAnsiTheme="minorHAnsi"/>
                <w:sz w:val="20"/>
                <w:szCs w:val="20"/>
                <w:u w:val="single"/>
              </w:rPr>
              <w:t xml:space="preserve">Desde ... hasta ... </w:t>
            </w:r>
          </w:p>
        </w:tc>
      </w:tr>
      <w:tr w:rsidR="004051AA" w:rsidRPr="007448F8" w14:paraId="4096E17F" w14:textId="77777777" w:rsidTr="005D5DF3">
        <w:tc>
          <w:tcPr>
            <w:tcW w:w="1539" w:type="dxa"/>
          </w:tcPr>
          <w:p w14:paraId="68EE601E"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r w:rsidRPr="007448F8">
              <w:rPr>
                <w:rFonts w:asciiTheme="minorHAnsi" w:hAnsiTheme="minorHAnsi"/>
                <w:sz w:val="20"/>
                <w:szCs w:val="20"/>
                <w:u w:val="single"/>
              </w:rPr>
              <w:t>Zonas</w:t>
            </w:r>
          </w:p>
        </w:tc>
        <w:tc>
          <w:tcPr>
            <w:tcW w:w="1540" w:type="dxa"/>
          </w:tcPr>
          <w:p w14:paraId="1BEA4B8C"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p>
        </w:tc>
        <w:tc>
          <w:tcPr>
            <w:tcW w:w="1540" w:type="dxa"/>
          </w:tcPr>
          <w:p w14:paraId="0660FBE0"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p>
        </w:tc>
        <w:tc>
          <w:tcPr>
            <w:tcW w:w="1540" w:type="dxa"/>
          </w:tcPr>
          <w:p w14:paraId="51AB74D3"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p>
        </w:tc>
        <w:tc>
          <w:tcPr>
            <w:tcW w:w="1540" w:type="dxa"/>
          </w:tcPr>
          <w:p w14:paraId="39ADA230"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p>
        </w:tc>
        <w:tc>
          <w:tcPr>
            <w:tcW w:w="1540" w:type="dxa"/>
          </w:tcPr>
          <w:p w14:paraId="5533D59E"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p>
        </w:tc>
      </w:tr>
      <w:tr w:rsidR="004051AA" w:rsidRPr="007448F8" w14:paraId="3E9A19B3" w14:textId="77777777" w:rsidTr="005D5DF3">
        <w:tc>
          <w:tcPr>
            <w:tcW w:w="1539" w:type="dxa"/>
          </w:tcPr>
          <w:p w14:paraId="77558978"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r w:rsidRPr="007448F8">
              <w:rPr>
                <w:rFonts w:asciiTheme="minorHAnsi" w:hAnsiTheme="minorHAnsi"/>
                <w:sz w:val="20"/>
                <w:szCs w:val="20"/>
                <w:u w:val="single"/>
              </w:rPr>
              <w:t>Especies</w:t>
            </w:r>
          </w:p>
        </w:tc>
        <w:tc>
          <w:tcPr>
            <w:tcW w:w="1540" w:type="dxa"/>
          </w:tcPr>
          <w:p w14:paraId="2787B39C"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p>
        </w:tc>
        <w:tc>
          <w:tcPr>
            <w:tcW w:w="1540" w:type="dxa"/>
          </w:tcPr>
          <w:p w14:paraId="1C023A9F"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p>
        </w:tc>
        <w:tc>
          <w:tcPr>
            <w:tcW w:w="1540" w:type="dxa"/>
          </w:tcPr>
          <w:p w14:paraId="1C8F9C2A"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p>
        </w:tc>
        <w:tc>
          <w:tcPr>
            <w:tcW w:w="1540" w:type="dxa"/>
          </w:tcPr>
          <w:p w14:paraId="4C66A5CA"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p>
        </w:tc>
        <w:tc>
          <w:tcPr>
            <w:tcW w:w="1540" w:type="dxa"/>
          </w:tcPr>
          <w:p w14:paraId="18F30882"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p>
        </w:tc>
      </w:tr>
      <w:tr w:rsidR="004051AA" w:rsidRPr="007448F8" w14:paraId="72089B2B" w14:textId="77777777" w:rsidTr="005D5DF3">
        <w:tc>
          <w:tcPr>
            <w:tcW w:w="1539" w:type="dxa"/>
          </w:tcPr>
          <w:p w14:paraId="38D8C3E4"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r w:rsidRPr="007448F8">
              <w:rPr>
                <w:rFonts w:asciiTheme="minorHAnsi" w:hAnsiTheme="minorHAnsi"/>
                <w:sz w:val="20"/>
                <w:szCs w:val="20"/>
                <w:u w:val="single"/>
              </w:rPr>
              <w:t>Arte de pesca</w:t>
            </w:r>
          </w:p>
        </w:tc>
        <w:tc>
          <w:tcPr>
            <w:tcW w:w="1540" w:type="dxa"/>
          </w:tcPr>
          <w:p w14:paraId="6EDFCFD3"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p>
        </w:tc>
        <w:tc>
          <w:tcPr>
            <w:tcW w:w="1540" w:type="dxa"/>
          </w:tcPr>
          <w:p w14:paraId="1B34D53B"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p>
        </w:tc>
        <w:tc>
          <w:tcPr>
            <w:tcW w:w="1540" w:type="dxa"/>
          </w:tcPr>
          <w:p w14:paraId="54E4EA69"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p>
        </w:tc>
        <w:tc>
          <w:tcPr>
            <w:tcW w:w="1540" w:type="dxa"/>
          </w:tcPr>
          <w:p w14:paraId="6D019DE7"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p>
        </w:tc>
        <w:tc>
          <w:tcPr>
            <w:tcW w:w="1540" w:type="dxa"/>
          </w:tcPr>
          <w:p w14:paraId="72138600"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p>
        </w:tc>
      </w:tr>
      <w:tr w:rsidR="004051AA" w:rsidRPr="007448F8" w14:paraId="1A55F444" w14:textId="77777777" w:rsidTr="005D5DF3">
        <w:tc>
          <w:tcPr>
            <w:tcW w:w="1539" w:type="dxa"/>
          </w:tcPr>
          <w:p w14:paraId="4F35B37C"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r w:rsidRPr="007448F8">
              <w:rPr>
                <w:rFonts w:asciiTheme="minorHAnsi" w:hAnsiTheme="minorHAnsi"/>
                <w:sz w:val="20"/>
                <w:szCs w:val="20"/>
                <w:u w:val="single"/>
              </w:rPr>
              <w:t xml:space="preserve">Otros </w:t>
            </w:r>
          </w:p>
        </w:tc>
        <w:tc>
          <w:tcPr>
            <w:tcW w:w="1540" w:type="dxa"/>
          </w:tcPr>
          <w:p w14:paraId="5A33876B"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p>
        </w:tc>
        <w:tc>
          <w:tcPr>
            <w:tcW w:w="1540" w:type="dxa"/>
          </w:tcPr>
          <w:p w14:paraId="05DEF8E1"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p>
        </w:tc>
        <w:tc>
          <w:tcPr>
            <w:tcW w:w="1540" w:type="dxa"/>
          </w:tcPr>
          <w:p w14:paraId="55FE7D85"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p>
        </w:tc>
        <w:tc>
          <w:tcPr>
            <w:tcW w:w="1540" w:type="dxa"/>
          </w:tcPr>
          <w:p w14:paraId="1F22307C"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p>
        </w:tc>
        <w:tc>
          <w:tcPr>
            <w:tcW w:w="1540" w:type="dxa"/>
          </w:tcPr>
          <w:p w14:paraId="7DAABE5D" w14:textId="77777777" w:rsidR="004051AA" w:rsidRPr="007448F8" w:rsidRDefault="004051AA" w:rsidP="004051AA">
            <w:pPr>
              <w:tabs>
                <w:tab w:val="left" w:pos="545"/>
              </w:tabs>
              <w:spacing w:before="140"/>
              <w:ind w:right="395"/>
              <w:jc w:val="both"/>
              <w:rPr>
                <w:rFonts w:asciiTheme="minorHAnsi" w:eastAsia="Cambria" w:hAnsiTheme="minorHAnsi" w:cs="Cambria"/>
                <w:strike/>
                <w:sz w:val="20"/>
                <w:szCs w:val="20"/>
                <w:u w:val="single"/>
              </w:rPr>
            </w:pPr>
          </w:p>
        </w:tc>
      </w:tr>
    </w:tbl>
    <w:p w14:paraId="6E889F8E" w14:textId="77777777" w:rsidR="004051AA" w:rsidRPr="007448F8" w:rsidRDefault="004051AA" w:rsidP="004051AA">
      <w:pPr>
        <w:tabs>
          <w:tab w:val="left" w:pos="545"/>
        </w:tabs>
        <w:autoSpaceDE w:val="0"/>
        <w:autoSpaceDN w:val="0"/>
        <w:spacing w:before="140"/>
        <w:ind w:left="567" w:right="395"/>
        <w:jc w:val="both"/>
        <w:rPr>
          <w:rFonts w:asciiTheme="minorHAnsi" w:eastAsia="Cambria" w:hAnsiTheme="minorHAnsi" w:cs="Cambria"/>
          <w:strike/>
          <w:sz w:val="20"/>
          <w:szCs w:val="20"/>
          <w:u w:val="single"/>
        </w:rPr>
      </w:pPr>
    </w:p>
    <w:p w14:paraId="0A5DF609" w14:textId="77777777" w:rsidR="004051AA" w:rsidRPr="007448F8" w:rsidRDefault="004051AA" w:rsidP="004051AA">
      <w:pPr>
        <w:autoSpaceDE w:val="0"/>
        <w:autoSpaceDN w:val="0"/>
        <w:rPr>
          <w:rFonts w:asciiTheme="minorHAnsi" w:eastAsia="Cambria" w:hAnsiTheme="minorHAnsi" w:cs="Cambria"/>
          <w:strike/>
          <w:sz w:val="20"/>
          <w:szCs w:val="20"/>
          <w:u w:val="single"/>
        </w:rPr>
      </w:pPr>
      <w:r w:rsidRPr="007448F8">
        <w:rPr>
          <w:rFonts w:asciiTheme="minorHAnsi" w:hAnsiTheme="minorHAnsi"/>
          <w:sz w:val="20"/>
          <w:szCs w:val="20"/>
        </w:rPr>
        <w:br w:type="page"/>
      </w:r>
    </w:p>
    <w:p w14:paraId="51B47D07" w14:textId="77777777" w:rsidR="004051AA" w:rsidRPr="007448F8" w:rsidRDefault="004051AA" w:rsidP="004051AA">
      <w:pPr>
        <w:tabs>
          <w:tab w:val="left" w:pos="545"/>
        </w:tabs>
        <w:autoSpaceDE w:val="0"/>
        <w:autoSpaceDN w:val="0"/>
        <w:spacing w:before="140"/>
        <w:ind w:right="-1"/>
        <w:jc w:val="right"/>
        <w:rPr>
          <w:rFonts w:asciiTheme="minorHAnsi" w:eastAsia="Cambria" w:hAnsiTheme="minorHAnsi" w:cs="Cambria"/>
          <w:b/>
          <w:bCs/>
          <w:sz w:val="20"/>
          <w:szCs w:val="20"/>
          <w:u w:val="single"/>
        </w:rPr>
      </w:pPr>
      <w:r w:rsidRPr="007448F8">
        <w:rPr>
          <w:rFonts w:asciiTheme="minorHAnsi" w:hAnsiTheme="minorHAnsi"/>
          <w:b/>
          <w:sz w:val="20"/>
          <w:szCs w:val="20"/>
          <w:u w:val="single"/>
        </w:rPr>
        <w:t>Anexo 2</w:t>
      </w:r>
    </w:p>
    <w:p w14:paraId="142D5382" w14:textId="77777777" w:rsidR="004051AA" w:rsidRPr="007448F8" w:rsidRDefault="004051AA" w:rsidP="004051AA">
      <w:pPr>
        <w:tabs>
          <w:tab w:val="left" w:pos="545"/>
        </w:tabs>
        <w:autoSpaceDE w:val="0"/>
        <w:autoSpaceDN w:val="0"/>
        <w:spacing w:before="140"/>
        <w:ind w:right="395"/>
        <w:jc w:val="center"/>
        <w:rPr>
          <w:rFonts w:asciiTheme="minorHAnsi" w:eastAsia="Cambria" w:hAnsiTheme="minorHAnsi" w:cs="Cambria"/>
          <w:b/>
          <w:bCs/>
          <w:sz w:val="20"/>
          <w:szCs w:val="20"/>
          <w:u w:val="single"/>
        </w:rPr>
      </w:pPr>
      <w:r w:rsidRPr="007448F8">
        <w:rPr>
          <w:rFonts w:asciiTheme="minorHAnsi" w:hAnsiTheme="minorHAnsi"/>
          <w:b/>
          <w:sz w:val="20"/>
          <w:szCs w:val="20"/>
          <w:u w:val="single"/>
        </w:rPr>
        <w:t>Requisitos para los cuadernos de pesca</w:t>
      </w:r>
    </w:p>
    <w:p w14:paraId="29E94D2A" w14:textId="77777777" w:rsidR="004051AA" w:rsidRPr="007448F8" w:rsidRDefault="004051AA" w:rsidP="004051AA">
      <w:pPr>
        <w:tabs>
          <w:tab w:val="left" w:pos="545"/>
        </w:tabs>
        <w:autoSpaceDE w:val="0"/>
        <w:autoSpaceDN w:val="0"/>
        <w:ind w:right="397"/>
        <w:jc w:val="center"/>
        <w:rPr>
          <w:rFonts w:asciiTheme="minorHAnsi" w:eastAsia="Cambria" w:hAnsiTheme="minorHAnsi" w:cs="Cambria"/>
          <w:b/>
          <w:bCs/>
          <w:sz w:val="20"/>
          <w:szCs w:val="20"/>
          <w:u w:val="single"/>
        </w:rPr>
      </w:pPr>
    </w:p>
    <w:p w14:paraId="7641FACD" w14:textId="77777777" w:rsidR="004051AA" w:rsidRPr="00B040F4" w:rsidRDefault="004051AA" w:rsidP="004051AA">
      <w:pPr>
        <w:tabs>
          <w:tab w:val="left" w:pos="545"/>
        </w:tabs>
        <w:autoSpaceDE w:val="0"/>
        <w:autoSpaceDN w:val="0"/>
        <w:ind w:right="397"/>
        <w:jc w:val="both"/>
        <w:rPr>
          <w:rFonts w:asciiTheme="minorHAnsi" w:eastAsia="Cambria" w:hAnsiTheme="minorHAnsi" w:cs="Cambria"/>
          <w:b/>
          <w:bCs/>
          <w:sz w:val="20"/>
          <w:szCs w:val="20"/>
          <w:u w:val="single"/>
        </w:rPr>
      </w:pPr>
      <w:r w:rsidRPr="00C32C3D">
        <w:rPr>
          <w:rFonts w:asciiTheme="minorHAnsi" w:hAnsiTheme="minorHAnsi"/>
          <w:b/>
          <w:bCs/>
          <w:sz w:val="20"/>
          <w:szCs w:val="20"/>
          <w:u w:val="single"/>
        </w:rPr>
        <w:t>E</w:t>
      </w:r>
      <w:r w:rsidRPr="00B040F4">
        <w:rPr>
          <w:rFonts w:asciiTheme="minorHAnsi" w:hAnsiTheme="minorHAnsi"/>
          <w:b/>
          <w:bCs/>
          <w:sz w:val="20"/>
          <w:szCs w:val="20"/>
          <w:u w:val="single"/>
        </w:rPr>
        <w:t xml:space="preserve">specificaciones mínimas para los cuadernos de pesca </w:t>
      </w:r>
    </w:p>
    <w:p w14:paraId="5C3F93AA" w14:textId="77777777" w:rsidR="004051AA" w:rsidRPr="00B040F4" w:rsidRDefault="004051AA" w:rsidP="004051AA">
      <w:pPr>
        <w:tabs>
          <w:tab w:val="left" w:pos="545"/>
        </w:tabs>
        <w:autoSpaceDE w:val="0"/>
        <w:autoSpaceDN w:val="0"/>
        <w:ind w:right="397"/>
        <w:jc w:val="both"/>
        <w:rPr>
          <w:rFonts w:asciiTheme="minorHAnsi" w:eastAsia="Cambria" w:hAnsiTheme="minorHAnsi" w:cs="Cambria"/>
          <w:sz w:val="20"/>
          <w:szCs w:val="20"/>
          <w:u w:val="single"/>
        </w:rPr>
      </w:pPr>
    </w:p>
    <w:p w14:paraId="0E10D114" w14:textId="77777777" w:rsidR="004051AA" w:rsidRPr="00B040F4"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r w:rsidRPr="00B040F4">
        <w:rPr>
          <w:rFonts w:asciiTheme="minorHAnsi" w:hAnsiTheme="minorHAnsi"/>
          <w:sz w:val="20"/>
          <w:szCs w:val="20"/>
          <w:u w:val="single"/>
        </w:rPr>
        <w:t>1.</w:t>
      </w:r>
      <w:r w:rsidRPr="00B040F4">
        <w:rPr>
          <w:rFonts w:asciiTheme="minorHAnsi" w:hAnsiTheme="minorHAnsi"/>
          <w:sz w:val="20"/>
          <w:szCs w:val="20"/>
          <w:u w:val="single"/>
        </w:rPr>
        <w:tab/>
        <w:t xml:space="preserve">Las hojas del cuaderno de pesca deben ir numeradas. </w:t>
      </w:r>
    </w:p>
    <w:p w14:paraId="3631AA75" w14:textId="77777777" w:rsidR="004051AA" w:rsidRPr="00B040F4"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r w:rsidRPr="00B040F4">
        <w:rPr>
          <w:rFonts w:asciiTheme="minorHAnsi" w:hAnsiTheme="minorHAnsi"/>
          <w:sz w:val="20"/>
          <w:szCs w:val="20"/>
          <w:u w:val="single"/>
        </w:rPr>
        <w:t>2.</w:t>
      </w:r>
      <w:r w:rsidRPr="00B040F4">
        <w:rPr>
          <w:rFonts w:asciiTheme="minorHAnsi" w:hAnsiTheme="minorHAnsi"/>
          <w:sz w:val="20"/>
          <w:szCs w:val="20"/>
          <w:u w:val="single"/>
        </w:rPr>
        <w:tab/>
        <w:t xml:space="preserve">El cuaderno de pesca debe rellenarse cada día (antes de medianoche) o antes de la llegada a puerto. </w:t>
      </w:r>
    </w:p>
    <w:p w14:paraId="2A651B34" w14:textId="77777777" w:rsidR="004051AA" w:rsidRPr="00B040F4"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r w:rsidRPr="00B040F4">
        <w:rPr>
          <w:rFonts w:asciiTheme="minorHAnsi" w:hAnsiTheme="minorHAnsi"/>
          <w:sz w:val="20"/>
          <w:szCs w:val="20"/>
          <w:u w:val="single"/>
        </w:rPr>
        <w:t>3.</w:t>
      </w:r>
      <w:r w:rsidRPr="00B040F4">
        <w:rPr>
          <w:rFonts w:asciiTheme="minorHAnsi" w:hAnsiTheme="minorHAnsi"/>
          <w:sz w:val="20"/>
          <w:szCs w:val="20"/>
          <w:u w:val="single"/>
        </w:rPr>
        <w:tab/>
        <w:t xml:space="preserve">El cuaderno de pesca debe cumplimentarse en caso de inspección en el mar. </w:t>
      </w:r>
    </w:p>
    <w:p w14:paraId="03D1656C" w14:textId="77777777" w:rsidR="004051AA" w:rsidRPr="00B040F4"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r w:rsidRPr="00B040F4">
        <w:rPr>
          <w:rFonts w:asciiTheme="minorHAnsi" w:hAnsiTheme="minorHAnsi"/>
          <w:sz w:val="20"/>
          <w:szCs w:val="20"/>
          <w:u w:val="single"/>
        </w:rPr>
        <w:t>4.</w:t>
      </w:r>
      <w:r w:rsidRPr="00B040F4">
        <w:rPr>
          <w:rFonts w:asciiTheme="minorHAnsi" w:hAnsiTheme="minorHAnsi"/>
          <w:sz w:val="20"/>
          <w:szCs w:val="20"/>
          <w:u w:val="single"/>
        </w:rPr>
        <w:tab/>
        <w:t xml:space="preserve">Una copia de las hojas debe permanecer adjunta al cuaderno de pesca. </w:t>
      </w:r>
    </w:p>
    <w:p w14:paraId="132C974F" w14:textId="77777777" w:rsidR="004051AA" w:rsidRPr="00B040F4"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r w:rsidRPr="00B040F4">
        <w:rPr>
          <w:rFonts w:asciiTheme="minorHAnsi" w:hAnsiTheme="minorHAnsi"/>
          <w:sz w:val="20"/>
          <w:szCs w:val="20"/>
          <w:u w:val="single"/>
        </w:rPr>
        <w:t>5.</w:t>
      </w:r>
      <w:r w:rsidRPr="00B040F4">
        <w:rPr>
          <w:rFonts w:asciiTheme="minorHAnsi" w:hAnsiTheme="minorHAnsi"/>
          <w:sz w:val="20"/>
          <w:szCs w:val="20"/>
          <w:u w:val="single"/>
        </w:rPr>
        <w:tab/>
        <w:t xml:space="preserve">El cuaderno de pesca debe mantenerse a bordo para cubrir un periodo de un año de operaciones. </w:t>
      </w:r>
    </w:p>
    <w:p w14:paraId="30B57895" w14:textId="77777777" w:rsidR="004051AA" w:rsidRPr="00B040F4" w:rsidRDefault="004051AA" w:rsidP="004051AA">
      <w:pPr>
        <w:tabs>
          <w:tab w:val="left" w:pos="545"/>
        </w:tabs>
        <w:autoSpaceDE w:val="0"/>
        <w:autoSpaceDN w:val="0"/>
        <w:ind w:left="972" w:right="397" w:hanging="427"/>
        <w:jc w:val="both"/>
        <w:rPr>
          <w:rFonts w:asciiTheme="minorHAnsi" w:eastAsia="Cambria" w:hAnsiTheme="minorHAnsi" w:cs="Cambria"/>
          <w:sz w:val="20"/>
          <w:szCs w:val="20"/>
          <w:u w:val="single"/>
        </w:rPr>
      </w:pPr>
    </w:p>
    <w:p w14:paraId="3CDFBF86" w14:textId="6DF0675E" w:rsidR="004051AA" w:rsidRPr="00B040F4" w:rsidRDefault="004051AA" w:rsidP="004051AA">
      <w:pPr>
        <w:tabs>
          <w:tab w:val="left" w:pos="545"/>
        </w:tabs>
        <w:autoSpaceDE w:val="0"/>
        <w:autoSpaceDN w:val="0"/>
        <w:ind w:right="397"/>
        <w:jc w:val="both"/>
        <w:rPr>
          <w:rFonts w:asciiTheme="minorHAnsi" w:eastAsia="Cambria" w:hAnsiTheme="minorHAnsi" w:cs="Cambria"/>
          <w:b/>
          <w:bCs/>
          <w:sz w:val="20"/>
          <w:szCs w:val="20"/>
          <w:u w:val="single"/>
        </w:rPr>
      </w:pPr>
      <w:r w:rsidRPr="00B040F4">
        <w:rPr>
          <w:rFonts w:asciiTheme="minorHAnsi" w:hAnsiTheme="minorHAnsi"/>
          <w:b/>
          <w:bCs/>
          <w:sz w:val="20"/>
          <w:szCs w:val="20"/>
          <w:u w:val="single"/>
        </w:rPr>
        <w:t xml:space="preserve">Información estándar mínima para los cuadernos de pesca </w:t>
      </w:r>
    </w:p>
    <w:p w14:paraId="6EC357E3" w14:textId="77777777" w:rsidR="004051AA" w:rsidRPr="00B040F4" w:rsidRDefault="004051AA" w:rsidP="004051AA">
      <w:pPr>
        <w:tabs>
          <w:tab w:val="left" w:pos="545"/>
        </w:tabs>
        <w:autoSpaceDE w:val="0"/>
        <w:autoSpaceDN w:val="0"/>
        <w:ind w:right="397"/>
        <w:jc w:val="both"/>
        <w:rPr>
          <w:rFonts w:asciiTheme="minorHAnsi" w:eastAsia="Cambria" w:hAnsiTheme="minorHAnsi" w:cs="Cambria"/>
          <w:sz w:val="20"/>
          <w:szCs w:val="20"/>
          <w:u w:val="single"/>
        </w:rPr>
      </w:pPr>
    </w:p>
    <w:p w14:paraId="570F81FF" w14:textId="77777777" w:rsidR="004051AA" w:rsidRPr="00B040F4"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r w:rsidRPr="00B040F4">
        <w:rPr>
          <w:rFonts w:asciiTheme="minorHAnsi" w:hAnsiTheme="minorHAnsi"/>
          <w:sz w:val="20"/>
          <w:szCs w:val="20"/>
          <w:u w:val="single"/>
        </w:rPr>
        <w:t>1.</w:t>
      </w:r>
      <w:r w:rsidRPr="00B040F4">
        <w:rPr>
          <w:rFonts w:asciiTheme="minorHAnsi" w:hAnsiTheme="minorHAnsi"/>
          <w:sz w:val="20"/>
          <w:szCs w:val="20"/>
          <w:u w:val="single"/>
        </w:rPr>
        <w:tab/>
        <w:t xml:space="preserve">Nombre y dirección del patrón </w:t>
      </w:r>
    </w:p>
    <w:p w14:paraId="08FAE816" w14:textId="77777777" w:rsidR="004051AA" w:rsidRPr="00B040F4"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r w:rsidRPr="00B040F4">
        <w:rPr>
          <w:rFonts w:asciiTheme="minorHAnsi" w:hAnsiTheme="minorHAnsi"/>
          <w:sz w:val="20"/>
          <w:szCs w:val="20"/>
          <w:u w:val="single"/>
        </w:rPr>
        <w:t>2.</w:t>
      </w:r>
      <w:r w:rsidRPr="00B040F4">
        <w:rPr>
          <w:rFonts w:asciiTheme="minorHAnsi" w:hAnsiTheme="minorHAnsi"/>
          <w:sz w:val="20"/>
          <w:szCs w:val="20"/>
          <w:u w:val="single"/>
        </w:rPr>
        <w:tab/>
        <w:t xml:space="preserve">Fechas y puertos de salida, fechas y puertos de llegada </w:t>
      </w:r>
    </w:p>
    <w:p w14:paraId="1CA63C4E" w14:textId="77777777" w:rsidR="004051AA" w:rsidRPr="00B040F4"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r w:rsidRPr="00B040F4">
        <w:rPr>
          <w:rFonts w:asciiTheme="minorHAnsi" w:hAnsiTheme="minorHAnsi"/>
          <w:sz w:val="20"/>
          <w:szCs w:val="20"/>
          <w:u w:val="single"/>
        </w:rPr>
        <w:t>3.</w:t>
      </w:r>
      <w:r w:rsidRPr="00B040F4">
        <w:rPr>
          <w:rFonts w:asciiTheme="minorHAnsi" w:hAnsiTheme="minorHAnsi"/>
          <w:sz w:val="20"/>
          <w:szCs w:val="20"/>
          <w:u w:val="single"/>
        </w:rPr>
        <w:tab/>
        <w:t xml:space="preserve">Nombre del buque, número de registro, número ICCAT, indicativo internacional de radio y número OMI (si está disponible) </w:t>
      </w:r>
    </w:p>
    <w:p w14:paraId="30644B89" w14:textId="77777777" w:rsidR="004051AA" w:rsidRPr="00B040F4"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r w:rsidRPr="00B040F4">
        <w:rPr>
          <w:rFonts w:asciiTheme="minorHAnsi" w:hAnsiTheme="minorHAnsi"/>
          <w:sz w:val="20"/>
          <w:szCs w:val="20"/>
          <w:u w:val="single"/>
        </w:rPr>
        <w:t>4.</w:t>
      </w:r>
      <w:r w:rsidRPr="00B040F4">
        <w:rPr>
          <w:rFonts w:asciiTheme="minorHAnsi" w:hAnsiTheme="minorHAnsi"/>
          <w:sz w:val="20"/>
          <w:szCs w:val="20"/>
          <w:u w:val="single"/>
        </w:rPr>
        <w:tab/>
        <w:t xml:space="preserve">Arte de pesca: </w:t>
      </w:r>
    </w:p>
    <w:p w14:paraId="12B2A063" w14:textId="77777777" w:rsidR="004051AA" w:rsidRPr="00B040F4" w:rsidRDefault="004051AA" w:rsidP="004051AA">
      <w:pPr>
        <w:tabs>
          <w:tab w:val="left" w:pos="545"/>
        </w:tabs>
        <w:autoSpaceDE w:val="0"/>
        <w:autoSpaceDN w:val="0"/>
        <w:ind w:left="972" w:right="397" w:hanging="427"/>
        <w:jc w:val="both"/>
        <w:rPr>
          <w:rFonts w:asciiTheme="minorHAnsi" w:eastAsia="Cambria" w:hAnsiTheme="minorHAnsi" w:cs="Cambria"/>
          <w:sz w:val="20"/>
          <w:szCs w:val="20"/>
          <w:u w:val="single"/>
        </w:rPr>
      </w:pPr>
    </w:p>
    <w:p w14:paraId="69BFB2BB" w14:textId="77777777" w:rsidR="004051AA" w:rsidRPr="00B040F4" w:rsidRDefault="004051AA" w:rsidP="004051AA">
      <w:pPr>
        <w:tabs>
          <w:tab w:val="left" w:pos="545"/>
          <w:tab w:val="left" w:pos="1276"/>
        </w:tabs>
        <w:autoSpaceDE w:val="0"/>
        <w:autoSpaceDN w:val="0"/>
        <w:ind w:left="1560" w:right="397" w:hanging="709"/>
        <w:jc w:val="both"/>
        <w:rPr>
          <w:rFonts w:asciiTheme="minorHAnsi" w:eastAsia="Cambria" w:hAnsiTheme="minorHAnsi" w:cs="Cambria"/>
          <w:sz w:val="20"/>
          <w:szCs w:val="20"/>
          <w:u w:val="single"/>
        </w:rPr>
      </w:pPr>
      <w:r w:rsidRPr="00B040F4">
        <w:rPr>
          <w:rFonts w:asciiTheme="minorHAnsi" w:hAnsiTheme="minorHAnsi"/>
          <w:sz w:val="20"/>
          <w:szCs w:val="20"/>
          <w:u w:val="single"/>
        </w:rPr>
        <w:t>a)</w:t>
      </w:r>
      <w:r w:rsidRPr="00B040F4">
        <w:rPr>
          <w:rFonts w:asciiTheme="minorHAnsi" w:hAnsiTheme="minorHAnsi"/>
          <w:sz w:val="20"/>
          <w:szCs w:val="20"/>
          <w:u w:val="single"/>
        </w:rPr>
        <w:tab/>
        <w:t xml:space="preserve">tipo por código de la FAO </w:t>
      </w:r>
    </w:p>
    <w:p w14:paraId="7A3895AF" w14:textId="4C972623" w:rsidR="004051AA" w:rsidRPr="00B040F4" w:rsidRDefault="004051AA" w:rsidP="004051AA">
      <w:pPr>
        <w:tabs>
          <w:tab w:val="left" w:pos="545"/>
          <w:tab w:val="left" w:pos="1276"/>
        </w:tabs>
        <w:autoSpaceDE w:val="0"/>
        <w:autoSpaceDN w:val="0"/>
        <w:ind w:left="1560" w:right="397" w:hanging="709"/>
        <w:jc w:val="both"/>
        <w:rPr>
          <w:rFonts w:asciiTheme="minorHAnsi" w:eastAsia="Cambria" w:hAnsiTheme="minorHAnsi" w:cs="Cambria"/>
          <w:sz w:val="20"/>
          <w:szCs w:val="20"/>
          <w:u w:val="single"/>
        </w:rPr>
      </w:pPr>
      <w:r w:rsidRPr="00B040F4">
        <w:rPr>
          <w:rFonts w:asciiTheme="minorHAnsi" w:hAnsiTheme="minorHAnsi"/>
          <w:sz w:val="20"/>
          <w:szCs w:val="20"/>
          <w:u w:val="single"/>
        </w:rPr>
        <w:t>b)</w:t>
      </w:r>
      <w:r w:rsidRPr="00B040F4">
        <w:rPr>
          <w:rFonts w:asciiTheme="minorHAnsi" w:hAnsiTheme="minorHAnsi"/>
          <w:sz w:val="20"/>
          <w:szCs w:val="20"/>
          <w:u w:val="single"/>
        </w:rPr>
        <w:tab/>
        <w:t>dimensión (longitud, número de anzuelos</w:t>
      </w:r>
      <w:r w:rsidR="007448F8" w:rsidRPr="00B040F4">
        <w:rPr>
          <w:rFonts w:asciiTheme="minorHAnsi" w:hAnsiTheme="minorHAnsi"/>
          <w:sz w:val="20"/>
          <w:szCs w:val="20"/>
          <w:u w:val="single"/>
        </w:rPr>
        <w:t>, etc.</w:t>
      </w:r>
      <w:r w:rsidRPr="00B040F4">
        <w:rPr>
          <w:rFonts w:asciiTheme="minorHAnsi" w:hAnsiTheme="minorHAnsi"/>
          <w:sz w:val="20"/>
          <w:szCs w:val="20"/>
          <w:u w:val="single"/>
        </w:rPr>
        <w:t xml:space="preserve">) </w:t>
      </w:r>
    </w:p>
    <w:p w14:paraId="67D34E09" w14:textId="77777777" w:rsidR="004051AA" w:rsidRPr="00B040F4" w:rsidRDefault="004051AA" w:rsidP="004051AA">
      <w:pPr>
        <w:tabs>
          <w:tab w:val="left" w:pos="545"/>
        </w:tabs>
        <w:autoSpaceDE w:val="0"/>
        <w:autoSpaceDN w:val="0"/>
        <w:ind w:left="1560" w:right="397" w:hanging="427"/>
        <w:jc w:val="both"/>
        <w:rPr>
          <w:rFonts w:asciiTheme="minorHAnsi" w:eastAsia="Cambria" w:hAnsiTheme="minorHAnsi" w:cs="Cambria"/>
          <w:sz w:val="20"/>
          <w:szCs w:val="20"/>
          <w:u w:val="single"/>
        </w:rPr>
      </w:pPr>
    </w:p>
    <w:p w14:paraId="3065AC07" w14:textId="77777777" w:rsidR="004051AA" w:rsidRPr="00B040F4"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r w:rsidRPr="00B040F4">
        <w:rPr>
          <w:rFonts w:asciiTheme="minorHAnsi" w:hAnsiTheme="minorHAnsi"/>
          <w:sz w:val="20"/>
          <w:szCs w:val="20"/>
          <w:u w:val="single"/>
        </w:rPr>
        <w:t>5.</w:t>
      </w:r>
      <w:r w:rsidRPr="00B040F4">
        <w:rPr>
          <w:rFonts w:asciiTheme="minorHAnsi" w:hAnsiTheme="minorHAnsi"/>
          <w:sz w:val="20"/>
          <w:szCs w:val="20"/>
          <w:u w:val="single"/>
        </w:rPr>
        <w:tab/>
        <w:t xml:space="preserve">Operaciones en el mar con una línea (mínimo) por día de marea, proporcionando: </w:t>
      </w:r>
    </w:p>
    <w:p w14:paraId="47854C94" w14:textId="77777777" w:rsidR="004051AA" w:rsidRPr="00B040F4" w:rsidRDefault="004051AA" w:rsidP="004051AA">
      <w:pPr>
        <w:tabs>
          <w:tab w:val="left" w:pos="545"/>
        </w:tabs>
        <w:autoSpaceDE w:val="0"/>
        <w:autoSpaceDN w:val="0"/>
        <w:ind w:left="972" w:right="397" w:hanging="427"/>
        <w:jc w:val="both"/>
        <w:rPr>
          <w:rFonts w:asciiTheme="minorHAnsi" w:eastAsia="Cambria" w:hAnsiTheme="minorHAnsi" w:cs="Cambria"/>
          <w:sz w:val="20"/>
          <w:szCs w:val="20"/>
          <w:u w:val="single"/>
        </w:rPr>
      </w:pPr>
    </w:p>
    <w:p w14:paraId="5FD7A0E8" w14:textId="77777777" w:rsidR="004051AA" w:rsidRPr="00B040F4" w:rsidRDefault="004051AA" w:rsidP="004051AA">
      <w:pPr>
        <w:tabs>
          <w:tab w:val="left" w:pos="545"/>
        </w:tabs>
        <w:autoSpaceDE w:val="0"/>
        <w:autoSpaceDN w:val="0"/>
        <w:ind w:left="1276" w:right="397" w:hanging="425"/>
        <w:jc w:val="both"/>
        <w:rPr>
          <w:rFonts w:asciiTheme="minorHAnsi" w:eastAsia="Cambria" w:hAnsiTheme="minorHAnsi" w:cs="Cambria"/>
          <w:sz w:val="20"/>
          <w:szCs w:val="20"/>
          <w:u w:val="single"/>
        </w:rPr>
      </w:pPr>
      <w:r w:rsidRPr="00B040F4">
        <w:rPr>
          <w:rFonts w:asciiTheme="minorHAnsi" w:hAnsiTheme="minorHAnsi"/>
          <w:sz w:val="20"/>
          <w:szCs w:val="20"/>
          <w:u w:val="single"/>
        </w:rPr>
        <w:t>a)</w:t>
      </w:r>
      <w:r w:rsidRPr="00B040F4">
        <w:rPr>
          <w:rFonts w:asciiTheme="minorHAnsi" w:hAnsiTheme="minorHAnsi"/>
          <w:sz w:val="20"/>
          <w:szCs w:val="20"/>
          <w:u w:val="single"/>
        </w:rPr>
        <w:tab/>
        <w:t xml:space="preserve">Actividad (pesca, navegación) </w:t>
      </w:r>
    </w:p>
    <w:p w14:paraId="6E44C7A2" w14:textId="3D072938" w:rsidR="004051AA" w:rsidRPr="00B040F4" w:rsidRDefault="007448F8" w:rsidP="004051AA">
      <w:pPr>
        <w:tabs>
          <w:tab w:val="left" w:pos="545"/>
        </w:tabs>
        <w:autoSpaceDE w:val="0"/>
        <w:autoSpaceDN w:val="0"/>
        <w:ind w:left="1276" w:right="397" w:hanging="425"/>
        <w:jc w:val="both"/>
        <w:rPr>
          <w:rFonts w:asciiTheme="minorHAnsi" w:eastAsia="Cambria" w:hAnsiTheme="minorHAnsi" w:cs="Cambria"/>
          <w:sz w:val="20"/>
          <w:szCs w:val="20"/>
          <w:u w:val="single"/>
        </w:rPr>
      </w:pPr>
      <w:r w:rsidRPr="00B040F4">
        <w:rPr>
          <w:rFonts w:asciiTheme="minorHAnsi" w:hAnsiTheme="minorHAnsi"/>
          <w:sz w:val="20"/>
          <w:szCs w:val="20"/>
          <w:u w:val="single"/>
        </w:rPr>
        <w:t>b)</w:t>
      </w:r>
      <w:r w:rsidRPr="00B040F4">
        <w:rPr>
          <w:rFonts w:asciiTheme="minorHAnsi" w:hAnsiTheme="minorHAnsi"/>
          <w:sz w:val="20"/>
          <w:szCs w:val="20"/>
          <w:u w:val="single"/>
        </w:rPr>
        <w:tab/>
      </w:r>
      <w:r w:rsidR="004051AA" w:rsidRPr="00B040F4">
        <w:rPr>
          <w:rFonts w:asciiTheme="minorHAnsi" w:hAnsiTheme="minorHAnsi"/>
          <w:sz w:val="20"/>
          <w:szCs w:val="20"/>
          <w:u w:val="single"/>
        </w:rPr>
        <w:t xml:space="preserve">Posición: posiciones diarias exactas (en grados y minutos), consignadas para cada operación de pesca o a mediodía cuando no se ha pescado durante dicho día </w:t>
      </w:r>
    </w:p>
    <w:p w14:paraId="5FAB8C82" w14:textId="616B3032" w:rsidR="004051AA" w:rsidRPr="00B040F4" w:rsidRDefault="004051AA" w:rsidP="004051AA">
      <w:pPr>
        <w:tabs>
          <w:tab w:val="left" w:pos="545"/>
        </w:tabs>
        <w:autoSpaceDE w:val="0"/>
        <w:autoSpaceDN w:val="0"/>
        <w:ind w:left="1276" w:right="397" w:hanging="425"/>
        <w:jc w:val="both"/>
        <w:rPr>
          <w:rFonts w:asciiTheme="minorHAnsi" w:eastAsia="Cambria" w:hAnsiTheme="minorHAnsi" w:cs="Cambria"/>
          <w:sz w:val="20"/>
          <w:szCs w:val="20"/>
          <w:u w:val="single"/>
        </w:rPr>
      </w:pPr>
      <w:r w:rsidRPr="00B040F4">
        <w:rPr>
          <w:rFonts w:asciiTheme="minorHAnsi" w:hAnsiTheme="minorHAnsi"/>
          <w:sz w:val="20"/>
          <w:szCs w:val="20"/>
          <w:u w:val="single"/>
        </w:rPr>
        <w:t>c)</w:t>
      </w:r>
      <w:r w:rsidRPr="00B040F4">
        <w:rPr>
          <w:rFonts w:asciiTheme="minorHAnsi" w:hAnsiTheme="minorHAnsi"/>
          <w:sz w:val="20"/>
          <w:szCs w:val="20"/>
          <w:u w:val="single"/>
        </w:rPr>
        <w:tab/>
      </w:r>
      <w:r w:rsidR="007448F8" w:rsidRPr="00B040F4">
        <w:rPr>
          <w:rFonts w:asciiTheme="minorHAnsi" w:hAnsiTheme="minorHAnsi"/>
          <w:sz w:val="20"/>
          <w:szCs w:val="20"/>
          <w:u w:val="single"/>
        </w:rPr>
        <w:t xml:space="preserve">Registro </w:t>
      </w:r>
      <w:r w:rsidRPr="00B040F4">
        <w:rPr>
          <w:rFonts w:asciiTheme="minorHAnsi" w:hAnsiTheme="minorHAnsi"/>
          <w:sz w:val="20"/>
          <w:szCs w:val="20"/>
          <w:u w:val="single"/>
        </w:rPr>
        <w:t xml:space="preserve">de capturas, incluyendo: </w:t>
      </w:r>
    </w:p>
    <w:p w14:paraId="533A3E67" w14:textId="77777777" w:rsidR="004051AA" w:rsidRPr="00B040F4" w:rsidRDefault="004051AA" w:rsidP="004051AA">
      <w:pPr>
        <w:tabs>
          <w:tab w:val="left" w:pos="545"/>
        </w:tabs>
        <w:autoSpaceDE w:val="0"/>
        <w:autoSpaceDN w:val="0"/>
        <w:ind w:left="1560" w:right="397" w:hanging="427"/>
        <w:jc w:val="both"/>
        <w:rPr>
          <w:rFonts w:asciiTheme="minorHAnsi" w:eastAsia="Cambria" w:hAnsiTheme="minorHAnsi" w:cs="Cambria"/>
          <w:sz w:val="20"/>
          <w:szCs w:val="20"/>
          <w:u w:val="single"/>
        </w:rPr>
      </w:pPr>
    </w:p>
    <w:p w14:paraId="7C78D3D3" w14:textId="77777777" w:rsidR="004051AA" w:rsidRPr="00B040F4" w:rsidRDefault="004051AA" w:rsidP="004051AA">
      <w:pPr>
        <w:numPr>
          <w:ilvl w:val="7"/>
          <w:numId w:val="1"/>
        </w:numPr>
        <w:tabs>
          <w:tab w:val="left" w:pos="545"/>
        </w:tabs>
        <w:autoSpaceDE w:val="0"/>
        <w:autoSpaceDN w:val="0"/>
        <w:ind w:left="1701" w:right="397" w:hanging="425"/>
        <w:contextualSpacing/>
        <w:jc w:val="both"/>
        <w:rPr>
          <w:rFonts w:asciiTheme="minorHAnsi" w:eastAsia="Cambria" w:hAnsiTheme="minorHAnsi" w:cs="Cambria"/>
          <w:sz w:val="20"/>
          <w:szCs w:val="20"/>
          <w:u w:val="single"/>
        </w:rPr>
      </w:pPr>
      <w:r w:rsidRPr="00B040F4">
        <w:rPr>
          <w:rFonts w:asciiTheme="minorHAnsi" w:hAnsiTheme="minorHAnsi"/>
          <w:sz w:val="20"/>
          <w:szCs w:val="20"/>
          <w:u w:val="single"/>
        </w:rPr>
        <w:t>código de la FAO;</w:t>
      </w:r>
    </w:p>
    <w:p w14:paraId="426340C2" w14:textId="77777777" w:rsidR="004051AA" w:rsidRPr="00B040F4" w:rsidRDefault="004051AA" w:rsidP="004051AA">
      <w:pPr>
        <w:numPr>
          <w:ilvl w:val="7"/>
          <w:numId w:val="1"/>
        </w:numPr>
        <w:tabs>
          <w:tab w:val="left" w:pos="545"/>
        </w:tabs>
        <w:autoSpaceDE w:val="0"/>
        <w:autoSpaceDN w:val="0"/>
        <w:ind w:left="1701" w:right="397" w:hanging="425"/>
        <w:contextualSpacing/>
        <w:jc w:val="both"/>
        <w:rPr>
          <w:rFonts w:asciiTheme="minorHAnsi" w:eastAsia="Cambria" w:hAnsiTheme="minorHAnsi" w:cs="Cambria"/>
          <w:sz w:val="20"/>
          <w:szCs w:val="20"/>
          <w:u w:val="single"/>
        </w:rPr>
      </w:pPr>
      <w:r w:rsidRPr="00B040F4">
        <w:rPr>
          <w:rFonts w:asciiTheme="minorHAnsi" w:hAnsiTheme="minorHAnsi"/>
          <w:sz w:val="20"/>
          <w:szCs w:val="20"/>
          <w:u w:val="single"/>
        </w:rPr>
        <w:t xml:space="preserve">peso vivo (RWT) en kilos por día; </w:t>
      </w:r>
    </w:p>
    <w:p w14:paraId="74B83D19" w14:textId="77777777" w:rsidR="004051AA" w:rsidRPr="00B040F4" w:rsidRDefault="004051AA" w:rsidP="004051AA">
      <w:pPr>
        <w:numPr>
          <w:ilvl w:val="7"/>
          <w:numId w:val="1"/>
        </w:numPr>
        <w:tabs>
          <w:tab w:val="left" w:pos="545"/>
        </w:tabs>
        <w:autoSpaceDE w:val="0"/>
        <w:autoSpaceDN w:val="0"/>
        <w:ind w:left="1701" w:right="397" w:hanging="425"/>
        <w:contextualSpacing/>
        <w:jc w:val="both"/>
        <w:rPr>
          <w:rFonts w:asciiTheme="minorHAnsi" w:eastAsia="Cambria" w:hAnsiTheme="minorHAnsi" w:cs="Cambria"/>
          <w:sz w:val="20"/>
          <w:szCs w:val="20"/>
          <w:u w:val="single"/>
        </w:rPr>
      </w:pPr>
      <w:r w:rsidRPr="00B040F4">
        <w:rPr>
          <w:rFonts w:asciiTheme="minorHAnsi" w:hAnsiTheme="minorHAnsi"/>
          <w:sz w:val="20"/>
          <w:szCs w:val="20"/>
          <w:u w:val="single"/>
        </w:rPr>
        <w:t>número de ejemplares por día.</w:t>
      </w:r>
    </w:p>
    <w:p w14:paraId="5B0CD421" w14:textId="77777777" w:rsidR="004051AA" w:rsidRPr="00B040F4" w:rsidRDefault="004051AA" w:rsidP="004051AA">
      <w:pPr>
        <w:tabs>
          <w:tab w:val="left" w:pos="545"/>
        </w:tabs>
        <w:autoSpaceDE w:val="0"/>
        <w:autoSpaceDN w:val="0"/>
        <w:ind w:left="1701" w:right="397" w:hanging="425"/>
        <w:jc w:val="both"/>
        <w:rPr>
          <w:rFonts w:asciiTheme="minorHAnsi" w:eastAsia="Cambria" w:hAnsiTheme="minorHAnsi" w:cs="Cambria"/>
          <w:sz w:val="20"/>
          <w:szCs w:val="20"/>
          <w:u w:val="single"/>
        </w:rPr>
      </w:pPr>
    </w:p>
    <w:p w14:paraId="1632CD22" w14:textId="77777777" w:rsidR="004051AA" w:rsidRPr="00B040F4" w:rsidRDefault="004051AA" w:rsidP="004051AA">
      <w:pPr>
        <w:tabs>
          <w:tab w:val="left" w:pos="545"/>
        </w:tabs>
        <w:autoSpaceDE w:val="0"/>
        <w:autoSpaceDN w:val="0"/>
        <w:ind w:right="397"/>
        <w:jc w:val="both"/>
        <w:rPr>
          <w:rFonts w:asciiTheme="minorHAnsi" w:eastAsia="Cambria" w:hAnsiTheme="minorHAnsi" w:cs="Cambria"/>
          <w:sz w:val="20"/>
          <w:szCs w:val="20"/>
          <w:u w:val="single"/>
        </w:rPr>
      </w:pPr>
      <w:r w:rsidRPr="00B040F4">
        <w:rPr>
          <w:rFonts w:asciiTheme="minorHAnsi" w:hAnsiTheme="minorHAnsi"/>
          <w:sz w:val="20"/>
          <w:szCs w:val="20"/>
          <w:u w:val="single"/>
        </w:rPr>
        <w:t>Para los buques de cerco, esta información debe consignarse por cada operación de pesca, lo que incluye capturas nulas.</w:t>
      </w:r>
    </w:p>
    <w:p w14:paraId="35F44E58" w14:textId="77777777" w:rsidR="004051AA" w:rsidRPr="00B040F4" w:rsidRDefault="004051AA" w:rsidP="004051AA">
      <w:pPr>
        <w:tabs>
          <w:tab w:val="left" w:pos="545"/>
        </w:tabs>
        <w:autoSpaceDE w:val="0"/>
        <w:autoSpaceDN w:val="0"/>
        <w:ind w:right="397"/>
        <w:jc w:val="both"/>
        <w:rPr>
          <w:rFonts w:asciiTheme="minorHAnsi" w:eastAsia="Cambria" w:hAnsiTheme="minorHAnsi" w:cs="Cambria"/>
          <w:sz w:val="20"/>
          <w:szCs w:val="20"/>
          <w:u w:val="single"/>
        </w:rPr>
      </w:pPr>
    </w:p>
    <w:p w14:paraId="786E5A43" w14:textId="77777777" w:rsidR="004051AA" w:rsidRPr="00B040F4"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r w:rsidRPr="00B040F4">
        <w:rPr>
          <w:rFonts w:asciiTheme="minorHAnsi" w:hAnsiTheme="minorHAnsi"/>
          <w:sz w:val="20"/>
          <w:szCs w:val="20"/>
          <w:u w:val="single"/>
        </w:rPr>
        <w:t>6.</w:t>
      </w:r>
      <w:r w:rsidRPr="00B040F4">
        <w:rPr>
          <w:rFonts w:asciiTheme="minorHAnsi" w:hAnsiTheme="minorHAnsi"/>
          <w:sz w:val="20"/>
          <w:szCs w:val="20"/>
          <w:u w:val="single"/>
        </w:rPr>
        <w:tab/>
        <w:t xml:space="preserve">Firma del patrón </w:t>
      </w:r>
    </w:p>
    <w:p w14:paraId="3C89A371" w14:textId="77777777" w:rsidR="004051AA" w:rsidRPr="00B040F4"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r w:rsidRPr="00B040F4">
        <w:rPr>
          <w:rFonts w:asciiTheme="minorHAnsi" w:hAnsiTheme="minorHAnsi"/>
          <w:sz w:val="20"/>
          <w:szCs w:val="20"/>
          <w:u w:val="single"/>
        </w:rPr>
        <w:t>7.</w:t>
      </w:r>
      <w:r w:rsidRPr="00B040F4">
        <w:rPr>
          <w:rFonts w:asciiTheme="minorHAnsi" w:hAnsiTheme="minorHAnsi"/>
          <w:sz w:val="20"/>
          <w:szCs w:val="20"/>
          <w:u w:val="single"/>
        </w:rPr>
        <w:tab/>
        <w:t xml:space="preserve">Medios para medir el peso: estimación, pesaje a bordo y recuento </w:t>
      </w:r>
    </w:p>
    <w:p w14:paraId="074FFD7F" w14:textId="77777777" w:rsidR="004051AA" w:rsidRPr="00B040F4"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r w:rsidRPr="00B040F4">
        <w:rPr>
          <w:rFonts w:asciiTheme="minorHAnsi" w:hAnsiTheme="minorHAnsi"/>
          <w:sz w:val="20"/>
          <w:szCs w:val="20"/>
          <w:u w:val="single"/>
        </w:rPr>
        <w:t>8.</w:t>
      </w:r>
      <w:r w:rsidRPr="00B040F4">
        <w:rPr>
          <w:rFonts w:asciiTheme="minorHAnsi" w:hAnsiTheme="minorHAnsi"/>
          <w:sz w:val="20"/>
          <w:szCs w:val="20"/>
          <w:u w:val="single"/>
        </w:rPr>
        <w:tab/>
        <w:t>El cuaderno de pesca se rellena en el peso en vivo equivalente del pescado y menciona los factores de conversión utilizados en la evaluación.</w:t>
      </w:r>
    </w:p>
    <w:p w14:paraId="22BCA3A4" w14:textId="77777777" w:rsidR="004051AA" w:rsidRPr="00B040F4" w:rsidRDefault="004051AA" w:rsidP="004051AA">
      <w:pPr>
        <w:tabs>
          <w:tab w:val="left" w:pos="545"/>
        </w:tabs>
        <w:autoSpaceDE w:val="0"/>
        <w:autoSpaceDN w:val="0"/>
        <w:ind w:left="567" w:right="397" w:hanging="22"/>
        <w:jc w:val="both"/>
        <w:rPr>
          <w:rFonts w:asciiTheme="minorHAnsi" w:eastAsia="Cambria" w:hAnsiTheme="minorHAnsi" w:cs="Cambria"/>
          <w:sz w:val="20"/>
          <w:szCs w:val="20"/>
          <w:u w:val="single"/>
        </w:rPr>
      </w:pPr>
    </w:p>
    <w:p w14:paraId="39DE8E64" w14:textId="3ABA840C" w:rsidR="004051AA" w:rsidRPr="00B040F4" w:rsidRDefault="004051AA" w:rsidP="004051AA">
      <w:pPr>
        <w:tabs>
          <w:tab w:val="left" w:pos="545"/>
        </w:tabs>
        <w:autoSpaceDE w:val="0"/>
        <w:autoSpaceDN w:val="0"/>
        <w:ind w:right="397"/>
        <w:jc w:val="both"/>
        <w:rPr>
          <w:rFonts w:asciiTheme="minorHAnsi" w:eastAsia="Cambria" w:hAnsiTheme="minorHAnsi" w:cs="Cambria"/>
          <w:b/>
          <w:bCs/>
          <w:sz w:val="20"/>
          <w:szCs w:val="20"/>
          <w:u w:val="single"/>
        </w:rPr>
      </w:pPr>
      <w:r w:rsidRPr="00B040F4">
        <w:rPr>
          <w:rFonts w:asciiTheme="minorHAnsi" w:hAnsiTheme="minorHAnsi"/>
          <w:b/>
          <w:sz w:val="20"/>
          <w:szCs w:val="20"/>
          <w:u w:val="single"/>
        </w:rPr>
        <w:t xml:space="preserve">Información mínima de los cuadernos de pesca en caso de desembarque o transbordo </w:t>
      </w:r>
    </w:p>
    <w:p w14:paraId="2A095491" w14:textId="77777777" w:rsidR="004051AA" w:rsidRPr="00B040F4" w:rsidRDefault="004051AA" w:rsidP="004051AA">
      <w:pPr>
        <w:tabs>
          <w:tab w:val="left" w:pos="545"/>
        </w:tabs>
        <w:autoSpaceDE w:val="0"/>
        <w:autoSpaceDN w:val="0"/>
        <w:ind w:right="397"/>
        <w:jc w:val="both"/>
        <w:rPr>
          <w:rFonts w:asciiTheme="minorHAnsi" w:eastAsia="Cambria" w:hAnsiTheme="minorHAnsi" w:cs="Cambria"/>
          <w:b/>
          <w:bCs/>
          <w:sz w:val="20"/>
          <w:szCs w:val="20"/>
          <w:u w:val="single"/>
        </w:rPr>
      </w:pPr>
    </w:p>
    <w:p w14:paraId="42FE0808" w14:textId="77777777" w:rsidR="004051AA" w:rsidRPr="00B040F4"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r w:rsidRPr="00B040F4">
        <w:rPr>
          <w:rFonts w:asciiTheme="minorHAnsi" w:hAnsiTheme="minorHAnsi"/>
          <w:sz w:val="20"/>
          <w:szCs w:val="20"/>
          <w:u w:val="single"/>
        </w:rPr>
        <w:t>1.</w:t>
      </w:r>
      <w:r w:rsidRPr="00B040F4">
        <w:rPr>
          <w:rFonts w:asciiTheme="minorHAnsi" w:hAnsiTheme="minorHAnsi"/>
          <w:sz w:val="20"/>
          <w:szCs w:val="20"/>
          <w:u w:val="single"/>
        </w:rPr>
        <w:tab/>
        <w:t xml:space="preserve">Fechas y puerto de desembarque/transbordo </w:t>
      </w:r>
    </w:p>
    <w:p w14:paraId="2686EE14" w14:textId="77777777" w:rsidR="004051AA" w:rsidRPr="00B040F4"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r w:rsidRPr="00B040F4">
        <w:rPr>
          <w:rFonts w:asciiTheme="minorHAnsi" w:hAnsiTheme="minorHAnsi"/>
          <w:sz w:val="20"/>
          <w:szCs w:val="20"/>
          <w:u w:val="single"/>
        </w:rPr>
        <w:t>2.</w:t>
      </w:r>
      <w:r w:rsidRPr="00B040F4">
        <w:rPr>
          <w:rFonts w:asciiTheme="minorHAnsi" w:hAnsiTheme="minorHAnsi"/>
          <w:sz w:val="20"/>
          <w:szCs w:val="20"/>
          <w:u w:val="single"/>
        </w:rPr>
        <w:tab/>
        <w:t xml:space="preserve">Productos: </w:t>
      </w:r>
    </w:p>
    <w:p w14:paraId="21684092" w14:textId="77777777" w:rsidR="004051AA" w:rsidRPr="00B040F4" w:rsidRDefault="004051AA" w:rsidP="004051AA">
      <w:pPr>
        <w:tabs>
          <w:tab w:val="left" w:pos="545"/>
        </w:tabs>
        <w:autoSpaceDE w:val="0"/>
        <w:autoSpaceDN w:val="0"/>
        <w:ind w:left="972" w:right="397" w:hanging="427"/>
        <w:jc w:val="both"/>
        <w:rPr>
          <w:rFonts w:asciiTheme="minorHAnsi" w:eastAsia="Cambria" w:hAnsiTheme="minorHAnsi" w:cs="Cambria"/>
          <w:sz w:val="20"/>
          <w:szCs w:val="20"/>
          <w:u w:val="single"/>
        </w:rPr>
      </w:pPr>
    </w:p>
    <w:p w14:paraId="3781E992" w14:textId="77777777" w:rsidR="004051AA" w:rsidRPr="00B040F4" w:rsidRDefault="004051AA" w:rsidP="004051AA">
      <w:pPr>
        <w:tabs>
          <w:tab w:val="left" w:pos="545"/>
        </w:tabs>
        <w:autoSpaceDE w:val="0"/>
        <w:autoSpaceDN w:val="0"/>
        <w:ind w:left="1276" w:right="397" w:hanging="425"/>
        <w:jc w:val="both"/>
        <w:rPr>
          <w:rFonts w:asciiTheme="minorHAnsi" w:eastAsia="Cambria" w:hAnsiTheme="minorHAnsi" w:cs="Cambria"/>
          <w:sz w:val="20"/>
          <w:szCs w:val="20"/>
          <w:u w:val="single"/>
        </w:rPr>
      </w:pPr>
      <w:r w:rsidRPr="00B040F4">
        <w:rPr>
          <w:rFonts w:asciiTheme="minorHAnsi" w:hAnsiTheme="minorHAnsi"/>
          <w:sz w:val="20"/>
          <w:szCs w:val="20"/>
          <w:u w:val="single"/>
        </w:rPr>
        <w:t>a)</w:t>
      </w:r>
      <w:r w:rsidRPr="00B040F4">
        <w:rPr>
          <w:rFonts w:asciiTheme="minorHAnsi" w:hAnsiTheme="minorHAnsi"/>
          <w:sz w:val="20"/>
          <w:szCs w:val="20"/>
          <w:u w:val="single"/>
        </w:rPr>
        <w:tab/>
        <w:t xml:space="preserve">especies y presentación por código de la FAO </w:t>
      </w:r>
    </w:p>
    <w:p w14:paraId="0DEA594A" w14:textId="77777777" w:rsidR="004051AA" w:rsidRPr="00B040F4" w:rsidRDefault="004051AA" w:rsidP="004051AA">
      <w:pPr>
        <w:tabs>
          <w:tab w:val="left" w:pos="545"/>
        </w:tabs>
        <w:autoSpaceDE w:val="0"/>
        <w:autoSpaceDN w:val="0"/>
        <w:ind w:left="1276" w:right="397" w:hanging="425"/>
        <w:jc w:val="both"/>
        <w:rPr>
          <w:rFonts w:asciiTheme="minorHAnsi" w:eastAsia="Cambria" w:hAnsiTheme="minorHAnsi" w:cs="Cambria"/>
          <w:sz w:val="20"/>
          <w:szCs w:val="20"/>
          <w:u w:val="single"/>
        </w:rPr>
      </w:pPr>
      <w:r w:rsidRPr="00B040F4">
        <w:rPr>
          <w:rFonts w:asciiTheme="minorHAnsi" w:hAnsiTheme="minorHAnsi"/>
          <w:sz w:val="20"/>
          <w:szCs w:val="20"/>
          <w:u w:val="single"/>
        </w:rPr>
        <w:t>b)</w:t>
      </w:r>
      <w:r w:rsidRPr="00B040F4">
        <w:rPr>
          <w:rFonts w:asciiTheme="minorHAnsi" w:hAnsiTheme="minorHAnsi"/>
          <w:sz w:val="20"/>
          <w:szCs w:val="20"/>
          <w:u w:val="single"/>
        </w:rPr>
        <w:tab/>
        <w:t>número de peces o cajas y cantidad en kg</w:t>
      </w:r>
    </w:p>
    <w:p w14:paraId="727017CA" w14:textId="77777777" w:rsidR="004051AA" w:rsidRPr="00B040F4" w:rsidRDefault="004051AA" w:rsidP="004051AA">
      <w:pPr>
        <w:tabs>
          <w:tab w:val="left" w:pos="545"/>
        </w:tabs>
        <w:autoSpaceDE w:val="0"/>
        <w:autoSpaceDN w:val="0"/>
        <w:ind w:left="1147" w:right="397" w:hanging="13"/>
        <w:jc w:val="both"/>
        <w:rPr>
          <w:rFonts w:asciiTheme="minorHAnsi" w:eastAsia="Cambria" w:hAnsiTheme="minorHAnsi" w:cs="Cambria"/>
          <w:sz w:val="20"/>
          <w:szCs w:val="20"/>
          <w:u w:val="single"/>
        </w:rPr>
      </w:pPr>
      <w:r w:rsidRPr="00B040F4">
        <w:rPr>
          <w:rFonts w:asciiTheme="minorHAnsi" w:hAnsiTheme="minorHAnsi"/>
          <w:sz w:val="20"/>
          <w:szCs w:val="20"/>
          <w:u w:val="single"/>
        </w:rPr>
        <w:t xml:space="preserve"> </w:t>
      </w:r>
    </w:p>
    <w:p w14:paraId="514D8B28" w14:textId="77777777" w:rsidR="004051AA" w:rsidRPr="00B040F4"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r w:rsidRPr="00B040F4">
        <w:rPr>
          <w:rFonts w:asciiTheme="minorHAnsi" w:hAnsiTheme="minorHAnsi"/>
          <w:sz w:val="20"/>
          <w:szCs w:val="20"/>
          <w:u w:val="single"/>
        </w:rPr>
        <w:t>3.</w:t>
      </w:r>
      <w:r w:rsidRPr="00B040F4">
        <w:rPr>
          <w:rFonts w:asciiTheme="minorHAnsi" w:hAnsiTheme="minorHAnsi"/>
          <w:sz w:val="20"/>
          <w:szCs w:val="20"/>
          <w:u w:val="single"/>
        </w:rPr>
        <w:tab/>
        <w:t xml:space="preserve">Firma del patrón o del agente del buque </w:t>
      </w:r>
    </w:p>
    <w:p w14:paraId="26E0513A" w14:textId="77777777" w:rsidR="004051AA" w:rsidRPr="00B040F4" w:rsidRDefault="004051AA" w:rsidP="004051AA">
      <w:pPr>
        <w:tabs>
          <w:tab w:val="left" w:pos="545"/>
        </w:tabs>
        <w:autoSpaceDE w:val="0"/>
        <w:autoSpaceDN w:val="0"/>
        <w:ind w:left="851" w:right="397" w:hanging="425"/>
        <w:jc w:val="both"/>
        <w:rPr>
          <w:rFonts w:asciiTheme="minorHAnsi" w:eastAsia="Cambria" w:hAnsiTheme="minorHAnsi" w:cs="Cambria"/>
          <w:sz w:val="20"/>
          <w:szCs w:val="20"/>
          <w:u w:val="single"/>
        </w:rPr>
      </w:pPr>
      <w:bookmarkStart w:id="2" w:name="_Hlk212633468"/>
      <w:r w:rsidRPr="00B040F4">
        <w:rPr>
          <w:rFonts w:asciiTheme="minorHAnsi" w:hAnsiTheme="minorHAnsi"/>
          <w:sz w:val="20"/>
          <w:szCs w:val="20"/>
          <w:u w:val="single"/>
        </w:rPr>
        <w:t>4.</w:t>
      </w:r>
      <w:r w:rsidRPr="00B040F4">
        <w:rPr>
          <w:rFonts w:asciiTheme="minorHAnsi" w:hAnsiTheme="minorHAnsi"/>
          <w:sz w:val="20"/>
          <w:szCs w:val="20"/>
          <w:u w:val="single"/>
        </w:rPr>
        <w:tab/>
        <w:t>En caso de transbordo:</w:t>
      </w:r>
    </w:p>
    <w:p w14:paraId="0698F3CB" w14:textId="77777777" w:rsidR="004051AA" w:rsidRPr="00B040F4" w:rsidRDefault="004051AA" w:rsidP="004051AA">
      <w:pPr>
        <w:tabs>
          <w:tab w:val="left" w:pos="545"/>
        </w:tabs>
        <w:autoSpaceDE w:val="0"/>
        <w:autoSpaceDN w:val="0"/>
        <w:ind w:left="972" w:right="397" w:hanging="427"/>
        <w:jc w:val="both"/>
        <w:rPr>
          <w:rFonts w:asciiTheme="minorHAnsi" w:eastAsia="Cambria" w:hAnsiTheme="minorHAnsi" w:cs="Cambria"/>
          <w:sz w:val="20"/>
          <w:szCs w:val="20"/>
          <w:u w:val="single"/>
        </w:rPr>
      </w:pPr>
    </w:p>
    <w:p w14:paraId="18D3DFE3" w14:textId="77777777" w:rsidR="00C32C3D" w:rsidRPr="00B040F4" w:rsidRDefault="004051AA" w:rsidP="004051AA">
      <w:pPr>
        <w:numPr>
          <w:ilvl w:val="0"/>
          <w:numId w:val="18"/>
        </w:numPr>
        <w:tabs>
          <w:tab w:val="left" w:pos="545"/>
        </w:tabs>
        <w:autoSpaceDE w:val="0"/>
        <w:autoSpaceDN w:val="0"/>
        <w:ind w:left="1276" w:right="397" w:hanging="425"/>
        <w:contextualSpacing/>
        <w:jc w:val="both"/>
        <w:rPr>
          <w:rFonts w:asciiTheme="minorHAnsi" w:eastAsia="Cambria" w:hAnsiTheme="minorHAnsi" w:cs="Cambria"/>
          <w:sz w:val="20"/>
          <w:szCs w:val="20"/>
          <w:u w:val="single"/>
        </w:rPr>
      </w:pPr>
      <w:r w:rsidRPr="00B040F4">
        <w:rPr>
          <w:rFonts w:asciiTheme="minorHAnsi" w:hAnsiTheme="minorHAnsi"/>
          <w:sz w:val="20"/>
          <w:szCs w:val="20"/>
          <w:u w:val="single"/>
        </w:rPr>
        <w:t xml:space="preserve">el nombre, el pabellón y el número ICCAT del buque receptor </w:t>
      </w:r>
    </w:p>
    <w:p w14:paraId="34CD5E6E" w14:textId="133EC105" w:rsidR="004051AA" w:rsidRPr="00B040F4" w:rsidRDefault="004051AA" w:rsidP="004051AA">
      <w:pPr>
        <w:numPr>
          <w:ilvl w:val="0"/>
          <w:numId w:val="18"/>
        </w:numPr>
        <w:tabs>
          <w:tab w:val="left" w:pos="545"/>
        </w:tabs>
        <w:autoSpaceDE w:val="0"/>
        <w:autoSpaceDN w:val="0"/>
        <w:ind w:left="1276" w:right="397" w:hanging="425"/>
        <w:contextualSpacing/>
        <w:jc w:val="both"/>
        <w:rPr>
          <w:rFonts w:asciiTheme="minorHAnsi" w:eastAsia="Cambria" w:hAnsiTheme="minorHAnsi" w:cs="Cambria"/>
          <w:sz w:val="20"/>
          <w:szCs w:val="20"/>
          <w:u w:val="single"/>
        </w:rPr>
      </w:pPr>
      <w:r w:rsidRPr="00B040F4">
        <w:rPr>
          <w:rFonts w:asciiTheme="minorHAnsi" w:hAnsiTheme="minorHAnsi"/>
          <w:sz w:val="20"/>
          <w:szCs w:val="20"/>
          <w:u w:val="single"/>
        </w:rPr>
        <w:t>el nombre y el número ICCAT del buque que realiza la captura</w:t>
      </w:r>
    </w:p>
    <w:bookmarkEnd w:id="2"/>
    <w:p w14:paraId="45AC77D4" w14:textId="77777777" w:rsidR="004051AA" w:rsidRPr="004051AA" w:rsidRDefault="004051AA" w:rsidP="004051AA">
      <w:pPr>
        <w:rPr>
          <w:rFonts w:asciiTheme="minorHAnsi" w:hAnsiTheme="minorHAnsi"/>
          <w:sz w:val="20"/>
          <w:szCs w:val="20"/>
        </w:rPr>
      </w:pPr>
    </w:p>
    <w:p w14:paraId="7A841C58" w14:textId="7796E15D" w:rsidR="00F51AFC" w:rsidRPr="00B608F5" w:rsidRDefault="00F51AFC" w:rsidP="007D0E69">
      <w:pPr>
        <w:tabs>
          <w:tab w:val="left" w:pos="426"/>
          <w:tab w:val="center" w:pos="4680"/>
          <w:tab w:val="left" w:pos="6430"/>
        </w:tabs>
        <w:jc w:val="center"/>
        <w:rPr>
          <w:rFonts w:ascii="Cambria" w:eastAsia="Cambria" w:hAnsi="Cambria" w:cs="Cambria"/>
          <w:sz w:val="20"/>
          <w:szCs w:val="20"/>
        </w:rPr>
      </w:pPr>
    </w:p>
    <w:sectPr w:rsidR="00F51AFC" w:rsidRPr="00B608F5">
      <w:headerReference w:type="default" r:id="rId7"/>
      <w:footerReference w:type="default" r:id="rId8"/>
      <w:pgSz w:w="11907" w:h="16840"/>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3B9C9" w14:textId="77777777" w:rsidR="00633750" w:rsidRDefault="00633750">
      <w:r>
        <w:separator/>
      </w:r>
    </w:p>
  </w:endnote>
  <w:endnote w:type="continuationSeparator" w:id="0">
    <w:p w14:paraId="37B79AD6" w14:textId="77777777" w:rsidR="00633750" w:rsidRDefault="0063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395C" w14:textId="5A945D62" w:rsidR="00F51AFC" w:rsidRPr="0000341C" w:rsidRDefault="0000341C" w:rsidP="0000341C">
    <w:pPr>
      <w:widowControl/>
      <w:tabs>
        <w:tab w:val="center" w:pos="4535"/>
        <w:tab w:val="center" w:pos="4680"/>
        <w:tab w:val="left" w:pos="6150"/>
        <w:tab w:val="right" w:pos="9360"/>
      </w:tabs>
      <w:jc w:val="center"/>
      <w:rPr>
        <w:rFonts w:ascii="Cambria" w:hAnsi="Cambria"/>
        <w:sz w:val="20"/>
      </w:rPr>
    </w:pPr>
    <w:r w:rsidRPr="00644E91">
      <w:rPr>
        <w:rFonts w:ascii="Cambria" w:hAnsi="Cambria"/>
        <w:sz w:val="20"/>
        <w:szCs w:val="20"/>
      </w:rPr>
      <w:fldChar w:fldCharType="begin"/>
    </w:r>
    <w:r w:rsidRPr="00644E91">
      <w:rPr>
        <w:rFonts w:ascii="Cambria" w:hAnsi="Cambria"/>
        <w:sz w:val="20"/>
        <w:szCs w:val="20"/>
      </w:rPr>
      <w:instrText xml:space="preserve"> PAGE </w:instrText>
    </w:r>
    <w:r w:rsidRPr="00644E91">
      <w:rPr>
        <w:rFonts w:ascii="Cambria" w:hAnsi="Cambria"/>
        <w:sz w:val="20"/>
        <w:szCs w:val="20"/>
      </w:rPr>
      <w:fldChar w:fldCharType="separate"/>
    </w:r>
    <w:r>
      <w:rPr>
        <w:rFonts w:ascii="Cambria" w:hAnsi="Cambria"/>
        <w:sz w:val="20"/>
        <w:szCs w:val="20"/>
      </w:rPr>
      <w:t>2</w:t>
    </w:r>
    <w:r w:rsidRPr="00644E91">
      <w:rPr>
        <w:rFonts w:ascii="Cambria" w:hAnsi="Cambria"/>
        <w:sz w:val="20"/>
        <w:szCs w:val="20"/>
      </w:rPr>
      <w:fldChar w:fldCharType="end"/>
    </w:r>
    <w:r w:rsidRPr="00644E91">
      <w:rPr>
        <w:rFonts w:ascii="Cambria" w:hAnsi="Cambria"/>
        <w:sz w:val="20"/>
        <w:szCs w:val="20"/>
      </w:rPr>
      <w:t xml:space="preserve"> / </w:t>
    </w:r>
    <w:r w:rsidRPr="00644E91">
      <w:rPr>
        <w:rFonts w:ascii="Cambria" w:hAnsi="Cambria"/>
        <w:sz w:val="20"/>
        <w:szCs w:val="20"/>
      </w:rPr>
      <w:fldChar w:fldCharType="begin"/>
    </w:r>
    <w:r w:rsidRPr="00644E91">
      <w:rPr>
        <w:rFonts w:ascii="Cambria" w:hAnsi="Cambria"/>
        <w:sz w:val="20"/>
        <w:szCs w:val="20"/>
      </w:rPr>
      <w:instrText xml:space="preserve"> NUMPAGES  </w:instrText>
    </w:r>
    <w:r w:rsidRPr="00644E91">
      <w:rPr>
        <w:rFonts w:ascii="Cambria" w:hAnsi="Cambria"/>
        <w:sz w:val="20"/>
        <w:szCs w:val="20"/>
      </w:rPr>
      <w:fldChar w:fldCharType="separate"/>
    </w:r>
    <w:r>
      <w:rPr>
        <w:rFonts w:ascii="Cambria" w:hAnsi="Cambria"/>
        <w:sz w:val="20"/>
        <w:szCs w:val="20"/>
      </w:rPr>
      <w:t>16</w:t>
    </w:r>
    <w:r w:rsidRPr="00644E91">
      <w:rPr>
        <w:rFonts w:ascii="Cambria" w:hAnsi="Cambr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38B90" w14:textId="77777777" w:rsidR="00633750" w:rsidRDefault="00633750">
      <w:r>
        <w:separator/>
      </w:r>
    </w:p>
  </w:footnote>
  <w:footnote w:type="continuationSeparator" w:id="0">
    <w:p w14:paraId="27E8D46E" w14:textId="77777777" w:rsidR="00633750" w:rsidRDefault="00633750">
      <w:r>
        <w:continuationSeparator/>
      </w:r>
    </w:p>
  </w:footnote>
  <w:footnote w:id="1">
    <w:p w14:paraId="72B25E6F" w14:textId="77777777" w:rsidR="00F95C82" w:rsidRPr="00AD6039" w:rsidRDefault="00F95C82" w:rsidP="00F95C82">
      <w:pPr>
        <w:pStyle w:val="FootnoteText"/>
        <w:rPr>
          <w:rFonts w:ascii="Cambria" w:hAnsi="Cambria"/>
          <w:sz w:val="16"/>
          <w:szCs w:val="16"/>
          <w:lang w:val="es-ES"/>
        </w:rPr>
      </w:pPr>
      <w:r w:rsidRPr="00AD6039">
        <w:rPr>
          <w:rStyle w:val="FootnoteReference"/>
          <w:rFonts w:ascii="Cambria" w:hAnsi="Cambria"/>
          <w:sz w:val="16"/>
          <w:szCs w:val="16"/>
          <w:vertAlign w:val="superscript"/>
        </w:rPr>
        <w:footnoteRef/>
      </w:r>
      <w:r w:rsidRPr="00A0712D">
        <w:rPr>
          <w:rFonts w:ascii="Cambria" w:hAnsi="Cambria"/>
          <w:sz w:val="16"/>
          <w:szCs w:val="16"/>
          <w:vertAlign w:val="superscript"/>
          <w:lang w:val="es-ES"/>
        </w:rPr>
        <w:t xml:space="preserve"> </w:t>
      </w:r>
      <w:r>
        <w:rPr>
          <w:rFonts w:ascii="Cambria" w:hAnsi="Cambria"/>
          <w:sz w:val="16"/>
          <w:szCs w:val="16"/>
          <w:lang w:val="es-ES"/>
        </w:rPr>
        <w:t>Esta medida fue r</w:t>
      </w:r>
      <w:r w:rsidRPr="00AD6039">
        <w:rPr>
          <w:rFonts w:ascii="Cambria" w:hAnsi="Cambria"/>
          <w:sz w:val="16"/>
          <w:szCs w:val="16"/>
          <w:lang w:val="es-ES"/>
        </w:rPr>
        <w:t>evocada y sustituida por la R</w:t>
      </w:r>
      <w:r>
        <w:rPr>
          <w:rFonts w:ascii="Cambria" w:hAnsi="Cambria"/>
          <w:sz w:val="16"/>
          <w:szCs w:val="16"/>
          <w:lang w:val="es-ES"/>
        </w:rPr>
        <w:t>e</w:t>
      </w:r>
      <w:r w:rsidRPr="00AD6039">
        <w:rPr>
          <w:rFonts w:ascii="Cambria" w:hAnsi="Cambria"/>
          <w:sz w:val="16"/>
          <w:szCs w:val="16"/>
          <w:lang w:val="es-ES"/>
        </w:rPr>
        <w:t>c</w:t>
      </w:r>
      <w:r>
        <w:rPr>
          <w:rFonts w:ascii="Cambria" w:hAnsi="Cambria"/>
          <w:sz w:val="16"/>
          <w:szCs w:val="16"/>
          <w:lang w:val="es-ES"/>
        </w:rPr>
        <w:t>omendación</w:t>
      </w:r>
      <w:r w:rsidRPr="00AD6039">
        <w:rPr>
          <w:rFonts w:ascii="Cambria" w:hAnsi="Cambria"/>
          <w:sz w:val="16"/>
          <w:szCs w:val="16"/>
          <w:lang w:val="es-ES"/>
        </w:rPr>
        <w:t xml:space="preserve"> 23-07.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ECAB" w14:textId="3BFF2F92" w:rsidR="00E30020" w:rsidRPr="00E30020" w:rsidRDefault="00E30020" w:rsidP="00E30020">
    <w:pPr>
      <w:widowControl/>
      <w:tabs>
        <w:tab w:val="center" w:pos="4680"/>
        <w:tab w:val="right" w:pos="9360"/>
      </w:tabs>
      <w:jc w:val="right"/>
      <w:rPr>
        <w:rFonts w:ascii="Cambria" w:hAnsi="Cambria" w:cs="Times New Roman"/>
        <w:b/>
        <w:bCs/>
        <w:sz w:val="20"/>
        <w:szCs w:val="20"/>
      </w:rPr>
    </w:pPr>
    <w:r>
      <w:rPr>
        <w:rFonts w:ascii="Cambria" w:hAnsi="Cambria" w:cs="Arial"/>
        <w:b/>
        <w:kern w:val="2"/>
        <w:sz w:val="20"/>
        <w14:ligatures w14:val="standardContextual"/>
      </w:rPr>
      <w:t>PA2_611</w:t>
    </w:r>
    <w:r w:rsidRPr="00E30020">
      <w:rPr>
        <w:rFonts w:ascii="Cambria" w:hAnsi="Cambria" w:cs="Arial"/>
        <w:b/>
        <w:kern w:val="2"/>
        <w:sz w:val="20"/>
        <w14:ligatures w14:val="standardContextual"/>
      </w:rPr>
      <w:t>/2025</w:t>
    </w:r>
  </w:p>
  <w:p w14:paraId="4E78928F" w14:textId="6E1B5B1F" w:rsidR="00E30020" w:rsidRPr="00E30020" w:rsidRDefault="00E30020" w:rsidP="00E30020">
    <w:pPr>
      <w:widowControl/>
      <w:tabs>
        <w:tab w:val="center" w:pos="4680"/>
        <w:tab w:val="right" w:pos="9360"/>
      </w:tabs>
      <w:jc w:val="right"/>
      <w:rPr>
        <w:rFonts w:cs="Arial"/>
        <w:kern w:val="2"/>
        <w14:ligatures w14:val="standardContextual"/>
      </w:rPr>
    </w:pPr>
    <w:r w:rsidRPr="00E30020">
      <w:rPr>
        <w:rFonts w:ascii="Cambria" w:eastAsia="Times New Roman" w:hAnsi="Cambria" w:cs="Times New Roman"/>
        <w:b/>
        <w:kern w:val="2"/>
        <w:sz w:val="16"/>
        <w14:ligatures w14:val="standardContextual"/>
      </w:rPr>
      <w:fldChar w:fldCharType="begin"/>
    </w:r>
    <w:r w:rsidRPr="00E30020">
      <w:rPr>
        <w:rFonts w:ascii="Cambria" w:eastAsia="Times New Roman" w:hAnsi="Cambria" w:cs="Times New Roman"/>
        <w:b/>
        <w:kern w:val="2"/>
        <w:sz w:val="16"/>
        <w14:ligatures w14:val="standardContextual"/>
      </w:rPr>
      <w:instrText xml:space="preserve"> TIME \@ "dd/MM/yyyy H:mm" </w:instrText>
    </w:r>
    <w:r w:rsidRPr="00E30020">
      <w:rPr>
        <w:rFonts w:ascii="Cambria" w:eastAsia="Times New Roman" w:hAnsi="Cambria" w:cs="Times New Roman"/>
        <w:b/>
        <w:kern w:val="2"/>
        <w:sz w:val="16"/>
        <w14:ligatures w14:val="standardContextual"/>
      </w:rPr>
      <w:fldChar w:fldCharType="separate"/>
    </w:r>
    <w:r w:rsidR="00DA6919">
      <w:rPr>
        <w:rFonts w:ascii="Cambria" w:eastAsia="Times New Roman" w:hAnsi="Cambria" w:cs="Times New Roman"/>
        <w:b/>
        <w:noProof/>
        <w:kern w:val="2"/>
        <w:sz w:val="16"/>
        <w14:ligatures w14:val="standardContextual"/>
      </w:rPr>
      <w:t>29/10/2025 15:54</w:t>
    </w:r>
    <w:r w:rsidRPr="00E30020">
      <w:rPr>
        <w:rFonts w:ascii="Cambria" w:eastAsia="Times New Roman" w:hAnsi="Cambria" w:cs="Times New Roman"/>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545"/>
    <w:multiLevelType w:val="hybridMultilevel"/>
    <w:tmpl w:val="32567684"/>
    <w:lvl w:ilvl="0" w:tplc="FFFFFFFF">
      <w:start w:val="59"/>
      <w:numFmt w:val="decimal"/>
      <w:lvlText w:val="%1."/>
      <w:lvlJc w:val="left"/>
      <w:pPr>
        <w:ind w:left="544" w:hanging="427"/>
      </w:pPr>
      <w:rPr>
        <w:rFonts w:ascii="Cambria" w:eastAsia="Cambria" w:hAnsi="Cambria" w:cs="Cambria" w:hint="default"/>
        <w:color w:val="221F1F"/>
        <w:w w:val="100"/>
        <w:sz w:val="20"/>
        <w:szCs w:val="20"/>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F11760"/>
    <w:multiLevelType w:val="multilevel"/>
    <w:tmpl w:val="C818CD58"/>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2" w15:restartNumberingAfterBreak="0">
    <w:nsid w:val="06EF2939"/>
    <w:multiLevelType w:val="hybridMultilevel"/>
    <w:tmpl w:val="4F000692"/>
    <w:lvl w:ilvl="0" w:tplc="0409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08AE3E57"/>
    <w:multiLevelType w:val="multilevel"/>
    <w:tmpl w:val="F8F2E606"/>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889" w:hanging="360"/>
      </w:p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4" w15:restartNumberingAfterBreak="0">
    <w:nsid w:val="0AF63789"/>
    <w:multiLevelType w:val="multilevel"/>
    <w:tmpl w:val="00200CEE"/>
    <w:lvl w:ilvl="0">
      <w:start w:val="18"/>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5" w15:restartNumberingAfterBreak="0">
    <w:nsid w:val="1E5436F7"/>
    <w:multiLevelType w:val="hybridMultilevel"/>
    <w:tmpl w:val="20A6F1D8"/>
    <w:lvl w:ilvl="0" w:tplc="9618B5DA">
      <w:start w:val="1"/>
      <w:numFmt w:val="lowerLetter"/>
      <w:lvlText w:val="%1)"/>
      <w:lvlJc w:val="left"/>
      <w:pPr>
        <w:ind w:left="1494" w:hanging="360"/>
      </w:pPr>
      <w:rPr>
        <w:rFonts w:hint="default"/>
        <w:u w:val="single"/>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21FE3323"/>
    <w:multiLevelType w:val="hybridMultilevel"/>
    <w:tmpl w:val="DDFEF742"/>
    <w:lvl w:ilvl="0" w:tplc="FFFFFFFF">
      <w:start w:val="59"/>
      <w:numFmt w:val="decimal"/>
      <w:lvlText w:val="%1."/>
      <w:lvlJc w:val="left"/>
      <w:pPr>
        <w:ind w:left="544" w:hanging="427"/>
      </w:pPr>
      <w:rPr>
        <w:rFonts w:ascii="Cambria" w:eastAsia="Cambria" w:hAnsi="Cambria" w:cs="Cambria" w:hint="default"/>
        <w:color w:val="221F1F"/>
        <w:w w:val="100"/>
        <w:sz w:val="20"/>
        <w:szCs w:val="20"/>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EA40E7"/>
    <w:multiLevelType w:val="hybridMultilevel"/>
    <w:tmpl w:val="394C93FE"/>
    <w:lvl w:ilvl="0" w:tplc="FFFFFFFF">
      <w:start w:val="59"/>
      <w:numFmt w:val="decimal"/>
      <w:lvlText w:val="%1."/>
      <w:lvlJc w:val="left"/>
      <w:pPr>
        <w:ind w:left="544" w:hanging="427"/>
      </w:pPr>
      <w:rPr>
        <w:rFonts w:ascii="Cambria" w:eastAsia="Cambria" w:hAnsi="Cambria" w:cs="Cambria" w:hint="default"/>
        <w:color w:val="221F1F"/>
        <w:w w:val="100"/>
        <w:sz w:val="20"/>
        <w:szCs w:val="20"/>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9251D1"/>
    <w:multiLevelType w:val="multilevel"/>
    <w:tmpl w:val="606C923C"/>
    <w:lvl w:ilvl="0">
      <w:start w:val="53"/>
      <w:numFmt w:val="decimal"/>
      <w:lvlText w:val="%1."/>
      <w:lvlJc w:val="left"/>
      <w:pPr>
        <w:ind w:left="7347" w:hanging="401"/>
      </w:pPr>
      <w:rPr>
        <w:rFonts w:ascii="Cambria" w:eastAsia="Cambria" w:hAnsi="Cambria" w:cs="Cambria" w:hint="default"/>
        <w:b w:val="0"/>
        <w:bCs w:val="0"/>
        <w:i w:val="0"/>
        <w:iCs w:val="0"/>
        <w:strike w:val="0"/>
        <w:color w:val="231F20"/>
        <w:sz w:val="20"/>
        <w:szCs w:val="20"/>
      </w:rPr>
    </w:lvl>
    <w:lvl w:ilvl="1">
      <w:start w:val="1"/>
      <w:numFmt w:val="lowerLetter"/>
      <w:lvlText w:val="(%2)"/>
      <w:lvlJc w:val="left"/>
      <w:pPr>
        <w:ind w:left="797" w:hanging="268"/>
      </w:pPr>
      <w:rPr>
        <w:rFonts w:ascii="Cambria" w:eastAsia="Cambria" w:hAnsi="Cambria" w:cs="Cambria" w:hint="default"/>
        <w:color w:val="231F20"/>
        <w:sz w:val="20"/>
        <w:szCs w:val="20"/>
        <w:u w:val="none"/>
      </w:rPr>
    </w:lvl>
    <w:lvl w:ilvl="2">
      <w:start w:val="1"/>
      <w:numFmt w:val="bullet"/>
      <w:lvlText w:val="•"/>
      <w:lvlJc w:val="left"/>
      <w:pPr>
        <w:ind w:left="797" w:hanging="268"/>
      </w:pPr>
      <w:rPr>
        <w:rFonts w:hint="default"/>
      </w:rPr>
    </w:lvl>
    <w:lvl w:ilvl="3">
      <w:start w:val="1"/>
      <w:numFmt w:val="bullet"/>
      <w:lvlText w:val="•"/>
      <w:lvlJc w:val="left"/>
      <w:pPr>
        <w:ind w:left="1797" w:hanging="268"/>
      </w:pPr>
      <w:rPr>
        <w:rFonts w:hint="default"/>
      </w:rPr>
    </w:lvl>
    <w:lvl w:ilvl="4">
      <w:start w:val="1"/>
      <w:numFmt w:val="bullet"/>
      <w:lvlText w:val="•"/>
      <w:lvlJc w:val="left"/>
      <w:pPr>
        <w:ind w:left="2798" w:hanging="268"/>
      </w:pPr>
      <w:rPr>
        <w:rFonts w:hint="default"/>
      </w:rPr>
    </w:lvl>
    <w:lvl w:ilvl="5">
      <w:start w:val="1"/>
      <w:numFmt w:val="bullet"/>
      <w:lvlText w:val="•"/>
      <w:lvlJc w:val="left"/>
      <w:pPr>
        <w:ind w:left="3798" w:hanging="268"/>
      </w:pPr>
      <w:rPr>
        <w:rFonts w:hint="default"/>
      </w:rPr>
    </w:lvl>
    <w:lvl w:ilvl="6">
      <w:start w:val="1"/>
      <w:numFmt w:val="bullet"/>
      <w:lvlText w:val="•"/>
      <w:lvlJc w:val="left"/>
      <w:pPr>
        <w:ind w:left="4798" w:hanging="268"/>
      </w:pPr>
      <w:rPr>
        <w:rFonts w:hint="default"/>
      </w:rPr>
    </w:lvl>
    <w:lvl w:ilvl="7">
      <w:start w:val="1"/>
      <w:numFmt w:val="bullet"/>
      <w:lvlText w:val="•"/>
      <w:lvlJc w:val="left"/>
      <w:pPr>
        <w:ind w:left="5799" w:hanging="268"/>
      </w:pPr>
      <w:rPr>
        <w:rFonts w:hint="default"/>
      </w:rPr>
    </w:lvl>
    <w:lvl w:ilvl="8">
      <w:start w:val="1"/>
      <w:numFmt w:val="bullet"/>
      <w:lvlText w:val="•"/>
      <w:lvlJc w:val="left"/>
      <w:pPr>
        <w:ind w:left="6799" w:hanging="268"/>
      </w:pPr>
      <w:rPr>
        <w:rFonts w:hint="default"/>
      </w:rPr>
    </w:lvl>
  </w:abstractNum>
  <w:abstractNum w:abstractNumId="9" w15:restartNumberingAfterBreak="0">
    <w:nsid w:val="2BEF3B08"/>
    <w:multiLevelType w:val="multilevel"/>
    <w:tmpl w:val="637E4882"/>
    <w:lvl w:ilvl="0">
      <w:start w:val="12"/>
      <w:numFmt w:val="decimal"/>
      <w:lvlText w:val="%1."/>
      <w:lvlJc w:val="left"/>
      <w:pPr>
        <w:ind w:left="7347" w:hanging="401"/>
      </w:pPr>
      <w:rPr>
        <w:rFonts w:ascii="Cambria" w:eastAsia="Cambria" w:hAnsi="Cambria" w:cs="Cambria" w:hint="default"/>
        <w:b w:val="0"/>
        <w:bCs w:val="0"/>
        <w:i w:val="0"/>
        <w:iCs w:val="0"/>
        <w:strike w:val="0"/>
        <w:color w:val="231F20"/>
        <w:sz w:val="20"/>
        <w:szCs w:val="20"/>
      </w:rPr>
    </w:lvl>
    <w:lvl w:ilvl="1">
      <w:start w:val="1"/>
      <w:numFmt w:val="lowerLetter"/>
      <w:lvlText w:val="(%2)"/>
      <w:lvlJc w:val="left"/>
      <w:pPr>
        <w:ind w:left="797" w:hanging="268"/>
      </w:pPr>
      <w:rPr>
        <w:rFonts w:ascii="Cambria" w:eastAsia="Cambria" w:hAnsi="Cambria" w:cs="Cambria" w:hint="default"/>
        <w:color w:val="231F20"/>
        <w:sz w:val="20"/>
        <w:szCs w:val="20"/>
        <w:u w:val="none"/>
      </w:rPr>
    </w:lvl>
    <w:lvl w:ilvl="2">
      <w:start w:val="1"/>
      <w:numFmt w:val="bullet"/>
      <w:lvlText w:val="•"/>
      <w:lvlJc w:val="left"/>
      <w:pPr>
        <w:ind w:left="797" w:hanging="268"/>
      </w:pPr>
      <w:rPr>
        <w:rFonts w:hint="default"/>
      </w:rPr>
    </w:lvl>
    <w:lvl w:ilvl="3">
      <w:start w:val="1"/>
      <w:numFmt w:val="bullet"/>
      <w:lvlText w:val="•"/>
      <w:lvlJc w:val="left"/>
      <w:pPr>
        <w:ind w:left="1797" w:hanging="268"/>
      </w:pPr>
      <w:rPr>
        <w:rFonts w:hint="default"/>
      </w:rPr>
    </w:lvl>
    <w:lvl w:ilvl="4">
      <w:start w:val="1"/>
      <w:numFmt w:val="bullet"/>
      <w:lvlText w:val="•"/>
      <w:lvlJc w:val="left"/>
      <w:pPr>
        <w:ind w:left="2798" w:hanging="268"/>
      </w:pPr>
      <w:rPr>
        <w:rFonts w:hint="default"/>
      </w:rPr>
    </w:lvl>
    <w:lvl w:ilvl="5">
      <w:start w:val="1"/>
      <w:numFmt w:val="bullet"/>
      <w:lvlText w:val="•"/>
      <w:lvlJc w:val="left"/>
      <w:pPr>
        <w:ind w:left="3798" w:hanging="268"/>
      </w:pPr>
      <w:rPr>
        <w:rFonts w:hint="default"/>
      </w:rPr>
    </w:lvl>
    <w:lvl w:ilvl="6">
      <w:start w:val="1"/>
      <w:numFmt w:val="bullet"/>
      <w:lvlText w:val="•"/>
      <w:lvlJc w:val="left"/>
      <w:pPr>
        <w:ind w:left="4798" w:hanging="268"/>
      </w:pPr>
      <w:rPr>
        <w:rFonts w:hint="default"/>
      </w:rPr>
    </w:lvl>
    <w:lvl w:ilvl="7">
      <w:start w:val="1"/>
      <w:numFmt w:val="bullet"/>
      <w:lvlText w:val="•"/>
      <w:lvlJc w:val="left"/>
      <w:pPr>
        <w:ind w:left="5799" w:hanging="268"/>
      </w:pPr>
      <w:rPr>
        <w:rFonts w:hint="default"/>
      </w:rPr>
    </w:lvl>
    <w:lvl w:ilvl="8">
      <w:start w:val="1"/>
      <w:numFmt w:val="bullet"/>
      <w:lvlText w:val="•"/>
      <w:lvlJc w:val="left"/>
      <w:pPr>
        <w:ind w:left="6799" w:hanging="268"/>
      </w:pPr>
      <w:rPr>
        <w:rFonts w:hint="default"/>
      </w:rPr>
    </w:lvl>
  </w:abstractNum>
  <w:abstractNum w:abstractNumId="10" w15:restartNumberingAfterBreak="0">
    <w:nsid w:val="347112AF"/>
    <w:multiLevelType w:val="multilevel"/>
    <w:tmpl w:val="2A54204A"/>
    <w:lvl w:ilvl="0">
      <w:start w:val="1"/>
      <w:numFmt w:val="decimal"/>
      <w:lvlText w:val="%1."/>
      <w:lvlJc w:val="left"/>
      <w:pPr>
        <w:ind w:left="7347" w:hanging="401"/>
      </w:pPr>
      <w:rPr>
        <w:rFonts w:ascii="Cambria" w:eastAsia="Cambria" w:hAnsi="Cambria" w:cs="Cambria"/>
        <w:b w:val="0"/>
        <w:bCs w:val="0"/>
        <w:i w:val="0"/>
        <w:iCs w:val="0"/>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1" w15:restartNumberingAfterBreak="0">
    <w:nsid w:val="3A90699B"/>
    <w:multiLevelType w:val="hybridMultilevel"/>
    <w:tmpl w:val="4E0207C4"/>
    <w:lvl w:ilvl="0" w:tplc="3236AFDE">
      <w:start w:val="18"/>
      <w:numFmt w:val="decimal"/>
      <w:lvlText w:val="%1."/>
      <w:lvlJc w:val="left"/>
      <w:pPr>
        <w:ind w:left="544" w:hanging="427"/>
      </w:pPr>
      <w:rPr>
        <w:rFonts w:ascii="Cambria" w:eastAsia="Cambria" w:hAnsi="Cambria" w:cs="Cambria" w:hint="default"/>
        <w:color w:val="221F1F"/>
        <w:w w:val="100"/>
        <w:sz w:val="20"/>
        <w:szCs w:val="20"/>
      </w:rPr>
    </w:lvl>
    <w:lvl w:ilvl="1" w:tplc="0409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2F04408"/>
    <w:multiLevelType w:val="hybridMultilevel"/>
    <w:tmpl w:val="6678832E"/>
    <w:lvl w:ilvl="0" w:tplc="B20028FA">
      <w:start w:val="59"/>
      <w:numFmt w:val="decimal"/>
      <w:lvlText w:val="%1."/>
      <w:lvlJc w:val="left"/>
      <w:pPr>
        <w:ind w:left="544" w:hanging="427"/>
      </w:pPr>
      <w:rPr>
        <w:rFonts w:ascii="Cambria" w:eastAsia="Cambria" w:hAnsi="Cambria" w:cs="Cambria" w:hint="default"/>
        <w:color w:val="221F1F"/>
        <w:w w:val="100"/>
        <w:sz w:val="20"/>
        <w:szCs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DE17F30"/>
    <w:multiLevelType w:val="multilevel"/>
    <w:tmpl w:val="355EDBBA"/>
    <w:lvl w:ilvl="0">
      <w:start w:val="16"/>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4" w15:restartNumberingAfterBreak="0">
    <w:nsid w:val="5EA22A8E"/>
    <w:multiLevelType w:val="hybridMultilevel"/>
    <w:tmpl w:val="908008EC"/>
    <w:lvl w:ilvl="0" w:tplc="6798B7EC">
      <w:start w:val="7"/>
      <w:numFmt w:val="decimal"/>
      <w:lvlText w:val="%1."/>
      <w:lvlJc w:val="left"/>
      <w:pPr>
        <w:ind w:left="544" w:hanging="427"/>
      </w:pPr>
      <w:rPr>
        <w:rFonts w:ascii="Cambria" w:eastAsia="Cambria" w:hAnsi="Cambria" w:cs="Cambria" w:hint="default"/>
        <w:color w:val="221F1F"/>
        <w:w w:val="100"/>
        <w:sz w:val="20"/>
        <w:szCs w:val="20"/>
        <w:lang w:val="en-US" w:eastAsia="en-US" w:bidi="ar-SA"/>
      </w:rPr>
    </w:lvl>
    <w:lvl w:ilvl="1" w:tplc="FC8AEA22">
      <w:start w:val="1"/>
      <w:numFmt w:val="lowerLetter"/>
      <w:lvlText w:val="%2)"/>
      <w:lvlJc w:val="left"/>
      <w:pPr>
        <w:ind w:left="969" w:hanging="425"/>
      </w:pPr>
      <w:rPr>
        <w:rFonts w:hint="default"/>
        <w:w w:val="100"/>
        <w:lang w:val="en-US" w:eastAsia="en-US" w:bidi="ar-SA"/>
      </w:rPr>
    </w:lvl>
    <w:lvl w:ilvl="2" w:tplc="BCA6DD1C">
      <w:numFmt w:val="bullet"/>
      <w:lvlText w:val="•"/>
      <w:lvlJc w:val="left"/>
      <w:pPr>
        <w:ind w:left="1918" w:hanging="425"/>
      </w:pPr>
      <w:rPr>
        <w:rFonts w:hint="default"/>
        <w:lang w:val="en-US" w:eastAsia="en-US" w:bidi="ar-SA"/>
      </w:rPr>
    </w:lvl>
    <w:lvl w:ilvl="3" w:tplc="27B257E8">
      <w:numFmt w:val="bullet"/>
      <w:lvlText w:val="•"/>
      <w:lvlJc w:val="left"/>
      <w:pPr>
        <w:ind w:left="2877" w:hanging="425"/>
      </w:pPr>
      <w:rPr>
        <w:rFonts w:hint="default"/>
        <w:lang w:val="en-US" w:eastAsia="en-US" w:bidi="ar-SA"/>
      </w:rPr>
    </w:lvl>
    <w:lvl w:ilvl="4" w:tplc="B6A4415E">
      <w:numFmt w:val="bullet"/>
      <w:lvlText w:val="•"/>
      <w:lvlJc w:val="left"/>
      <w:pPr>
        <w:ind w:left="3835" w:hanging="425"/>
      </w:pPr>
      <w:rPr>
        <w:rFonts w:hint="default"/>
        <w:lang w:val="en-US" w:eastAsia="en-US" w:bidi="ar-SA"/>
      </w:rPr>
    </w:lvl>
    <w:lvl w:ilvl="5" w:tplc="1BBEBB8C">
      <w:numFmt w:val="bullet"/>
      <w:lvlText w:val="•"/>
      <w:lvlJc w:val="left"/>
      <w:pPr>
        <w:ind w:left="4794" w:hanging="425"/>
      </w:pPr>
      <w:rPr>
        <w:rFonts w:hint="default"/>
        <w:lang w:val="en-US" w:eastAsia="en-US" w:bidi="ar-SA"/>
      </w:rPr>
    </w:lvl>
    <w:lvl w:ilvl="6" w:tplc="92E83E10">
      <w:numFmt w:val="bullet"/>
      <w:lvlText w:val="•"/>
      <w:lvlJc w:val="left"/>
      <w:pPr>
        <w:ind w:left="5753" w:hanging="425"/>
      </w:pPr>
      <w:rPr>
        <w:rFonts w:hint="default"/>
        <w:lang w:val="en-US" w:eastAsia="en-US" w:bidi="ar-SA"/>
      </w:rPr>
    </w:lvl>
    <w:lvl w:ilvl="7" w:tplc="64BE699E">
      <w:numFmt w:val="bullet"/>
      <w:lvlText w:val="•"/>
      <w:lvlJc w:val="left"/>
      <w:pPr>
        <w:ind w:left="6711" w:hanging="425"/>
      </w:pPr>
      <w:rPr>
        <w:rFonts w:hint="default"/>
        <w:lang w:val="en-US" w:eastAsia="en-US" w:bidi="ar-SA"/>
      </w:rPr>
    </w:lvl>
    <w:lvl w:ilvl="8" w:tplc="569E499E">
      <w:numFmt w:val="bullet"/>
      <w:lvlText w:val="•"/>
      <w:lvlJc w:val="left"/>
      <w:pPr>
        <w:ind w:left="7670" w:hanging="425"/>
      </w:pPr>
      <w:rPr>
        <w:rFonts w:hint="default"/>
        <w:lang w:val="en-US" w:eastAsia="en-US" w:bidi="ar-SA"/>
      </w:rPr>
    </w:lvl>
  </w:abstractNum>
  <w:abstractNum w:abstractNumId="15" w15:restartNumberingAfterBreak="0">
    <w:nsid w:val="743909CD"/>
    <w:multiLevelType w:val="hybridMultilevel"/>
    <w:tmpl w:val="44AAC21C"/>
    <w:lvl w:ilvl="0" w:tplc="3DECE2F4">
      <w:start w:val="1"/>
      <w:numFmt w:val="bullet"/>
      <w:lvlText w:val="-"/>
      <w:lvlJc w:val="left"/>
      <w:pPr>
        <w:ind w:left="1146" w:hanging="360"/>
      </w:pPr>
      <w:rPr>
        <w:rFonts w:ascii="Cambria" w:hAnsi="Cambria"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788D79E2"/>
    <w:multiLevelType w:val="multilevel"/>
    <w:tmpl w:val="88745E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7ABE2167"/>
    <w:multiLevelType w:val="hybridMultilevel"/>
    <w:tmpl w:val="027C97F2"/>
    <w:lvl w:ilvl="0" w:tplc="82C2CC8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1334213823">
    <w:abstractNumId w:val="16"/>
  </w:num>
  <w:num w:numId="2" w16cid:durableId="1999772464">
    <w:abstractNumId w:val="13"/>
  </w:num>
  <w:num w:numId="3" w16cid:durableId="1466775541">
    <w:abstractNumId w:val="3"/>
  </w:num>
  <w:num w:numId="4" w16cid:durableId="1769110195">
    <w:abstractNumId w:val="4"/>
  </w:num>
  <w:num w:numId="5" w16cid:durableId="790323733">
    <w:abstractNumId w:val="10"/>
  </w:num>
  <w:num w:numId="6" w16cid:durableId="1265111111">
    <w:abstractNumId w:val="1"/>
  </w:num>
  <w:num w:numId="7" w16cid:durableId="1240600125">
    <w:abstractNumId w:val="15"/>
  </w:num>
  <w:num w:numId="8" w16cid:durableId="3243630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1162169">
    <w:abstractNumId w:val="14"/>
  </w:num>
  <w:num w:numId="10" w16cid:durableId="481624084">
    <w:abstractNumId w:val="9"/>
  </w:num>
  <w:num w:numId="11" w16cid:durableId="897089399">
    <w:abstractNumId w:val="11"/>
  </w:num>
  <w:num w:numId="12" w16cid:durableId="1470976813">
    <w:abstractNumId w:val="8"/>
  </w:num>
  <w:num w:numId="13" w16cid:durableId="719598730">
    <w:abstractNumId w:val="12"/>
  </w:num>
  <w:num w:numId="14" w16cid:durableId="584875677">
    <w:abstractNumId w:val="7"/>
  </w:num>
  <w:num w:numId="15" w16cid:durableId="847019760">
    <w:abstractNumId w:val="2"/>
  </w:num>
  <w:num w:numId="16" w16cid:durableId="22482714">
    <w:abstractNumId w:val="0"/>
  </w:num>
  <w:num w:numId="17" w16cid:durableId="76293294">
    <w:abstractNumId w:val="6"/>
  </w:num>
  <w:num w:numId="18" w16cid:durableId="1023244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AFC"/>
    <w:rsid w:val="00001367"/>
    <w:rsid w:val="0000341C"/>
    <w:rsid w:val="00020214"/>
    <w:rsid w:val="000343DA"/>
    <w:rsid w:val="00062DE8"/>
    <w:rsid w:val="00070ED2"/>
    <w:rsid w:val="0007696E"/>
    <w:rsid w:val="00085CAE"/>
    <w:rsid w:val="000A32A7"/>
    <w:rsid w:val="000B4724"/>
    <w:rsid w:val="000B79F1"/>
    <w:rsid w:val="000C2F6B"/>
    <w:rsid w:val="000C578A"/>
    <w:rsid w:val="000E5B3A"/>
    <w:rsid w:val="000F0AAA"/>
    <w:rsid w:val="000F4DA7"/>
    <w:rsid w:val="001005C1"/>
    <w:rsid w:val="00133B06"/>
    <w:rsid w:val="0015158D"/>
    <w:rsid w:val="00165526"/>
    <w:rsid w:val="00181183"/>
    <w:rsid w:val="001836FF"/>
    <w:rsid w:val="001913D7"/>
    <w:rsid w:val="001A12EA"/>
    <w:rsid w:val="001B06E2"/>
    <w:rsid w:val="001B6778"/>
    <w:rsid w:val="001F4B30"/>
    <w:rsid w:val="002078C2"/>
    <w:rsid w:val="0023000B"/>
    <w:rsid w:val="002427A6"/>
    <w:rsid w:val="00267873"/>
    <w:rsid w:val="002736CD"/>
    <w:rsid w:val="002754DF"/>
    <w:rsid w:val="002979C6"/>
    <w:rsid w:val="002B07B3"/>
    <w:rsid w:val="002E4FB5"/>
    <w:rsid w:val="002E5E77"/>
    <w:rsid w:val="002E746C"/>
    <w:rsid w:val="002E7BBE"/>
    <w:rsid w:val="002F0939"/>
    <w:rsid w:val="002F5405"/>
    <w:rsid w:val="00336321"/>
    <w:rsid w:val="00367B46"/>
    <w:rsid w:val="00383059"/>
    <w:rsid w:val="003847B9"/>
    <w:rsid w:val="003B4E85"/>
    <w:rsid w:val="003C3446"/>
    <w:rsid w:val="003E36F4"/>
    <w:rsid w:val="003F3D45"/>
    <w:rsid w:val="004051AA"/>
    <w:rsid w:val="0041175B"/>
    <w:rsid w:val="00416E35"/>
    <w:rsid w:val="00445FCB"/>
    <w:rsid w:val="00453C02"/>
    <w:rsid w:val="004639DD"/>
    <w:rsid w:val="004C13E1"/>
    <w:rsid w:val="004F16F6"/>
    <w:rsid w:val="004F35F2"/>
    <w:rsid w:val="004F6611"/>
    <w:rsid w:val="00522BD1"/>
    <w:rsid w:val="005252E2"/>
    <w:rsid w:val="005476F0"/>
    <w:rsid w:val="00570FDA"/>
    <w:rsid w:val="00573C3D"/>
    <w:rsid w:val="005814D5"/>
    <w:rsid w:val="00595393"/>
    <w:rsid w:val="005B4507"/>
    <w:rsid w:val="005B54F4"/>
    <w:rsid w:val="005B695E"/>
    <w:rsid w:val="005D5654"/>
    <w:rsid w:val="005F4C62"/>
    <w:rsid w:val="00633750"/>
    <w:rsid w:val="006355FE"/>
    <w:rsid w:val="00641984"/>
    <w:rsid w:val="00642DD9"/>
    <w:rsid w:val="006442A8"/>
    <w:rsid w:val="00677405"/>
    <w:rsid w:val="00680C75"/>
    <w:rsid w:val="00691F6A"/>
    <w:rsid w:val="006A14F8"/>
    <w:rsid w:val="006B4FDD"/>
    <w:rsid w:val="006C5A1F"/>
    <w:rsid w:val="006C6543"/>
    <w:rsid w:val="006F2A01"/>
    <w:rsid w:val="007057A8"/>
    <w:rsid w:val="00744443"/>
    <w:rsid w:val="007448F8"/>
    <w:rsid w:val="007506CB"/>
    <w:rsid w:val="0075542A"/>
    <w:rsid w:val="00772689"/>
    <w:rsid w:val="00773F9B"/>
    <w:rsid w:val="0077450F"/>
    <w:rsid w:val="00782999"/>
    <w:rsid w:val="007B2ADD"/>
    <w:rsid w:val="007B6EC6"/>
    <w:rsid w:val="007D0E69"/>
    <w:rsid w:val="007D322F"/>
    <w:rsid w:val="00862E65"/>
    <w:rsid w:val="008B48B4"/>
    <w:rsid w:val="008E739C"/>
    <w:rsid w:val="008F4444"/>
    <w:rsid w:val="00924B5C"/>
    <w:rsid w:val="0094279B"/>
    <w:rsid w:val="0096539A"/>
    <w:rsid w:val="0099145B"/>
    <w:rsid w:val="009A5DB5"/>
    <w:rsid w:val="009D1852"/>
    <w:rsid w:val="009D3F12"/>
    <w:rsid w:val="009E43F0"/>
    <w:rsid w:val="009E4642"/>
    <w:rsid w:val="009E7097"/>
    <w:rsid w:val="00A168A4"/>
    <w:rsid w:val="00A20149"/>
    <w:rsid w:val="00A37382"/>
    <w:rsid w:val="00AA5339"/>
    <w:rsid w:val="00AC6383"/>
    <w:rsid w:val="00B040F4"/>
    <w:rsid w:val="00B608F5"/>
    <w:rsid w:val="00B638AC"/>
    <w:rsid w:val="00BB586E"/>
    <w:rsid w:val="00BB709E"/>
    <w:rsid w:val="00BD139B"/>
    <w:rsid w:val="00BD2A03"/>
    <w:rsid w:val="00BF691B"/>
    <w:rsid w:val="00BF699F"/>
    <w:rsid w:val="00C32C3D"/>
    <w:rsid w:val="00C660AE"/>
    <w:rsid w:val="00C83A0F"/>
    <w:rsid w:val="00C85DA1"/>
    <w:rsid w:val="00C85FA9"/>
    <w:rsid w:val="00C8782F"/>
    <w:rsid w:val="00C95149"/>
    <w:rsid w:val="00D172ED"/>
    <w:rsid w:val="00D57518"/>
    <w:rsid w:val="00D57A59"/>
    <w:rsid w:val="00DA0817"/>
    <w:rsid w:val="00DA6919"/>
    <w:rsid w:val="00DE7996"/>
    <w:rsid w:val="00E30020"/>
    <w:rsid w:val="00E30342"/>
    <w:rsid w:val="00E32BEA"/>
    <w:rsid w:val="00E3481B"/>
    <w:rsid w:val="00E56549"/>
    <w:rsid w:val="00E73F93"/>
    <w:rsid w:val="00E81F89"/>
    <w:rsid w:val="00EA3638"/>
    <w:rsid w:val="00EA4C98"/>
    <w:rsid w:val="00EB065D"/>
    <w:rsid w:val="00EB50CC"/>
    <w:rsid w:val="00EC0E9E"/>
    <w:rsid w:val="00F02495"/>
    <w:rsid w:val="00F10478"/>
    <w:rsid w:val="00F132C2"/>
    <w:rsid w:val="00F1736F"/>
    <w:rsid w:val="00F221C2"/>
    <w:rsid w:val="00F329D7"/>
    <w:rsid w:val="00F339B2"/>
    <w:rsid w:val="00F51AFC"/>
    <w:rsid w:val="00F67376"/>
    <w:rsid w:val="00F95C82"/>
    <w:rsid w:val="00FA4697"/>
    <w:rsid w:val="00FA7565"/>
    <w:rsid w:val="00FB1F47"/>
    <w:rsid w:val="00FE0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4DE36"/>
  <w15:docId w15:val="{795600D6-16B8-4B8F-8F08-4F2387E1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33"/>
      <w:outlineLvl w:val="0"/>
    </w:pPr>
    <w:rPr>
      <w:rFonts w:ascii="Times New Roman" w:eastAsia="Times New Roman" w:hAnsi="Times New Roman" w:cs="Times New Roman"/>
      <w:b/>
      <w:i/>
      <w:sz w:val="19"/>
      <w:szCs w:val="19"/>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1"/>
    <w:qFormat/>
    <w:rsid w:val="00416E35"/>
    <w:pPr>
      <w:ind w:left="720"/>
      <w:contextualSpacing/>
    </w:pPr>
  </w:style>
  <w:style w:type="paragraph" w:styleId="BalloonText">
    <w:name w:val="Balloon Text"/>
    <w:basedOn w:val="Normal"/>
    <w:link w:val="BalloonTextChar"/>
    <w:uiPriority w:val="99"/>
    <w:semiHidden/>
    <w:unhideWhenUsed/>
    <w:rsid w:val="00EB5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0CC"/>
    <w:rPr>
      <w:rFonts w:ascii="Segoe UI" w:hAnsi="Segoe UI" w:cs="Segoe UI"/>
      <w:sz w:val="18"/>
      <w:szCs w:val="18"/>
    </w:rPr>
  </w:style>
  <w:style w:type="paragraph" w:styleId="Revision">
    <w:name w:val="Revision"/>
    <w:hidden/>
    <w:uiPriority w:val="99"/>
    <w:semiHidden/>
    <w:rsid w:val="00070ED2"/>
    <w:pPr>
      <w:widowControl/>
    </w:pPr>
  </w:style>
  <w:style w:type="paragraph" w:styleId="Header">
    <w:name w:val="header"/>
    <w:basedOn w:val="Normal"/>
    <w:link w:val="HeaderChar"/>
    <w:uiPriority w:val="99"/>
    <w:unhideWhenUsed/>
    <w:rsid w:val="007057A8"/>
    <w:pPr>
      <w:tabs>
        <w:tab w:val="center" w:pos="4680"/>
        <w:tab w:val="right" w:pos="9360"/>
      </w:tabs>
    </w:pPr>
  </w:style>
  <w:style w:type="character" w:customStyle="1" w:styleId="HeaderChar">
    <w:name w:val="Header Char"/>
    <w:basedOn w:val="DefaultParagraphFont"/>
    <w:link w:val="Header"/>
    <w:uiPriority w:val="99"/>
    <w:rsid w:val="007057A8"/>
  </w:style>
  <w:style w:type="paragraph" w:styleId="Footer">
    <w:name w:val="footer"/>
    <w:basedOn w:val="Normal"/>
    <w:link w:val="FooterChar"/>
    <w:uiPriority w:val="99"/>
    <w:unhideWhenUsed/>
    <w:rsid w:val="007057A8"/>
    <w:pPr>
      <w:tabs>
        <w:tab w:val="center" w:pos="4680"/>
        <w:tab w:val="right" w:pos="9360"/>
      </w:tabs>
    </w:pPr>
  </w:style>
  <w:style w:type="character" w:customStyle="1" w:styleId="FooterChar">
    <w:name w:val="Footer Char"/>
    <w:basedOn w:val="DefaultParagraphFont"/>
    <w:link w:val="Footer"/>
    <w:uiPriority w:val="99"/>
    <w:rsid w:val="007057A8"/>
  </w:style>
  <w:style w:type="character" w:styleId="FootnoteReference">
    <w:name w:val="footnote reference"/>
    <w:aliases w:val="fr"/>
    <w:uiPriority w:val="99"/>
    <w:rsid w:val="005D5654"/>
  </w:style>
  <w:style w:type="paragraph" w:styleId="FootnoteText">
    <w:name w:val="footnote text"/>
    <w:aliases w:val="ft"/>
    <w:basedOn w:val="Normal"/>
    <w:link w:val="FootnoteTextChar"/>
    <w:uiPriority w:val="99"/>
    <w:rsid w:val="005D5654"/>
    <w:pPr>
      <w:widowControl/>
      <w:jc w:val="both"/>
    </w:pPr>
    <w:rPr>
      <w:rFonts w:ascii="Times New Roman" w:eastAsia="Times New Roman" w:hAnsi="Times New Roman" w:cs="Times New Roman"/>
      <w:sz w:val="20"/>
      <w:szCs w:val="20"/>
      <w:lang w:val="en-US"/>
    </w:rPr>
  </w:style>
  <w:style w:type="character" w:customStyle="1" w:styleId="FootnoteTextChar">
    <w:name w:val="Footnote Text Char"/>
    <w:aliases w:val="ft Char"/>
    <w:basedOn w:val="DefaultParagraphFont"/>
    <w:link w:val="FootnoteText"/>
    <w:uiPriority w:val="99"/>
    <w:rsid w:val="005D5654"/>
    <w:rPr>
      <w:rFonts w:ascii="Times New Roman" w:eastAsia="Times New Roman" w:hAnsi="Times New Roman" w:cs="Times New Roman"/>
      <w:sz w:val="20"/>
      <w:szCs w:val="20"/>
      <w:lang w:val="en-US"/>
    </w:rPr>
  </w:style>
  <w:style w:type="table" w:styleId="TableGrid">
    <w:name w:val="Table Grid"/>
    <w:basedOn w:val="TableNormal"/>
    <w:uiPriority w:val="39"/>
    <w:rsid w:val="004051AA"/>
    <w:pPr>
      <w:autoSpaceDE w:val="0"/>
      <w:autoSpaceDN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17</Pages>
  <Words>7997</Words>
  <Characters>43984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Author</cp:lastModifiedBy>
  <cp:revision>54</cp:revision>
  <dcterms:created xsi:type="dcterms:W3CDTF">2022-11-20T16:42:00Z</dcterms:created>
  <dcterms:modified xsi:type="dcterms:W3CDTF">2025-10-29T14:55:00Z</dcterms:modified>
</cp:coreProperties>
</file>