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2983" w14:textId="5E7F1E82" w:rsidR="00872FE8" w:rsidRPr="00652D6F" w:rsidRDefault="00872FE8" w:rsidP="00872FE8">
      <w:pPr>
        <w:tabs>
          <w:tab w:val="left" w:pos="426"/>
        </w:tabs>
        <w:spacing w:after="0" w:line="240" w:lineRule="auto"/>
        <w:ind w:left="425" w:hanging="425"/>
        <w:jc w:val="right"/>
        <w:rPr>
          <w:rFonts w:ascii="Cambria" w:eastAsia="Cambria" w:hAnsi="Cambria" w:cs="Cambria"/>
          <w:b/>
          <w:iCs/>
          <w:kern w:val="0"/>
          <w:sz w:val="20"/>
          <w:szCs w:val="20"/>
          <w14:ligatures w14:val="none"/>
        </w:rPr>
      </w:pPr>
      <w:bookmarkStart w:id="0" w:name="_Hlk146891511"/>
      <w:r w:rsidRPr="00652D6F">
        <w:rPr>
          <w:rFonts w:ascii="Cambria" w:eastAsia="Cambria" w:hAnsi="Cambria" w:cs="Cambria"/>
          <w:b/>
          <w:iCs/>
          <w:kern w:val="0"/>
          <w:sz w:val="20"/>
          <w:szCs w:val="20"/>
          <w14:ligatures w14:val="none"/>
        </w:rPr>
        <w:t>Original: inglés</w:t>
      </w:r>
    </w:p>
    <w:p w14:paraId="54D0C06F" w14:textId="3FF5A770" w:rsidR="008B0FC5" w:rsidRPr="00652D6F" w:rsidRDefault="008E75A0" w:rsidP="009F098C">
      <w:pPr>
        <w:spacing w:after="0" w:line="240" w:lineRule="auto"/>
        <w:jc w:val="center"/>
        <w:rPr>
          <w:rFonts w:ascii="Cambria" w:eastAsia="Cambria" w:hAnsi="Cambria" w:cs="Cambria"/>
          <w:b/>
          <w:bCs/>
          <w:kern w:val="0"/>
          <w:sz w:val="20"/>
          <w:szCs w:val="20"/>
          <w14:ligatures w14:val="none"/>
        </w:rPr>
      </w:pPr>
      <w:bookmarkStart w:id="1" w:name="_Hlk212645464"/>
      <w:r w:rsidRPr="00652D6F">
        <w:rPr>
          <w:rFonts w:ascii="Cambria" w:hAnsi="Cambria"/>
          <w:b/>
          <w:sz w:val="20"/>
        </w:rPr>
        <w:t>Aclaraciones solicitadas sobre la Recomendación 24-05</w:t>
      </w:r>
    </w:p>
    <w:bookmarkEnd w:id="1"/>
    <w:p w14:paraId="4FA8D89D" w14:textId="6C852081" w:rsidR="003532B4" w:rsidRPr="00652D6F" w:rsidRDefault="008B0FC5" w:rsidP="009F098C">
      <w:pPr>
        <w:tabs>
          <w:tab w:val="left" w:pos="1072"/>
        </w:tabs>
        <w:spacing w:after="0" w:line="240" w:lineRule="auto"/>
      </w:pPr>
      <w:r w:rsidRPr="00652D6F">
        <w:rPr>
          <w:rFonts w:ascii="Cambria" w:hAnsi="Cambria"/>
          <w:sz w:val="20"/>
        </w:rPr>
        <w:tab/>
      </w:r>
      <w:bookmarkEnd w:id="0"/>
    </w:p>
    <w:tbl>
      <w:tblPr>
        <w:tblStyle w:val="TableGrid2"/>
        <w:tblW w:w="0" w:type="auto"/>
        <w:tblLook w:val="04A0" w:firstRow="1" w:lastRow="0" w:firstColumn="1" w:lastColumn="0" w:noHBand="0" w:noVBand="1"/>
      </w:tblPr>
      <w:tblGrid>
        <w:gridCol w:w="1603"/>
        <w:gridCol w:w="3570"/>
        <w:gridCol w:w="2946"/>
        <w:gridCol w:w="2649"/>
        <w:gridCol w:w="3226"/>
      </w:tblGrid>
      <w:tr w:rsidR="00652D6F" w:rsidRPr="00652D6F" w14:paraId="575B9A8F" w14:textId="4D269C9E" w:rsidTr="00652D6F">
        <w:trPr>
          <w:tblHeader/>
        </w:trPr>
        <w:tc>
          <w:tcPr>
            <w:tcW w:w="0" w:type="auto"/>
          </w:tcPr>
          <w:p w14:paraId="2ACFA038" w14:textId="77777777" w:rsidR="005722FB" w:rsidRPr="00652D6F" w:rsidRDefault="005722FB" w:rsidP="005722FB">
            <w:pPr>
              <w:spacing w:after="0" w:line="240" w:lineRule="auto"/>
              <w:ind w:left="426"/>
              <w:contextualSpacing/>
              <w:rPr>
                <w:rFonts w:ascii="Cambria" w:eastAsia="Yu Mincho" w:hAnsi="Cambria"/>
                <w:b/>
                <w:bCs/>
                <w:sz w:val="20"/>
                <w:szCs w:val="20"/>
              </w:rPr>
            </w:pPr>
          </w:p>
        </w:tc>
        <w:tc>
          <w:tcPr>
            <w:tcW w:w="0" w:type="auto"/>
          </w:tcPr>
          <w:p w14:paraId="7A423B7D" w14:textId="77777777" w:rsidR="005722FB" w:rsidRPr="00652D6F" w:rsidRDefault="005722FB" w:rsidP="005722FB">
            <w:pPr>
              <w:spacing w:after="0" w:line="240" w:lineRule="auto"/>
              <w:ind w:left="426"/>
              <w:contextualSpacing/>
              <w:jc w:val="center"/>
              <w:rPr>
                <w:rFonts w:ascii="Cambria" w:eastAsia="Yu Mincho" w:hAnsi="Cambria"/>
                <w:b/>
                <w:bCs/>
                <w:i/>
                <w:iCs/>
                <w:sz w:val="20"/>
                <w:szCs w:val="20"/>
              </w:rPr>
            </w:pPr>
            <w:r w:rsidRPr="00652D6F">
              <w:rPr>
                <w:rFonts w:ascii="Cambria" w:hAnsi="Cambria"/>
                <w:b/>
                <w:i/>
                <w:sz w:val="20"/>
              </w:rPr>
              <w:t>Cuestión</w:t>
            </w:r>
          </w:p>
        </w:tc>
        <w:tc>
          <w:tcPr>
            <w:tcW w:w="0" w:type="auto"/>
          </w:tcPr>
          <w:p w14:paraId="59F11E9F" w14:textId="77777777" w:rsidR="005722FB" w:rsidRPr="00652D6F" w:rsidRDefault="005722FB" w:rsidP="005722FB">
            <w:pPr>
              <w:spacing w:after="0" w:line="240" w:lineRule="auto"/>
              <w:ind w:left="426"/>
              <w:jc w:val="center"/>
              <w:rPr>
                <w:rFonts w:ascii="Cambria" w:eastAsia="Yu Mincho" w:hAnsi="Cambria"/>
                <w:b/>
                <w:bCs/>
                <w:i/>
                <w:iCs/>
                <w:sz w:val="20"/>
                <w:szCs w:val="20"/>
              </w:rPr>
            </w:pPr>
            <w:r w:rsidRPr="00652D6F">
              <w:rPr>
                <w:rFonts w:ascii="Cambria" w:hAnsi="Cambria"/>
                <w:b/>
                <w:i/>
                <w:sz w:val="20"/>
              </w:rPr>
              <w:t>Solicitud</w:t>
            </w:r>
          </w:p>
        </w:tc>
        <w:tc>
          <w:tcPr>
            <w:tcW w:w="2649" w:type="dxa"/>
          </w:tcPr>
          <w:p w14:paraId="51CBA8AF" w14:textId="3058899C" w:rsidR="005722FB" w:rsidRPr="00652D6F" w:rsidRDefault="005722FB" w:rsidP="005722FB">
            <w:pPr>
              <w:spacing w:after="0" w:line="240" w:lineRule="auto"/>
              <w:jc w:val="center"/>
              <w:rPr>
                <w:rFonts w:ascii="Cambria" w:hAnsi="Cambria"/>
                <w:b/>
                <w:i/>
                <w:sz w:val="20"/>
              </w:rPr>
            </w:pPr>
            <w:r w:rsidRPr="00652D6F">
              <w:rPr>
                <w:rFonts w:ascii="Cambria" w:hAnsi="Cambria"/>
                <w:b/>
                <w:i/>
                <w:sz w:val="20"/>
              </w:rPr>
              <w:t>Comentarios de Türkiye</w:t>
            </w:r>
          </w:p>
        </w:tc>
        <w:tc>
          <w:tcPr>
            <w:tcW w:w="3226" w:type="dxa"/>
          </w:tcPr>
          <w:p w14:paraId="5D532F7E" w14:textId="4FA3F88B" w:rsidR="005722FB" w:rsidRPr="00652D6F" w:rsidRDefault="005722FB" w:rsidP="005722FB">
            <w:pPr>
              <w:spacing w:after="0" w:line="240" w:lineRule="auto"/>
              <w:ind w:left="426"/>
              <w:jc w:val="center"/>
              <w:rPr>
                <w:rFonts w:ascii="Cambria" w:hAnsi="Cambria"/>
                <w:b/>
                <w:i/>
                <w:sz w:val="20"/>
              </w:rPr>
            </w:pPr>
            <w:r w:rsidRPr="00652D6F">
              <w:rPr>
                <w:rFonts w:ascii="Cambria" w:hAnsi="Cambria"/>
                <w:b/>
                <w:i/>
                <w:sz w:val="20"/>
              </w:rPr>
              <w:t>Comentarios de Japón</w:t>
            </w:r>
          </w:p>
        </w:tc>
      </w:tr>
      <w:tr w:rsidR="00652D6F" w:rsidRPr="00652D6F" w14:paraId="4B410EED" w14:textId="5003A4A9" w:rsidTr="00652D6F">
        <w:tc>
          <w:tcPr>
            <w:tcW w:w="0" w:type="auto"/>
          </w:tcPr>
          <w:p w14:paraId="704555A9" w14:textId="6F8DA79B" w:rsidR="005722FB" w:rsidRPr="00652D6F" w:rsidRDefault="005722FB" w:rsidP="005722FB">
            <w:pPr>
              <w:spacing w:after="0" w:line="240" w:lineRule="auto"/>
              <w:contextualSpacing/>
              <w:rPr>
                <w:rFonts w:ascii="Cambria" w:eastAsia="Yu Mincho" w:hAnsi="Cambria"/>
                <w:b/>
                <w:bCs/>
                <w:sz w:val="20"/>
                <w:szCs w:val="20"/>
              </w:rPr>
            </w:pPr>
            <w:r w:rsidRPr="00652D6F">
              <w:rPr>
                <w:rFonts w:ascii="Cambria" w:hAnsi="Cambria"/>
                <w:b/>
                <w:sz w:val="20"/>
              </w:rPr>
              <w:t>1. Informes sobre introducción en jaulas de atún rojo</w:t>
            </w:r>
          </w:p>
        </w:tc>
        <w:tc>
          <w:tcPr>
            <w:tcW w:w="0" w:type="auto"/>
          </w:tcPr>
          <w:p w14:paraId="716DF887" w14:textId="07E997A1" w:rsidR="005722FB" w:rsidRPr="00652D6F" w:rsidRDefault="005722FB" w:rsidP="005722FB">
            <w:pPr>
              <w:pStyle w:val="BodyText"/>
              <w:spacing w:line="256" w:lineRule="auto"/>
              <w:ind w:right="132"/>
              <w:jc w:val="both"/>
              <w:rPr>
                <w:sz w:val="20"/>
                <w:szCs w:val="20"/>
              </w:rPr>
            </w:pPr>
            <w:r w:rsidRPr="00652D6F">
              <w:rPr>
                <w:sz w:val="20"/>
              </w:rPr>
              <w:t>En lo que respecta a los plazos y a la comunicación de datos en virtud de los requisitos M:BFT02 y M:BFT04, cabe señalar que tras la adopción de la Recomendación 21-08, que sustituyó a la Recomendación 06-07, ya no existe un plazo específico para comunicar los datos de introducción en jaulas y de cría.</w:t>
            </w:r>
          </w:p>
          <w:p w14:paraId="70FB306C" w14:textId="77777777" w:rsidR="005722FB" w:rsidRPr="00652D6F" w:rsidRDefault="005722FB" w:rsidP="005722FB">
            <w:pPr>
              <w:pStyle w:val="BodyText"/>
              <w:spacing w:line="256" w:lineRule="auto"/>
              <w:ind w:right="132"/>
              <w:jc w:val="both"/>
              <w:rPr>
                <w:sz w:val="20"/>
              </w:rPr>
            </w:pPr>
          </w:p>
          <w:p w14:paraId="27D6DDA0" w14:textId="018BF323" w:rsidR="005722FB" w:rsidRPr="00652D6F" w:rsidRDefault="005722FB" w:rsidP="005722FB">
            <w:pPr>
              <w:pStyle w:val="BodyText"/>
              <w:spacing w:line="256" w:lineRule="auto"/>
              <w:ind w:right="132"/>
              <w:jc w:val="both"/>
              <w:rPr>
                <w:sz w:val="20"/>
                <w:szCs w:val="20"/>
              </w:rPr>
            </w:pPr>
            <w:r w:rsidRPr="00652D6F">
              <w:rPr>
                <w:sz w:val="20"/>
              </w:rPr>
              <w:t xml:space="preserve">De acuerdo con lo establecido en los párrafos 24 y 188 de la </w:t>
            </w:r>
            <w:r w:rsidRPr="00652D6F">
              <w:rPr>
                <w:i/>
                <w:iCs/>
                <w:sz w:val="20"/>
              </w:rPr>
              <w:t xml:space="preserve">Recomendación de ICCAT que enmienda la Recomendación 22-08 que establece un plan de ordenación plurianual para el atún rojo en el Atlántico este y el Mediterráneo </w:t>
            </w:r>
            <w:r w:rsidRPr="00652D6F">
              <w:rPr>
                <w:sz w:val="20"/>
              </w:rPr>
              <w:t>(Rec. 24-05):</w:t>
            </w:r>
          </w:p>
          <w:p w14:paraId="79010429" w14:textId="77777777" w:rsidR="005722FB" w:rsidRPr="00652D6F" w:rsidRDefault="005722FB" w:rsidP="005722FB">
            <w:pPr>
              <w:pStyle w:val="BodyText"/>
              <w:spacing w:line="256" w:lineRule="auto"/>
              <w:ind w:right="132"/>
              <w:jc w:val="both"/>
              <w:rPr>
                <w:sz w:val="20"/>
                <w:szCs w:val="20"/>
              </w:rPr>
            </w:pPr>
          </w:p>
          <w:p w14:paraId="37098C36" w14:textId="3B33B89C" w:rsidR="005722FB" w:rsidRPr="00652D6F" w:rsidRDefault="005722FB" w:rsidP="005722FB">
            <w:pPr>
              <w:pStyle w:val="BodyText"/>
              <w:spacing w:line="256" w:lineRule="auto"/>
              <w:ind w:right="132"/>
              <w:jc w:val="both"/>
              <w:rPr>
                <w:sz w:val="20"/>
              </w:rPr>
            </w:pPr>
            <w:r w:rsidRPr="00652D6F">
              <w:rPr>
                <w:sz w:val="20"/>
              </w:rPr>
              <w:t xml:space="preserve">“ 24. La Secretaría de ICCAT recopilará estadísticas sobre la cantidad anual de introducción en jaulas (entrada de peces capturados en estado salvaje), de sacrificio y de exportación, por CPC de la granja, utilizando los datos del sistema eBCD.  El Grupo de trabajo permanente sobre sistemas de documentación de capturas (CDS WG) considerará el desarrollo de dicha función de extracción de datos y, hasta que dicha función esté disponible, cada CPC de </w:t>
            </w:r>
            <w:r w:rsidRPr="00652D6F">
              <w:rPr>
                <w:sz w:val="20"/>
              </w:rPr>
              <w:lastRenderedPageBreak/>
              <w:t>la granja comunicará estas estadísticas a la Secretaría de ICCAT.  Estas estadísticas estarán disponibles en el sitio web de ICCAT y estarán sujetas a requisitos de confidencialidad.</w:t>
            </w:r>
          </w:p>
          <w:p w14:paraId="4E6CFD3D" w14:textId="77777777" w:rsidR="005722FB" w:rsidRPr="00652D6F" w:rsidRDefault="005722FB" w:rsidP="005722FB">
            <w:pPr>
              <w:pStyle w:val="BodyText"/>
              <w:spacing w:line="256" w:lineRule="auto"/>
              <w:ind w:right="132"/>
              <w:jc w:val="both"/>
              <w:rPr>
                <w:rFonts w:cs="Times New Roman"/>
                <w:sz w:val="20"/>
                <w:szCs w:val="20"/>
              </w:rPr>
            </w:pPr>
          </w:p>
          <w:p w14:paraId="0454BC14" w14:textId="77777777" w:rsidR="005722FB" w:rsidRPr="00652D6F" w:rsidRDefault="005722FB" w:rsidP="005722FB">
            <w:pPr>
              <w:pStyle w:val="BodyText"/>
              <w:spacing w:line="256" w:lineRule="auto"/>
              <w:ind w:right="132"/>
              <w:jc w:val="both"/>
              <w:rPr>
                <w:sz w:val="20"/>
              </w:rPr>
            </w:pPr>
            <w:r w:rsidRPr="00652D6F">
              <w:rPr>
                <w:sz w:val="20"/>
              </w:rPr>
              <w:t>[…]</w:t>
            </w:r>
          </w:p>
          <w:p w14:paraId="3EAE47C1" w14:textId="77777777" w:rsidR="005722FB" w:rsidRPr="00652D6F" w:rsidRDefault="005722FB" w:rsidP="005722FB">
            <w:pPr>
              <w:pStyle w:val="BodyText"/>
              <w:spacing w:line="256" w:lineRule="auto"/>
              <w:ind w:right="132"/>
              <w:jc w:val="both"/>
              <w:rPr>
                <w:rFonts w:cs="Times New Roman"/>
                <w:sz w:val="20"/>
                <w:szCs w:val="20"/>
              </w:rPr>
            </w:pPr>
          </w:p>
          <w:p w14:paraId="41BFF12E" w14:textId="77777777" w:rsidR="005722FB" w:rsidRPr="00652D6F" w:rsidRDefault="005722FB" w:rsidP="005722FB">
            <w:pPr>
              <w:pStyle w:val="BodyText"/>
              <w:spacing w:line="256" w:lineRule="auto"/>
              <w:ind w:right="132"/>
              <w:jc w:val="both"/>
              <w:rPr>
                <w:rFonts w:cs="Times New Roman"/>
                <w:b/>
                <w:bCs/>
                <w:sz w:val="20"/>
                <w:szCs w:val="20"/>
              </w:rPr>
            </w:pPr>
            <w:r w:rsidRPr="00652D6F">
              <w:rPr>
                <w:b/>
                <w:sz w:val="20"/>
              </w:rPr>
              <w:t>Informe de introducción en jaula</w:t>
            </w:r>
          </w:p>
          <w:p w14:paraId="7B94481A" w14:textId="77777777" w:rsidR="005722FB" w:rsidRPr="00652D6F" w:rsidRDefault="005722FB" w:rsidP="005722FB">
            <w:pPr>
              <w:pStyle w:val="BodyText"/>
              <w:spacing w:line="256" w:lineRule="auto"/>
              <w:ind w:right="132"/>
              <w:jc w:val="both"/>
              <w:rPr>
                <w:rFonts w:cs="Times New Roman"/>
                <w:sz w:val="20"/>
                <w:szCs w:val="20"/>
              </w:rPr>
            </w:pPr>
          </w:p>
          <w:p w14:paraId="029EF7D9" w14:textId="3343B5E9" w:rsidR="005722FB" w:rsidRPr="00652D6F" w:rsidRDefault="005722FB" w:rsidP="005722FB">
            <w:pPr>
              <w:pStyle w:val="BodyText"/>
              <w:tabs>
                <w:tab w:val="left" w:pos="368"/>
              </w:tabs>
              <w:spacing w:line="256" w:lineRule="auto"/>
              <w:ind w:right="132"/>
              <w:jc w:val="both"/>
              <w:rPr>
                <w:sz w:val="20"/>
                <w:szCs w:val="20"/>
              </w:rPr>
            </w:pPr>
            <w:r w:rsidRPr="00652D6F">
              <w:rPr>
                <w:sz w:val="20"/>
              </w:rPr>
              <w:t xml:space="preserve">188. </w:t>
            </w:r>
            <w:r w:rsidRPr="00652D6F">
              <w:rPr>
                <w:sz w:val="20"/>
              </w:rPr>
              <w:tab/>
              <w:t>En los 15 días posteriores a la finalización de las órdenes de liberación, la autoridad competente de la CPC de la granja expedirá un informe de introducción en jaula para cada operación de introducción en jaula individual o, en el caso de una JFO o de almadrabas de la misma CPC/Estado miembro de la UE, para el conjunto completo de operaciones de introducción en jaulas relacionado con dicha JFO o dichas almadrabas.  El informe de introducción en jaula incluirá la información mencionada en el párrafo 3 del Anexo 9 y se comunicará a la autoridad competente de la CPC del pabellón de captura o de la almadraba y a la Secretaría de ICCAT</w:t>
            </w:r>
            <w:r w:rsidRPr="00652D6F">
              <w:rPr>
                <w:i/>
                <w:iCs/>
                <w:sz w:val="20"/>
              </w:rPr>
              <w:t>.”</w:t>
            </w:r>
          </w:p>
          <w:p w14:paraId="15600F07" w14:textId="77777777" w:rsidR="005722FB" w:rsidRPr="00652D6F" w:rsidRDefault="005722FB" w:rsidP="00652D6F">
            <w:pPr>
              <w:pStyle w:val="BodyText"/>
              <w:ind w:firstLine="720"/>
              <w:jc w:val="both"/>
              <w:rPr>
                <w:sz w:val="20"/>
                <w:szCs w:val="20"/>
              </w:rPr>
            </w:pPr>
          </w:p>
          <w:p w14:paraId="64997407" w14:textId="77777777" w:rsidR="005722FB" w:rsidRPr="00652D6F" w:rsidRDefault="005722FB" w:rsidP="005722FB">
            <w:pPr>
              <w:pStyle w:val="BodyText"/>
              <w:spacing w:before="4"/>
              <w:jc w:val="both"/>
              <w:rPr>
                <w:sz w:val="20"/>
                <w:szCs w:val="20"/>
              </w:rPr>
            </w:pPr>
            <w:r w:rsidRPr="00652D6F">
              <w:rPr>
                <w:sz w:val="20"/>
              </w:rPr>
              <w:t>La Secretaría considera que M:BFT02 y M:BFT04 representan requisitos de comunicación de información relacionados pero distintos:</w:t>
            </w:r>
          </w:p>
          <w:p w14:paraId="6E051BD6" w14:textId="77777777" w:rsidR="005722FB" w:rsidRPr="00652D6F" w:rsidRDefault="005722FB" w:rsidP="005722FB">
            <w:pPr>
              <w:pStyle w:val="BodyText"/>
              <w:spacing w:before="4"/>
              <w:ind w:left="360"/>
              <w:jc w:val="both"/>
              <w:rPr>
                <w:sz w:val="20"/>
                <w:szCs w:val="20"/>
              </w:rPr>
            </w:pPr>
          </w:p>
          <w:p w14:paraId="5509E524" w14:textId="2BE339C7" w:rsidR="005722FB" w:rsidRPr="00652D6F" w:rsidRDefault="005722FB" w:rsidP="005722FB">
            <w:pPr>
              <w:pStyle w:val="BodyText"/>
              <w:numPr>
                <w:ilvl w:val="0"/>
                <w:numId w:val="6"/>
              </w:numPr>
              <w:spacing w:before="4"/>
              <w:jc w:val="both"/>
              <w:rPr>
                <w:sz w:val="20"/>
                <w:szCs w:val="20"/>
              </w:rPr>
            </w:pPr>
            <w:r w:rsidRPr="00652D6F">
              <w:rPr>
                <w:sz w:val="20"/>
              </w:rPr>
              <w:t>M:BFT04 - El informe de introducción en jaula de atún rojo se refiere únicamente a la información sobre la introducción en jaula, que incluye tanto las operaciones de liberación como las operaciones de introducción en jaula subsiguientes, o sólo las de introducción en jaula cuando no se produce liberación. El plazo se establece explícitamente como 15 días después de la finalización de la liberación o, si no hay liberación, implica 15 días después de la operación de introducción en jaulas.</w:t>
            </w:r>
          </w:p>
          <w:p w14:paraId="011577B8" w14:textId="0CC553EC" w:rsidR="00652D6F" w:rsidRPr="00652D6F" w:rsidRDefault="005722FB" w:rsidP="00652D6F">
            <w:pPr>
              <w:pStyle w:val="BodyText"/>
              <w:numPr>
                <w:ilvl w:val="0"/>
                <w:numId w:val="6"/>
              </w:numPr>
              <w:spacing w:before="4"/>
              <w:jc w:val="both"/>
              <w:rPr>
                <w:rFonts w:eastAsia="Times New Roman"/>
                <w:sz w:val="20"/>
                <w:szCs w:val="20"/>
              </w:rPr>
            </w:pPr>
            <w:r w:rsidRPr="00652D6F">
              <w:rPr>
                <w:sz w:val="20"/>
              </w:rPr>
              <w:t>M:BFT02 - Informes de cría de atún rojo, se refiere a otras actividades de cría dentro de la granja, como transferencias dentro de la granja, traspasos, sacrificios, etc., tal y como figuran en la tabla de eventos del formulario CP09. No están explícitamente contemplados en la actual Recomendación con un plazo definido.</w:t>
            </w:r>
          </w:p>
        </w:tc>
        <w:tc>
          <w:tcPr>
            <w:tcW w:w="0" w:type="auto"/>
          </w:tcPr>
          <w:p w14:paraId="6548EABD" w14:textId="39DF5E20" w:rsidR="005722FB" w:rsidRPr="00652D6F" w:rsidRDefault="005722FB" w:rsidP="005722FB">
            <w:pPr>
              <w:spacing w:after="0" w:line="240" w:lineRule="auto"/>
              <w:jc w:val="both"/>
              <w:rPr>
                <w:rFonts w:ascii="Cambria" w:eastAsia="Yu Mincho" w:hAnsi="Cambria"/>
                <w:sz w:val="20"/>
                <w:szCs w:val="20"/>
              </w:rPr>
            </w:pPr>
            <w:r w:rsidRPr="00652D6F">
              <w:rPr>
                <w:rFonts w:ascii="Cambria" w:hAnsi="Cambria"/>
                <w:sz w:val="20"/>
              </w:rPr>
              <w:lastRenderedPageBreak/>
              <w:t xml:space="preserve">Aunque el sitio web de ICCAT indica actualmente una fecha límite para M:BFT02, esto puede parecer vago o redundante, ya que las operaciones de introducción en jaulas y liberación ya se abordan en el requisito M:BFT04. La falta de un plazo claramente definido en la Recomendación actual podría inducir a confusión. </w:t>
            </w:r>
          </w:p>
          <w:p w14:paraId="079BAACC" w14:textId="77777777" w:rsidR="005722FB" w:rsidRPr="00652D6F" w:rsidRDefault="005722FB" w:rsidP="005722FB">
            <w:pPr>
              <w:spacing w:after="0" w:line="240" w:lineRule="auto"/>
              <w:jc w:val="both"/>
              <w:rPr>
                <w:rFonts w:ascii="Cambria" w:eastAsia="Yu Mincho" w:hAnsi="Cambria"/>
                <w:sz w:val="20"/>
                <w:szCs w:val="20"/>
              </w:rPr>
            </w:pPr>
          </w:p>
          <w:p w14:paraId="7060A69D" w14:textId="7623A213" w:rsidR="005722FB" w:rsidRPr="00652D6F" w:rsidRDefault="005722FB" w:rsidP="005722FB">
            <w:pPr>
              <w:spacing w:after="0" w:line="240" w:lineRule="auto"/>
              <w:jc w:val="both"/>
              <w:rPr>
                <w:rFonts w:ascii="Cambria" w:eastAsia="Times New Roman" w:hAnsi="Cambria"/>
                <w:sz w:val="20"/>
                <w:szCs w:val="20"/>
              </w:rPr>
            </w:pPr>
            <w:r w:rsidRPr="00652D6F">
              <w:rPr>
                <w:rFonts w:ascii="Cambria" w:hAnsi="Cambria"/>
                <w:sz w:val="20"/>
              </w:rPr>
              <w:t>La Secretaría agradecería que el Grupo de trabajo permanente para la mejora de las estadísticas y normas de conservación de ICCAT (GTP) y/o la Subcomisión 2 proporcionasen directrices para aclarar los datos específicos requeridos para cada requisito, y para establecer un plazo explícito para estas operaciones adicionales en la nueva Recomendación para el atún rojo del este que se desarrollará este año.</w:t>
            </w:r>
          </w:p>
        </w:tc>
        <w:tc>
          <w:tcPr>
            <w:tcW w:w="2649" w:type="dxa"/>
          </w:tcPr>
          <w:p w14:paraId="6082C24A" w14:textId="1F779D91" w:rsidR="005722FB" w:rsidRPr="00652D6F" w:rsidRDefault="005722FB" w:rsidP="005722FB">
            <w:pPr>
              <w:spacing w:line="240" w:lineRule="auto"/>
              <w:jc w:val="both"/>
              <w:rPr>
                <w:rFonts w:ascii="Cambria" w:eastAsia="Yu Mincho" w:hAnsi="Cambria"/>
                <w:sz w:val="20"/>
                <w:szCs w:val="20"/>
              </w:rPr>
            </w:pPr>
            <w:r w:rsidRPr="00652D6F">
              <w:rPr>
                <w:rFonts w:ascii="Cambria" w:hAnsi="Cambria"/>
                <w:sz w:val="20"/>
              </w:rPr>
              <w:t xml:space="preserve">Türkiye apoya </w:t>
            </w:r>
            <w:r w:rsidR="00652D6F" w:rsidRPr="00652D6F">
              <w:rPr>
                <w:rFonts w:ascii="Cambria" w:hAnsi="Cambria"/>
                <w:sz w:val="20"/>
              </w:rPr>
              <w:t xml:space="preserve">el establecimiento </w:t>
            </w:r>
            <w:r w:rsidRPr="00652D6F">
              <w:rPr>
                <w:rFonts w:ascii="Cambria" w:hAnsi="Cambria"/>
                <w:sz w:val="20"/>
              </w:rPr>
              <w:t xml:space="preserve">de un plazo para la comunicación de datos sobre la introducción en jaula y la cría, tal y como se establece en las recomendaciones anteriores. </w:t>
            </w:r>
          </w:p>
          <w:p w14:paraId="21BB64EA" w14:textId="77777777" w:rsidR="005722FB" w:rsidRPr="00652D6F" w:rsidRDefault="005722FB" w:rsidP="005722FB">
            <w:pPr>
              <w:spacing w:after="0" w:line="240" w:lineRule="auto"/>
              <w:jc w:val="both"/>
              <w:rPr>
                <w:rFonts w:ascii="Cambria" w:hAnsi="Cambria"/>
                <w:sz w:val="20"/>
              </w:rPr>
            </w:pPr>
          </w:p>
        </w:tc>
        <w:tc>
          <w:tcPr>
            <w:tcW w:w="3226" w:type="dxa"/>
          </w:tcPr>
          <w:p w14:paraId="36D0C521" w14:textId="77777777" w:rsidR="005722FB" w:rsidRPr="00652D6F" w:rsidRDefault="005722FB" w:rsidP="005722FB">
            <w:pPr>
              <w:spacing w:after="0" w:line="240" w:lineRule="auto"/>
              <w:jc w:val="both"/>
              <w:rPr>
                <w:rFonts w:ascii="Cambria" w:hAnsi="Cambria"/>
                <w:sz w:val="20"/>
              </w:rPr>
            </w:pPr>
          </w:p>
        </w:tc>
      </w:tr>
      <w:tr w:rsidR="00652D6F" w:rsidRPr="00F17333" w14:paraId="27C6A7D7" w14:textId="3F2C2C52" w:rsidTr="00652D6F">
        <w:tc>
          <w:tcPr>
            <w:tcW w:w="0" w:type="auto"/>
          </w:tcPr>
          <w:p w14:paraId="33C94C1D" w14:textId="209437B3" w:rsidR="005722FB" w:rsidRPr="00652D6F" w:rsidRDefault="005722FB" w:rsidP="005722FB">
            <w:pPr>
              <w:spacing w:after="0" w:line="240" w:lineRule="auto"/>
              <w:contextualSpacing/>
              <w:rPr>
                <w:rFonts w:ascii="Cambria" w:eastAsia="Yu Mincho" w:hAnsi="Cambria"/>
                <w:b/>
                <w:bCs/>
                <w:sz w:val="20"/>
                <w:szCs w:val="20"/>
              </w:rPr>
            </w:pPr>
            <w:r w:rsidRPr="00652D6F">
              <w:rPr>
                <w:rFonts w:ascii="Cambria" w:hAnsi="Cambria"/>
                <w:b/>
                <w:sz w:val="20"/>
              </w:rPr>
              <w:lastRenderedPageBreak/>
              <w:t>2. Cuotas de atún rojo para buques de captura de más de 24 m</w:t>
            </w:r>
          </w:p>
          <w:p w14:paraId="4C79CCE0" w14:textId="77777777" w:rsidR="005722FB" w:rsidRPr="00652D6F" w:rsidRDefault="005722FB" w:rsidP="005722FB">
            <w:pPr>
              <w:spacing w:after="0" w:line="240" w:lineRule="auto"/>
              <w:contextualSpacing/>
              <w:rPr>
                <w:rFonts w:ascii="Cambria" w:eastAsia="Yu Mincho" w:hAnsi="Cambria"/>
                <w:b/>
                <w:bCs/>
                <w:sz w:val="20"/>
                <w:szCs w:val="20"/>
              </w:rPr>
            </w:pPr>
          </w:p>
        </w:tc>
        <w:tc>
          <w:tcPr>
            <w:tcW w:w="0" w:type="auto"/>
          </w:tcPr>
          <w:p w14:paraId="6D015D96" w14:textId="1BB4B614" w:rsidR="005722FB" w:rsidRPr="00652D6F" w:rsidRDefault="005722FB" w:rsidP="005722FB">
            <w:pPr>
              <w:spacing w:after="0" w:line="240" w:lineRule="auto"/>
              <w:jc w:val="both"/>
              <w:rPr>
                <w:rFonts w:ascii="Cambria" w:eastAsia="Yu Mincho" w:hAnsi="Cambria"/>
                <w:sz w:val="20"/>
                <w:szCs w:val="20"/>
              </w:rPr>
            </w:pPr>
            <w:r w:rsidRPr="00652D6F">
              <w:rPr>
                <w:rFonts w:ascii="Cambria" w:hAnsi="Cambria"/>
                <w:sz w:val="20"/>
              </w:rPr>
              <w:t xml:space="preserve">De conformidad con el párrafo 3 de la </w:t>
            </w:r>
            <w:r w:rsidRPr="00652D6F">
              <w:rPr>
                <w:rFonts w:ascii="Cambria" w:hAnsi="Cambria"/>
                <w:i/>
                <w:iCs/>
                <w:sz w:val="20"/>
              </w:rPr>
              <w:t xml:space="preserve">Recomendación de ICCAT que enmienda la Recomendación 22-08 que establece un plan de ordenación plurianual para el atún rojo en el Atlántico este y Mediterráneo </w:t>
            </w:r>
            <w:r w:rsidRPr="00652D6F">
              <w:rPr>
                <w:rFonts w:ascii="Cambria" w:hAnsi="Cambria"/>
                <w:sz w:val="20"/>
              </w:rPr>
              <w:t>(Rec. 24-05)</w:t>
            </w:r>
          </w:p>
          <w:p w14:paraId="7EFE58FD" w14:textId="77777777" w:rsidR="005722FB" w:rsidRPr="00652D6F" w:rsidRDefault="005722FB" w:rsidP="005722FB">
            <w:pPr>
              <w:spacing w:after="0" w:line="240" w:lineRule="auto"/>
              <w:jc w:val="both"/>
              <w:rPr>
                <w:rFonts w:ascii="Cambria" w:eastAsia="Yu Mincho" w:hAnsi="Cambria"/>
                <w:sz w:val="20"/>
                <w:szCs w:val="20"/>
              </w:rPr>
            </w:pPr>
          </w:p>
          <w:p w14:paraId="6870366E" w14:textId="77777777" w:rsidR="005722FB" w:rsidRPr="00652D6F" w:rsidRDefault="005722FB" w:rsidP="005722FB">
            <w:pPr>
              <w:spacing w:after="0" w:line="240" w:lineRule="auto"/>
              <w:jc w:val="both"/>
              <w:rPr>
                <w:rFonts w:ascii="Cambria" w:eastAsia="Yu Mincho" w:hAnsi="Cambria"/>
                <w:sz w:val="20"/>
                <w:szCs w:val="20"/>
              </w:rPr>
            </w:pPr>
            <w:r w:rsidRPr="00652D6F">
              <w:rPr>
                <w:rFonts w:ascii="Cambria" w:hAnsi="Cambria"/>
                <w:sz w:val="20"/>
              </w:rPr>
              <w:t>"3. Cada CPC adoptará las medidas necesarias para garantizar que el esfuerzo pesquero de sus buques de captura y de sus almadrabas se corresponda con las posibilidades de pesca de atún rojo disponibles para dicha CPC en el Atlántico este y el Mediterráneo, lo que incluye mediante el establecimiento de cuotas individuales para sus buques de captura de más de 24 m incluidos en la lista mencionada en el párrafo 48 a) de esta Recomendación."</w:t>
            </w:r>
          </w:p>
          <w:p w14:paraId="64BC92A3" w14:textId="77777777" w:rsidR="005722FB" w:rsidRPr="00652D6F" w:rsidRDefault="005722FB" w:rsidP="005722FB">
            <w:pPr>
              <w:spacing w:after="0" w:line="240" w:lineRule="auto"/>
              <w:jc w:val="both"/>
              <w:rPr>
                <w:rFonts w:ascii="Cambria" w:eastAsia="Yu Mincho" w:hAnsi="Cambria"/>
                <w:sz w:val="20"/>
                <w:szCs w:val="20"/>
              </w:rPr>
            </w:pPr>
          </w:p>
          <w:p w14:paraId="33E50C61" w14:textId="040406E0" w:rsidR="005722FB" w:rsidRPr="00652D6F" w:rsidRDefault="005722FB" w:rsidP="005722FB">
            <w:pPr>
              <w:spacing w:after="0" w:line="240" w:lineRule="auto"/>
              <w:jc w:val="both"/>
              <w:rPr>
                <w:rFonts w:ascii="Cambria" w:eastAsia="Yu Mincho" w:hAnsi="Cambria"/>
                <w:sz w:val="20"/>
                <w:szCs w:val="20"/>
              </w:rPr>
            </w:pPr>
            <w:r w:rsidRPr="00652D6F">
              <w:rPr>
                <w:rFonts w:ascii="Cambria" w:hAnsi="Cambria"/>
                <w:sz w:val="20"/>
              </w:rPr>
              <w:t xml:space="preserve">A la luz de lo anterior, la Secretaría interpreta que todos los buques de captura de más de 24 m de eslora total (LOA) que pescan activamente atún rojo, es decir, aquellos que dirigen su actividad al atún rojo durante una temporada de pesca determinada y que, por lo tanto, están activos en el Registro ICCAT de buques de captura de atún rojo, deben tener asignada una cuota válida, que no debe ser nula o igual a cero. </w:t>
            </w:r>
            <w:r w:rsidRPr="00652D6F">
              <w:rPr>
                <w:rFonts w:ascii="Cambria" w:hAnsi="Cambria"/>
                <w:sz w:val="20"/>
                <w:szCs w:val="20"/>
              </w:rPr>
              <w:t>Esto último puede tener implicaciones, sobre todo teniendo en cuenta las interconexiones con otros sistemas vinculados al Registro de buques, como el eBCD.</w:t>
            </w:r>
          </w:p>
          <w:p w14:paraId="407A7B0C" w14:textId="77777777" w:rsidR="005722FB" w:rsidRPr="00652D6F" w:rsidRDefault="005722FB" w:rsidP="005722FB">
            <w:pPr>
              <w:spacing w:after="0" w:line="240" w:lineRule="auto"/>
              <w:jc w:val="both"/>
              <w:rPr>
                <w:rFonts w:ascii="Cambria" w:eastAsia="Yu Mincho" w:hAnsi="Cambria"/>
                <w:sz w:val="20"/>
                <w:szCs w:val="20"/>
              </w:rPr>
            </w:pPr>
          </w:p>
          <w:p w14:paraId="7FDBE92F" w14:textId="77777777" w:rsidR="005722FB" w:rsidRPr="00652D6F" w:rsidRDefault="005722FB" w:rsidP="005722FB">
            <w:pPr>
              <w:spacing w:after="0" w:line="240" w:lineRule="auto"/>
              <w:contextualSpacing/>
              <w:jc w:val="both"/>
              <w:rPr>
                <w:rFonts w:ascii="Cambria" w:eastAsia="Yu Mincho" w:hAnsi="Cambria"/>
                <w:sz w:val="20"/>
                <w:szCs w:val="20"/>
              </w:rPr>
            </w:pPr>
            <w:r w:rsidRPr="00652D6F">
              <w:rPr>
                <w:rFonts w:ascii="Cambria" w:hAnsi="Cambria"/>
                <w:sz w:val="20"/>
              </w:rPr>
              <w:t>Sin embargo, algunas CPC han solicitado que la Secretaría mantenga en la citada lista los buques cuya cuota es igual a cero.</w:t>
            </w:r>
          </w:p>
          <w:p w14:paraId="54F2FF7E" w14:textId="7518A6B9" w:rsidR="005722FB" w:rsidRPr="00652D6F" w:rsidRDefault="005722FB" w:rsidP="005722FB">
            <w:pPr>
              <w:spacing w:after="0" w:line="240" w:lineRule="auto"/>
              <w:contextualSpacing/>
              <w:jc w:val="both"/>
              <w:rPr>
                <w:rFonts w:ascii="Cambria" w:eastAsia="Times New Roman" w:hAnsi="Cambria"/>
                <w:sz w:val="20"/>
                <w:szCs w:val="20"/>
              </w:rPr>
            </w:pPr>
          </w:p>
        </w:tc>
        <w:tc>
          <w:tcPr>
            <w:tcW w:w="0" w:type="auto"/>
          </w:tcPr>
          <w:p w14:paraId="0937B3A5" w14:textId="445347D8" w:rsidR="005722FB" w:rsidRPr="00652D6F" w:rsidRDefault="005722FB" w:rsidP="005722FB">
            <w:pPr>
              <w:spacing w:after="0" w:line="240" w:lineRule="auto"/>
              <w:jc w:val="both"/>
              <w:rPr>
                <w:rFonts w:ascii="Cambria" w:eastAsia="Times New Roman" w:hAnsi="Cambria"/>
                <w:sz w:val="20"/>
                <w:szCs w:val="20"/>
              </w:rPr>
            </w:pPr>
            <w:r w:rsidRPr="00652D6F">
              <w:rPr>
                <w:rFonts w:ascii="Cambria" w:hAnsi="Cambria"/>
                <w:sz w:val="20"/>
              </w:rPr>
              <w:t>La Secretaría agradecería que el GTP y/o la Subcomisión 2 proporcionasen orientaciones sobre cómo proceder y si una cuota nula o cero es aceptable como cuota individual para los buques de captura de más de 24</w:t>
            </w:r>
            <w:r w:rsidR="00652D6F">
              <w:rPr>
                <w:rFonts w:ascii="Cambria" w:hAnsi="Cambria"/>
                <w:sz w:val="20"/>
              </w:rPr>
              <w:t> </w:t>
            </w:r>
            <w:r w:rsidRPr="00652D6F">
              <w:rPr>
                <w:rFonts w:ascii="Cambria" w:hAnsi="Cambria"/>
                <w:sz w:val="20"/>
              </w:rPr>
              <w:t>m.</w:t>
            </w:r>
          </w:p>
        </w:tc>
        <w:tc>
          <w:tcPr>
            <w:tcW w:w="2649" w:type="dxa"/>
          </w:tcPr>
          <w:p w14:paraId="1FB389E0" w14:textId="77777777" w:rsidR="005722FB" w:rsidRPr="00652D6F" w:rsidRDefault="005722FB" w:rsidP="005722FB">
            <w:pPr>
              <w:spacing w:after="0" w:line="240" w:lineRule="auto"/>
              <w:jc w:val="both"/>
              <w:rPr>
                <w:rFonts w:ascii="Cambria" w:hAnsi="Cambria"/>
                <w:sz w:val="20"/>
              </w:rPr>
            </w:pPr>
          </w:p>
        </w:tc>
        <w:tc>
          <w:tcPr>
            <w:tcW w:w="3226" w:type="dxa"/>
          </w:tcPr>
          <w:p w14:paraId="136469E7" w14:textId="77777777" w:rsidR="005722FB" w:rsidRPr="00652D6F" w:rsidRDefault="005722FB" w:rsidP="005722FB">
            <w:pPr>
              <w:spacing w:line="240" w:lineRule="auto"/>
              <w:jc w:val="both"/>
              <w:rPr>
                <w:rFonts w:ascii="Cambria" w:eastAsia="Yu Mincho" w:hAnsi="Cambria"/>
                <w:sz w:val="20"/>
                <w:szCs w:val="20"/>
              </w:rPr>
            </w:pPr>
            <w:r w:rsidRPr="00652D6F">
              <w:rPr>
                <w:rFonts w:ascii="Cambria" w:hAnsi="Cambria"/>
                <w:sz w:val="20"/>
              </w:rPr>
              <w:t>Japón entiende que, aunque los buques pesqueros estarán registrados con una cuota válida en el Registro ICCAT de buques de captura de atún rojo, los buques podrán permanecer en el Registro incluso después de que la cuota asignada se haya agotado o transferido, con el fin de que los buques puedan recibir futuras transferencias de cuota.</w:t>
            </w:r>
          </w:p>
          <w:p w14:paraId="32776055" w14:textId="77777777" w:rsidR="005722FB" w:rsidRPr="00652D6F" w:rsidRDefault="005722FB" w:rsidP="005722FB">
            <w:pPr>
              <w:spacing w:line="240" w:lineRule="auto"/>
              <w:jc w:val="both"/>
              <w:rPr>
                <w:rFonts w:ascii="Cambria" w:eastAsia="Yu Mincho" w:hAnsi="Cambria"/>
                <w:sz w:val="20"/>
                <w:szCs w:val="20"/>
              </w:rPr>
            </w:pPr>
            <w:r w:rsidRPr="00652D6F">
              <w:rPr>
                <w:rFonts w:ascii="Cambria" w:hAnsi="Cambria"/>
                <w:sz w:val="20"/>
              </w:rPr>
              <w:t xml:space="preserve">Japón designa, al comienzo de la temporada de pesca, los buques que participarán en la pesca de atún rojo durante ese año, de conformidad con el párrafo 52 de la Recomendación 24-05. Todos los buques disponen de cuotas válidas; sin embargo, es posible que algunos buques tengan que transferir su cuota antes de que finalice la campaña de pesca.  Dado que el párrafo 53 de la Rec. 24-05 restringe los registros retroactivos de buques, los buques receptores deben estar registrados antes del inicio de la actividad pesquera. En algunos casos, los buques que han consumido/transferido íntegramente su cuota desean recibir dicha transferencia. Se debería permitir que dichos buques figuren en el Registro incluso después de haber agotado toda la cuota inicial, es decir, cuota cero.  </w:t>
            </w:r>
          </w:p>
          <w:p w14:paraId="1CAD0AE0" w14:textId="77777777" w:rsidR="005722FB" w:rsidRDefault="005722FB" w:rsidP="005722FB">
            <w:pPr>
              <w:spacing w:after="0" w:line="240" w:lineRule="auto"/>
              <w:jc w:val="both"/>
              <w:rPr>
                <w:rFonts w:ascii="Cambria" w:hAnsi="Cambria"/>
                <w:sz w:val="20"/>
              </w:rPr>
            </w:pPr>
          </w:p>
        </w:tc>
      </w:tr>
    </w:tbl>
    <w:p w14:paraId="68EB6D5E" w14:textId="77777777" w:rsidR="009F098C" w:rsidRPr="004B6A30" w:rsidRDefault="009F098C" w:rsidP="006A6CC2"/>
    <w:sectPr w:rsidR="009F098C" w:rsidRPr="004B6A30" w:rsidSect="005D76A4">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6136" w14:textId="77777777" w:rsidR="00416576" w:rsidRDefault="00416576" w:rsidP="008B0FC5">
      <w:pPr>
        <w:spacing w:after="0" w:line="240" w:lineRule="auto"/>
      </w:pPr>
      <w:r>
        <w:separator/>
      </w:r>
    </w:p>
  </w:endnote>
  <w:endnote w:type="continuationSeparator" w:id="0">
    <w:p w14:paraId="17FE8BBB" w14:textId="77777777" w:rsidR="00416576" w:rsidRDefault="00416576" w:rsidP="008B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15A9" w14:textId="77777777" w:rsidR="008B0FC5" w:rsidRDefault="008B0FC5">
    <w:pPr>
      <w:pStyle w:val="Footer"/>
      <w:jc w:val="right"/>
    </w:pPr>
  </w:p>
  <w:sdt>
    <w:sdtPr>
      <w:id w:val="-1898663564"/>
      <w:docPartObj>
        <w:docPartGallery w:val="Page Numbers (Bottom of Page)"/>
        <w:docPartUnique/>
      </w:docPartObj>
    </w:sdtPr>
    <w:sdtEndPr>
      <w:rPr>
        <w:rFonts w:ascii="Cambria" w:hAnsi="Cambria"/>
        <w:noProof/>
      </w:rPr>
    </w:sdtEndPr>
    <w:sdtContent>
      <w:p w14:paraId="1A25CADD" w14:textId="77777777" w:rsidR="008B0FC5" w:rsidRPr="00176CC7" w:rsidRDefault="008B0FC5" w:rsidP="0058615E">
        <w:pPr>
          <w:pStyle w:val="Footer"/>
          <w:rPr>
            <w:rFonts w:ascii="Cambria" w:hAnsi="Cambria"/>
          </w:rPr>
        </w:pPr>
        <w:r w:rsidRPr="00176CC7">
          <w:rPr>
            <w:rFonts w:ascii="Cambria" w:hAnsi="Cambria"/>
          </w:rPr>
          <w:fldChar w:fldCharType="begin"/>
        </w:r>
        <w:r w:rsidRPr="00176CC7">
          <w:rPr>
            <w:rFonts w:ascii="Cambria" w:hAnsi="Cambria"/>
          </w:rPr>
          <w:instrText xml:space="preserve"> PAGE   \* MERGEFORMAT </w:instrText>
        </w:r>
        <w:r w:rsidRPr="00176CC7">
          <w:rPr>
            <w:rFonts w:ascii="Cambria" w:hAnsi="Cambria"/>
          </w:rPr>
          <w:fldChar w:fldCharType="separate"/>
        </w:r>
        <w:r w:rsidRPr="00176CC7">
          <w:rPr>
            <w:rFonts w:ascii="Cambria" w:hAnsi="Cambria"/>
          </w:rPr>
          <w:t>257</w:t>
        </w:r>
        <w:r w:rsidRPr="00176CC7">
          <w:rPr>
            <w:rFonts w:ascii="Cambria" w:hAnsi="Cambr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28E7" w14:textId="7FD13319" w:rsidR="008B0FC5" w:rsidRPr="00AD5CF4" w:rsidRDefault="00266699" w:rsidP="00AD5CF4">
    <w:pPr>
      <w:tabs>
        <w:tab w:val="center" w:pos="4535"/>
        <w:tab w:val="center" w:pos="4680"/>
        <w:tab w:val="left" w:pos="6150"/>
        <w:tab w:val="right" w:pos="9360"/>
      </w:tabs>
      <w:spacing w:after="0" w:line="240" w:lineRule="auto"/>
      <w:jc w:val="center"/>
      <w:rPr>
        <w:rFonts w:ascii="Cambria" w:eastAsia="Calibri" w:hAnsi="Cambria" w:cs="Calibri"/>
        <w:sz w:val="20"/>
        <w:szCs w:val="20"/>
      </w:rPr>
    </w:pPr>
    <w:sdt>
      <w:sdtPr>
        <w:rPr>
          <w:rFonts w:ascii="Calibri" w:eastAsia="Calibri" w:hAnsi="Calibri" w:cs="Calibri"/>
          <w:sz w:val="20"/>
          <w:szCs w:val="20"/>
        </w:rPr>
        <w:id w:val="-883554115"/>
        <w:docPartObj>
          <w:docPartGallery w:val="Page Numbers (Top of Page)"/>
          <w:docPartUnique/>
        </w:docPartObj>
      </w:sdtPr>
      <w:sdtEndPr/>
      <w:sdtContent>
        <w:r w:rsidR="00AD5CF4" w:rsidRPr="00AD5CF4">
          <w:rPr>
            <w:rFonts w:ascii="Cambria" w:eastAsia="Calibri" w:hAnsi="Cambria" w:cs="Calibri"/>
            <w:sz w:val="20"/>
          </w:rPr>
          <w:fldChar w:fldCharType="begin"/>
        </w:r>
        <w:r w:rsidR="00AD5CF4" w:rsidRPr="00AD5CF4">
          <w:rPr>
            <w:rFonts w:ascii="Cambria" w:eastAsia="Calibri" w:hAnsi="Cambria" w:cs="Calibri"/>
            <w:sz w:val="20"/>
          </w:rPr>
          <w:instrText xml:space="preserve"> PAGE </w:instrText>
        </w:r>
        <w:r w:rsidR="00AD5CF4" w:rsidRPr="00AD5CF4">
          <w:rPr>
            <w:rFonts w:ascii="Cambria" w:eastAsia="Calibri" w:hAnsi="Cambria" w:cs="Calibri"/>
            <w:sz w:val="20"/>
          </w:rPr>
          <w:fldChar w:fldCharType="separate"/>
        </w:r>
        <w:r w:rsidR="00AD5CF4" w:rsidRPr="00AD5CF4">
          <w:rPr>
            <w:rFonts w:ascii="Cambria" w:eastAsia="Calibri" w:hAnsi="Cambria" w:cs="Calibri"/>
            <w:sz w:val="20"/>
          </w:rPr>
          <w:t>1</w:t>
        </w:r>
        <w:r w:rsidR="00AD5CF4" w:rsidRPr="00AD5CF4">
          <w:rPr>
            <w:rFonts w:ascii="Cambria" w:eastAsia="Calibri" w:hAnsi="Cambria" w:cs="Calibri"/>
            <w:sz w:val="20"/>
          </w:rPr>
          <w:fldChar w:fldCharType="end"/>
        </w:r>
        <w:r w:rsidR="00740559">
          <w:rPr>
            <w:rFonts w:ascii="Cambria" w:hAnsi="Cambria"/>
            <w:sz w:val="20"/>
          </w:rPr>
          <w:t xml:space="preserve"> / </w:t>
        </w:r>
        <w:r w:rsidR="00AD5CF4" w:rsidRPr="00AD5CF4">
          <w:rPr>
            <w:rFonts w:ascii="Cambria" w:eastAsia="Calibri" w:hAnsi="Cambria" w:cs="Calibri"/>
            <w:sz w:val="20"/>
          </w:rPr>
          <w:fldChar w:fldCharType="begin"/>
        </w:r>
        <w:r w:rsidR="00AD5CF4" w:rsidRPr="00AD5CF4">
          <w:rPr>
            <w:rFonts w:ascii="Cambria" w:eastAsia="Calibri" w:hAnsi="Cambria" w:cs="Calibri"/>
            <w:sz w:val="20"/>
          </w:rPr>
          <w:instrText xml:space="preserve"> NUMPAGES  </w:instrText>
        </w:r>
        <w:r w:rsidR="00AD5CF4" w:rsidRPr="00AD5CF4">
          <w:rPr>
            <w:rFonts w:ascii="Cambria" w:eastAsia="Calibri" w:hAnsi="Cambria" w:cs="Calibri"/>
            <w:sz w:val="20"/>
          </w:rPr>
          <w:fldChar w:fldCharType="separate"/>
        </w:r>
        <w:r w:rsidR="00AD5CF4" w:rsidRPr="00AD5CF4">
          <w:rPr>
            <w:rFonts w:ascii="Cambria" w:eastAsia="Calibri" w:hAnsi="Cambria" w:cs="Calibri"/>
            <w:sz w:val="20"/>
          </w:rPr>
          <w:t>2</w:t>
        </w:r>
        <w:r w:rsidR="00AD5CF4" w:rsidRPr="00AD5CF4">
          <w:rPr>
            <w:rFonts w:ascii="Cambria" w:eastAsia="Calibri" w:hAnsi="Cambria" w:cs="Calibr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3768" w14:textId="77777777" w:rsidR="008B0FC5" w:rsidRDefault="008B0FC5" w:rsidP="005153EE">
    <w:pPr>
      <w:ind w:right="4"/>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hAnsi="Cambria"/>
        <w:sz w:val="20"/>
      </w:rPr>
      <w:t xml:space="preserve"> / </w:t>
    </w:r>
    <w:fldSimple w:instr=" NUMPAGES   \* MERGEFORMAT ">
      <w:r>
        <w:rPr>
          <w:rFonts w:ascii="Cambria" w:eastAsia="Cambria" w:hAnsi="Cambria" w:cs="Cambria"/>
          <w:sz w:val="20"/>
        </w:rPr>
        <w:t>7</w:t>
      </w:r>
    </w:fldSimple>
    <w:r>
      <w:rPr>
        <w:rFonts w:ascii="Cambria" w:hAnsi="Cambria"/>
        <w:sz w:val="20"/>
      </w:rPr>
      <w:t xml:space="preserve"> </w:t>
    </w:r>
  </w:p>
  <w:p w14:paraId="27558EBD" w14:textId="77777777" w:rsidR="008B0FC5" w:rsidRDefault="008B0FC5"/>
  <w:p w14:paraId="1851A92D" w14:textId="77777777" w:rsidR="008B0FC5" w:rsidRDefault="008B0FC5"/>
  <w:p w14:paraId="0FD3E5E3" w14:textId="77777777" w:rsidR="008B0FC5" w:rsidRDefault="008B0FC5"/>
  <w:p w14:paraId="4F26F454" w14:textId="77777777" w:rsidR="008B0FC5" w:rsidRDefault="008B0F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064A" w14:textId="77777777" w:rsidR="00416576" w:rsidRDefault="00416576" w:rsidP="008B0FC5">
      <w:pPr>
        <w:spacing w:after="0" w:line="240" w:lineRule="auto"/>
      </w:pPr>
      <w:r>
        <w:separator/>
      </w:r>
    </w:p>
  </w:footnote>
  <w:footnote w:type="continuationSeparator" w:id="0">
    <w:p w14:paraId="576EACF1" w14:textId="77777777" w:rsidR="00416576" w:rsidRDefault="00416576" w:rsidP="008B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D9F0" w14:textId="77777777" w:rsidR="008B0FC5" w:rsidRDefault="008B0FC5" w:rsidP="00025936">
    <w:pPr>
      <w:tabs>
        <w:tab w:val="center" w:pos="4153"/>
        <w:tab w:val="right" w:pos="8306"/>
      </w:tabs>
      <w:rPr>
        <w:rFonts w:ascii="Arial" w:eastAsia="Arial" w:hAnsi="Arial" w:cs="Arial"/>
      </w:rPr>
    </w:pPr>
    <w:r>
      <w:rPr>
        <w:rFonts w:ascii="Arial" w:hAnsi="Arial"/>
        <w:sz w:val="16"/>
      </w:rPr>
      <w:t>INFORME ICCAT 2022-2023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7F1B" w14:textId="77777777" w:rsidR="00872FE8" w:rsidRPr="008B0FC5" w:rsidRDefault="00872FE8" w:rsidP="00872FE8">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Pr>
        <w:rFonts w:ascii="Cambria" w:eastAsia="Calibri" w:hAnsi="Cambria" w:cs="Times New Roman"/>
        <w:b/>
        <w:bCs/>
        <w:kern w:val="0"/>
        <w:sz w:val="20"/>
        <w:szCs w:val="20"/>
        <w:lang w:val="en-US"/>
        <w14:ligatures w14:val="none"/>
      </w:rPr>
      <w:t>PA2_606</w:t>
    </w:r>
    <w:r w:rsidRPr="008B0FC5">
      <w:rPr>
        <w:rFonts w:ascii="Cambria" w:eastAsia="Calibri" w:hAnsi="Cambria" w:cs="Times New Roman"/>
        <w:b/>
        <w:bCs/>
        <w:kern w:val="0"/>
        <w:sz w:val="20"/>
        <w:szCs w:val="20"/>
        <w:lang w:val="en-US"/>
        <w14:ligatures w14:val="none"/>
      </w:rPr>
      <w:t>/202</w:t>
    </w:r>
    <w:r>
      <w:rPr>
        <w:rFonts w:ascii="Cambria" w:eastAsia="Calibri" w:hAnsi="Cambria" w:cs="Times New Roman"/>
        <w:b/>
        <w:bCs/>
        <w:kern w:val="0"/>
        <w:sz w:val="20"/>
        <w:szCs w:val="20"/>
        <w:lang w:val="en-US"/>
        <w14:ligatures w14:val="none"/>
      </w:rPr>
      <w:t>5</w:t>
    </w:r>
  </w:p>
  <w:p w14:paraId="312FB61A" w14:textId="27C2DB8C" w:rsidR="00872FE8" w:rsidRPr="00872FE8" w:rsidRDefault="00872FE8" w:rsidP="00872FE8">
    <w:pPr>
      <w:tabs>
        <w:tab w:val="left" w:pos="7320"/>
      </w:tabs>
      <w:spacing w:after="0" w:line="240" w:lineRule="exact"/>
      <w:jc w:val="right"/>
      <w:rPr>
        <w:rFonts w:ascii="Cambria" w:eastAsia="Times New Roman" w:hAnsi="Cambria" w:cs="Times New Roman"/>
        <w:b/>
        <w:bCs/>
        <w:kern w:val="0"/>
        <w:sz w:val="16"/>
        <w:szCs w:val="16"/>
        <w:lang w:val="es-ES_tradnl"/>
        <w14:ligatures w14:val="none"/>
      </w:rPr>
    </w:pPr>
    <w:r w:rsidRPr="008B0FC5">
      <w:rPr>
        <w:rFonts w:ascii="Cambria" w:eastAsia="Times New Roman" w:hAnsi="Cambria" w:cs="Times New Roman"/>
        <w:b/>
        <w:bCs/>
        <w:kern w:val="0"/>
        <w:sz w:val="16"/>
        <w:szCs w:val="16"/>
        <w:lang w:val="es-ES_tradnl"/>
        <w14:ligatures w14:val="none"/>
      </w:rPr>
      <w:fldChar w:fldCharType="begin"/>
    </w:r>
    <w:r w:rsidRPr="008B0FC5">
      <w:rPr>
        <w:rFonts w:ascii="Cambria" w:eastAsia="Times New Roman" w:hAnsi="Cambria" w:cs="Times New Roman"/>
        <w:b/>
        <w:bCs/>
        <w:kern w:val="0"/>
        <w:sz w:val="16"/>
        <w:szCs w:val="16"/>
        <w:lang w:val="es-ES_tradnl"/>
        <w14:ligatures w14:val="none"/>
      </w:rPr>
      <w:instrText xml:space="preserve"> TIME \@ "dd/MM/yyyy H:mm" </w:instrText>
    </w:r>
    <w:r w:rsidRPr="008B0FC5">
      <w:rPr>
        <w:rFonts w:ascii="Cambria" w:eastAsia="Times New Roman" w:hAnsi="Cambria" w:cs="Times New Roman"/>
        <w:b/>
        <w:bCs/>
        <w:kern w:val="0"/>
        <w:sz w:val="16"/>
        <w:szCs w:val="16"/>
        <w:lang w:val="es-ES_tradnl"/>
        <w14:ligatures w14:val="none"/>
      </w:rPr>
      <w:fldChar w:fldCharType="separate"/>
    </w:r>
    <w:r w:rsidR="00266699">
      <w:rPr>
        <w:rFonts w:ascii="Cambria" w:eastAsia="Times New Roman" w:hAnsi="Cambria" w:cs="Times New Roman"/>
        <w:b/>
        <w:bCs/>
        <w:noProof/>
        <w:kern w:val="0"/>
        <w:sz w:val="16"/>
        <w:szCs w:val="16"/>
        <w:lang w:val="es-ES_tradnl"/>
        <w14:ligatures w14:val="none"/>
      </w:rPr>
      <w:t>29/10/2025 15:53</w:t>
    </w:r>
    <w:r w:rsidRPr="008B0FC5">
      <w:rPr>
        <w:rFonts w:ascii="Cambria" w:eastAsia="Times New Roman" w:hAnsi="Cambria" w:cs="Times New Roman"/>
        <w:b/>
        <w:bCs/>
        <w:kern w:val="0"/>
        <w:sz w:val="16"/>
        <w:szCs w:val="16"/>
        <w:lang w:val="es-ES_tradnl"/>
        <w14:ligatures w14:val="non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F628" w14:textId="77777777" w:rsidR="008B0FC5" w:rsidRDefault="008B0FC5">
    <w:pPr>
      <w:spacing w:after="29"/>
      <w:ind w:right="4"/>
      <w:jc w:val="right"/>
    </w:pPr>
    <w:r>
      <w:rPr>
        <w:rFonts w:ascii="Cambria" w:hAnsi="Cambria"/>
        <w:b/>
        <w:sz w:val="20"/>
      </w:rPr>
      <w:t xml:space="preserve">COC_307/2022 </w:t>
    </w:r>
  </w:p>
  <w:p w14:paraId="04A10FA3" w14:textId="77777777" w:rsidR="008B0FC5" w:rsidRDefault="008B0FC5" w:rsidP="005153EE">
    <w:pPr>
      <w:jc w:val="right"/>
    </w:pPr>
    <w:r>
      <w:rPr>
        <w:rFonts w:ascii="Cambria" w:hAnsi="Cambria"/>
        <w:b/>
        <w:sz w:val="16"/>
      </w:rPr>
      <w:t>13/11/2022 18:56</w:t>
    </w:r>
    <w:r>
      <w:rPr>
        <w:rFonts w:ascii="Cambria" w:hAnsi="Cambria"/>
        <w:b/>
      </w:rPr>
      <w:t xml:space="preserve"> </w:t>
    </w:r>
  </w:p>
  <w:p w14:paraId="31E18F0C" w14:textId="77777777" w:rsidR="008B0FC5" w:rsidRDefault="008B0FC5"/>
  <w:p w14:paraId="353986FE" w14:textId="77777777" w:rsidR="008B0FC5" w:rsidRDefault="008B0FC5"/>
  <w:p w14:paraId="7AFC8A9F" w14:textId="77777777" w:rsidR="008B0FC5" w:rsidRDefault="008B0FC5"/>
  <w:p w14:paraId="455EF97C" w14:textId="77777777" w:rsidR="008B0FC5" w:rsidRDefault="008B0F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8AF"/>
    <w:multiLevelType w:val="hybridMultilevel"/>
    <w:tmpl w:val="63B226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E4D29D6"/>
    <w:multiLevelType w:val="multilevel"/>
    <w:tmpl w:val="871CC77E"/>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D3F50"/>
    <w:multiLevelType w:val="hybridMultilevel"/>
    <w:tmpl w:val="F55A07B6"/>
    <w:lvl w:ilvl="0" w:tplc="6DE215C8">
      <w:numFmt w:val="bullet"/>
      <w:lvlText w:val="-"/>
      <w:lvlJc w:val="left"/>
      <w:pPr>
        <w:ind w:left="651" w:hanging="360"/>
      </w:pPr>
      <w:rPr>
        <w:rFonts w:ascii="Cambria" w:eastAsia="Cambria" w:hAnsi="Cambria" w:cs="Cambria"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CA357E1"/>
    <w:multiLevelType w:val="hybridMultilevel"/>
    <w:tmpl w:val="4A449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num w:numId="1" w16cid:durableId="1706827364">
    <w:abstractNumId w:val="1"/>
  </w:num>
  <w:num w:numId="2" w16cid:durableId="986011760">
    <w:abstractNumId w:val="4"/>
  </w:num>
  <w:num w:numId="3" w16cid:durableId="1654487551">
    <w:abstractNumId w:val="2"/>
  </w:num>
  <w:num w:numId="4" w16cid:durableId="705300603">
    <w:abstractNumId w:val="5"/>
  </w:num>
  <w:num w:numId="5" w16cid:durableId="563761146">
    <w:abstractNumId w:val="0"/>
  </w:num>
  <w:num w:numId="6" w16cid:durableId="658195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C5"/>
    <w:rsid w:val="000419DB"/>
    <w:rsid w:val="000A2637"/>
    <w:rsid w:val="00110E4E"/>
    <w:rsid w:val="00135B57"/>
    <w:rsid w:val="0015412D"/>
    <w:rsid w:val="00171B30"/>
    <w:rsid w:val="00266699"/>
    <w:rsid w:val="002A173D"/>
    <w:rsid w:val="002B30F4"/>
    <w:rsid w:val="003532B4"/>
    <w:rsid w:val="00410BC2"/>
    <w:rsid w:val="00416576"/>
    <w:rsid w:val="00440087"/>
    <w:rsid w:val="00454293"/>
    <w:rsid w:val="004670A4"/>
    <w:rsid w:val="00483B07"/>
    <w:rsid w:val="004B6A30"/>
    <w:rsid w:val="00526773"/>
    <w:rsid w:val="00527391"/>
    <w:rsid w:val="00571DF7"/>
    <w:rsid w:val="005722FB"/>
    <w:rsid w:val="00572749"/>
    <w:rsid w:val="005912CF"/>
    <w:rsid w:val="005D76A4"/>
    <w:rsid w:val="005F391F"/>
    <w:rsid w:val="00652D6F"/>
    <w:rsid w:val="00675F37"/>
    <w:rsid w:val="0067717C"/>
    <w:rsid w:val="00677CF8"/>
    <w:rsid w:val="006A6CC2"/>
    <w:rsid w:val="006A7A1A"/>
    <w:rsid w:val="007107CA"/>
    <w:rsid w:val="00740559"/>
    <w:rsid w:val="00757527"/>
    <w:rsid w:val="00763298"/>
    <w:rsid w:val="00771089"/>
    <w:rsid w:val="007B1F92"/>
    <w:rsid w:val="007E305B"/>
    <w:rsid w:val="007F1BA2"/>
    <w:rsid w:val="00807F27"/>
    <w:rsid w:val="008404E0"/>
    <w:rsid w:val="00862E65"/>
    <w:rsid w:val="00872FE8"/>
    <w:rsid w:val="008A0C12"/>
    <w:rsid w:val="008B0FC5"/>
    <w:rsid w:val="008D0798"/>
    <w:rsid w:val="008D3FE4"/>
    <w:rsid w:val="008E75A0"/>
    <w:rsid w:val="00900F7C"/>
    <w:rsid w:val="00972065"/>
    <w:rsid w:val="0098385B"/>
    <w:rsid w:val="009F098C"/>
    <w:rsid w:val="00A25884"/>
    <w:rsid w:val="00A65000"/>
    <w:rsid w:val="00AC3C57"/>
    <w:rsid w:val="00AD2506"/>
    <w:rsid w:val="00AD5CF4"/>
    <w:rsid w:val="00C16E84"/>
    <w:rsid w:val="00D4765E"/>
    <w:rsid w:val="00D76E25"/>
    <w:rsid w:val="00D8646E"/>
    <w:rsid w:val="00DC02B4"/>
    <w:rsid w:val="00DC1E38"/>
    <w:rsid w:val="00DE728F"/>
    <w:rsid w:val="00E31FA3"/>
    <w:rsid w:val="00E86AB6"/>
    <w:rsid w:val="00EA57DF"/>
    <w:rsid w:val="00EB2061"/>
    <w:rsid w:val="00F17333"/>
    <w:rsid w:val="00F9342A"/>
    <w:rsid w:val="00F9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6E3F"/>
  <w15:chartTrackingRefBased/>
  <w15:docId w15:val="{2926631F-C222-4FA0-ACD6-27279A45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FC5"/>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8B0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FC5"/>
    <w:rPr>
      <w:lang w:val="es-ES"/>
    </w:rPr>
  </w:style>
  <w:style w:type="character" w:styleId="Hyperlink">
    <w:name w:val="Hyperlink"/>
    <w:basedOn w:val="DefaultParagraphFont"/>
    <w:uiPriority w:val="99"/>
    <w:unhideWhenUsed/>
    <w:qFormat/>
    <w:rsid w:val="008B0FC5"/>
    <w:rPr>
      <w:color w:val="0563C1" w:themeColor="hyperlink"/>
      <w:u w:val="single"/>
    </w:rPr>
  </w:style>
  <w:style w:type="paragraph" w:styleId="Header">
    <w:name w:val="header"/>
    <w:basedOn w:val="Normal"/>
    <w:link w:val="HeaderChar"/>
    <w:uiPriority w:val="99"/>
    <w:unhideWhenUsed/>
    <w:rsid w:val="008B0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FC5"/>
    <w:rPr>
      <w:lang w:val="es-ES"/>
    </w:rPr>
  </w:style>
  <w:style w:type="paragraph" w:styleId="Revision">
    <w:name w:val="Revision"/>
    <w:hidden/>
    <w:uiPriority w:val="99"/>
    <w:semiHidden/>
    <w:rsid w:val="004670A4"/>
    <w:pPr>
      <w:jc w:val="left"/>
    </w:pPr>
  </w:style>
  <w:style w:type="table" w:customStyle="1" w:styleId="TableGrid2">
    <w:name w:val="Table Grid2"/>
    <w:basedOn w:val="TableNormal"/>
    <w:next w:val="TableGrid"/>
    <w:uiPriority w:val="39"/>
    <w:rsid w:val="009F098C"/>
    <w:pPr>
      <w:jc w:val="left"/>
    </w:pPr>
    <w:rPr>
      <w:rFonts w:ascii="Calibri" w:eastAsia="Yu Gothic"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0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F098C"/>
    <w:pPr>
      <w:ind w:left="720"/>
      <w:contextualSpacing/>
    </w:pPr>
  </w:style>
  <w:style w:type="paragraph" w:styleId="BodyText">
    <w:name w:val="Body Text"/>
    <w:basedOn w:val="Normal"/>
    <w:link w:val="BodyTextChar"/>
    <w:uiPriority w:val="1"/>
    <w:qFormat/>
    <w:rsid w:val="00135B57"/>
    <w:pPr>
      <w:widowControl w:val="0"/>
      <w:autoSpaceDE w:val="0"/>
      <w:autoSpaceDN w:val="0"/>
      <w:spacing w:after="0" w:line="240" w:lineRule="auto"/>
    </w:pPr>
    <w:rPr>
      <w:rFonts w:ascii="Cambria" w:eastAsia="Cambria" w:hAnsi="Cambria" w:cs="Cambria"/>
      <w:kern w:val="0"/>
      <w:sz w:val="18"/>
      <w:szCs w:val="18"/>
      <w14:ligatures w14:val="none"/>
    </w:rPr>
  </w:style>
  <w:style w:type="character" w:customStyle="1" w:styleId="BodyTextChar">
    <w:name w:val="Body Text Char"/>
    <w:basedOn w:val="DefaultParagraphFont"/>
    <w:link w:val="BodyText"/>
    <w:uiPriority w:val="1"/>
    <w:rsid w:val="00135B57"/>
    <w:rPr>
      <w:rFonts w:ascii="Cambria" w:eastAsia="Cambria" w:hAnsi="Cambria" w:cs="Cambria"/>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1025</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de Andrés</dc:creator>
  <cp:keywords/>
  <dc:description/>
  <cp:lastModifiedBy>Author</cp:lastModifiedBy>
  <cp:revision>24</cp:revision>
  <dcterms:created xsi:type="dcterms:W3CDTF">2025-10-16T06:48:00Z</dcterms:created>
  <dcterms:modified xsi:type="dcterms:W3CDTF">2025-10-29T14:53:00Z</dcterms:modified>
</cp:coreProperties>
</file>