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C9D4C" w14:textId="146A05CC" w:rsidR="004060A9" w:rsidRPr="00BB3A27" w:rsidRDefault="004060A9" w:rsidP="004060A9">
      <w:pPr>
        <w:tabs>
          <w:tab w:val="left" w:pos="426"/>
        </w:tabs>
        <w:ind w:left="425" w:hanging="425"/>
        <w:jc w:val="right"/>
        <w:rPr>
          <w:rFonts w:ascii="Cambria" w:eastAsia="Cambria" w:hAnsi="Cambria" w:cs="Cambria"/>
          <w:b/>
          <w:iCs/>
        </w:rPr>
      </w:pPr>
      <w:r w:rsidRPr="00BB3A27">
        <w:rPr>
          <w:rFonts w:ascii="Cambria" w:eastAsia="Cambria" w:hAnsi="Cambria" w:cs="Cambria"/>
          <w:b/>
          <w:iCs/>
        </w:rPr>
        <w:t>Original</w:t>
      </w:r>
      <w:r w:rsidR="00BE093A">
        <w:rPr>
          <w:rFonts w:ascii="Cambria" w:eastAsia="Cambria" w:hAnsi="Cambria" w:cs="Cambria"/>
          <w:b/>
          <w:iCs/>
        </w:rPr>
        <w:t> :</w:t>
      </w:r>
      <w:r w:rsidR="00A62106">
        <w:rPr>
          <w:rFonts w:ascii="Cambria" w:eastAsia="Cambria" w:hAnsi="Cambria" w:cs="Cambria"/>
          <w:b/>
          <w:iCs/>
        </w:rPr>
        <w:t xml:space="preserve"> </w:t>
      </w:r>
      <w:r w:rsidRPr="00BB3A27">
        <w:rPr>
          <w:rFonts w:ascii="Cambria" w:eastAsia="Cambria" w:hAnsi="Cambria" w:cs="Cambria"/>
          <w:b/>
          <w:iCs/>
        </w:rPr>
        <w:t>anglais</w:t>
      </w:r>
    </w:p>
    <w:p w14:paraId="6F59DC1C" w14:textId="7705BA23" w:rsidR="003F5BA7" w:rsidRPr="00BB3A27" w:rsidRDefault="00943BF8" w:rsidP="00943BF8">
      <w:pPr>
        <w:jc w:val="center"/>
        <w:rPr>
          <w:rFonts w:ascii="Cambria" w:hAnsi="Cambria"/>
          <w:b/>
          <w:iCs/>
        </w:rPr>
      </w:pPr>
      <w:r w:rsidRPr="00BB3A27">
        <w:rPr>
          <w:rFonts w:ascii="Cambria" w:hAnsi="Cambria"/>
          <w:b/>
          <w:iCs/>
        </w:rPr>
        <w:t>Clarifications demandées en ce qui concerne la Recommandation 24-05</w:t>
      </w:r>
    </w:p>
    <w:tbl>
      <w:tblPr>
        <w:tblStyle w:val="TableGrid2"/>
        <w:tblW w:w="0" w:type="auto"/>
        <w:tblLook w:val="04A0" w:firstRow="1" w:lastRow="0" w:firstColumn="1" w:lastColumn="0" w:noHBand="0" w:noVBand="1"/>
      </w:tblPr>
      <w:tblGrid>
        <w:gridCol w:w="1280"/>
        <w:gridCol w:w="4427"/>
        <w:gridCol w:w="3321"/>
        <w:gridCol w:w="2483"/>
        <w:gridCol w:w="2483"/>
      </w:tblGrid>
      <w:tr w:rsidR="0033413C" w:rsidRPr="00BB3A27" w14:paraId="229787DE" w14:textId="4708EE27" w:rsidTr="004060A9">
        <w:trPr>
          <w:tblHeader/>
        </w:trPr>
        <w:tc>
          <w:tcPr>
            <w:tcW w:w="1280" w:type="dxa"/>
          </w:tcPr>
          <w:p w14:paraId="1E1D8D7B" w14:textId="77777777" w:rsidR="0033413C" w:rsidRPr="00BB3A27" w:rsidRDefault="0033413C" w:rsidP="0033413C">
            <w:pPr>
              <w:ind w:left="426"/>
              <w:contextualSpacing/>
              <w:rPr>
                <w:rFonts w:asciiTheme="majorHAnsi" w:eastAsia="Yu Mincho" w:hAnsiTheme="majorHAnsi"/>
                <w:b/>
                <w:bCs/>
                <w:sz w:val="20"/>
                <w:szCs w:val="20"/>
              </w:rPr>
            </w:pPr>
          </w:p>
        </w:tc>
        <w:tc>
          <w:tcPr>
            <w:tcW w:w="4427" w:type="dxa"/>
          </w:tcPr>
          <w:p w14:paraId="6EC97CE0" w14:textId="77777777" w:rsidR="0033413C" w:rsidRPr="00BB3A27" w:rsidRDefault="0033413C" w:rsidP="0033413C">
            <w:pPr>
              <w:ind w:left="426"/>
              <w:contextualSpacing/>
              <w:jc w:val="center"/>
              <w:rPr>
                <w:rFonts w:asciiTheme="majorHAnsi" w:eastAsia="Yu Mincho" w:hAnsiTheme="majorHAnsi"/>
                <w:b/>
                <w:bCs/>
                <w:i/>
                <w:iCs/>
                <w:sz w:val="20"/>
                <w:szCs w:val="20"/>
              </w:rPr>
            </w:pPr>
            <w:r w:rsidRPr="00BB3A27">
              <w:rPr>
                <w:rFonts w:asciiTheme="majorHAnsi" w:hAnsiTheme="majorHAnsi"/>
                <w:b/>
                <w:i/>
                <w:sz w:val="20"/>
                <w:szCs w:val="20"/>
              </w:rPr>
              <w:t>Question</w:t>
            </w:r>
          </w:p>
        </w:tc>
        <w:tc>
          <w:tcPr>
            <w:tcW w:w="3321" w:type="dxa"/>
          </w:tcPr>
          <w:p w14:paraId="42C88B5F" w14:textId="77777777" w:rsidR="0033413C" w:rsidRPr="00BB3A27" w:rsidRDefault="0033413C" w:rsidP="0033413C">
            <w:pPr>
              <w:ind w:left="426"/>
              <w:jc w:val="center"/>
              <w:rPr>
                <w:rFonts w:asciiTheme="majorHAnsi" w:eastAsia="Yu Mincho" w:hAnsiTheme="majorHAnsi"/>
                <w:b/>
                <w:bCs/>
                <w:i/>
                <w:iCs/>
                <w:sz w:val="20"/>
                <w:szCs w:val="20"/>
              </w:rPr>
            </w:pPr>
            <w:r w:rsidRPr="00BB3A27">
              <w:rPr>
                <w:rFonts w:asciiTheme="majorHAnsi" w:hAnsiTheme="majorHAnsi"/>
                <w:b/>
                <w:i/>
                <w:sz w:val="20"/>
                <w:szCs w:val="20"/>
              </w:rPr>
              <w:t>Demande</w:t>
            </w:r>
          </w:p>
        </w:tc>
        <w:tc>
          <w:tcPr>
            <w:tcW w:w="2483" w:type="dxa"/>
          </w:tcPr>
          <w:p w14:paraId="5FE43375" w14:textId="4668DA3D" w:rsidR="0033413C" w:rsidRPr="00BB3A27" w:rsidRDefault="0033413C" w:rsidP="0033413C">
            <w:pPr>
              <w:ind w:left="426" w:hanging="356"/>
              <w:jc w:val="center"/>
              <w:rPr>
                <w:rFonts w:asciiTheme="majorHAnsi" w:hAnsiTheme="majorHAnsi"/>
                <w:b/>
                <w:i/>
              </w:rPr>
            </w:pPr>
            <w:r w:rsidRPr="00BB3A27">
              <w:rPr>
                <w:rFonts w:ascii="Cambria" w:hAnsi="Cambria"/>
                <w:b/>
                <w:i/>
                <w:sz w:val="20"/>
              </w:rPr>
              <w:t>Commentaires de la Türkiye</w:t>
            </w:r>
          </w:p>
        </w:tc>
        <w:tc>
          <w:tcPr>
            <w:tcW w:w="2483" w:type="dxa"/>
          </w:tcPr>
          <w:p w14:paraId="3CA53100" w14:textId="3F892848" w:rsidR="0033413C" w:rsidRPr="00BB3A27" w:rsidRDefault="0033413C" w:rsidP="0033413C">
            <w:pPr>
              <w:ind w:left="426" w:hanging="356"/>
              <w:jc w:val="center"/>
              <w:rPr>
                <w:rFonts w:asciiTheme="majorHAnsi" w:hAnsiTheme="majorHAnsi"/>
                <w:b/>
                <w:i/>
              </w:rPr>
            </w:pPr>
            <w:r w:rsidRPr="00BB3A27">
              <w:rPr>
                <w:rFonts w:ascii="Cambria" w:hAnsi="Cambria"/>
                <w:b/>
                <w:i/>
                <w:sz w:val="20"/>
              </w:rPr>
              <w:t>Commentaires du Japon</w:t>
            </w:r>
          </w:p>
        </w:tc>
      </w:tr>
      <w:tr w:rsidR="0033413C" w:rsidRPr="00BB3A27" w14:paraId="4DB4C4B8" w14:textId="2A142BF9" w:rsidTr="004060A9">
        <w:tc>
          <w:tcPr>
            <w:tcW w:w="1280" w:type="dxa"/>
          </w:tcPr>
          <w:p w14:paraId="2A4406A6" w14:textId="77777777" w:rsidR="0033413C" w:rsidRPr="00BB3A27" w:rsidRDefault="0033413C" w:rsidP="0033413C">
            <w:pPr>
              <w:contextualSpacing/>
              <w:rPr>
                <w:rFonts w:asciiTheme="majorHAnsi" w:eastAsia="Yu Mincho" w:hAnsiTheme="majorHAnsi"/>
                <w:b/>
                <w:bCs/>
                <w:sz w:val="20"/>
                <w:szCs w:val="20"/>
              </w:rPr>
            </w:pPr>
            <w:r w:rsidRPr="00BB3A27">
              <w:rPr>
                <w:rFonts w:asciiTheme="majorHAnsi" w:hAnsiTheme="majorHAnsi"/>
                <w:b/>
                <w:sz w:val="20"/>
                <w:szCs w:val="20"/>
              </w:rPr>
              <w:t>1. Rapports de mise en cage de thon rouge</w:t>
            </w:r>
          </w:p>
        </w:tc>
        <w:tc>
          <w:tcPr>
            <w:tcW w:w="4427" w:type="dxa"/>
          </w:tcPr>
          <w:p w14:paraId="0EBFCE39" w14:textId="77777777" w:rsidR="0033413C" w:rsidRPr="00BB3A27" w:rsidRDefault="0033413C" w:rsidP="0033413C">
            <w:pPr>
              <w:pStyle w:val="BodyText"/>
              <w:spacing w:after="0" w:line="256" w:lineRule="auto"/>
              <w:ind w:right="132"/>
              <w:jc w:val="both"/>
              <w:rPr>
                <w:rFonts w:asciiTheme="majorHAnsi" w:hAnsiTheme="majorHAnsi"/>
                <w:sz w:val="20"/>
                <w:szCs w:val="20"/>
              </w:rPr>
            </w:pPr>
            <w:r w:rsidRPr="00BB3A27">
              <w:rPr>
                <w:rFonts w:asciiTheme="majorHAnsi" w:hAnsiTheme="majorHAnsi"/>
                <w:sz w:val="20"/>
                <w:szCs w:val="20"/>
              </w:rPr>
              <w:t xml:space="preserve">En ce qui concerne les délais et la déclaration des données conformément aux exigences </w:t>
            </w:r>
            <w:proofErr w:type="gramStart"/>
            <w:r w:rsidRPr="00BB3A27">
              <w:rPr>
                <w:rFonts w:asciiTheme="majorHAnsi" w:hAnsiTheme="majorHAnsi"/>
                <w:sz w:val="20"/>
                <w:szCs w:val="20"/>
              </w:rPr>
              <w:t>M:BFT</w:t>
            </w:r>
            <w:proofErr w:type="gramEnd"/>
            <w:r w:rsidRPr="00BB3A27">
              <w:rPr>
                <w:rFonts w:asciiTheme="majorHAnsi" w:hAnsiTheme="majorHAnsi"/>
                <w:sz w:val="20"/>
                <w:szCs w:val="20"/>
              </w:rPr>
              <w:t xml:space="preserve">02 et </w:t>
            </w:r>
            <w:proofErr w:type="gramStart"/>
            <w:r w:rsidRPr="00BB3A27">
              <w:rPr>
                <w:rFonts w:asciiTheme="majorHAnsi" w:hAnsiTheme="majorHAnsi"/>
                <w:sz w:val="20"/>
                <w:szCs w:val="20"/>
              </w:rPr>
              <w:t>M:BFT</w:t>
            </w:r>
            <w:proofErr w:type="gramEnd"/>
            <w:r w:rsidRPr="00BB3A27">
              <w:rPr>
                <w:rFonts w:asciiTheme="majorHAnsi" w:hAnsiTheme="majorHAnsi"/>
                <w:sz w:val="20"/>
                <w:szCs w:val="20"/>
              </w:rPr>
              <w:t>04, il convient de noter qu'à la suite de l'adoption de la Recommandation 21-08, qui a remplacé la Recommandation 06-07, il n'y a plus de délai spécifique pour la déclaration des données sur la mise en cage et l'élevage.</w:t>
            </w:r>
          </w:p>
          <w:p w14:paraId="6F5711DC" w14:textId="77777777" w:rsidR="0033413C" w:rsidRPr="00BB3A27" w:rsidRDefault="0033413C" w:rsidP="0033413C">
            <w:pPr>
              <w:pStyle w:val="BodyText"/>
              <w:spacing w:after="0" w:line="256" w:lineRule="auto"/>
              <w:ind w:left="720" w:right="132"/>
              <w:jc w:val="both"/>
              <w:rPr>
                <w:rFonts w:asciiTheme="majorHAnsi" w:hAnsiTheme="majorHAnsi"/>
                <w:sz w:val="20"/>
                <w:szCs w:val="20"/>
              </w:rPr>
            </w:pPr>
          </w:p>
          <w:p w14:paraId="7A5504C0" w14:textId="77777777" w:rsidR="0033413C" w:rsidRPr="00BB3A27" w:rsidRDefault="0033413C" w:rsidP="0033413C">
            <w:pPr>
              <w:pStyle w:val="BodyText"/>
              <w:spacing w:after="0" w:line="256" w:lineRule="auto"/>
              <w:ind w:right="132"/>
              <w:jc w:val="both"/>
              <w:rPr>
                <w:rFonts w:asciiTheme="majorHAnsi" w:hAnsiTheme="majorHAnsi"/>
                <w:sz w:val="20"/>
                <w:szCs w:val="20"/>
              </w:rPr>
            </w:pPr>
            <w:r w:rsidRPr="00BB3A27">
              <w:rPr>
                <w:rFonts w:asciiTheme="majorHAnsi" w:hAnsiTheme="majorHAnsi"/>
                <w:sz w:val="20"/>
                <w:szCs w:val="20"/>
              </w:rPr>
              <w:t xml:space="preserve">Conformément aux paragraphes 24 et 188 de la </w:t>
            </w:r>
            <w:r w:rsidRPr="00BB3A27">
              <w:rPr>
                <w:rFonts w:asciiTheme="majorHAnsi" w:hAnsiTheme="majorHAnsi"/>
                <w:i/>
                <w:iCs/>
                <w:sz w:val="20"/>
                <w:szCs w:val="20"/>
              </w:rPr>
              <w:t>Recommandation de l’ICCAT amendant la Recommandation 22-08 établissant un plan pluriannuel de gestion du thon rouge dans l’Atlantique Est et la Méditerranée</w:t>
            </w:r>
            <w:r w:rsidRPr="00BB3A27">
              <w:rPr>
                <w:rFonts w:asciiTheme="majorHAnsi" w:hAnsiTheme="majorHAnsi"/>
                <w:sz w:val="20"/>
                <w:szCs w:val="20"/>
              </w:rPr>
              <w:t xml:space="preserve"> (Rec. 24-05) :</w:t>
            </w:r>
          </w:p>
          <w:p w14:paraId="2AA4463E" w14:textId="77777777" w:rsidR="0033413C" w:rsidRPr="00BB3A27" w:rsidRDefault="0033413C" w:rsidP="0033413C">
            <w:pPr>
              <w:pStyle w:val="BodyText"/>
              <w:spacing w:after="0" w:line="256" w:lineRule="auto"/>
              <w:ind w:right="132"/>
              <w:jc w:val="both"/>
              <w:rPr>
                <w:rFonts w:asciiTheme="majorHAnsi" w:hAnsiTheme="majorHAnsi"/>
                <w:sz w:val="20"/>
                <w:szCs w:val="20"/>
              </w:rPr>
            </w:pPr>
          </w:p>
          <w:p w14:paraId="7B27822D" w14:textId="77777777" w:rsidR="0033413C" w:rsidRPr="00BB3A27" w:rsidRDefault="0033413C" w:rsidP="0033413C">
            <w:pPr>
              <w:pStyle w:val="BodyText"/>
              <w:spacing w:after="0" w:line="256" w:lineRule="auto"/>
              <w:ind w:right="132"/>
              <w:jc w:val="both"/>
              <w:rPr>
                <w:rFonts w:asciiTheme="majorHAnsi" w:hAnsiTheme="majorHAnsi"/>
                <w:sz w:val="20"/>
                <w:szCs w:val="20"/>
              </w:rPr>
            </w:pPr>
            <w:r w:rsidRPr="00BB3A27">
              <w:rPr>
                <w:rFonts w:asciiTheme="majorHAnsi" w:hAnsiTheme="majorHAnsi"/>
                <w:sz w:val="20"/>
                <w:szCs w:val="20"/>
              </w:rPr>
              <w:t>« 24. Le Secrétariat de l’ICCAT devra compiler des statistiques sur la quantité annuelle mise en cage (entrée de poissons capturés à l’état sauvage), mise à mort et exportée par CPC de la ferme, en utilisant les données du système eBCD. Le Groupe de travail permanent sur les systèmes de documentation des captures (CDS WG) devra envisager de développer cette fonction d'extraction de données et, jusqu'à ce que cette fonction soit disponible, chaque CPC de la ferme devra communiquer ces statistiques au Secrétariat de l’ICCAT. Ces statistiques devront être publiées sur le site internet de l'ICCAT et soumises aux exigences de confidentialité. </w:t>
            </w:r>
          </w:p>
          <w:p w14:paraId="35B9E764" w14:textId="77777777" w:rsidR="0033413C" w:rsidRPr="00BB3A27" w:rsidRDefault="0033413C" w:rsidP="0033413C">
            <w:pPr>
              <w:pStyle w:val="BodyText"/>
              <w:spacing w:after="0" w:line="256" w:lineRule="auto"/>
              <w:ind w:right="132"/>
              <w:jc w:val="both"/>
              <w:rPr>
                <w:rFonts w:asciiTheme="majorHAnsi" w:hAnsiTheme="majorHAnsi"/>
                <w:sz w:val="20"/>
                <w:szCs w:val="20"/>
              </w:rPr>
            </w:pPr>
            <w:r w:rsidRPr="00BB3A27">
              <w:rPr>
                <w:rFonts w:asciiTheme="majorHAnsi" w:hAnsiTheme="majorHAnsi"/>
                <w:sz w:val="20"/>
                <w:szCs w:val="20"/>
              </w:rPr>
              <w:t>[…]</w:t>
            </w:r>
          </w:p>
          <w:p w14:paraId="37EEC8A9" w14:textId="77777777" w:rsidR="0033413C" w:rsidRPr="00BB3A27" w:rsidRDefault="0033413C" w:rsidP="0033413C">
            <w:pPr>
              <w:pStyle w:val="BodyText"/>
              <w:spacing w:after="0" w:line="256" w:lineRule="auto"/>
              <w:ind w:right="132"/>
              <w:jc w:val="both"/>
              <w:rPr>
                <w:rFonts w:asciiTheme="majorHAnsi" w:hAnsiTheme="majorHAnsi"/>
                <w:b/>
                <w:bCs/>
                <w:sz w:val="20"/>
                <w:szCs w:val="20"/>
              </w:rPr>
            </w:pPr>
            <w:r w:rsidRPr="00BB3A27">
              <w:rPr>
                <w:rFonts w:asciiTheme="majorHAnsi" w:hAnsiTheme="majorHAnsi"/>
                <w:b/>
                <w:sz w:val="20"/>
                <w:szCs w:val="20"/>
              </w:rPr>
              <w:t>Rapport de mise en cages</w:t>
            </w:r>
          </w:p>
          <w:p w14:paraId="5E94D35C" w14:textId="77777777" w:rsidR="0033413C" w:rsidRPr="00BB3A27" w:rsidRDefault="0033413C" w:rsidP="0033413C">
            <w:pPr>
              <w:pStyle w:val="BodyText"/>
              <w:spacing w:after="0" w:line="256" w:lineRule="auto"/>
              <w:ind w:right="132"/>
              <w:jc w:val="both"/>
              <w:rPr>
                <w:rFonts w:asciiTheme="majorHAnsi" w:hAnsiTheme="majorHAnsi"/>
                <w:sz w:val="20"/>
                <w:szCs w:val="20"/>
              </w:rPr>
            </w:pPr>
          </w:p>
          <w:p w14:paraId="0E7D53B5" w14:textId="77777777" w:rsidR="0033413C" w:rsidRPr="00BB3A27" w:rsidRDefault="0033413C" w:rsidP="0033413C">
            <w:pPr>
              <w:pStyle w:val="BodyText"/>
              <w:spacing w:after="0" w:line="256" w:lineRule="auto"/>
              <w:ind w:right="132"/>
              <w:jc w:val="both"/>
              <w:rPr>
                <w:rFonts w:asciiTheme="majorHAnsi" w:hAnsiTheme="majorHAnsi"/>
                <w:sz w:val="20"/>
                <w:szCs w:val="20"/>
              </w:rPr>
            </w:pPr>
            <w:r w:rsidRPr="00BB3A27">
              <w:rPr>
                <w:rFonts w:asciiTheme="majorHAnsi" w:hAnsiTheme="majorHAnsi"/>
                <w:sz w:val="20"/>
                <w:szCs w:val="20"/>
              </w:rPr>
              <w:t xml:space="preserve">188. Dans les 15 jours suivant l'exécution des </w:t>
            </w:r>
            <w:r w:rsidRPr="00BB3A27">
              <w:rPr>
                <w:rFonts w:asciiTheme="majorHAnsi" w:hAnsiTheme="majorHAnsi"/>
                <w:sz w:val="20"/>
                <w:szCs w:val="20"/>
              </w:rPr>
              <w:lastRenderedPageBreak/>
              <w:t>ordres de libération, l'autorité compétente de la CPC de la ferme devra émettre un rapport de mise en cage pour chaque opération de mise en cage individuelle ou, dans le cas d'une opération de pêche conjointe ou des madragues de la même CPC/du même État membre de l’Union européenne, pour l'ensemble complet des opérations de mise en cage liées à cette opération de pêche conjointe ou à ces madragues. Le rapport de mise en cage devra inclure les informations visées à l’annexe 9, paragraphe 3, et être communiqué à l'autorité compétente de la CPC du pavillon de capture ou de la madrague et au Secrétariat de l’ICCAT. »</w:t>
            </w:r>
          </w:p>
          <w:p w14:paraId="33AC70B4" w14:textId="77777777" w:rsidR="0033413C" w:rsidRPr="00BB3A27" w:rsidRDefault="0033413C" w:rsidP="0033413C">
            <w:pPr>
              <w:pStyle w:val="BodyText"/>
              <w:spacing w:before="4" w:after="0"/>
              <w:ind w:firstLine="720"/>
              <w:jc w:val="both"/>
              <w:rPr>
                <w:rFonts w:asciiTheme="majorHAnsi" w:hAnsiTheme="majorHAnsi"/>
                <w:sz w:val="20"/>
                <w:szCs w:val="20"/>
              </w:rPr>
            </w:pPr>
          </w:p>
          <w:p w14:paraId="796C8087" w14:textId="77777777" w:rsidR="0033413C" w:rsidRPr="00BB3A27" w:rsidRDefault="0033413C" w:rsidP="0033413C">
            <w:pPr>
              <w:pStyle w:val="BodyText"/>
              <w:spacing w:before="4" w:after="0"/>
              <w:jc w:val="both"/>
              <w:rPr>
                <w:rFonts w:asciiTheme="majorHAnsi" w:hAnsiTheme="majorHAnsi"/>
                <w:sz w:val="20"/>
                <w:szCs w:val="20"/>
              </w:rPr>
            </w:pPr>
            <w:r w:rsidRPr="00BB3A27">
              <w:rPr>
                <w:rFonts w:asciiTheme="majorHAnsi" w:hAnsiTheme="majorHAnsi"/>
                <w:sz w:val="20"/>
                <w:szCs w:val="20"/>
              </w:rPr>
              <w:t xml:space="preserve">Le Secrétariat considère que </w:t>
            </w:r>
            <w:proofErr w:type="gramStart"/>
            <w:r w:rsidRPr="00BB3A27">
              <w:rPr>
                <w:rFonts w:asciiTheme="majorHAnsi" w:hAnsiTheme="majorHAnsi"/>
                <w:sz w:val="20"/>
                <w:szCs w:val="20"/>
              </w:rPr>
              <w:t>M:BFT</w:t>
            </w:r>
            <w:proofErr w:type="gramEnd"/>
            <w:r w:rsidRPr="00BB3A27">
              <w:rPr>
                <w:rFonts w:asciiTheme="majorHAnsi" w:hAnsiTheme="majorHAnsi"/>
                <w:sz w:val="20"/>
                <w:szCs w:val="20"/>
              </w:rPr>
              <w:t xml:space="preserve">02 et </w:t>
            </w:r>
            <w:proofErr w:type="gramStart"/>
            <w:r w:rsidRPr="00BB3A27">
              <w:rPr>
                <w:rFonts w:asciiTheme="majorHAnsi" w:hAnsiTheme="majorHAnsi"/>
                <w:sz w:val="20"/>
                <w:szCs w:val="20"/>
              </w:rPr>
              <w:t>M:BFT</w:t>
            </w:r>
            <w:proofErr w:type="gramEnd"/>
            <w:r w:rsidRPr="00BB3A27">
              <w:rPr>
                <w:rFonts w:asciiTheme="majorHAnsi" w:hAnsiTheme="majorHAnsi"/>
                <w:sz w:val="20"/>
                <w:szCs w:val="20"/>
              </w:rPr>
              <w:t>04 représentent des exigences de déclaration liées mais distinctes :</w:t>
            </w:r>
          </w:p>
          <w:p w14:paraId="528BC4C3" w14:textId="77777777" w:rsidR="0033413C" w:rsidRPr="00BB3A27" w:rsidRDefault="0033413C" w:rsidP="0033413C">
            <w:pPr>
              <w:pStyle w:val="BodyText"/>
              <w:spacing w:before="4" w:after="0"/>
              <w:ind w:left="360"/>
              <w:jc w:val="both"/>
              <w:rPr>
                <w:rFonts w:asciiTheme="majorHAnsi" w:hAnsiTheme="majorHAnsi"/>
                <w:sz w:val="20"/>
                <w:szCs w:val="20"/>
              </w:rPr>
            </w:pPr>
          </w:p>
          <w:p w14:paraId="57084148" w14:textId="77777777" w:rsidR="0033413C" w:rsidRPr="00BB3A27" w:rsidRDefault="0033413C" w:rsidP="0033413C">
            <w:pPr>
              <w:pStyle w:val="BodyText"/>
              <w:numPr>
                <w:ilvl w:val="0"/>
                <w:numId w:val="23"/>
              </w:numPr>
              <w:adjustRightInd/>
              <w:spacing w:before="4" w:after="0"/>
              <w:jc w:val="both"/>
              <w:rPr>
                <w:rFonts w:asciiTheme="majorHAnsi" w:hAnsiTheme="majorHAnsi"/>
                <w:sz w:val="20"/>
                <w:szCs w:val="20"/>
              </w:rPr>
            </w:pPr>
            <w:proofErr w:type="gramStart"/>
            <w:r w:rsidRPr="00BB3A27">
              <w:rPr>
                <w:rFonts w:asciiTheme="majorHAnsi" w:hAnsiTheme="majorHAnsi"/>
                <w:sz w:val="20"/>
                <w:szCs w:val="20"/>
              </w:rPr>
              <w:t>M:BFT</w:t>
            </w:r>
            <w:proofErr w:type="gramEnd"/>
            <w:r w:rsidRPr="00BB3A27">
              <w:rPr>
                <w:rFonts w:asciiTheme="majorHAnsi" w:hAnsiTheme="majorHAnsi"/>
                <w:sz w:val="20"/>
                <w:szCs w:val="20"/>
              </w:rPr>
              <w:t>04 - Rapport sur la mise en cage du thon rouge, se réfère uniquement aux informations sur la mise en cage, qui comprennent à la fois les opérations de libération et les opérations de mise en cage ultérieures ou bien la mise en cage seule lorsqu'il n'y a pas de libération. Le délai est explicitement fixé à 15 jours après l'achèvement de la libération ou, s'il n'y a pas de libération, à 15 jours après l'opération de mise en cage.</w:t>
            </w:r>
          </w:p>
          <w:p w14:paraId="72BD5C31" w14:textId="77777777" w:rsidR="0033413C" w:rsidRPr="00BB3A27" w:rsidRDefault="0033413C" w:rsidP="0033413C">
            <w:pPr>
              <w:pStyle w:val="BodyText"/>
              <w:numPr>
                <w:ilvl w:val="0"/>
                <w:numId w:val="23"/>
              </w:numPr>
              <w:adjustRightInd/>
              <w:spacing w:before="4" w:after="0"/>
              <w:jc w:val="both"/>
              <w:rPr>
                <w:rFonts w:asciiTheme="majorHAnsi" w:eastAsia="Times New Roman" w:hAnsiTheme="majorHAnsi"/>
                <w:sz w:val="20"/>
                <w:szCs w:val="20"/>
              </w:rPr>
            </w:pPr>
            <w:proofErr w:type="gramStart"/>
            <w:r w:rsidRPr="00BB3A27">
              <w:rPr>
                <w:rFonts w:asciiTheme="majorHAnsi" w:hAnsiTheme="majorHAnsi"/>
                <w:sz w:val="20"/>
                <w:szCs w:val="20"/>
              </w:rPr>
              <w:t>M:BFT</w:t>
            </w:r>
            <w:proofErr w:type="gramEnd"/>
            <w:r w:rsidRPr="00BB3A27">
              <w:rPr>
                <w:rFonts w:asciiTheme="majorHAnsi" w:hAnsiTheme="majorHAnsi"/>
                <w:sz w:val="20"/>
                <w:szCs w:val="20"/>
              </w:rPr>
              <w:t xml:space="preserve">02 - Rapports sur l'élevage du thon rouge, se réfère à d'autres activités d'élevage au sein de la ferme, telles que les transferts au sein de la ferme, les reports, les mises à mort, etc., comme indiqué dans </w:t>
            </w:r>
            <w:r w:rsidRPr="00BB3A27">
              <w:rPr>
                <w:rFonts w:asciiTheme="majorHAnsi" w:hAnsiTheme="majorHAnsi"/>
                <w:sz w:val="20"/>
                <w:szCs w:val="20"/>
              </w:rPr>
              <w:lastRenderedPageBreak/>
              <w:t>le tableau des événements du formulaire CP09. Ces points ne sont pas explicitement couverts par la recommandation actuelle avec un délai défini.</w:t>
            </w:r>
          </w:p>
        </w:tc>
        <w:tc>
          <w:tcPr>
            <w:tcW w:w="3321" w:type="dxa"/>
          </w:tcPr>
          <w:p w14:paraId="6586B95C" w14:textId="77777777" w:rsidR="0033413C" w:rsidRPr="00BB3A27" w:rsidRDefault="0033413C" w:rsidP="0033413C">
            <w:pPr>
              <w:jc w:val="both"/>
              <w:rPr>
                <w:rFonts w:asciiTheme="majorHAnsi" w:eastAsia="Yu Mincho" w:hAnsiTheme="majorHAnsi"/>
                <w:sz w:val="20"/>
                <w:szCs w:val="20"/>
              </w:rPr>
            </w:pPr>
            <w:r w:rsidRPr="00BB3A27">
              <w:rPr>
                <w:rFonts w:asciiTheme="majorHAnsi" w:hAnsiTheme="majorHAnsi"/>
                <w:sz w:val="20"/>
                <w:szCs w:val="20"/>
              </w:rPr>
              <w:lastRenderedPageBreak/>
              <w:t xml:space="preserve">Bien que le site web de l’ICCAT indique actuellement une date limite pour </w:t>
            </w:r>
            <w:proofErr w:type="gramStart"/>
            <w:r w:rsidRPr="00BB3A27">
              <w:rPr>
                <w:rFonts w:asciiTheme="majorHAnsi" w:hAnsiTheme="majorHAnsi"/>
                <w:sz w:val="20"/>
                <w:szCs w:val="20"/>
              </w:rPr>
              <w:t>M:BFT</w:t>
            </w:r>
            <w:proofErr w:type="gramEnd"/>
            <w:r w:rsidRPr="00BB3A27">
              <w:rPr>
                <w:rFonts w:asciiTheme="majorHAnsi" w:hAnsiTheme="majorHAnsi"/>
                <w:sz w:val="20"/>
                <w:szCs w:val="20"/>
              </w:rPr>
              <w:t xml:space="preserve">02, cela peut sembler vague ou redondant, étant donné que les opérations de mise en cage et de libération sont déjà traitées dans le cadre de </w:t>
            </w:r>
            <w:proofErr w:type="gramStart"/>
            <w:r w:rsidRPr="00BB3A27">
              <w:rPr>
                <w:rFonts w:asciiTheme="majorHAnsi" w:hAnsiTheme="majorHAnsi"/>
                <w:sz w:val="20"/>
                <w:szCs w:val="20"/>
              </w:rPr>
              <w:t>M:BFT</w:t>
            </w:r>
            <w:proofErr w:type="gramEnd"/>
            <w:r w:rsidRPr="00BB3A27">
              <w:rPr>
                <w:rFonts w:asciiTheme="majorHAnsi" w:hAnsiTheme="majorHAnsi"/>
                <w:sz w:val="20"/>
                <w:szCs w:val="20"/>
              </w:rPr>
              <w:t xml:space="preserve">04. L'absence de délai clairement défini dans la Recommandation actuelle pourrait prêter à confusion. </w:t>
            </w:r>
          </w:p>
          <w:p w14:paraId="7C81FE79" w14:textId="77777777" w:rsidR="0033413C" w:rsidRPr="00BB3A27" w:rsidRDefault="0033413C" w:rsidP="0033413C">
            <w:pPr>
              <w:jc w:val="both"/>
              <w:rPr>
                <w:rFonts w:asciiTheme="majorHAnsi" w:eastAsia="Yu Mincho" w:hAnsiTheme="majorHAnsi"/>
                <w:sz w:val="20"/>
                <w:szCs w:val="20"/>
              </w:rPr>
            </w:pPr>
          </w:p>
          <w:p w14:paraId="220C520F" w14:textId="77777777" w:rsidR="0033413C" w:rsidRPr="00BB3A27" w:rsidRDefault="0033413C" w:rsidP="0033413C">
            <w:pPr>
              <w:jc w:val="both"/>
              <w:rPr>
                <w:rFonts w:asciiTheme="majorHAnsi" w:eastAsia="Times New Roman" w:hAnsiTheme="majorHAnsi"/>
                <w:sz w:val="20"/>
                <w:szCs w:val="20"/>
              </w:rPr>
            </w:pPr>
            <w:r w:rsidRPr="00BB3A27">
              <w:rPr>
                <w:rFonts w:asciiTheme="majorHAnsi" w:hAnsiTheme="majorHAnsi"/>
                <w:sz w:val="20"/>
                <w:szCs w:val="20"/>
              </w:rPr>
              <w:t>Le Secrétariat remercie par avance le Groupe de travail permanent sur l’amélioration des statistiques et des mesures de conservation de l’ICCAT (PWG) et/ou la Sous-commission 2 de bien vouloir lui préciser les données spécifiques requises pour chaque exigence et de l’orienter sur l'établissement d'une date limite explicite pour ces opérations supplémentaires dans la nouvelle Recommandation sur le thon rouge de l’Est qui sera élaborée cette année.</w:t>
            </w:r>
          </w:p>
        </w:tc>
        <w:tc>
          <w:tcPr>
            <w:tcW w:w="2483" w:type="dxa"/>
          </w:tcPr>
          <w:p w14:paraId="0BDB2EFF" w14:textId="460D812B" w:rsidR="0033413C" w:rsidRPr="00BB3A27" w:rsidRDefault="0033413C" w:rsidP="0033413C">
            <w:pPr>
              <w:jc w:val="both"/>
              <w:rPr>
                <w:rFonts w:ascii="Cambria" w:eastAsia="Yu Mincho" w:hAnsi="Cambria"/>
                <w:sz w:val="20"/>
                <w:szCs w:val="20"/>
              </w:rPr>
            </w:pPr>
            <w:r w:rsidRPr="00BB3A27">
              <w:rPr>
                <w:rFonts w:ascii="Cambria" w:hAnsi="Cambria"/>
                <w:sz w:val="20"/>
              </w:rPr>
              <w:t xml:space="preserve">La Türkiye soutient </w:t>
            </w:r>
            <w:r w:rsidR="00DB3F7C">
              <w:rPr>
                <w:rFonts w:ascii="Cambria" w:hAnsi="Cambria"/>
                <w:sz w:val="20"/>
              </w:rPr>
              <w:t>l’établissement</w:t>
            </w:r>
            <w:r w:rsidRPr="00BB3A27">
              <w:rPr>
                <w:rFonts w:ascii="Cambria" w:hAnsi="Cambria"/>
                <w:sz w:val="20"/>
              </w:rPr>
              <w:t xml:space="preserve"> d'une date limite pour la déclaration des données relatives à la mise en en cage et à l'élevage, telle qu'elle est prévue dans les Recommandations précédentes.</w:t>
            </w:r>
          </w:p>
          <w:p w14:paraId="673BFC8C" w14:textId="77777777" w:rsidR="0033413C" w:rsidRPr="00BB3A27" w:rsidRDefault="0033413C" w:rsidP="0033413C">
            <w:pPr>
              <w:jc w:val="both"/>
              <w:rPr>
                <w:rFonts w:asciiTheme="majorHAnsi" w:hAnsiTheme="majorHAnsi"/>
              </w:rPr>
            </w:pPr>
          </w:p>
        </w:tc>
        <w:tc>
          <w:tcPr>
            <w:tcW w:w="2483" w:type="dxa"/>
          </w:tcPr>
          <w:p w14:paraId="62E7BA9C" w14:textId="77777777" w:rsidR="0033413C" w:rsidRPr="00BB3A27" w:rsidRDefault="0033413C" w:rsidP="0033413C">
            <w:pPr>
              <w:jc w:val="both"/>
              <w:rPr>
                <w:rFonts w:asciiTheme="majorHAnsi" w:hAnsiTheme="majorHAnsi"/>
              </w:rPr>
            </w:pPr>
          </w:p>
        </w:tc>
      </w:tr>
      <w:tr w:rsidR="004060A9" w:rsidRPr="00205241" w14:paraId="5D9DF199" w14:textId="4D2E226B" w:rsidTr="004060A9">
        <w:tc>
          <w:tcPr>
            <w:tcW w:w="1280" w:type="dxa"/>
          </w:tcPr>
          <w:p w14:paraId="2AEB9452" w14:textId="77777777" w:rsidR="004060A9" w:rsidRPr="00BB3A27" w:rsidRDefault="004060A9" w:rsidP="00205241">
            <w:pPr>
              <w:contextualSpacing/>
              <w:rPr>
                <w:rFonts w:asciiTheme="majorHAnsi" w:eastAsia="Yu Mincho" w:hAnsiTheme="majorHAnsi"/>
                <w:b/>
                <w:bCs/>
                <w:sz w:val="20"/>
                <w:szCs w:val="20"/>
              </w:rPr>
            </w:pPr>
            <w:r w:rsidRPr="00BB3A27">
              <w:rPr>
                <w:rFonts w:asciiTheme="majorHAnsi" w:hAnsiTheme="majorHAnsi"/>
                <w:b/>
                <w:sz w:val="20"/>
                <w:szCs w:val="20"/>
              </w:rPr>
              <w:lastRenderedPageBreak/>
              <w:t>2. Quotas de thon rouge pour les navires de capture de plus de 24 m</w:t>
            </w:r>
          </w:p>
          <w:p w14:paraId="2AA5E096" w14:textId="77777777" w:rsidR="004060A9" w:rsidRPr="00BB3A27" w:rsidRDefault="004060A9" w:rsidP="00205241">
            <w:pPr>
              <w:contextualSpacing/>
              <w:rPr>
                <w:rFonts w:asciiTheme="majorHAnsi" w:eastAsia="Yu Mincho" w:hAnsiTheme="majorHAnsi"/>
                <w:b/>
                <w:bCs/>
                <w:sz w:val="20"/>
                <w:szCs w:val="20"/>
              </w:rPr>
            </w:pPr>
          </w:p>
        </w:tc>
        <w:tc>
          <w:tcPr>
            <w:tcW w:w="4427" w:type="dxa"/>
          </w:tcPr>
          <w:p w14:paraId="38A5A951" w14:textId="38F40761" w:rsidR="004060A9" w:rsidRPr="00BB3A27" w:rsidRDefault="004060A9" w:rsidP="00205241">
            <w:pPr>
              <w:jc w:val="both"/>
              <w:rPr>
                <w:rFonts w:asciiTheme="majorHAnsi" w:eastAsia="Yu Mincho" w:hAnsiTheme="majorHAnsi"/>
                <w:sz w:val="20"/>
                <w:szCs w:val="20"/>
              </w:rPr>
            </w:pPr>
            <w:r w:rsidRPr="00BB3A27">
              <w:rPr>
                <w:rFonts w:asciiTheme="majorHAnsi" w:hAnsiTheme="majorHAnsi"/>
                <w:sz w:val="20"/>
                <w:szCs w:val="20"/>
              </w:rPr>
              <w:t xml:space="preserve">Conformément au paragraphe 3 de la </w:t>
            </w:r>
            <w:r w:rsidRPr="00BB3A27">
              <w:rPr>
                <w:rFonts w:asciiTheme="majorHAnsi" w:hAnsiTheme="majorHAnsi"/>
                <w:i/>
                <w:iCs/>
                <w:sz w:val="20"/>
                <w:szCs w:val="20"/>
              </w:rPr>
              <w:t>Recommandation de l’ICCAT amendant la Recommandation 22-08 établissant un plan pluriannuel de gestion du thon rouge dans l’Atlantique Est et la Méditerranée</w:t>
            </w:r>
            <w:r w:rsidRPr="00BB3A27">
              <w:rPr>
                <w:rFonts w:asciiTheme="majorHAnsi" w:hAnsiTheme="majorHAnsi"/>
                <w:sz w:val="20"/>
                <w:szCs w:val="20"/>
              </w:rPr>
              <w:t xml:space="preserve"> (Rec. 24-05) :</w:t>
            </w:r>
          </w:p>
          <w:p w14:paraId="465D6590" w14:textId="77777777" w:rsidR="004060A9" w:rsidRPr="00BB3A27" w:rsidRDefault="004060A9" w:rsidP="00205241">
            <w:pPr>
              <w:jc w:val="both"/>
              <w:rPr>
                <w:rFonts w:asciiTheme="majorHAnsi" w:eastAsia="Yu Mincho" w:hAnsiTheme="majorHAnsi"/>
                <w:sz w:val="20"/>
                <w:szCs w:val="20"/>
              </w:rPr>
            </w:pPr>
          </w:p>
          <w:p w14:paraId="080E16B0" w14:textId="77777777" w:rsidR="004060A9" w:rsidRPr="00BB3A27" w:rsidRDefault="004060A9" w:rsidP="00205241">
            <w:pPr>
              <w:jc w:val="both"/>
              <w:rPr>
                <w:rFonts w:asciiTheme="majorHAnsi" w:eastAsia="Yu Mincho" w:hAnsiTheme="majorHAnsi"/>
                <w:sz w:val="20"/>
                <w:szCs w:val="20"/>
              </w:rPr>
            </w:pPr>
            <w:r w:rsidRPr="00BB3A27">
              <w:rPr>
                <w:rFonts w:asciiTheme="majorHAnsi" w:hAnsiTheme="majorHAnsi"/>
                <w:sz w:val="20"/>
                <w:szCs w:val="20"/>
              </w:rPr>
              <w:t>« 3. Chaque CPC devra prendre les mesures nécessaires afin de s’assurer que l’effort de pêche de ses navires de capture et de ses madragues est proportionnel aux possibilités de pêche de thon rouge dont dispose cette CPC dans l’Atlantique Est et en Méditerranée, y compris en établissant des quotas individuels pour ses navires de capture de plus de 24 m inclus dans la liste visée au paragraphe 48 a) de la présente Recommandation. »</w:t>
            </w:r>
          </w:p>
          <w:p w14:paraId="1F891B75" w14:textId="77777777" w:rsidR="004060A9" w:rsidRPr="00BB3A27" w:rsidRDefault="004060A9" w:rsidP="00205241">
            <w:pPr>
              <w:jc w:val="both"/>
              <w:rPr>
                <w:rFonts w:asciiTheme="majorHAnsi" w:eastAsia="Yu Mincho" w:hAnsiTheme="majorHAnsi"/>
                <w:sz w:val="20"/>
                <w:szCs w:val="20"/>
              </w:rPr>
            </w:pPr>
          </w:p>
          <w:p w14:paraId="69EF0FD9" w14:textId="7CD4CDA2" w:rsidR="004060A9" w:rsidRPr="00BB3A27" w:rsidRDefault="004060A9" w:rsidP="00205241">
            <w:pPr>
              <w:jc w:val="both"/>
              <w:rPr>
                <w:rFonts w:asciiTheme="majorHAnsi" w:eastAsia="Yu Mincho" w:hAnsiTheme="majorHAnsi"/>
                <w:sz w:val="20"/>
                <w:szCs w:val="20"/>
              </w:rPr>
            </w:pPr>
            <w:r w:rsidRPr="00BB3A27">
              <w:rPr>
                <w:rFonts w:asciiTheme="majorHAnsi" w:hAnsiTheme="majorHAnsi"/>
                <w:sz w:val="20"/>
                <w:szCs w:val="20"/>
              </w:rPr>
              <w:t>À la lumière de ce qui précède, le Secrétariat interprète que tous les navires de capture de plus de 24 m de longueur hors tout (LOA) pêchant activement le thon rouge, c'est-à-dire ceux qui ciblent le thon rouge au cours d'une saison de pêche donnée et qui sont donc actifs dans le Registre ICCAT des navires de capture de thon rouge, doivent se voir attribuer un quota valide, qui ne doit pas être nul ou égal à zéro. Ce dernier point peut avoir des implications, notamment en raison des interconnexions avec d'autres systèmes liés au registre des navires, tels que l'eBCD.</w:t>
            </w:r>
          </w:p>
          <w:p w14:paraId="133FE874" w14:textId="77777777" w:rsidR="004060A9" w:rsidRPr="00BB3A27" w:rsidRDefault="004060A9" w:rsidP="00205241">
            <w:pPr>
              <w:jc w:val="both"/>
              <w:rPr>
                <w:rFonts w:asciiTheme="majorHAnsi" w:eastAsia="Yu Mincho" w:hAnsiTheme="majorHAnsi"/>
                <w:sz w:val="20"/>
                <w:szCs w:val="20"/>
              </w:rPr>
            </w:pPr>
          </w:p>
          <w:p w14:paraId="15C55DD8" w14:textId="77777777" w:rsidR="004060A9" w:rsidRPr="00BB3A27" w:rsidRDefault="004060A9" w:rsidP="00205241">
            <w:pPr>
              <w:contextualSpacing/>
              <w:jc w:val="both"/>
              <w:rPr>
                <w:rFonts w:asciiTheme="majorHAnsi" w:eastAsia="Times New Roman" w:hAnsiTheme="majorHAnsi"/>
                <w:sz w:val="20"/>
                <w:szCs w:val="20"/>
              </w:rPr>
            </w:pPr>
            <w:r w:rsidRPr="00BB3A27">
              <w:rPr>
                <w:rFonts w:asciiTheme="majorHAnsi" w:hAnsiTheme="majorHAnsi"/>
                <w:sz w:val="20"/>
                <w:szCs w:val="20"/>
              </w:rPr>
              <w:t xml:space="preserve">Toutefois, certaines CPC ont demandé que le </w:t>
            </w:r>
            <w:r w:rsidRPr="00BB3A27">
              <w:rPr>
                <w:rFonts w:asciiTheme="majorHAnsi" w:hAnsiTheme="majorHAnsi"/>
                <w:sz w:val="20"/>
                <w:szCs w:val="20"/>
              </w:rPr>
              <w:lastRenderedPageBreak/>
              <w:t>Secrétariat maintienne dans la liste susmentionnée les navires dont le quota est égal à zéro.</w:t>
            </w:r>
          </w:p>
        </w:tc>
        <w:tc>
          <w:tcPr>
            <w:tcW w:w="3321" w:type="dxa"/>
          </w:tcPr>
          <w:p w14:paraId="4FADE7AF" w14:textId="1FFDFA0C" w:rsidR="004060A9" w:rsidRPr="00BB3A27" w:rsidRDefault="004060A9" w:rsidP="00205241">
            <w:pPr>
              <w:jc w:val="both"/>
              <w:rPr>
                <w:rFonts w:asciiTheme="majorHAnsi" w:eastAsia="Times New Roman" w:hAnsiTheme="majorHAnsi"/>
                <w:sz w:val="20"/>
                <w:szCs w:val="20"/>
              </w:rPr>
            </w:pPr>
            <w:r w:rsidRPr="00BB3A27">
              <w:rPr>
                <w:rFonts w:asciiTheme="majorHAnsi" w:hAnsiTheme="majorHAnsi"/>
                <w:sz w:val="20"/>
                <w:szCs w:val="20"/>
              </w:rPr>
              <w:lastRenderedPageBreak/>
              <w:t>Le Secrétariat remercie par avance le Groupe de travail permanent sur l’amélioration des statistiques et des mesures de conservation de l’ICCAT (PWG) et/ou la Sous-commission 2 de bien vouloir lui fournir une orientation sur la manière de procéder et sur la question de savoir si un quota nul ou zéro est acceptable en tant que quota individuel pour les navires de capture de plus de 24 mètres.</w:t>
            </w:r>
          </w:p>
        </w:tc>
        <w:tc>
          <w:tcPr>
            <w:tcW w:w="2483" w:type="dxa"/>
          </w:tcPr>
          <w:p w14:paraId="05FFFEC9" w14:textId="77777777" w:rsidR="004060A9" w:rsidRPr="00BB3A27" w:rsidRDefault="004060A9" w:rsidP="00205241">
            <w:pPr>
              <w:jc w:val="both"/>
              <w:rPr>
                <w:rFonts w:asciiTheme="majorHAnsi" w:hAnsiTheme="majorHAnsi"/>
              </w:rPr>
            </w:pPr>
          </w:p>
        </w:tc>
        <w:tc>
          <w:tcPr>
            <w:tcW w:w="2483" w:type="dxa"/>
          </w:tcPr>
          <w:p w14:paraId="3D66439F" w14:textId="47885641" w:rsidR="00AE202D" w:rsidRPr="00910872" w:rsidRDefault="00AE202D" w:rsidP="00AE202D">
            <w:pPr>
              <w:jc w:val="both"/>
              <w:rPr>
                <w:rFonts w:asciiTheme="majorHAnsi" w:hAnsiTheme="majorHAnsi"/>
                <w:sz w:val="20"/>
                <w:szCs w:val="20"/>
              </w:rPr>
            </w:pPr>
            <w:r w:rsidRPr="00910872">
              <w:rPr>
                <w:rFonts w:asciiTheme="majorHAnsi" w:hAnsiTheme="majorHAnsi"/>
                <w:sz w:val="20"/>
                <w:szCs w:val="20"/>
              </w:rPr>
              <w:t xml:space="preserve">Le Japon comprend que, bien que les navires de capture </w:t>
            </w:r>
            <w:r w:rsidR="00BB3A27" w:rsidRPr="00910872">
              <w:rPr>
                <w:rFonts w:asciiTheme="majorHAnsi" w:hAnsiTheme="majorHAnsi"/>
                <w:sz w:val="20"/>
                <w:szCs w:val="20"/>
              </w:rPr>
              <w:t>doivent</w:t>
            </w:r>
            <w:r w:rsidRPr="00910872">
              <w:rPr>
                <w:rFonts w:asciiTheme="majorHAnsi" w:hAnsiTheme="majorHAnsi"/>
                <w:sz w:val="20"/>
                <w:szCs w:val="20"/>
              </w:rPr>
              <w:t xml:space="preserve"> être enregistrés avec un quota valide dans le registre ICCAT des navires de capture de thon rouge, ceux-ci peuvent être maintenus dans le registre même après avoir épuisé ou transféré la totalité du quota qui leur a</w:t>
            </w:r>
            <w:r w:rsidR="00B235C6">
              <w:rPr>
                <w:rFonts w:asciiTheme="majorHAnsi" w:hAnsiTheme="majorHAnsi"/>
                <w:sz w:val="20"/>
                <w:szCs w:val="20"/>
              </w:rPr>
              <w:t>vait</w:t>
            </w:r>
            <w:r w:rsidRPr="00910872">
              <w:rPr>
                <w:rFonts w:asciiTheme="majorHAnsi" w:hAnsiTheme="majorHAnsi"/>
                <w:sz w:val="20"/>
                <w:szCs w:val="20"/>
              </w:rPr>
              <w:t xml:space="preserve"> été attribué, afin de pouvoir bénéficier de futurs transferts de quota.</w:t>
            </w:r>
          </w:p>
          <w:p w14:paraId="173D0654" w14:textId="77777777" w:rsidR="00AE202D" w:rsidRPr="00AE202D" w:rsidRDefault="00AE202D" w:rsidP="00AE202D">
            <w:pPr>
              <w:jc w:val="both"/>
              <w:rPr>
                <w:rFonts w:asciiTheme="majorHAnsi" w:hAnsiTheme="majorHAnsi"/>
              </w:rPr>
            </w:pPr>
          </w:p>
          <w:p w14:paraId="7DEB354A" w14:textId="6C10E2CD" w:rsidR="004060A9" w:rsidRPr="00205241" w:rsidRDefault="00AE202D" w:rsidP="007C6D2B">
            <w:pPr>
              <w:jc w:val="both"/>
              <w:rPr>
                <w:rFonts w:asciiTheme="majorHAnsi" w:hAnsiTheme="majorHAnsi"/>
              </w:rPr>
            </w:pPr>
            <w:r w:rsidRPr="00B235C6">
              <w:rPr>
                <w:rFonts w:asciiTheme="majorHAnsi" w:hAnsiTheme="majorHAnsi"/>
                <w:sz w:val="20"/>
                <w:szCs w:val="20"/>
              </w:rPr>
              <w:t>Le Japon désigne, au début de la saison de pêche, les navires qui participeront à la pêche de thon rouge pour l'année en cours, conformément au paragraphe 52 de la Rec. 24-05. Tous les navires disposent d'un quota valide, mais certains d'entre eux pourraient devoir transférer leur quota avant la fin de la campagne de pêche.</w:t>
            </w:r>
            <w:r w:rsidR="002C0609">
              <w:rPr>
                <w:rFonts w:asciiTheme="majorHAnsi" w:hAnsiTheme="majorHAnsi"/>
                <w:sz w:val="20"/>
                <w:szCs w:val="20"/>
              </w:rPr>
              <w:t xml:space="preserve"> </w:t>
            </w:r>
            <w:r w:rsidRPr="00B235C6">
              <w:rPr>
                <w:rFonts w:asciiTheme="majorHAnsi" w:hAnsiTheme="majorHAnsi"/>
                <w:sz w:val="20"/>
                <w:szCs w:val="20"/>
              </w:rPr>
              <w:t xml:space="preserve">Étant donné que le paragraphe 53 de la Rec. 24-05 limite </w:t>
            </w:r>
            <w:r w:rsidRPr="00B235C6">
              <w:rPr>
                <w:rFonts w:asciiTheme="majorHAnsi" w:hAnsiTheme="majorHAnsi"/>
                <w:sz w:val="20"/>
                <w:szCs w:val="20"/>
              </w:rPr>
              <w:lastRenderedPageBreak/>
              <w:t xml:space="preserve">les inscriptions rétroactives des navires, les navires receveurs doivent être inscrits avant le début de l'activité de pêche. Dans certains cas, les navires qui ont entièrement consommé/transféré leur quota </w:t>
            </w:r>
            <w:proofErr w:type="gramStart"/>
            <w:r w:rsidRPr="00B235C6">
              <w:rPr>
                <w:rFonts w:asciiTheme="majorHAnsi" w:hAnsiTheme="majorHAnsi"/>
                <w:sz w:val="20"/>
                <w:szCs w:val="20"/>
              </w:rPr>
              <w:t>souhaitent</w:t>
            </w:r>
            <w:proofErr w:type="gramEnd"/>
            <w:r w:rsidRPr="00B235C6">
              <w:rPr>
                <w:rFonts w:asciiTheme="majorHAnsi" w:hAnsiTheme="majorHAnsi"/>
                <w:sz w:val="20"/>
                <w:szCs w:val="20"/>
              </w:rPr>
              <w:t xml:space="preserve"> bénéficier d'un tel transfert. Ces navires devraient être autorisés à figurer dans le registre même après avoir épuisé la totalité de leur quota initial, c'est-à-dire un quota </w:t>
            </w:r>
            <w:r w:rsidR="005249F4">
              <w:rPr>
                <w:rFonts w:asciiTheme="majorHAnsi" w:hAnsiTheme="majorHAnsi"/>
                <w:sz w:val="20"/>
                <w:szCs w:val="20"/>
              </w:rPr>
              <w:t>zéro</w:t>
            </w:r>
            <w:r w:rsidRPr="00B235C6">
              <w:rPr>
                <w:rFonts w:asciiTheme="majorHAnsi" w:hAnsiTheme="majorHAnsi"/>
                <w:sz w:val="20"/>
                <w:szCs w:val="20"/>
              </w:rPr>
              <w:t>. </w:t>
            </w:r>
          </w:p>
        </w:tc>
      </w:tr>
    </w:tbl>
    <w:p w14:paraId="15E74FE1" w14:textId="77777777" w:rsidR="007E2287" w:rsidRPr="008054A0" w:rsidRDefault="007E2287" w:rsidP="0022655C">
      <w:pPr>
        <w:rPr>
          <w:rFonts w:ascii="Cambria" w:hAnsi="Cambria"/>
          <w:bCs/>
          <w:iCs/>
          <w:sz w:val="16"/>
          <w:szCs w:val="16"/>
        </w:rPr>
      </w:pPr>
    </w:p>
    <w:sectPr w:rsidR="007E2287" w:rsidRPr="008054A0" w:rsidSect="004746F5">
      <w:headerReference w:type="default" r:id="rId8"/>
      <w:footerReference w:type="default" r:id="rId9"/>
      <w:pgSz w:w="16840" w:h="11900" w:orient="landscape" w:code="9"/>
      <w:pgMar w:top="1418" w:right="1418" w:bottom="1418" w:left="1418" w:header="85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2E02A" w14:textId="77777777" w:rsidR="00E318E0" w:rsidRDefault="00E318E0">
      <w:r>
        <w:separator/>
      </w:r>
    </w:p>
  </w:endnote>
  <w:endnote w:type="continuationSeparator" w:id="0">
    <w:p w14:paraId="732A70D2" w14:textId="77777777" w:rsidR="00E318E0" w:rsidRDefault="00E31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244780"/>
      <w:docPartObj>
        <w:docPartGallery w:val="Page Numbers (Bottom of Page)"/>
        <w:docPartUnique/>
      </w:docPartObj>
    </w:sdtPr>
    <w:sdtContent>
      <w:sdt>
        <w:sdtPr>
          <w:id w:val="1728636285"/>
          <w:docPartObj>
            <w:docPartGallery w:val="Page Numbers (Top of Page)"/>
            <w:docPartUnique/>
          </w:docPartObj>
        </w:sdtPr>
        <w:sdtContent>
          <w:p w14:paraId="7163B65F" w14:textId="4ECC6813" w:rsidR="00BB3A27" w:rsidRDefault="00BB3A27" w:rsidP="00BB3A27">
            <w:pPr>
              <w:pStyle w:val="Footer"/>
              <w:jc w:val="center"/>
            </w:pPr>
            <w:r w:rsidRPr="00BB3A27">
              <w:rPr>
                <w:rFonts w:asciiTheme="majorHAnsi" w:hAnsiTheme="majorHAnsi"/>
              </w:rPr>
              <w:fldChar w:fldCharType="begin"/>
            </w:r>
            <w:r w:rsidRPr="00BB3A27">
              <w:rPr>
                <w:rFonts w:asciiTheme="majorHAnsi" w:hAnsiTheme="majorHAnsi"/>
              </w:rPr>
              <w:instrText xml:space="preserve"> PAGE </w:instrText>
            </w:r>
            <w:r w:rsidRPr="00BB3A27">
              <w:rPr>
                <w:rFonts w:asciiTheme="majorHAnsi" w:hAnsiTheme="majorHAnsi"/>
              </w:rPr>
              <w:fldChar w:fldCharType="separate"/>
            </w:r>
            <w:r w:rsidRPr="00BB3A27">
              <w:rPr>
                <w:rFonts w:asciiTheme="majorHAnsi" w:hAnsiTheme="majorHAnsi"/>
                <w:noProof/>
              </w:rPr>
              <w:t>2</w:t>
            </w:r>
            <w:r w:rsidRPr="00BB3A27">
              <w:rPr>
                <w:rFonts w:asciiTheme="majorHAnsi" w:hAnsiTheme="majorHAnsi"/>
              </w:rPr>
              <w:fldChar w:fldCharType="end"/>
            </w:r>
            <w:r w:rsidRPr="00BB3A27">
              <w:rPr>
                <w:rFonts w:asciiTheme="majorHAnsi" w:hAnsiTheme="majorHAnsi"/>
              </w:rPr>
              <w:t xml:space="preserve"> / </w:t>
            </w:r>
            <w:r w:rsidRPr="00BB3A27">
              <w:rPr>
                <w:rFonts w:asciiTheme="majorHAnsi" w:hAnsiTheme="majorHAnsi"/>
              </w:rPr>
              <w:fldChar w:fldCharType="begin"/>
            </w:r>
            <w:r w:rsidRPr="00BB3A27">
              <w:rPr>
                <w:rFonts w:asciiTheme="majorHAnsi" w:hAnsiTheme="majorHAnsi"/>
              </w:rPr>
              <w:instrText xml:space="preserve"> NUMPAGES  </w:instrText>
            </w:r>
            <w:r w:rsidRPr="00BB3A27">
              <w:rPr>
                <w:rFonts w:asciiTheme="majorHAnsi" w:hAnsiTheme="majorHAnsi"/>
              </w:rPr>
              <w:fldChar w:fldCharType="separate"/>
            </w:r>
            <w:r w:rsidRPr="00BB3A27">
              <w:rPr>
                <w:rFonts w:asciiTheme="majorHAnsi" w:hAnsiTheme="majorHAnsi"/>
                <w:noProof/>
              </w:rPr>
              <w:t>2</w:t>
            </w:r>
            <w:r w:rsidRPr="00BB3A27">
              <w:rPr>
                <w:rFonts w:asciiTheme="majorHAnsi" w:hAnsiTheme="majorHAnsi"/>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1D021" w14:textId="77777777" w:rsidR="00E318E0" w:rsidRDefault="00E318E0">
      <w:r>
        <w:separator/>
      </w:r>
    </w:p>
  </w:footnote>
  <w:footnote w:type="continuationSeparator" w:id="0">
    <w:p w14:paraId="01A18F23" w14:textId="77777777" w:rsidR="00E318E0" w:rsidRDefault="00E31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E98D" w14:textId="77777777" w:rsidR="00414EE7" w:rsidRPr="008B0FC5" w:rsidRDefault="00414EE7" w:rsidP="00414EE7">
    <w:pPr>
      <w:tabs>
        <w:tab w:val="center" w:pos="4680"/>
        <w:tab w:val="left" w:pos="6520"/>
        <w:tab w:val="right" w:pos="9360"/>
        <w:tab w:val="right" w:pos="14240"/>
      </w:tabs>
      <w:jc w:val="right"/>
      <w:rPr>
        <w:rFonts w:ascii="Cambria" w:eastAsia="Calibri" w:hAnsi="Cambria"/>
        <w:b/>
        <w:bCs/>
        <w:lang w:val="en-US"/>
      </w:rPr>
    </w:pPr>
    <w:r>
      <w:rPr>
        <w:rFonts w:ascii="Cambria" w:eastAsia="Calibri" w:hAnsi="Cambria"/>
        <w:b/>
        <w:bCs/>
        <w:lang w:val="en-US"/>
      </w:rPr>
      <w:t>PA2_606</w:t>
    </w:r>
    <w:r w:rsidRPr="008B0FC5">
      <w:rPr>
        <w:rFonts w:ascii="Cambria" w:eastAsia="Calibri" w:hAnsi="Cambria"/>
        <w:b/>
        <w:bCs/>
        <w:lang w:val="en-US"/>
      </w:rPr>
      <w:t>/202</w:t>
    </w:r>
    <w:r>
      <w:rPr>
        <w:rFonts w:ascii="Cambria" w:eastAsia="Calibri" w:hAnsi="Cambria"/>
        <w:b/>
        <w:bCs/>
        <w:lang w:val="en-US"/>
      </w:rPr>
      <w:t>5</w:t>
    </w:r>
  </w:p>
  <w:p w14:paraId="6095A574" w14:textId="52D873E1" w:rsidR="00414EE7" w:rsidRPr="008B0FC5" w:rsidRDefault="00414EE7" w:rsidP="00414EE7">
    <w:pPr>
      <w:tabs>
        <w:tab w:val="left" w:pos="7320"/>
      </w:tabs>
      <w:spacing w:line="240" w:lineRule="exact"/>
      <w:jc w:val="right"/>
      <w:rPr>
        <w:rFonts w:ascii="Cambria" w:hAnsi="Cambria"/>
        <w:b/>
        <w:bCs/>
        <w:sz w:val="16"/>
        <w:szCs w:val="16"/>
        <w:lang w:val="es-ES_tradnl"/>
      </w:rPr>
    </w:pPr>
    <w:r w:rsidRPr="008B0FC5">
      <w:rPr>
        <w:rFonts w:ascii="Cambria" w:hAnsi="Cambria"/>
        <w:b/>
        <w:bCs/>
        <w:sz w:val="16"/>
        <w:szCs w:val="16"/>
        <w:lang w:val="es-ES_tradnl"/>
      </w:rPr>
      <w:fldChar w:fldCharType="begin"/>
    </w:r>
    <w:r w:rsidRPr="008B0FC5">
      <w:rPr>
        <w:rFonts w:ascii="Cambria" w:hAnsi="Cambria"/>
        <w:b/>
        <w:bCs/>
        <w:sz w:val="16"/>
        <w:szCs w:val="16"/>
        <w:lang w:val="es-ES_tradnl"/>
      </w:rPr>
      <w:instrText xml:space="preserve"> TIME \@ "dd/MM/yyyy H:mm" </w:instrText>
    </w:r>
    <w:r w:rsidRPr="008B0FC5">
      <w:rPr>
        <w:rFonts w:ascii="Cambria" w:hAnsi="Cambria"/>
        <w:b/>
        <w:bCs/>
        <w:sz w:val="16"/>
        <w:szCs w:val="16"/>
        <w:lang w:val="es-ES_tradnl"/>
      </w:rPr>
      <w:fldChar w:fldCharType="separate"/>
    </w:r>
    <w:r w:rsidR="00BE093A">
      <w:rPr>
        <w:rFonts w:ascii="Cambria" w:hAnsi="Cambria"/>
        <w:b/>
        <w:bCs/>
        <w:noProof/>
        <w:sz w:val="16"/>
        <w:szCs w:val="16"/>
        <w:lang w:val="es-ES_tradnl"/>
      </w:rPr>
      <w:t>29/10/2025 15:44</w:t>
    </w:r>
    <w:r w:rsidRPr="008B0FC5">
      <w:rPr>
        <w:rFonts w:ascii="Cambria" w:hAnsi="Cambria"/>
        <w:b/>
        <w:bCs/>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60E5"/>
    <w:multiLevelType w:val="hybridMultilevel"/>
    <w:tmpl w:val="0816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3497"/>
    <w:multiLevelType w:val="hybridMultilevel"/>
    <w:tmpl w:val="A4A8344A"/>
    <w:lvl w:ilvl="0" w:tplc="554CA8CC">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06B0F"/>
    <w:multiLevelType w:val="hybridMultilevel"/>
    <w:tmpl w:val="09E61336"/>
    <w:lvl w:ilvl="0" w:tplc="9132CB62">
      <w:start w:val="1"/>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21783412"/>
    <w:multiLevelType w:val="hybridMultilevel"/>
    <w:tmpl w:val="732851FE"/>
    <w:lvl w:ilvl="0" w:tplc="2FC2AA28">
      <w:start w:val="29"/>
      <w:numFmt w:val="bullet"/>
      <w:lvlText w:val="–"/>
      <w:lvlJc w:val="left"/>
      <w:pPr>
        <w:ind w:left="720" w:hanging="360"/>
      </w:pPr>
      <w:rPr>
        <w:rFonts w:ascii="Times New Roman" w:eastAsiaTheme="maj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47608"/>
    <w:multiLevelType w:val="hybridMultilevel"/>
    <w:tmpl w:val="DF1E3FF8"/>
    <w:lvl w:ilvl="0" w:tplc="554CA8CC">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04651"/>
    <w:multiLevelType w:val="hybridMultilevel"/>
    <w:tmpl w:val="4FC817C2"/>
    <w:lvl w:ilvl="0" w:tplc="554CA8CC">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E4EA8"/>
    <w:multiLevelType w:val="hybridMultilevel"/>
    <w:tmpl w:val="A384A89A"/>
    <w:lvl w:ilvl="0" w:tplc="554CA8CC">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E5BC9"/>
    <w:multiLevelType w:val="hybridMultilevel"/>
    <w:tmpl w:val="08F4EBD2"/>
    <w:lvl w:ilvl="0" w:tplc="41026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56EE7"/>
    <w:multiLevelType w:val="hybridMultilevel"/>
    <w:tmpl w:val="B308DFA0"/>
    <w:lvl w:ilvl="0" w:tplc="9B04621E">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D0536"/>
    <w:multiLevelType w:val="hybridMultilevel"/>
    <w:tmpl w:val="75A49264"/>
    <w:lvl w:ilvl="0" w:tplc="48F652AA">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41441C29"/>
    <w:multiLevelType w:val="hybridMultilevel"/>
    <w:tmpl w:val="0C36E9F6"/>
    <w:lvl w:ilvl="0" w:tplc="A47840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7B78F5"/>
    <w:multiLevelType w:val="hybridMultilevel"/>
    <w:tmpl w:val="339C6614"/>
    <w:lvl w:ilvl="0" w:tplc="E0B8823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873930"/>
    <w:multiLevelType w:val="hybridMultilevel"/>
    <w:tmpl w:val="B7AA6714"/>
    <w:lvl w:ilvl="0" w:tplc="D5280522">
      <w:start w:val="2007"/>
      <w:numFmt w:val="bullet"/>
      <w:pStyle w:val="bullets1"/>
      <w:lvlText w:val="-"/>
      <w:lvlJc w:val="left"/>
      <w:pPr>
        <w:ind w:left="1069" w:hanging="360"/>
      </w:pPr>
      <w:rPr>
        <w:rFonts w:ascii="Times New Roman" w:eastAsiaTheme="majorEastAsia"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AD47AB"/>
    <w:multiLevelType w:val="hybridMultilevel"/>
    <w:tmpl w:val="3F0E4EF2"/>
    <w:lvl w:ilvl="0" w:tplc="F24AC1BE">
      <w:start w:val="201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4F02BF"/>
    <w:multiLevelType w:val="hybridMultilevel"/>
    <w:tmpl w:val="3EFA548C"/>
    <w:lvl w:ilvl="0" w:tplc="2D9E64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5E371E"/>
    <w:multiLevelType w:val="hybridMultilevel"/>
    <w:tmpl w:val="765AE340"/>
    <w:lvl w:ilvl="0" w:tplc="007E5D2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621A5A"/>
    <w:multiLevelType w:val="hybridMultilevel"/>
    <w:tmpl w:val="695A274A"/>
    <w:lvl w:ilvl="0" w:tplc="2D9E64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864D7C"/>
    <w:multiLevelType w:val="hybridMultilevel"/>
    <w:tmpl w:val="AFE8E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06A04F0"/>
    <w:multiLevelType w:val="hybridMultilevel"/>
    <w:tmpl w:val="46384FCC"/>
    <w:lvl w:ilvl="0" w:tplc="554CA8CC">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DA2A8B"/>
    <w:multiLevelType w:val="hybridMultilevel"/>
    <w:tmpl w:val="93EEBABC"/>
    <w:lvl w:ilvl="0" w:tplc="2D9E64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D3F50"/>
    <w:multiLevelType w:val="hybridMultilevel"/>
    <w:tmpl w:val="F55A07B6"/>
    <w:lvl w:ilvl="0" w:tplc="6DE215C8">
      <w:numFmt w:val="bullet"/>
      <w:lvlText w:val="-"/>
      <w:lvlJc w:val="left"/>
      <w:pPr>
        <w:ind w:left="651" w:hanging="360"/>
      </w:pPr>
      <w:rPr>
        <w:rFonts w:ascii="Cambria" w:eastAsia="Cambria" w:hAnsi="Cambria" w:cs="Cambria"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21" w15:restartNumberingAfterBreak="0">
    <w:nsid w:val="79405015"/>
    <w:multiLevelType w:val="hybridMultilevel"/>
    <w:tmpl w:val="022C8B78"/>
    <w:lvl w:ilvl="0" w:tplc="4552D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0601752">
    <w:abstractNumId w:val="15"/>
  </w:num>
  <w:num w:numId="2" w16cid:durableId="1639989925">
    <w:abstractNumId w:val="11"/>
  </w:num>
  <w:num w:numId="3" w16cid:durableId="914127981">
    <w:abstractNumId w:val="12"/>
  </w:num>
  <w:num w:numId="4" w16cid:durableId="1037972400">
    <w:abstractNumId w:val="3"/>
  </w:num>
  <w:num w:numId="5" w16cid:durableId="1937247715">
    <w:abstractNumId w:val="12"/>
  </w:num>
  <w:num w:numId="6" w16cid:durableId="1669868469">
    <w:abstractNumId w:val="8"/>
  </w:num>
  <w:num w:numId="7" w16cid:durableId="186329851">
    <w:abstractNumId w:val="7"/>
  </w:num>
  <w:num w:numId="8" w16cid:durableId="1166558047">
    <w:abstractNumId w:val="10"/>
  </w:num>
  <w:num w:numId="9" w16cid:durableId="1553344004">
    <w:abstractNumId w:val="21"/>
  </w:num>
  <w:num w:numId="10" w16cid:durableId="1879586478">
    <w:abstractNumId w:val="17"/>
  </w:num>
  <w:num w:numId="11" w16cid:durableId="1059128611">
    <w:abstractNumId w:val="13"/>
  </w:num>
  <w:num w:numId="12" w16cid:durableId="1461729844">
    <w:abstractNumId w:val="0"/>
  </w:num>
  <w:num w:numId="13" w16cid:durableId="1342703977">
    <w:abstractNumId w:val="5"/>
  </w:num>
  <w:num w:numId="14" w16cid:durableId="1415282639">
    <w:abstractNumId w:val="6"/>
  </w:num>
  <w:num w:numId="15" w16cid:durableId="411245744">
    <w:abstractNumId w:val="1"/>
  </w:num>
  <w:num w:numId="16" w16cid:durableId="1650674396">
    <w:abstractNumId w:val="18"/>
  </w:num>
  <w:num w:numId="17" w16cid:durableId="139007681">
    <w:abstractNumId w:val="4"/>
  </w:num>
  <w:num w:numId="18" w16cid:durableId="1329676458">
    <w:abstractNumId w:val="14"/>
  </w:num>
  <w:num w:numId="19" w16cid:durableId="1327198934">
    <w:abstractNumId w:val="16"/>
  </w:num>
  <w:num w:numId="20" w16cid:durableId="1275744191">
    <w:abstractNumId w:val="19"/>
  </w:num>
  <w:num w:numId="21" w16cid:durableId="1756125294">
    <w:abstractNumId w:val="9"/>
  </w:num>
  <w:num w:numId="22" w16cid:durableId="87627980">
    <w:abstractNumId w:val="2"/>
  </w:num>
  <w:num w:numId="23" w16cid:durableId="6581950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936"/>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BE3"/>
    <w:rsid w:val="00004418"/>
    <w:rsid w:val="00012A34"/>
    <w:rsid w:val="00020506"/>
    <w:rsid w:val="00022DB3"/>
    <w:rsid w:val="000244CC"/>
    <w:rsid w:val="00027EFA"/>
    <w:rsid w:val="000305A9"/>
    <w:rsid w:val="0003268B"/>
    <w:rsid w:val="0003637D"/>
    <w:rsid w:val="00036E34"/>
    <w:rsid w:val="00041BB0"/>
    <w:rsid w:val="00046A19"/>
    <w:rsid w:val="00060E3A"/>
    <w:rsid w:val="00063349"/>
    <w:rsid w:val="00064B50"/>
    <w:rsid w:val="00071879"/>
    <w:rsid w:val="000724F5"/>
    <w:rsid w:val="000747C2"/>
    <w:rsid w:val="00097541"/>
    <w:rsid w:val="00097716"/>
    <w:rsid w:val="000A0B21"/>
    <w:rsid w:val="000A2E19"/>
    <w:rsid w:val="000A3613"/>
    <w:rsid w:val="000A473C"/>
    <w:rsid w:val="000A63EE"/>
    <w:rsid w:val="000A7C4E"/>
    <w:rsid w:val="000B63CA"/>
    <w:rsid w:val="000B699C"/>
    <w:rsid w:val="000B6BE7"/>
    <w:rsid w:val="000B73F2"/>
    <w:rsid w:val="000C39E9"/>
    <w:rsid w:val="000C7335"/>
    <w:rsid w:val="000D0573"/>
    <w:rsid w:val="000D1463"/>
    <w:rsid w:val="000D4B81"/>
    <w:rsid w:val="000D5DA6"/>
    <w:rsid w:val="000E225C"/>
    <w:rsid w:val="000E2332"/>
    <w:rsid w:val="000E2E9E"/>
    <w:rsid w:val="000E75EA"/>
    <w:rsid w:val="000F3E71"/>
    <w:rsid w:val="000F4D5A"/>
    <w:rsid w:val="000F7334"/>
    <w:rsid w:val="00100EE5"/>
    <w:rsid w:val="00103E21"/>
    <w:rsid w:val="00105110"/>
    <w:rsid w:val="00106F5A"/>
    <w:rsid w:val="00107498"/>
    <w:rsid w:val="001074BA"/>
    <w:rsid w:val="0010777C"/>
    <w:rsid w:val="0011276C"/>
    <w:rsid w:val="001129A7"/>
    <w:rsid w:val="001131A7"/>
    <w:rsid w:val="00120AD3"/>
    <w:rsid w:val="001210AB"/>
    <w:rsid w:val="00134EDB"/>
    <w:rsid w:val="001361E0"/>
    <w:rsid w:val="00136750"/>
    <w:rsid w:val="0014205E"/>
    <w:rsid w:val="0014457B"/>
    <w:rsid w:val="00145CB2"/>
    <w:rsid w:val="00146FD0"/>
    <w:rsid w:val="00151F8C"/>
    <w:rsid w:val="00156365"/>
    <w:rsid w:val="00160176"/>
    <w:rsid w:val="00174127"/>
    <w:rsid w:val="00174362"/>
    <w:rsid w:val="00174819"/>
    <w:rsid w:val="00174F5A"/>
    <w:rsid w:val="00177EEE"/>
    <w:rsid w:val="00180665"/>
    <w:rsid w:val="001811F9"/>
    <w:rsid w:val="00183E06"/>
    <w:rsid w:val="00190F64"/>
    <w:rsid w:val="00191979"/>
    <w:rsid w:val="0019682E"/>
    <w:rsid w:val="001B0F6F"/>
    <w:rsid w:val="001B1D1C"/>
    <w:rsid w:val="001B1F1A"/>
    <w:rsid w:val="001B4C21"/>
    <w:rsid w:val="001B5C2C"/>
    <w:rsid w:val="001B6E75"/>
    <w:rsid w:val="001C1167"/>
    <w:rsid w:val="001C1807"/>
    <w:rsid w:val="001C2A2C"/>
    <w:rsid w:val="001C351D"/>
    <w:rsid w:val="001E0C25"/>
    <w:rsid w:val="001E571C"/>
    <w:rsid w:val="001E6A13"/>
    <w:rsid w:val="001F15A5"/>
    <w:rsid w:val="001F7FD5"/>
    <w:rsid w:val="002013E0"/>
    <w:rsid w:val="00201A94"/>
    <w:rsid w:val="002020E5"/>
    <w:rsid w:val="00205241"/>
    <w:rsid w:val="002059F1"/>
    <w:rsid w:val="00207B28"/>
    <w:rsid w:val="00210C06"/>
    <w:rsid w:val="002171E9"/>
    <w:rsid w:val="00217DFA"/>
    <w:rsid w:val="00217ECC"/>
    <w:rsid w:val="00222B86"/>
    <w:rsid w:val="0022655C"/>
    <w:rsid w:val="00227903"/>
    <w:rsid w:val="002310B0"/>
    <w:rsid w:val="00231247"/>
    <w:rsid w:val="00236AED"/>
    <w:rsid w:val="00243D5D"/>
    <w:rsid w:val="0024591B"/>
    <w:rsid w:val="00247D0C"/>
    <w:rsid w:val="00250C92"/>
    <w:rsid w:val="00261CA3"/>
    <w:rsid w:val="0026405D"/>
    <w:rsid w:val="00266031"/>
    <w:rsid w:val="0026603E"/>
    <w:rsid w:val="002668A1"/>
    <w:rsid w:val="00267218"/>
    <w:rsid w:val="0027497D"/>
    <w:rsid w:val="00284587"/>
    <w:rsid w:val="0028640B"/>
    <w:rsid w:val="002906D2"/>
    <w:rsid w:val="00290E0A"/>
    <w:rsid w:val="0029207D"/>
    <w:rsid w:val="00292773"/>
    <w:rsid w:val="0029387F"/>
    <w:rsid w:val="0029438E"/>
    <w:rsid w:val="00296B21"/>
    <w:rsid w:val="00297E4D"/>
    <w:rsid w:val="002A41D3"/>
    <w:rsid w:val="002B5829"/>
    <w:rsid w:val="002B618E"/>
    <w:rsid w:val="002C0609"/>
    <w:rsid w:val="002C0B4D"/>
    <w:rsid w:val="002C702C"/>
    <w:rsid w:val="002D6A0D"/>
    <w:rsid w:val="002D7EBE"/>
    <w:rsid w:val="002E4409"/>
    <w:rsid w:val="002E4CCD"/>
    <w:rsid w:val="002F0801"/>
    <w:rsid w:val="002F512A"/>
    <w:rsid w:val="002F72A3"/>
    <w:rsid w:val="002F7832"/>
    <w:rsid w:val="00302937"/>
    <w:rsid w:val="003071DD"/>
    <w:rsid w:val="00307931"/>
    <w:rsid w:val="00316BA1"/>
    <w:rsid w:val="00317E59"/>
    <w:rsid w:val="003241DB"/>
    <w:rsid w:val="0032434D"/>
    <w:rsid w:val="003265A4"/>
    <w:rsid w:val="0033413C"/>
    <w:rsid w:val="00341C73"/>
    <w:rsid w:val="00345ADA"/>
    <w:rsid w:val="0034632F"/>
    <w:rsid w:val="0034788E"/>
    <w:rsid w:val="00350822"/>
    <w:rsid w:val="00355E79"/>
    <w:rsid w:val="00366698"/>
    <w:rsid w:val="003668B2"/>
    <w:rsid w:val="003753B8"/>
    <w:rsid w:val="0037736D"/>
    <w:rsid w:val="00377CD5"/>
    <w:rsid w:val="003806E3"/>
    <w:rsid w:val="00380D48"/>
    <w:rsid w:val="00385545"/>
    <w:rsid w:val="00385CF4"/>
    <w:rsid w:val="00386E77"/>
    <w:rsid w:val="00387DE2"/>
    <w:rsid w:val="003902DD"/>
    <w:rsid w:val="00390E4E"/>
    <w:rsid w:val="003924AA"/>
    <w:rsid w:val="003A037C"/>
    <w:rsid w:val="003A0D36"/>
    <w:rsid w:val="003A3D02"/>
    <w:rsid w:val="003A49E2"/>
    <w:rsid w:val="003A4AAD"/>
    <w:rsid w:val="003B6286"/>
    <w:rsid w:val="003C3F4E"/>
    <w:rsid w:val="003C4F13"/>
    <w:rsid w:val="003C69BC"/>
    <w:rsid w:val="003D1CB8"/>
    <w:rsid w:val="003E01DD"/>
    <w:rsid w:val="003E0FAD"/>
    <w:rsid w:val="003E6280"/>
    <w:rsid w:val="003F5BA7"/>
    <w:rsid w:val="00400174"/>
    <w:rsid w:val="00402D69"/>
    <w:rsid w:val="00404BFA"/>
    <w:rsid w:val="00404E57"/>
    <w:rsid w:val="00404F71"/>
    <w:rsid w:val="004060A9"/>
    <w:rsid w:val="00407394"/>
    <w:rsid w:val="0041094E"/>
    <w:rsid w:val="0041175D"/>
    <w:rsid w:val="004123C5"/>
    <w:rsid w:val="00413C59"/>
    <w:rsid w:val="00414EE7"/>
    <w:rsid w:val="00415E2C"/>
    <w:rsid w:val="00416E8D"/>
    <w:rsid w:val="0041761C"/>
    <w:rsid w:val="004234EB"/>
    <w:rsid w:val="00424A11"/>
    <w:rsid w:val="004259DF"/>
    <w:rsid w:val="00426CCA"/>
    <w:rsid w:val="00430079"/>
    <w:rsid w:val="00430F97"/>
    <w:rsid w:val="00432226"/>
    <w:rsid w:val="0043263B"/>
    <w:rsid w:val="00433510"/>
    <w:rsid w:val="00433F13"/>
    <w:rsid w:val="00435812"/>
    <w:rsid w:val="00435C03"/>
    <w:rsid w:val="004465AA"/>
    <w:rsid w:val="00446DAF"/>
    <w:rsid w:val="004561D3"/>
    <w:rsid w:val="0045688A"/>
    <w:rsid w:val="0046673C"/>
    <w:rsid w:val="004715D5"/>
    <w:rsid w:val="00471F0C"/>
    <w:rsid w:val="00472049"/>
    <w:rsid w:val="0047278A"/>
    <w:rsid w:val="004746F5"/>
    <w:rsid w:val="00477544"/>
    <w:rsid w:val="00481B04"/>
    <w:rsid w:val="00482EB1"/>
    <w:rsid w:val="00483B27"/>
    <w:rsid w:val="00483CF5"/>
    <w:rsid w:val="00485C54"/>
    <w:rsid w:val="004865A6"/>
    <w:rsid w:val="00486C5A"/>
    <w:rsid w:val="00487316"/>
    <w:rsid w:val="00490DCA"/>
    <w:rsid w:val="00497541"/>
    <w:rsid w:val="004A09A2"/>
    <w:rsid w:val="004A36B8"/>
    <w:rsid w:val="004A72B0"/>
    <w:rsid w:val="004A7386"/>
    <w:rsid w:val="004B11AE"/>
    <w:rsid w:val="004B1EF8"/>
    <w:rsid w:val="004B449C"/>
    <w:rsid w:val="004B4BB6"/>
    <w:rsid w:val="004B6A1D"/>
    <w:rsid w:val="004C08DA"/>
    <w:rsid w:val="004C7F7B"/>
    <w:rsid w:val="004D5BEC"/>
    <w:rsid w:val="004E0594"/>
    <w:rsid w:val="004E1EB0"/>
    <w:rsid w:val="004E4E0A"/>
    <w:rsid w:val="004E55B7"/>
    <w:rsid w:val="004E779C"/>
    <w:rsid w:val="004F246C"/>
    <w:rsid w:val="004F4223"/>
    <w:rsid w:val="004F47EE"/>
    <w:rsid w:val="004F4D8D"/>
    <w:rsid w:val="004F7159"/>
    <w:rsid w:val="004F7958"/>
    <w:rsid w:val="00502C19"/>
    <w:rsid w:val="005100D5"/>
    <w:rsid w:val="005117B2"/>
    <w:rsid w:val="005134B1"/>
    <w:rsid w:val="00514C18"/>
    <w:rsid w:val="005162FE"/>
    <w:rsid w:val="00517FAB"/>
    <w:rsid w:val="00523905"/>
    <w:rsid w:val="005249F4"/>
    <w:rsid w:val="00535A38"/>
    <w:rsid w:val="00535B55"/>
    <w:rsid w:val="005438EE"/>
    <w:rsid w:val="0054580B"/>
    <w:rsid w:val="00547AA5"/>
    <w:rsid w:val="00553B36"/>
    <w:rsid w:val="0055774D"/>
    <w:rsid w:val="00557AC2"/>
    <w:rsid w:val="005620DE"/>
    <w:rsid w:val="00562429"/>
    <w:rsid w:val="005639F4"/>
    <w:rsid w:val="0056533F"/>
    <w:rsid w:val="00566ADE"/>
    <w:rsid w:val="0056759D"/>
    <w:rsid w:val="0057230E"/>
    <w:rsid w:val="00574AE4"/>
    <w:rsid w:val="0058157A"/>
    <w:rsid w:val="00581D2F"/>
    <w:rsid w:val="00582F1E"/>
    <w:rsid w:val="0058545F"/>
    <w:rsid w:val="005904F7"/>
    <w:rsid w:val="00592A8D"/>
    <w:rsid w:val="00593E7F"/>
    <w:rsid w:val="005A68E2"/>
    <w:rsid w:val="005B18FF"/>
    <w:rsid w:val="005B5A70"/>
    <w:rsid w:val="005B764B"/>
    <w:rsid w:val="005C1294"/>
    <w:rsid w:val="005C69A6"/>
    <w:rsid w:val="005D0D41"/>
    <w:rsid w:val="005D2ABB"/>
    <w:rsid w:val="005D2E75"/>
    <w:rsid w:val="005D3676"/>
    <w:rsid w:val="005D4081"/>
    <w:rsid w:val="005D6089"/>
    <w:rsid w:val="005D75A1"/>
    <w:rsid w:val="005E15AE"/>
    <w:rsid w:val="005E15DD"/>
    <w:rsid w:val="005E2A55"/>
    <w:rsid w:val="005E45BA"/>
    <w:rsid w:val="005E5E1B"/>
    <w:rsid w:val="005F0FED"/>
    <w:rsid w:val="005F3220"/>
    <w:rsid w:val="005F54E9"/>
    <w:rsid w:val="005F683E"/>
    <w:rsid w:val="00611C7F"/>
    <w:rsid w:val="00614BEA"/>
    <w:rsid w:val="00615545"/>
    <w:rsid w:val="006155C0"/>
    <w:rsid w:val="006227D0"/>
    <w:rsid w:val="006265B2"/>
    <w:rsid w:val="00637DA6"/>
    <w:rsid w:val="00641086"/>
    <w:rsid w:val="006432A5"/>
    <w:rsid w:val="00643913"/>
    <w:rsid w:val="00652225"/>
    <w:rsid w:val="0065225C"/>
    <w:rsid w:val="006535AA"/>
    <w:rsid w:val="00664E03"/>
    <w:rsid w:val="0067079E"/>
    <w:rsid w:val="00670B7B"/>
    <w:rsid w:val="00675966"/>
    <w:rsid w:val="0067750D"/>
    <w:rsid w:val="006830CD"/>
    <w:rsid w:val="00683160"/>
    <w:rsid w:val="00685313"/>
    <w:rsid w:val="00686EC9"/>
    <w:rsid w:val="00687A9C"/>
    <w:rsid w:val="006904EB"/>
    <w:rsid w:val="00690CF0"/>
    <w:rsid w:val="00691692"/>
    <w:rsid w:val="00691C72"/>
    <w:rsid w:val="0069333F"/>
    <w:rsid w:val="0069536D"/>
    <w:rsid w:val="00695B9B"/>
    <w:rsid w:val="00695DD4"/>
    <w:rsid w:val="006B03F5"/>
    <w:rsid w:val="006B2E53"/>
    <w:rsid w:val="006B4EF5"/>
    <w:rsid w:val="006B54DF"/>
    <w:rsid w:val="006B59FF"/>
    <w:rsid w:val="006B5BDE"/>
    <w:rsid w:val="006B5E29"/>
    <w:rsid w:val="006C0FE3"/>
    <w:rsid w:val="006C19CC"/>
    <w:rsid w:val="006C42F1"/>
    <w:rsid w:val="006D1C92"/>
    <w:rsid w:val="006D4BE5"/>
    <w:rsid w:val="006D4CC1"/>
    <w:rsid w:val="006E07A3"/>
    <w:rsid w:val="006E095D"/>
    <w:rsid w:val="006E2936"/>
    <w:rsid w:val="006E31F0"/>
    <w:rsid w:val="006E4945"/>
    <w:rsid w:val="006E5D70"/>
    <w:rsid w:val="006E6880"/>
    <w:rsid w:val="006E6D17"/>
    <w:rsid w:val="006F2D80"/>
    <w:rsid w:val="006F4DE9"/>
    <w:rsid w:val="006F51FC"/>
    <w:rsid w:val="00706F02"/>
    <w:rsid w:val="0070782E"/>
    <w:rsid w:val="007128C1"/>
    <w:rsid w:val="00713101"/>
    <w:rsid w:val="00716027"/>
    <w:rsid w:val="007166A5"/>
    <w:rsid w:val="007215B4"/>
    <w:rsid w:val="007257C2"/>
    <w:rsid w:val="00726733"/>
    <w:rsid w:val="00734CE5"/>
    <w:rsid w:val="00737954"/>
    <w:rsid w:val="00737BF1"/>
    <w:rsid w:val="00740C8E"/>
    <w:rsid w:val="00741435"/>
    <w:rsid w:val="0074374D"/>
    <w:rsid w:val="00744C58"/>
    <w:rsid w:val="00745884"/>
    <w:rsid w:val="007501F4"/>
    <w:rsid w:val="00750F76"/>
    <w:rsid w:val="00753061"/>
    <w:rsid w:val="00753953"/>
    <w:rsid w:val="007600D2"/>
    <w:rsid w:val="00763019"/>
    <w:rsid w:val="007665DB"/>
    <w:rsid w:val="007704A2"/>
    <w:rsid w:val="00770818"/>
    <w:rsid w:val="00772ADA"/>
    <w:rsid w:val="007731CA"/>
    <w:rsid w:val="00774A17"/>
    <w:rsid w:val="007756FA"/>
    <w:rsid w:val="00782698"/>
    <w:rsid w:val="007869FD"/>
    <w:rsid w:val="00787221"/>
    <w:rsid w:val="007900AF"/>
    <w:rsid w:val="0079090C"/>
    <w:rsid w:val="00792F64"/>
    <w:rsid w:val="007973B3"/>
    <w:rsid w:val="007A3419"/>
    <w:rsid w:val="007A349D"/>
    <w:rsid w:val="007A44F0"/>
    <w:rsid w:val="007A49E0"/>
    <w:rsid w:val="007A5F53"/>
    <w:rsid w:val="007B2B00"/>
    <w:rsid w:val="007B516C"/>
    <w:rsid w:val="007B5A58"/>
    <w:rsid w:val="007B6DBC"/>
    <w:rsid w:val="007B6E28"/>
    <w:rsid w:val="007B72F6"/>
    <w:rsid w:val="007C083C"/>
    <w:rsid w:val="007C208F"/>
    <w:rsid w:val="007C22A4"/>
    <w:rsid w:val="007C2AA1"/>
    <w:rsid w:val="007C3AE3"/>
    <w:rsid w:val="007C5CBE"/>
    <w:rsid w:val="007C6D2B"/>
    <w:rsid w:val="007D4AC3"/>
    <w:rsid w:val="007D568C"/>
    <w:rsid w:val="007E2287"/>
    <w:rsid w:val="007E343E"/>
    <w:rsid w:val="007E3ED4"/>
    <w:rsid w:val="007E757C"/>
    <w:rsid w:val="007F0F29"/>
    <w:rsid w:val="007F1E77"/>
    <w:rsid w:val="007F39C9"/>
    <w:rsid w:val="007F3B5F"/>
    <w:rsid w:val="007F5D0E"/>
    <w:rsid w:val="007F76BE"/>
    <w:rsid w:val="008034D8"/>
    <w:rsid w:val="008054A0"/>
    <w:rsid w:val="008072FF"/>
    <w:rsid w:val="00816911"/>
    <w:rsid w:val="00817B66"/>
    <w:rsid w:val="008212AC"/>
    <w:rsid w:val="0082199A"/>
    <w:rsid w:val="00821A79"/>
    <w:rsid w:val="00822C0D"/>
    <w:rsid w:val="00822DEE"/>
    <w:rsid w:val="00825B7D"/>
    <w:rsid w:val="00831AD4"/>
    <w:rsid w:val="00835C87"/>
    <w:rsid w:val="0083673B"/>
    <w:rsid w:val="008423A4"/>
    <w:rsid w:val="008426BB"/>
    <w:rsid w:val="00842F0A"/>
    <w:rsid w:val="00854A0F"/>
    <w:rsid w:val="00856768"/>
    <w:rsid w:val="00857B49"/>
    <w:rsid w:val="00861955"/>
    <w:rsid w:val="00861D12"/>
    <w:rsid w:val="00861FDA"/>
    <w:rsid w:val="00862DDE"/>
    <w:rsid w:val="00864D31"/>
    <w:rsid w:val="00874EB3"/>
    <w:rsid w:val="008751A9"/>
    <w:rsid w:val="00876ADF"/>
    <w:rsid w:val="008834EB"/>
    <w:rsid w:val="00891976"/>
    <w:rsid w:val="00891C20"/>
    <w:rsid w:val="00891D6D"/>
    <w:rsid w:val="00892550"/>
    <w:rsid w:val="0089281B"/>
    <w:rsid w:val="008975A6"/>
    <w:rsid w:val="008A3481"/>
    <w:rsid w:val="008A54A6"/>
    <w:rsid w:val="008B3C83"/>
    <w:rsid w:val="008D063A"/>
    <w:rsid w:val="008D273F"/>
    <w:rsid w:val="008D506B"/>
    <w:rsid w:val="008E22F2"/>
    <w:rsid w:val="008E582E"/>
    <w:rsid w:val="008F0932"/>
    <w:rsid w:val="008F73D1"/>
    <w:rsid w:val="008F7BED"/>
    <w:rsid w:val="009027BA"/>
    <w:rsid w:val="00904ADB"/>
    <w:rsid w:val="009061DD"/>
    <w:rsid w:val="00910872"/>
    <w:rsid w:val="00910989"/>
    <w:rsid w:val="009208D0"/>
    <w:rsid w:val="00923F01"/>
    <w:rsid w:val="00927616"/>
    <w:rsid w:val="00931EE9"/>
    <w:rsid w:val="00935073"/>
    <w:rsid w:val="00936226"/>
    <w:rsid w:val="00941865"/>
    <w:rsid w:val="00943BF8"/>
    <w:rsid w:val="00953B17"/>
    <w:rsid w:val="00953B27"/>
    <w:rsid w:val="00954EAF"/>
    <w:rsid w:val="00957F11"/>
    <w:rsid w:val="00960BB6"/>
    <w:rsid w:val="00963BCD"/>
    <w:rsid w:val="00966884"/>
    <w:rsid w:val="00971F0E"/>
    <w:rsid w:val="00972DEE"/>
    <w:rsid w:val="00974DB4"/>
    <w:rsid w:val="0098078D"/>
    <w:rsid w:val="00981004"/>
    <w:rsid w:val="0098578F"/>
    <w:rsid w:val="00985C5C"/>
    <w:rsid w:val="00985E2D"/>
    <w:rsid w:val="00995CA6"/>
    <w:rsid w:val="00996413"/>
    <w:rsid w:val="009B090D"/>
    <w:rsid w:val="009B0BE2"/>
    <w:rsid w:val="009B782D"/>
    <w:rsid w:val="009D4173"/>
    <w:rsid w:val="009D697B"/>
    <w:rsid w:val="009E13F4"/>
    <w:rsid w:val="009E1EDC"/>
    <w:rsid w:val="009E2A63"/>
    <w:rsid w:val="009E3731"/>
    <w:rsid w:val="009E54D2"/>
    <w:rsid w:val="009F3A4A"/>
    <w:rsid w:val="00A00D26"/>
    <w:rsid w:val="00A00E81"/>
    <w:rsid w:val="00A011A7"/>
    <w:rsid w:val="00A01C3E"/>
    <w:rsid w:val="00A03F2F"/>
    <w:rsid w:val="00A048F0"/>
    <w:rsid w:val="00A06FA9"/>
    <w:rsid w:val="00A07078"/>
    <w:rsid w:val="00A070FA"/>
    <w:rsid w:val="00A11AE4"/>
    <w:rsid w:val="00A12F5D"/>
    <w:rsid w:val="00A132C4"/>
    <w:rsid w:val="00A15881"/>
    <w:rsid w:val="00A15E22"/>
    <w:rsid w:val="00A23883"/>
    <w:rsid w:val="00A25D58"/>
    <w:rsid w:val="00A2604F"/>
    <w:rsid w:val="00A3571D"/>
    <w:rsid w:val="00A369D1"/>
    <w:rsid w:val="00A37B20"/>
    <w:rsid w:val="00A37FA3"/>
    <w:rsid w:val="00A510C0"/>
    <w:rsid w:val="00A527FE"/>
    <w:rsid w:val="00A5380C"/>
    <w:rsid w:val="00A54C87"/>
    <w:rsid w:val="00A61165"/>
    <w:rsid w:val="00A62106"/>
    <w:rsid w:val="00A713E3"/>
    <w:rsid w:val="00A732A6"/>
    <w:rsid w:val="00A745E5"/>
    <w:rsid w:val="00A80622"/>
    <w:rsid w:val="00A85811"/>
    <w:rsid w:val="00A879C1"/>
    <w:rsid w:val="00A91A9E"/>
    <w:rsid w:val="00A9224B"/>
    <w:rsid w:val="00A92898"/>
    <w:rsid w:val="00A97E6B"/>
    <w:rsid w:val="00AA0452"/>
    <w:rsid w:val="00AA0753"/>
    <w:rsid w:val="00AA1580"/>
    <w:rsid w:val="00AB214C"/>
    <w:rsid w:val="00AB2457"/>
    <w:rsid w:val="00AB2F49"/>
    <w:rsid w:val="00AB641E"/>
    <w:rsid w:val="00AC2B93"/>
    <w:rsid w:val="00AC47F4"/>
    <w:rsid w:val="00AC6A76"/>
    <w:rsid w:val="00AD1C44"/>
    <w:rsid w:val="00AD4C26"/>
    <w:rsid w:val="00AD55ED"/>
    <w:rsid w:val="00AD56DA"/>
    <w:rsid w:val="00AD6DF6"/>
    <w:rsid w:val="00AD702E"/>
    <w:rsid w:val="00AE06A7"/>
    <w:rsid w:val="00AE202D"/>
    <w:rsid w:val="00AE31DD"/>
    <w:rsid w:val="00AE741D"/>
    <w:rsid w:val="00AF62BC"/>
    <w:rsid w:val="00B04848"/>
    <w:rsid w:val="00B04E9E"/>
    <w:rsid w:val="00B054C3"/>
    <w:rsid w:val="00B13DA0"/>
    <w:rsid w:val="00B13E81"/>
    <w:rsid w:val="00B21160"/>
    <w:rsid w:val="00B235C6"/>
    <w:rsid w:val="00B333D6"/>
    <w:rsid w:val="00B34A69"/>
    <w:rsid w:val="00B3515E"/>
    <w:rsid w:val="00B36EE5"/>
    <w:rsid w:val="00B37619"/>
    <w:rsid w:val="00B40337"/>
    <w:rsid w:val="00B4091E"/>
    <w:rsid w:val="00B412DB"/>
    <w:rsid w:val="00B44788"/>
    <w:rsid w:val="00B44ED4"/>
    <w:rsid w:val="00B474AE"/>
    <w:rsid w:val="00B54296"/>
    <w:rsid w:val="00B5594F"/>
    <w:rsid w:val="00B604BF"/>
    <w:rsid w:val="00B63083"/>
    <w:rsid w:val="00B63B99"/>
    <w:rsid w:val="00B673C6"/>
    <w:rsid w:val="00B72DAE"/>
    <w:rsid w:val="00B73366"/>
    <w:rsid w:val="00B80E4E"/>
    <w:rsid w:val="00B80ED3"/>
    <w:rsid w:val="00B82BED"/>
    <w:rsid w:val="00B84067"/>
    <w:rsid w:val="00B85A0B"/>
    <w:rsid w:val="00B85BE3"/>
    <w:rsid w:val="00B85C5E"/>
    <w:rsid w:val="00B862E3"/>
    <w:rsid w:val="00B9209A"/>
    <w:rsid w:val="00B92813"/>
    <w:rsid w:val="00B97B5E"/>
    <w:rsid w:val="00BA11E5"/>
    <w:rsid w:val="00BA34BE"/>
    <w:rsid w:val="00BA58A4"/>
    <w:rsid w:val="00BA6249"/>
    <w:rsid w:val="00BB009C"/>
    <w:rsid w:val="00BB024E"/>
    <w:rsid w:val="00BB2128"/>
    <w:rsid w:val="00BB25A1"/>
    <w:rsid w:val="00BB3A27"/>
    <w:rsid w:val="00BB4FDC"/>
    <w:rsid w:val="00BB5AD9"/>
    <w:rsid w:val="00BC2B73"/>
    <w:rsid w:val="00BC73CB"/>
    <w:rsid w:val="00BD09E5"/>
    <w:rsid w:val="00BD18E3"/>
    <w:rsid w:val="00BD7C37"/>
    <w:rsid w:val="00BE05F0"/>
    <w:rsid w:val="00BE093A"/>
    <w:rsid w:val="00BE1D1A"/>
    <w:rsid w:val="00BF0237"/>
    <w:rsid w:val="00BF190A"/>
    <w:rsid w:val="00BF5E23"/>
    <w:rsid w:val="00C02DDC"/>
    <w:rsid w:val="00C04A72"/>
    <w:rsid w:val="00C0709B"/>
    <w:rsid w:val="00C07C67"/>
    <w:rsid w:val="00C12CFF"/>
    <w:rsid w:val="00C1645E"/>
    <w:rsid w:val="00C20172"/>
    <w:rsid w:val="00C21CC8"/>
    <w:rsid w:val="00C301C5"/>
    <w:rsid w:val="00C3698A"/>
    <w:rsid w:val="00C37965"/>
    <w:rsid w:val="00C424C5"/>
    <w:rsid w:val="00C4511D"/>
    <w:rsid w:val="00C503B0"/>
    <w:rsid w:val="00C51786"/>
    <w:rsid w:val="00C60078"/>
    <w:rsid w:val="00C61DCB"/>
    <w:rsid w:val="00C62519"/>
    <w:rsid w:val="00C63346"/>
    <w:rsid w:val="00C64E48"/>
    <w:rsid w:val="00C667CB"/>
    <w:rsid w:val="00C67CF9"/>
    <w:rsid w:val="00C705A8"/>
    <w:rsid w:val="00C70ED6"/>
    <w:rsid w:val="00C8470C"/>
    <w:rsid w:val="00C86E50"/>
    <w:rsid w:val="00C90AFA"/>
    <w:rsid w:val="00C911C8"/>
    <w:rsid w:val="00C93100"/>
    <w:rsid w:val="00C937BA"/>
    <w:rsid w:val="00C93D8B"/>
    <w:rsid w:val="00C9430B"/>
    <w:rsid w:val="00C94AF0"/>
    <w:rsid w:val="00CA0934"/>
    <w:rsid w:val="00CA50AC"/>
    <w:rsid w:val="00CA59F4"/>
    <w:rsid w:val="00CA5F81"/>
    <w:rsid w:val="00CA626D"/>
    <w:rsid w:val="00CA6579"/>
    <w:rsid w:val="00CA7CEC"/>
    <w:rsid w:val="00CB0B4F"/>
    <w:rsid w:val="00CB72FC"/>
    <w:rsid w:val="00CB7D96"/>
    <w:rsid w:val="00CC2629"/>
    <w:rsid w:val="00CC2E60"/>
    <w:rsid w:val="00CC3953"/>
    <w:rsid w:val="00CD0DA0"/>
    <w:rsid w:val="00CD1333"/>
    <w:rsid w:val="00CD38B5"/>
    <w:rsid w:val="00CD6697"/>
    <w:rsid w:val="00CD7191"/>
    <w:rsid w:val="00CE3561"/>
    <w:rsid w:val="00CE3A06"/>
    <w:rsid w:val="00CE5B8A"/>
    <w:rsid w:val="00CE62FE"/>
    <w:rsid w:val="00CF2C5E"/>
    <w:rsid w:val="00CF327E"/>
    <w:rsid w:val="00CF3393"/>
    <w:rsid w:val="00CF48D6"/>
    <w:rsid w:val="00CF513D"/>
    <w:rsid w:val="00CF5B0C"/>
    <w:rsid w:val="00D01840"/>
    <w:rsid w:val="00D01AB3"/>
    <w:rsid w:val="00D06303"/>
    <w:rsid w:val="00D125B3"/>
    <w:rsid w:val="00D17279"/>
    <w:rsid w:val="00D40DC5"/>
    <w:rsid w:val="00D47348"/>
    <w:rsid w:val="00D47463"/>
    <w:rsid w:val="00D47806"/>
    <w:rsid w:val="00D51374"/>
    <w:rsid w:val="00D60BBF"/>
    <w:rsid w:val="00D60E8A"/>
    <w:rsid w:val="00D60F05"/>
    <w:rsid w:val="00D612BC"/>
    <w:rsid w:val="00D723C1"/>
    <w:rsid w:val="00D74BEE"/>
    <w:rsid w:val="00D7793A"/>
    <w:rsid w:val="00D8185B"/>
    <w:rsid w:val="00D844CC"/>
    <w:rsid w:val="00D8483B"/>
    <w:rsid w:val="00D871BF"/>
    <w:rsid w:val="00D940B6"/>
    <w:rsid w:val="00D9592C"/>
    <w:rsid w:val="00D95A0C"/>
    <w:rsid w:val="00D963FC"/>
    <w:rsid w:val="00DA5C3D"/>
    <w:rsid w:val="00DA7732"/>
    <w:rsid w:val="00DB2A37"/>
    <w:rsid w:val="00DB3F7C"/>
    <w:rsid w:val="00DB6D1E"/>
    <w:rsid w:val="00DC2235"/>
    <w:rsid w:val="00DC7E86"/>
    <w:rsid w:val="00DD0075"/>
    <w:rsid w:val="00DD2D9C"/>
    <w:rsid w:val="00DD5B58"/>
    <w:rsid w:val="00DE027F"/>
    <w:rsid w:val="00DE6719"/>
    <w:rsid w:val="00DE69E3"/>
    <w:rsid w:val="00DF3155"/>
    <w:rsid w:val="00E00FCB"/>
    <w:rsid w:val="00E01ECC"/>
    <w:rsid w:val="00E02009"/>
    <w:rsid w:val="00E05040"/>
    <w:rsid w:val="00E060A7"/>
    <w:rsid w:val="00E0732D"/>
    <w:rsid w:val="00E07569"/>
    <w:rsid w:val="00E1515C"/>
    <w:rsid w:val="00E260C2"/>
    <w:rsid w:val="00E318E0"/>
    <w:rsid w:val="00E33B2D"/>
    <w:rsid w:val="00E34C14"/>
    <w:rsid w:val="00E409D5"/>
    <w:rsid w:val="00E412DC"/>
    <w:rsid w:val="00E41D70"/>
    <w:rsid w:val="00E443CB"/>
    <w:rsid w:val="00E5337B"/>
    <w:rsid w:val="00E601AD"/>
    <w:rsid w:val="00E6073C"/>
    <w:rsid w:val="00E63FBB"/>
    <w:rsid w:val="00E75B9D"/>
    <w:rsid w:val="00E82757"/>
    <w:rsid w:val="00E838B7"/>
    <w:rsid w:val="00E84A68"/>
    <w:rsid w:val="00E862CD"/>
    <w:rsid w:val="00E901CE"/>
    <w:rsid w:val="00E9149F"/>
    <w:rsid w:val="00E94507"/>
    <w:rsid w:val="00EA12E9"/>
    <w:rsid w:val="00EA3E5E"/>
    <w:rsid w:val="00EA5660"/>
    <w:rsid w:val="00EA75BA"/>
    <w:rsid w:val="00EB02A3"/>
    <w:rsid w:val="00EB27F7"/>
    <w:rsid w:val="00EB414A"/>
    <w:rsid w:val="00EB6400"/>
    <w:rsid w:val="00EC096D"/>
    <w:rsid w:val="00EC1A51"/>
    <w:rsid w:val="00ED0529"/>
    <w:rsid w:val="00ED32FE"/>
    <w:rsid w:val="00ED6605"/>
    <w:rsid w:val="00EE03CC"/>
    <w:rsid w:val="00EE397A"/>
    <w:rsid w:val="00EE4214"/>
    <w:rsid w:val="00EE4B22"/>
    <w:rsid w:val="00EE5626"/>
    <w:rsid w:val="00EE6803"/>
    <w:rsid w:val="00EF1D9E"/>
    <w:rsid w:val="00EF37FD"/>
    <w:rsid w:val="00F02336"/>
    <w:rsid w:val="00F04F02"/>
    <w:rsid w:val="00F06F04"/>
    <w:rsid w:val="00F1254D"/>
    <w:rsid w:val="00F13C3A"/>
    <w:rsid w:val="00F145CD"/>
    <w:rsid w:val="00F20971"/>
    <w:rsid w:val="00F32531"/>
    <w:rsid w:val="00F33D35"/>
    <w:rsid w:val="00F37022"/>
    <w:rsid w:val="00F409FB"/>
    <w:rsid w:val="00F4416A"/>
    <w:rsid w:val="00F44D28"/>
    <w:rsid w:val="00F47078"/>
    <w:rsid w:val="00F52E51"/>
    <w:rsid w:val="00F54610"/>
    <w:rsid w:val="00F57385"/>
    <w:rsid w:val="00F57E84"/>
    <w:rsid w:val="00F63EFD"/>
    <w:rsid w:val="00F64D64"/>
    <w:rsid w:val="00F67844"/>
    <w:rsid w:val="00F67D99"/>
    <w:rsid w:val="00F716CE"/>
    <w:rsid w:val="00F72865"/>
    <w:rsid w:val="00F8317C"/>
    <w:rsid w:val="00F90A4D"/>
    <w:rsid w:val="00F918A6"/>
    <w:rsid w:val="00F93A76"/>
    <w:rsid w:val="00F95D2D"/>
    <w:rsid w:val="00F974A5"/>
    <w:rsid w:val="00FA272B"/>
    <w:rsid w:val="00FA754B"/>
    <w:rsid w:val="00FA75EB"/>
    <w:rsid w:val="00FA7CAE"/>
    <w:rsid w:val="00FB2424"/>
    <w:rsid w:val="00FB2AAA"/>
    <w:rsid w:val="00FB4E96"/>
    <w:rsid w:val="00FC20B2"/>
    <w:rsid w:val="00FC38FD"/>
    <w:rsid w:val="00FC475D"/>
    <w:rsid w:val="00FD12F9"/>
    <w:rsid w:val="00FD6728"/>
    <w:rsid w:val="00FD72E2"/>
    <w:rsid w:val="00FE217A"/>
    <w:rsid w:val="00FE4269"/>
    <w:rsid w:val="00FE498D"/>
    <w:rsid w:val="00FE4D15"/>
    <w:rsid w:val="00FE5F6F"/>
    <w:rsid w:val="00FE612C"/>
    <w:rsid w:val="00FE769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8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A76"/>
    <w:pPr>
      <w:widowControl w:val="0"/>
      <w:autoSpaceDE w:val="0"/>
      <w:autoSpaceDN w:val="0"/>
      <w:adjustRightInd w:val="0"/>
    </w:pPr>
    <w:rPr>
      <w:lang w:eastAsia="en-US"/>
    </w:rPr>
  </w:style>
  <w:style w:type="paragraph" w:styleId="Heading1">
    <w:name w:val="heading 1"/>
    <w:basedOn w:val="Normal"/>
    <w:next w:val="Normal"/>
    <w:qFormat/>
    <w:rsid w:val="000E75E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67079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67079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rsid w:val="00F93A76"/>
    <w:pPr>
      <w:keepNext/>
      <w:widowControl/>
      <w:tabs>
        <w:tab w:val="left" w:pos="-696"/>
        <w:tab w:val="left" w:pos="0"/>
        <w:tab w:val="left" w:pos="720"/>
        <w:tab w:val="left" w:pos="975"/>
        <w:tab w:val="left" w:pos="124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7" w:lineRule="exact"/>
      <w:ind w:left="720" w:hanging="720"/>
      <w:outlineLvl w:val="4"/>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3A76"/>
    <w:pPr>
      <w:tabs>
        <w:tab w:val="center" w:pos="4419"/>
        <w:tab w:val="right" w:pos="8838"/>
      </w:tabs>
    </w:pPr>
  </w:style>
  <w:style w:type="paragraph" w:styleId="Footer">
    <w:name w:val="footer"/>
    <w:basedOn w:val="Normal"/>
    <w:link w:val="FooterChar"/>
    <w:uiPriority w:val="99"/>
    <w:rsid w:val="00F93A76"/>
    <w:pPr>
      <w:tabs>
        <w:tab w:val="center" w:pos="4419"/>
        <w:tab w:val="right" w:pos="8838"/>
      </w:tabs>
    </w:pPr>
  </w:style>
  <w:style w:type="paragraph" w:styleId="BodyTextIndent">
    <w:name w:val="Body Text Indent"/>
    <w:basedOn w:val="Normal"/>
    <w:rsid w:val="00F93A76"/>
    <w:pPr>
      <w:widowControl/>
      <w:tabs>
        <w:tab w:val="left" w:pos="-1440"/>
        <w:tab w:val="left" w:pos="-720"/>
        <w:tab w:val="left" w:pos="0"/>
        <w:tab w:val="left" w:pos="720"/>
        <w:tab w:val="left" w:pos="1440"/>
        <w:tab w:val="left" w:pos="1700"/>
        <w:tab w:val="left" w:pos="2880"/>
        <w:tab w:val="left" w:pos="3600"/>
        <w:tab w:val="left" w:pos="4678"/>
        <w:tab w:val="left" w:pos="5040"/>
        <w:tab w:val="left" w:pos="5760"/>
        <w:tab w:val="left" w:pos="6480"/>
        <w:tab w:val="left" w:pos="7200"/>
        <w:tab w:val="left" w:pos="7920"/>
        <w:tab w:val="left" w:pos="8640"/>
        <w:tab w:val="left" w:pos="9360"/>
        <w:tab w:val="left" w:pos="10080"/>
        <w:tab w:val="left" w:pos="10800"/>
        <w:tab w:val="left" w:pos="11520"/>
      </w:tabs>
      <w:spacing w:line="227" w:lineRule="exact"/>
      <w:ind w:left="2040" w:hanging="2040"/>
    </w:pPr>
    <w:rPr>
      <w:rFonts w:ascii="Arial" w:hAnsi="Arial" w:cs="Arial"/>
      <w:sz w:val="18"/>
      <w:szCs w:val="18"/>
    </w:rPr>
  </w:style>
  <w:style w:type="paragraph" w:styleId="BalloonText">
    <w:name w:val="Balloon Text"/>
    <w:basedOn w:val="Normal"/>
    <w:link w:val="BalloonTextChar"/>
    <w:rsid w:val="0027497D"/>
    <w:rPr>
      <w:rFonts w:ascii="Tahoma" w:hAnsi="Tahoma" w:cs="Tahoma"/>
      <w:sz w:val="16"/>
      <w:szCs w:val="16"/>
    </w:rPr>
  </w:style>
  <w:style w:type="character" w:customStyle="1" w:styleId="BalloonTextChar">
    <w:name w:val="Balloon Text Char"/>
    <w:basedOn w:val="DefaultParagraphFont"/>
    <w:link w:val="BalloonText"/>
    <w:rsid w:val="0027497D"/>
    <w:rPr>
      <w:rFonts w:ascii="Tahoma" w:hAnsi="Tahoma" w:cs="Tahoma"/>
      <w:sz w:val="16"/>
      <w:szCs w:val="16"/>
      <w:lang w:val="fr-FR" w:eastAsia="en-US"/>
    </w:rPr>
  </w:style>
  <w:style w:type="character" w:customStyle="1" w:styleId="Heading2Char">
    <w:name w:val="Heading 2 Char"/>
    <w:basedOn w:val="DefaultParagraphFont"/>
    <w:link w:val="Heading2"/>
    <w:semiHidden/>
    <w:rsid w:val="0067079E"/>
    <w:rPr>
      <w:rFonts w:asciiTheme="majorHAnsi" w:eastAsiaTheme="majorEastAsia" w:hAnsiTheme="majorHAnsi" w:cstheme="majorBidi"/>
      <w:b/>
      <w:bCs/>
      <w:color w:val="4F81BD" w:themeColor="accent1"/>
      <w:sz w:val="26"/>
      <w:szCs w:val="26"/>
      <w:lang w:val="fr-FR" w:eastAsia="en-US"/>
    </w:rPr>
  </w:style>
  <w:style w:type="character" w:customStyle="1" w:styleId="Heading4Char">
    <w:name w:val="Heading 4 Char"/>
    <w:basedOn w:val="DefaultParagraphFont"/>
    <w:link w:val="Heading4"/>
    <w:semiHidden/>
    <w:rsid w:val="0067079E"/>
    <w:rPr>
      <w:rFonts w:asciiTheme="majorHAnsi" w:eastAsiaTheme="majorEastAsia" w:hAnsiTheme="majorHAnsi" w:cstheme="majorBidi"/>
      <w:b/>
      <w:bCs/>
      <w:i/>
      <w:iCs/>
      <w:color w:val="4F81BD" w:themeColor="accent1"/>
      <w:lang w:val="fr-FR" w:eastAsia="en-US"/>
    </w:rPr>
  </w:style>
  <w:style w:type="paragraph" w:styleId="ListParagraph">
    <w:name w:val="List Paragraph"/>
    <w:basedOn w:val="Normal"/>
    <w:uiPriority w:val="34"/>
    <w:qFormat/>
    <w:rsid w:val="0067079E"/>
    <w:pPr>
      <w:widowControl/>
      <w:autoSpaceDE/>
      <w:autoSpaceDN/>
      <w:adjustRightInd/>
      <w:spacing w:before="240" w:after="60" w:line="276" w:lineRule="auto"/>
      <w:contextualSpacing/>
      <w:jc w:val="both"/>
    </w:pPr>
    <w:rPr>
      <w:rFonts w:eastAsiaTheme="minorHAnsi"/>
      <w:b/>
      <w:i/>
      <w:sz w:val="22"/>
      <w:szCs w:val="18"/>
    </w:rPr>
  </w:style>
  <w:style w:type="character" w:styleId="Hyperlink">
    <w:name w:val="Hyperlink"/>
    <w:basedOn w:val="DefaultParagraphFont"/>
    <w:uiPriority w:val="99"/>
    <w:unhideWhenUsed/>
    <w:rsid w:val="0067079E"/>
    <w:rPr>
      <w:color w:val="0000FF" w:themeColor="hyperlink"/>
      <w:u w:val="single"/>
    </w:rPr>
  </w:style>
  <w:style w:type="table" w:styleId="TableGrid">
    <w:name w:val="Table Grid"/>
    <w:basedOn w:val="TableNormal"/>
    <w:uiPriority w:val="59"/>
    <w:rsid w:val="0067079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1">
    <w:name w:val="bullets1"/>
    <w:basedOn w:val="Heading4"/>
    <w:link w:val="bullets1Char"/>
    <w:qFormat/>
    <w:rsid w:val="0067079E"/>
    <w:pPr>
      <w:widowControl/>
      <w:numPr>
        <w:numId w:val="3"/>
      </w:numPr>
      <w:autoSpaceDE/>
      <w:autoSpaceDN/>
      <w:adjustRightInd/>
      <w:spacing w:before="0"/>
      <w:jc w:val="both"/>
    </w:pPr>
    <w:rPr>
      <w:rFonts w:ascii="Times New Roman" w:hAnsi="Times New Roman" w:cs="Times New Roman"/>
      <w:i w:val="0"/>
      <w:color w:val="auto"/>
      <w:sz w:val="22"/>
      <w:szCs w:val="18"/>
    </w:rPr>
  </w:style>
  <w:style w:type="character" w:customStyle="1" w:styleId="bullets1Char">
    <w:name w:val="bullets1 Char"/>
    <w:basedOn w:val="Heading4Char"/>
    <w:link w:val="bullets1"/>
    <w:rsid w:val="0067079E"/>
    <w:rPr>
      <w:rFonts w:asciiTheme="majorHAnsi" w:eastAsiaTheme="majorEastAsia" w:hAnsiTheme="majorHAnsi" w:cstheme="majorBidi"/>
      <w:b/>
      <w:bCs/>
      <w:i/>
      <w:iCs/>
      <w:color w:val="4F81BD" w:themeColor="accent1"/>
      <w:sz w:val="22"/>
      <w:szCs w:val="18"/>
      <w:lang w:val="fr-FR" w:eastAsia="en-US"/>
    </w:rPr>
  </w:style>
  <w:style w:type="paragraph" w:customStyle="1" w:styleId="Title1">
    <w:name w:val="Title1"/>
    <w:basedOn w:val="Heading1"/>
    <w:link w:val="titleChar"/>
    <w:qFormat/>
    <w:rsid w:val="0067079E"/>
    <w:pPr>
      <w:keepLines/>
      <w:widowControl/>
      <w:autoSpaceDE/>
      <w:autoSpaceDN/>
      <w:adjustRightInd/>
      <w:spacing w:before="120" w:after="120"/>
      <w:jc w:val="center"/>
    </w:pPr>
    <w:rPr>
      <w:rFonts w:ascii="Times New Roman" w:eastAsiaTheme="majorEastAsia" w:hAnsi="Times New Roman" w:cs="Times New Roman"/>
      <w:kern w:val="0"/>
      <w:sz w:val="24"/>
      <w:szCs w:val="19"/>
    </w:rPr>
  </w:style>
  <w:style w:type="character" w:customStyle="1" w:styleId="titleChar">
    <w:name w:val="title Char"/>
    <w:basedOn w:val="DefaultParagraphFont"/>
    <w:link w:val="Title1"/>
    <w:rsid w:val="0067079E"/>
    <w:rPr>
      <w:rFonts w:eastAsiaTheme="majorEastAsia"/>
      <w:b/>
      <w:bCs/>
      <w:sz w:val="24"/>
      <w:szCs w:val="19"/>
      <w:lang w:val="fr-FR" w:eastAsia="en-US"/>
    </w:rPr>
  </w:style>
  <w:style w:type="paragraph" w:styleId="PlainText">
    <w:name w:val="Plain Text"/>
    <w:basedOn w:val="Normal"/>
    <w:link w:val="PlainTextChar"/>
    <w:uiPriority w:val="99"/>
    <w:unhideWhenUsed/>
    <w:rsid w:val="001811F9"/>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811F9"/>
    <w:rPr>
      <w:rFonts w:ascii="Consolas" w:eastAsiaTheme="minorHAnsi" w:hAnsi="Consolas" w:cstheme="minorBidi"/>
      <w:sz w:val="21"/>
      <w:szCs w:val="21"/>
      <w:lang w:val="fr-FR" w:eastAsia="en-US"/>
    </w:rPr>
  </w:style>
  <w:style w:type="paragraph" w:styleId="NormalWeb">
    <w:name w:val="Normal (Web)"/>
    <w:basedOn w:val="Normal"/>
    <w:uiPriority w:val="99"/>
    <w:unhideWhenUsed/>
    <w:rsid w:val="0056759D"/>
    <w:pPr>
      <w:widowControl/>
      <w:autoSpaceDE/>
      <w:autoSpaceDN/>
      <w:adjustRightInd/>
      <w:spacing w:before="100" w:beforeAutospacing="1" w:after="100" w:afterAutospacing="1"/>
    </w:pPr>
    <w:rPr>
      <w:sz w:val="24"/>
      <w:szCs w:val="24"/>
    </w:rPr>
  </w:style>
  <w:style w:type="paragraph" w:styleId="BodyText">
    <w:name w:val="Body Text"/>
    <w:basedOn w:val="Normal"/>
    <w:link w:val="BodyTextChar"/>
    <w:uiPriority w:val="1"/>
    <w:unhideWhenUsed/>
    <w:qFormat/>
    <w:rsid w:val="00296B21"/>
    <w:pPr>
      <w:spacing w:after="120"/>
    </w:pPr>
  </w:style>
  <w:style w:type="character" w:customStyle="1" w:styleId="BodyTextChar">
    <w:name w:val="Body Text Char"/>
    <w:basedOn w:val="DefaultParagraphFont"/>
    <w:link w:val="BodyText"/>
    <w:semiHidden/>
    <w:rsid w:val="00296B21"/>
    <w:rPr>
      <w:lang w:val="fr-FR" w:eastAsia="en-US"/>
    </w:rPr>
  </w:style>
  <w:style w:type="paragraph" w:customStyle="1" w:styleId="TableParagraph">
    <w:name w:val="Table Paragraph"/>
    <w:basedOn w:val="Normal"/>
    <w:uiPriority w:val="1"/>
    <w:qFormat/>
    <w:rsid w:val="007257C2"/>
    <w:pPr>
      <w:autoSpaceDE/>
      <w:autoSpaceDN/>
      <w:adjustRightInd/>
    </w:pPr>
    <w:rPr>
      <w:rFonts w:asciiTheme="minorHAnsi" w:eastAsiaTheme="minorHAnsi" w:hAnsiTheme="minorHAnsi" w:cstheme="minorBidi"/>
      <w:sz w:val="22"/>
      <w:szCs w:val="22"/>
    </w:rPr>
  </w:style>
  <w:style w:type="paragraph" w:customStyle="1" w:styleId="Default">
    <w:name w:val="Default"/>
    <w:rsid w:val="008426BB"/>
    <w:pPr>
      <w:autoSpaceDE w:val="0"/>
      <w:autoSpaceDN w:val="0"/>
      <w:adjustRightInd w:val="0"/>
    </w:pPr>
    <w:rPr>
      <w:rFonts w:eastAsiaTheme="minorHAnsi"/>
      <w:color w:val="000000"/>
      <w:sz w:val="24"/>
      <w:szCs w:val="24"/>
      <w:lang w:eastAsia="en-US"/>
    </w:rPr>
  </w:style>
  <w:style w:type="paragraph" w:customStyle="1" w:styleId="wordsection1">
    <w:name w:val="wordsection1"/>
    <w:basedOn w:val="Normal"/>
    <w:uiPriority w:val="99"/>
    <w:rsid w:val="00D8483B"/>
    <w:pPr>
      <w:widowControl/>
      <w:autoSpaceDE/>
      <w:autoSpaceDN/>
      <w:adjustRightInd/>
      <w:spacing w:before="100" w:beforeAutospacing="1" w:after="100" w:afterAutospacing="1"/>
    </w:pPr>
    <w:rPr>
      <w:rFonts w:ascii="Calibri" w:eastAsiaTheme="minorHAnsi" w:hAnsi="Calibri"/>
      <w:sz w:val="22"/>
      <w:szCs w:val="22"/>
      <w:lang w:eastAsia="es-ES"/>
    </w:rPr>
  </w:style>
  <w:style w:type="character" w:styleId="CommentReference">
    <w:name w:val="annotation reference"/>
    <w:basedOn w:val="DefaultParagraphFont"/>
    <w:semiHidden/>
    <w:unhideWhenUsed/>
    <w:rsid w:val="00641086"/>
    <w:rPr>
      <w:sz w:val="16"/>
      <w:szCs w:val="16"/>
    </w:rPr>
  </w:style>
  <w:style w:type="paragraph" w:styleId="CommentText">
    <w:name w:val="annotation text"/>
    <w:basedOn w:val="Normal"/>
    <w:link w:val="CommentTextChar"/>
    <w:semiHidden/>
    <w:unhideWhenUsed/>
    <w:rsid w:val="00641086"/>
  </w:style>
  <w:style w:type="character" w:customStyle="1" w:styleId="CommentTextChar">
    <w:name w:val="Comment Text Char"/>
    <w:basedOn w:val="DefaultParagraphFont"/>
    <w:link w:val="CommentText"/>
    <w:semiHidden/>
    <w:rsid w:val="00641086"/>
    <w:rPr>
      <w:lang w:val="fr-FR" w:eastAsia="en-US"/>
    </w:rPr>
  </w:style>
  <w:style w:type="paragraph" w:styleId="CommentSubject">
    <w:name w:val="annotation subject"/>
    <w:basedOn w:val="CommentText"/>
    <w:next w:val="CommentText"/>
    <w:link w:val="CommentSubjectChar"/>
    <w:semiHidden/>
    <w:unhideWhenUsed/>
    <w:rsid w:val="00641086"/>
    <w:rPr>
      <w:b/>
      <w:bCs/>
    </w:rPr>
  </w:style>
  <w:style w:type="character" w:customStyle="1" w:styleId="CommentSubjectChar">
    <w:name w:val="Comment Subject Char"/>
    <w:basedOn w:val="CommentTextChar"/>
    <w:link w:val="CommentSubject"/>
    <w:semiHidden/>
    <w:rsid w:val="00641086"/>
    <w:rPr>
      <w:b/>
      <w:bCs/>
      <w:lang w:val="fr-FR" w:eastAsia="en-US"/>
    </w:rPr>
  </w:style>
  <w:style w:type="character" w:styleId="FollowedHyperlink">
    <w:name w:val="FollowedHyperlink"/>
    <w:basedOn w:val="DefaultParagraphFont"/>
    <w:semiHidden/>
    <w:unhideWhenUsed/>
    <w:rsid w:val="006B2E53"/>
    <w:rPr>
      <w:color w:val="800080" w:themeColor="followedHyperlink"/>
      <w:u w:val="single"/>
    </w:rPr>
  </w:style>
  <w:style w:type="table" w:customStyle="1" w:styleId="TableGrid2">
    <w:name w:val="Table Grid2"/>
    <w:basedOn w:val="TableNormal"/>
    <w:next w:val="TableGrid"/>
    <w:uiPriority w:val="39"/>
    <w:rsid w:val="0011276C"/>
    <w:rPr>
      <w:rFonts w:ascii="Calibri" w:eastAsia="Yu Gothic" w:hAnsi="Calibri"/>
      <w:kern w:val="2"/>
      <w:sz w:val="22"/>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2434D"/>
    <w:rPr>
      <w:color w:val="605E5C"/>
      <w:shd w:val="clear" w:color="auto" w:fill="E1DFDD"/>
    </w:rPr>
  </w:style>
  <w:style w:type="character" w:customStyle="1" w:styleId="FooterChar">
    <w:name w:val="Footer Char"/>
    <w:basedOn w:val="DefaultParagraphFont"/>
    <w:link w:val="Footer"/>
    <w:uiPriority w:val="99"/>
    <w:rsid w:val="00BB3A2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82985">
      <w:bodyDiv w:val="1"/>
      <w:marLeft w:val="0"/>
      <w:marRight w:val="0"/>
      <w:marTop w:val="0"/>
      <w:marBottom w:val="0"/>
      <w:divBdr>
        <w:top w:val="none" w:sz="0" w:space="0" w:color="auto"/>
        <w:left w:val="none" w:sz="0" w:space="0" w:color="auto"/>
        <w:bottom w:val="none" w:sz="0" w:space="0" w:color="auto"/>
        <w:right w:val="none" w:sz="0" w:space="0" w:color="auto"/>
      </w:divBdr>
    </w:div>
    <w:div w:id="86658691">
      <w:bodyDiv w:val="1"/>
      <w:marLeft w:val="0"/>
      <w:marRight w:val="0"/>
      <w:marTop w:val="0"/>
      <w:marBottom w:val="0"/>
      <w:divBdr>
        <w:top w:val="none" w:sz="0" w:space="0" w:color="auto"/>
        <w:left w:val="none" w:sz="0" w:space="0" w:color="auto"/>
        <w:bottom w:val="none" w:sz="0" w:space="0" w:color="auto"/>
        <w:right w:val="none" w:sz="0" w:space="0" w:color="auto"/>
      </w:divBdr>
    </w:div>
    <w:div w:id="104228782">
      <w:bodyDiv w:val="1"/>
      <w:marLeft w:val="0"/>
      <w:marRight w:val="0"/>
      <w:marTop w:val="0"/>
      <w:marBottom w:val="0"/>
      <w:divBdr>
        <w:top w:val="none" w:sz="0" w:space="0" w:color="auto"/>
        <w:left w:val="none" w:sz="0" w:space="0" w:color="auto"/>
        <w:bottom w:val="none" w:sz="0" w:space="0" w:color="auto"/>
        <w:right w:val="none" w:sz="0" w:space="0" w:color="auto"/>
      </w:divBdr>
    </w:div>
    <w:div w:id="477696471">
      <w:bodyDiv w:val="1"/>
      <w:marLeft w:val="0"/>
      <w:marRight w:val="0"/>
      <w:marTop w:val="0"/>
      <w:marBottom w:val="0"/>
      <w:divBdr>
        <w:top w:val="none" w:sz="0" w:space="0" w:color="auto"/>
        <w:left w:val="none" w:sz="0" w:space="0" w:color="auto"/>
        <w:bottom w:val="none" w:sz="0" w:space="0" w:color="auto"/>
        <w:right w:val="none" w:sz="0" w:space="0" w:color="auto"/>
      </w:divBdr>
    </w:div>
    <w:div w:id="530459602">
      <w:bodyDiv w:val="1"/>
      <w:marLeft w:val="0"/>
      <w:marRight w:val="0"/>
      <w:marTop w:val="0"/>
      <w:marBottom w:val="0"/>
      <w:divBdr>
        <w:top w:val="none" w:sz="0" w:space="0" w:color="auto"/>
        <w:left w:val="none" w:sz="0" w:space="0" w:color="auto"/>
        <w:bottom w:val="none" w:sz="0" w:space="0" w:color="auto"/>
        <w:right w:val="none" w:sz="0" w:space="0" w:color="auto"/>
      </w:divBdr>
    </w:div>
    <w:div w:id="846485578">
      <w:bodyDiv w:val="1"/>
      <w:marLeft w:val="0"/>
      <w:marRight w:val="0"/>
      <w:marTop w:val="0"/>
      <w:marBottom w:val="0"/>
      <w:divBdr>
        <w:top w:val="none" w:sz="0" w:space="0" w:color="auto"/>
        <w:left w:val="none" w:sz="0" w:space="0" w:color="auto"/>
        <w:bottom w:val="none" w:sz="0" w:space="0" w:color="auto"/>
        <w:right w:val="none" w:sz="0" w:space="0" w:color="auto"/>
      </w:divBdr>
    </w:div>
    <w:div w:id="909001685">
      <w:bodyDiv w:val="1"/>
      <w:marLeft w:val="0"/>
      <w:marRight w:val="0"/>
      <w:marTop w:val="0"/>
      <w:marBottom w:val="0"/>
      <w:divBdr>
        <w:top w:val="none" w:sz="0" w:space="0" w:color="auto"/>
        <w:left w:val="none" w:sz="0" w:space="0" w:color="auto"/>
        <w:bottom w:val="none" w:sz="0" w:space="0" w:color="auto"/>
        <w:right w:val="none" w:sz="0" w:space="0" w:color="auto"/>
      </w:divBdr>
    </w:div>
    <w:div w:id="1079517333">
      <w:bodyDiv w:val="1"/>
      <w:marLeft w:val="0"/>
      <w:marRight w:val="0"/>
      <w:marTop w:val="0"/>
      <w:marBottom w:val="0"/>
      <w:divBdr>
        <w:top w:val="none" w:sz="0" w:space="0" w:color="auto"/>
        <w:left w:val="none" w:sz="0" w:space="0" w:color="auto"/>
        <w:bottom w:val="none" w:sz="0" w:space="0" w:color="auto"/>
        <w:right w:val="none" w:sz="0" w:space="0" w:color="auto"/>
      </w:divBdr>
    </w:div>
    <w:div w:id="1156798662">
      <w:bodyDiv w:val="1"/>
      <w:marLeft w:val="0"/>
      <w:marRight w:val="0"/>
      <w:marTop w:val="0"/>
      <w:marBottom w:val="0"/>
      <w:divBdr>
        <w:top w:val="none" w:sz="0" w:space="0" w:color="auto"/>
        <w:left w:val="none" w:sz="0" w:space="0" w:color="auto"/>
        <w:bottom w:val="none" w:sz="0" w:space="0" w:color="auto"/>
        <w:right w:val="none" w:sz="0" w:space="0" w:color="auto"/>
      </w:divBdr>
    </w:div>
    <w:div w:id="1200624336">
      <w:bodyDiv w:val="1"/>
      <w:marLeft w:val="0"/>
      <w:marRight w:val="0"/>
      <w:marTop w:val="0"/>
      <w:marBottom w:val="0"/>
      <w:divBdr>
        <w:top w:val="none" w:sz="0" w:space="0" w:color="auto"/>
        <w:left w:val="none" w:sz="0" w:space="0" w:color="auto"/>
        <w:bottom w:val="none" w:sz="0" w:space="0" w:color="auto"/>
        <w:right w:val="none" w:sz="0" w:space="0" w:color="auto"/>
      </w:divBdr>
    </w:div>
    <w:div w:id="1200775343">
      <w:bodyDiv w:val="1"/>
      <w:marLeft w:val="0"/>
      <w:marRight w:val="0"/>
      <w:marTop w:val="0"/>
      <w:marBottom w:val="0"/>
      <w:divBdr>
        <w:top w:val="none" w:sz="0" w:space="0" w:color="auto"/>
        <w:left w:val="none" w:sz="0" w:space="0" w:color="auto"/>
        <w:bottom w:val="none" w:sz="0" w:space="0" w:color="auto"/>
        <w:right w:val="none" w:sz="0" w:space="0" w:color="auto"/>
      </w:divBdr>
    </w:div>
    <w:div w:id="1242060688">
      <w:bodyDiv w:val="1"/>
      <w:marLeft w:val="0"/>
      <w:marRight w:val="0"/>
      <w:marTop w:val="0"/>
      <w:marBottom w:val="0"/>
      <w:divBdr>
        <w:top w:val="none" w:sz="0" w:space="0" w:color="auto"/>
        <w:left w:val="none" w:sz="0" w:space="0" w:color="auto"/>
        <w:bottom w:val="none" w:sz="0" w:space="0" w:color="auto"/>
        <w:right w:val="none" w:sz="0" w:space="0" w:color="auto"/>
      </w:divBdr>
    </w:div>
    <w:div w:id="1303535714">
      <w:bodyDiv w:val="1"/>
      <w:marLeft w:val="0"/>
      <w:marRight w:val="0"/>
      <w:marTop w:val="0"/>
      <w:marBottom w:val="0"/>
      <w:divBdr>
        <w:top w:val="none" w:sz="0" w:space="0" w:color="auto"/>
        <w:left w:val="none" w:sz="0" w:space="0" w:color="auto"/>
        <w:bottom w:val="none" w:sz="0" w:space="0" w:color="auto"/>
        <w:right w:val="none" w:sz="0" w:space="0" w:color="auto"/>
      </w:divBdr>
    </w:div>
    <w:div w:id="1397783988">
      <w:bodyDiv w:val="1"/>
      <w:marLeft w:val="0"/>
      <w:marRight w:val="0"/>
      <w:marTop w:val="0"/>
      <w:marBottom w:val="0"/>
      <w:divBdr>
        <w:top w:val="none" w:sz="0" w:space="0" w:color="auto"/>
        <w:left w:val="none" w:sz="0" w:space="0" w:color="auto"/>
        <w:bottom w:val="none" w:sz="0" w:space="0" w:color="auto"/>
        <w:right w:val="none" w:sz="0" w:space="0" w:color="auto"/>
      </w:divBdr>
    </w:div>
    <w:div w:id="1405839217">
      <w:bodyDiv w:val="1"/>
      <w:marLeft w:val="0"/>
      <w:marRight w:val="0"/>
      <w:marTop w:val="0"/>
      <w:marBottom w:val="0"/>
      <w:divBdr>
        <w:top w:val="none" w:sz="0" w:space="0" w:color="auto"/>
        <w:left w:val="none" w:sz="0" w:space="0" w:color="auto"/>
        <w:bottom w:val="none" w:sz="0" w:space="0" w:color="auto"/>
        <w:right w:val="none" w:sz="0" w:space="0" w:color="auto"/>
      </w:divBdr>
    </w:div>
    <w:div w:id="1497375350">
      <w:bodyDiv w:val="1"/>
      <w:marLeft w:val="0"/>
      <w:marRight w:val="0"/>
      <w:marTop w:val="0"/>
      <w:marBottom w:val="0"/>
      <w:divBdr>
        <w:top w:val="none" w:sz="0" w:space="0" w:color="auto"/>
        <w:left w:val="none" w:sz="0" w:space="0" w:color="auto"/>
        <w:bottom w:val="none" w:sz="0" w:space="0" w:color="auto"/>
        <w:right w:val="none" w:sz="0" w:space="0" w:color="auto"/>
      </w:divBdr>
    </w:div>
    <w:div w:id="1548184022">
      <w:bodyDiv w:val="1"/>
      <w:marLeft w:val="0"/>
      <w:marRight w:val="0"/>
      <w:marTop w:val="0"/>
      <w:marBottom w:val="0"/>
      <w:divBdr>
        <w:top w:val="none" w:sz="0" w:space="0" w:color="auto"/>
        <w:left w:val="none" w:sz="0" w:space="0" w:color="auto"/>
        <w:bottom w:val="none" w:sz="0" w:space="0" w:color="auto"/>
        <w:right w:val="none" w:sz="0" w:space="0" w:color="auto"/>
      </w:divBdr>
    </w:div>
    <w:div w:id="1640651904">
      <w:bodyDiv w:val="1"/>
      <w:marLeft w:val="0"/>
      <w:marRight w:val="0"/>
      <w:marTop w:val="0"/>
      <w:marBottom w:val="0"/>
      <w:divBdr>
        <w:top w:val="none" w:sz="0" w:space="0" w:color="auto"/>
        <w:left w:val="none" w:sz="0" w:space="0" w:color="auto"/>
        <w:bottom w:val="none" w:sz="0" w:space="0" w:color="auto"/>
        <w:right w:val="none" w:sz="0" w:space="0" w:color="auto"/>
      </w:divBdr>
    </w:div>
    <w:div w:id="1642036458">
      <w:bodyDiv w:val="1"/>
      <w:marLeft w:val="0"/>
      <w:marRight w:val="0"/>
      <w:marTop w:val="0"/>
      <w:marBottom w:val="0"/>
      <w:divBdr>
        <w:top w:val="none" w:sz="0" w:space="0" w:color="auto"/>
        <w:left w:val="none" w:sz="0" w:space="0" w:color="auto"/>
        <w:bottom w:val="none" w:sz="0" w:space="0" w:color="auto"/>
        <w:right w:val="none" w:sz="0" w:space="0" w:color="auto"/>
      </w:divBdr>
    </w:div>
    <w:div w:id="1754089546">
      <w:bodyDiv w:val="1"/>
      <w:marLeft w:val="0"/>
      <w:marRight w:val="0"/>
      <w:marTop w:val="0"/>
      <w:marBottom w:val="0"/>
      <w:divBdr>
        <w:top w:val="none" w:sz="0" w:space="0" w:color="auto"/>
        <w:left w:val="none" w:sz="0" w:space="0" w:color="auto"/>
        <w:bottom w:val="none" w:sz="0" w:space="0" w:color="auto"/>
        <w:right w:val="none" w:sz="0" w:space="0" w:color="auto"/>
      </w:divBdr>
    </w:div>
    <w:div w:id="1860658482">
      <w:bodyDiv w:val="1"/>
      <w:marLeft w:val="0"/>
      <w:marRight w:val="0"/>
      <w:marTop w:val="0"/>
      <w:marBottom w:val="0"/>
      <w:divBdr>
        <w:top w:val="none" w:sz="0" w:space="0" w:color="auto"/>
        <w:left w:val="none" w:sz="0" w:space="0" w:color="auto"/>
        <w:bottom w:val="none" w:sz="0" w:space="0" w:color="auto"/>
        <w:right w:val="none" w:sz="0" w:space="0" w:color="auto"/>
      </w:divBdr>
    </w:div>
    <w:div w:id="1882356131">
      <w:bodyDiv w:val="1"/>
      <w:marLeft w:val="0"/>
      <w:marRight w:val="0"/>
      <w:marTop w:val="0"/>
      <w:marBottom w:val="0"/>
      <w:divBdr>
        <w:top w:val="none" w:sz="0" w:space="0" w:color="auto"/>
        <w:left w:val="none" w:sz="0" w:space="0" w:color="auto"/>
        <w:bottom w:val="none" w:sz="0" w:space="0" w:color="auto"/>
        <w:right w:val="none" w:sz="0" w:space="0" w:color="auto"/>
      </w:divBdr>
    </w:div>
    <w:div w:id="1948735504">
      <w:bodyDiv w:val="1"/>
      <w:marLeft w:val="0"/>
      <w:marRight w:val="0"/>
      <w:marTop w:val="0"/>
      <w:marBottom w:val="0"/>
      <w:divBdr>
        <w:top w:val="none" w:sz="0" w:space="0" w:color="auto"/>
        <w:left w:val="none" w:sz="0" w:space="0" w:color="auto"/>
        <w:bottom w:val="none" w:sz="0" w:space="0" w:color="auto"/>
        <w:right w:val="none" w:sz="0" w:space="0" w:color="auto"/>
      </w:divBdr>
    </w:div>
    <w:div w:id="1979336269">
      <w:bodyDiv w:val="1"/>
      <w:marLeft w:val="0"/>
      <w:marRight w:val="0"/>
      <w:marTop w:val="0"/>
      <w:marBottom w:val="0"/>
      <w:divBdr>
        <w:top w:val="none" w:sz="0" w:space="0" w:color="auto"/>
        <w:left w:val="none" w:sz="0" w:space="0" w:color="auto"/>
        <w:bottom w:val="none" w:sz="0" w:space="0" w:color="auto"/>
        <w:right w:val="none" w:sz="0" w:space="0" w:color="auto"/>
      </w:divBdr>
    </w:div>
    <w:div w:id="199741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196F8-F15C-4DFB-829C-0774AC95C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2020-03-17T14:32:00Z</dcterms:created>
  <dcterms:modified xsi:type="dcterms:W3CDTF">2025-10-29T14:50:00Z</dcterms:modified>
</cp:coreProperties>
</file>