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2253" w14:textId="59B80D03" w:rsidR="008B0FC5" w:rsidRPr="0098385B" w:rsidRDefault="008B0FC5" w:rsidP="008B0FC5">
      <w:pPr>
        <w:tabs>
          <w:tab w:val="left" w:pos="426"/>
        </w:tabs>
        <w:spacing w:after="0" w:line="240" w:lineRule="auto"/>
        <w:ind w:left="425" w:hanging="425"/>
        <w:jc w:val="right"/>
        <w:rPr>
          <w:rFonts w:ascii="Cambria" w:eastAsia="Cambria" w:hAnsi="Cambria" w:cs="Cambria"/>
          <w:b/>
          <w:iCs/>
          <w:kern w:val="0"/>
          <w:sz w:val="20"/>
          <w:szCs w:val="20"/>
          <w:lang w:val="en-GB"/>
          <w14:ligatures w14:val="none"/>
        </w:rPr>
      </w:pPr>
      <w:r w:rsidRPr="0098385B">
        <w:rPr>
          <w:rFonts w:ascii="Cambria" w:eastAsia="Cambria" w:hAnsi="Cambria" w:cs="Cambria"/>
          <w:b/>
          <w:iCs/>
          <w:kern w:val="0"/>
          <w:sz w:val="20"/>
          <w:szCs w:val="20"/>
          <w:lang w:val="en-GB"/>
          <w14:ligatures w14:val="none"/>
        </w:rPr>
        <w:t>Original: English</w:t>
      </w:r>
    </w:p>
    <w:p w14:paraId="586CB1EA" w14:textId="77777777" w:rsidR="008B0FC5" w:rsidRPr="0098385B" w:rsidRDefault="008B0FC5" w:rsidP="008B0FC5">
      <w:pPr>
        <w:spacing w:after="0" w:line="240" w:lineRule="auto"/>
        <w:rPr>
          <w:rFonts w:ascii="Cambria" w:eastAsia="Cambria" w:hAnsi="Cambria" w:cs="Cambria"/>
          <w:kern w:val="0"/>
          <w:sz w:val="20"/>
          <w:szCs w:val="20"/>
          <w:lang w:val="en-GB"/>
          <w14:ligatures w14:val="none"/>
        </w:rPr>
      </w:pPr>
      <w:bookmarkStart w:id="0" w:name="_Hlk146891511"/>
    </w:p>
    <w:p w14:paraId="5CF241BC" w14:textId="77777777" w:rsidR="008B0FC5" w:rsidRPr="0098385B" w:rsidRDefault="008B0FC5" w:rsidP="008B0FC5">
      <w:pPr>
        <w:spacing w:after="0" w:line="240" w:lineRule="auto"/>
        <w:rPr>
          <w:rFonts w:ascii="Cambria" w:eastAsia="Cambria" w:hAnsi="Cambria" w:cs="Cambria"/>
          <w:kern w:val="0"/>
          <w:sz w:val="20"/>
          <w:szCs w:val="20"/>
          <w:lang w:val="en-GB"/>
          <w14:ligatures w14:val="none"/>
        </w:rPr>
      </w:pPr>
    </w:p>
    <w:p w14:paraId="54D0C06F" w14:textId="7F16D64D" w:rsidR="008B0FC5" w:rsidRPr="0098385B" w:rsidRDefault="009F098C" w:rsidP="009F098C">
      <w:pPr>
        <w:spacing w:after="0" w:line="240" w:lineRule="auto"/>
        <w:jc w:val="center"/>
        <w:rPr>
          <w:rFonts w:ascii="Cambria" w:eastAsia="Cambria" w:hAnsi="Cambria" w:cs="Cambria"/>
          <w:b/>
          <w:bCs/>
          <w:kern w:val="0"/>
          <w:sz w:val="20"/>
          <w:szCs w:val="20"/>
          <w:lang w:val="en-GB"/>
          <w14:ligatures w14:val="none"/>
        </w:rPr>
      </w:pPr>
      <w:r w:rsidRPr="0098385B">
        <w:rPr>
          <w:rFonts w:ascii="Cambria" w:eastAsia="Cambria" w:hAnsi="Cambria" w:cs="Cambria"/>
          <w:b/>
          <w:bCs/>
          <w:kern w:val="0"/>
          <w:sz w:val="20"/>
          <w:szCs w:val="20"/>
          <w:lang w:val="en-GB"/>
          <w14:ligatures w14:val="none"/>
        </w:rPr>
        <w:t>Clarifications requested on</w:t>
      </w:r>
      <w:r w:rsidR="00CF3762" w:rsidRPr="00CF3762">
        <w:rPr>
          <w:rFonts w:ascii="Cambria" w:eastAsia="Cambria" w:hAnsi="Cambria" w:cs="Cambria"/>
          <w:b/>
          <w:bCs/>
          <w:kern w:val="0"/>
          <w:sz w:val="20"/>
          <w:szCs w:val="20"/>
          <w:lang w:val="en-GB"/>
          <w14:ligatures w14:val="none"/>
        </w:rPr>
        <w:t xml:space="preserve"> Recommendation 24-05</w:t>
      </w:r>
    </w:p>
    <w:p w14:paraId="4FA8D89D" w14:textId="6C852081" w:rsidR="003532B4" w:rsidRPr="0098385B" w:rsidRDefault="008B0FC5" w:rsidP="009F098C">
      <w:pPr>
        <w:tabs>
          <w:tab w:val="left" w:pos="1072"/>
        </w:tabs>
        <w:spacing w:after="0" w:line="240" w:lineRule="auto"/>
        <w:rPr>
          <w:lang w:val="en-GB"/>
        </w:rPr>
      </w:pPr>
      <w:r w:rsidRPr="0098385B">
        <w:rPr>
          <w:rFonts w:ascii="Cambria" w:eastAsia="Cambria" w:hAnsi="Cambria" w:cs="Cambria"/>
          <w:kern w:val="0"/>
          <w:sz w:val="20"/>
          <w:szCs w:val="20"/>
          <w:lang w:val="en-GB"/>
          <w14:ligatures w14:val="none"/>
        </w:rPr>
        <w:tab/>
      </w:r>
      <w:bookmarkEnd w:id="0"/>
    </w:p>
    <w:tbl>
      <w:tblPr>
        <w:tblStyle w:val="TableGrid2"/>
        <w:tblW w:w="14078" w:type="dxa"/>
        <w:tblLook w:val="04A0" w:firstRow="1" w:lastRow="0" w:firstColumn="1" w:lastColumn="0" w:noHBand="0" w:noVBand="1"/>
      </w:tblPr>
      <w:tblGrid>
        <w:gridCol w:w="1849"/>
        <w:gridCol w:w="4069"/>
        <w:gridCol w:w="2842"/>
        <w:gridCol w:w="2659"/>
        <w:gridCol w:w="2659"/>
      </w:tblGrid>
      <w:tr w:rsidR="0091043E" w:rsidRPr="00F17333" w14:paraId="575B9A8F" w14:textId="4E5E7CA8" w:rsidTr="009B4EE5">
        <w:trPr>
          <w:trHeight w:val="142"/>
          <w:tblHeader/>
        </w:trPr>
        <w:tc>
          <w:tcPr>
            <w:tcW w:w="1849" w:type="dxa"/>
          </w:tcPr>
          <w:p w14:paraId="2ACFA038" w14:textId="77777777" w:rsidR="0091043E" w:rsidRPr="00F17333" w:rsidRDefault="0091043E" w:rsidP="0091043E">
            <w:pPr>
              <w:spacing w:after="0" w:line="240" w:lineRule="auto"/>
              <w:ind w:left="426"/>
              <w:contextualSpacing/>
              <w:rPr>
                <w:rFonts w:ascii="Cambria" w:eastAsia="Yu Mincho" w:hAnsi="Cambria"/>
                <w:b/>
                <w:bCs/>
                <w:sz w:val="20"/>
                <w:szCs w:val="20"/>
                <w:lang w:val="en-GB"/>
              </w:rPr>
            </w:pPr>
          </w:p>
        </w:tc>
        <w:tc>
          <w:tcPr>
            <w:tcW w:w="4069" w:type="dxa"/>
          </w:tcPr>
          <w:p w14:paraId="7A423B7D" w14:textId="77777777" w:rsidR="0091043E" w:rsidRPr="00F17333" w:rsidRDefault="0091043E" w:rsidP="0091043E">
            <w:pPr>
              <w:spacing w:after="0" w:line="240" w:lineRule="auto"/>
              <w:ind w:left="426"/>
              <w:contextualSpacing/>
              <w:jc w:val="center"/>
              <w:rPr>
                <w:rFonts w:ascii="Cambria" w:eastAsia="Yu Mincho" w:hAnsi="Cambria"/>
                <w:b/>
                <w:bCs/>
                <w:i/>
                <w:iCs/>
                <w:sz w:val="20"/>
                <w:szCs w:val="20"/>
                <w:lang w:val="en-GB"/>
              </w:rPr>
            </w:pPr>
            <w:r w:rsidRPr="00F17333">
              <w:rPr>
                <w:rFonts w:ascii="Cambria" w:eastAsia="Yu Mincho" w:hAnsi="Cambria"/>
                <w:b/>
                <w:bCs/>
                <w:i/>
                <w:iCs/>
                <w:sz w:val="20"/>
                <w:szCs w:val="20"/>
                <w:lang w:val="en-GB"/>
              </w:rPr>
              <w:t>Issue</w:t>
            </w:r>
          </w:p>
        </w:tc>
        <w:tc>
          <w:tcPr>
            <w:tcW w:w="2842" w:type="dxa"/>
          </w:tcPr>
          <w:p w14:paraId="59F11E9F" w14:textId="77777777" w:rsidR="0091043E" w:rsidRPr="00F17333" w:rsidRDefault="0091043E" w:rsidP="0091043E">
            <w:pPr>
              <w:spacing w:after="0" w:line="240" w:lineRule="auto"/>
              <w:ind w:left="426"/>
              <w:jc w:val="center"/>
              <w:rPr>
                <w:rFonts w:ascii="Cambria" w:eastAsia="Yu Mincho" w:hAnsi="Cambria"/>
                <w:b/>
                <w:bCs/>
                <w:i/>
                <w:iCs/>
                <w:sz w:val="20"/>
                <w:szCs w:val="20"/>
                <w:lang w:val="en-GB"/>
              </w:rPr>
            </w:pPr>
            <w:r w:rsidRPr="00F17333">
              <w:rPr>
                <w:rFonts w:ascii="Cambria" w:eastAsia="Yu Mincho" w:hAnsi="Cambria"/>
                <w:b/>
                <w:bCs/>
                <w:i/>
                <w:iCs/>
                <w:sz w:val="20"/>
                <w:szCs w:val="20"/>
                <w:lang w:val="en-GB"/>
              </w:rPr>
              <w:t>Request</w:t>
            </w:r>
          </w:p>
        </w:tc>
        <w:tc>
          <w:tcPr>
            <w:tcW w:w="2659" w:type="dxa"/>
          </w:tcPr>
          <w:p w14:paraId="1CC897DD" w14:textId="54AC1A45" w:rsidR="0091043E" w:rsidRPr="0091043E" w:rsidRDefault="0091043E" w:rsidP="0091043E">
            <w:pPr>
              <w:spacing w:after="0" w:line="240" w:lineRule="auto"/>
              <w:ind w:left="108" w:hanging="108"/>
              <w:jc w:val="center"/>
              <w:rPr>
                <w:rFonts w:ascii="Cambria" w:eastAsia="Yu Mincho" w:hAnsi="Cambria"/>
                <w:b/>
                <w:bCs/>
                <w:i/>
                <w:iCs/>
                <w:sz w:val="20"/>
                <w:szCs w:val="20"/>
                <w:lang w:val="en-GB"/>
              </w:rPr>
            </w:pPr>
            <w:r w:rsidRPr="0091043E">
              <w:rPr>
                <w:rFonts w:ascii="Cambria" w:hAnsi="Cambria"/>
                <w:b/>
                <w:bCs/>
                <w:i/>
                <w:iCs/>
                <w:sz w:val="20"/>
                <w:szCs w:val="20"/>
              </w:rPr>
              <w:t>Comments by Türkiye</w:t>
            </w:r>
          </w:p>
        </w:tc>
        <w:tc>
          <w:tcPr>
            <w:tcW w:w="2659" w:type="dxa"/>
          </w:tcPr>
          <w:p w14:paraId="19E10B02" w14:textId="1B679F93" w:rsidR="0091043E" w:rsidRPr="0091043E" w:rsidRDefault="005E1340" w:rsidP="005E1340">
            <w:pPr>
              <w:spacing w:after="0" w:line="240" w:lineRule="auto"/>
              <w:ind w:left="23"/>
              <w:jc w:val="center"/>
              <w:rPr>
                <w:rFonts w:ascii="Cambria" w:eastAsia="Yu Mincho" w:hAnsi="Cambria"/>
                <w:b/>
                <w:bCs/>
                <w:i/>
                <w:iCs/>
                <w:sz w:val="20"/>
                <w:szCs w:val="20"/>
                <w:lang w:val="en-GB"/>
              </w:rPr>
            </w:pPr>
            <w:r w:rsidRPr="005E1340">
              <w:rPr>
                <w:rFonts w:ascii="Cambria" w:eastAsia="Yu Mincho" w:hAnsi="Cambria"/>
                <w:b/>
                <w:bCs/>
                <w:i/>
                <w:iCs/>
                <w:sz w:val="20"/>
                <w:szCs w:val="20"/>
                <w:lang w:val="en-GB"/>
              </w:rPr>
              <w:t>Comments by Japan</w:t>
            </w:r>
          </w:p>
        </w:tc>
      </w:tr>
      <w:tr w:rsidR="0091043E" w:rsidRPr="00CF3762" w14:paraId="4B410EED" w14:textId="3BE034C4" w:rsidTr="009B4EE5">
        <w:trPr>
          <w:trHeight w:val="142"/>
        </w:trPr>
        <w:tc>
          <w:tcPr>
            <w:tcW w:w="1849" w:type="dxa"/>
          </w:tcPr>
          <w:p w14:paraId="704555A9" w14:textId="6F8DA79B" w:rsidR="0091043E" w:rsidRPr="00F17333" w:rsidRDefault="0091043E" w:rsidP="0091043E">
            <w:pPr>
              <w:spacing w:after="0" w:line="240" w:lineRule="auto"/>
              <w:contextualSpacing/>
              <w:rPr>
                <w:rFonts w:ascii="Cambria" w:eastAsia="Yu Mincho" w:hAnsi="Cambria"/>
                <w:b/>
                <w:bCs/>
                <w:sz w:val="20"/>
                <w:szCs w:val="20"/>
                <w:lang w:val="en-GB"/>
              </w:rPr>
            </w:pPr>
            <w:r w:rsidRPr="00F17333">
              <w:rPr>
                <w:rFonts w:ascii="Cambria" w:eastAsia="Yu Mincho" w:hAnsi="Cambria"/>
                <w:b/>
                <w:bCs/>
                <w:sz w:val="20"/>
                <w:szCs w:val="20"/>
                <w:lang w:val="en-GB"/>
              </w:rPr>
              <w:t>1. BFT Caging Reports</w:t>
            </w:r>
          </w:p>
        </w:tc>
        <w:tc>
          <w:tcPr>
            <w:tcW w:w="4069" w:type="dxa"/>
          </w:tcPr>
          <w:p w14:paraId="716DF887" w14:textId="77777777" w:rsidR="0091043E" w:rsidRPr="00F17333" w:rsidRDefault="0091043E" w:rsidP="0091043E">
            <w:pPr>
              <w:pStyle w:val="BodyText"/>
              <w:spacing w:line="256" w:lineRule="auto"/>
              <w:ind w:right="132"/>
              <w:jc w:val="both"/>
              <w:rPr>
                <w:sz w:val="20"/>
                <w:szCs w:val="20"/>
              </w:rPr>
            </w:pPr>
            <w:r w:rsidRPr="00F17333">
              <w:rPr>
                <w:sz w:val="20"/>
                <w:szCs w:val="20"/>
              </w:rPr>
              <w:t>With regard to the deadlines and data reporting under requirements M:BFT02 and M:BFT04, it should be noted that following the adoption of Recommendation 21-08, which replaced Recommendation 06-07, there is no longer a specific deadline for reporting caging and farming data.</w:t>
            </w:r>
          </w:p>
          <w:p w14:paraId="22E43520" w14:textId="77777777" w:rsidR="0091043E" w:rsidRPr="00F17333" w:rsidRDefault="0091043E" w:rsidP="0091043E">
            <w:pPr>
              <w:pStyle w:val="BodyText"/>
              <w:spacing w:line="256" w:lineRule="auto"/>
              <w:ind w:left="720" w:right="132"/>
              <w:jc w:val="both"/>
              <w:rPr>
                <w:sz w:val="20"/>
                <w:szCs w:val="20"/>
              </w:rPr>
            </w:pPr>
          </w:p>
          <w:p w14:paraId="27D6DDA0" w14:textId="14592836" w:rsidR="0091043E" w:rsidRPr="00F17333" w:rsidRDefault="0091043E" w:rsidP="0091043E">
            <w:pPr>
              <w:pStyle w:val="BodyText"/>
              <w:spacing w:line="256" w:lineRule="auto"/>
              <w:ind w:right="132"/>
              <w:jc w:val="both"/>
              <w:rPr>
                <w:sz w:val="20"/>
                <w:szCs w:val="20"/>
              </w:rPr>
            </w:pPr>
            <w:r w:rsidRPr="00F17333">
              <w:rPr>
                <w:sz w:val="20"/>
                <w:szCs w:val="20"/>
              </w:rPr>
              <w:t xml:space="preserve">According to the </w:t>
            </w:r>
            <w:r w:rsidRPr="00F17333">
              <w:rPr>
                <w:i/>
                <w:iCs/>
                <w:sz w:val="20"/>
                <w:szCs w:val="20"/>
              </w:rPr>
              <w:t>Recommendation by ICCAT amending the Recommendation 22-08 establishing a multi-annual management plan for bluefin tuna in the eastern Atlantic and the Mediterranean</w:t>
            </w:r>
            <w:r w:rsidRPr="00F17333">
              <w:rPr>
                <w:sz w:val="20"/>
                <w:szCs w:val="20"/>
              </w:rPr>
              <w:t xml:space="preserve"> (Rec. 24-05), paragraphs 24 and 188:</w:t>
            </w:r>
          </w:p>
          <w:p w14:paraId="79010429" w14:textId="77777777" w:rsidR="0091043E" w:rsidRPr="00F17333" w:rsidRDefault="0091043E" w:rsidP="0091043E">
            <w:pPr>
              <w:pStyle w:val="BodyText"/>
              <w:spacing w:line="256" w:lineRule="auto"/>
              <w:ind w:right="132"/>
              <w:jc w:val="both"/>
              <w:rPr>
                <w:sz w:val="20"/>
                <w:szCs w:val="20"/>
              </w:rPr>
            </w:pPr>
          </w:p>
          <w:p w14:paraId="64EAC5B0" w14:textId="77777777" w:rsidR="0091043E" w:rsidRDefault="0091043E" w:rsidP="0091043E">
            <w:pPr>
              <w:pStyle w:val="BodyText"/>
              <w:spacing w:line="256" w:lineRule="auto"/>
              <w:ind w:right="132"/>
              <w:jc w:val="both"/>
              <w:rPr>
                <w:rFonts w:cs="Times New Roman"/>
                <w:sz w:val="20"/>
                <w:szCs w:val="20"/>
              </w:rPr>
            </w:pPr>
            <w:r w:rsidRPr="00F17333">
              <w:rPr>
                <w:sz w:val="20"/>
                <w:szCs w:val="20"/>
              </w:rPr>
              <w:t>“</w:t>
            </w:r>
            <w:r w:rsidRPr="00F17333">
              <w:rPr>
                <w:rFonts w:cs="Times New Roman"/>
                <w:sz w:val="20"/>
                <w:szCs w:val="20"/>
              </w:rPr>
              <w:t>24.The ICCAT Secretariat shall compile statistics on the annual amount of caging (input of wild caught fish), harvesting, and export, by farm CPC, using the data in the eBCD system. The Standing Catch Document Scheme Working Group (CDS WG) shall consider the development of such a data extraction functionality, and until such functionality becomes available each farm CPC shall report these statistics to the ICCAT Secretariat. These statistics shall be made available on the ICCAT website subject to confidentiality requirements.</w:t>
            </w:r>
          </w:p>
          <w:p w14:paraId="0454BC14" w14:textId="4CF8192E" w:rsidR="0091043E" w:rsidRDefault="0091043E" w:rsidP="0091043E">
            <w:pPr>
              <w:pStyle w:val="BodyText"/>
              <w:spacing w:line="256" w:lineRule="auto"/>
              <w:ind w:right="132"/>
              <w:jc w:val="both"/>
              <w:rPr>
                <w:rFonts w:cs="Times New Roman"/>
                <w:sz w:val="20"/>
                <w:szCs w:val="20"/>
              </w:rPr>
            </w:pPr>
            <w:r w:rsidRPr="00F17333">
              <w:rPr>
                <w:rFonts w:cs="Times New Roman"/>
                <w:sz w:val="20"/>
                <w:szCs w:val="20"/>
              </w:rPr>
              <w:t>[…]</w:t>
            </w:r>
          </w:p>
          <w:p w14:paraId="4B185190" w14:textId="77777777" w:rsidR="0091043E" w:rsidRPr="00F17333" w:rsidRDefault="0091043E" w:rsidP="0091043E">
            <w:pPr>
              <w:pStyle w:val="BodyText"/>
              <w:spacing w:line="256" w:lineRule="auto"/>
              <w:ind w:right="132"/>
              <w:jc w:val="both"/>
              <w:rPr>
                <w:rFonts w:cs="Times New Roman"/>
                <w:sz w:val="20"/>
                <w:szCs w:val="20"/>
              </w:rPr>
            </w:pPr>
          </w:p>
          <w:p w14:paraId="41BFF12E" w14:textId="77777777" w:rsidR="0091043E" w:rsidRPr="00F17333" w:rsidRDefault="0091043E" w:rsidP="0091043E">
            <w:pPr>
              <w:pStyle w:val="BodyText"/>
              <w:spacing w:line="256" w:lineRule="auto"/>
              <w:ind w:right="132"/>
              <w:jc w:val="both"/>
              <w:rPr>
                <w:rFonts w:cs="Times New Roman"/>
                <w:b/>
                <w:bCs/>
                <w:sz w:val="20"/>
                <w:szCs w:val="20"/>
              </w:rPr>
            </w:pPr>
            <w:r w:rsidRPr="00F17333">
              <w:rPr>
                <w:rFonts w:cs="Times New Roman"/>
                <w:b/>
                <w:bCs/>
                <w:sz w:val="20"/>
                <w:szCs w:val="20"/>
              </w:rPr>
              <w:lastRenderedPageBreak/>
              <w:t>Caging report</w:t>
            </w:r>
          </w:p>
          <w:p w14:paraId="7B94481A" w14:textId="77777777" w:rsidR="0091043E" w:rsidRPr="00CF1E7A" w:rsidRDefault="0091043E" w:rsidP="0091043E">
            <w:pPr>
              <w:pStyle w:val="BodyText"/>
              <w:spacing w:line="256" w:lineRule="auto"/>
              <w:ind w:right="132"/>
              <w:jc w:val="both"/>
              <w:rPr>
                <w:rFonts w:cs="Times New Roman"/>
                <w:sz w:val="8"/>
                <w:szCs w:val="8"/>
              </w:rPr>
            </w:pPr>
          </w:p>
          <w:p w14:paraId="029EF7D9" w14:textId="12F5BF3F" w:rsidR="0091043E" w:rsidRPr="00F17333" w:rsidRDefault="0091043E" w:rsidP="0091043E">
            <w:pPr>
              <w:pStyle w:val="BodyText"/>
              <w:spacing w:line="256" w:lineRule="auto"/>
              <w:ind w:right="132"/>
              <w:jc w:val="both"/>
              <w:rPr>
                <w:sz w:val="20"/>
                <w:szCs w:val="20"/>
              </w:rPr>
            </w:pPr>
            <w:r w:rsidRPr="00F17333">
              <w:rPr>
                <w:rFonts w:cs="Times New Roman"/>
                <w:sz w:val="20"/>
                <w:szCs w:val="20"/>
              </w:rPr>
              <w:t>188.Within 15 days after the completion of the release orders, the farm CPC competent authority shall issue a caging report for each single caging operation, or in the case of a JFO or traps of the same CPC/EU Member State, for the complete set of caging operations related to that JFO or those traps. The caging report shall include the information referred to in Annex 9 paragraph 3 and be communicated to the catching flag or trap CPC competent authority and to the ICCAT Secretariat</w:t>
            </w:r>
            <w:r w:rsidRPr="00F17333">
              <w:rPr>
                <w:sz w:val="20"/>
                <w:szCs w:val="20"/>
              </w:rPr>
              <w:t>.”</w:t>
            </w:r>
          </w:p>
          <w:p w14:paraId="7BA314D3" w14:textId="77777777" w:rsidR="0091043E" w:rsidRPr="00CF1E7A" w:rsidRDefault="0091043E" w:rsidP="0091043E">
            <w:pPr>
              <w:pStyle w:val="BodyText"/>
              <w:spacing w:before="4"/>
              <w:ind w:firstLine="720"/>
              <w:jc w:val="both"/>
              <w:rPr>
                <w:sz w:val="8"/>
                <w:szCs w:val="8"/>
              </w:rPr>
            </w:pPr>
          </w:p>
          <w:p w14:paraId="64997407" w14:textId="77777777" w:rsidR="0091043E" w:rsidRPr="00F17333" w:rsidRDefault="0091043E" w:rsidP="0091043E">
            <w:pPr>
              <w:pStyle w:val="BodyText"/>
              <w:spacing w:before="4"/>
              <w:jc w:val="both"/>
              <w:rPr>
                <w:sz w:val="20"/>
                <w:szCs w:val="20"/>
              </w:rPr>
            </w:pPr>
            <w:r w:rsidRPr="00F17333">
              <w:rPr>
                <w:sz w:val="20"/>
                <w:szCs w:val="20"/>
              </w:rPr>
              <w:t>The Secretariat considers that M:BFT02 and M:BFT04 represent related but distinct reporting requirements:</w:t>
            </w:r>
          </w:p>
          <w:p w14:paraId="6E051BD6" w14:textId="77777777" w:rsidR="0091043E" w:rsidRPr="00CF1E7A" w:rsidRDefault="0091043E" w:rsidP="0091043E">
            <w:pPr>
              <w:pStyle w:val="BodyText"/>
              <w:spacing w:before="4"/>
              <w:ind w:left="360"/>
              <w:jc w:val="both"/>
              <w:rPr>
                <w:sz w:val="8"/>
                <w:szCs w:val="8"/>
              </w:rPr>
            </w:pPr>
          </w:p>
          <w:p w14:paraId="5509E524" w14:textId="36BFE910" w:rsidR="0091043E" w:rsidRDefault="0091043E" w:rsidP="0091043E">
            <w:pPr>
              <w:pStyle w:val="BodyText"/>
              <w:numPr>
                <w:ilvl w:val="0"/>
                <w:numId w:val="6"/>
              </w:numPr>
              <w:spacing w:before="4"/>
              <w:jc w:val="both"/>
              <w:rPr>
                <w:sz w:val="20"/>
                <w:szCs w:val="20"/>
              </w:rPr>
            </w:pPr>
            <w:r w:rsidRPr="00F17333">
              <w:rPr>
                <w:sz w:val="20"/>
                <w:szCs w:val="20"/>
              </w:rPr>
              <w:t>M:BFT04 - Bluefin tuna caging report, refers solely to caging information, which includes both release and subsequent caging operations or caging alone where no release takes place. The deadline is explicitly stated as 15 days after the completion of the release, or if there is no release, it implies 15 days after the caging operation.</w:t>
            </w:r>
          </w:p>
          <w:p w14:paraId="011577B8" w14:textId="525A3D01" w:rsidR="0091043E" w:rsidRPr="00F17333" w:rsidRDefault="0091043E" w:rsidP="0091043E">
            <w:pPr>
              <w:pStyle w:val="BodyText"/>
              <w:numPr>
                <w:ilvl w:val="0"/>
                <w:numId w:val="6"/>
              </w:numPr>
              <w:spacing w:before="4"/>
              <w:jc w:val="both"/>
              <w:rPr>
                <w:rFonts w:eastAsia="Times New Roman"/>
                <w:sz w:val="20"/>
                <w:szCs w:val="20"/>
              </w:rPr>
            </w:pPr>
            <w:r w:rsidRPr="00F17333">
              <w:rPr>
                <w:sz w:val="20"/>
                <w:szCs w:val="20"/>
              </w:rPr>
              <w:t>M:BFT02 - Bluefin tuna farming reports, refers to other farming activities within the farm, such as intra-farm transfers, carry-over, harvests, etc., as listed in the CP09 form events table. These are not explicitly covered by the current Recommendation with a defined deadline.</w:t>
            </w:r>
          </w:p>
        </w:tc>
        <w:tc>
          <w:tcPr>
            <w:tcW w:w="2842" w:type="dxa"/>
          </w:tcPr>
          <w:p w14:paraId="6548EABD" w14:textId="77777777" w:rsidR="0091043E" w:rsidRPr="00F17333" w:rsidRDefault="0091043E" w:rsidP="0091043E">
            <w:pPr>
              <w:spacing w:after="0" w:line="240" w:lineRule="auto"/>
              <w:jc w:val="both"/>
              <w:rPr>
                <w:rFonts w:ascii="Cambria" w:eastAsia="Yu Mincho" w:hAnsi="Cambria"/>
                <w:sz w:val="20"/>
                <w:szCs w:val="20"/>
                <w:lang w:val="en-GB"/>
              </w:rPr>
            </w:pPr>
            <w:r w:rsidRPr="00F17333">
              <w:rPr>
                <w:rFonts w:ascii="Cambria" w:eastAsia="Yu Mincho" w:hAnsi="Cambria"/>
                <w:sz w:val="20"/>
                <w:szCs w:val="20"/>
                <w:lang w:val="en-GB"/>
              </w:rPr>
              <w:lastRenderedPageBreak/>
              <w:t xml:space="preserve">While the ICCAT website currently indicates a deadline for M:BFT02, this may seem vague or redundant, as caging and release operations are already addressed under M:BFT04. The lack of a clearly defined deadline in the current Recommendation could lead to confusion. </w:t>
            </w:r>
          </w:p>
          <w:p w14:paraId="079BAACC" w14:textId="77777777" w:rsidR="0091043E" w:rsidRPr="00F17333" w:rsidRDefault="0091043E" w:rsidP="0091043E">
            <w:pPr>
              <w:spacing w:after="0" w:line="240" w:lineRule="auto"/>
              <w:jc w:val="both"/>
              <w:rPr>
                <w:rFonts w:ascii="Cambria" w:eastAsia="Yu Mincho" w:hAnsi="Cambria"/>
                <w:sz w:val="20"/>
                <w:szCs w:val="20"/>
                <w:lang w:val="en-GB"/>
              </w:rPr>
            </w:pPr>
          </w:p>
          <w:p w14:paraId="7060A69D" w14:textId="2BFDC71A" w:rsidR="0091043E" w:rsidRPr="00F17333" w:rsidRDefault="0091043E" w:rsidP="0091043E">
            <w:pPr>
              <w:spacing w:after="0" w:line="240" w:lineRule="auto"/>
              <w:jc w:val="both"/>
              <w:rPr>
                <w:rFonts w:ascii="Cambria" w:eastAsia="Times New Roman" w:hAnsi="Cambria"/>
                <w:sz w:val="20"/>
                <w:szCs w:val="20"/>
                <w:lang w:val="en-GB"/>
              </w:rPr>
            </w:pPr>
            <w:r w:rsidRPr="00F17333">
              <w:rPr>
                <w:rFonts w:ascii="Cambria" w:eastAsia="Yu Mincho" w:hAnsi="Cambria"/>
                <w:sz w:val="20"/>
                <w:szCs w:val="20"/>
                <w:lang w:val="en-GB"/>
              </w:rPr>
              <w:t>The Secretariat should be grateful if the Permanent Working Group for the Improvement of ICCAT Statistics and Conservation Measures (PWG) and/or Panel 2 should provide guidance on clarifying the specific data required for each requirement, and on establishing an explicit deadline for these additional operations in the new BFTE Recommendation to be developed this year.</w:t>
            </w:r>
          </w:p>
        </w:tc>
        <w:tc>
          <w:tcPr>
            <w:tcW w:w="2659" w:type="dxa"/>
          </w:tcPr>
          <w:p w14:paraId="7B952E8F" w14:textId="6978BCD4" w:rsidR="0091043E" w:rsidRPr="00F17333" w:rsidRDefault="0091043E" w:rsidP="0091043E">
            <w:pPr>
              <w:spacing w:after="0" w:line="240" w:lineRule="auto"/>
              <w:jc w:val="both"/>
              <w:rPr>
                <w:rFonts w:ascii="Cambria" w:eastAsia="Yu Mincho" w:hAnsi="Cambria"/>
                <w:sz w:val="20"/>
                <w:szCs w:val="20"/>
                <w:lang w:val="en-GB"/>
              </w:rPr>
            </w:pPr>
            <w:r w:rsidRPr="0091043E">
              <w:rPr>
                <w:rFonts w:ascii="Cambria" w:eastAsia="Yu Mincho" w:hAnsi="Cambria"/>
                <w:sz w:val="20"/>
                <w:szCs w:val="20"/>
                <w:lang w:val="en-GB"/>
              </w:rPr>
              <w:t>Türkiye supports the definition of a deadline for reporting caging and farming data as implemented in the former recommendations.</w:t>
            </w:r>
            <w:r w:rsidRPr="0091043E">
              <w:rPr>
                <w:lang w:val="en-US"/>
              </w:rPr>
              <w:t xml:space="preserve"> </w:t>
            </w:r>
          </w:p>
        </w:tc>
        <w:tc>
          <w:tcPr>
            <w:tcW w:w="2659" w:type="dxa"/>
          </w:tcPr>
          <w:p w14:paraId="23551EEB" w14:textId="77777777" w:rsidR="0091043E" w:rsidRPr="00F17333" w:rsidRDefault="0091043E" w:rsidP="0091043E">
            <w:pPr>
              <w:spacing w:after="0" w:line="240" w:lineRule="auto"/>
              <w:jc w:val="both"/>
              <w:rPr>
                <w:rFonts w:ascii="Cambria" w:eastAsia="Yu Mincho" w:hAnsi="Cambria"/>
                <w:sz w:val="20"/>
                <w:szCs w:val="20"/>
                <w:lang w:val="en-GB"/>
              </w:rPr>
            </w:pPr>
          </w:p>
        </w:tc>
      </w:tr>
      <w:tr w:rsidR="004C4BC4" w:rsidRPr="00CF3762" w14:paraId="27C6A7D7" w14:textId="4C0C39E2" w:rsidTr="009B4EE5">
        <w:trPr>
          <w:trHeight w:val="8007"/>
        </w:trPr>
        <w:tc>
          <w:tcPr>
            <w:tcW w:w="1849" w:type="dxa"/>
          </w:tcPr>
          <w:p w14:paraId="33C94C1D" w14:textId="209437B3" w:rsidR="004C4BC4" w:rsidRPr="00F17333" w:rsidRDefault="004C4BC4" w:rsidP="009F098C">
            <w:pPr>
              <w:spacing w:after="0" w:line="240" w:lineRule="auto"/>
              <w:contextualSpacing/>
              <w:rPr>
                <w:rFonts w:ascii="Cambria" w:eastAsia="Yu Mincho" w:hAnsi="Cambria"/>
                <w:b/>
                <w:bCs/>
                <w:sz w:val="20"/>
                <w:szCs w:val="20"/>
                <w:lang w:val="en-GB"/>
              </w:rPr>
            </w:pPr>
            <w:r w:rsidRPr="00F17333">
              <w:rPr>
                <w:rFonts w:ascii="Cambria" w:eastAsia="Yu Mincho" w:hAnsi="Cambria"/>
                <w:b/>
                <w:bCs/>
                <w:sz w:val="20"/>
                <w:szCs w:val="20"/>
                <w:lang w:val="en-GB"/>
              </w:rPr>
              <w:lastRenderedPageBreak/>
              <w:t>2. BFT quotas for catching vessels over 24 m</w:t>
            </w:r>
          </w:p>
          <w:p w14:paraId="4C79CCE0" w14:textId="77777777" w:rsidR="004C4BC4" w:rsidRPr="00F17333" w:rsidRDefault="004C4BC4" w:rsidP="009F098C">
            <w:pPr>
              <w:spacing w:after="0" w:line="240" w:lineRule="auto"/>
              <w:contextualSpacing/>
              <w:rPr>
                <w:rFonts w:ascii="Cambria" w:eastAsia="Yu Mincho" w:hAnsi="Cambria"/>
                <w:b/>
                <w:bCs/>
                <w:sz w:val="20"/>
                <w:szCs w:val="20"/>
                <w:lang w:val="en-GB"/>
              </w:rPr>
            </w:pPr>
          </w:p>
        </w:tc>
        <w:tc>
          <w:tcPr>
            <w:tcW w:w="4069" w:type="dxa"/>
          </w:tcPr>
          <w:p w14:paraId="6D015D96" w14:textId="1BB4B614" w:rsidR="004C4BC4" w:rsidRPr="00F17333" w:rsidRDefault="004C4BC4" w:rsidP="00110E4E">
            <w:pPr>
              <w:spacing w:after="0" w:line="240" w:lineRule="auto"/>
              <w:jc w:val="both"/>
              <w:rPr>
                <w:rFonts w:ascii="Cambria" w:eastAsia="Yu Mincho" w:hAnsi="Cambria"/>
                <w:sz w:val="20"/>
                <w:szCs w:val="20"/>
                <w:lang w:val="en-GB"/>
              </w:rPr>
            </w:pPr>
            <w:r w:rsidRPr="00F17333">
              <w:rPr>
                <w:rFonts w:ascii="Cambria" w:hAnsi="Cambria"/>
                <w:sz w:val="20"/>
                <w:szCs w:val="20"/>
                <w:lang w:val="en-GB"/>
              </w:rPr>
              <w:t xml:space="preserve">According to the </w:t>
            </w:r>
            <w:r w:rsidRPr="00F17333">
              <w:rPr>
                <w:rFonts w:ascii="Cambria" w:hAnsi="Cambria"/>
                <w:i/>
                <w:iCs/>
                <w:sz w:val="20"/>
                <w:szCs w:val="20"/>
                <w:lang w:val="en-GB"/>
              </w:rPr>
              <w:t>Recommendation by ICCAT amending the Recommendation 22-08 establishing a multi-annual management plan for bluefin tuna in the eastern Atlantic and the Mediterranean</w:t>
            </w:r>
            <w:r w:rsidRPr="00F17333">
              <w:rPr>
                <w:rFonts w:ascii="Cambria" w:hAnsi="Cambria"/>
                <w:sz w:val="20"/>
                <w:szCs w:val="20"/>
                <w:lang w:val="en-GB"/>
              </w:rPr>
              <w:t xml:space="preserve"> </w:t>
            </w:r>
            <w:r>
              <w:rPr>
                <w:rFonts w:ascii="Cambria" w:hAnsi="Cambria"/>
                <w:sz w:val="20"/>
                <w:szCs w:val="20"/>
                <w:lang w:val="en-GB"/>
              </w:rPr>
              <w:t>(</w:t>
            </w:r>
            <w:r w:rsidRPr="00F17333">
              <w:rPr>
                <w:rFonts w:ascii="Cambria" w:hAnsi="Cambria"/>
                <w:sz w:val="20"/>
                <w:szCs w:val="20"/>
                <w:lang w:val="en-GB"/>
              </w:rPr>
              <w:t>Rec. 24-05</w:t>
            </w:r>
            <w:r>
              <w:rPr>
                <w:rFonts w:ascii="Cambria" w:hAnsi="Cambria"/>
                <w:sz w:val="20"/>
                <w:szCs w:val="20"/>
                <w:lang w:val="en-GB"/>
              </w:rPr>
              <w:t>)</w:t>
            </w:r>
            <w:r w:rsidRPr="00F17333">
              <w:rPr>
                <w:rFonts w:ascii="Cambria" w:hAnsi="Cambria"/>
                <w:sz w:val="20"/>
                <w:szCs w:val="20"/>
                <w:lang w:val="en-GB"/>
              </w:rPr>
              <w:t>, paragraph</w:t>
            </w:r>
            <w:r w:rsidRPr="00F17333">
              <w:rPr>
                <w:rFonts w:ascii="Cambria" w:eastAsia="Yu Mincho" w:hAnsi="Cambria"/>
                <w:sz w:val="20"/>
                <w:szCs w:val="20"/>
                <w:lang w:val="en-GB"/>
              </w:rPr>
              <w:t xml:space="preserve"> 3:</w:t>
            </w:r>
          </w:p>
          <w:p w14:paraId="7EFE58FD" w14:textId="77777777" w:rsidR="004C4BC4" w:rsidRPr="00F17333" w:rsidRDefault="004C4BC4" w:rsidP="00110E4E">
            <w:pPr>
              <w:spacing w:after="0" w:line="240" w:lineRule="auto"/>
              <w:jc w:val="both"/>
              <w:rPr>
                <w:rFonts w:ascii="Cambria" w:eastAsia="Yu Mincho" w:hAnsi="Cambria"/>
                <w:sz w:val="20"/>
                <w:szCs w:val="20"/>
                <w:lang w:val="en-GB"/>
              </w:rPr>
            </w:pPr>
          </w:p>
          <w:p w14:paraId="6472C144" w14:textId="677A51A4" w:rsidR="004C4BC4" w:rsidRDefault="004C4BC4" w:rsidP="00110E4E">
            <w:pPr>
              <w:spacing w:after="0" w:line="240" w:lineRule="auto"/>
              <w:jc w:val="both"/>
              <w:rPr>
                <w:rFonts w:ascii="Cambria" w:eastAsia="Yu Mincho" w:hAnsi="Cambria"/>
                <w:sz w:val="20"/>
                <w:szCs w:val="20"/>
                <w:lang w:val="en-GB"/>
              </w:rPr>
            </w:pPr>
            <w:r w:rsidRPr="008A0C12">
              <w:rPr>
                <w:rFonts w:ascii="Cambria" w:eastAsia="Yu Mincho" w:hAnsi="Cambria"/>
                <w:sz w:val="20"/>
                <w:szCs w:val="20"/>
                <w:lang w:val="en-GB"/>
              </w:rPr>
              <w:t>“3. 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48 a) of this Recommendation.”</w:t>
            </w:r>
          </w:p>
          <w:p w14:paraId="76D46BA9" w14:textId="77777777" w:rsidR="004C4BC4" w:rsidRPr="00F17333" w:rsidRDefault="004C4BC4" w:rsidP="00110E4E">
            <w:pPr>
              <w:spacing w:after="0" w:line="240" w:lineRule="auto"/>
              <w:jc w:val="both"/>
              <w:rPr>
                <w:rFonts w:ascii="Cambria" w:eastAsia="Yu Mincho" w:hAnsi="Cambria"/>
                <w:sz w:val="20"/>
                <w:szCs w:val="20"/>
                <w:lang w:val="en-GB"/>
              </w:rPr>
            </w:pPr>
          </w:p>
          <w:p w14:paraId="33E50C61" w14:textId="11451D7D" w:rsidR="004C4BC4" w:rsidRPr="00F17333" w:rsidRDefault="004C4BC4" w:rsidP="00110E4E">
            <w:pPr>
              <w:spacing w:after="0" w:line="240" w:lineRule="auto"/>
              <w:jc w:val="both"/>
              <w:rPr>
                <w:rFonts w:ascii="Cambria" w:eastAsia="Yu Mincho" w:hAnsi="Cambria"/>
                <w:sz w:val="20"/>
                <w:szCs w:val="20"/>
                <w:lang w:val="en-GB"/>
              </w:rPr>
            </w:pPr>
            <w:r w:rsidRPr="00F17333">
              <w:rPr>
                <w:rFonts w:ascii="Cambria" w:eastAsia="Yu Mincho" w:hAnsi="Cambria"/>
                <w:sz w:val="20"/>
                <w:szCs w:val="20"/>
                <w:lang w:val="en-GB"/>
              </w:rPr>
              <w:t>In light of the above, the Secretariat interprets that all catching vessels over 24 m in length overall (LOA) fishing actively for bluefin tuna, meaning those that target bluefin tuna during a given fishing season and are therefore active in the ICCAT Record of BFT Catching Vessels, must have a valid quota assigned, which should not be null or equal to zero.</w:t>
            </w:r>
            <w:r>
              <w:rPr>
                <w:rFonts w:ascii="Cambria" w:eastAsia="Yu Mincho" w:hAnsi="Cambria"/>
                <w:sz w:val="20"/>
                <w:szCs w:val="20"/>
                <w:lang w:val="en-GB"/>
              </w:rPr>
              <w:t xml:space="preserve"> </w:t>
            </w:r>
            <w:r w:rsidRPr="009444AF">
              <w:rPr>
                <w:rFonts w:ascii="Cambria" w:eastAsia="Yu Mincho" w:hAnsi="Cambria"/>
                <w:sz w:val="20"/>
                <w:szCs w:val="20"/>
                <w:lang w:val="en-GB"/>
              </w:rPr>
              <w:t>The latter may have implications, particularly given the interconnections with other systems linked to the Record of Vessels, such as the eBCD.</w:t>
            </w:r>
          </w:p>
          <w:p w14:paraId="407A7B0C" w14:textId="77777777" w:rsidR="004C4BC4" w:rsidRPr="00F17333" w:rsidRDefault="004C4BC4" w:rsidP="00110E4E">
            <w:pPr>
              <w:spacing w:after="0" w:line="240" w:lineRule="auto"/>
              <w:jc w:val="both"/>
              <w:rPr>
                <w:rFonts w:ascii="Cambria" w:eastAsia="Yu Mincho" w:hAnsi="Cambria"/>
                <w:sz w:val="20"/>
                <w:szCs w:val="20"/>
                <w:lang w:val="en-GB"/>
              </w:rPr>
            </w:pPr>
          </w:p>
          <w:p w14:paraId="7FDBE92F" w14:textId="77777777" w:rsidR="004C4BC4" w:rsidRPr="00F17333" w:rsidRDefault="004C4BC4" w:rsidP="00110E4E">
            <w:pPr>
              <w:spacing w:after="0" w:line="240" w:lineRule="auto"/>
              <w:contextualSpacing/>
              <w:jc w:val="both"/>
              <w:rPr>
                <w:rFonts w:ascii="Cambria" w:eastAsia="Yu Mincho" w:hAnsi="Cambria"/>
                <w:sz w:val="20"/>
                <w:szCs w:val="20"/>
                <w:lang w:val="en-GB"/>
              </w:rPr>
            </w:pPr>
            <w:r w:rsidRPr="00F17333">
              <w:rPr>
                <w:rFonts w:ascii="Cambria" w:eastAsia="Yu Mincho" w:hAnsi="Cambria"/>
                <w:sz w:val="20"/>
                <w:szCs w:val="20"/>
                <w:lang w:val="en-GB"/>
              </w:rPr>
              <w:t>However, some CPCs have requested that the Secretariat maintain in the aforementioned list vessels whose quota is equal to zero.</w:t>
            </w:r>
          </w:p>
          <w:p w14:paraId="54F2FF7E" w14:textId="7518A6B9" w:rsidR="004C4BC4" w:rsidRPr="00F17333" w:rsidRDefault="004C4BC4" w:rsidP="00110E4E">
            <w:pPr>
              <w:spacing w:after="0" w:line="240" w:lineRule="auto"/>
              <w:contextualSpacing/>
              <w:jc w:val="both"/>
              <w:rPr>
                <w:rFonts w:ascii="Cambria" w:eastAsia="Times New Roman" w:hAnsi="Cambria"/>
                <w:sz w:val="20"/>
                <w:szCs w:val="20"/>
                <w:lang w:val="en-GB"/>
              </w:rPr>
            </w:pPr>
          </w:p>
        </w:tc>
        <w:tc>
          <w:tcPr>
            <w:tcW w:w="2842" w:type="dxa"/>
          </w:tcPr>
          <w:p w14:paraId="0937B3A5" w14:textId="1FAD648B" w:rsidR="004C4BC4" w:rsidRPr="00F17333" w:rsidRDefault="004C4BC4" w:rsidP="009F098C">
            <w:pPr>
              <w:spacing w:after="0" w:line="240" w:lineRule="auto"/>
              <w:jc w:val="both"/>
              <w:rPr>
                <w:rFonts w:ascii="Cambria" w:eastAsia="Times New Roman" w:hAnsi="Cambria"/>
                <w:sz w:val="20"/>
                <w:szCs w:val="20"/>
                <w:lang w:val="en-GB"/>
              </w:rPr>
            </w:pPr>
            <w:r w:rsidRPr="00F17333">
              <w:rPr>
                <w:rFonts w:ascii="Cambria" w:eastAsia="Yu Mincho" w:hAnsi="Cambria"/>
                <w:sz w:val="20"/>
                <w:szCs w:val="20"/>
                <w:lang w:val="en-GB"/>
              </w:rPr>
              <w:t>The Secretariat should be grateful if the Permanent Working Group for the Improvement of ICCAT Statistics and Conservation Measures (PWG) and/or Panel 2 should provide guidance on how to proceed and whether a null or zero quota is acceptable as an individual quota for catching vessels over 24 m.</w:t>
            </w:r>
          </w:p>
        </w:tc>
        <w:tc>
          <w:tcPr>
            <w:tcW w:w="2659" w:type="dxa"/>
          </w:tcPr>
          <w:p w14:paraId="2A6780F5" w14:textId="77777777" w:rsidR="004C4BC4" w:rsidRPr="00F17333" w:rsidRDefault="004C4BC4" w:rsidP="009F098C">
            <w:pPr>
              <w:spacing w:after="0" w:line="240" w:lineRule="auto"/>
              <w:jc w:val="both"/>
              <w:rPr>
                <w:rFonts w:ascii="Cambria" w:eastAsia="Yu Mincho" w:hAnsi="Cambria"/>
                <w:sz w:val="20"/>
                <w:szCs w:val="20"/>
                <w:lang w:val="en-GB"/>
              </w:rPr>
            </w:pPr>
          </w:p>
        </w:tc>
        <w:tc>
          <w:tcPr>
            <w:tcW w:w="2659" w:type="dxa"/>
          </w:tcPr>
          <w:p w14:paraId="45F7FCD2" w14:textId="77777777" w:rsidR="00CF1E7A" w:rsidRPr="00CF1E7A" w:rsidRDefault="00CF1E7A" w:rsidP="00CF1E7A">
            <w:pPr>
              <w:spacing w:after="0" w:line="240" w:lineRule="auto"/>
              <w:jc w:val="both"/>
              <w:rPr>
                <w:rFonts w:ascii="Cambria" w:eastAsia="Yu Mincho" w:hAnsi="Cambria"/>
                <w:sz w:val="20"/>
                <w:szCs w:val="20"/>
                <w:lang w:val="en-GB"/>
              </w:rPr>
            </w:pPr>
            <w:r w:rsidRPr="00CF1E7A">
              <w:rPr>
                <w:rFonts w:ascii="Cambria" w:eastAsia="Yu Mincho" w:hAnsi="Cambria"/>
                <w:sz w:val="20"/>
                <w:szCs w:val="20"/>
                <w:lang w:val="en-GB"/>
              </w:rPr>
              <w:t>Japan understands that although catching vessels shall be registered with valid quota in the ICCAT Record of BFT Catching vessels, the vessels can be retained in the Record even after the allocated quota is fully consumed or transferred in order for the vessels to receive future quota transfers.</w:t>
            </w:r>
          </w:p>
          <w:p w14:paraId="55AAE372" w14:textId="77777777" w:rsidR="00CF1E7A" w:rsidRPr="009B4EE5" w:rsidRDefault="00CF1E7A" w:rsidP="00CF1E7A">
            <w:pPr>
              <w:spacing w:after="0" w:line="240" w:lineRule="auto"/>
              <w:jc w:val="both"/>
              <w:rPr>
                <w:rFonts w:ascii="Cambria" w:eastAsia="Yu Mincho" w:hAnsi="Cambria"/>
                <w:sz w:val="4"/>
                <w:szCs w:val="4"/>
                <w:lang w:val="en-GB"/>
              </w:rPr>
            </w:pPr>
          </w:p>
          <w:p w14:paraId="0C1579E8" w14:textId="18C95C48" w:rsidR="004C4BC4" w:rsidRPr="009B4EE5" w:rsidRDefault="00CF1E7A" w:rsidP="009B4EE5">
            <w:pPr>
              <w:spacing w:after="0" w:line="240" w:lineRule="auto"/>
              <w:jc w:val="both"/>
              <w:rPr>
                <w:rFonts w:ascii="Cambria" w:eastAsia="Yu Mincho" w:hAnsi="Cambria"/>
                <w:sz w:val="19"/>
                <w:szCs w:val="19"/>
                <w:lang w:val="en-GB"/>
              </w:rPr>
            </w:pPr>
            <w:r w:rsidRPr="009B4EE5">
              <w:rPr>
                <w:rFonts w:ascii="Cambria" w:eastAsia="Yu Mincho" w:hAnsi="Cambria"/>
                <w:sz w:val="19"/>
                <w:szCs w:val="19"/>
                <w:lang w:val="en-GB"/>
              </w:rPr>
              <w:t>Japan designates, at the beginning of the fishing season, the vessels that will engage in BFT fishing for that year, in accordance with Paragraph 52 of Rec</w:t>
            </w:r>
            <w:r w:rsidR="00C15021">
              <w:rPr>
                <w:rFonts w:ascii="Cambria" w:eastAsia="Yu Mincho" w:hAnsi="Cambria"/>
                <w:sz w:val="19"/>
                <w:szCs w:val="19"/>
                <w:lang w:val="en-GB"/>
              </w:rPr>
              <w:t>.</w:t>
            </w:r>
            <w:r w:rsidRPr="009B4EE5">
              <w:rPr>
                <w:rFonts w:ascii="Cambria" w:eastAsia="Yu Mincho" w:hAnsi="Cambria"/>
                <w:sz w:val="19"/>
                <w:szCs w:val="19"/>
                <w:lang w:val="en-GB"/>
              </w:rPr>
              <w:t xml:space="preserve"> 24-05. All the vessels have valid quota</w:t>
            </w:r>
            <w:r w:rsidR="00AB11EB">
              <w:rPr>
                <w:rFonts w:ascii="Cambria" w:eastAsia="Yu Mincho" w:hAnsi="Cambria"/>
                <w:sz w:val="19"/>
                <w:szCs w:val="19"/>
                <w:lang w:val="en-GB"/>
              </w:rPr>
              <w:t>s</w:t>
            </w:r>
            <w:r w:rsidRPr="009B4EE5">
              <w:rPr>
                <w:rFonts w:ascii="Cambria" w:eastAsia="Yu Mincho" w:hAnsi="Cambria"/>
                <w:sz w:val="19"/>
                <w:szCs w:val="19"/>
                <w:lang w:val="en-GB"/>
              </w:rPr>
              <w:t>, however, some vessels may need to transfer their quota before the end of fishing campaign.  Since Paragraph 53 of Rec</w:t>
            </w:r>
            <w:r w:rsidR="00AB11EB">
              <w:rPr>
                <w:rFonts w:ascii="Cambria" w:eastAsia="Yu Mincho" w:hAnsi="Cambria"/>
                <w:sz w:val="19"/>
                <w:szCs w:val="19"/>
                <w:lang w:val="en-GB"/>
              </w:rPr>
              <w:t>.</w:t>
            </w:r>
            <w:r w:rsidRPr="009B4EE5">
              <w:rPr>
                <w:rFonts w:ascii="Cambria" w:eastAsia="Yu Mincho" w:hAnsi="Cambria"/>
                <w:sz w:val="19"/>
                <w:szCs w:val="19"/>
                <w:lang w:val="en-GB"/>
              </w:rPr>
              <w:t xml:space="preserve"> 24-05 restricts retroactive vessel registrations, recipient vessels must be registered before the beginning of the fishing activity. In some cases, the vessels which fully consumed/transferred their quota want to receive such transfer. Such vessels should be allowed to be listed in the Record even after having used up all the initial quota, i.e., zero quota.  </w:t>
            </w:r>
          </w:p>
        </w:tc>
      </w:tr>
    </w:tbl>
    <w:p w14:paraId="68EB6D5E" w14:textId="77777777" w:rsidR="009F098C" w:rsidRPr="0098385B" w:rsidRDefault="009F098C" w:rsidP="009B4EE5">
      <w:pPr>
        <w:rPr>
          <w:lang w:val="en-GB"/>
        </w:rPr>
      </w:pPr>
    </w:p>
    <w:sectPr w:rsidR="009F098C" w:rsidRPr="0098385B" w:rsidSect="005D76A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0EF1" w14:textId="77777777" w:rsidR="00D12CF7" w:rsidRDefault="00D12CF7" w:rsidP="008B0FC5">
      <w:pPr>
        <w:spacing w:after="0" w:line="240" w:lineRule="auto"/>
      </w:pPr>
      <w:r>
        <w:separator/>
      </w:r>
    </w:p>
  </w:endnote>
  <w:endnote w:type="continuationSeparator" w:id="0">
    <w:p w14:paraId="15A828A1" w14:textId="77777777" w:rsidR="00D12CF7" w:rsidRDefault="00D12CF7" w:rsidP="008B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15A9" w14:textId="77777777" w:rsidR="008B0FC5" w:rsidRDefault="008B0FC5">
    <w:pPr>
      <w:pStyle w:val="Footer"/>
      <w:jc w:val="right"/>
    </w:pPr>
  </w:p>
  <w:sdt>
    <w:sdtPr>
      <w:id w:val="-1898663564"/>
      <w:docPartObj>
        <w:docPartGallery w:val="Page Numbers (Bottom of Page)"/>
        <w:docPartUnique/>
      </w:docPartObj>
    </w:sdtPr>
    <w:sdtEndPr>
      <w:rPr>
        <w:rFonts w:ascii="Cambria" w:hAnsi="Cambria"/>
        <w:noProof/>
      </w:rPr>
    </w:sdtEndPr>
    <w:sdtContent>
      <w:p w14:paraId="1A25CADD" w14:textId="77777777" w:rsidR="008B0FC5" w:rsidRPr="00176CC7" w:rsidRDefault="008B0FC5" w:rsidP="0058615E">
        <w:pPr>
          <w:pStyle w:val="Footer"/>
          <w:rPr>
            <w:rFonts w:ascii="Cambria" w:hAnsi="Cambria"/>
          </w:rPr>
        </w:pPr>
        <w:r w:rsidRPr="00176CC7">
          <w:rPr>
            <w:rFonts w:ascii="Cambria" w:hAnsi="Cambria"/>
          </w:rPr>
          <w:fldChar w:fldCharType="begin"/>
        </w:r>
        <w:r w:rsidRPr="00176CC7">
          <w:rPr>
            <w:rFonts w:ascii="Cambria" w:hAnsi="Cambria"/>
          </w:rPr>
          <w:instrText xml:space="preserve"> PAGE   \* MERGEFORMAT </w:instrText>
        </w:r>
        <w:r w:rsidRPr="00176CC7">
          <w:rPr>
            <w:rFonts w:ascii="Cambria" w:hAnsi="Cambria"/>
          </w:rPr>
          <w:fldChar w:fldCharType="separate"/>
        </w:r>
        <w:r w:rsidRPr="00176CC7">
          <w:rPr>
            <w:rFonts w:ascii="Cambria" w:hAnsi="Cambria"/>
          </w:rPr>
          <w:t>257</w:t>
        </w:r>
        <w:r w:rsidRPr="00176CC7">
          <w:rPr>
            <w:rFonts w:ascii="Cambria" w:hAnsi="Cambria"/>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28E7" w14:textId="7FD13319" w:rsidR="008B0FC5" w:rsidRPr="00AD5CF4" w:rsidRDefault="00CF3762" w:rsidP="00AD5CF4">
    <w:pPr>
      <w:tabs>
        <w:tab w:val="center" w:pos="4535"/>
        <w:tab w:val="center" w:pos="4680"/>
        <w:tab w:val="left" w:pos="6150"/>
        <w:tab w:val="right" w:pos="9360"/>
      </w:tabs>
      <w:spacing w:after="0" w:line="240" w:lineRule="auto"/>
      <w:jc w:val="center"/>
      <w:rPr>
        <w:rFonts w:ascii="Cambria" w:eastAsia="Calibri" w:hAnsi="Cambria" w:cs="Calibri"/>
        <w:sz w:val="20"/>
        <w:szCs w:val="20"/>
        <w:lang w:val="en-US"/>
      </w:rPr>
    </w:pPr>
    <w:sdt>
      <w:sdtPr>
        <w:rPr>
          <w:rFonts w:ascii="Calibri" w:eastAsia="Calibri" w:hAnsi="Calibri" w:cs="Calibri"/>
          <w:sz w:val="20"/>
          <w:szCs w:val="20"/>
          <w:lang w:val="en-US"/>
        </w:rPr>
        <w:id w:val="-883554115"/>
        <w:docPartObj>
          <w:docPartGallery w:val="Page Numbers (Top of Page)"/>
          <w:docPartUnique/>
        </w:docPartObj>
      </w:sdtPr>
      <w:sdtEndPr/>
      <w:sdtContent>
        <w:r w:rsidR="00AD5CF4" w:rsidRPr="00AD5CF4">
          <w:rPr>
            <w:rFonts w:ascii="Cambria" w:eastAsia="Calibri" w:hAnsi="Cambria" w:cs="Calibri"/>
            <w:sz w:val="20"/>
            <w:szCs w:val="20"/>
            <w:lang w:val="en-US"/>
          </w:rPr>
          <w:fldChar w:fldCharType="begin"/>
        </w:r>
        <w:r w:rsidR="00AD5CF4" w:rsidRPr="00AD5CF4">
          <w:rPr>
            <w:rFonts w:ascii="Cambria" w:eastAsia="Calibri" w:hAnsi="Cambria" w:cs="Calibri"/>
            <w:sz w:val="20"/>
            <w:szCs w:val="20"/>
            <w:lang w:val="en-US"/>
          </w:rPr>
          <w:instrText xml:space="preserve"> PAGE </w:instrText>
        </w:r>
        <w:r w:rsidR="00AD5CF4" w:rsidRPr="00AD5CF4">
          <w:rPr>
            <w:rFonts w:ascii="Cambria" w:eastAsia="Calibri" w:hAnsi="Cambria" w:cs="Calibri"/>
            <w:sz w:val="20"/>
            <w:szCs w:val="20"/>
            <w:lang w:val="en-US"/>
          </w:rPr>
          <w:fldChar w:fldCharType="separate"/>
        </w:r>
        <w:r w:rsidR="00AD5CF4" w:rsidRPr="00AD5CF4">
          <w:rPr>
            <w:rFonts w:ascii="Cambria" w:eastAsia="Calibri" w:hAnsi="Cambria" w:cs="Calibri"/>
            <w:sz w:val="20"/>
            <w:szCs w:val="20"/>
            <w:lang w:val="en-US"/>
          </w:rPr>
          <w:t>1</w:t>
        </w:r>
        <w:r w:rsidR="00AD5CF4" w:rsidRPr="00AD5CF4">
          <w:rPr>
            <w:rFonts w:ascii="Cambria" w:eastAsia="Calibri" w:hAnsi="Cambria" w:cs="Calibri"/>
            <w:sz w:val="20"/>
            <w:szCs w:val="20"/>
            <w:lang w:val="en-US"/>
          </w:rPr>
          <w:fldChar w:fldCharType="end"/>
        </w:r>
        <w:r w:rsidR="00AD5CF4" w:rsidRPr="00AD5CF4">
          <w:rPr>
            <w:rFonts w:ascii="Cambria" w:eastAsia="Calibri" w:hAnsi="Cambria" w:cs="Calibri"/>
            <w:sz w:val="20"/>
            <w:szCs w:val="20"/>
            <w:lang w:val="en-US"/>
          </w:rPr>
          <w:t xml:space="preserve"> / </w:t>
        </w:r>
        <w:r w:rsidR="00AD5CF4" w:rsidRPr="00AD5CF4">
          <w:rPr>
            <w:rFonts w:ascii="Cambria" w:eastAsia="Calibri" w:hAnsi="Cambria" w:cs="Calibri"/>
            <w:sz w:val="20"/>
            <w:szCs w:val="20"/>
            <w:lang w:val="en-US"/>
          </w:rPr>
          <w:fldChar w:fldCharType="begin"/>
        </w:r>
        <w:r w:rsidR="00AD5CF4" w:rsidRPr="00AD5CF4">
          <w:rPr>
            <w:rFonts w:ascii="Cambria" w:eastAsia="Calibri" w:hAnsi="Cambria" w:cs="Calibri"/>
            <w:sz w:val="20"/>
            <w:szCs w:val="20"/>
            <w:lang w:val="en-US"/>
          </w:rPr>
          <w:instrText xml:space="preserve"> NUMPAGES  </w:instrText>
        </w:r>
        <w:r w:rsidR="00AD5CF4" w:rsidRPr="00AD5CF4">
          <w:rPr>
            <w:rFonts w:ascii="Cambria" w:eastAsia="Calibri" w:hAnsi="Cambria" w:cs="Calibri"/>
            <w:sz w:val="20"/>
            <w:szCs w:val="20"/>
            <w:lang w:val="en-US"/>
          </w:rPr>
          <w:fldChar w:fldCharType="separate"/>
        </w:r>
        <w:r w:rsidR="00AD5CF4" w:rsidRPr="00AD5CF4">
          <w:rPr>
            <w:rFonts w:ascii="Cambria" w:eastAsia="Calibri" w:hAnsi="Cambria" w:cs="Calibri"/>
            <w:sz w:val="20"/>
            <w:szCs w:val="20"/>
            <w:lang w:val="en-US"/>
          </w:rPr>
          <w:t>2</w:t>
        </w:r>
        <w:r w:rsidR="00AD5CF4" w:rsidRPr="00AD5CF4">
          <w:rPr>
            <w:rFonts w:ascii="Cambria" w:eastAsia="Calibri" w:hAnsi="Cambria" w:cs="Calibri"/>
            <w:sz w:val="20"/>
            <w:szCs w:val="20"/>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3768" w14:textId="77777777" w:rsidR="008B0FC5" w:rsidRDefault="008B0FC5" w:rsidP="005153EE">
    <w:pPr>
      <w:ind w:right="4"/>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 </w:t>
    </w:r>
    <w:fldSimple w:instr=" NUMPAGES   \* MERGEFORMAT ">
      <w:r>
        <w:rPr>
          <w:rFonts w:ascii="Cambria" w:eastAsia="Cambria" w:hAnsi="Cambria" w:cs="Cambria"/>
          <w:sz w:val="20"/>
        </w:rPr>
        <w:t>7</w:t>
      </w:r>
    </w:fldSimple>
    <w:r>
      <w:rPr>
        <w:rFonts w:ascii="Cambria" w:eastAsia="Cambria" w:hAnsi="Cambria" w:cs="Cambria"/>
        <w:sz w:val="20"/>
      </w:rPr>
      <w:t xml:space="preserve"> </w:t>
    </w:r>
  </w:p>
  <w:p w14:paraId="27558EBD" w14:textId="77777777" w:rsidR="008B0FC5" w:rsidRDefault="008B0FC5"/>
  <w:p w14:paraId="1851A92D" w14:textId="77777777" w:rsidR="008B0FC5" w:rsidRDefault="008B0FC5"/>
  <w:p w14:paraId="0FD3E5E3" w14:textId="77777777" w:rsidR="008B0FC5" w:rsidRDefault="008B0FC5"/>
  <w:p w14:paraId="4F26F454" w14:textId="77777777" w:rsidR="008B0FC5" w:rsidRDefault="008B0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6D79" w14:textId="77777777" w:rsidR="00D12CF7" w:rsidRDefault="00D12CF7" w:rsidP="008B0FC5">
      <w:pPr>
        <w:spacing w:after="0" w:line="240" w:lineRule="auto"/>
      </w:pPr>
      <w:r>
        <w:separator/>
      </w:r>
    </w:p>
  </w:footnote>
  <w:footnote w:type="continuationSeparator" w:id="0">
    <w:p w14:paraId="1390208B" w14:textId="77777777" w:rsidR="00D12CF7" w:rsidRDefault="00D12CF7" w:rsidP="008B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9F0" w14:textId="77777777" w:rsidR="008B0FC5" w:rsidRDefault="008B0FC5" w:rsidP="00025936">
    <w:pPr>
      <w:tabs>
        <w:tab w:val="center" w:pos="4153"/>
        <w:tab w:val="right" w:pos="8306"/>
      </w:tabs>
      <w:rPr>
        <w:rFonts w:ascii="Arial" w:eastAsia="Arial" w:hAnsi="Arial" w:cs="Arial"/>
      </w:rPr>
    </w:pPr>
    <w:r>
      <w:rPr>
        <w:rFonts w:ascii="Arial" w:eastAsia="Arial" w:hAnsi="Arial" w:cs="Arial"/>
        <w:sz w:val="16"/>
        <w:szCs w:val="16"/>
      </w:rPr>
      <w:t>ICCAT REPORT 2022-2023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2BC5" w14:textId="3C18B284" w:rsidR="009F098C" w:rsidRPr="008B0FC5" w:rsidRDefault="009F098C" w:rsidP="009F098C">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Pr>
        <w:rFonts w:ascii="Cambria" w:eastAsia="Calibri" w:hAnsi="Cambria" w:cs="Times New Roman"/>
        <w:b/>
        <w:bCs/>
        <w:kern w:val="0"/>
        <w:sz w:val="20"/>
        <w:szCs w:val="20"/>
        <w:lang w:val="en-US"/>
        <w14:ligatures w14:val="none"/>
      </w:rPr>
      <w:t>P</w:t>
    </w:r>
    <w:r w:rsidR="00D758E2">
      <w:rPr>
        <w:rFonts w:ascii="Cambria" w:eastAsia="Calibri" w:hAnsi="Cambria" w:cs="Times New Roman"/>
        <w:b/>
        <w:bCs/>
        <w:kern w:val="0"/>
        <w:sz w:val="20"/>
        <w:szCs w:val="20"/>
        <w:lang w:val="en-US"/>
        <w14:ligatures w14:val="none"/>
      </w:rPr>
      <w:t>A2</w:t>
    </w:r>
    <w:r>
      <w:rPr>
        <w:rFonts w:ascii="Cambria" w:eastAsia="Calibri" w:hAnsi="Cambria" w:cs="Times New Roman"/>
        <w:b/>
        <w:bCs/>
        <w:kern w:val="0"/>
        <w:sz w:val="20"/>
        <w:szCs w:val="20"/>
        <w:lang w:val="en-US"/>
        <w14:ligatures w14:val="none"/>
      </w:rPr>
      <w:t>_</w:t>
    </w:r>
    <w:r w:rsidR="00D758E2">
      <w:rPr>
        <w:rFonts w:ascii="Cambria" w:eastAsia="Calibri" w:hAnsi="Cambria" w:cs="Times New Roman"/>
        <w:b/>
        <w:bCs/>
        <w:kern w:val="0"/>
        <w:sz w:val="20"/>
        <w:szCs w:val="20"/>
        <w:lang w:val="en-US"/>
        <w14:ligatures w14:val="none"/>
      </w:rPr>
      <w:t>606</w:t>
    </w:r>
    <w:r w:rsidRPr="008B0FC5">
      <w:rPr>
        <w:rFonts w:ascii="Cambria" w:eastAsia="Calibri" w:hAnsi="Cambria" w:cs="Times New Roman"/>
        <w:b/>
        <w:bCs/>
        <w:kern w:val="0"/>
        <w:sz w:val="20"/>
        <w:szCs w:val="20"/>
        <w:lang w:val="en-US"/>
        <w14:ligatures w14:val="none"/>
      </w:rPr>
      <w:t>/202</w:t>
    </w:r>
    <w:r w:rsidR="00135B57">
      <w:rPr>
        <w:rFonts w:ascii="Cambria" w:eastAsia="Calibri" w:hAnsi="Cambria" w:cs="Times New Roman"/>
        <w:b/>
        <w:bCs/>
        <w:kern w:val="0"/>
        <w:sz w:val="20"/>
        <w:szCs w:val="20"/>
        <w:lang w:val="en-US"/>
        <w14:ligatures w14:val="none"/>
      </w:rPr>
      <w:t>5</w:t>
    </w:r>
  </w:p>
  <w:p w14:paraId="7CF2DC03" w14:textId="1ED134F3" w:rsidR="009F098C" w:rsidRPr="008B0FC5" w:rsidRDefault="009F098C" w:rsidP="009F098C">
    <w:pPr>
      <w:tabs>
        <w:tab w:val="left" w:pos="7320"/>
      </w:tabs>
      <w:spacing w:after="0" w:line="240" w:lineRule="exact"/>
      <w:jc w:val="right"/>
      <w:rPr>
        <w:rFonts w:ascii="Cambria" w:eastAsia="Times New Roman" w:hAnsi="Cambria" w:cs="Times New Roman"/>
        <w:b/>
        <w:bCs/>
        <w:kern w:val="0"/>
        <w:sz w:val="16"/>
        <w:szCs w:val="16"/>
        <w:lang w:val="es-ES_tradnl"/>
        <w14:ligatures w14:val="none"/>
      </w:rPr>
    </w:pPr>
    <w:r w:rsidRPr="008B0FC5">
      <w:rPr>
        <w:rFonts w:ascii="Cambria" w:eastAsia="Times New Roman" w:hAnsi="Cambria" w:cs="Times New Roman"/>
        <w:b/>
        <w:bCs/>
        <w:kern w:val="0"/>
        <w:sz w:val="16"/>
        <w:szCs w:val="16"/>
        <w:lang w:val="es-ES_tradnl"/>
        <w14:ligatures w14:val="none"/>
      </w:rPr>
      <w:fldChar w:fldCharType="begin"/>
    </w:r>
    <w:r w:rsidRPr="008B0FC5">
      <w:rPr>
        <w:rFonts w:ascii="Cambria" w:eastAsia="Times New Roman" w:hAnsi="Cambria" w:cs="Times New Roman"/>
        <w:b/>
        <w:bCs/>
        <w:kern w:val="0"/>
        <w:sz w:val="16"/>
        <w:szCs w:val="16"/>
        <w:lang w:val="es-ES_tradnl"/>
        <w14:ligatures w14:val="none"/>
      </w:rPr>
      <w:instrText xml:space="preserve"> TIME \@ "dd/MM/yyyy H:mm" </w:instrText>
    </w:r>
    <w:r w:rsidRPr="008B0FC5">
      <w:rPr>
        <w:rFonts w:ascii="Cambria" w:eastAsia="Times New Roman" w:hAnsi="Cambria" w:cs="Times New Roman"/>
        <w:b/>
        <w:bCs/>
        <w:kern w:val="0"/>
        <w:sz w:val="16"/>
        <w:szCs w:val="16"/>
        <w:lang w:val="es-ES_tradnl"/>
        <w14:ligatures w14:val="none"/>
      </w:rPr>
      <w:fldChar w:fldCharType="separate"/>
    </w:r>
    <w:r w:rsidR="00CF3762">
      <w:rPr>
        <w:rFonts w:ascii="Cambria" w:eastAsia="Times New Roman" w:hAnsi="Cambria" w:cs="Times New Roman"/>
        <w:b/>
        <w:bCs/>
        <w:noProof/>
        <w:kern w:val="0"/>
        <w:sz w:val="16"/>
        <w:szCs w:val="16"/>
        <w:lang w:val="es-ES_tradnl"/>
        <w14:ligatures w14:val="none"/>
      </w:rPr>
      <w:t>29/10/2025 16:07</w:t>
    </w:r>
    <w:r w:rsidRPr="008B0FC5">
      <w:rPr>
        <w:rFonts w:ascii="Cambria" w:eastAsia="Times New Roman" w:hAnsi="Cambria" w:cs="Times New Roman"/>
        <w:b/>
        <w:bCs/>
        <w:kern w:val="0"/>
        <w:sz w:val="16"/>
        <w:szCs w:val="16"/>
        <w:lang w:val="es-ES_tradnl"/>
        <w14:ligatures w14: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F628" w14:textId="77777777" w:rsidR="008B0FC5" w:rsidRDefault="008B0FC5">
    <w:pPr>
      <w:spacing w:after="29"/>
      <w:ind w:right="4"/>
      <w:jc w:val="right"/>
    </w:pPr>
    <w:r>
      <w:rPr>
        <w:rFonts w:ascii="Cambria" w:eastAsia="Cambria" w:hAnsi="Cambria" w:cs="Cambria"/>
        <w:b/>
        <w:sz w:val="20"/>
      </w:rPr>
      <w:t xml:space="preserve">COC_307/2022 </w:t>
    </w:r>
  </w:p>
  <w:p w14:paraId="04A10FA3" w14:textId="77777777" w:rsidR="008B0FC5" w:rsidRDefault="008B0FC5" w:rsidP="005153EE">
    <w:pPr>
      <w:jc w:val="right"/>
    </w:pPr>
    <w:r>
      <w:rPr>
        <w:rFonts w:ascii="Cambria" w:eastAsia="Cambria" w:hAnsi="Cambria" w:cs="Cambria"/>
        <w:b/>
        <w:sz w:val="16"/>
      </w:rPr>
      <w:t>13/11/2022 18:56</w:t>
    </w:r>
    <w:r>
      <w:rPr>
        <w:rFonts w:ascii="Cambria" w:eastAsia="Cambria" w:hAnsi="Cambria" w:cs="Cambria"/>
        <w:b/>
      </w:rPr>
      <w:t xml:space="preserve"> </w:t>
    </w:r>
  </w:p>
  <w:p w14:paraId="31E18F0C" w14:textId="77777777" w:rsidR="008B0FC5" w:rsidRDefault="008B0FC5"/>
  <w:p w14:paraId="353986FE" w14:textId="77777777" w:rsidR="008B0FC5" w:rsidRDefault="008B0FC5"/>
  <w:p w14:paraId="7AFC8A9F" w14:textId="77777777" w:rsidR="008B0FC5" w:rsidRDefault="008B0FC5"/>
  <w:p w14:paraId="455EF97C" w14:textId="77777777" w:rsidR="008B0FC5" w:rsidRDefault="008B0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4D29D6"/>
    <w:multiLevelType w:val="multilevel"/>
    <w:tmpl w:val="871CC77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D3F50"/>
    <w:multiLevelType w:val="hybridMultilevel"/>
    <w:tmpl w:val="F55A07B6"/>
    <w:lvl w:ilvl="0" w:tplc="6DE215C8">
      <w:numFmt w:val="bullet"/>
      <w:lvlText w:val="-"/>
      <w:lvlJc w:val="left"/>
      <w:pPr>
        <w:ind w:left="651" w:hanging="360"/>
      </w:pPr>
      <w:rPr>
        <w:rFonts w:ascii="Cambria" w:eastAsia="Cambria" w:hAnsi="Cambria" w:cs="Cambria"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CA357E1"/>
    <w:multiLevelType w:val="hybridMultilevel"/>
    <w:tmpl w:val="4A449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16cid:durableId="1706827364">
    <w:abstractNumId w:val="1"/>
  </w:num>
  <w:num w:numId="2" w16cid:durableId="986011760">
    <w:abstractNumId w:val="4"/>
  </w:num>
  <w:num w:numId="3" w16cid:durableId="1654487551">
    <w:abstractNumId w:val="2"/>
  </w:num>
  <w:num w:numId="4" w16cid:durableId="705300603">
    <w:abstractNumId w:val="5"/>
  </w:num>
  <w:num w:numId="5" w16cid:durableId="563761146">
    <w:abstractNumId w:val="0"/>
  </w:num>
  <w:num w:numId="6" w16cid:durableId="658195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C5"/>
    <w:rsid w:val="00110E4E"/>
    <w:rsid w:val="00135B57"/>
    <w:rsid w:val="0015412D"/>
    <w:rsid w:val="002A173D"/>
    <w:rsid w:val="003532B4"/>
    <w:rsid w:val="00410BC2"/>
    <w:rsid w:val="00440087"/>
    <w:rsid w:val="004670A4"/>
    <w:rsid w:val="004C4BC4"/>
    <w:rsid w:val="00526773"/>
    <w:rsid w:val="00572749"/>
    <w:rsid w:val="005D76A4"/>
    <w:rsid w:val="005E1340"/>
    <w:rsid w:val="005F391F"/>
    <w:rsid w:val="0067717C"/>
    <w:rsid w:val="006A6CC2"/>
    <w:rsid w:val="007107CA"/>
    <w:rsid w:val="00757527"/>
    <w:rsid w:val="00771089"/>
    <w:rsid w:val="007E305B"/>
    <w:rsid w:val="007F1BA2"/>
    <w:rsid w:val="00817D97"/>
    <w:rsid w:val="008404E0"/>
    <w:rsid w:val="008A0C12"/>
    <w:rsid w:val="008B0FC5"/>
    <w:rsid w:val="008D0798"/>
    <w:rsid w:val="0091043E"/>
    <w:rsid w:val="009444AF"/>
    <w:rsid w:val="0098385B"/>
    <w:rsid w:val="009B4EE5"/>
    <w:rsid w:val="009C71CD"/>
    <w:rsid w:val="009F098C"/>
    <w:rsid w:val="00A2357B"/>
    <w:rsid w:val="00A25884"/>
    <w:rsid w:val="00AB11EB"/>
    <w:rsid w:val="00AD2506"/>
    <w:rsid w:val="00AD5CF4"/>
    <w:rsid w:val="00C15021"/>
    <w:rsid w:val="00C16E84"/>
    <w:rsid w:val="00CD3889"/>
    <w:rsid w:val="00CF1E7A"/>
    <w:rsid w:val="00CF3762"/>
    <w:rsid w:val="00D12CF7"/>
    <w:rsid w:val="00D13BF9"/>
    <w:rsid w:val="00D4765E"/>
    <w:rsid w:val="00D758E2"/>
    <w:rsid w:val="00D76E25"/>
    <w:rsid w:val="00D8646E"/>
    <w:rsid w:val="00DC02B4"/>
    <w:rsid w:val="00DC1E38"/>
    <w:rsid w:val="00E31FA3"/>
    <w:rsid w:val="00E86AB6"/>
    <w:rsid w:val="00EB2061"/>
    <w:rsid w:val="00F17333"/>
    <w:rsid w:val="00F9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6E3F"/>
  <w15:chartTrackingRefBased/>
  <w15:docId w15:val="{2926631F-C222-4FA0-ACD6-27279A45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C5"/>
    <w:pPr>
      <w:spacing w:after="160" w:line="259" w:lineRule="auto"/>
      <w:jc w:val="left"/>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B0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5"/>
    <w:rPr>
      <w:lang w:val="es-ES"/>
    </w:rPr>
  </w:style>
  <w:style w:type="character" w:styleId="Hyperlink">
    <w:name w:val="Hyperlink"/>
    <w:basedOn w:val="DefaultParagraphFont"/>
    <w:uiPriority w:val="99"/>
    <w:unhideWhenUsed/>
    <w:qFormat/>
    <w:rsid w:val="008B0FC5"/>
    <w:rPr>
      <w:color w:val="0563C1" w:themeColor="hyperlink"/>
      <w:u w:val="single"/>
    </w:rPr>
  </w:style>
  <w:style w:type="paragraph" w:styleId="Header">
    <w:name w:val="header"/>
    <w:basedOn w:val="Normal"/>
    <w:link w:val="HeaderChar"/>
    <w:uiPriority w:val="99"/>
    <w:unhideWhenUsed/>
    <w:rsid w:val="008B0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5"/>
    <w:rPr>
      <w:lang w:val="es-ES"/>
    </w:rPr>
  </w:style>
  <w:style w:type="paragraph" w:styleId="Revision">
    <w:name w:val="Revision"/>
    <w:hidden/>
    <w:uiPriority w:val="99"/>
    <w:semiHidden/>
    <w:rsid w:val="004670A4"/>
    <w:pPr>
      <w:jc w:val="left"/>
    </w:pPr>
    <w:rPr>
      <w:lang w:val="es-ES"/>
    </w:rPr>
  </w:style>
  <w:style w:type="table" w:customStyle="1" w:styleId="TableGrid2">
    <w:name w:val="Table Grid2"/>
    <w:basedOn w:val="TableNormal"/>
    <w:next w:val="TableGrid"/>
    <w:uiPriority w:val="39"/>
    <w:rsid w:val="009F098C"/>
    <w:pPr>
      <w:jc w:val="left"/>
    </w:pPr>
    <w:rPr>
      <w:rFonts w:ascii="Calibri" w:eastAsia="Yu Gothic"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098C"/>
    <w:pPr>
      <w:ind w:left="720"/>
      <w:contextualSpacing/>
    </w:pPr>
  </w:style>
  <w:style w:type="paragraph" w:styleId="BodyText">
    <w:name w:val="Body Text"/>
    <w:basedOn w:val="Normal"/>
    <w:link w:val="BodyTextChar"/>
    <w:uiPriority w:val="1"/>
    <w:qFormat/>
    <w:rsid w:val="00135B57"/>
    <w:pPr>
      <w:widowControl w:val="0"/>
      <w:autoSpaceDE w:val="0"/>
      <w:autoSpaceDN w:val="0"/>
      <w:spacing w:after="0" w:line="240" w:lineRule="auto"/>
    </w:pPr>
    <w:rPr>
      <w:rFonts w:ascii="Cambria" w:eastAsia="Cambria" w:hAnsi="Cambria" w:cs="Cambria"/>
      <w:kern w:val="0"/>
      <w:sz w:val="18"/>
      <w:szCs w:val="18"/>
      <w:lang w:val="en-GB"/>
      <w14:ligatures w14:val="none"/>
    </w:rPr>
  </w:style>
  <w:style w:type="character" w:customStyle="1" w:styleId="BodyTextChar">
    <w:name w:val="Body Text Char"/>
    <w:basedOn w:val="DefaultParagraphFont"/>
    <w:link w:val="BodyText"/>
    <w:uiPriority w:val="1"/>
    <w:rsid w:val="00135B57"/>
    <w:rPr>
      <w:rFonts w:ascii="Cambria" w:eastAsia="Cambria" w:hAnsi="Cambria" w:cs="Cambria"/>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E79B-7959-4FE3-B8B0-9666100F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Karen Donovan</cp:lastModifiedBy>
  <cp:revision>33</cp:revision>
  <dcterms:created xsi:type="dcterms:W3CDTF">2023-10-10T14:43:00Z</dcterms:created>
  <dcterms:modified xsi:type="dcterms:W3CDTF">2025-10-29T15:08:00Z</dcterms:modified>
</cp:coreProperties>
</file>