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02FE0" w14:textId="77777777" w:rsidR="00DB047D" w:rsidRPr="00DB047D" w:rsidRDefault="00DB047D" w:rsidP="00DB047D">
      <w:pPr>
        <w:spacing w:after="0" w:line="240" w:lineRule="auto"/>
        <w:jc w:val="right"/>
        <w:rPr>
          <w:rFonts w:ascii="Cambria" w:eastAsia="Times New Roman" w:hAnsi="Cambria" w:cs="Times New Roman"/>
          <w:b/>
          <w:bCs/>
          <w:kern w:val="0"/>
          <w:sz w:val="20"/>
          <w:szCs w:val="20"/>
          <w14:ligatures w14:val="none"/>
        </w:rPr>
      </w:pPr>
      <w:r>
        <w:rPr>
          <w:rFonts w:ascii="Cambria" w:hAnsi="Cambria"/>
          <w:b/>
          <w:sz w:val="20"/>
        </w:rPr>
        <w:t>Original: inglés</w:t>
      </w:r>
    </w:p>
    <w:p w14:paraId="2572D132" w14:textId="77777777" w:rsidR="00DB047D" w:rsidRPr="006E2955" w:rsidRDefault="00DB047D" w:rsidP="00DB047D">
      <w:pPr>
        <w:spacing w:after="0" w:line="240" w:lineRule="auto"/>
        <w:rPr>
          <w:rFonts w:ascii="Cambria" w:hAnsi="Cambria"/>
          <w:b/>
          <w:bCs/>
          <w:sz w:val="20"/>
          <w:szCs w:val="20"/>
        </w:rPr>
      </w:pPr>
    </w:p>
    <w:p w14:paraId="67F42B58" w14:textId="0BCE3E2F" w:rsidR="00A90F29" w:rsidRPr="00921D26" w:rsidRDefault="00F849BC" w:rsidP="00DB047D">
      <w:pPr>
        <w:spacing w:after="0" w:line="240" w:lineRule="auto"/>
        <w:jc w:val="center"/>
        <w:rPr>
          <w:rFonts w:ascii="Cambria" w:hAnsi="Cambria"/>
          <w:b/>
          <w:bCs/>
          <w:sz w:val="20"/>
          <w:szCs w:val="20"/>
        </w:rPr>
      </w:pPr>
      <w:r w:rsidRPr="00921D26">
        <w:rPr>
          <w:rFonts w:ascii="Cambria" w:hAnsi="Cambria"/>
          <w:b/>
          <w:bCs/>
          <w:sz w:val="20"/>
          <w:szCs w:val="20"/>
        </w:rPr>
        <w:t>Proyecto de modelo revisado para la Tabla de capacidad de los planes de pesca, cría, inspección y ordenación de la capacidad para el atún rojo del Atlántico este y Mediterráneo</w:t>
      </w:r>
    </w:p>
    <w:p w14:paraId="24977F84" w14:textId="77777777" w:rsidR="00DB047D" w:rsidRPr="00921D26" w:rsidRDefault="00DB047D" w:rsidP="00DB047D">
      <w:pPr>
        <w:spacing w:after="0" w:line="240" w:lineRule="auto"/>
        <w:jc w:val="center"/>
        <w:rPr>
          <w:rFonts w:ascii="Cambria" w:hAnsi="Cambria"/>
          <w:b/>
          <w:bCs/>
          <w:sz w:val="20"/>
          <w:szCs w:val="20"/>
        </w:rPr>
      </w:pPr>
    </w:p>
    <w:p w14:paraId="3394FD59" w14:textId="04134D57" w:rsidR="004B1257" w:rsidRPr="00921D26" w:rsidRDefault="004B1257" w:rsidP="00DB047D">
      <w:pPr>
        <w:spacing w:after="0" w:line="240" w:lineRule="auto"/>
        <w:jc w:val="center"/>
        <w:rPr>
          <w:rFonts w:ascii="Cambria" w:hAnsi="Cambria"/>
          <w:i/>
          <w:iCs/>
          <w:sz w:val="20"/>
          <w:szCs w:val="20"/>
        </w:rPr>
      </w:pPr>
      <w:r w:rsidRPr="00921D26">
        <w:rPr>
          <w:rFonts w:ascii="Cambria" w:hAnsi="Cambria"/>
          <w:i/>
          <w:sz w:val="20"/>
          <w:szCs w:val="20"/>
        </w:rPr>
        <w:t>(Preparado por la Secretaría tras consultar con los miembros de la Subcomisión 2)</w:t>
      </w:r>
    </w:p>
    <w:p w14:paraId="2154006C" w14:textId="77777777" w:rsidR="00DB047D" w:rsidRPr="00921D26" w:rsidRDefault="00DB047D" w:rsidP="00DB047D">
      <w:pPr>
        <w:spacing w:after="0" w:line="240" w:lineRule="auto"/>
        <w:rPr>
          <w:rFonts w:ascii="Cambria" w:hAnsi="Cambria"/>
          <w:i/>
          <w:iCs/>
          <w:sz w:val="20"/>
          <w:szCs w:val="20"/>
        </w:rPr>
      </w:pPr>
    </w:p>
    <w:p w14:paraId="2C79C64A" w14:textId="77777777" w:rsidR="00F849BC" w:rsidRPr="00921D26" w:rsidRDefault="00F849BC" w:rsidP="00F849BC">
      <w:pPr>
        <w:spacing w:after="0" w:line="240" w:lineRule="auto"/>
        <w:jc w:val="both"/>
        <w:rPr>
          <w:rFonts w:ascii="Cambria" w:hAnsi="Cambria"/>
          <w:sz w:val="20"/>
          <w:szCs w:val="20"/>
        </w:rPr>
      </w:pPr>
      <w:r w:rsidRPr="00921D26">
        <w:rPr>
          <w:rFonts w:ascii="Cambria" w:hAnsi="Cambria"/>
          <w:sz w:val="20"/>
          <w:szCs w:val="20"/>
        </w:rPr>
        <w:t>En la reunión intersesiones de la Subcomisión 2, celebrada en Madrid del 4 al 6 de marzo de 2025, la Secretaría propuso el desarrollo de un nuevo modelo para la tabla de capacidad de los planes de pesca, cría, inspección y ordenación de la capacidad para el atún rojo del Atlántico este y Mediterráneo. El modelo revisado incluiría una hilera adicional para una nueva cifra: la cuota disponible. Como resultado, la tabla comprendería la cuota inicial, la cuota ajustada y la cuota disponible. Para facilitar su cumplimentación y garantizar la claridad, el modelo incluye también notas explicativas que definen cada uno de estos conceptos.</w:t>
      </w:r>
    </w:p>
    <w:p w14:paraId="7C1F7A6F" w14:textId="77777777" w:rsidR="00F849BC" w:rsidRPr="00921D26" w:rsidRDefault="00F849BC" w:rsidP="00F849BC">
      <w:pPr>
        <w:spacing w:after="0" w:line="240" w:lineRule="auto"/>
        <w:jc w:val="both"/>
        <w:rPr>
          <w:rFonts w:ascii="Cambria" w:hAnsi="Cambria"/>
          <w:sz w:val="20"/>
          <w:szCs w:val="20"/>
        </w:rPr>
      </w:pPr>
    </w:p>
    <w:p w14:paraId="56B8E265" w14:textId="77777777" w:rsidR="00F849BC" w:rsidRPr="00921D26" w:rsidRDefault="00F849BC" w:rsidP="00F849BC">
      <w:pPr>
        <w:spacing w:after="0" w:line="240" w:lineRule="auto"/>
        <w:jc w:val="both"/>
        <w:rPr>
          <w:rFonts w:ascii="Cambria" w:hAnsi="Cambria"/>
          <w:sz w:val="20"/>
          <w:szCs w:val="20"/>
        </w:rPr>
      </w:pPr>
      <w:r w:rsidRPr="00921D26">
        <w:rPr>
          <w:rFonts w:ascii="Cambria" w:hAnsi="Cambria"/>
          <w:sz w:val="20"/>
          <w:szCs w:val="20"/>
        </w:rPr>
        <w:t xml:space="preserve">Tras las circular ICCAT # 03722/2025 y #04419/2025, la Secretaría ha recibido comentarios de la Unión Europea sobre el proyecto de modelo para la Tabla de capacidad dentro del plazo establecido. Los cambios propuestos, junto con los comentarios explicativos proporcionados por la Unión Europea, se han incorporado al proyecto revisado de modelo, que se encuentra disponible en la </w:t>
      </w:r>
      <w:r w:rsidRPr="00921D26">
        <w:rPr>
          <w:rFonts w:ascii="Cambria" w:hAnsi="Cambria"/>
          <w:b/>
          <w:bCs/>
          <w:sz w:val="20"/>
          <w:szCs w:val="20"/>
        </w:rPr>
        <w:t xml:space="preserve">Tabla 1 </w:t>
      </w:r>
      <w:r w:rsidRPr="00921D26">
        <w:rPr>
          <w:rFonts w:ascii="Cambria" w:hAnsi="Cambria"/>
          <w:sz w:val="20"/>
          <w:szCs w:val="20"/>
        </w:rPr>
        <w:t>de este documento.</w:t>
      </w:r>
    </w:p>
    <w:p w14:paraId="0BAA73D3" w14:textId="77777777" w:rsidR="00F849BC" w:rsidRPr="006E2955" w:rsidRDefault="00F849BC" w:rsidP="00F849BC">
      <w:pPr>
        <w:spacing w:after="0" w:line="240" w:lineRule="auto"/>
        <w:jc w:val="both"/>
        <w:rPr>
          <w:rFonts w:ascii="Cambria" w:hAnsi="Cambria"/>
          <w:sz w:val="20"/>
          <w:szCs w:val="20"/>
        </w:rPr>
      </w:pPr>
    </w:p>
    <w:p w14:paraId="7E8FF020" w14:textId="77777777" w:rsidR="00773D06" w:rsidRPr="006E2955" w:rsidRDefault="00773D06" w:rsidP="00773D06">
      <w:pPr>
        <w:jc w:val="right"/>
        <w:rPr>
          <w:rFonts w:ascii="Cambria" w:hAnsi="Cambria"/>
          <w:b/>
          <w:bCs/>
          <w:sz w:val="20"/>
          <w:szCs w:val="20"/>
        </w:rPr>
      </w:pPr>
    </w:p>
    <w:p w14:paraId="48D8FBAD" w14:textId="77777777" w:rsidR="00F849BC" w:rsidRPr="006E2955" w:rsidRDefault="00F849BC" w:rsidP="00773D06">
      <w:pPr>
        <w:jc w:val="right"/>
        <w:rPr>
          <w:rFonts w:ascii="Cambria" w:hAnsi="Cambria"/>
          <w:b/>
          <w:bCs/>
          <w:sz w:val="20"/>
          <w:szCs w:val="20"/>
        </w:rPr>
      </w:pPr>
    </w:p>
    <w:p w14:paraId="7F19DBD3" w14:textId="77777777" w:rsidR="00F849BC" w:rsidRPr="006E2955" w:rsidRDefault="00F849BC" w:rsidP="00F849BC">
      <w:pPr>
        <w:rPr>
          <w:rFonts w:ascii="Cambria" w:hAnsi="Cambria"/>
          <w:b/>
          <w:bCs/>
          <w:sz w:val="20"/>
          <w:szCs w:val="20"/>
        </w:rPr>
        <w:sectPr w:rsidR="00F849BC" w:rsidRPr="006E2955" w:rsidSect="00C61344">
          <w:headerReference w:type="default" r:id="rId7"/>
          <w:footerReference w:type="default" r:id="rId8"/>
          <w:pgSz w:w="11907" w:h="16840" w:code="9"/>
          <w:pgMar w:top="1418" w:right="1418" w:bottom="1418" w:left="1418" w:header="851" w:footer="1134" w:gutter="0"/>
          <w:cols w:space="720"/>
          <w:docGrid w:linePitch="360"/>
        </w:sectPr>
      </w:pPr>
    </w:p>
    <w:p w14:paraId="660B4B27" w14:textId="79A25156" w:rsidR="001B6BBE" w:rsidRDefault="00773D06" w:rsidP="00DB047D">
      <w:pPr>
        <w:rPr>
          <w:rFonts w:ascii="Cambria" w:hAnsi="Cambria"/>
          <w:b/>
          <w:bCs/>
          <w:sz w:val="20"/>
          <w:szCs w:val="20"/>
        </w:rPr>
      </w:pPr>
      <w:r>
        <w:rPr>
          <w:rFonts w:ascii="Cambria" w:hAnsi="Cambria"/>
          <w:b/>
          <w:sz w:val="20"/>
        </w:rPr>
        <w:lastRenderedPageBreak/>
        <w:t xml:space="preserve">Tabla 1. </w:t>
      </w:r>
      <w:r>
        <w:rPr>
          <w:rFonts w:ascii="Cambria" w:hAnsi="Cambria"/>
          <w:sz w:val="20"/>
        </w:rPr>
        <w:t>Proyecto de modelo para la Tabla de capacidad de los planes de pesca, cría, inspección y ordenación de la capacidad para el atún rojo del Atlántico este y Mediterráneo</w:t>
      </w:r>
    </w:p>
    <w:p w14:paraId="31D360E1" w14:textId="77777777" w:rsidR="00F6696F" w:rsidRPr="00F6696F" w:rsidRDefault="00F6696F" w:rsidP="00F6696F">
      <w:pPr>
        <w:spacing w:after="0" w:line="240" w:lineRule="auto"/>
        <w:rPr>
          <w:rFonts w:ascii="Cambria" w:eastAsia="MS Gothic" w:hAnsi="Cambria" w:cs="Times New Roman"/>
          <w:i/>
          <w:kern w:val="0"/>
          <w:sz w:val="12"/>
          <w:szCs w:val="12"/>
          <w:lang w:eastAsia="fr-FR" w:bidi="fr-FR"/>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699"/>
        <w:gridCol w:w="615"/>
        <w:gridCol w:w="615"/>
        <w:gridCol w:w="615"/>
        <w:gridCol w:w="615"/>
        <w:gridCol w:w="615"/>
        <w:gridCol w:w="615"/>
        <w:gridCol w:w="615"/>
        <w:gridCol w:w="256"/>
        <w:gridCol w:w="615"/>
        <w:gridCol w:w="615"/>
        <w:gridCol w:w="615"/>
        <w:gridCol w:w="615"/>
        <w:gridCol w:w="615"/>
        <w:gridCol w:w="615"/>
        <w:gridCol w:w="615"/>
      </w:tblGrid>
      <w:tr w:rsidR="00F6696F" w:rsidRPr="00F6696F" w14:paraId="43255D00" w14:textId="77777777" w:rsidTr="00F6696F">
        <w:trPr>
          <w:trHeight w:val="20"/>
        </w:trPr>
        <w:tc>
          <w:tcPr>
            <w:tcW w:w="3823" w:type="dxa"/>
            <w:noWrap/>
            <w:vAlign w:val="center"/>
            <w:hideMark/>
          </w:tcPr>
          <w:p w14:paraId="153859C1" w14:textId="77777777" w:rsidR="00F6696F" w:rsidRPr="00F6696F" w:rsidRDefault="00F6696F" w:rsidP="00F6696F">
            <w:pPr>
              <w:spacing w:after="0" w:line="240" w:lineRule="auto"/>
              <w:jc w:val="center"/>
              <w:rPr>
                <w:rFonts w:ascii="Cambria" w:eastAsia="Times New Roman" w:hAnsi="Cambria" w:cs="Calibri"/>
                <w:i/>
                <w:iCs/>
                <w:kern w:val="0"/>
                <w:sz w:val="18"/>
                <w:szCs w:val="18"/>
                <w:lang w:eastAsia="fr-FR" w:bidi="fr-FR"/>
                <w14:ligatures w14:val="none"/>
              </w:rPr>
            </w:pPr>
            <w:r w:rsidRPr="00F6696F">
              <w:rPr>
                <w:rFonts w:ascii="Cambria" w:eastAsia="MS Gothic" w:hAnsi="Cambria" w:cs="Times New Roman"/>
                <w:i/>
                <w:kern w:val="0"/>
                <w:sz w:val="18"/>
                <w:szCs w:val="24"/>
                <w:lang w:eastAsia="fr-FR" w:bidi="fr-FR"/>
                <w14:ligatures w14:val="none"/>
              </w:rPr>
              <w:t>Tipo de buque atunero</w:t>
            </w:r>
          </w:p>
        </w:tc>
        <w:tc>
          <w:tcPr>
            <w:tcW w:w="2699" w:type="dxa"/>
            <w:noWrap/>
            <w:vAlign w:val="center"/>
            <w:hideMark/>
          </w:tcPr>
          <w:p w14:paraId="2DD7F591" w14:textId="77777777" w:rsidR="00F6696F" w:rsidRPr="00F6696F" w:rsidRDefault="00F6696F" w:rsidP="00F6696F">
            <w:pPr>
              <w:spacing w:after="0" w:line="240" w:lineRule="auto"/>
              <w:jc w:val="center"/>
              <w:rPr>
                <w:rFonts w:ascii="Calibri" w:eastAsia="Times New Roman" w:hAnsi="Calibri" w:cs="Calibri"/>
                <w:kern w:val="0"/>
                <w:sz w:val="18"/>
                <w:szCs w:val="18"/>
                <w:lang w:val="en-US" w:eastAsia="ja-JP"/>
                <w14:ligatures w14:val="none"/>
              </w:rPr>
            </w:pPr>
          </w:p>
        </w:tc>
        <w:tc>
          <w:tcPr>
            <w:tcW w:w="0" w:type="auto"/>
            <w:gridSpan w:val="3"/>
          </w:tcPr>
          <w:p w14:paraId="50F474D8" w14:textId="77777777" w:rsidR="00F6696F" w:rsidRPr="00F6696F" w:rsidRDefault="00F6696F" w:rsidP="00F6696F">
            <w:pPr>
              <w:spacing w:after="0" w:line="240" w:lineRule="auto"/>
              <w:jc w:val="center"/>
              <w:rPr>
                <w:rFonts w:ascii="Cambria" w:eastAsia="Times New Roman" w:hAnsi="Cambria" w:cs="Calibri"/>
                <w:i/>
                <w:iCs/>
                <w:kern w:val="0"/>
                <w:sz w:val="18"/>
                <w:szCs w:val="18"/>
                <w:lang w:eastAsia="fr-FR" w:bidi="fr-FR"/>
                <w14:ligatures w14:val="none"/>
              </w:rPr>
            </w:pPr>
            <w:r w:rsidRPr="00F6696F">
              <w:rPr>
                <w:rFonts w:ascii="Cambria" w:eastAsia="MS Gothic" w:hAnsi="Cambria" w:cs="Times New Roman"/>
                <w:i/>
                <w:kern w:val="0"/>
                <w:sz w:val="18"/>
                <w:szCs w:val="24"/>
                <w:lang w:eastAsia="fr-FR" w:bidi="fr-FR"/>
                <w14:ligatures w14:val="none"/>
              </w:rPr>
              <w:t>Años de referencia</w:t>
            </w:r>
          </w:p>
        </w:tc>
        <w:tc>
          <w:tcPr>
            <w:tcW w:w="0" w:type="auto"/>
            <w:gridSpan w:val="4"/>
            <w:vAlign w:val="center"/>
          </w:tcPr>
          <w:p w14:paraId="4D337303" w14:textId="77777777" w:rsidR="00F6696F" w:rsidRPr="00F6696F" w:rsidRDefault="00F6696F" w:rsidP="00F6696F">
            <w:pPr>
              <w:spacing w:after="0" w:line="240" w:lineRule="auto"/>
              <w:jc w:val="center"/>
              <w:rPr>
                <w:rFonts w:ascii="Times New Roman" w:eastAsia="Times New Roman" w:hAnsi="Times New Roman" w:cs="Times New Roman"/>
                <w:kern w:val="0"/>
                <w:sz w:val="18"/>
                <w:szCs w:val="18"/>
                <w:lang w:eastAsia="fr-FR" w:bidi="fr-FR"/>
                <w14:ligatures w14:val="none"/>
              </w:rPr>
            </w:pPr>
            <w:r w:rsidRPr="00F6696F">
              <w:rPr>
                <w:rFonts w:ascii="Cambria" w:eastAsia="MS Gothic" w:hAnsi="Cambria" w:cs="Times New Roman"/>
                <w:i/>
                <w:kern w:val="0"/>
                <w:sz w:val="18"/>
                <w:szCs w:val="24"/>
                <w:lang w:eastAsia="fr-FR" w:bidi="fr-FR"/>
                <w14:ligatures w14:val="none"/>
              </w:rPr>
              <w:t>N.º de buques</w:t>
            </w:r>
          </w:p>
        </w:tc>
        <w:tc>
          <w:tcPr>
            <w:tcW w:w="0" w:type="auto"/>
            <w:shd w:val="clear" w:color="auto" w:fill="D9D9D9"/>
            <w:vAlign w:val="center"/>
            <w:hideMark/>
          </w:tcPr>
          <w:p w14:paraId="49D00D2F" w14:textId="77777777" w:rsidR="00F6696F" w:rsidRPr="00F6696F" w:rsidRDefault="00F6696F" w:rsidP="00F6696F">
            <w:pPr>
              <w:spacing w:after="0" w:line="240" w:lineRule="auto"/>
              <w:jc w:val="center"/>
              <w:rPr>
                <w:rFonts w:ascii="Times New Roman" w:eastAsia="Times New Roman" w:hAnsi="Times New Roman" w:cs="Times New Roman"/>
                <w:kern w:val="0"/>
                <w:sz w:val="18"/>
                <w:szCs w:val="18"/>
                <w:lang w:val="en-US" w:eastAsia="ja-JP"/>
                <w14:ligatures w14:val="none"/>
              </w:rPr>
            </w:pPr>
          </w:p>
        </w:tc>
        <w:tc>
          <w:tcPr>
            <w:tcW w:w="0" w:type="auto"/>
            <w:gridSpan w:val="3"/>
          </w:tcPr>
          <w:p w14:paraId="4D96AEC6" w14:textId="77777777" w:rsidR="00F6696F" w:rsidRPr="00F6696F" w:rsidRDefault="00F6696F" w:rsidP="00F6696F">
            <w:pPr>
              <w:spacing w:after="0" w:line="240" w:lineRule="auto"/>
              <w:jc w:val="center"/>
              <w:rPr>
                <w:rFonts w:ascii="Cambria" w:eastAsia="Times New Roman" w:hAnsi="Cambria" w:cs="Calibri"/>
                <w:i/>
                <w:iCs/>
                <w:kern w:val="0"/>
                <w:sz w:val="18"/>
                <w:szCs w:val="18"/>
                <w:lang w:eastAsia="fr-FR" w:bidi="fr-FR"/>
                <w14:ligatures w14:val="none"/>
              </w:rPr>
            </w:pPr>
            <w:r w:rsidRPr="00F6696F">
              <w:rPr>
                <w:rFonts w:ascii="Cambria" w:eastAsia="MS Gothic" w:hAnsi="Cambria" w:cs="Times New Roman"/>
                <w:i/>
                <w:kern w:val="0"/>
                <w:sz w:val="18"/>
                <w:szCs w:val="24"/>
                <w:lang w:eastAsia="fr-FR" w:bidi="fr-FR"/>
                <w14:ligatures w14:val="none"/>
              </w:rPr>
              <w:t>Años de referencia</w:t>
            </w:r>
          </w:p>
        </w:tc>
        <w:tc>
          <w:tcPr>
            <w:tcW w:w="0" w:type="auto"/>
            <w:gridSpan w:val="4"/>
          </w:tcPr>
          <w:p w14:paraId="28BBAE95" w14:textId="77777777" w:rsidR="00F6696F" w:rsidRPr="00F6696F" w:rsidRDefault="00F6696F" w:rsidP="00F6696F">
            <w:pPr>
              <w:spacing w:after="0" w:line="240" w:lineRule="auto"/>
              <w:jc w:val="center"/>
              <w:rPr>
                <w:rFonts w:ascii="Cambria" w:eastAsia="Times New Roman" w:hAnsi="Cambria" w:cs="Calibri"/>
                <w:i/>
                <w:iCs/>
                <w:kern w:val="0"/>
                <w:sz w:val="18"/>
                <w:szCs w:val="18"/>
                <w:lang w:eastAsia="fr-FR" w:bidi="fr-FR"/>
                <w14:ligatures w14:val="none"/>
              </w:rPr>
            </w:pPr>
            <w:r w:rsidRPr="00F6696F">
              <w:rPr>
                <w:rFonts w:ascii="Cambria" w:eastAsia="MS Gothic" w:hAnsi="Cambria" w:cs="Times New Roman"/>
                <w:i/>
                <w:kern w:val="0"/>
                <w:sz w:val="18"/>
                <w:szCs w:val="24"/>
                <w:lang w:eastAsia="fr-FR" w:bidi="fr-FR"/>
                <w14:ligatures w14:val="none"/>
              </w:rPr>
              <w:t>Capacidad de pesca</w:t>
            </w:r>
          </w:p>
        </w:tc>
      </w:tr>
      <w:tr w:rsidR="00F6696F" w:rsidRPr="00F6696F" w14:paraId="61102873" w14:textId="77777777" w:rsidTr="00F6696F">
        <w:trPr>
          <w:trHeight w:val="20"/>
        </w:trPr>
        <w:tc>
          <w:tcPr>
            <w:tcW w:w="3823" w:type="dxa"/>
            <w:tcBorders>
              <w:bottom w:val="single" w:sz="12" w:space="0" w:color="000000"/>
            </w:tcBorders>
            <w:noWrap/>
            <w:vAlign w:val="center"/>
            <w:hideMark/>
          </w:tcPr>
          <w:p w14:paraId="0B6D9ECC"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Tipo</w:t>
            </w:r>
          </w:p>
        </w:tc>
        <w:tc>
          <w:tcPr>
            <w:tcW w:w="2699" w:type="dxa"/>
            <w:tcBorders>
              <w:bottom w:val="single" w:sz="12" w:space="0" w:color="000000"/>
            </w:tcBorders>
            <w:vAlign w:val="center"/>
            <w:hideMark/>
          </w:tcPr>
          <w:p w14:paraId="0771AAC4" w14:textId="77777777" w:rsidR="00F6696F" w:rsidRPr="00F6696F" w:rsidRDefault="00F6696F" w:rsidP="00F6696F">
            <w:pPr>
              <w:spacing w:after="0" w:line="240" w:lineRule="auto"/>
              <w:jc w:val="center"/>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6"/>
                <w:lang w:eastAsia="fr-FR" w:bidi="fr-FR"/>
                <w14:ligatures w14:val="none"/>
              </w:rPr>
              <w:t>Mejores tasas de captura definidas por el SCRS en 2009 (t)</w:t>
            </w:r>
            <w:r w:rsidRPr="00F6696F">
              <w:rPr>
                <w:rFonts w:ascii="Cambria" w:eastAsia="MS Gothic" w:hAnsi="Cambria" w:cs="Times New Roman"/>
                <w:kern w:val="0"/>
                <w:sz w:val="16"/>
                <w:vertAlign w:val="superscript"/>
                <w:lang w:eastAsia="fr-FR" w:bidi="fr-FR"/>
                <w14:ligatures w14:val="none"/>
              </w:rPr>
              <w:t>1</w:t>
            </w:r>
          </w:p>
        </w:tc>
        <w:tc>
          <w:tcPr>
            <w:tcW w:w="0" w:type="auto"/>
            <w:tcBorders>
              <w:bottom w:val="single" w:sz="12" w:space="0" w:color="000000"/>
            </w:tcBorders>
            <w:vAlign w:val="center"/>
          </w:tcPr>
          <w:p w14:paraId="2EB0CC97" w14:textId="77777777" w:rsidR="00F6696F" w:rsidRPr="00F6696F" w:rsidRDefault="00F6696F" w:rsidP="00F6696F">
            <w:pPr>
              <w:spacing w:after="0" w:line="240" w:lineRule="auto"/>
              <w:jc w:val="center"/>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2006</w:t>
            </w:r>
          </w:p>
        </w:tc>
        <w:tc>
          <w:tcPr>
            <w:tcW w:w="0" w:type="auto"/>
            <w:tcBorders>
              <w:bottom w:val="single" w:sz="12" w:space="0" w:color="000000"/>
            </w:tcBorders>
            <w:noWrap/>
            <w:vAlign w:val="center"/>
            <w:hideMark/>
          </w:tcPr>
          <w:p w14:paraId="4FA576D9" w14:textId="77777777" w:rsidR="00F6696F" w:rsidRPr="00F6696F" w:rsidRDefault="00F6696F" w:rsidP="00F6696F">
            <w:pPr>
              <w:spacing w:after="0" w:line="240" w:lineRule="auto"/>
              <w:jc w:val="center"/>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2008</w:t>
            </w:r>
          </w:p>
        </w:tc>
        <w:tc>
          <w:tcPr>
            <w:tcW w:w="0" w:type="auto"/>
            <w:tcBorders>
              <w:bottom w:val="single" w:sz="12" w:space="0" w:color="000000"/>
            </w:tcBorders>
            <w:vAlign w:val="center"/>
            <w:hideMark/>
          </w:tcPr>
          <w:p w14:paraId="19CD534D" w14:textId="77777777" w:rsidR="00F6696F" w:rsidRPr="00F6696F" w:rsidRDefault="00F6696F" w:rsidP="00F6696F">
            <w:pPr>
              <w:spacing w:after="0" w:line="240" w:lineRule="auto"/>
              <w:jc w:val="center"/>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2018</w:t>
            </w:r>
          </w:p>
        </w:tc>
        <w:tc>
          <w:tcPr>
            <w:tcW w:w="0" w:type="auto"/>
            <w:tcBorders>
              <w:bottom w:val="single" w:sz="12" w:space="0" w:color="000000"/>
            </w:tcBorders>
            <w:vAlign w:val="center"/>
            <w:hideMark/>
          </w:tcPr>
          <w:p w14:paraId="75017D19" w14:textId="77777777" w:rsidR="00F6696F" w:rsidRPr="00F6696F" w:rsidRDefault="00F6696F" w:rsidP="00F6696F">
            <w:pPr>
              <w:spacing w:after="0" w:line="240" w:lineRule="auto"/>
              <w:jc w:val="center"/>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2023</w:t>
            </w:r>
          </w:p>
        </w:tc>
        <w:tc>
          <w:tcPr>
            <w:tcW w:w="0" w:type="auto"/>
            <w:tcBorders>
              <w:bottom w:val="single" w:sz="12" w:space="0" w:color="000000"/>
            </w:tcBorders>
            <w:vAlign w:val="center"/>
            <w:hideMark/>
          </w:tcPr>
          <w:p w14:paraId="552916E6" w14:textId="77777777" w:rsidR="00F6696F" w:rsidRPr="00F6696F" w:rsidRDefault="00F6696F" w:rsidP="00F6696F">
            <w:pPr>
              <w:spacing w:after="0" w:line="240" w:lineRule="auto"/>
              <w:jc w:val="center"/>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2024</w:t>
            </w:r>
          </w:p>
        </w:tc>
        <w:tc>
          <w:tcPr>
            <w:tcW w:w="0" w:type="auto"/>
            <w:tcBorders>
              <w:bottom w:val="single" w:sz="12" w:space="0" w:color="000000"/>
            </w:tcBorders>
            <w:vAlign w:val="center"/>
          </w:tcPr>
          <w:p w14:paraId="24606846" w14:textId="77777777" w:rsidR="00F6696F" w:rsidRPr="00F6696F" w:rsidRDefault="00F6696F" w:rsidP="00F6696F">
            <w:pPr>
              <w:spacing w:after="0" w:line="240" w:lineRule="auto"/>
              <w:jc w:val="center"/>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2025</w:t>
            </w:r>
          </w:p>
        </w:tc>
        <w:tc>
          <w:tcPr>
            <w:tcW w:w="0" w:type="auto"/>
            <w:tcBorders>
              <w:bottom w:val="single" w:sz="12" w:space="0" w:color="000000"/>
            </w:tcBorders>
            <w:vAlign w:val="center"/>
          </w:tcPr>
          <w:p w14:paraId="218CFC6E" w14:textId="77777777" w:rsidR="00F6696F" w:rsidRPr="00F6696F" w:rsidRDefault="00F6696F" w:rsidP="00F6696F">
            <w:pPr>
              <w:spacing w:after="0" w:line="240" w:lineRule="auto"/>
              <w:jc w:val="center"/>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2026</w:t>
            </w:r>
          </w:p>
        </w:tc>
        <w:tc>
          <w:tcPr>
            <w:tcW w:w="0" w:type="auto"/>
            <w:tcBorders>
              <w:bottom w:val="single" w:sz="12" w:space="0" w:color="000000"/>
            </w:tcBorders>
            <w:shd w:val="clear" w:color="000000" w:fill="D9D9D9"/>
            <w:vAlign w:val="center"/>
            <w:hideMark/>
          </w:tcPr>
          <w:p w14:paraId="38BCC7E0" w14:textId="77777777" w:rsidR="00F6696F" w:rsidRPr="00F6696F" w:rsidRDefault="00F6696F" w:rsidP="00F6696F">
            <w:pPr>
              <w:spacing w:after="0" w:line="240" w:lineRule="auto"/>
              <w:jc w:val="center"/>
              <w:rPr>
                <w:rFonts w:ascii="Cambria" w:eastAsia="Times New Roman" w:hAnsi="Cambria" w:cs="Calibri"/>
                <w:kern w:val="0"/>
                <w:sz w:val="18"/>
                <w:szCs w:val="18"/>
                <w:lang w:val="en-US" w:eastAsia="ja-JP"/>
                <w14:ligatures w14:val="none"/>
              </w:rPr>
            </w:pPr>
          </w:p>
        </w:tc>
        <w:tc>
          <w:tcPr>
            <w:tcW w:w="0" w:type="auto"/>
            <w:tcBorders>
              <w:bottom w:val="single" w:sz="12" w:space="0" w:color="000000"/>
            </w:tcBorders>
            <w:vAlign w:val="center"/>
          </w:tcPr>
          <w:p w14:paraId="3D4CB3E4" w14:textId="77777777" w:rsidR="00F6696F" w:rsidRPr="00F6696F" w:rsidRDefault="00F6696F" w:rsidP="00F6696F">
            <w:pPr>
              <w:spacing w:after="0" w:line="240" w:lineRule="auto"/>
              <w:jc w:val="center"/>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2006</w:t>
            </w:r>
          </w:p>
        </w:tc>
        <w:tc>
          <w:tcPr>
            <w:tcW w:w="0" w:type="auto"/>
            <w:tcBorders>
              <w:bottom w:val="single" w:sz="12" w:space="0" w:color="000000"/>
            </w:tcBorders>
            <w:vAlign w:val="center"/>
            <w:hideMark/>
          </w:tcPr>
          <w:p w14:paraId="429E11A9" w14:textId="77777777" w:rsidR="00F6696F" w:rsidRPr="00F6696F" w:rsidRDefault="00F6696F" w:rsidP="00F6696F">
            <w:pPr>
              <w:spacing w:after="0" w:line="240" w:lineRule="auto"/>
              <w:jc w:val="center"/>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2008</w:t>
            </w:r>
          </w:p>
        </w:tc>
        <w:tc>
          <w:tcPr>
            <w:tcW w:w="0" w:type="auto"/>
            <w:tcBorders>
              <w:bottom w:val="single" w:sz="12" w:space="0" w:color="000000"/>
            </w:tcBorders>
            <w:vAlign w:val="center"/>
            <w:hideMark/>
          </w:tcPr>
          <w:p w14:paraId="45186672" w14:textId="77777777" w:rsidR="00F6696F" w:rsidRPr="00F6696F" w:rsidRDefault="00F6696F" w:rsidP="00F6696F">
            <w:pPr>
              <w:spacing w:after="0" w:line="240" w:lineRule="auto"/>
              <w:jc w:val="center"/>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2018</w:t>
            </w:r>
          </w:p>
        </w:tc>
        <w:tc>
          <w:tcPr>
            <w:tcW w:w="0" w:type="auto"/>
            <w:tcBorders>
              <w:bottom w:val="single" w:sz="12" w:space="0" w:color="000000"/>
            </w:tcBorders>
            <w:vAlign w:val="center"/>
            <w:hideMark/>
          </w:tcPr>
          <w:p w14:paraId="541F0C63" w14:textId="77777777" w:rsidR="00F6696F" w:rsidRPr="00F6696F" w:rsidRDefault="00F6696F" w:rsidP="00F6696F">
            <w:pPr>
              <w:spacing w:after="0" w:line="240" w:lineRule="auto"/>
              <w:jc w:val="center"/>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2023</w:t>
            </w:r>
          </w:p>
        </w:tc>
        <w:tc>
          <w:tcPr>
            <w:tcW w:w="0" w:type="auto"/>
            <w:tcBorders>
              <w:bottom w:val="single" w:sz="12" w:space="0" w:color="000000"/>
            </w:tcBorders>
            <w:vAlign w:val="center"/>
            <w:hideMark/>
          </w:tcPr>
          <w:p w14:paraId="462B1E29" w14:textId="77777777" w:rsidR="00F6696F" w:rsidRPr="00F6696F" w:rsidRDefault="00F6696F" w:rsidP="00F6696F">
            <w:pPr>
              <w:spacing w:after="0" w:line="240" w:lineRule="auto"/>
              <w:jc w:val="center"/>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2024</w:t>
            </w:r>
          </w:p>
        </w:tc>
        <w:tc>
          <w:tcPr>
            <w:tcW w:w="0" w:type="auto"/>
            <w:tcBorders>
              <w:bottom w:val="single" w:sz="12" w:space="0" w:color="000000"/>
            </w:tcBorders>
            <w:vAlign w:val="center"/>
            <w:hideMark/>
          </w:tcPr>
          <w:p w14:paraId="7F30EFD2" w14:textId="77777777" w:rsidR="00F6696F" w:rsidRPr="00F6696F" w:rsidRDefault="00F6696F" w:rsidP="00F6696F">
            <w:pPr>
              <w:spacing w:after="0" w:line="240" w:lineRule="auto"/>
              <w:jc w:val="center"/>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2025</w:t>
            </w:r>
          </w:p>
        </w:tc>
        <w:tc>
          <w:tcPr>
            <w:tcW w:w="0" w:type="auto"/>
            <w:tcBorders>
              <w:bottom w:val="single" w:sz="12" w:space="0" w:color="000000"/>
            </w:tcBorders>
            <w:vAlign w:val="center"/>
          </w:tcPr>
          <w:p w14:paraId="136D3ED5" w14:textId="77777777" w:rsidR="00F6696F" w:rsidRPr="00F6696F" w:rsidRDefault="00F6696F" w:rsidP="00F6696F">
            <w:pPr>
              <w:spacing w:after="0" w:line="240" w:lineRule="auto"/>
              <w:jc w:val="center"/>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2026</w:t>
            </w:r>
          </w:p>
        </w:tc>
      </w:tr>
      <w:tr w:rsidR="00F6696F" w:rsidRPr="00F6696F" w14:paraId="0952629C" w14:textId="77777777" w:rsidTr="00F6696F">
        <w:trPr>
          <w:trHeight w:val="214"/>
        </w:trPr>
        <w:tc>
          <w:tcPr>
            <w:tcW w:w="3823" w:type="dxa"/>
            <w:tcBorders>
              <w:top w:val="single" w:sz="12" w:space="0" w:color="000000"/>
              <w:left w:val="single" w:sz="12" w:space="0" w:color="000000"/>
            </w:tcBorders>
            <w:noWrap/>
            <w:vAlign w:val="center"/>
            <w:hideMark/>
          </w:tcPr>
          <w:p w14:paraId="43ECB106"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Cerqueros de más de 40 m</w:t>
            </w:r>
          </w:p>
        </w:tc>
        <w:tc>
          <w:tcPr>
            <w:tcW w:w="2699" w:type="dxa"/>
            <w:tcBorders>
              <w:top w:val="single" w:sz="12" w:space="0" w:color="000000"/>
            </w:tcBorders>
            <w:noWrap/>
            <w:vAlign w:val="center"/>
            <w:hideMark/>
          </w:tcPr>
          <w:p w14:paraId="6A500693" w14:textId="77777777" w:rsidR="00F6696F" w:rsidRPr="00F6696F" w:rsidRDefault="00F6696F" w:rsidP="00F6696F">
            <w:pPr>
              <w:spacing w:after="0" w:line="240" w:lineRule="auto"/>
              <w:jc w:val="center"/>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70,66</w:t>
            </w:r>
          </w:p>
        </w:tc>
        <w:tc>
          <w:tcPr>
            <w:tcW w:w="0" w:type="auto"/>
            <w:tcBorders>
              <w:top w:val="single" w:sz="12" w:space="0" w:color="000000"/>
            </w:tcBorders>
          </w:tcPr>
          <w:p w14:paraId="1B19159D" w14:textId="77777777" w:rsidR="00F6696F" w:rsidRPr="00F6696F" w:rsidRDefault="00F6696F" w:rsidP="00F6696F">
            <w:pPr>
              <w:spacing w:after="0" w:line="240" w:lineRule="auto"/>
              <w:rPr>
                <w:rFonts w:ascii="Cambria" w:eastAsia="Times New Roman" w:hAnsi="Cambria" w:cs="Calibri"/>
                <w:kern w:val="0"/>
                <w:sz w:val="18"/>
                <w:szCs w:val="18"/>
                <w:lang w:eastAsia="ja-JP"/>
                <w14:ligatures w14:val="none"/>
              </w:rPr>
            </w:pPr>
          </w:p>
        </w:tc>
        <w:tc>
          <w:tcPr>
            <w:tcW w:w="0" w:type="auto"/>
            <w:tcBorders>
              <w:top w:val="single" w:sz="12" w:space="0" w:color="000000"/>
            </w:tcBorders>
            <w:noWrap/>
            <w:vAlign w:val="center"/>
            <w:hideMark/>
          </w:tcPr>
          <w:p w14:paraId="2C5EE434"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vAlign w:val="center"/>
            <w:hideMark/>
          </w:tcPr>
          <w:p w14:paraId="4F657342"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vAlign w:val="center"/>
            <w:hideMark/>
          </w:tcPr>
          <w:p w14:paraId="0203990D"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vAlign w:val="center"/>
            <w:hideMark/>
          </w:tcPr>
          <w:p w14:paraId="5F1334AE"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tcPr>
          <w:p w14:paraId="7ED8D073" w14:textId="77777777" w:rsidR="00F6696F" w:rsidRPr="00F6696F" w:rsidRDefault="00F6696F" w:rsidP="00F6696F">
            <w:pPr>
              <w:spacing w:after="0" w:line="240" w:lineRule="auto"/>
              <w:rPr>
                <w:rFonts w:ascii="Cambria" w:eastAsia="Times New Roman" w:hAnsi="Cambria" w:cs="Calibri"/>
                <w:kern w:val="0"/>
                <w:sz w:val="18"/>
                <w:szCs w:val="18"/>
                <w:lang w:val="en-US" w:eastAsia="ja-JP"/>
                <w14:ligatures w14:val="none"/>
              </w:rPr>
            </w:pPr>
          </w:p>
        </w:tc>
        <w:tc>
          <w:tcPr>
            <w:tcW w:w="0" w:type="auto"/>
            <w:tcBorders>
              <w:top w:val="single" w:sz="12" w:space="0" w:color="000000"/>
            </w:tcBorders>
          </w:tcPr>
          <w:p w14:paraId="5EC1C96E" w14:textId="77777777" w:rsidR="00F6696F" w:rsidRPr="00F6696F" w:rsidRDefault="00F6696F" w:rsidP="00F6696F">
            <w:pPr>
              <w:spacing w:after="0" w:line="240" w:lineRule="auto"/>
              <w:jc w:val="center"/>
              <w:rPr>
                <w:rFonts w:ascii="Cambria" w:eastAsia="Times New Roman" w:hAnsi="Cambria" w:cs="Calibri"/>
                <w:kern w:val="0"/>
                <w:sz w:val="18"/>
                <w:szCs w:val="18"/>
                <w:lang w:val="en-US" w:eastAsia="ja-JP"/>
                <w14:ligatures w14:val="none"/>
              </w:rPr>
            </w:pPr>
          </w:p>
        </w:tc>
        <w:tc>
          <w:tcPr>
            <w:tcW w:w="0" w:type="auto"/>
            <w:tcBorders>
              <w:top w:val="single" w:sz="12" w:space="0" w:color="000000"/>
            </w:tcBorders>
            <w:shd w:val="clear" w:color="000000" w:fill="D9D9D9"/>
            <w:vAlign w:val="center"/>
            <w:hideMark/>
          </w:tcPr>
          <w:p w14:paraId="4B597254"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tcPr>
          <w:p w14:paraId="4183D389" w14:textId="77777777" w:rsidR="00F6696F" w:rsidRPr="00F6696F" w:rsidRDefault="00F6696F" w:rsidP="00F6696F">
            <w:pPr>
              <w:spacing w:after="0" w:line="240" w:lineRule="auto"/>
              <w:rPr>
                <w:rFonts w:ascii="Cambria" w:eastAsia="Times New Roman" w:hAnsi="Cambria" w:cs="Calibri"/>
                <w:kern w:val="0"/>
                <w:sz w:val="18"/>
                <w:szCs w:val="18"/>
                <w:lang w:eastAsia="ja-JP"/>
                <w14:ligatures w14:val="none"/>
              </w:rPr>
            </w:pPr>
          </w:p>
        </w:tc>
        <w:tc>
          <w:tcPr>
            <w:tcW w:w="0" w:type="auto"/>
            <w:tcBorders>
              <w:top w:val="single" w:sz="12" w:space="0" w:color="000000"/>
            </w:tcBorders>
            <w:vAlign w:val="center"/>
            <w:hideMark/>
          </w:tcPr>
          <w:p w14:paraId="7957127F"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vAlign w:val="center"/>
            <w:hideMark/>
          </w:tcPr>
          <w:p w14:paraId="1C6D8946"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vAlign w:val="center"/>
            <w:hideMark/>
          </w:tcPr>
          <w:p w14:paraId="31381514"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vAlign w:val="center"/>
            <w:hideMark/>
          </w:tcPr>
          <w:p w14:paraId="4F8D6127"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vAlign w:val="center"/>
            <w:hideMark/>
          </w:tcPr>
          <w:p w14:paraId="7DD4FA8B"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top w:val="single" w:sz="12" w:space="0" w:color="000000"/>
              <w:right w:val="single" w:sz="12" w:space="0" w:color="000000"/>
            </w:tcBorders>
          </w:tcPr>
          <w:p w14:paraId="6E9C9D7B" w14:textId="77777777" w:rsidR="00F6696F" w:rsidRPr="00F6696F" w:rsidRDefault="00F6696F" w:rsidP="00F6696F">
            <w:pPr>
              <w:spacing w:after="0" w:line="240" w:lineRule="auto"/>
              <w:rPr>
                <w:rFonts w:ascii="Cambria" w:eastAsia="Times New Roman" w:hAnsi="Cambria" w:cs="Calibri"/>
                <w:kern w:val="0"/>
                <w:sz w:val="18"/>
                <w:szCs w:val="18"/>
                <w:lang w:val="en-US" w:eastAsia="ja-JP"/>
                <w14:ligatures w14:val="none"/>
              </w:rPr>
            </w:pPr>
          </w:p>
        </w:tc>
      </w:tr>
      <w:tr w:rsidR="00F6696F" w:rsidRPr="00F6696F" w14:paraId="33D6E963" w14:textId="77777777" w:rsidTr="00F6696F">
        <w:trPr>
          <w:trHeight w:val="20"/>
        </w:trPr>
        <w:tc>
          <w:tcPr>
            <w:tcW w:w="3823" w:type="dxa"/>
            <w:tcBorders>
              <w:left w:val="single" w:sz="12" w:space="0" w:color="000000"/>
            </w:tcBorders>
            <w:noWrap/>
            <w:vAlign w:val="center"/>
            <w:hideMark/>
          </w:tcPr>
          <w:p w14:paraId="389DB5F1"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Cerqueros entre 24 y 40 m</w:t>
            </w:r>
          </w:p>
        </w:tc>
        <w:tc>
          <w:tcPr>
            <w:tcW w:w="2699" w:type="dxa"/>
            <w:noWrap/>
            <w:vAlign w:val="center"/>
            <w:hideMark/>
          </w:tcPr>
          <w:p w14:paraId="1559AC08" w14:textId="77777777" w:rsidR="00F6696F" w:rsidRPr="00F6696F" w:rsidRDefault="00F6696F" w:rsidP="00F6696F">
            <w:pPr>
              <w:spacing w:after="0" w:line="240" w:lineRule="auto"/>
              <w:jc w:val="center"/>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49,78</w:t>
            </w:r>
          </w:p>
        </w:tc>
        <w:tc>
          <w:tcPr>
            <w:tcW w:w="0" w:type="auto"/>
          </w:tcPr>
          <w:p w14:paraId="2C295B57" w14:textId="77777777" w:rsidR="00F6696F" w:rsidRPr="00F6696F" w:rsidRDefault="00F6696F" w:rsidP="00F6696F">
            <w:pPr>
              <w:spacing w:after="0" w:line="240" w:lineRule="auto"/>
              <w:rPr>
                <w:rFonts w:ascii="Cambria" w:eastAsia="Times New Roman" w:hAnsi="Cambria" w:cs="Calibri"/>
                <w:kern w:val="0"/>
                <w:sz w:val="18"/>
                <w:szCs w:val="18"/>
                <w:lang w:eastAsia="ja-JP"/>
                <w14:ligatures w14:val="none"/>
              </w:rPr>
            </w:pPr>
          </w:p>
        </w:tc>
        <w:tc>
          <w:tcPr>
            <w:tcW w:w="0" w:type="auto"/>
            <w:noWrap/>
            <w:vAlign w:val="center"/>
            <w:hideMark/>
          </w:tcPr>
          <w:p w14:paraId="49A1E76E"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63384418"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00994475"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12E3FA06"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Pr>
          <w:p w14:paraId="4EFB7087" w14:textId="77777777" w:rsidR="00F6696F" w:rsidRPr="00F6696F" w:rsidRDefault="00F6696F" w:rsidP="00F6696F">
            <w:pPr>
              <w:spacing w:after="0" w:line="240" w:lineRule="auto"/>
              <w:rPr>
                <w:rFonts w:ascii="Cambria" w:eastAsia="Times New Roman" w:hAnsi="Cambria" w:cs="Calibri"/>
                <w:kern w:val="0"/>
                <w:sz w:val="18"/>
                <w:szCs w:val="18"/>
                <w:lang w:val="en-US" w:eastAsia="ja-JP"/>
                <w14:ligatures w14:val="none"/>
              </w:rPr>
            </w:pPr>
          </w:p>
        </w:tc>
        <w:tc>
          <w:tcPr>
            <w:tcW w:w="0" w:type="auto"/>
          </w:tcPr>
          <w:p w14:paraId="1F18C0CD" w14:textId="77777777" w:rsidR="00F6696F" w:rsidRPr="00F6696F" w:rsidRDefault="00F6696F" w:rsidP="00F6696F">
            <w:pPr>
              <w:spacing w:after="0" w:line="240" w:lineRule="auto"/>
              <w:jc w:val="center"/>
              <w:rPr>
                <w:rFonts w:ascii="Cambria" w:eastAsia="Times New Roman" w:hAnsi="Cambria" w:cs="Calibri"/>
                <w:kern w:val="0"/>
                <w:sz w:val="18"/>
                <w:szCs w:val="18"/>
                <w:lang w:val="en-US" w:eastAsia="ja-JP"/>
                <w14:ligatures w14:val="none"/>
              </w:rPr>
            </w:pPr>
          </w:p>
        </w:tc>
        <w:tc>
          <w:tcPr>
            <w:tcW w:w="0" w:type="auto"/>
            <w:shd w:val="clear" w:color="000000" w:fill="D9D9D9"/>
            <w:vAlign w:val="center"/>
            <w:hideMark/>
          </w:tcPr>
          <w:p w14:paraId="13A93ADD"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Pr>
          <w:p w14:paraId="5E43E136" w14:textId="77777777" w:rsidR="00F6696F" w:rsidRPr="00F6696F" w:rsidRDefault="00F6696F" w:rsidP="00F6696F">
            <w:pPr>
              <w:spacing w:after="0" w:line="240" w:lineRule="auto"/>
              <w:rPr>
                <w:rFonts w:ascii="Cambria" w:eastAsia="Times New Roman" w:hAnsi="Cambria" w:cs="Calibri"/>
                <w:kern w:val="0"/>
                <w:sz w:val="18"/>
                <w:szCs w:val="18"/>
                <w:lang w:eastAsia="ja-JP"/>
                <w14:ligatures w14:val="none"/>
              </w:rPr>
            </w:pPr>
          </w:p>
        </w:tc>
        <w:tc>
          <w:tcPr>
            <w:tcW w:w="0" w:type="auto"/>
            <w:vAlign w:val="center"/>
            <w:hideMark/>
          </w:tcPr>
          <w:p w14:paraId="6D23C5E8"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106C47B3"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25075F97"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26EAFB39"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1FB48B9B"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right w:val="single" w:sz="12" w:space="0" w:color="000000"/>
            </w:tcBorders>
          </w:tcPr>
          <w:p w14:paraId="6C5C813D" w14:textId="77777777" w:rsidR="00F6696F" w:rsidRPr="00F6696F" w:rsidRDefault="00F6696F" w:rsidP="00F6696F">
            <w:pPr>
              <w:spacing w:after="0" w:line="240" w:lineRule="auto"/>
              <w:rPr>
                <w:rFonts w:ascii="Cambria" w:eastAsia="Times New Roman" w:hAnsi="Cambria" w:cs="Calibri"/>
                <w:kern w:val="0"/>
                <w:sz w:val="18"/>
                <w:szCs w:val="18"/>
                <w:lang w:val="en-US" w:eastAsia="ja-JP"/>
                <w14:ligatures w14:val="none"/>
              </w:rPr>
            </w:pPr>
          </w:p>
        </w:tc>
      </w:tr>
      <w:tr w:rsidR="00F6696F" w:rsidRPr="00F6696F" w14:paraId="3B160F23" w14:textId="77777777" w:rsidTr="00F6696F">
        <w:trPr>
          <w:trHeight w:val="20"/>
        </w:trPr>
        <w:tc>
          <w:tcPr>
            <w:tcW w:w="3823" w:type="dxa"/>
            <w:tcBorders>
              <w:left w:val="single" w:sz="12" w:space="0" w:color="000000"/>
            </w:tcBorders>
            <w:noWrap/>
            <w:vAlign w:val="center"/>
            <w:hideMark/>
          </w:tcPr>
          <w:p w14:paraId="56C447EA"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Cerqueros de menos de 24 m</w:t>
            </w:r>
          </w:p>
        </w:tc>
        <w:tc>
          <w:tcPr>
            <w:tcW w:w="2699" w:type="dxa"/>
            <w:noWrap/>
            <w:vAlign w:val="center"/>
            <w:hideMark/>
          </w:tcPr>
          <w:p w14:paraId="4307CAC1" w14:textId="77777777" w:rsidR="00F6696F" w:rsidRPr="00F6696F" w:rsidRDefault="00F6696F" w:rsidP="00F6696F">
            <w:pPr>
              <w:spacing w:after="0" w:line="240" w:lineRule="auto"/>
              <w:jc w:val="center"/>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33,68</w:t>
            </w:r>
          </w:p>
        </w:tc>
        <w:tc>
          <w:tcPr>
            <w:tcW w:w="0" w:type="auto"/>
          </w:tcPr>
          <w:p w14:paraId="1CFA136D" w14:textId="77777777" w:rsidR="00F6696F" w:rsidRPr="00F6696F" w:rsidRDefault="00F6696F" w:rsidP="00F6696F">
            <w:pPr>
              <w:spacing w:after="0" w:line="240" w:lineRule="auto"/>
              <w:rPr>
                <w:rFonts w:ascii="Cambria" w:eastAsia="Times New Roman" w:hAnsi="Cambria" w:cs="Calibri"/>
                <w:kern w:val="0"/>
                <w:sz w:val="18"/>
                <w:szCs w:val="18"/>
                <w:lang w:eastAsia="ja-JP"/>
                <w14:ligatures w14:val="none"/>
              </w:rPr>
            </w:pPr>
          </w:p>
        </w:tc>
        <w:tc>
          <w:tcPr>
            <w:tcW w:w="0" w:type="auto"/>
            <w:noWrap/>
            <w:vAlign w:val="center"/>
            <w:hideMark/>
          </w:tcPr>
          <w:p w14:paraId="40C7F0BF"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516BB969"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2CB4CBCF"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2EFB95CC"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Pr>
          <w:p w14:paraId="04AE8589" w14:textId="77777777" w:rsidR="00F6696F" w:rsidRPr="00F6696F" w:rsidRDefault="00F6696F" w:rsidP="00F6696F">
            <w:pPr>
              <w:spacing w:after="0" w:line="240" w:lineRule="auto"/>
              <w:rPr>
                <w:rFonts w:ascii="Cambria" w:eastAsia="Times New Roman" w:hAnsi="Cambria" w:cs="Calibri"/>
                <w:kern w:val="0"/>
                <w:sz w:val="18"/>
                <w:szCs w:val="18"/>
                <w:lang w:val="en-US" w:eastAsia="ja-JP"/>
                <w14:ligatures w14:val="none"/>
              </w:rPr>
            </w:pPr>
          </w:p>
        </w:tc>
        <w:tc>
          <w:tcPr>
            <w:tcW w:w="0" w:type="auto"/>
          </w:tcPr>
          <w:p w14:paraId="364584C1" w14:textId="77777777" w:rsidR="00F6696F" w:rsidRPr="00F6696F" w:rsidRDefault="00F6696F" w:rsidP="00F6696F">
            <w:pPr>
              <w:spacing w:after="0" w:line="240" w:lineRule="auto"/>
              <w:jc w:val="center"/>
              <w:rPr>
                <w:rFonts w:ascii="Cambria" w:eastAsia="Times New Roman" w:hAnsi="Cambria" w:cs="Calibri"/>
                <w:kern w:val="0"/>
                <w:sz w:val="18"/>
                <w:szCs w:val="18"/>
                <w:lang w:val="en-US" w:eastAsia="ja-JP"/>
                <w14:ligatures w14:val="none"/>
              </w:rPr>
            </w:pPr>
          </w:p>
        </w:tc>
        <w:tc>
          <w:tcPr>
            <w:tcW w:w="0" w:type="auto"/>
            <w:shd w:val="clear" w:color="000000" w:fill="D9D9D9"/>
            <w:vAlign w:val="center"/>
            <w:hideMark/>
          </w:tcPr>
          <w:p w14:paraId="2402AB7E"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Pr>
          <w:p w14:paraId="1579D046" w14:textId="77777777" w:rsidR="00F6696F" w:rsidRPr="00F6696F" w:rsidRDefault="00F6696F" w:rsidP="00F6696F">
            <w:pPr>
              <w:spacing w:after="0" w:line="240" w:lineRule="auto"/>
              <w:rPr>
                <w:rFonts w:ascii="Cambria" w:eastAsia="Times New Roman" w:hAnsi="Cambria" w:cs="Calibri"/>
                <w:kern w:val="0"/>
                <w:sz w:val="18"/>
                <w:szCs w:val="18"/>
                <w:lang w:eastAsia="ja-JP"/>
                <w14:ligatures w14:val="none"/>
              </w:rPr>
            </w:pPr>
          </w:p>
        </w:tc>
        <w:tc>
          <w:tcPr>
            <w:tcW w:w="0" w:type="auto"/>
            <w:vAlign w:val="center"/>
            <w:hideMark/>
          </w:tcPr>
          <w:p w14:paraId="7D37DC8D"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6315063B"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389CECC3"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7733BAD2"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1692FD28"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right w:val="single" w:sz="12" w:space="0" w:color="000000"/>
            </w:tcBorders>
          </w:tcPr>
          <w:p w14:paraId="2006AC8B" w14:textId="77777777" w:rsidR="00F6696F" w:rsidRPr="00F6696F" w:rsidRDefault="00F6696F" w:rsidP="00F6696F">
            <w:pPr>
              <w:spacing w:after="0" w:line="240" w:lineRule="auto"/>
              <w:rPr>
                <w:rFonts w:ascii="Cambria" w:eastAsia="Times New Roman" w:hAnsi="Cambria" w:cs="Calibri"/>
                <w:kern w:val="0"/>
                <w:sz w:val="18"/>
                <w:szCs w:val="18"/>
                <w:lang w:val="en-US" w:eastAsia="ja-JP"/>
                <w14:ligatures w14:val="none"/>
              </w:rPr>
            </w:pPr>
          </w:p>
        </w:tc>
      </w:tr>
      <w:tr w:rsidR="00F6696F" w:rsidRPr="00F6696F" w14:paraId="2B73C852" w14:textId="77777777" w:rsidTr="00F6696F">
        <w:trPr>
          <w:trHeight w:val="20"/>
        </w:trPr>
        <w:tc>
          <w:tcPr>
            <w:tcW w:w="3823" w:type="dxa"/>
            <w:tcBorders>
              <w:left w:val="single" w:sz="12" w:space="0" w:color="000000"/>
            </w:tcBorders>
            <w:noWrap/>
            <w:vAlign w:val="center"/>
            <w:hideMark/>
          </w:tcPr>
          <w:p w14:paraId="584F85DC"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Total flota de cerco</w:t>
            </w:r>
            <w:r w:rsidRPr="00F6696F">
              <w:rPr>
                <w:rFonts w:ascii="Cambria" w:eastAsia="MS Gothic" w:hAnsi="Cambria" w:cs="Times New Roman"/>
                <w:b/>
                <w:kern w:val="0"/>
                <w:sz w:val="18"/>
                <w:szCs w:val="24"/>
                <w:vertAlign w:val="superscript"/>
                <w:lang w:eastAsia="fr-FR" w:bidi="fr-FR"/>
                <w14:ligatures w14:val="none"/>
              </w:rPr>
              <w:t>2</w:t>
            </w:r>
          </w:p>
        </w:tc>
        <w:tc>
          <w:tcPr>
            <w:tcW w:w="2699" w:type="dxa"/>
            <w:noWrap/>
            <w:vAlign w:val="center"/>
            <w:hideMark/>
          </w:tcPr>
          <w:p w14:paraId="7DCF2215" w14:textId="77777777" w:rsidR="00F6696F" w:rsidRPr="00F6696F" w:rsidRDefault="00F6696F" w:rsidP="00F6696F">
            <w:pPr>
              <w:spacing w:after="0" w:line="240" w:lineRule="auto"/>
              <w:rPr>
                <w:rFonts w:ascii="Times New Roman" w:eastAsia="Times New Roman" w:hAnsi="Times New Roman" w:cs="Times New Roman"/>
                <w:kern w:val="0"/>
                <w:sz w:val="18"/>
                <w:szCs w:val="18"/>
                <w:lang w:eastAsia="fr-FR" w:bidi="fr-FR"/>
                <w14:ligatures w14:val="none"/>
              </w:rPr>
            </w:pPr>
            <w:r w:rsidRPr="00F6696F">
              <w:rPr>
                <w:rFonts w:ascii="Times New Roman" w:eastAsia="MS Gothic" w:hAnsi="Times New Roman" w:cs="Times New Roman"/>
                <w:kern w:val="0"/>
                <w:sz w:val="18"/>
                <w:szCs w:val="24"/>
                <w:lang w:eastAsia="fr-FR" w:bidi="fr-FR"/>
                <w14:ligatures w14:val="none"/>
              </w:rPr>
              <w:t> </w:t>
            </w:r>
          </w:p>
        </w:tc>
        <w:tc>
          <w:tcPr>
            <w:tcW w:w="0" w:type="auto"/>
          </w:tcPr>
          <w:p w14:paraId="0E5B85AE" w14:textId="77777777" w:rsidR="00F6696F" w:rsidRPr="00F6696F" w:rsidRDefault="00F6696F" w:rsidP="00F6696F">
            <w:pPr>
              <w:spacing w:after="0" w:line="240" w:lineRule="auto"/>
              <w:rPr>
                <w:rFonts w:ascii="Cambria" w:eastAsia="Times New Roman" w:hAnsi="Cambria" w:cs="Calibri"/>
                <w:b/>
                <w:bCs/>
                <w:kern w:val="0"/>
                <w:sz w:val="18"/>
                <w:szCs w:val="18"/>
                <w:lang w:eastAsia="ja-JP"/>
                <w14:ligatures w14:val="none"/>
              </w:rPr>
            </w:pPr>
          </w:p>
        </w:tc>
        <w:tc>
          <w:tcPr>
            <w:tcW w:w="0" w:type="auto"/>
            <w:noWrap/>
            <w:vAlign w:val="center"/>
            <w:hideMark/>
          </w:tcPr>
          <w:p w14:paraId="68241609"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vAlign w:val="center"/>
            <w:hideMark/>
          </w:tcPr>
          <w:p w14:paraId="4B6E4F74"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vAlign w:val="center"/>
            <w:hideMark/>
          </w:tcPr>
          <w:p w14:paraId="61EAFC77"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vAlign w:val="center"/>
            <w:hideMark/>
          </w:tcPr>
          <w:p w14:paraId="0EE44D95"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tcPr>
          <w:p w14:paraId="6780F344" w14:textId="77777777" w:rsidR="00F6696F" w:rsidRPr="00F6696F" w:rsidRDefault="00F6696F" w:rsidP="00F6696F">
            <w:pPr>
              <w:spacing w:after="0" w:line="240" w:lineRule="auto"/>
              <w:rPr>
                <w:rFonts w:ascii="Cambria" w:eastAsia="Times New Roman" w:hAnsi="Cambria" w:cs="Calibri"/>
                <w:b/>
                <w:bCs/>
                <w:kern w:val="0"/>
                <w:sz w:val="18"/>
                <w:szCs w:val="18"/>
                <w:lang w:val="en-US" w:eastAsia="ja-JP"/>
                <w14:ligatures w14:val="none"/>
              </w:rPr>
            </w:pPr>
          </w:p>
        </w:tc>
        <w:tc>
          <w:tcPr>
            <w:tcW w:w="0" w:type="auto"/>
          </w:tcPr>
          <w:p w14:paraId="59016300" w14:textId="77777777" w:rsidR="00F6696F" w:rsidRPr="00F6696F" w:rsidRDefault="00F6696F" w:rsidP="00F6696F">
            <w:pPr>
              <w:spacing w:after="0" w:line="240" w:lineRule="auto"/>
              <w:jc w:val="center"/>
              <w:rPr>
                <w:rFonts w:ascii="Cambria" w:eastAsia="Times New Roman" w:hAnsi="Cambria" w:cs="Calibri"/>
                <w:kern w:val="0"/>
                <w:sz w:val="18"/>
                <w:szCs w:val="18"/>
                <w:lang w:val="en-US" w:eastAsia="ja-JP"/>
                <w14:ligatures w14:val="none"/>
              </w:rPr>
            </w:pPr>
          </w:p>
        </w:tc>
        <w:tc>
          <w:tcPr>
            <w:tcW w:w="0" w:type="auto"/>
            <w:shd w:val="clear" w:color="000000" w:fill="D9D9D9"/>
            <w:vAlign w:val="center"/>
            <w:hideMark/>
          </w:tcPr>
          <w:p w14:paraId="253FD509"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tcPr>
          <w:p w14:paraId="1CDC928A" w14:textId="77777777" w:rsidR="00F6696F" w:rsidRPr="00F6696F" w:rsidRDefault="00F6696F" w:rsidP="00F6696F">
            <w:pPr>
              <w:spacing w:after="0" w:line="240" w:lineRule="auto"/>
              <w:rPr>
                <w:rFonts w:ascii="Cambria" w:eastAsia="Times New Roman" w:hAnsi="Cambria" w:cs="Calibri"/>
                <w:b/>
                <w:bCs/>
                <w:kern w:val="0"/>
                <w:sz w:val="18"/>
                <w:szCs w:val="18"/>
                <w:lang w:eastAsia="ja-JP"/>
                <w14:ligatures w14:val="none"/>
              </w:rPr>
            </w:pPr>
          </w:p>
        </w:tc>
        <w:tc>
          <w:tcPr>
            <w:tcW w:w="0" w:type="auto"/>
            <w:vAlign w:val="center"/>
            <w:hideMark/>
          </w:tcPr>
          <w:p w14:paraId="54EE6A8F"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vAlign w:val="center"/>
            <w:hideMark/>
          </w:tcPr>
          <w:p w14:paraId="597AD327"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vAlign w:val="center"/>
            <w:hideMark/>
          </w:tcPr>
          <w:p w14:paraId="58036BE3"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vAlign w:val="center"/>
            <w:hideMark/>
          </w:tcPr>
          <w:p w14:paraId="164ED2D0"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vAlign w:val="center"/>
            <w:hideMark/>
          </w:tcPr>
          <w:p w14:paraId="68FA25E4"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tcBorders>
              <w:right w:val="single" w:sz="12" w:space="0" w:color="000000"/>
            </w:tcBorders>
          </w:tcPr>
          <w:p w14:paraId="5F8C7BBC" w14:textId="77777777" w:rsidR="00F6696F" w:rsidRPr="00F6696F" w:rsidRDefault="00F6696F" w:rsidP="00F6696F">
            <w:pPr>
              <w:spacing w:after="0" w:line="240" w:lineRule="auto"/>
              <w:rPr>
                <w:rFonts w:ascii="Cambria" w:eastAsia="Times New Roman" w:hAnsi="Cambria" w:cs="Calibri"/>
                <w:b/>
                <w:bCs/>
                <w:kern w:val="0"/>
                <w:sz w:val="18"/>
                <w:szCs w:val="18"/>
                <w:lang w:val="en-US" w:eastAsia="ja-JP"/>
                <w14:ligatures w14:val="none"/>
              </w:rPr>
            </w:pPr>
          </w:p>
        </w:tc>
      </w:tr>
      <w:tr w:rsidR="00F6696F" w:rsidRPr="00F6696F" w14:paraId="51DE3D54" w14:textId="77777777" w:rsidTr="00F6696F">
        <w:trPr>
          <w:trHeight w:val="20"/>
        </w:trPr>
        <w:tc>
          <w:tcPr>
            <w:tcW w:w="3823" w:type="dxa"/>
            <w:tcBorders>
              <w:left w:val="single" w:sz="12" w:space="0" w:color="000000"/>
            </w:tcBorders>
            <w:noWrap/>
            <w:vAlign w:val="center"/>
            <w:hideMark/>
          </w:tcPr>
          <w:p w14:paraId="13D8B048"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Palangreros de más de 40 m</w:t>
            </w:r>
          </w:p>
        </w:tc>
        <w:tc>
          <w:tcPr>
            <w:tcW w:w="2699" w:type="dxa"/>
            <w:noWrap/>
            <w:vAlign w:val="center"/>
            <w:hideMark/>
          </w:tcPr>
          <w:p w14:paraId="7AEF805C" w14:textId="77777777" w:rsidR="00F6696F" w:rsidRPr="00F6696F" w:rsidRDefault="00F6696F" w:rsidP="00F6696F">
            <w:pPr>
              <w:spacing w:after="0" w:line="240" w:lineRule="auto"/>
              <w:jc w:val="center"/>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25</w:t>
            </w:r>
          </w:p>
        </w:tc>
        <w:tc>
          <w:tcPr>
            <w:tcW w:w="0" w:type="auto"/>
          </w:tcPr>
          <w:p w14:paraId="511C5131" w14:textId="77777777" w:rsidR="00F6696F" w:rsidRPr="00F6696F" w:rsidRDefault="00F6696F" w:rsidP="00F6696F">
            <w:pPr>
              <w:spacing w:after="0" w:line="240" w:lineRule="auto"/>
              <w:rPr>
                <w:rFonts w:ascii="Cambria" w:eastAsia="Times New Roman" w:hAnsi="Cambria" w:cs="Calibri"/>
                <w:kern w:val="0"/>
                <w:sz w:val="18"/>
                <w:szCs w:val="18"/>
                <w:lang w:eastAsia="ja-JP"/>
                <w14:ligatures w14:val="none"/>
              </w:rPr>
            </w:pPr>
          </w:p>
        </w:tc>
        <w:tc>
          <w:tcPr>
            <w:tcW w:w="0" w:type="auto"/>
            <w:noWrap/>
            <w:vAlign w:val="center"/>
            <w:hideMark/>
          </w:tcPr>
          <w:p w14:paraId="4663A3BC"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778D4274"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013B5035"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5B80C2AA"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Pr>
          <w:p w14:paraId="75B8E38D" w14:textId="77777777" w:rsidR="00F6696F" w:rsidRPr="00F6696F" w:rsidRDefault="00F6696F" w:rsidP="00F6696F">
            <w:pPr>
              <w:spacing w:after="0" w:line="240" w:lineRule="auto"/>
              <w:rPr>
                <w:rFonts w:ascii="Cambria" w:eastAsia="Times New Roman" w:hAnsi="Cambria" w:cs="Calibri"/>
                <w:kern w:val="0"/>
                <w:sz w:val="18"/>
                <w:szCs w:val="18"/>
                <w:lang w:val="en-US" w:eastAsia="ja-JP"/>
                <w14:ligatures w14:val="none"/>
              </w:rPr>
            </w:pPr>
          </w:p>
        </w:tc>
        <w:tc>
          <w:tcPr>
            <w:tcW w:w="0" w:type="auto"/>
          </w:tcPr>
          <w:p w14:paraId="50FE7DD3" w14:textId="77777777" w:rsidR="00F6696F" w:rsidRPr="00F6696F" w:rsidRDefault="00F6696F" w:rsidP="00F6696F">
            <w:pPr>
              <w:spacing w:after="0" w:line="240" w:lineRule="auto"/>
              <w:jc w:val="center"/>
              <w:rPr>
                <w:rFonts w:ascii="Cambria" w:eastAsia="Times New Roman" w:hAnsi="Cambria" w:cs="Calibri"/>
                <w:kern w:val="0"/>
                <w:sz w:val="18"/>
                <w:szCs w:val="18"/>
                <w:lang w:val="en-US" w:eastAsia="ja-JP"/>
                <w14:ligatures w14:val="none"/>
              </w:rPr>
            </w:pPr>
          </w:p>
        </w:tc>
        <w:tc>
          <w:tcPr>
            <w:tcW w:w="0" w:type="auto"/>
            <w:shd w:val="clear" w:color="000000" w:fill="D9D9D9"/>
            <w:vAlign w:val="center"/>
            <w:hideMark/>
          </w:tcPr>
          <w:p w14:paraId="4E2DED2E"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Pr>
          <w:p w14:paraId="52F0DC45" w14:textId="77777777" w:rsidR="00F6696F" w:rsidRPr="00F6696F" w:rsidRDefault="00F6696F" w:rsidP="00F6696F">
            <w:pPr>
              <w:spacing w:after="0" w:line="240" w:lineRule="auto"/>
              <w:rPr>
                <w:rFonts w:ascii="Cambria" w:eastAsia="Times New Roman" w:hAnsi="Cambria" w:cs="Calibri"/>
                <w:kern w:val="0"/>
                <w:sz w:val="18"/>
                <w:szCs w:val="18"/>
                <w:lang w:eastAsia="ja-JP"/>
                <w14:ligatures w14:val="none"/>
              </w:rPr>
            </w:pPr>
          </w:p>
        </w:tc>
        <w:tc>
          <w:tcPr>
            <w:tcW w:w="0" w:type="auto"/>
            <w:vAlign w:val="center"/>
            <w:hideMark/>
          </w:tcPr>
          <w:p w14:paraId="7D3F25BE"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7A97F2B0"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32465621"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4F630422"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24A26585"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right w:val="single" w:sz="12" w:space="0" w:color="000000"/>
            </w:tcBorders>
          </w:tcPr>
          <w:p w14:paraId="051D58A4" w14:textId="77777777" w:rsidR="00F6696F" w:rsidRPr="00F6696F" w:rsidRDefault="00F6696F" w:rsidP="00F6696F">
            <w:pPr>
              <w:spacing w:after="0" w:line="240" w:lineRule="auto"/>
              <w:rPr>
                <w:rFonts w:ascii="Cambria" w:eastAsia="Times New Roman" w:hAnsi="Cambria" w:cs="Calibri"/>
                <w:kern w:val="0"/>
                <w:sz w:val="18"/>
                <w:szCs w:val="18"/>
                <w:lang w:val="en-US" w:eastAsia="ja-JP"/>
                <w14:ligatures w14:val="none"/>
              </w:rPr>
            </w:pPr>
          </w:p>
        </w:tc>
      </w:tr>
      <w:tr w:rsidR="00F6696F" w:rsidRPr="00F6696F" w14:paraId="323445B3" w14:textId="77777777" w:rsidTr="00F6696F">
        <w:trPr>
          <w:trHeight w:val="20"/>
        </w:trPr>
        <w:tc>
          <w:tcPr>
            <w:tcW w:w="3823" w:type="dxa"/>
            <w:tcBorders>
              <w:left w:val="single" w:sz="12" w:space="0" w:color="000000"/>
            </w:tcBorders>
            <w:noWrap/>
            <w:vAlign w:val="center"/>
            <w:hideMark/>
          </w:tcPr>
          <w:p w14:paraId="55E3B0BB"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Palangreros entre 24 y 40 m</w:t>
            </w:r>
          </w:p>
        </w:tc>
        <w:tc>
          <w:tcPr>
            <w:tcW w:w="2699" w:type="dxa"/>
            <w:noWrap/>
            <w:vAlign w:val="center"/>
            <w:hideMark/>
          </w:tcPr>
          <w:p w14:paraId="1AFFE162" w14:textId="77777777" w:rsidR="00F6696F" w:rsidRPr="00F6696F" w:rsidRDefault="00F6696F" w:rsidP="00F6696F">
            <w:pPr>
              <w:spacing w:after="0" w:line="240" w:lineRule="auto"/>
              <w:jc w:val="center"/>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5,68</w:t>
            </w:r>
          </w:p>
        </w:tc>
        <w:tc>
          <w:tcPr>
            <w:tcW w:w="0" w:type="auto"/>
          </w:tcPr>
          <w:p w14:paraId="65763235" w14:textId="77777777" w:rsidR="00F6696F" w:rsidRPr="00F6696F" w:rsidRDefault="00F6696F" w:rsidP="00F6696F">
            <w:pPr>
              <w:spacing w:after="0" w:line="240" w:lineRule="auto"/>
              <w:rPr>
                <w:rFonts w:ascii="Cambria" w:eastAsia="Times New Roman" w:hAnsi="Cambria" w:cs="Calibri"/>
                <w:kern w:val="0"/>
                <w:sz w:val="18"/>
                <w:szCs w:val="18"/>
                <w:lang w:eastAsia="ja-JP"/>
                <w14:ligatures w14:val="none"/>
              </w:rPr>
            </w:pPr>
          </w:p>
        </w:tc>
        <w:tc>
          <w:tcPr>
            <w:tcW w:w="0" w:type="auto"/>
            <w:noWrap/>
            <w:vAlign w:val="center"/>
            <w:hideMark/>
          </w:tcPr>
          <w:p w14:paraId="027111A5"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46BE9A1E"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192B4D11"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2D383954"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Pr>
          <w:p w14:paraId="60FC0F2D" w14:textId="77777777" w:rsidR="00F6696F" w:rsidRPr="00F6696F" w:rsidRDefault="00F6696F" w:rsidP="00F6696F">
            <w:pPr>
              <w:spacing w:after="0" w:line="240" w:lineRule="auto"/>
              <w:rPr>
                <w:rFonts w:ascii="Cambria" w:eastAsia="Times New Roman" w:hAnsi="Cambria" w:cs="Calibri"/>
                <w:kern w:val="0"/>
                <w:sz w:val="18"/>
                <w:szCs w:val="18"/>
                <w:lang w:val="en-US" w:eastAsia="ja-JP"/>
                <w14:ligatures w14:val="none"/>
              </w:rPr>
            </w:pPr>
          </w:p>
        </w:tc>
        <w:tc>
          <w:tcPr>
            <w:tcW w:w="0" w:type="auto"/>
          </w:tcPr>
          <w:p w14:paraId="40DF0C03" w14:textId="77777777" w:rsidR="00F6696F" w:rsidRPr="00F6696F" w:rsidRDefault="00F6696F" w:rsidP="00F6696F">
            <w:pPr>
              <w:spacing w:after="0" w:line="240" w:lineRule="auto"/>
              <w:jc w:val="center"/>
              <w:rPr>
                <w:rFonts w:ascii="Cambria" w:eastAsia="Times New Roman" w:hAnsi="Cambria" w:cs="Calibri"/>
                <w:kern w:val="0"/>
                <w:sz w:val="18"/>
                <w:szCs w:val="18"/>
                <w:lang w:val="en-US" w:eastAsia="ja-JP"/>
                <w14:ligatures w14:val="none"/>
              </w:rPr>
            </w:pPr>
          </w:p>
        </w:tc>
        <w:tc>
          <w:tcPr>
            <w:tcW w:w="0" w:type="auto"/>
            <w:shd w:val="clear" w:color="000000" w:fill="D9D9D9"/>
            <w:vAlign w:val="center"/>
            <w:hideMark/>
          </w:tcPr>
          <w:p w14:paraId="47DCA0B0"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Pr>
          <w:p w14:paraId="760D525B" w14:textId="77777777" w:rsidR="00F6696F" w:rsidRPr="00F6696F" w:rsidRDefault="00F6696F" w:rsidP="00F6696F">
            <w:pPr>
              <w:spacing w:after="0" w:line="240" w:lineRule="auto"/>
              <w:rPr>
                <w:rFonts w:ascii="Cambria" w:eastAsia="Times New Roman" w:hAnsi="Cambria" w:cs="Calibri"/>
                <w:kern w:val="0"/>
                <w:sz w:val="18"/>
                <w:szCs w:val="18"/>
                <w:lang w:eastAsia="ja-JP"/>
                <w14:ligatures w14:val="none"/>
              </w:rPr>
            </w:pPr>
          </w:p>
        </w:tc>
        <w:tc>
          <w:tcPr>
            <w:tcW w:w="0" w:type="auto"/>
            <w:vAlign w:val="center"/>
            <w:hideMark/>
          </w:tcPr>
          <w:p w14:paraId="781D65C4"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1AD60206"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1F18505C"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02CFAB66"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73EF1097"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right w:val="single" w:sz="12" w:space="0" w:color="000000"/>
            </w:tcBorders>
          </w:tcPr>
          <w:p w14:paraId="355C54F7" w14:textId="77777777" w:rsidR="00F6696F" w:rsidRPr="00F6696F" w:rsidRDefault="00F6696F" w:rsidP="00F6696F">
            <w:pPr>
              <w:spacing w:after="0" w:line="240" w:lineRule="auto"/>
              <w:rPr>
                <w:rFonts w:ascii="Cambria" w:eastAsia="Times New Roman" w:hAnsi="Cambria" w:cs="Calibri"/>
                <w:kern w:val="0"/>
                <w:sz w:val="18"/>
                <w:szCs w:val="18"/>
                <w:lang w:val="en-US" w:eastAsia="ja-JP"/>
                <w14:ligatures w14:val="none"/>
              </w:rPr>
            </w:pPr>
          </w:p>
        </w:tc>
      </w:tr>
      <w:tr w:rsidR="00F6696F" w:rsidRPr="00F6696F" w14:paraId="3553870E" w14:textId="77777777" w:rsidTr="00F6696F">
        <w:trPr>
          <w:trHeight w:val="20"/>
        </w:trPr>
        <w:tc>
          <w:tcPr>
            <w:tcW w:w="3823" w:type="dxa"/>
            <w:tcBorders>
              <w:left w:val="single" w:sz="12" w:space="0" w:color="000000"/>
            </w:tcBorders>
            <w:noWrap/>
            <w:vAlign w:val="center"/>
            <w:hideMark/>
          </w:tcPr>
          <w:p w14:paraId="1A629FD3"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Palangreros de menos de 24 m</w:t>
            </w:r>
          </w:p>
        </w:tc>
        <w:tc>
          <w:tcPr>
            <w:tcW w:w="2699" w:type="dxa"/>
            <w:noWrap/>
            <w:vAlign w:val="center"/>
            <w:hideMark/>
          </w:tcPr>
          <w:p w14:paraId="549A132E" w14:textId="77777777" w:rsidR="00F6696F" w:rsidRPr="00F6696F" w:rsidRDefault="00F6696F" w:rsidP="00F6696F">
            <w:pPr>
              <w:spacing w:after="0" w:line="240" w:lineRule="auto"/>
              <w:jc w:val="center"/>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5</w:t>
            </w:r>
          </w:p>
        </w:tc>
        <w:tc>
          <w:tcPr>
            <w:tcW w:w="0" w:type="auto"/>
          </w:tcPr>
          <w:p w14:paraId="35DEA806" w14:textId="77777777" w:rsidR="00F6696F" w:rsidRPr="00F6696F" w:rsidRDefault="00F6696F" w:rsidP="00F6696F">
            <w:pPr>
              <w:spacing w:after="0" w:line="240" w:lineRule="auto"/>
              <w:rPr>
                <w:rFonts w:ascii="Cambria" w:eastAsia="Times New Roman" w:hAnsi="Cambria" w:cs="Calibri"/>
                <w:kern w:val="0"/>
                <w:sz w:val="18"/>
                <w:szCs w:val="18"/>
                <w:lang w:eastAsia="ja-JP"/>
                <w14:ligatures w14:val="none"/>
              </w:rPr>
            </w:pPr>
          </w:p>
        </w:tc>
        <w:tc>
          <w:tcPr>
            <w:tcW w:w="0" w:type="auto"/>
            <w:noWrap/>
            <w:vAlign w:val="center"/>
            <w:hideMark/>
          </w:tcPr>
          <w:p w14:paraId="39E0BFA1"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7E2447F8"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50E9F60B"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3A90F510"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Pr>
          <w:p w14:paraId="66164452" w14:textId="77777777" w:rsidR="00F6696F" w:rsidRPr="00F6696F" w:rsidRDefault="00F6696F" w:rsidP="00F6696F">
            <w:pPr>
              <w:spacing w:after="0" w:line="240" w:lineRule="auto"/>
              <w:rPr>
                <w:rFonts w:ascii="Cambria" w:eastAsia="Times New Roman" w:hAnsi="Cambria" w:cs="Calibri"/>
                <w:kern w:val="0"/>
                <w:sz w:val="18"/>
                <w:szCs w:val="18"/>
                <w:lang w:val="en-US" w:eastAsia="ja-JP"/>
                <w14:ligatures w14:val="none"/>
              </w:rPr>
            </w:pPr>
          </w:p>
        </w:tc>
        <w:tc>
          <w:tcPr>
            <w:tcW w:w="0" w:type="auto"/>
          </w:tcPr>
          <w:p w14:paraId="7F47F200" w14:textId="77777777" w:rsidR="00F6696F" w:rsidRPr="00F6696F" w:rsidRDefault="00F6696F" w:rsidP="00F6696F">
            <w:pPr>
              <w:spacing w:after="0" w:line="240" w:lineRule="auto"/>
              <w:jc w:val="center"/>
              <w:rPr>
                <w:rFonts w:ascii="Cambria" w:eastAsia="Times New Roman" w:hAnsi="Cambria" w:cs="Calibri"/>
                <w:kern w:val="0"/>
                <w:sz w:val="18"/>
                <w:szCs w:val="18"/>
                <w:lang w:val="en-US" w:eastAsia="ja-JP"/>
                <w14:ligatures w14:val="none"/>
              </w:rPr>
            </w:pPr>
          </w:p>
        </w:tc>
        <w:tc>
          <w:tcPr>
            <w:tcW w:w="0" w:type="auto"/>
            <w:shd w:val="clear" w:color="000000" w:fill="D9D9D9"/>
            <w:vAlign w:val="center"/>
            <w:hideMark/>
          </w:tcPr>
          <w:p w14:paraId="061BDFA4"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Pr>
          <w:p w14:paraId="765F50F2" w14:textId="77777777" w:rsidR="00F6696F" w:rsidRPr="00F6696F" w:rsidRDefault="00F6696F" w:rsidP="00F6696F">
            <w:pPr>
              <w:spacing w:after="0" w:line="240" w:lineRule="auto"/>
              <w:rPr>
                <w:rFonts w:ascii="Cambria" w:eastAsia="Times New Roman" w:hAnsi="Cambria" w:cs="Calibri"/>
                <w:kern w:val="0"/>
                <w:sz w:val="18"/>
                <w:szCs w:val="18"/>
                <w:lang w:eastAsia="ja-JP"/>
                <w14:ligatures w14:val="none"/>
              </w:rPr>
            </w:pPr>
          </w:p>
        </w:tc>
        <w:tc>
          <w:tcPr>
            <w:tcW w:w="0" w:type="auto"/>
            <w:vAlign w:val="center"/>
            <w:hideMark/>
          </w:tcPr>
          <w:p w14:paraId="41B140DC"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481215F5"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78E13044"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72059FDB"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5CD277D6"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right w:val="single" w:sz="12" w:space="0" w:color="000000"/>
            </w:tcBorders>
          </w:tcPr>
          <w:p w14:paraId="114C4082" w14:textId="77777777" w:rsidR="00F6696F" w:rsidRPr="00F6696F" w:rsidRDefault="00F6696F" w:rsidP="00F6696F">
            <w:pPr>
              <w:spacing w:after="0" w:line="240" w:lineRule="auto"/>
              <w:rPr>
                <w:rFonts w:ascii="Cambria" w:eastAsia="Times New Roman" w:hAnsi="Cambria" w:cs="Calibri"/>
                <w:kern w:val="0"/>
                <w:sz w:val="18"/>
                <w:szCs w:val="18"/>
                <w:lang w:val="en-US" w:eastAsia="ja-JP"/>
                <w14:ligatures w14:val="none"/>
              </w:rPr>
            </w:pPr>
          </w:p>
        </w:tc>
      </w:tr>
      <w:tr w:rsidR="00F6696F" w:rsidRPr="00F6696F" w14:paraId="3FE7C6D6" w14:textId="77777777" w:rsidTr="00F6696F">
        <w:trPr>
          <w:trHeight w:val="20"/>
        </w:trPr>
        <w:tc>
          <w:tcPr>
            <w:tcW w:w="3823" w:type="dxa"/>
            <w:tcBorders>
              <w:left w:val="single" w:sz="12" w:space="0" w:color="000000"/>
            </w:tcBorders>
            <w:noWrap/>
            <w:vAlign w:val="center"/>
            <w:hideMark/>
          </w:tcPr>
          <w:p w14:paraId="6070F708"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Total flota de palangre</w:t>
            </w:r>
          </w:p>
        </w:tc>
        <w:tc>
          <w:tcPr>
            <w:tcW w:w="2699" w:type="dxa"/>
            <w:noWrap/>
            <w:vAlign w:val="center"/>
            <w:hideMark/>
          </w:tcPr>
          <w:p w14:paraId="68C1CAAA" w14:textId="77777777" w:rsidR="00F6696F" w:rsidRPr="00F6696F" w:rsidRDefault="00F6696F" w:rsidP="00F6696F">
            <w:pPr>
              <w:spacing w:after="0" w:line="240" w:lineRule="auto"/>
              <w:rPr>
                <w:rFonts w:ascii="Times New Roman" w:eastAsia="Times New Roman" w:hAnsi="Times New Roman" w:cs="Times New Roman"/>
                <w:kern w:val="0"/>
                <w:sz w:val="18"/>
                <w:szCs w:val="18"/>
                <w:lang w:eastAsia="fr-FR" w:bidi="fr-FR"/>
                <w14:ligatures w14:val="none"/>
              </w:rPr>
            </w:pPr>
            <w:r w:rsidRPr="00F6696F">
              <w:rPr>
                <w:rFonts w:ascii="Times New Roman" w:eastAsia="MS Gothic" w:hAnsi="Times New Roman" w:cs="Times New Roman"/>
                <w:kern w:val="0"/>
                <w:sz w:val="18"/>
                <w:szCs w:val="24"/>
                <w:lang w:eastAsia="fr-FR" w:bidi="fr-FR"/>
                <w14:ligatures w14:val="none"/>
              </w:rPr>
              <w:t> </w:t>
            </w:r>
          </w:p>
        </w:tc>
        <w:tc>
          <w:tcPr>
            <w:tcW w:w="0" w:type="auto"/>
          </w:tcPr>
          <w:p w14:paraId="6D88D703" w14:textId="77777777" w:rsidR="00F6696F" w:rsidRPr="00F6696F" w:rsidRDefault="00F6696F" w:rsidP="00F6696F">
            <w:pPr>
              <w:spacing w:after="0" w:line="240" w:lineRule="auto"/>
              <w:rPr>
                <w:rFonts w:ascii="Cambria" w:eastAsia="Times New Roman" w:hAnsi="Cambria" w:cs="Calibri"/>
                <w:b/>
                <w:bCs/>
                <w:kern w:val="0"/>
                <w:sz w:val="18"/>
                <w:szCs w:val="18"/>
                <w:lang w:eastAsia="ja-JP"/>
                <w14:ligatures w14:val="none"/>
              </w:rPr>
            </w:pPr>
          </w:p>
        </w:tc>
        <w:tc>
          <w:tcPr>
            <w:tcW w:w="0" w:type="auto"/>
            <w:noWrap/>
            <w:vAlign w:val="center"/>
            <w:hideMark/>
          </w:tcPr>
          <w:p w14:paraId="35AD8693"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vAlign w:val="center"/>
            <w:hideMark/>
          </w:tcPr>
          <w:p w14:paraId="5D10923D"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vAlign w:val="center"/>
            <w:hideMark/>
          </w:tcPr>
          <w:p w14:paraId="5FC70A05"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vAlign w:val="center"/>
            <w:hideMark/>
          </w:tcPr>
          <w:p w14:paraId="71D8562D"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tcPr>
          <w:p w14:paraId="136EFFED" w14:textId="77777777" w:rsidR="00F6696F" w:rsidRPr="00F6696F" w:rsidRDefault="00F6696F" w:rsidP="00F6696F">
            <w:pPr>
              <w:spacing w:after="0" w:line="240" w:lineRule="auto"/>
              <w:rPr>
                <w:rFonts w:ascii="Cambria" w:eastAsia="Times New Roman" w:hAnsi="Cambria" w:cs="Calibri"/>
                <w:b/>
                <w:bCs/>
                <w:kern w:val="0"/>
                <w:sz w:val="18"/>
                <w:szCs w:val="18"/>
                <w:lang w:val="en-US" w:eastAsia="ja-JP"/>
                <w14:ligatures w14:val="none"/>
              </w:rPr>
            </w:pPr>
          </w:p>
        </w:tc>
        <w:tc>
          <w:tcPr>
            <w:tcW w:w="0" w:type="auto"/>
          </w:tcPr>
          <w:p w14:paraId="245CD914" w14:textId="77777777" w:rsidR="00F6696F" w:rsidRPr="00F6696F" w:rsidRDefault="00F6696F" w:rsidP="00F6696F">
            <w:pPr>
              <w:spacing w:after="0" w:line="240" w:lineRule="auto"/>
              <w:jc w:val="center"/>
              <w:rPr>
                <w:rFonts w:ascii="Cambria" w:eastAsia="Times New Roman" w:hAnsi="Cambria" w:cs="Calibri"/>
                <w:kern w:val="0"/>
                <w:sz w:val="18"/>
                <w:szCs w:val="18"/>
                <w:lang w:val="en-US" w:eastAsia="ja-JP"/>
                <w14:ligatures w14:val="none"/>
              </w:rPr>
            </w:pPr>
          </w:p>
        </w:tc>
        <w:tc>
          <w:tcPr>
            <w:tcW w:w="0" w:type="auto"/>
            <w:shd w:val="clear" w:color="000000" w:fill="D9D9D9"/>
            <w:vAlign w:val="center"/>
            <w:hideMark/>
          </w:tcPr>
          <w:p w14:paraId="19008DAA"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tcPr>
          <w:p w14:paraId="45476B7B" w14:textId="77777777" w:rsidR="00F6696F" w:rsidRPr="00F6696F" w:rsidRDefault="00F6696F" w:rsidP="00F6696F">
            <w:pPr>
              <w:spacing w:after="0" w:line="240" w:lineRule="auto"/>
              <w:rPr>
                <w:rFonts w:ascii="Cambria" w:eastAsia="Times New Roman" w:hAnsi="Cambria" w:cs="Calibri"/>
                <w:b/>
                <w:bCs/>
                <w:kern w:val="0"/>
                <w:sz w:val="18"/>
                <w:szCs w:val="18"/>
                <w:lang w:eastAsia="ja-JP"/>
                <w14:ligatures w14:val="none"/>
              </w:rPr>
            </w:pPr>
          </w:p>
        </w:tc>
        <w:tc>
          <w:tcPr>
            <w:tcW w:w="0" w:type="auto"/>
            <w:vAlign w:val="center"/>
            <w:hideMark/>
          </w:tcPr>
          <w:p w14:paraId="5FF3146A"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vAlign w:val="center"/>
            <w:hideMark/>
          </w:tcPr>
          <w:p w14:paraId="0B631255"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vAlign w:val="center"/>
            <w:hideMark/>
          </w:tcPr>
          <w:p w14:paraId="72C308F6"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vAlign w:val="center"/>
            <w:hideMark/>
          </w:tcPr>
          <w:p w14:paraId="3F3BCD83"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vAlign w:val="center"/>
            <w:hideMark/>
          </w:tcPr>
          <w:p w14:paraId="7447F613"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tcBorders>
              <w:right w:val="single" w:sz="12" w:space="0" w:color="000000"/>
            </w:tcBorders>
          </w:tcPr>
          <w:p w14:paraId="07B82ECB" w14:textId="77777777" w:rsidR="00F6696F" w:rsidRPr="00F6696F" w:rsidRDefault="00F6696F" w:rsidP="00F6696F">
            <w:pPr>
              <w:spacing w:after="0" w:line="240" w:lineRule="auto"/>
              <w:rPr>
                <w:rFonts w:ascii="Cambria" w:eastAsia="Times New Roman" w:hAnsi="Cambria" w:cs="Calibri"/>
                <w:b/>
                <w:bCs/>
                <w:kern w:val="0"/>
                <w:sz w:val="18"/>
                <w:szCs w:val="18"/>
                <w:lang w:val="en-US" w:eastAsia="ja-JP"/>
                <w14:ligatures w14:val="none"/>
              </w:rPr>
            </w:pPr>
          </w:p>
        </w:tc>
      </w:tr>
      <w:tr w:rsidR="00F6696F" w:rsidRPr="00F6696F" w14:paraId="0957C576" w14:textId="77777777" w:rsidTr="00F6696F">
        <w:trPr>
          <w:trHeight w:val="192"/>
        </w:trPr>
        <w:tc>
          <w:tcPr>
            <w:tcW w:w="3823" w:type="dxa"/>
            <w:tcBorders>
              <w:left w:val="single" w:sz="12" w:space="0" w:color="000000"/>
            </w:tcBorders>
            <w:noWrap/>
            <w:vAlign w:val="center"/>
            <w:hideMark/>
          </w:tcPr>
          <w:p w14:paraId="39C3D636"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Cebo vivo</w:t>
            </w:r>
            <w:r w:rsidRPr="00F6696F">
              <w:rPr>
                <w:rFonts w:ascii="Cambria" w:eastAsia="MS Gothic" w:hAnsi="Cambria" w:cs="Times New Roman"/>
                <w:kern w:val="0"/>
                <w:sz w:val="18"/>
                <w:szCs w:val="24"/>
                <w:vertAlign w:val="superscript"/>
                <w:lang w:eastAsia="fr-FR" w:bidi="fr-FR"/>
                <w14:ligatures w14:val="none"/>
              </w:rPr>
              <w:t>3</w:t>
            </w:r>
          </w:p>
        </w:tc>
        <w:tc>
          <w:tcPr>
            <w:tcW w:w="2699" w:type="dxa"/>
            <w:noWrap/>
            <w:vAlign w:val="center"/>
            <w:hideMark/>
          </w:tcPr>
          <w:p w14:paraId="28FDA09F" w14:textId="77777777" w:rsidR="00F6696F" w:rsidRPr="00F6696F" w:rsidRDefault="00F6696F" w:rsidP="00F6696F">
            <w:pPr>
              <w:spacing w:after="0" w:line="240" w:lineRule="auto"/>
              <w:jc w:val="center"/>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19,75</w:t>
            </w:r>
          </w:p>
        </w:tc>
        <w:tc>
          <w:tcPr>
            <w:tcW w:w="0" w:type="auto"/>
          </w:tcPr>
          <w:p w14:paraId="2507C6C9" w14:textId="77777777" w:rsidR="00F6696F" w:rsidRPr="00F6696F" w:rsidRDefault="00F6696F" w:rsidP="00F6696F">
            <w:pPr>
              <w:spacing w:after="0" w:line="240" w:lineRule="auto"/>
              <w:rPr>
                <w:rFonts w:ascii="Cambria" w:eastAsia="Times New Roman" w:hAnsi="Cambria" w:cs="Calibri"/>
                <w:b/>
                <w:bCs/>
                <w:kern w:val="0"/>
                <w:sz w:val="18"/>
                <w:szCs w:val="18"/>
                <w:lang w:eastAsia="ja-JP"/>
                <w14:ligatures w14:val="none"/>
              </w:rPr>
            </w:pPr>
          </w:p>
        </w:tc>
        <w:tc>
          <w:tcPr>
            <w:tcW w:w="0" w:type="auto"/>
            <w:noWrap/>
            <w:vAlign w:val="center"/>
            <w:hideMark/>
          </w:tcPr>
          <w:p w14:paraId="3661CA63"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vAlign w:val="center"/>
            <w:hideMark/>
          </w:tcPr>
          <w:p w14:paraId="609E08BC"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vAlign w:val="center"/>
            <w:hideMark/>
          </w:tcPr>
          <w:p w14:paraId="29C20D28"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vAlign w:val="center"/>
            <w:hideMark/>
          </w:tcPr>
          <w:p w14:paraId="147F90D9"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tcPr>
          <w:p w14:paraId="7CE49C16" w14:textId="77777777" w:rsidR="00F6696F" w:rsidRPr="00F6696F" w:rsidRDefault="00F6696F" w:rsidP="00F6696F">
            <w:pPr>
              <w:spacing w:after="0" w:line="240" w:lineRule="auto"/>
              <w:rPr>
                <w:rFonts w:ascii="Cambria" w:eastAsia="Times New Roman" w:hAnsi="Cambria" w:cs="Calibri"/>
                <w:b/>
                <w:bCs/>
                <w:kern w:val="0"/>
                <w:sz w:val="18"/>
                <w:szCs w:val="18"/>
                <w:lang w:val="en-US" w:eastAsia="ja-JP"/>
                <w14:ligatures w14:val="none"/>
              </w:rPr>
            </w:pPr>
          </w:p>
        </w:tc>
        <w:tc>
          <w:tcPr>
            <w:tcW w:w="0" w:type="auto"/>
          </w:tcPr>
          <w:p w14:paraId="6944EE3A" w14:textId="77777777" w:rsidR="00F6696F" w:rsidRPr="00F6696F" w:rsidRDefault="00F6696F" w:rsidP="00F6696F">
            <w:pPr>
              <w:spacing w:after="0" w:line="240" w:lineRule="auto"/>
              <w:jc w:val="center"/>
              <w:rPr>
                <w:rFonts w:ascii="Cambria" w:eastAsia="Times New Roman" w:hAnsi="Cambria" w:cs="Calibri"/>
                <w:kern w:val="0"/>
                <w:sz w:val="18"/>
                <w:szCs w:val="18"/>
                <w:lang w:val="en-US" w:eastAsia="ja-JP"/>
                <w14:ligatures w14:val="none"/>
              </w:rPr>
            </w:pPr>
          </w:p>
        </w:tc>
        <w:tc>
          <w:tcPr>
            <w:tcW w:w="0" w:type="auto"/>
            <w:shd w:val="clear" w:color="000000" w:fill="D9D9D9"/>
            <w:vAlign w:val="center"/>
            <w:hideMark/>
          </w:tcPr>
          <w:p w14:paraId="14741930"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tcPr>
          <w:p w14:paraId="44F7126A" w14:textId="77777777" w:rsidR="00F6696F" w:rsidRPr="00F6696F" w:rsidRDefault="00F6696F" w:rsidP="00F6696F">
            <w:pPr>
              <w:spacing w:after="0" w:line="240" w:lineRule="auto"/>
              <w:rPr>
                <w:rFonts w:ascii="Cambria" w:eastAsia="Times New Roman" w:hAnsi="Cambria" w:cs="Calibri"/>
                <w:b/>
                <w:bCs/>
                <w:kern w:val="0"/>
                <w:sz w:val="18"/>
                <w:szCs w:val="18"/>
                <w:lang w:eastAsia="ja-JP"/>
                <w14:ligatures w14:val="none"/>
              </w:rPr>
            </w:pPr>
          </w:p>
        </w:tc>
        <w:tc>
          <w:tcPr>
            <w:tcW w:w="0" w:type="auto"/>
            <w:vAlign w:val="center"/>
            <w:hideMark/>
          </w:tcPr>
          <w:p w14:paraId="558A4D64"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vAlign w:val="center"/>
            <w:hideMark/>
          </w:tcPr>
          <w:p w14:paraId="35C7C9D9"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vAlign w:val="center"/>
            <w:hideMark/>
          </w:tcPr>
          <w:p w14:paraId="4C975F7A"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vAlign w:val="center"/>
            <w:hideMark/>
          </w:tcPr>
          <w:p w14:paraId="66369665"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vAlign w:val="center"/>
            <w:hideMark/>
          </w:tcPr>
          <w:p w14:paraId="5734A10B"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tcBorders>
              <w:right w:val="single" w:sz="12" w:space="0" w:color="000000"/>
            </w:tcBorders>
          </w:tcPr>
          <w:p w14:paraId="1913029B" w14:textId="77777777" w:rsidR="00F6696F" w:rsidRPr="00F6696F" w:rsidRDefault="00F6696F" w:rsidP="00F6696F">
            <w:pPr>
              <w:spacing w:after="0" w:line="240" w:lineRule="auto"/>
              <w:rPr>
                <w:rFonts w:ascii="Cambria" w:eastAsia="Times New Roman" w:hAnsi="Cambria" w:cs="Calibri"/>
                <w:b/>
                <w:bCs/>
                <w:kern w:val="0"/>
                <w:sz w:val="18"/>
                <w:szCs w:val="18"/>
                <w:lang w:val="en-US" w:eastAsia="ja-JP"/>
                <w14:ligatures w14:val="none"/>
              </w:rPr>
            </w:pPr>
          </w:p>
        </w:tc>
      </w:tr>
      <w:tr w:rsidR="00F6696F" w:rsidRPr="00F6696F" w14:paraId="655DE38D" w14:textId="77777777" w:rsidTr="00F6696F">
        <w:trPr>
          <w:trHeight w:val="20"/>
        </w:trPr>
        <w:tc>
          <w:tcPr>
            <w:tcW w:w="3823" w:type="dxa"/>
            <w:tcBorders>
              <w:left w:val="single" w:sz="12" w:space="0" w:color="000000"/>
            </w:tcBorders>
            <w:noWrap/>
            <w:vAlign w:val="center"/>
            <w:hideMark/>
          </w:tcPr>
          <w:p w14:paraId="073EE87B"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Liña de mano</w:t>
            </w:r>
          </w:p>
        </w:tc>
        <w:tc>
          <w:tcPr>
            <w:tcW w:w="2699" w:type="dxa"/>
            <w:noWrap/>
            <w:vAlign w:val="center"/>
            <w:hideMark/>
          </w:tcPr>
          <w:p w14:paraId="13697B65" w14:textId="77777777" w:rsidR="00F6696F" w:rsidRPr="00F6696F" w:rsidRDefault="00F6696F" w:rsidP="00F6696F">
            <w:pPr>
              <w:spacing w:after="0" w:line="240" w:lineRule="auto"/>
              <w:jc w:val="center"/>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5</w:t>
            </w:r>
          </w:p>
        </w:tc>
        <w:tc>
          <w:tcPr>
            <w:tcW w:w="0" w:type="auto"/>
          </w:tcPr>
          <w:p w14:paraId="50AF9AD2" w14:textId="77777777" w:rsidR="00F6696F" w:rsidRPr="00F6696F" w:rsidRDefault="00F6696F" w:rsidP="00F6696F">
            <w:pPr>
              <w:spacing w:after="0" w:line="240" w:lineRule="auto"/>
              <w:rPr>
                <w:rFonts w:ascii="Cambria" w:eastAsia="Times New Roman" w:hAnsi="Cambria" w:cs="Calibri"/>
                <w:kern w:val="0"/>
                <w:sz w:val="18"/>
                <w:szCs w:val="18"/>
                <w:lang w:eastAsia="ja-JP"/>
                <w14:ligatures w14:val="none"/>
              </w:rPr>
            </w:pPr>
          </w:p>
        </w:tc>
        <w:tc>
          <w:tcPr>
            <w:tcW w:w="0" w:type="auto"/>
            <w:noWrap/>
            <w:vAlign w:val="center"/>
            <w:hideMark/>
          </w:tcPr>
          <w:p w14:paraId="7BD34EEA"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74876509"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093BF831"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5CAD3542"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Pr>
          <w:p w14:paraId="7BE10D6C" w14:textId="77777777" w:rsidR="00F6696F" w:rsidRPr="00F6696F" w:rsidRDefault="00F6696F" w:rsidP="00F6696F">
            <w:pPr>
              <w:spacing w:after="0" w:line="240" w:lineRule="auto"/>
              <w:rPr>
                <w:rFonts w:ascii="Cambria" w:eastAsia="Times New Roman" w:hAnsi="Cambria" w:cs="Calibri"/>
                <w:kern w:val="0"/>
                <w:sz w:val="18"/>
                <w:szCs w:val="18"/>
                <w:lang w:val="en-US" w:eastAsia="ja-JP"/>
                <w14:ligatures w14:val="none"/>
              </w:rPr>
            </w:pPr>
          </w:p>
        </w:tc>
        <w:tc>
          <w:tcPr>
            <w:tcW w:w="0" w:type="auto"/>
          </w:tcPr>
          <w:p w14:paraId="03CCF062" w14:textId="77777777" w:rsidR="00F6696F" w:rsidRPr="00F6696F" w:rsidRDefault="00F6696F" w:rsidP="00F6696F">
            <w:pPr>
              <w:spacing w:after="0" w:line="240" w:lineRule="auto"/>
              <w:jc w:val="center"/>
              <w:rPr>
                <w:rFonts w:ascii="Cambria" w:eastAsia="Times New Roman" w:hAnsi="Cambria" w:cs="Calibri"/>
                <w:kern w:val="0"/>
                <w:sz w:val="18"/>
                <w:szCs w:val="18"/>
                <w:lang w:val="en-US" w:eastAsia="ja-JP"/>
                <w14:ligatures w14:val="none"/>
              </w:rPr>
            </w:pPr>
          </w:p>
        </w:tc>
        <w:tc>
          <w:tcPr>
            <w:tcW w:w="0" w:type="auto"/>
            <w:shd w:val="clear" w:color="000000" w:fill="D9D9D9"/>
            <w:vAlign w:val="center"/>
            <w:hideMark/>
          </w:tcPr>
          <w:p w14:paraId="682E94B9"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Pr>
          <w:p w14:paraId="5E0C7517" w14:textId="77777777" w:rsidR="00F6696F" w:rsidRPr="00F6696F" w:rsidRDefault="00F6696F" w:rsidP="00F6696F">
            <w:pPr>
              <w:spacing w:after="0" w:line="240" w:lineRule="auto"/>
              <w:rPr>
                <w:rFonts w:ascii="Cambria" w:eastAsia="Times New Roman" w:hAnsi="Cambria" w:cs="Calibri"/>
                <w:kern w:val="0"/>
                <w:sz w:val="18"/>
                <w:szCs w:val="18"/>
                <w:lang w:eastAsia="ja-JP"/>
                <w14:ligatures w14:val="none"/>
              </w:rPr>
            </w:pPr>
          </w:p>
        </w:tc>
        <w:tc>
          <w:tcPr>
            <w:tcW w:w="0" w:type="auto"/>
            <w:vAlign w:val="center"/>
            <w:hideMark/>
          </w:tcPr>
          <w:p w14:paraId="1EF4E52D"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34089F74"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49D9F025"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48DE8E76"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1D0C2899"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right w:val="single" w:sz="12" w:space="0" w:color="000000"/>
            </w:tcBorders>
          </w:tcPr>
          <w:p w14:paraId="767E465A" w14:textId="77777777" w:rsidR="00F6696F" w:rsidRPr="00F6696F" w:rsidRDefault="00F6696F" w:rsidP="00F6696F">
            <w:pPr>
              <w:spacing w:after="0" w:line="240" w:lineRule="auto"/>
              <w:rPr>
                <w:rFonts w:ascii="Cambria" w:eastAsia="Times New Roman" w:hAnsi="Cambria" w:cs="Calibri"/>
                <w:kern w:val="0"/>
                <w:sz w:val="18"/>
                <w:szCs w:val="18"/>
                <w:lang w:val="en-US" w:eastAsia="ja-JP"/>
                <w14:ligatures w14:val="none"/>
              </w:rPr>
            </w:pPr>
          </w:p>
        </w:tc>
      </w:tr>
      <w:tr w:rsidR="00F6696F" w:rsidRPr="00F6696F" w14:paraId="0D4D4083" w14:textId="77777777" w:rsidTr="00F6696F">
        <w:trPr>
          <w:trHeight w:val="20"/>
        </w:trPr>
        <w:tc>
          <w:tcPr>
            <w:tcW w:w="3823" w:type="dxa"/>
            <w:tcBorders>
              <w:left w:val="single" w:sz="12" w:space="0" w:color="000000"/>
            </w:tcBorders>
            <w:noWrap/>
            <w:vAlign w:val="center"/>
            <w:hideMark/>
          </w:tcPr>
          <w:p w14:paraId="5DEF97F9"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Arrastreros</w:t>
            </w:r>
          </w:p>
        </w:tc>
        <w:tc>
          <w:tcPr>
            <w:tcW w:w="2699" w:type="dxa"/>
            <w:noWrap/>
            <w:vAlign w:val="center"/>
            <w:hideMark/>
          </w:tcPr>
          <w:p w14:paraId="4BA6200C" w14:textId="77777777" w:rsidR="00F6696F" w:rsidRPr="00F6696F" w:rsidRDefault="00F6696F" w:rsidP="00F6696F">
            <w:pPr>
              <w:spacing w:after="0" w:line="240" w:lineRule="auto"/>
              <w:jc w:val="center"/>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10</w:t>
            </w:r>
          </w:p>
        </w:tc>
        <w:tc>
          <w:tcPr>
            <w:tcW w:w="0" w:type="auto"/>
          </w:tcPr>
          <w:p w14:paraId="3F28381D" w14:textId="77777777" w:rsidR="00F6696F" w:rsidRPr="00F6696F" w:rsidRDefault="00F6696F" w:rsidP="00F6696F">
            <w:pPr>
              <w:spacing w:after="0" w:line="240" w:lineRule="auto"/>
              <w:rPr>
                <w:rFonts w:ascii="Cambria" w:eastAsia="Times New Roman" w:hAnsi="Cambria" w:cs="Calibri"/>
                <w:kern w:val="0"/>
                <w:sz w:val="18"/>
                <w:szCs w:val="18"/>
                <w:lang w:eastAsia="ja-JP"/>
                <w14:ligatures w14:val="none"/>
              </w:rPr>
            </w:pPr>
          </w:p>
        </w:tc>
        <w:tc>
          <w:tcPr>
            <w:tcW w:w="0" w:type="auto"/>
            <w:noWrap/>
            <w:vAlign w:val="center"/>
            <w:hideMark/>
          </w:tcPr>
          <w:p w14:paraId="04FD7C84"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0B9E8E7A"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5CCC8C7A"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2E35F9F7"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Pr>
          <w:p w14:paraId="67C343CE" w14:textId="77777777" w:rsidR="00F6696F" w:rsidRPr="00F6696F" w:rsidRDefault="00F6696F" w:rsidP="00F6696F">
            <w:pPr>
              <w:spacing w:after="0" w:line="240" w:lineRule="auto"/>
              <w:rPr>
                <w:rFonts w:ascii="Cambria" w:eastAsia="Times New Roman" w:hAnsi="Cambria" w:cs="Calibri"/>
                <w:kern w:val="0"/>
                <w:sz w:val="18"/>
                <w:szCs w:val="18"/>
                <w:lang w:val="en-US" w:eastAsia="ja-JP"/>
                <w14:ligatures w14:val="none"/>
              </w:rPr>
            </w:pPr>
          </w:p>
        </w:tc>
        <w:tc>
          <w:tcPr>
            <w:tcW w:w="0" w:type="auto"/>
          </w:tcPr>
          <w:p w14:paraId="490D3630" w14:textId="77777777" w:rsidR="00F6696F" w:rsidRPr="00F6696F" w:rsidRDefault="00F6696F" w:rsidP="00F6696F">
            <w:pPr>
              <w:spacing w:after="0" w:line="240" w:lineRule="auto"/>
              <w:jc w:val="center"/>
              <w:rPr>
                <w:rFonts w:ascii="Cambria" w:eastAsia="Times New Roman" w:hAnsi="Cambria" w:cs="Calibri"/>
                <w:kern w:val="0"/>
                <w:sz w:val="18"/>
                <w:szCs w:val="18"/>
                <w:lang w:val="en-US" w:eastAsia="ja-JP"/>
                <w14:ligatures w14:val="none"/>
              </w:rPr>
            </w:pPr>
          </w:p>
        </w:tc>
        <w:tc>
          <w:tcPr>
            <w:tcW w:w="0" w:type="auto"/>
            <w:shd w:val="clear" w:color="000000" w:fill="D9D9D9"/>
            <w:vAlign w:val="center"/>
            <w:hideMark/>
          </w:tcPr>
          <w:p w14:paraId="1AE4AF0C"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Pr>
          <w:p w14:paraId="521C3082" w14:textId="77777777" w:rsidR="00F6696F" w:rsidRPr="00F6696F" w:rsidRDefault="00F6696F" w:rsidP="00F6696F">
            <w:pPr>
              <w:spacing w:after="0" w:line="240" w:lineRule="auto"/>
              <w:rPr>
                <w:rFonts w:ascii="Cambria" w:eastAsia="Times New Roman" w:hAnsi="Cambria" w:cs="Calibri"/>
                <w:kern w:val="0"/>
                <w:sz w:val="18"/>
                <w:szCs w:val="18"/>
                <w:lang w:eastAsia="ja-JP"/>
                <w14:ligatures w14:val="none"/>
              </w:rPr>
            </w:pPr>
          </w:p>
        </w:tc>
        <w:tc>
          <w:tcPr>
            <w:tcW w:w="0" w:type="auto"/>
            <w:vAlign w:val="center"/>
            <w:hideMark/>
          </w:tcPr>
          <w:p w14:paraId="1E7DBA34"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585D2199"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07DEDA14"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0B60EF89"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vAlign w:val="center"/>
            <w:hideMark/>
          </w:tcPr>
          <w:p w14:paraId="20D20C13"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right w:val="single" w:sz="12" w:space="0" w:color="000000"/>
            </w:tcBorders>
          </w:tcPr>
          <w:p w14:paraId="3525FC4F" w14:textId="77777777" w:rsidR="00F6696F" w:rsidRPr="00F6696F" w:rsidRDefault="00F6696F" w:rsidP="00F6696F">
            <w:pPr>
              <w:spacing w:after="0" w:line="240" w:lineRule="auto"/>
              <w:rPr>
                <w:rFonts w:ascii="Cambria" w:eastAsia="Times New Roman" w:hAnsi="Cambria" w:cs="Calibri"/>
                <w:kern w:val="0"/>
                <w:sz w:val="18"/>
                <w:szCs w:val="18"/>
                <w:lang w:val="en-US" w:eastAsia="ja-JP"/>
                <w14:ligatures w14:val="none"/>
              </w:rPr>
            </w:pPr>
          </w:p>
        </w:tc>
      </w:tr>
      <w:tr w:rsidR="00F6696F" w:rsidRPr="00F6696F" w14:paraId="049DEFFA" w14:textId="77777777" w:rsidTr="00F6696F">
        <w:trPr>
          <w:trHeight w:val="20"/>
        </w:trPr>
        <w:tc>
          <w:tcPr>
            <w:tcW w:w="3823" w:type="dxa"/>
            <w:tcBorders>
              <w:left w:val="single" w:sz="12" w:space="0" w:color="000000"/>
            </w:tcBorders>
            <w:noWrap/>
            <w:vAlign w:val="center"/>
            <w:hideMark/>
          </w:tcPr>
          <w:p w14:paraId="67B0A4F3"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Almadrabas</w:t>
            </w:r>
          </w:p>
        </w:tc>
        <w:tc>
          <w:tcPr>
            <w:tcW w:w="2699" w:type="dxa"/>
            <w:noWrap/>
            <w:vAlign w:val="center"/>
            <w:hideMark/>
          </w:tcPr>
          <w:p w14:paraId="7EB4E36D" w14:textId="77777777" w:rsidR="00F6696F" w:rsidRPr="00F6696F" w:rsidRDefault="00F6696F" w:rsidP="00F6696F">
            <w:pPr>
              <w:spacing w:after="0" w:line="240" w:lineRule="auto"/>
              <w:jc w:val="center"/>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130</w:t>
            </w:r>
          </w:p>
        </w:tc>
        <w:tc>
          <w:tcPr>
            <w:tcW w:w="0" w:type="auto"/>
          </w:tcPr>
          <w:p w14:paraId="7C85D50A" w14:textId="77777777" w:rsidR="00F6696F" w:rsidRPr="00F6696F" w:rsidRDefault="00F6696F" w:rsidP="00F6696F">
            <w:pPr>
              <w:spacing w:after="0" w:line="240" w:lineRule="auto"/>
              <w:rPr>
                <w:rFonts w:ascii="Cambria" w:eastAsia="Times New Roman" w:hAnsi="Cambria" w:cs="Calibri"/>
                <w:b/>
                <w:bCs/>
                <w:kern w:val="0"/>
                <w:sz w:val="18"/>
                <w:szCs w:val="18"/>
                <w:lang w:eastAsia="ja-JP"/>
                <w14:ligatures w14:val="none"/>
              </w:rPr>
            </w:pPr>
          </w:p>
        </w:tc>
        <w:tc>
          <w:tcPr>
            <w:tcW w:w="0" w:type="auto"/>
            <w:noWrap/>
            <w:vAlign w:val="center"/>
            <w:hideMark/>
          </w:tcPr>
          <w:p w14:paraId="354AD7FF"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vAlign w:val="center"/>
            <w:hideMark/>
          </w:tcPr>
          <w:p w14:paraId="134D12C1"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vAlign w:val="center"/>
            <w:hideMark/>
          </w:tcPr>
          <w:p w14:paraId="0ED523AC"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vAlign w:val="center"/>
            <w:hideMark/>
          </w:tcPr>
          <w:p w14:paraId="21C641BF"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tcPr>
          <w:p w14:paraId="4DD50212" w14:textId="77777777" w:rsidR="00F6696F" w:rsidRPr="00F6696F" w:rsidRDefault="00F6696F" w:rsidP="00F6696F">
            <w:pPr>
              <w:spacing w:after="0" w:line="240" w:lineRule="auto"/>
              <w:rPr>
                <w:rFonts w:ascii="Cambria" w:eastAsia="Times New Roman" w:hAnsi="Cambria" w:cs="Calibri"/>
                <w:b/>
                <w:bCs/>
                <w:kern w:val="0"/>
                <w:sz w:val="18"/>
                <w:szCs w:val="18"/>
                <w:lang w:val="en-US" w:eastAsia="ja-JP"/>
                <w14:ligatures w14:val="none"/>
              </w:rPr>
            </w:pPr>
          </w:p>
        </w:tc>
        <w:tc>
          <w:tcPr>
            <w:tcW w:w="0" w:type="auto"/>
          </w:tcPr>
          <w:p w14:paraId="7FBD4387" w14:textId="77777777" w:rsidR="00F6696F" w:rsidRPr="00F6696F" w:rsidRDefault="00F6696F" w:rsidP="00F6696F">
            <w:pPr>
              <w:spacing w:after="0" w:line="240" w:lineRule="auto"/>
              <w:jc w:val="center"/>
              <w:rPr>
                <w:rFonts w:ascii="Cambria" w:eastAsia="Times New Roman" w:hAnsi="Cambria" w:cs="Calibri"/>
                <w:kern w:val="0"/>
                <w:sz w:val="18"/>
                <w:szCs w:val="18"/>
                <w:lang w:val="en-US" w:eastAsia="ja-JP"/>
                <w14:ligatures w14:val="none"/>
              </w:rPr>
            </w:pPr>
          </w:p>
        </w:tc>
        <w:tc>
          <w:tcPr>
            <w:tcW w:w="0" w:type="auto"/>
            <w:shd w:val="clear" w:color="000000" w:fill="D9D9D9"/>
            <w:vAlign w:val="center"/>
            <w:hideMark/>
          </w:tcPr>
          <w:p w14:paraId="1AD48DD4"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tcPr>
          <w:p w14:paraId="6751B430" w14:textId="77777777" w:rsidR="00F6696F" w:rsidRPr="00F6696F" w:rsidRDefault="00F6696F" w:rsidP="00F6696F">
            <w:pPr>
              <w:spacing w:after="0" w:line="240" w:lineRule="auto"/>
              <w:rPr>
                <w:rFonts w:ascii="Cambria" w:eastAsia="Times New Roman" w:hAnsi="Cambria" w:cs="Calibri"/>
                <w:b/>
                <w:bCs/>
                <w:kern w:val="0"/>
                <w:sz w:val="18"/>
                <w:szCs w:val="18"/>
                <w:lang w:eastAsia="ja-JP"/>
                <w14:ligatures w14:val="none"/>
              </w:rPr>
            </w:pPr>
          </w:p>
        </w:tc>
        <w:tc>
          <w:tcPr>
            <w:tcW w:w="0" w:type="auto"/>
            <w:vAlign w:val="center"/>
            <w:hideMark/>
          </w:tcPr>
          <w:p w14:paraId="447A7BCA"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vAlign w:val="center"/>
            <w:hideMark/>
          </w:tcPr>
          <w:p w14:paraId="29EBD2DE"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vAlign w:val="center"/>
            <w:hideMark/>
          </w:tcPr>
          <w:p w14:paraId="57056A5C"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vAlign w:val="center"/>
            <w:hideMark/>
          </w:tcPr>
          <w:p w14:paraId="05CE31DA"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vAlign w:val="center"/>
            <w:hideMark/>
          </w:tcPr>
          <w:p w14:paraId="525B3749"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tcBorders>
              <w:right w:val="single" w:sz="12" w:space="0" w:color="000000"/>
            </w:tcBorders>
          </w:tcPr>
          <w:p w14:paraId="1064C31D" w14:textId="77777777" w:rsidR="00F6696F" w:rsidRPr="00F6696F" w:rsidRDefault="00F6696F" w:rsidP="00F6696F">
            <w:pPr>
              <w:spacing w:after="0" w:line="240" w:lineRule="auto"/>
              <w:rPr>
                <w:rFonts w:ascii="Cambria" w:eastAsia="Times New Roman" w:hAnsi="Cambria" w:cs="Calibri"/>
                <w:b/>
                <w:bCs/>
                <w:kern w:val="0"/>
                <w:sz w:val="18"/>
                <w:szCs w:val="18"/>
                <w:lang w:val="en-US" w:eastAsia="ja-JP"/>
                <w14:ligatures w14:val="none"/>
              </w:rPr>
            </w:pPr>
          </w:p>
        </w:tc>
      </w:tr>
      <w:tr w:rsidR="00F6696F" w:rsidRPr="00F6696F" w14:paraId="27F20407" w14:textId="77777777" w:rsidTr="00F6696F">
        <w:trPr>
          <w:trHeight w:val="20"/>
        </w:trPr>
        <w:tc>
          <w:tcPr>
            <w:tcW w:w="3823" w:type="dxa"/>
            <w:tcBorders>
              <w:left w:val="single" w:sz="12" w:space="0" w:color="000000"/>
            </w:tcBorders>
            <w:vAlign w:val="center"/>
            <w:hideMark/>
          </w:tcPr>
          <w:p w14:paraId="3A0C0564"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Pequeños barcos costeros</w:t>
            </w:r>
            <w:r w:rsidRPr="00F6696F">
              <w:rPr>
                <w:rFonts w:ascii="Cambria" w:eastAsia="MS Gothic" w:hAnsi="Cambria" w:cs="Times New Roman"/>
                <w:kern w:val="0"/>
                <w:sz w:val="18"/>
                <w:szCs w:val="24"/>
                <w:vertAlign w:val="superscript"/>
                <w:lang w:eastAsia="fr-FR" w:bidi="fr-FR"/>
                <w14:ligatures w14:val="none"/>
              </w:rPr>
              <w:t>4</w:t>
            </w:r>
            <w:r w:rsidRPr="00F6696F">
              <w:rPr>
                <w:rFonts w:ascii="Cambria" w:eastAsia="MS Gothic" w:hAnsi="Cambria" w:cs="Times New Roman"/>
                <w:kern w:val="0"/>
                <w:sz w:val="18"/>
                <w:szCs w:val="24"/>
                <w:lang w:eastAsia="fr-FR" w:bidi="fr-FR"/>
                <w14:ligatures w14:val="none"/>
              </w:rPr>
              <w:t xml:space="preserve"> </w:t>
            </w:r>
          </w:p>
        </w:tc>
        <w:tc>
          <w:tcPr>
            <w:tcW w:w="2699" w:type="dxa"/>
            <w:noWrap/>
            <w:vAlign w:val="center"/>
            <w:hideMark/>
          </w:tcPr>
          <w:p w14:paraId="7A379050" w14:textId="77777777" w:rsidR="00F6696F" w:rsidRPr="00F6696F" w:rsidRDefault="00F6696F" w:rsidP="00F6696F">
            <w:pPr>
              <w:spacing w:after="0" w:line="240" w:lineRule="auto"/>
              <w:jc w:val="center"/>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N/A</w:t>
            </w:r>
          </w:p>
        </w:tc>
        <w:tc>
          <w:tcPr>
            <w:tcW w:w="0" w:type="auto"/>
          </w:tcPr>
          <w:p w14:paraId="40A835BD" w14:textId="77777777" w:rsidR="00F6696F" w:rsidRPr="00F6696F" w:rsidRDefault="00F6696F" w:rsidP="00F6696F">
            <w:pPr>
              <w:spacing w:after="0" w:line="240" w:lineRule="auto"/>
              <w:rPr>
                <w:rFonts w:ascii="Cambria" w:eastAsia="Times New Roman" w:hAnsi="Cambria" w:cs="Calibri"/>
                <w:b/>
                <w:bCs/>
                <w:kern w:val="0"/>
                <w:sz w:val="18"/>
                <w:szCs w:val="18"/>
                <w:lang w:eastAsia="ja-JP"/>
                <w14:ligatures w14:val="none"/>
              </w:rPr>
            </w:pPr>
          </w:p>
        </w:tc>
        <w:tc>
          <w:tcPr>
            <w:tcW w:w="0" w:type="auto"/>
            <w:noWrap/>
            <w:vAlign w:val="center"/>
            <w:hideMark/>
          </w:tcPr>
          <w:p w14:paraId="10226410"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vAlign w:val="center"/>
            <w:hideMark/>
          </w:tcPr>
          <w:p w14:paraId="12656978"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vAlign w:val="center"/>
            <w:hideMark/>
          </w:tcPr>
          <w:p w14:paraId="578BE826"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vAlign w:val="center"/>
            <w:hideMark/>
          </w:tcPr>
          <w:p w14:paraId="2D55E58E"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tcPr>
          <w:p w14:paraId="535433B4" w14:textId="77777777" w:rsidR="00F6696F" w:rsidRPr="00F6696F" w:rsidRDefault="00F6696F" w:rsidP="00F6696F">
            <w:pPr>
              <w:spacing w:after="0" w:line="240" w:lineRule="auto"/>
              <w:rPr>
                <w:rFonts w:ascii="Cambria" w:eastAsia="Times New Roman" w:hAnsi="Cambria" w:cs="Calibri"/>
                <w:b/>
                <w:bCs/>
                <w:kern w:val="0"/>
                <w:sz w:val="18"/>
                <w:szCs w:val="18"/>
                <w:lang w:val="en-US" w:eastAsia="ja-JP"/>
                <w14:ligatures w14:val="none"/>
              </w:rPr>
            </w:pPr>
          </w:p>
        </w:tc>
        <w:tc>
          <w:tcPr>
            <w:tcW w:w="0" w:type="auto"/>
          </w:tcPr>
          <w:p w14:paraId="6050664B" w14:textId="77777777" w:rsidR="00F6696F" w:rsidRPr="00F6696F" w:rsidRDefault="00F6696F" w:rsidP="00F6696F">
            <w:pPr>
              <w:spacing w:after="0" w:line="240" w:lineRule="auto"/>
              <w:jc w:val="center"/>
              <w:rPr>
                <w:rFonts w:ascii="Cambria" w:eastAsia="Times New Roman" w:hAnsi="Cambria" w:cs="Calibri"/>
                <w:kern w:val="0"/>
                <w:sz w:val="18"/>
                <w:szCs w:val="18"/>
                <w:lang w:val="en-US" w:eastAsia="ja-JP"/>
                <w14:ligatures w14:val="none"/>
              </w:rPr>
            </w:pPr>
          </w:p>
        </w:tc>
        <w:tc>
          <w:tcPr>
            <w:tcW w:w="0" w:type="auto"/>
            <w:shd w:val="clear" w:color="000000" w:fill="D9D9D9"/>
            <w:vAlign w:val="center"/>
            <w:hideMark/>
          </w:tcPr>
          <w:p w14:paraId="0771264A"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tcPr>
          <w:p w14:paraId="1AD68C99" w14:textId="77777777" w:rsidR="00F6696F" w:rsidRPr="00F6696F" w:rsidRDefault="00F6696F" w:rsidP="00F6696F">
            <w:pPr>
              <w:spacing w:after="0" w:line="240" w:lineRule="auto"/>
              <w:rPr>
                <w:rFonts w:ascii="Cambria" w:eastAsia="Times New Roman" w:hAnsi="Cambria" w:cs="Calibri"/>
                <w:b/>
                <w:bCs/>
                <w:kern w:val="0"/>
                <w:sz w:val="18"/>
                <w:szCs w:val="18"/>
                <w:lang w:eastAsia="ja-JP"/>
                <w14:ligatures w14:val="none"/>
              </w:rPr>
            </w:pPr>
          </w:p>
        </w:tc>
        <w:tc>
          <w:tcPr>
            <w:tcW w:w="0" w:type="auto"/>
            <w:vAlign w:val="center"/>
            <w:hideMark/>
          </w:tcPr>
          <w:p w14:paraId="33DC8766"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vAlign w:val="center"/>
            <w:hideMark/>
          </w:tcPr>
          <w:p w14:paraId="2E432847"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vAlign w:val="center"/>
            <w:hideMark/>
          </w:tcPr>
          <w:p w14:paraId="616CE590"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vAlign w:val="center"/>
            <w:hideMark/>
          </w:tcPr>
          <w:p w14:paraId="29AFA0E0"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vAlign w:val="center"/>
            <w:hideMark/>
          </w:tcPr>
          <w:p w14:paraId="51BB89DD"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tcBorders>
              <w:right w:val="single" w:sz="12" w:space="0" w:color="000000"/>
            </w:tcBorders>
          </w:tcPr>
          <w:p w14:paraId="22A4D0FB" w14:textId="77777777" w:rsidR="00F6696F" w:rsidRPr="00F6696F" w:rsidRDefault="00F6696F" w:rsidP="00F6696F">
            <w:pPr>
              <w:spacing w:after="0" w:line="240" w:lineRule="auto"/>
              <w:rPr>
                <w:rFonts w:ascii="Cambria" w:eastAsia="Times New Roman" w:hAnsi="Cambria" w:cs="Calibri"/>
                <w:b/>
                <w:bCs/>
                <w:kern w:val="0"/>
                <w:sz w:val="18"/>
                <w:szCs w:val="18"/>
                <w:lang w:val="en-US" w:eastAsia="ja-JP"/>
                <w14:ligatures w14:val="none"/>
              </w:rPr>
            </w:pPr>
          </w:p>
        </w:tc>
      </w:tr>
      <w:tr w:rsidR="00F6696F" w:rsidRPr="00F6696F" w14:paraId="5410FDF1" w14:textId="77777777" w:rsidTr="00F6696F">
        <w:trPr>
          <w:trHeight w:val="20"/>
        </w:trPr>
        <w:tc>
          <w:tcPr>
            <w:tcW w:w="3823" w:type="dxa"/>
            <w:tcBorders>
              <w:left w:val="single" w:sz="12" w:space="0" w:color="000000"/>
            </w:tcBorders>
            <w:vAlign w:val="center"/>
            <w:hideMark/>
          </w:tcPr>
          <w:p w14:paraId="0A914807"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Otros (especificar)</w:t>
            </w:r>
          </w:p>
        </w:tc>
        <w:tc>
          <w:tcPr>
            <w:tcW w:w="2699" w:type="dxa"/>
            <w:noWrap/>
            <w:vAlign w:val="center"/>
            <w:hideMark/>
          </w:tcPr>
          <w:p w14:paraId="0284F2F6" w14:textId="77777777" w:rsidR="00F6696F" w:rsidRPr="00F6696F" w:rsidRDefault="00F6696F" w:rsidP="00F6696F">
            <w:pPr>
              <w:spacing w:after="0" w:line="240" w:lineRule="auto"/>
              <w:jc w:val="center"/>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5</w:t>
            </w:r>
          </w:p>
        </w:tc>
        <w:tc>
          <w:tcPr>
            <w:tcW w:w="0" w:type="auto"/>
          </w:tcPr>
          <w:p w14:paraId="4169869B" w14:textId="77777777" w:rsidR="00F6696F" w:rsidRPr="00F6696F" w:rsidRDefault="00F6696F" w:rsidP="00F6696F">
            <w:pPr>
              <w:spacing w:after="0" w:line="240" w:lineRule="auto"/>
              <w:rPr>
                <w:rFonts w:ascii="Cambria" w:eastAsia="Times New Roman" w:hAnsi="Cambria" w:cs="Calibri"/>
                <w:b/>
                <w:bCs/>
                <w:kern w:val="0"/>
                <w:sz w:val="18"/>
                <w:szCs w:val="18"/>
                <w:lang w:eastAsia="ja-JP"/>
                <w14:ligatures w14:val="none"/>
              </w:rPr>
            </w:pPr>
          </w:p>
        </w:tc>
        <w:tc>
          <w:tcPr>
            <w:tcW w:w="0" w:type="auto"/>
            <w:noWrap/>
            <w:vAlign w:val="center"/>
            <w:hideMark/>
          </w:tcPr>
          <w:p w14:paraId="085DCDD8"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vAlign w:val="center"/>
            <w:hideMark/>
          </w:tcPr>
          <w:p w14:paraId="11AE804F"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vAlign w:val="center"/>
            <w:hideMark/>
          </w:tcPr>
          <w:p w14:paraId="6E7D09F3"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vAlign w:val="center"/>
            <w:hideMark/>
          </w:tcPr>
          <w:p w14:paraId="4DF39268"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tcPr>
          <w:p w14:paraId="1444859D" w14:textId="77777777" w:rsidR="00F6696F" w:rsidRPr="00F6696F" w:rsidRDefault="00F6696F" w:rsidP="00F6696F">
            <w:pPr>
              <w:spacing w:after="0" w:line="240" w:lineRule="auto"/>
              <w:rPr>
                <w:rFonts w:ascii="Cambria" w:eastAsia="Times New Roman" w:hAnsi="Cambria" w:cs="Calibri"/>
                <w:b/>
                <w:bCs/>
                <w:kern w:val="0"/>
                <w:sz w:val="18"/>
                <w:szCs w:val="18"/>
                <w:lang w:val="en-US" w:eastAsia="ja-JP"/>
                <w14:ligatures w14:val="none"/>
              </w:rPr>
            </w:pPr>
          </w:p>
        </w:tc>
        <w:tc>
          <w:tcPr>
            <w:tcW w:w="0" w:type="auto"/>
          </w:tcPr>
          <w:p w14:paraId="23C685BE" w14:textId="77777777" w:rsidR="00F6696F" w:rsidRPr="00F6696F" w:rsidRDefault="00F6696F" w:rsidP="00F6696F">
            <w:pPr>
              <w:spacing w:after="0" w:line="240" w:lineRule="auto"/>
              <w:jc w:val="center"/>
              <w:rPr>
                <w:rFonts w:ascii="Cambria" w:eastAsia="Times New Roman" w:hAnsi="Cambria" w:cs="Calibri"/>
                <w:kern w:val="0"/>
                <w:sz w:val="18"/>
                <w:szCs w:val="18"/>
                <w:lang w:val="en-US" w:eastAsia="ja-JP"/>
                <w14:ligatures w14:val="none"/>
              </w:rPr>
            </w:pPr>
          </w:p>
        </w:tc>
        <w:tc>
          <w:tcPr>
            <w:tcW w:w="0" w:type="auto"/>
            <w:shd w:val="clear" w:color="000000" w:fill="D9D9D9"/>
            <w:vAlign w:val="center"/>
            <w:hideMark/>
          </w:tcPr>
          <w:p w14:paraId="12059C39"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tcPr>
          <w:p w14:paraId="7C46F425" w14:textId="77777777" w:rsidR="00F6696F" w:rsidRPr="00F6696F" w:rsidRDefault="00F6696F" w:rsidP="00F6696F">
            <w:pPr>
              <w:spacing w:after="0" w:line="240" w:lineRule="auto"/>
              <w:rPr>
                <w:rFonts w:ascii="Cambria" w:eastAsia="Times New Roman" w:hAnsi="Cambria" w:cs="Calibri"/>
                <w:b/>
                <w:bCs/>
                <w:kern w:val="0"/>
                <w:sz w:val="18"/>
                <w:szCs w:val="18"/>
                <w:lang w:eastAsia="ja-JP"/>
                <w14:ligatures w14:val="none"/>
              </w:rPr>
            </w:pPr>
          </w:p>
        </w:tc>
        <w:tc>
          <w:tcPr>
            <w:tcW w:w="0" w:type="auto"/>
            <w:vAlign w:val="center"/>
            <w:hideMark/>
          </w:tcPr>
          <w:p w14:paraId="49112D8C"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vAlign w:val="center"/>
            <w:hideMark/>
          </w:tcPr>
          <w:p w14:paraId="330D224F"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vAlign w:val="center"/>
            <w:hideMark/>
          </w:tcPr>
          <w:p w14:paraId="19EA115C"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vAlign w:val="center"/>
            <w:hideMark/>
          </w:tcPr>
          <w:p w14:paraId="43A8B609"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vAlign w:val="center"/>
            <w:hideMark/>
          </w:tcPr>
          <w:p w14:paraId="3A5C5947"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tcBorders>
              <w:right w:val="single" w:sz="12" w:space="0" w:color="000000"/>
            </w:tcBorders>
          </w:tcPr>
          <w:p w14:paraId="03D9C2C0" w14:textId="77777777" w:rsidR="00F6696F" w:rsidRPr="00F6696F" w:rsidRDefault="00F6696F" w:rsidP="00F6696F">
            <w:pPr>
              <w:spacing w:after="0" w:line="240" w:lineRule="auto"/>
              <w:rPr>
                <w:rFonts w:ascii="Cambria" w:eastAsia="Times New Roman" w:hAnsi="Cambria" w:cs="Calibri"/>
                <w:b/>
                <w:bCs/>
                <w:kern w:val="0"/>
                <w:sz w:val="18"/>
                <w:szCs w:val="18"/>
                <w:lang w:val="en-US" w:eastAsia="ja-JP"/>
                <w14:ligatures w14:val="none"/>
              </w:rPr>
            </w:pPr>
          </w:p>
        </w:tc>
      </w:tr>
      <w:tr w:rsidR="00F6696F" w:rsidRPr="00F6696F" w14:paraId="1E5B75B4" w14:textId="77777777" w:rsidTr="00F6696F">
        <w:trPr>
          <w:trHeight w:val="20"/>
        </w:trPr>
        <w:tc>
          <w:tcPr>
            <w:tcW w:w="3823" w:type="dxa"/>
            <w:tcBorders>
              <w:left w:val="single" w:sz="12" w:space="0" w:color="000000"/>
              <w:bottom w:val="single" w:sz="12" w:space="0" w:color="000000"/>
            </w:tcBorders>
            <w:noWrap/>
            <w:vAlign w:val="center"/>
            <w:hideMark/>
          </w:tcPr>
          <w:p w14:paraId="2AEAD740"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Capacidad pesquera/flota total</w:t>
            </w:r>
            <w:r w:rsidRPr="00F6696F">
              <w:rPr>
                <w:rFonts w:ascii="Cambria" w:eastAsia="MS Gothic" w:hAnsi="Cambria" w:cs="Times New Roman"/>
                <w:b/>
                <w:kern w:val="0"/>
                <w:sz w:val="18"/>
                <w:szCs w:val="24"/>
                <w:vertAlign w:val="superscript"/>
                <w:lang w:eastAsia="fr-FR" w:bidi="fr-FR"/>
                <w14:ligatures w14:val="none"/>
              </w:rPr>
              <w:t>*</w:t>
            </w:r>
          </w:p>
        </w:tc>
        <w:tc>
          <w:tcPr>
            <w:tcW w:w="2699" w:type="dxa"/>
            <w:tcBorders>
              <w:bottom w:val="single" w:sz="12" w:space="0" w:color="000000"/>
            </w:tcBorders>
            <w:noWrap/>
            <w:vAlign w:val="center"/>
            <w:hideMark/>
          </w:tcPr>
          <w:p w14:paraId="0E507DC8" w14:textId="77777777" w:rsidR="00F6696F" w:rsidRPr="00F6696F" w:rsidRDefault="00F6696F" w:rsidP="00F6696F">
            <w:pPr>
              <w:spacing w:after="0" w:line="240" w:lineRule="auto"/>
              <w:jc w:val="right"/>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bottom w:val="single" w:sz="12" w:space="0" w:color="000000"/>
            </w:tcBorders>
          </w:tcPr>
          <w:p w14:paraId="40F618BB" w14:textId="77777777" w:rsidR="00F6696F" w:rsidRPr="00F6696F" w:rsidRDefault="00F6696F" w:rsidP="00F6696F">
            <w:pPr>
              <w:spacing w:after="0" w:line="240" w:lineRule="auto"/>
              <w:rPr>
                <w:rFonts w:ascii="Cambria" w:eastAsia="Times New Roman" w:hAnsi="Cambria" w:cs="Calibri"/>
                <w:b/>
                <w:bCs/>
                <w:kern w:val="0"/>
                <w:sz w:val="18"/>
                <w:szCs w:val="18"/>
                <w:lang w:eastAsia="ja-JP"/>
                <w14:ligatures w14:val="none"/>
              </w:rPr>
            </w:pPr>
          </w:p>
        </w:tc>
        <w:tc>
          <w:tcPr>
            <w:tcW w:w="0" w:type="auto"/>
            <w:tcBorders>
              <w:bottom w:val="single" w:sz="12" w:space="0" w:color="000000"/>
            </w:tcBorders>
            <w:noWrap/>
            <w:vAlign w:val="center"/>
            <w:hideMark/>
          </w:tcPr>
          <w:p w14:paraId="3C1F84D1"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tcBorders>
              <w:bottom w:val="single" w:sz="12" w:space="0" w:color="000000"/>
            </w:tcBorders>
            <w:vAlign w:val="center"/>
            <w:hideMark/>
          </w:tcPr>
          <w:p w14:paraId="20371953"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tcBorders>
              <w:bottom w:val="single" w:sz="12" w:space="0" w:color="000000"/>
            </w:tcBorders>
            <w:vAlign w:val="center"/>
            <w:hideMark/>
          </w:tcPr>
          <w:p w14:paraId="7CD33EFE"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tcBorders>
              <w:bottom w:val="single" w:sz="12" w:space="0" w:color="000000"/>
            </w:tcBorders>
            <w:vAlign w:val="center"/>
            <w:hideMark/>
          </w:tcPr>
          <w:p w14:paraId="4F249F2B"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tcBorders>
              <w:bottom w:val="single" w:sz="12" w:space="0" w:color="000000"/>
            </w:tcBorders>
          </w:tcPr>
          <w:p w14:paraId="4AFB0911" w14:textId="77777777" w:rsidR="00F6696F" w:rsidRPr="00F6696F" w:rsidRDefault="00F6696F" w:rsidP="00F6696F">
            <w:pPr>
              <w:spacing w:after="0" w:line="240" w:lineRule="auto"/>
              <w:rPr>
                <w:rFonts w:ascii="Cambria" w:eastAsia="Times New Roman" w:hAnsi="Cambria" w:cs="Calibri"/>
                <w:b/>
                <w:bCs/>
                <w:kern w:val="0"/>
                <w:sz w:val="18"/>
                <w:szCs w:val="18"/>
                <w:lang w:val="en-US" w:eastAsia="ja-JP"/>
                <w14:ligatures w14:val="none"/>
              </w:rPr>
            </w:pPr>
          </w:p>
        </w:tc>
        <w:tc>
          <w:tcPr>
            <w:tcW w:w="0" w:type="auto"/>
            <w:tcBorders>
              <w:bottom w:val="single" w:sz="12" w:space="0" w:color="000000"/>
            </w:tcBorders>
          </w:tcPr>
          <w:p w14:paraId="1B979FDA" w14:textId="77777777" w:rsidR="00F6696F" w:rsidRPr="00F6696F" w:rsidRDefault="00F6696F" w:rsidP="00F6696F">
            <w:pPr>
              <w:spacing w:after="0" w:line="240" w:lineRule="auto"/>
              <w:jc w:val="center"/>
              <w:rPr>
                <w:rFonts w:ascii="Cambria" w:eastAsia="Times New Roman" w:hAnsi="Cambria" w:cs="Calibri"/>
                <w:kern w:val="0"/>
                <w:sz w:val="18"/>
                <w:szCs w:val="18"/>
                <w:lang w:val="en-US" w:eastAsia="ja-JP"/>
                <w14:ligatures w14:val="none"/>
              </w:rPr>
            </w:pPr>
          </w:p>
        </w:tc>
        <w:tc>
          <w:tcPr>
            <w:tcW w:w="0" w:type="auto"/>
            <w:tcBorders>
              <w:bottom w:val="single" w:sz="12" w:space="0" w:color="000000"/>
            </w:tcBorders>
            <w:shd w:val="clear" w:color="000000" w:fill="D9D9D9"/>
            <w:vAlign w:val="center"/>
            <w:hideMark/>
          </w:tcPr>
          <w:p w14:paraId="22DC3D66"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tcBorders>
              <w:bottom w:val="single" w:sz="12" w:space="0" w:color="000000"/>
            </w:tcBorders>
          </w:tcPr>
          <w:p w14:paraId="762C254D" w14:textId="77777777" w:rsidR="00F6696F" w:rsidRPr="00F6696F" w:rsidRDefault="00F6696F" w:rsidP="00F6696F">
            <w:pPr>
              <w:spacing w:after="0" w:line="240" w:lineRule="auto"/>
              <w:rPr>
                <w:rFonts w:ascii="Cambria" w:eastAsia="Times New Roman" w:hAnsi="Cambria" w:cs="Calibri"/>
                <w:b/>
                <w:bCs/>
                <w:kern w:val="0"/>
                <w:sz w:val="18"/>
                <w:szCs w:val="18"/>
                <w:lang w:eastAsia="ja-JP"/>
                <w14:ligatures w14:val="none"/>
              </w:rPr>
            </w:pPr>
          </w:p>
        </w:tc>
        <w:tc>
          <w:tcPr>
            <w:tcW w:w="0" w:type="auto"/>
            <w:tcBorders>
              <w:bottom w:val="single" w:sz="12" w:space="0" w:color="000000"/>
            </w:tcBorders>
            <w:vAlign w:val="center"/>
            <w:hideMark/>
          </w:tcPr>
          <w:p w14:paraId="16A00478"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tcBorders>
              <w:bottom w:val="single" w:sz="12" w:space="0" w:color="000000"/>
            </w:tcBorders>
            <w:vAlign w:val="center"/>
            <w:hideMark/>
          </w:tcPr>
          <w:p w14:paraId="13D82F10"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tcBorders>
              <w:bottom w:val="single" w:sz="12" w:space="0" w:color="000000"/>
            </w:tcBorders>
            <w:noWrap/>
            <w:vAlign w:val="center"/>
            <w:hideMark/>
          </w:tcPr>
          <w:p w14:paraId="67922684"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tcBorders>
              <w:bottom w:val="single" w:sz="12" w:space="0" w:color="000000"/>
            </w:tcBorders>
            <w:noWrap/>
            <w:vAlign w:val="center"/>
            <w:hideMark/>
          </w:tcPr>
          <w:p w14:paraId="6CDC8E83"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tcBorders>
              <w:bottom w:val="single" w:sz="12" w:space="0" w:color="000000"/>
            </w:tcBorders>
            <w:noWrap/>
            <w:vAlign w:val="center"/>
            <w:hideMark/>
          </w:tcPr>
          <w:p w14:paraId="64541B64"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w:t>
            </w:r>
          </w:p>
        </w:tc>
        <w:tc>
          <w:tcPr>
            <w:tcW w:w="0" w:type="auto"/>
            <w:tcBorders>
              <w:bottom w:val="single" w:sz="12" w:space="0" w:color="000000"/>
              <w:right w:val="single" w:sz="12" w:space="0" w:color="000000"/>
            </w:tcBorders>
          </w:tcPr>
          <w:p w14:paraId="09ABC970" w14:textId="77777777" w:rsidR="00F6696F" w:rsidRPr="00F6696F" w:rsidRDefault="00F6696F" w:rsidP="00F6696F">
            <w:pPr>
              <w:spacing w:after="0" w:line="240" w:lineRule="auto"/>
              <w:rPr>
                <w:rFonts w:ascii="Cambria" w:eastAsia="Times New Roman" w:hAnsi="Cambria" w:cs="Calibri"/>
                <w:b/>
                <w:bCs/>
                <w:kern w:val="0"/>
                <w:sz w:val="18"/>
                <w:szCs w:val="18"/>
                <w:lang w:val="en-US" w:eastAsia="ja-JP"/>
                <w14:ligatures w14:val="none"/>
              </w:rPr>
            </w:pPr>
          </w:p>
        </w:tc>
      </w:tr>
      <w:tr w:rsidR="00F6696F" w:rsidRPr="00F6696F" w14:paraId="29253027" w14:textId="77777777" w:rsidTr="00F6696F">
        <w:trPr>
          <w:trHeight w:val="20"/>
        </w:trPr>
        <w:tc>
          <w:tcPr>
            <w:tcW w:w="3823" w:type="dxa"/>
            <w:tcBorders>
              <w:top w:val="single" w:sz="12" w:space="0" w:color="000000"/>
              <w:left w:val="single" w:sz="12" w:space="0" w:color="000000"/>
            </w:tcBorders>
            <w:shd w:val="clear" w:color="auto" w:fill="D9D9D9"/>
            <w:noWrap/>
            <w:vAlign w:val="center"/>
            <w:hideMark/>
          </w:tcPr>
          <w:p w14:paraId="35BF2DB8"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Cuota inicial</w:t>
            </w:r>
            <w:r w:rsidRPr="00F6696F">
              <w:rPr>
                <w:rFonts w:ascii="Cambria" w:eastAsia="MS Gothic" w:hAnsi="Cambria" w:cs="Times New Roman"/>
                <w:b/>
                <w:kern w:val="0"/>
                <w:sz w:val="18"/>
                <w:szCs w:val="24"/>
                <w:vertAlign w:val="superscript"/>
                <w:lang w:eastAsia="fr-FR" w:bidi="fr-FR"/>
                <w14:ligatures w14:val="none"/>
              </w:rPr>
              <w:t>5 *</w:t>
            </w:r>
          </w:p>
        </w:tc>
        <w:tc>
          <w:tcPr>
            <w:tcW w:w="2699" w:type="dxa"/>
            <w:tcBorders>
              <w:top w:val="single" w:sz="12" w:space="0" w:color="000000"/>
            </w:tcBorders>
            <w:shd w:val="clear" w:color="auto" w:fill="D9D9D9"/>
            <w:noWrap/>
            <w:vAlign w:val="center"/>
            <w:hideMark/>
          </w:tcPr>
          <w:p w14:paraId="0249AF95" w14:textId="77777777" w:rsidR="00F6696F" w:rsidRPr="00F6696F" w:rsidRDefault="00F6696F" w:rsidP="00F6696F">
            <w:pPr>
              <w:spacing w:after="0" w:line="240" w:lineRule="auto"/>
              <w:jc w:val="right"/>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shd w:val="clear" w:color="auto" w:fill="D9D9D9"/>
          </w:tcPr>
          <w:p w14:paraId="5FE1A265" w14:textId="77777777" w:rsidR="00F6696F" w:rsidRPr="00F6696F" w:rsidRDefault="00F6696F" w:rsidP="00F6696F">
            <w:pPr>
              <w:spacing w:after="0" w:line="240" w:lineRule="auto"/>
              <w:rPr>
                <w:rFonts w:ascii="Cambria" w:eastAsia="Times New Roman" w:hAnsi="Cambria" w:cs="Calibri"/>
                <w:kern w:val="0"/>
                <w:sz w:val="18"/>
                <w:szCs w:val="18"/>
                <w:lang w:eastAsia="ja-JP"/>
                <w14:ligatures w14:val="none"/>
              </w:rPr>
            </w:pPr>
          </w:p>
        </w:tc>
        <w:tc>
          <w:tcPr>
            <w:tcW w:w="0" w:type="auto"/>
            <w:tcBorders>
              <w:top w:val="single" w:sz="12" w:space="0" w:color="000000"/>
            </w:tcBorders>
            <w:shd w:val="clear" w:color="auto" w:fill="D9D9D9"/>
            <w:noWrap/>
            <w:vAlign w:val="center"/>
            <w:hideMark/>
          </w:tcPr>
          <w:p w14:paraId="6E1FF088"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shd w:val="clear" w:color="auto" w:fill="D9D9D9"/>
            <w:vAlign w:val="center"/>
            <w:hideMark/>
          </w:tcPr>
          <w:p w14:paraId="5A5B7B34"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shd w:val="clear" w:color="auto" w:fill="D9D9D9"/>
            <w:vAlign w:val="center"/>
            <w:hideMark/>
          </w:tcPr>
          <w:p w14:paraId="02926604"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shd w:val="clear" w:color="auto" w:fill="D9D9D9"/>
            <w:vAlign w:val="center"/>
            <w:hideMark/>
          </w:tcPr>
          <w:p w14:paraId="45605F0D"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shd w:val="clear" w:color="auto" w:fill="D9D9D9"/>
          </w:tcPr>
          <w:p w14:paraId="1D2B4706" w14:textId="77777777" w:rsidR="00F6696F" w:rsidRPr="00F6696F" w:rsidRDefault="00F6696F" w:rsidP="00F6696F">
            <w:pPr>
              <w:spacing w:after="0" w:line="240" w:lineRule="auto"/>
              <w:rPr>
                <w:rFonts w:ascii="Cambria" w:eastAsia="Times New Roman" w:hAnsi="Cambria" w:cs="Calibri"/>
                <w:kern w:val="0"/>
                <w:sz w:val="18"/>
                <w:szCs w:val="18"/>
                <w:lang w:val="en-US" w:eastAsia="ja-JP"/>
                <w14:ligatures w14:val="none"/>
              </w:rPr>
            </w:pPr>
          </w:p>
        </w:tc>
        <w:tc>
          <w:tcPr>
            <w:tcW w:w="0" w:type="auto"/>
            <w:tcBorders>
              <w:top w:val="single" w:sz="12" w:space="0" w:color="000000"/>
            </w:tcBorders>
            <w:shd w:val="clear" w:color="auto" w:fill="D9D9D9"/>
          </w:tcPr>
          <w:p w14:paraId="20507EBC" w14:textId="77777777" w:rsidR="00F6696F" w:rsidRPr="00F6696F" w:rsidRDefault="00F6696F" w:rsidP="00F6696F">
            <w:pPr>
              <w:spacing w:after="0" w:line="240" w:lineRule="auto"/>
              <w:jc w:val="center"/>
              <w:rPr>
                <w:rFonts w:ascii="Cambria" w:eastAsia="Times New Roman" w:hAnsi="Cambria" w:cs="Calibri"/>
                <w:kern w:val="0"/>
                <w:sz w:val="18"/>
                <w:szCs w:val="18"/>
                <w:lang w:val="en-US" w:eastAsia="ja-JP"/>
                <w14:ligatures w14:val="none"/>
              </w:rPr>
            </w:pPr>
          </w:p>
        </w:tc>
        <w:tc>
          <w:tcPr>
            <w:tcW w:w="0" w:type="auto"/>
            <w:tcBorders>
              <w:top w:val="single" w:sz="12" w:space="0" w:color="000000"/>
            </w:tcBorders>
            <w:shd w:val="clear" w:color="auto" w:fill="D9D9D9"/>
            <w:vAlign w:val="center"/>
            <w:hideMark/>
          </w:tcPr>
          <w:p w14:paraId="4B1AA5B3"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shd w:val="clear" w:color="auto" w:fill="D9D9D9"/>
          </w:tcPr>
          <w:p w14:paraId="58538EBB" w14:textId="77777777" w:rsidR="00F6696F" w:rsidRPr="00F6696F" w:rsidRDefault="00F6696F" w:rsidP="00F6696F">
            <w:pPr>
              <w:spacing w:after="0" w:line="240" w:lineRule="auto"/>
              <w:rPr>
                <w:rFonts w:ascii="Cambria" w:eastAsia="Times New Roman" w:hAnsi="Cambria" w:cs="Calibri"/>
                <w:kern w:val="0"/>
                <w:sz w:val="18"/>
                <w:szCs w:val="18"/>
                <w:lang w:eastAsia="ja-JP"/>
                <w14:ligatures w14:val="none"/>
              </w:rPr>
            </w:pPr>
          </w:p>
        </w:tc>
        <w:tc>
          <w:tcPr>
            <w:tcW w:w="0" w:type="auto"/>
            <w:tcBorders>
              <w:top w:val="single" w:sz="12" w:space="0" w:color="000000"/>
            </w:tcBorders>
            <w:shd w:val="clear" w:color="auto" w:fill="D9D9D9"/>
            <w:vAlign w:val="center"/>
            <w:hideMark/>
          </w:tcPr>
          <w:p w14:paraId="18977972"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shd w:val="clear" w:color="auto" w:fill="D9D9D9"/>
            <w:vAlign w:val="center"/>
            <w:hideMark/>
          </w:tcPr>
          <w:p w14:paraId="061AD845"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shd w:val="clear" w:color="auto" w:fill="D9D9D9"/>
            <w:vAlign w:val="center"/>
            <w:hideMark/>
          </w:tcPr>
          <w:p w14:paraId="4EE777FA"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shd w:val="clear" w:color="auto" w:fill="D9D9D9"/>
            <w:vAlign w:val="center"/>
            <w:hideMark/>
          </w:tcPr>
          <w:p w14:paraId="20F29268"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shd w:val="clear" w:color="auto" w:fill="D9D9D9"/>
            <w:vAlign w:val="center"/>
            <w:hideMark/>
          </w:tcPr>
          <w:p w14:paraId="14E7586E"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top w:val="single" w:sz="12" w:space="0" w:color="000000"/>
              <w:right w:val="single" w:sz="12" w:space="0" w:color="000000"/>
            </w:tcBorders>
            <w:shd w:val="clear" w:color="auto" w:fill="D9D9D9"/>
          </w:tcPr>
          <w:p w14:paraId="0A3833BB" w14:textId="77777777" w:rsidR="00F6696F" w:rsidRPr="00F6696F" w:rsidRDefault="00F6696F" w:rsidP="00F6696F">
            <w:pPr>
              <w:spacing w:after="0" w:line="240" w:lineRule="auto"/>
              <w:rPr>
                <w:rFonts w:ascii="Cambria" w:eastAsia="Times New Roman" w:hAnsi="Cambria" w:cs="Calibri"/>
                <w:kern w:val="0"/>
                <w:sz w:val="18"/>
                <w:szCs w:val="18"/>
                <w:lang w:val="en-US" w:eastAsia="ja-JP"/>
                <w14:ligatures w14:val="none"/>
              </w:rPr>
            </w:pPr>
          </w:p>
        </w:tc>
      </w:tr>
      <w:tr w:rsidR="00F6696F" w:rsidRPr="00F6696F" w14:paraId="70AB57A5" w14:textId="77777777" w:rsidTr="00F6696F">
        <w:trPr>
          <w:trHeight w:val="20"/>
        </w:trPr>
        <w:tc>
          <w:tcPr>
            <w:tcW w:w="3823" w:type="dxa"/>
            <w:tcBorders>
              <w:left w:val="single" w:sz="12" w:space="0" w:color="000000"/>
              <w:bottom w:val="single" w:sz="12" w:space="0" w:color="000000"/>
            </w:tcBorders>
            <w:shd w:val="clear" w:color="auto" w:fill="D9D9D9"/>
            <w:noWrap/>
            <w:vAlign w:val="center"/>
          </w:tcPr>
          <w:p w14:paraId="12B509E2"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Cuota ajustada (si procede)</w:t>
            </w:r>
            <w:r w:rsidRPr="00F6696F">
              <w:rPr>
                <w:rFonts w:ascii="Cambria" w:eastAsia="MS Gothic" w:hAnsi="Cambria" w:cs="Times New Roman"/>
                <w:b/>
                <w:kern w:val="0"/>
                <w:sz w:val="18"/>
                <w:szCs w:val="24"/>
                <w:vertAlign w:val="superscript"/>
                <w:lang w:eastAsia="fr-FR" w:bidi="fr-FR"/>
                <w14:ligatures w14:val="none"/>
              </w:rPr>
              <w:t>6 *</w:t>
            </w:r>
            <w:r w:rsidRPr="00F6696F">
              <w:rPr>
                <w:rFonts w:ascii="Cambria" w:eastAsia="MS Gothic" w:hAnsi="Cambria" w:cs="Times New Roman"/>
                <w:b/>
                <w:kern w:val="0"/>
                <w:sz w:val="18"/>
                <w:szCs w:val="24"/>
                <w:lang w:eastAsia="fr-FR" w:bidi="fr-FR"/>
                <w14:ligatures w14:val="none"/>
              </w:rPr>
              <w:t xml:space="preserve"> </w:t>
            </w:r>
          </w:p>
        </w:tc>
        <w:tc>
          <w:tcPr>
            <w:tcW w:w="2699" w:type="dxa"/>
            <w:tcBorders>
              <w:bottom w:val="single" w:sz="12" w:space="0" w:color="000000"/>
            </w:tcBorders>
            <w:shd w:val="clear" w:color="auto" w:fill="D9D9D9"/>
            <w:noWrap/>
            <w:vAlign w:val="center"/>
          </w:tcPr>
          <w:p w14:paraId="4648E20B" w14:textId="77777777" w:rsidR="00F6696F" w:rsidRPr="00F6696F" w:rsidRDefault="00F6696F" w:rsidP="00F6696F">
            <w:pPr>
              <w:spacing w:after="0" w:line="240" w:lineRule="auto"/>
              <w:jc w:val="right"/>
              <w:rPr>
                <w:rFonts w:ascii="Cambria" w:eastAsia="Times New Roman" w:hAnsi="Cambria" w:cs="Calibri"/>
                <w:kern w:val="0"/>
                <w:sz w:val="18"/>
                <w:szCs w:val="18"/>
                <w:lang w:eastAsia="ja-JP"/>
                <w14:ligatures w14:val="none"/>
              </w:rPr>
            </w:pPr>
          </w:p>
        </w:tc>
        <w:tc>
          <w:tcPr>
            <w:tcW w:w="0" w:type="auto"/>
            <w:tcBorders>
              <w:bottom w:val="single" w:sz="12" w:space="0" w:color="000000"/>
            </w:tcBorders>
            <w:shd w:val="clear" w:color="auto" w:fill="D9D9D9"/>
          </w:tcPr>
          <w:p w14:paraId="751489A6" w14:textId="77777777" w:rsidR="00F6696F" w:rsidRPr="00F6696F" w:rsidRDefault="00F6696F" w:rsidP="00F6696F">
            <w:pPr>
              <w:spacing w:after="0" w:line="240" w:lineRule="auto"/>
              <w:rPr>
                <w:rFonts w:ascii="Cambria" w:eastAsia="Times New Roman" w:hAnsi="Cambria" w:cs="Calibri"/>
                <w:kern w:val="0"/>
                <w:sz w:val="18"/>
                <w:szCs w:val="18"/>
                <w:lang w:eastAsia="ja-JP"/>
                <w14:ligatures w14:val="none"/>
              </w:rPr>
            </w:pPr>
          </w:p>
        </w:tc>
        <w:tc>
          <w:tcPr>
            <w:tcW w:w="0" w:type="auto"/>
            <w:tcBorders>
              <w:bottom w:val="single" w:sz="12" w:space="0" w:color="000000"/>
            </w:tcBorders>
            <w:shd w:val="clear" w:color="auto" w:fill="D9D9D9"/>
            <w:noWrap/>
            <w:vAlign w:val="center"/>
          </w:tcPr>
          <w:p w14:paraId="2FF1945A" w14:textId="77777777" w:rsidR="00F6696F" w:rsidRPr="00F6696F" w:rsidRDefault="00F6696F" w:rsidP="00F6696F">
            <w:pPr>
              <w:spacing w:after="0" w:line="240" w:lineRule="auto"/>
              <w:rPr>
                <w:rFonts w:ascii="Cambria" w:eastAsia="Times New Roman" w:hAnsi="Cambria" w:cs="Calibri"/>
                <w:kern w:val="0"/>
                <w:sz w:val="18"/>
                <w:szCs w:val="18"/>
                <w:lang w:eastAsia="ja-JP"/>
                <w14:ligatures w14:val="none"/>
              </w:rPr>
            </w:pPr>
          </w:p>
        </w:tc>
        <w:tc>
          <w:tcPr>
            <w:tcW w:w="0" w:type="auto"/>
            <w:tcBorders>
              <w:bottom w:val="single" w:sz="12" w:space="0" w:color="000000"/>
            </w:tcBorders>
            <w:shd w:val="clear" w:color="auto" w:fill="D9D9D9"/>
            <w:vAlign w:val="center"/>
          </w:tcPr>
          <w:p w14:paraId="61D4FBAA" w14:textId="77777777" w:rsidR="00F6696F" w:rsidRPr="00F6696F" w:rsidRDefault="00F6696F" w:rsidP="00F6696F">
            <w:pPr>
              <w:spacing w:after="0" w:line="240" w:lineRule="auto"/>
              <w:rPr>
                <w:rFonts w:ascii="Cambria" w:eastAsia="Times New Roman" w:hAnsi="Cambria" w:cs="Calibri"/>
                <w:kern w:val="0"/>
                <w:sz w:val="18"/>
                <w:szCs w:val="18"/>
                <w:lang w:eastAsia="ja-JP"/>
                <w14:ligatures w14:val="none"/>
              </w:rPr>
            </w:pPr>
          </w:p>
        </w:tc>
        <w:tc>
          <w:tcPr>
            <w:tcW w:w="0" w:type="auto"/>
            <w:tcBorders>
              <w:bottom w:val="single" w:sz="12" w:space="0" w:color="000000"/>
            </w:tcBorders>
            <w:shd w:val="clear" w:color="auto" w:fill="D9D9D9"/>
            <w:vAlign w:val="center"/>
          </w:tcPr>
          <w:p w14:paraId="42C780B9" w14:textId="77777777" w:rsidR="00F6696F" w:rsidRPr="00F6696F" w:rsidRDefault="00F6696F" w:rsidP="00F6696F">
            <w:pPr>
              <w:spacing w:after="0" w:line="240" w:lineRule="auto"/>
              <w:rPr>
                <w:rFonts w:ascii="Cambria" w:eastAsia="Times New Roman" w:hAnsi="Cambria" w:cs="Calibri"/>
                <w:kern w:val="0"/>
                <w:sz w:val="18"/>
                <w:szCs w:val="18"/>
                <w:lang w:val="en-US" w:eastAsia="ja-JP"/>
                <w14:ligatures w14:val="none"/>
              </w:rPr>
            </w:pPr>
          </w:p>
        </w:tc>
        <w:tc>
          <w:tcPr>
            <w:tcW w:w="0" w:type="auto"/>
            <w:tcBorders>
              <w:bottom w:val="single" w:sz="12" w:space="0" w:color="000000"/>
            </w:tcBorders>
            <w:shd w:val="clear" w:color="auto" w:fill="D9D9D9"/>
            <w:vAlign w:val="center"/>
          </w:tcPr>
          <w:p w14:paraId="7AA21C7C" w14:textId="77777777" w:rsidR="00F6696F" w:rsidRPr="00F6696F" w:rsidRDefault="00F6696F" w:rsidP="00F6696F">
            <w:pPr>
              <w:spacing w:after="0" w:line="240" w:lineRule="auto"/>
              <w:rPr>
                <w:rFonts w:ascii="Cambria" w:eastAsia="Times New Roman" w:hAnsi="Cambria" w:cs="Calibri"/>
                <w:kern w:val="0"/>
                <w:sz w:val="18"/>
                <w:szCs w:val="18"/>
                <w:lang w:val="en-US" w:eastAsia="ja-JP"/>
                <w14:ligatures w14:val="none"/>
              </w:rPr>
            </w:pPr>
          </w:p>
        </w:tc>
        <w:tc>
          <w:tcPr>
            <w:tcW w:w="0" w:type="auto"/>
            <w:tcBorders>
              <w:bottom w:val="single" w:sz="12" w:space="0" w:color="000000"/>
            </w:tcBorders>
            <w:shd w:val="clear" w:color="auto" w:fill="D9D9D9"/>
          </w:tcPr>
          <w:p w14:paraId="382BB4BD" w14:textId="77777777" w:rsidR="00F6696F" w:rsidRPr="00F6696F" w:rsidRDefault="00F6696F" w:rsidP="00F6696F">
            <w:pPr>
              <w:spacing w:after="0" w:line="240" w:lineRule="auto"/>
              <w:rPr>
                <w:rFonts w:ascii="Cambria" w:eastAsia="Times New Roman" w:hAnsi="Cambria" w:cs="Calibri"/>
                <w:kern w:val="0"/>
                <w:sz w:val="18"/>
                <w:szCs w:val="18"/>
                <w:lang w:val="en-US" w:eastAsia="ja-JP"/>
                <w14:ligatures w14:val="none"/>
              </w:rPr>
            </w:pPr>
          </w:p>
        </w:tc>
        <w:tc>
          <w:tcPr>
            <w:tcW w:w="0" w:type="auto"/>
            <w:tcBorders>
              <w:bottom w:val="single" w:sz="12" w:space="0" w:color="000000"/>
            </w:tcBorders>
            <w:shd w:val="clear" w:color="auto" w:fill="D9D9D9"/>
          </w:tcPr>
          <w:p w14:paraId="7FC17B84" w14:textId="77777777" w:rsidR="00F6696F" w:rsidRPr="00F6696F" w:rsidRDefault="00F6696F" w:rsidP="00F6696F">
            <w:pPr>
              <w:spacing w:after="0" w:line="240" w:lineRule="auto"/>
              <w:jc w:val="center"/>
              <w:rPr>
                <w:rFonts w:ascii="Cambria" w:eastAsia="Times New Roman" w:hAnsi="Cambria" w:cs="Calibri"/>
                <w:kern w:val="0"/>
                <w:sz w:val="18"/>
                <w:szCs w:val="18"/>
                <w:lang w:val="en-US" w:eastAsia="ja-JP"/>
                <w14:ligatures w14:val="none"/>
              </w:rPr>
            </w:pPr>
          </w:p>
        </w:tc>
        <w:tc>
          <w:tcPr>
            <w:tcW w:w="0" w:type="auto"/>
            <w:tcBorders>
              <w:bottom w:val="single" w:sz="12" w:space="0" w:color="000000"/>
            </w:tcBorders>
            <w:shd w:val="clear" w:color="auto" w:fill="D9D9D9"/>
            <w:vAlign w:val="center"/>
          </w:tcPr>
          <w:p w14:paraId="3CAC7462" w14:textId="77777777" w:rsidR="00F6696F" w:rsidRPr="00F6696F" w:rsidRDefault="00F6696F" w:rsidP="00F6696F">
            <w:pPr>
              <w:spacing w:after="0" w:line="240" w:lineRule="auto"/>
              <w:rPr>
                <w:rFonts w:ascii="Cambria" w:eastAsia="Times New Roman" w:hAnsi="Cambria" w:cs="Calibri"/>
                <w:kern w:val="0"/>
                <w:sz w:val="18"/>
                <w:szCs w:val="18"/>
                <w:lang w:val="en-US" w:eastAsia="ja-JP"/>
                <w14:ligatures w14:val="none"/>
              </w:rPr>
            </w:pPr>
          </w:p>
        </w:tc>
        <w:tc>
          <w:tcPr>
            <w:tcW w:w="0" w:type="auto"/>
            <w:tcBorders>
              <w:bottom w:val="single" w:sz="12" w:space="0" w:color="000000"/>
            </w:tcBorders>
            <w:shd w:val="clear" w:color="auto" w:fill="D9D9D9"/>
          </w:tcPr>
          <w:p w14:paraId="3EF9B023" w14:textId="77777777" w:rsidR="00F6696F" w:rsidRPr="00F6696F" w:rsidRDefault="00F6696F" w:rsidP="00F6696F">
            <w:pPr>
              <w:spacing w:after="0" w:line="240" w:lineRule="auto"/>
              <w:rPr>
                <w:rFonts w:ascii="Cambria" w:eastAsia="Times New Roman" w:hAnsi="Cambria" w:cs="Calibri"/>
                <w:kern w:val="0"/>
                <w:sz w:val="18"/>
                <w:szCs w:val="18"/>
                <w:lang w:eastAsia="ja-JP"/>
                <w14:ligatures w14:val="none"/>
              </w:rPr>
            </w:pPr>
          </w:p>
        </w:tc>
        <w:tc>
          <w:tcPr>
            <w:tcW w:w="0" w:type="auto"/>
            <w:tcBorders>
              <w:bottom w:val="single" w:sz="12" w:space="0" w:color="000000"/>
            </w:tcBorders>
            <w:shd w:val="clear" w:color="auto" w:fill="D9D9D9"/>
            <w:vAlign w:val="center"/>
          </w:tcPr>
          <w:p w14:paraId="0BE71512" w14:textId="77777777" w:rsidR="00F6696F" w:rsidRPr="00F6696F" w:rsidRDefault="00F6696F" w:rsidP="00F6696F">
            <w:pPr>
              <w:spacing w:after="0" w:line="240" w:lineRule="auto"/>
              <w:rPr>
                <w:rFonts w:ascii="Cambria" w:eastAsia="Times New Roman" w:hAnsi="Cambria" w:cs="Calibri"/>
                <w:kern w:val="0"/>
                <w:sz w:val="18"/>
                <w:szCs w:val="18"/>
                <w:lang w:eastAsia="ja-JP"/>
                <w14:ligatures w14:val="none"/>
              </w:rPr>
            </w:pPr>
          </w:p>
        </w:tc>
        <w:tc>
          <w:tcPr>
            <w:tcW w:w="0" w:type="auto"/>
            <w:tcBorders>
              <w:bottom w:val="single" w:sz="12" w:space="0" w:color="000000"/>
            </w:tcBorders>
            <w:shd w:val="clear" w:color="auto" w:fill="D9D9D9"/>
            <w:vAlign w:val="center"/>
          </w:tcPr>
          <w:p w14:paraId="3B200BA9" w14:textId="77777777" w:rsidR="00F6696F" w:rsidRPr="00F6696F" w:rsidRDefault="00F6696F" w:rsidP="00F6696F">
            <w:pPr>
              <w:spacing w:after="0" w:line="240" w:lineRule="auto"/>
              <w:rPr>
                <w:rFonts w:ascii="Cambria" w:eastAsia="Times New Roman" w:hAnsi="Cambria" w:cs="Calibri"/>
                <w:kern w:val="0"/>
                <w:sz w:val="18"/>
                <w:szCs w:val="18"/>
                <w:lang w:val="en-US" w:eastAsia="ja-JP"/>
                <w14:ligatures w14:val="none"/>
              </w:rPr>
            </w:pPr>
          </w:p>
        </w:tc>
        <w:tc>
          <w:tcPr>
            <w:tcW w:w="0" w:type="auto"/>
            <w:tcBorders>
              <w:bottom w:val="single" w:sz="12" w:space="0" w:color="000000"/>
            </w:tcBorders>
            <w:shd w:val="clear" w:color="auto" w:fill="D9D9D9"/>
            <w:vAlign w:val="center"/>
          </w:tcPr>
          <w:p w14:paraId="576C2E1B" w14:textId="77777777" w:rsidR="00F6696F" w:rsidRPr="00F6696F" w:rsidRDefault="00F6696F" w:rsidP="00F6696F">
            <w:pPr>
              <w:spacing w:after="0" w:line="240" w:lineRule="auto"/>
              <w:rPr>
                <w:rFonts w:ascii="Cambria" w:eastAsia="Times New Roman" w:hAnsi="Cambria" w:cs="Calibri"/>
                <w:kern w:val="0"/>
                <w:sz w:val="18"/>
                <w:szCs w:val="18"/>
                <w:lang w:val="en-US" w:eastAsia="ja-JP"/>
                <w14:ligatures w14:val="none"/>
              </w:rPr>
            </w:pPr>
          </w:p>
        </w:tc>
        <w:tc>
          <w:tcPr>
            <w:tcW w:w="0" w:type="auto"/>
            <w:tcBorders>
              <w:bottom w:val="single" w:sz="12" w:space="0" w:color="000000"/>
            </w:tcBorders>
            <w:shd w:val="clear" w:color="auto" w:fill="D9D9D9"/>
            <w:vAlign w:val="center"/>
          </w:tcPr>
          <w:p w14:paraId="6C31A83C" w14:textId="77777777" w:rsidR="00F6696F" w:rsidRPr="00F6696F" w:rsidRDefault="00F6696F" w:rsidP="00F6696F">
            <w:pPr>
              <w:spacing w:after="0" w:line="240" w:lineRule="auto"/>
              <w:rPr>
                <w:rFonts w:ascii="Cambria" w:eastAsia="Times New Roman" w:hAnsi="Cambria" w:cs="Calibri"/>
                <w:kern w:val="0"/>
                <w:sz w:val="18"/>
                <w:szCs w:val="18"/>
                <w:lang w:val="en-US" w:eastAsia="ja-JP"/>
                <w14:ligatures w14:val="none"/>
              </w:rPr>
            </w:pPr>
          </w:p>
        </w:tc>
        <w:tc>
          <w:tcPr>
            <w:tcW w:w="0" w:type="auto"/>
            <w:tcBorders>
              <w:bottom w:val="single" w:sz="12" w:space="0" w:color="000000"/>
            </w:tcBorders>
            <w:shd w:val="clear" w:color="auto" w:fill="D9D9D9"/>
            <w:vAlign w:val="center"/>
          </w:tcPr>
          <w:p w14:paraId="480FEB40" w14:textId="77777777" w:rsidR="00F6696F" w:rsidRPr="00F6696F" w:rsidRDefault="00F6696F" w:rsidP="00F6696F">
            <w:pPr>
              <w:spacing w:after="0" w:line="240" w:lineRule="auto"/>
              <w:rPr>
                <w:rFonts w:ascii="Cambria" w:eastAsia="Times New Roman" w:hAnsi="Cambria" w:cs="Calibri"/>
                <w:kern w:val="0"/>
                <w:sz w:val="18"/>
                <w:szCs w:val="18"/>
                <w:lang w:val="en-US" w:eastAsia="ja-JP"/>
                <w14:ligatures w14:val="none"/>
              </w:rPr>
            </w:pPr>
          </w:p>
        </w:tc>
        <w:tc>
          <w:tcPr>
            <w:tcW w:w="0" w:type="auto"/>
            <w:tcBorders>
              <w:bottom w:val="single" w:sz="12" w:space="0" w:color="000000"/>
              <w:right w:val="single" w:sz="12" w:space="0" w:color="000000"/>
            </w:tcBorders>
            <w:shd w:val="clear" w:color="auto" w:fill="D9D9D9"/>
          </w:tcPr>
          <w:p w14:paraId="25C0CDFE" w14:textId="77777777" w:rsidR="00F6696F" w:rsidRPr="00F6696F" w:rsidRDefault="00F6696F" w:rsidP="00F6696F">
            <w:pPr>
              <w:spacing w:after="0" w:line="240" w:lineRule="auto"/>
              <w:rPr>
                <w:rFonts w:ascii="Cambria" w:eastAsia="Times New Roman" w:hAnsi="Cambria" w:cs="Calibri"/>
                <w:kern w:val="0"/>
                <w:sz w:val="18"/>
                <w:szCs w:val="18"/>
                <w:lang w:val="en-US" w:eastAsia="ja-JP"/>
                <w14:ligatures w14:val="none"/>
              </w:rPr>
            </w:pPr>
          </w:p>
        </w:tc>
      </w:tr>
      <w:tr w:rsidR="00F6696F" w:rsidRPr="00F6696F" w14:paraId="5A67F12A" w14:textId="77777777" w:rsidTr="00F6696F">
        <w:trPr>
          <w:trHeight w:val="20"/>
        </w:trPr>
        <w:tc>
          <w:tcPr>
            <w:tcW w:w="3823" w:type="dxa"/>
            <w:tcBorders>
              <w:top w:val="single" w:sz="12" w:space="0" w:color="000000"/>
              <w:left w:val="single" w:sz="12" w:space="0" w:color="000000"/>
            </w:tcBorders>
            <w:noWrap/>
            <w:vAlign w:val="center"/>
            <w:hideMark/>
          </w:tcPr>
          <w:p w14:paraId="784E54FE"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Porcentaje asignado a captura fortuita</w:t>
            </w:r>
          </w:p>
        </w:tc>
        <w:tc>
          <w:tcPr>
            <w:tcW w:w="2699" w:type="dxa"/>
            <w:tcBorders>
              <w:top w:val="single" w:sz="12" w:space="0" w:color="000000"/>
            </w:tcBorders>
            <w:noWrap/>
            <w:vAlign w:val="center"/>
            <w:hideMark/>
          </w:tcPr>
          <w:p w14:paraId="701F7E72" w14:textId="77777777" w:rsidR="00F6696F" w:rsidRPr="00F6696F" w:rsidRDefault="00F6696F" w:rsidP="00F6696F">
            <w:pPr>
              <w:spacing w:after="0" w:line="240" w:lineRule="auto"/>
              <w:jc w:val="right"/>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tcPr>
          <w:p w14:paraId="0342C418" w14:textId="77777777" w:rsidR="00F6696F" w:rsidRPr="00F6696F" w:rsidRDefault="00F6696F" w:rsidP="00F6696F">
            <w:pPr>
              <w:spacing w:after="0" w:line="240" w:lineRule="auto"/>
              <w:rPr>
                <w:rFonts w:ascii="Cambria" w:eastAsia="Times New Roman" w:hAnsi="Cambria" w:cs="Calibri"/>
                <w:kern w:val="0"/>
                <w:sz w:val="18"/>
                <w:szCs w:val="18"/>
                <w:lang w:eastAsia="ja-JP"/>
                <w14:ligatures w14:val="none"/>
              </w:rPr>
            </w:pPr>
          </w:p>
        </w:tc>
        <w:tc>
          <w:tcPr>
            <w:tcW w:w="0" w:type="auto"/>
            <w:tcBorders>
              <w:top w:val="single" w:sz="12" w:space="0" w:color="000000"/>
            </w:tcBorders>
            <w:noWrap/>
            <w:vAlign w:val="center"/>
            <w:hideMark/>
          </w:tcPr>
          <w:p w14:paraId="336976C1"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vAlign w:val="center"/>
            <w:hideMark/>
          </w:tcPr>
          <w:p w14:paraId="6FFDA021"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vAlign w:val="center"/>
            <w:hideMark/>
          </w:tcPr>
          <w:p w14:paraId="6FF516E9"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vAlign w:val="center"/>
            <w:hideMark/>
          </w:tcPr>
          <w:p w14:paraId="287CCB7A"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tcPr>
          <w:p w14:paraId="5696D146" w14:textId="77777777" w:rsidR="00F6696F" w:rsidRPr="00F6696F" w:rsidRDefault="00F6696F" w:rsidP="00F6696F">
            <w:pPr>
              <w:spacing w:after="0" w:line="240" w:lineRule="auto"/>
              <w:rPr>
                <w:rFonts w:ascii="Cambria" w:eastAsia="Times New Roman" w:hAnsi="Cambria" w:cs="Calibri"/>
                <w:kern w:val="0"/>
                <w:sz w:val="18"/>
                <w:szCs w:val="18"/>
                <w:lang w:val="en-US" w:eastAsia="ja-JP"/>
                <w14:ligatures w14:val="none"/>
              </w:rPr>
            </w:pPr>
          </w:p>
        </w:tc>
        <w:tc>
          <w:tcPr>
            <w:tcW w:w="0" w:type="auto"/>
            <w:tcBorders>
              <w:top w:val="single" w:sz="12" w:space="0" w:color="000000"/>
            </w:tcBorders>
          </w:tcPr>
          <w:p w14:paraId="72E74EFB" w14:textId="77777777" w:rsidR="00F6696F" w:rsidRPr="00F6696F" w:rsidRDefault="00F6696F" w:rsidP="00F6696F">
            <w:pPr>
              <w:spacing w:after="0" w:line="240" w:lineRule="auto"/>
              <w:jc w:val="center"/>
              <w:rPr>
                <w:rFonts w:ascii="Cambria" w:eastAsia="Times New Roman" w:hAnsi="Cambria" w:cs="Calibri"/>
                <w:kern w:val="0"/>
                <w:sz w:val="18"/>
                <w:szCs w:val="18"/>
                <w:lang w:val="en-US" w:eastAsia="ja-JP"/>
                <w14:ligatures w14:val="none"/>
              </w:rPr>
            </w:pPr>
          </w:p>
        </w:tc>
        <w:tc>
          <w:tcPr>
            <w:tcW w:w="0" w:type="auto"/>
            <w:tcBorders>
              <w:top w:val="single" w:sz="12" w:space="0" w:color="000000"/>
            </w:tcBorders>
            <w:shd w:val="clear" w:color="000000" w:fill="D9D9D9"/>
            <w:vAlign w:val="center"/>
            <w:hideMark/>
          </w:tcPr>
          <w:p w14:paraId="2ECDEA3F"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tcPr>
          <w:p w14:paraId="2CA03E7E" w14:textId="77777777" w:rsidR="00F6696F" w:rsidRPr="00F6696F" w:rsidRDefault="00F6696F" w:rsidP="00F6696F">
            <w:pPr>
              <w:spacing w:after="0" w:line="240" w:lineRule="auto"/>
              <w:rPr>
                <w:rFonts w:ascii="Cambria" w:eastAsia="Times New Roman" w:hAnsi="Cambria" w:cs="Calibri"/>
                <w:kern w:val="0"/>
                <w:sz w:val="18"/>
                <w:szCs w:val="18"/>
                <w:lang w:eastAsia="ja-JP"/>
                <w14:ligatures w14:val="none"/>
              </w:rPr>
            </w:pPr>
          </w:p>
        </w:tc>
        <w:tc>
          <w:tcPr>
            <w:tcW w:w="0" w:type="auto"/>
            <w:tcBorders>
              <w:top w:val="single" w:sz="12" w:space="0" w:color="000000"/>
            </w:tcBorders>
            <w:vAlign w:val="center"/>
            <w:hideMark/>
          </w:tcPr>
          <w:p w14:paraId="1A8A25D1"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vAlign w:val="center"/>
            <w:hideMark/>
          </w:tcPr>
          <w:p w14:paraId="40D985B0"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vAlign w:val="center"/>
            <w:hideMark/>
          </w:tcPr>
          <w:p w14:paraId="73EA84B4"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vAlign w:val="center"/>
            <w:hideMark/>
          </w:tcPr>
          <w:p w14:paraId="06F1F072"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top w:val="single" w:sz="12" w:space="0" w:color="000000"/>
            </w:tcBorders>
            <w:vAlign w:val="center"/>
            <w:hideMark/>
          </w:tcPr>
          <w:p w14:paraId="0AA1ED0E"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top w:val="single" w:sz="12" w:space="0" w:color="000000"/>
              <w:right w:val="single" w:sz="12" w:space="0" w:color="000000"/>
            </w:tcBorders>
          </w:tcPr>
          <w:p w14:paraId="010FE8F0" w14:textId="77777777" w:rsidR="00F6696F" w:rsidRPr="00F6696F" w:rsidRDefault="00F6696F" w:rsidP="00F6696F">
            <w:pPr>
              <w:spacing w:after="0" w:line="240" w:lineRule="auto"/>
              <w:rPr>
                <w:rFonts w:ascii="Cambria" w:eastAsia="Times New Roman" w:hAnsi="Cambria" w:cs="Calibri"/>
                <w:kern w:val="0"/>
                <w:sz w:val="18"/>
                <w:szCs w:val="18"/>
                <w:lang w:val="en-US" w:eastAsia="ja-JP"/>
                <w14:ligatures w14:val="none"/>
              </w:rPr>
            </w:pPr>
          </w:p>
        </w:tc>
      </w:tr>
      <w:tr w:rsidR="00F6696F" w:rsidRPr="00F6696F" w14:paraId="7B011D7D" w14:textId="77777777" w:rsidTr="00F6696F">
        <w:trPr>
          <w:trHeight w:val="20"/>
        </w:trPr>
        <w:tc>
          <w:tcPr>
            <w:tcW w:w="3823" w:type="dxa"/>
            <w:tcBorders>
              <w:left w:val="single" w:sz="12" w:space="0" w:color="000000"/>
            </w:tcBorders>
            <w:noWrap/>
            <w:vAlign w:val="center"/>
          </w:tcPr>
          <w:p w14:paraId="609BB804"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Asignación a la captura fortuita</w:t>
            </w:r>
            <w:r w:rsidRPr="00F6696F">
              <w:rPr>
                <w:rFonts w:ascii="Cambria" w:eastAsia="MS Gothic" w:hAnsi="Cambria" w:cs="Times New Roman"/>
                <w:b/>
                <w:kern w:val="0"/>
                <w:sz w:val="18"/>
                <w:szCs w:val="24"/>
                <w:vertAlign w:val="superscript"/>
                <w:lang w:eastAsia="fr-FR" w:bidi="fr-FR"/>
                <w14:ligatures w14:val="none"/>
              </w:rPr>
              <w:t>*</w:t>
            </w:r>
          </w:p>
        </w:tc>
        <w:tc>
          <w:tcPr>
            <w:tcW w:w="2699" w:type="dxa"/>
            <w:noWrap/>
            <w:vAlign w:val="center"/>
          </w:tcPr>
          <w:p w14:paraId="50EF5C00" w14:textId="77777777" w:rsidR="00F6696F" w:rsidRPr="00F6696F" w:rsidRDefault="00F6696F" w:rsidP="00F6696F">
            <w:pPr>
              <w:spacing w:after="0" w:line="240" w:lineRule="auto"/>
              <w:jc w:val="right"/>
              <w:rPr>
                <w:rFonts w:ascii="Cambria" w:eastAsia="Times New Roman" w:hAnsi="Cambria" w:cs="Calibri"/>
                <w:kern w:val="0"/>
                <w:sz w:val="18"/>
                <w:szCs w:val="18"/>
                <w:lang w:eastAsia="ja-JP"/>
                <w14:ligatures w14:val="none"/>
              </w:rPr>
            </w:pPr>
          </w:p>
        </w:tc>
        <w:tc>
          <w:tcPr>
            <w:tcW w:w="0" w:type="auto"/>
          </w:tcPr>
          <w:p w14:paraId="09A95115" w14:textId="77777777" w:rsidR="00F6696F" w:rsidRPr="00F6696F" w:rsidRDefault="00F6696F" w:rsidP="00F6696F">
            <w:pPr>
              <w:spacing w:after="0" w:line="240" w:lineRule="auto"/>
              <w:rPr>
                <w:rFonts w:ascii="Cambria" w:eastAsia="Times New Roman" w:hAnsi="Cambria" w:cs="Calibri"/>
                <w:kern w:val="0"/>
                <w:sz w:val="18"/>
                <w:szCs w:val="18"/>
                <w:lang w:eastAsia="ja-JP"/>
                <w14:ligatures w14:val="none"/>
              </w:rPr>
            </w:pPr>
          </w:p>
        </w:tc>
        <w:tc>
          <w:tcPr>
            <w:tcW w:w="0" w:type="auto"/>
            <w:noWrap/>
            <w:vAlign w:val="center"/>
          </w:tcPr>
          <w:p w14:paraId="3F984761" w14:textId="77777777" w:rsidR="00F6696F" w:rsidRPr="00F6696F" w:rsidRDefault="00F6696F" w:rsidP="00F6696F">
            <w:pPr>
              <w:spacing w:after="0" w:line="240" w:lineRule="auto"/>
              <w:rPr>
                <w:rFonts w:ascii="Cambria" w:eastAsia="Times New Roman" w:hAnsi="Cambria" w:cs="Calibri"/>
                <w:kern w:val="0"/>
                <w:sz w:val="18"/>
                <w:szCs w:val="18"/>
                <w:lang w:eastAsia="ja-JP"/>
                <w14:ligatures w14:val="none"/>
              </w:rPr>
            </w:pPr>
          </w:p>
        </w:tc>
        <w:tc>
          <w:tcPr>
            <w:tcW w:w="0" w:type="auto"/>
            <w:vAlign w:val="center"/>
          </w:tcPr>
          <w:p w14:paraId="4FF72948" w14:textId="77777777" w:rsidR="00F6696F" w:rsidRPr="00F6696F" w:rsidRDefault="00F6696F" w:rsidP="00F6696F">
            <w:pPr>
              <w:spacing w:after="0" w:line="240" w:lineRule="auto"/>
              <w:rPr>
                <w:rFonts w:ascii="Cambria" w:eastAsia="Times New Roman" w:hAnsi="Cambria" w:cs="Calibri"/>
                <w:kern w:val="0"/>
                <w:sz w:val="18"/>
                <w:szCs w:val="18"/>
                <w:lang w:eastAsia="ja-JP"/>
                <w14:ligatures w14:val="none"/>
              </w:rPr>
            </w:pPr>
          </w:p>
        </w:tc>
        <w:tc>
          <w:tcPr>
            <w:tcW w:w="0" w:type="auto"/>
            <w:vAlign w:val="center"/>
          </w:tcPr>
          <w:p w14:paraId="57F78F37" w14:textId="77777777" w:rsidR="00F6696F" w:rsidRPr="00F6696F" w:rsidRDefault="00F6696F" w:rsidP="00F6696F">
            <w:pPr>
              <w:spacing w:after="0" w:line="240" w:lineRule="auto"/>
              <w:rPr>
                <w:rFonts w:ascii="Cambria" w:eastAsia="Times New Roman" w:hAnsi="Cambria" w:cs="Calibri"/>
                <w:kern w:val="0"/>
                <w:sz w:val="18"/>
                <w:szCs w:val="18"/>
                <w:lang w:eastAsia="ja-JP"/>
                <w14:ligatures w14:val="none"/>
              </w:rPr>
            </w:pPr>
          </w:p>
        </w:tc>
        <w:tc>
          <w:tcPr>
            <w:tcW w:w="0" w:type="auto"/>
            <w:vAlign w:val="center"/>
          </w:tcPr>
          <w:p w14:paraId="4F3E0593" w14:textId="77777777" w:rsidR="00F6696F" w:rsidRPr="00F6696F" w:rsidRDefault="00F6696F" w:rsidP="00F6696F">
            <w:pPr>
              <w:spacing w:after="0" w:line="240" w:lineRule="auto"/>
              <w:rPr>
                <w:rFonts w:ascii="Cambria" w:eastAsia="Times New Roman" w:hAnsi="Cambria" w:cs="Calibri"/>
                <w:kern w:val="0"/>
                <w:sz w:val="18"/>
                <w:szCs w:val="18"/>
                <w:lang w:eastAsia="ja-JP"/>
                <w14:ligatures w14:val="none"/>
              </w:rPr>
            </w:pPr>
          </w:p>
        </w:tc>
        <w:tc>
          <w:tcPr>
            <w:tcW w:w="0" w:type="auto"/>
          </w:tcPr>
          <w:p w14:paraId="1968B504" w14:textId="77777777" w:rsidR="00F6696F" w:rsidRPr="00F6696F" w:rsidRDefault="00F6696F" w:rsidP="00F6696F">
            <w:pPr>
              <w:spacing w:after="0" w:line="240" w:lineRule="auto"/>
              <w:rPr>
                <w:rFonts w:ascii="Cambria" w:eastAsia="Times New Roman" w:hAnsi="Cambria" w:cs="Calibri"/>
                <w:kern w:val="0"/>
                <w:sz w:val="18"/>
                <w:szCs w:val="18"/>
                <w:lang w:eastAsia="ja-JP"/>
                <w14:ligatures w14:val="none"/>
              </w:rPr>
            </w:pPr>
          </w:p>
        </w:tc>
        <w:tc>
          <w:tcPr>
            <w:tcW w:w="0" w:type="auto"/>
          </w:tcPr>
          <w:p w14:paraId="60F52169" w14:textId="77777777" w:rsidR="00F6696F" w:rsidRPr="00F6696F" w:rsidRDefault="00F6696F" w:rsidP="00F6696F">
            <w:pPr>
              <w:spacing w:after="0" w:line="240" w:lineRule="auto"/>
              <w:jc w:val="center"/>
              <w:rPr>
                <w:rFonts w:ascii="Cambria" w:eastAsia="Times New Roman" w:hAnsi="Cambria" w:cs="Calibri"/>
                <w:kern w:val="0"/>
                <w:sz w:val="18"/>
                <w:szCs w:val="18"/>
                <w:lang w:eastAsia="ja-JP"/>
                <w14:ligatures w14:val="none"/>
              </w:rPr>
            </w:pPr>
          </w:p>
        </w:tc>
        <w:tc>
          <w:tcPr>
            <w:tcW w:w="0" w:type="auto"/>
            <w:shd w:val="clear" w:color="000000" w:fill="D9D9D9"/>
            <w:vAlign w:val="center"/>
          </w:tcPr>
          <w:p w14:paraId="370F9382" w14:textId="77777777" w:rsidR="00F6696F" w:rsidRPr="00F6696F" w:rsidRDefault="00F6696F" w:rsidP="00F6696F">
            <w:pPr>
              <w:spacing w:after="0" w:line="240" w:lineRule="auto"/>
              <w:rPr>
                <w:rFonts w:ascii="Cambria" w:eastAsia="Times New Roman" w:hAnsi="Cambria" w:cs="Calibri"/>
                <w:kern w:val="0"/>
                <w:sz w:val="18"/>
                <w:szCs w:val="18"/>
                <w:lang w:eastAsia="ja-JP"/>
                <w14:ligatures w14:val="none"/>
              </w:rPr>
            </w:pPr>
          </w:p>
        </w:tc>
        <w:tc>
          <w:tcPr>
            <w:tcW w:w="0" w:type="auto"/>
          </w:tcPr>
          <w:p w14:paraId="6B9ABE50" w14:textId="77777777" w:rsidR="00F6696F" w:rsidRPr="00F6696F" w:rsidRDefault="00F6696F" w:rsidP="00F6696F">
            <w:pPr>
              <w:spacing w:after="0" w:line="240" w:lineRule="auto"/>
              <w:rPr>
                <w:rFonts w:ascii="Cambria" w:eastAsia="Times New Roman" w:hAnsi="Cambria" w:cs="Calibri"/>
                <w:kern w:val="0"/>
                <w:sz w:val="18"/>
                <w:szCs w:val="18"/>
                <w:lang w:eastAsia="ja-JP"/>
                <w14:ligatures w14:val="none"/>
              </w:rPr>
            </w:pPr>
          </w:p>
        </w:tc>
        <w:tc>
          <w:tcPr>
            <w:tcW w:w="0" w:type="auto"/>
            <w:vAlign w:val="center"/>
          </w:tcPr>
          <w:p w14:paraId="2A83E5F8" w14:textId="77777777" w:rsidR="00F6696F" w:rsidRPr="00F6696F" w:rsidRDefault="00F6696F" w:rsidP="00F6696F">
            <w:pPr>
              <w:spacing w:after="0" w:line="240" w:lineRule="auto"/>
              <w:rPr>
                <w:rFonts w:ascii="Cambria" w:eastAsia="Times New Roman" w:hAnsi="Cambria" w:cs="Calibri"/>
                <w:kern w:val="0"/>
                <w:sz w:val="18"/>
                <w:szCs w:val="18"/>
                <w:lang w:eastAsia="ja-JP"/>
                <w14:ligatures w14:val="none"/>
              </w:rPr>
            </w:pPr>
          </w:p>
        </w:tc>
        <w:tc>
          <w:tcPr>
            <w:tcW w:w="0" w:type="auto"/>
            <w:vAlign w:val="center"/>
          </w:tcPr>
          <w:p w14:paraId="211A2BF2" w14:textId="77777777" w:rsidR="00F6696F" w:rsidRPr="00F6696F" w:rsidRDefault="00F6696F" w:rsidP="00F6696F">
            <w:pPr>
              <w:spacing w:after="0" w:line="240" w:lineRule="auto"/>
              <w:rPr>
                <w:rFonts w:ascii="Cambria" w:eastAsia="Times New Roman" w:hAnsi="Cambria" w:cs="Calibri"/>
                <w:kern w:val="0"/>
                <w:sz w:val="18"/>
                <w:szCs w:val="18"/>
                <w:lang w:eastAsia="ja-JP"/>
                <w14:ligatures w14:val="none"/>
              </w:rPr>
            </w:pPr>
          </w:p>
        </w:tc>
        <w:tc>
          <w:tcPr>
            <w:tcW w:w="0" w:type="auto"/>
            <w:vAlign w:val="center"/>
          </w:tcPr>
          <w:p w14:paraId="04149605" w14:textId="77777777" w:rsidR="00F6696F" w:rsidRPr="00F6696F" w:rsidRDefault="00F6696F" w:rsidP="00F6696F">
            <w:pPr>
              <w:spacing w:after="0" w:line="240" w:lineRule="auto"/>
              <w:rPr>
                <w:rFonts w:ascii="Cambria" w:eastAsia="Times New Roman" w:hAnsi="Cambria" w:cs="Calibri"/>
                <w:kern w:val="0"/>
                <w:sz w:val="18"/>
                <w:szCs w:val="18"/>
                <w:lang w:eastAsia="ja-JP"/>
                <w14:ligatures w14:val="none"/>
              </w:rPr>
            </w:pPr>
          </w:p>
        </w:tc>
        <w:tc>
          <w:tcPr>
            <w:tcW w:w="0" w:type="auto"/>
            <w:vAlign w:val="center"/>
          </w:tcPr>
          <w:p w14:paraId="24CBECA6" w14:textId="77777777" w:rsidR="00F6696F" w:rsidRPr="00F6696F" w:rsidRDefault="00F6696F" w:rsidP="00F6696F">
            <w:pPr>
              <w:spacing w:after="0" w:line="240" w:lineRule="auto"/>
              <w:rPr>
                <w:rFonts w:ascii="Cambria" w:eastAsia="Times New Roman" w:hAnsi="Cambria" w:cs="Calibri"/>
                <w:kern w:val="0"/>
                <w:sz w:val="18"/>
                <w:szCs w:val="18"/>
                <w:lang w:eastAsia="ja-JP"/>
                <w14:ligatures w14:val="none"/>
              </w:rPr>
            </w:pPr>
          </w:p>
        </w:tc>
        <w:tc>
          <w:tcPr>
            <w:tcW w:w="0" w:type="auto"/>
            <w:vAlign w:val="center"/>
          </w:tcPr>
          <w:p w14:paraId="3E4263F0" w14:textId="77777777" w:rsidR="00F6696F" w:rsidRPr="00F6696F" w:rsidRDefault="00F6696F" w:rsidP="00F6696F">
            <w:pPr>
              <w:spacing w:after="0" w:line="240" w:lineRule="auto"/>
              <w:rPr>
                <w:rFonts w:ascii="Cambria" w:eastAsia="Times New Roman" w:hAnsi="Cambria" w:cs="Calibri"/>
                <w:kern w:val="0"/>
                <w:sz w:val="18"/>
                <w:szCs w:val="18"/>
                <w:lang w:eastAsia="ja-JP"/>
                <w14:ligatures w14:val="none"/>
              </w:rPr>
            </w:pPr>
          </w:p>
        </w:tc>
        <w:tc>
          <w:tcPr>
            <w:tcW w:w="0" w:type="auto"/>
            <w:tcBorders>
              <w:right w:val="single" w:sz="12" w:space="0" w:color="000000"/>
            </w:tcBorders>
          </w:tcPr>
          <w:p w14:paraId="1400BA8B" w14:textId="77777777" w:rsidR="00F6696F" w:rsidRPr="00F6696F" w:rsidRDefault="00F6696F" w:rsidP="00F6696F">
            <w:pPr>
              <w:spacing w:after="0" w:line="240" w:lineRule="auto"/>
              <w:rPr>
                <w:rFonts w:ascii="Cambria" w:eastAsia="Times New Roman" w:hAnsi="Cambria" w:cs="Calibri"/>
                <w:kern w:val="0"/>
                <w:sz w:val="18"/>
                <w:szCs w:val="18"/>
                <w:lang w:eastAsia="ja-JP"/>
                <w14:ligatures w14:val="none"/>
              </w:rPr>
            </w:pPr>
          </w:p>
        </w:tc>
      </w:tr>
      <w:tr w:rsidR="00F6696F" w:rsidRPr="00F6696F" w14:paraId="5D3875CD" w14:textId="77777777" w:rsidTr="00F6696F">
        <w:trPr>
          <w:trHeight w:val="20"/>
        </w:trPr>
        <w:tc>
          <w:tcPr>
            <w:tcW w:w="3823" w:type="dxa"/>
            <w:tcBorders>
              <w:left w:val="single" w:sz="12" w:space="0" w:color="000000"/>
            </w:tcBorders>
            <w:vAlign w:val="center"/>
          </w:tcPr>
          <w:p w14:paraId="74D5510C"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Cuota para investigación científica (si procede)</w:t>
            </w:r>
            <w:r w:rsidRPr="00F6696F">
              <w:rPr>
                <w:rFonts w:ascii="Cambria" w:eastAsia="MS Gothic" w:hAnsi="Cambria" w:cs="Times New Roman"/>
                <w:b/>
                <w:kern w:val="0"/>
                <w:sz w:val="18"/>
                <w:szCs w:val="24"/>
                <w:vertAlign w:val="superscript"/>
                <w:lang w:eastAsia="fr-FR" w:bidi="fr-FR"/>
                <w14:ligatures w14:val="none"/>
              </w:rPr>
              <w:t>*</w:t>
            </w:r>
          </w:p>
        </w:tc>
        <w:tc>
          <w:tcPr>
            <w:tcW w:w="2699" w:type="dxa"/>
            <w:noWrap/>
            <w:vAlign w:val="center"/>
          </w:tcPr>
          <w:p w14:paraId="36933751" w14:textId="77777777" w:rsidR="00F6696F" w:rsidRPr="00F6696F" w:rsidRDefault="00F6696F" w:rsidP="00F6696F">
            <w:pPr>
              <w:spacing w:after="0" w:line="240" w:lineRule="auto"/>
              <w:jc w:val="right"/>
              <w:rPr>
                <w:rFonts w:ascii="Cambria" w:eastAsia="Times New Roman" w:hAnsi="Cambria" w:cs="Calibri"/>
                <w:b/>
                <w:bCs/>
                <w:kern w:val="0"/>
                <w:sz w:val="18"/>
                <w:szCs w:val="18"/>
                <w:lang w:eastAsia="ja-JP"/>
                <w14:ligatures w14:val="none"/>
              </w:rPr>
            </w:pPr>
          </w:p>
        </w:tc>
        <w:tc>
          <w:tcPr>
            <w:tcW w:w="0" w:type="auto"/>
          </w:tcPr>
          <w:p w14:paraId="48BDDEF0" w14:textId="77777777" w:rsidR="00F6696F" w:rsidRPr="00F6696F" w:rsidRDefault="00F6696F" w:rsidP="00F6696F">
            <w:pPr>
              <w:spacing w:after="0" w:line="240" w:lineRule="auto"/>
              <w:rPr>
                <w:rFonts w:ascii="Cambria" w:eastAsia="Times New Roman" w:hAnsi="Cambria" w:cs="Calibri"/>
                <w:b/>
                <w:bCs/>
                <w:kern w:val="0"/>
                <w:sz w:val="18"/>
                <w:szCs w:val="18"/>
                <w:lang w:eastAsia="ja-JP"/>
                <w14:ligatures w14:val="none"/>
              </w:rPr>
            </w:pPr>
          </w:p>
        </w:tc>
        <w:tc>
          <w:tcPr>
            <w:tcW w:w="0" w:type="auto"/>
            <w:noWrap/>
            <w:vAlign w:val="center"/>
          </w:tcPr>
          <w:p w14:paraId="371E8617" w14:textId="77777777" w:rsidR="00F6696F" w:rsidRPr="00F6696F" w:rsidRDefault="00F6696F" w:rsidP="00F6696F">
            <w:pPr>
              <w:spacing w:after="0" w:line="240" w:lineRule="auto"/>
              <w:rPr>
                <w:rFonts w:ascii="Cambria" w:eastAsia="Times New Roman" w:hAnsi="Cambria" w:cs="Calibri"/>
                <w:b/>
                <w:bCs/>
                <w:kern w:val="0"/>
                <w:sz w:val="18"/>
                <w:szCs w:val="18"/>
                <w:lang w:eastAsia="ja-JP"/>
                <w14:ligatures w14:val="none"/>
              </w:rPr>
            </w:pPr>
          </w:p>
        </w:tc>
        <w:tc>
          <w:tcPr>
            <w:tcW w:w="0" w:type="auto"/>
            <w:vAlign w:val="center"/>
          </w:tcPr>
          <w:p w14:paraId="290ADF39" w14:textId="77777777" w:rsidR="00F6696F" w:rsidRPr="00F6696F" w:rsidRDefault="00F6696F" w:rsidP="00F6696F">
            <w:pPr>
              <w:spacing w:after="0" w:line="240" w:lineRule="auto"/>
              <w:rPr>
                <w:rFonts w:ascii="Cambria" w:eastAsia="Times New Roman" w:hAnsi="Cambria" w:cs="Calibri"/>
                <w:b/>
                <w:bCs/>
                <w:kern w:val="0"/>
                <w:sz w:val="18"/>
                <w:szCs w:val="18"/>
                <w:lang w:eastAsia="ja-JP"/>
                <w14:ligatures w14:val="none"/>
              </w:rPr>
            </w:pPr>
          </w:p>
        </w:tc>
        <w:tc>
          <w:tcPr>
            <w:tcW w:w="0" w:type="auto"/>
            <w:vAlign w:val="center"/>
          </w:tcPr>
          <w:p w14:paraId="21225065" w14:textId="77777777" w:rsidR="00F6696F" w:rsidRPr="00F6696F" w:rsidRDefault="00F6696F" w:rsidP="00F6696F">
            <w:pPr>
              <w:spacing w:after="0" w:line="240" w:lineRule="auto"/>
              <w:rPr>
                <w:rFonts w:ascii="Cambria" w:eastAsia="Times New Roman" w:hAnsi="Cambria" w:cs="Calibri"/>
                <w:b/>
                <w:bCs/>
                <w:kern w:val="0"/>
                <w:sz w:val="18"/>
                <w:szCs w:val="18"/>
                <w:lang w:eastAsia="ja-JP"/>
                <w14:ligatures w14:val="none"/>
              </w:rPr>
            </w:pPr>
          </w:p>
        </w:tc>
        <w:tc>
          <w:tcPr>
            <w:tcW w:w="0" w:type="auto"/>
            <w:vAlign w:val="center"/>
          </w:tcPr>
          <w:p w14:paraId="3C72FF7E" w14:textId="77777777" w:rsidR="00F6696F" w:rsidRPr="00F6696F" w:rsidRDefault="00F6696F" w:rsidP="00F6696F">
            <w:pPr>
              <w:spacing w:after="0" w:line="240" w:lineRule="auto"/>
              <w:rPr>
                <w:rFonts w:ascii="Cambria" w:eastAsia="Times New Roman" w:hAnsi="Cambria" w:cs="Calibri"/>
                <w:b/>
                <w:bCs/>
                <w:kern w:val="0"/>
                <w:sz w:val="18"/>
                <w:szCs w:val="18"/>
                <w:lang w:eastAsia="ja-JP"/>
                <w14:ligatures w14:val="none"/>
              </w:rPr>
            </w:pPr>
          </w:p>
        </w:tc>
        <w:tc>
          <w:tcPr>
            <w:tcW w:w="0" w:type="auto"/>
          </w:tcPr>
          <w:p w14:paraId="22C06595" w14:textId="77777777" w:rsidR="00F6696F" w:rsidRPr="00F6696F" w:rsidRDefault="00F6696F" w:rsidP="00F6696F">
            <w:pPr>
              <w:spacing w:after="0" w:line="240" w:lineRule="auto"/>
              <w:rPr>
                <w:rFonts w:ascii="Cambria" w:eastAsia="Times New Roman" w:hAnsi="Cambria" w:cs="Calibri"/>
                <w:b/>
                <w:bCs/>
                <w:kern w:val="0"/>
                <w:sz w:val="18"/>
                <w:szCs w:val="18"/>
                <w:lang w:eastAsia="ja-JP"/>
                <w14:ligatures w14:val="none"/>
              </w:rPr>
            </w:pPr>
          </w:p>
        </w:tc>
        <w:tc>
          <w:tcPr>
            <w:tcW w:w="0" w:type="auto"/>
          </w:tcPr>
          <w:p w14:paraId="4A05D2AE" w14:textId="77777777" w:rsidR="00F6696F" w:rsidRPr="00F6696F" w:rsidRDefault="00F6696F" w:rsidP="00F6696F">
            <w:pPr>
              <w:spacing w:after="0" w:line="240" w:lineRule="auto"/>
              <w:jc w:val="center"/>
              <w:rPr>
                <w:rFonts w:ascii="Cambria" w:eastAsia="Times New Roman" w:hAnsi="Cambria" w:cs="Calibri"/>
                <w:kern w:val="0"/>
                <w:sz w:val="18"/>
                <w:szCs w:val="18"/>
                <w:lang w:eastAsia="ja-JP"/>
                <w14:ligatures w14:val="none"/>
              </w:rPr>
            </w:pPr>
          </w:p>
        </w:tc>
        <w:tc>
          <w:tcPr>
            <w:tcW w:w="0" w:type="auto"/>
            <w:shd w:val="clear" w:color="000000" w:fill="D9D9D9"/>
            <w:vAlign w:val="center"/>
          </w:tcPr>
          <w:p w14:paraId="5C7036F9" w14:textId="77777777" w:rsidR="00F6696F" w:rsidRPr="00F6696F" w:rsidRDefault="00F6696F" w:rsidP="00F6696F">
            <w:pPr>
              <w:spacing w:after="0" w:line="240" w:lineRule="auto"/>
              <w:rPr>
                <w:rFonts w:ascii="Cambria" w:eastAsia="Times New Roman" w:hAnsi="Cambria" w:cs="Calibri"/>
                <w:b/>
                <w:bCs/>
                <w:kern w:val="0"/>
                <w:sz w:val="18"/>
                <w:szCs w:val="18"/>
                <w:lang w:eastAsia="ja-JP"/>
                <w14:ligatures w14:val="none"/>
              </w:rPr>
            </w:pPr>
          </w:p>
        </w:tc>
        <w:tc>
          <w:tcPr>
            <w:tcW w:w="0" w:type="auto"/>
          </w:tcPr>
          <w:p w14:paraId="57F9DF86" w14:textId="77777777" w:rsidR="00F6696F" w:rsidRPr="00F6696F" w:rsidRDefault="00F6696F" w:rsidP="00F6696F">
            <w:pPr>
              <w:spacing w:after="0" w:line="240" w:lineRule="auto"/>
              <w:rPr>
                <w:rFonts w:ascii="Cambria" w:eastAsia="Times New Roman" w:hAnsi="Cambria" w:cs="Calibri"/>
                <w:b/>
                <w:bCs/>
                <w:kern w:val="0"/>
                <w:sz w:val="18"/>
                <w:szCs w:val="18"/>
                <w:lang w:eastAsia="ja-JP"/>
                <w14:ligatures w14:val="none"/>
              </w:rPr>
            </w:pPr>
          </w:p>
        </w:tc>
        <w:tc>
          <w:tcPr>
            <w:tcW w:w="0" w:type="auto"/>
            <w:vAlign w:val="center"/>
          </w:tcPr>
          <w:p w14:paraId="2800F531" w14:textId="77777777" w:rsidR="00F6696F" w:rsidRPr="00F6696F" w:rsidRDefault="00F6696F" w:rsidP="00F6696F">
            <w:pPr>
              <w:spacing w:after="0" w:line="240" w:lineRule="auto"/>
              <w:rPr>
                <w:rFonts w:ascii="Cambria" w:eastAsia="Times New Roman" w:hAnsi="Cambria" w:cs="Calibri"/>
                <w:b/>
                <w:bCs/>
                <w:kern w:val="0"/>
                <w:sz w:val="18"/>
                <w:szCs w:val="18"/>
                <w:lang w:eastAsia="ja-JP"/>
                <w14:ligatures w14:val="none"/>
              </w:rPr>
            </w:pPr>
          </w:p>
        </w:tc>
        <w:tc>
          <w:tcPr>
            <w:tcW w:w="0" w:type="auto"/>
            <w:vAlign w:val="center"/>
          </w:tcPr>
          <w:p w14:paraId="47CB26A7" w14:textId="77777777" w:rsidR="00F6696F" w:rsidRPr="00F6696F" w:rsidRDefault="00F6696F" w:rsidP="00F6696F">
            <w:pPr>
              <w:spacing w:after="0" w:line="240" w:lineRule="auto"/>
              <w:rPr>
                <w:rFonts w:ascii="Cambria" w:eastAsia="Times New Roman" w:hAnsi="Cambria" w:cs="Calibri"/>
                <w:b/>
                <w:bCs/>
                <w:kern w:val="0"/>
                <w:sz w:val="18"/>
                <w:szCs w:val="18"/>
                <w:lang w:eastAsia="ja-JP"/>
                <w14:ligatures w14:val="none"/>
              </w:rPr>
            </w:pPr>
          </w:p>
        </w:tc>
        <w:tc>
          <w:tcPr>
            <w:tcW w:w="0" w:type="auto"/>
            <w:noWrap/>
            <w:vAlign w:val="center"/>
          </w:tcPr>
          <w:p w14:paraId="5796A3F1" w14:textId="77777777" w:rsidR="00F6696F" w:rsidRPr="00F6696F" w:rsidRDefault="00F6696F" w:rsidP="00F6696F">
            <w:pPr>
              <w:spacing w:after="0" w:line="240" w:lineRule="auto"/>
              <w:rPr>
                <w:rFonts w:ascii="Cambria" w:eastAsia="Times New Roman" w:hAnsi="Cambria" w:cs="Calibri"/>
                <w:b/>
                <w:bCs/>
                <w:kern w:val="0"/>
                <w:sz w:val="18"/>
                <w:szCs w:val="18"/>
                <w:lang w:eastAsia="ja-JP"/>
                <w14:ligatures w14:val="none"/>
              </w:rPr>
            </w:pPr>
          </w:p>
        </w:tc>
        <w:tc>
          <w:tcPr>
            <w:tcW w:w="0" w:type="auto"/>
            <w:noWrap/>
            <w:vAlign w:val="center"/>
          </w:tcPr>
          <w:p w14:paraId="491C3522" w14:textId="77777777" w:rsidR="00F6696F" w:rsidRPr="00F6696F" w:rsidRDefault="00F6696F" w:rsidP="00F6696F">
            <w:pPr>
              <w:spacing w:after="0" w:line="240" w:lineRule="auto"/>
              <w:rPr>
                <w:rFonts w:ascii="Cambria" w:eastAsia="Times New Roman" w:hAnsi="Cambria" w:cs="Calibri"/>
                <w:b/>
                <w:bCs/>
                <w:kern w:val="0"/>
                <w:sz w:val="18"/>
                <w:szCs w:val="18"/>
                <w:lang w:eastAsia="ja-JP"/>
                <w14:ligatures w14:val="none"/>
              </w:rPr>
            </w:pPr>
          </w:p>
        </w:tc>
        <w:tc>
          <w:tcPr>
            <w:tcW w:w="0" w:type="auto"/>
            <w:noWrap/>
            <w:vAlign w:val="center"/>
          </w:tcPr>
          <w:p w14:paraId="5A2F385C" w14:textId="77777777" w:rsidR="00F6696F" w:rsidRPr="00F6696F" w:rsidRDefault="00F6696F" w:rsidP="00F6696F">
            <w:pPr>
              <w:spacing w:after="0" w:line="240" w:lineRule="auto"/>
              <w:rPr>
                <w:rFonts w:ascii="Cambria" w:eastAsia="Times New Roman" w:hAnsi="Cambria" w:cs="Calibri"/>
                <w:b/>
                <w:bCs/>
                <w:kern w:val="0"/>
                <w:sz w:val="18"/>
                <w:szCs w:val="18"/>
                <w:lang w:eastAsia="ja-JP"/>
                <w14:ligatures w14:val="none"/>
              </w:rPr>
            </w:pPr>
          </w:p>
        </w:tc>
        <w:tc>
          <w:tcPr>
            <w:tcW w:w="0" w:type="auto"/>
            <w:tcBorders>
              <w:right w:val="single" w:sz="12" w:space="0" w:color="000000"/>
            </w:tcBorders>
          </w:tcPr>
          <w:p w14:paraId="6092078C" w14:textId="77777777" w:rsidR="00F6696F" w:rsidRPr="00F6696F" w:rsidRDefault="00F6696F" w:rsidP="00F6696F">
            <w:pPr>
              <w:spacing w:after="0" w:line="240" w:lineRule="auto"/>
              <w:rPr>
                <w:rFonts w:ascii="Cambria" w:eastAsia="Times New Roman" w:hAnsi="Cambria" w:cs="Calibri"/>
                <w:b/>
                <w:bCs/>
                <w:kern w:val="0"/>
                <w:sz w:val="18"/>
                <w:szCs w:val="18"/>
                <w:lang w:eastAsia="ja-JP"/>
                <w14:ligatures w14:val="none"/>
              </w:rPr>
            </w:pPr>
          </w:p>
        </w:tc>
      </w:tr>
      <w:tr w:rsidR="00F6696F" w:rsidRPr="00F6696F" w14:paraId="6E3CD56B" w14:textId="77777777" w:rsidTr="00F6696F">
        <w:trPr>
          <w:trHeight w:val="20"/>
        </w:trPr>
        <w:tc>
          <w:tcPr>
            <w:tcW w:w="3823" w:type="dxa"/>
            <w:tcBorders>
              <w:left w:val="single" w:sz="12" w:space="0" w:color="000000"/>
            </w:tcBorders>
            <w:vAlign w:val="center"/>
          </w:tcPr>
          <w:p w14:paraId="5A0C218C"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Tolerancia para pesca deportiva/de recreo (si procede)</w:t>
            </w:r>
            <w:r w:rsidRPr="00F6696F">
              <w:rPr>
                <w:rFonts w:ascii="Cambria" w:eastAsia="MS Gothic" w:hAnsi="Cambria" w:cs="Times New Roman"/>
                <w:b/>
                <w:kern w:val="0"/>
                <w:sz w:val="18"/>
                <w:szCs w:val="24"/>
                <w:vertAlign w:val="superscript"/>
                <w:lang w:eastAsia="fr-FR" w:bidi="fr-FR"/>
                <w14:ligatures w14:val="none"/>
              </w:rPr>
              <w:t>*</w:t>
            </w:r>
          </w:p>
        </w:tc>
        <w:tc>
          <w:tcPr>
            <w:tcW w:w="2699" w:type="dxa"/>
            <w:noWrap/>
            <w:vAlign w:val="center"/>
          </w:tcPr>
          <w:p w14:paraId="1E6FDD2A" w14:textId="77777777" w:rsidR="00F6696F" w:rsidRPr="00F6696F" w:rsidRDefault="00F6696F" w:rsidP="00F6696F">
            <w:pPr>
              <w:spacing w:after="0" w:line="240" w:lineRule="auto"/>
              <w:jc w:val="right"/>
              <w:rPr>
                <w:rFonts w:ascii="Cambria" w:eastAsia="Times New Roman" w:hAnsi="Cambria" w:cs="Calibri"/>
                <w:b/>
                <w:bCs/>
                <w:kern w:val="0"/>
                <w:sz w:val="18"/>
                <w:szCs w:val="18"/>
                <w:lang w:eastAsia="ja-JP"/>
                <w14:ligatures w14:val="none"/>
              </w:rPr>
            </w:pPr>
          </w:p>
        </w:tc>
        <w:tc>
          <w:tcPr>
            <w:tcW w:w="0" w:type="auto"/>
          </w:tcPr>
          <w:p w14:paraId="44845DEA" w14:textId="77777777" w:rsidR="00F6696F" w:rsidRPr="00F6696F" w:rsidRDefault="00F6696F" w:rsidP="00F6696F">
            <w:pPr>
              <w:spacing w:after="0" w:line="240" w:lineRule="auto"/>
              <w:rPr>
                <w:rFonts w:ascii="Cambria" w:eastAsia="Times New Roman" w:hAnsi="Cambria" w:cs="Calibri"/>
                <w:b/>
                <w:bCs/>
                <w:kern w:val="0"/>
                <w:sz w:val="18"/>
                <w:szCs w:val="18"/>
                <w:lang w:eastAsia="ja-JP"/>
                <w14:ligatures w14:val="none"/>
              </w:rPr>
            </w:pPr>
          </w:p>
        </w:tc>
        <w:tc>
          <w:tcPr>
            <w:tcW w:w="0" w:type="auto"/>
            <w:noWrap/>
            <w:vAlign w:val="center"/>
          </w:tcPr>
          <w:p w14:paraId="2513A2B1" w14:textId="77777777" w:rsidR="00F6696F" w:rsidRPr="00F6696F" w:rsidRDefault="00F6696F" w:rsidP="00F6696F">
            <w:pPr>
              <w:spacing w:after="0" w:line="240" w:lineRule="auto"/>
              <w:rPr>
                <w:rFonts w:ascii="Cambria" w:eastAsia="Times New Roman" w:hAnsi="Cambria" w:cs="Calibri"/>
                <w:b/>
                <w:bCs/>
                <w:kern w:val="0"/>
                <w:sz w:val="18"/>
                <w:szCs w:val="18"/>
                <w:lang w:eastAsia="ja-JP"/>
                <w14:ligatures w14:val="none"/>
              </w:rPr>
            </w:pPr>
          </w:p>
        </w:tc>
        <w:tc>
          <w:tcPr>
            <w:tcW w:w="0" w:type="auto"/>
            <w:vAlign w:val="center"/>
          </w:tcPr>
          <w:p w14:paraId="7D551B1E" w14:textId="77777777" w:rsidR="00F6696F" w:rsidRPr="00F6696F" w:rsidRDefault="00F6696F" w:rsidP="00F6696F">
            <w:pPr>
              <w:spacing w:after="0" w:line="240" w:lineRule="auto"/>
              <w:rPr>
                <w:rFonts w:ascii="Cambria" w:eastAsia="Times New Roman" w:hAnsi="Cambria" w:cs="Calibri"/>
                <w:b/>
                <w:bCs/>
                <w:kern w:val="0"/>
                <w:sz w:val="18"/>
                <w:szCs w:val="18"/>
                <w:lang w:eastAsia="ja-JP"/>
                <w14:ligatures w14:val="none"/>
              </w:rPr>
            </w:pPr>
          </w:p>
        </w:tc>
        <w:tc>
          <w:tcPr>
            <w:tcW w:w="0" w:type="auto"/>
            <w:vAlign w:val="center"/>
          </w:tcPr>
          <w:p w14:paraId="44FE3E4A" w14:textId="77777777" w:rsidR="00F6696F" w:rsidRPr="00F6696F" w:rsidRDefault="00F6696F" w:rsidP="00F6696F">
            <w:pPr>
              <w:spacing w:after="0" w:line="240" w:lineRule="auto"/>
              <w:rPr>
                <w:rFonts w:ascii="Cambria" w:eastAsia="Times New Roman" w:hAnsi="Cambria" w:cs="Calibri"/>
                <w:b/>
                <w:bCs/>
                <w:kern w:val="0"/>
                <w:sz w:val="18"/>
                <w:szCs w:val="18"/>
                <w:lang w:val="en-US" w:eastAsia="ja-JP"/>
                <w14:ligatures w14:val="none"/>
              </w:rPr>
            </w:pPr>
          </w:p>
        </w:tc>
        <w:tc>
          <w:tcPr>
            <w:tcW w:w="0" w:type="auto"/>
            <w:vAlign w:val="center"/>
          </w:tcPr>
          <w:p w14:paraId="68A88867" w14:textId="77777777" w:rsidR="00F6696F" w:rsidRPr="00F6696F" w:rsidRDefault="00F6696F" w:rsidP="00F6696F">
            <w:pPr>
              <w:spacing w:after="0" w:line="240" w:lineRule="auto"/>
              <w:rPr>
                <w:rFonts w:ascii="Cambria" w:eastAsia="Times New Roman" w:hAnsi="Cambria" w:cs="Calibri"/>
                <w:b/>
                <w:bCs/>
                <w:kern w:val="0"/>
                <w:sz w:val="18"/>
                <w:szCs w:val="18"/>
                <w:lang w:val="en-US" w:eastAsia="ja-JP"/>
                <w14:ligatures w14:val="none"/>
              </w:rPr>
            </w:pPr>
          </w:p>
        </w:tc>
        <w:tc>
          <w:tcPr>
            <w:tcW w:w="0" w:type="auto"/>
          </w:tcPr>
          <w:p w14:paraId="2485CA5C" w14:textId="77777777" w:rsidR="00F6696F" w:rsidRPr="00F6696F" w:rsidRDefault="00F6696F" w:rsidP="00F6696F">
            <w:pPr>
              <w:spacing w:after="0" w:line="240" w:lineRule="auto"/>
              <w:rPr>
                <w:rFonts w:ascii="Cambria" w:eastAsia="Times New Roman" w:hAnsi="Cambria" w:cs="Calibri"/>
                <w:b/>
                <w:bCs/>
                <w:kern w:val="0"/>
                <w:sz w:val="18"/>
                <w:szCs w:val="18"/>
                <w:lang w:val="en-US" w:eastAsia="ja-JP"/>
                <w14:ligatures w14:val="none"/>
              </w:rPr>
            </w:pPr>
          </w:p>
        </w:tc>
        <w:tc>
          <w:tcPr>
            <w:tcW w:w="0" w:type="auto"/>
          </w:tcPr>
          <w:p w14:paraId="3BB0F753" w14:textId="77777777" w:rsidR="00F6696F" w:rsidRPr="00F6696F" w:rsidRDefault="00F6696F" w:rsidP="00F6696F">
            <w:pPr>
              <w:spacing w:after="0" w:line="240" w:lineRule="auto"/>
              <w:jc w:val="center"/>
              <w:rPr>
                <w:rFonts w:ascii="Cambria" w:eastAsia="Times New Roman" w:hAnsi="Cambria" w:cs="Calibri"/>
                <w:kern w:val="0"/>
                <w:sz w:val="18"/>
                <w:szCs w:val="18"/>
                <w:lang w:val="en-US" w:eastAsia="ja-JP"/>
                <w14:ligatures w14:val="none"/>
              </w:rPr>
            </w:pPr>
          </w:p>
        </w:tc>
        <w:tc>
          <w:tcPr>
            <w:tcW w:w="0" w:type="auto"/>
            <w:shd w:val="clear" w:color="000000" w:fill="D9D9D9"/>
            <w:vAlign w:val="center"/>
          </w:tcPr>
          <w:p w14:paraId="0F0D0512" w14:textId="77777777" w:rsidR="00F6696F" w:rsidRPr="00F6696F" w:rsidRDefault="00F6696F" w:rsidP="00F6696F">
            <w:pPr>
              <w:spacing w:after="0" w:line="240" w:lineRule="auto"/>
              <w:rPr>
                <w:rFonts w:ascii="Cambria" w:eastAsia="Times New Roman" w:hAnsi="Cambria" w:cs="Calibri"/>
                <w:b/>
                <w:bCs/>
                <w:kern w:val="0"/>
                <w:sz w:val="18"/>
                <w:szCs w:val="18"/>
                <w:lang w:val="en-US" w:eastAsia="ja-JP"/>
                <w14:ligatures w14:val="none"/>
              </w:rPr>
            </w:pPr>
          </w:p>
        </w:tc>
        <w:tc>
          <w:tcPr>
            <w:tcW w:w="0" w:type="auto"/>
          </w:tcPr>
          <w:p w14:paraId="018835D2" w14:textId="77777777" w:rsidR="00F6696F" w:rsidRPr="00F6696F" w:rsidRDefault="00F6696F" w:rsidP="00F6696F">
            <w:pPr>
              <w:spacing w:after="0" w:line="240" w:lineRule="auto"/>
              <w:rPr>
                <w:rFonts w:ascii="Cambria" w:eastAsia="Times New Roman" w:hAnsi="Cambria" w:cs="Calibri"/>
                <w:b/>
                <w:bCs/>
                <w:kern w:val="0"/>
                <w:sz w:val="18"/>
                <w:szCs w:val="18"/>
                <w:lang w:eastAsia="ja-JP"/>
                <w14:ligatures w14:val="none"/>
              </w:rPr>
            </w:pPr>
          </w:p>
        </w:tc>
        <w:tc>
          <w:tcPr>
            <w:tcW w:w="0" w:type="auto"/>
            <w:vAlign w:val="center"/>
          </w:tcPr>
          <w:p w14:paraId="61856831" w14:textId="77777777" w:rsidR="00F6696F" w:rsidRPr="00F6696F" w:rsidRDefault="00F6696F" w:rsidP="00F6696F">
            <w:pPr>
              <w:spacing w:after="0" w:line="240" w:lineRule="auto"/>
              <w:rPr>
                <w:rFonts w:ascii="Cambria" w:eastAsia="Times New Roman" w:hAnsi="Cambria" w:cs="Calibri"/>
                <w:b/>
                <w:bCs/>
                <w:kern w:val="0"/>
                <w:sz w:val="18"/>
                <w:szCs w:val="18"/>
                <w:lang w:eastAsia="ja-JP"/>
                <w14:ligatures w14:val="none"/>
              </w:rPr>
            </w:pPr>
          </w:p>
        </w:tc>
        <w:tc>
          <w:tcPr>
            <w:tcW w:w="0" w:type="auto"/>
            <w:vAlign w:val="center"/>
          </w:tcPr>
          <w:p w14:paraId="55FB14C4" w14:textId="77777777" w:rsidR="00F6696F" w:rsidRPr="00F6696F" w:rsidRDefault="00F6696F" w:rsidP="00F6696F">
            <w:pPr>
              <w:spacing w:after="0" w:line="240" w:lineRule="auto"/>
              <w:rPr>
                <w:rFonts w:ascii="Cambria" w:eastAsia="Times New Roman" w:hAnsi="Cambria" w:cs="Calibri"/>
                <w:b/>
                <w:bCs/>
                <w:kern w:val="0"/>
                <w:sz w:val="18"/>
                <w:szCs w:val="18"/>
                <w:lang w:val="en-US" w:eastAsia="ja-JP"/>
                <w14:ligatures w14:val="none"/>
              </w:rPr>
            </w:pPr>
          </w:p>
        </w:tc>
        <w:tc>
          <w:tcPr>
            <w:tcW w:w="0" w:type="auto"/>
            <w:noWrap/>
            <w:vAlign w:val="center"/>
          </w:tcPr>
          <w:p w14:paraId="1C5876E7" w14:textId="77777777" w:rsidR="00F6696F" w:rsidRPr="00F6696F" w:rsidRDefault="00F6696F" w:rsidP="00F6696F">
            <w:pPr>
              <w:spacing w:after="0" w:line="240" w:lineRule="auto"/>
              <w:rPr>
                <w:rFonts w:ascii="Cambria" w:eastAsia="Times New Roman" w:hAnsi="Cambria" w:cs="Calibri"/>
                <w:b/>
                <w:bCs/>
                <w:kern w:val="0"/>
                <w:sz w:val="18"/>
                <w:szCs w:val="18"/>
                <w:lang w:val="en-US" w:eastAsia="ja-JP"/>
                <w14:ligatures w14:val="none"/>
              </w:rPr>
            </w:pPr>
          </w:p>
        </w:tc>
        <w:tc>
          <w:tcPr>
            <w:tcW w:w="0" w:type="auto"/>
            <w:noWrap/>
            <w:vAlign w:val="center"/>
          </w:tcPr>
          <w:p w14:paraId="08D62B47" w14:textId="77777777" w:rsidR="00F6696F" w:rsidRPr="00F6696F" w:rsidRDefault="00F6696F" w:rsidP="00F6696F">
            <w:pPr>
              <w:spacing w:after="0" w:line="240" w:lineRule="auto"/>
              <w:rPr>
                <w:rFonts w:ascii="Cambria" w:eastAsia="Times New Roman" w:hAnsi="Cambria" w:cs="Calibri"/>
                <w:b/>
                <w:bCs/>
                <w:kern w:val="0"/>
                <w:sz w:val="18"/>
                <w:szCs w:val="18"/>
                <w:lang w:val="en-US" w:eastAsia="ja-JP"/>
                <w14:ligatures w14:val="none"/>
              </w:rPr>
            </w:pPr>
          </w:p>
        </w:tc>
        <w:tc>
          <w:tcPr>
            <w:tcW w:w="0" w:type="auto"/>
            <w:noWrap/>
            <w:vAlign w:val="center"/>
          </w:tcPr>
          <w:p w14:paraId="1B46EE7B" w14:textId="77777777" w:rsidR="00F6696F" w:rsidRPr="00F6696F" w:rsidRDefault="00F6696F" w:rsidP="00F6696F">
            <w:pPr>
              <w:spacing w:after="0" w:line="240" w:lineRule="auto"/>
              <w:rPr>
                <w:rFonts w:ascii="Cambria" w:eastAsia="Times New Roman" w:hAnsi="Cambria" w:cs="Calibri"/>
                <w:b/>
                <w:bCs/>
                <w:kern w:val="0"/>
                <w:sz w:val="18"/>
                <w:szCs w:val="18"/>
                <w:lang w:val="en-US" w:eastAsia="ja-JP"/>
                <w14:ligatures w14:val="none"/>
              </w:rPr>
            </w:pPr>
          </w:p>
        </w:tc>
        <w:tc>
          <w:tcPr>
            <w:tcW w:w="0" w:type="auto"/>
            <w:tcBorders>
              <w:right w:val="single" w:sz="12" w:space="0" w:color="000000"/>
            </w:tcBorders>
          </w:tcPr>
          <w:p w14:paraId="0B379431" w14:textId="77777777" w:rsidR="00F6696F" w:rsidRPr="00F6696F" w:rsidRDefault="00F6696F" w:rsidP="00F6696F">
            <w:pPr>
              <w:spacing w:after="0" w:line="240" w:lineRule="auto"/>
              <w:rPr>
                <w:rFonts w:ascii="Cambria" w:eastAsia="Times New Roman" w:hAnsi="Cambria" w:cs="Calibri"/>
                <w:b/>
                <w:bCs/>
                <w:kern w:val="0"/>
                <w:sz w:val="18"/>
                <w:szCs w:val="18"/>
                <w:lang w:val="en-US" w:eastAsia="ja-JP"/>
                <w14:ligatures w14:val="none"/>
              </w:rPr>
            </w:pPr>
          </w:p>
        </w:tc>
      </w:tr>
      <w:tr w:rsidR="00F6696F" w:rsidRPr="00F6696F" w14:paraId="45858D41" w14:textId="77777777" w:rsidTr="00F6696F">
        <w:trPr>
          <w:trHeight w:val="20"/>
        </w:trPr>
        <w:tc>
          <w:tcPr>
            <w:tcW w:w="3823" w:type="dxa"/>
            <w:tcBorders>
              <w:left w:val="single" w:sz="12" w:space="0" w:color="000000"/>
              <w:bottom w:val="single" w:sz="12" w:space="0" w:color="000000"/>
            </w:tcBorders>
            <w:vAlign w:val="center"/>
          </w:tcPr>
          <w:p w14:paraId="2ED45DDD"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 xml:space="preserve">Cuota disponible </w:t>
            </w:r>
            <w:r w:rsidRPr="00F6696F">
              <w:rPr>
                <w:rFonts w:ascii="Cambria" w:eastAsia="MS Gothic" w:hAnsi="Cambria" w:cs="Times New Roman"/>
                <w:b/>
                <w:kern w:val="0"/>
                <w:sz w:val="18"/>
                <w:szCs w:val="24"/>
                <w:vertAlign w:val="superscript"/>
                <w:lang w:eastAsia="fr-FR" w:bidi="fr-FR"/>
                <w14:ligatures w14:val="none"/>
              </w:rPr>
              <w:t>7*</w:t>
            </w:r>
          </w:p>
        </w:tc>
        <w:tc>
          <w:tcPr>
            <w:tcW w:w="2699" w:type="dxa"/>
            <w:tcBorders>
              <w:bottom w:val="single" w:sz="12" w:space="0" w:color="000000"/>
            </w:tcBorders>
            <w:noWrap/>
            <w:vAlign w:val="center"/>
          </w:tcPr>
          <w:p w14:paraId="2421A1A8" w14:textId="77777777" w:rsidR="00F6696F" w:rsidRPr="00F6696F" w:rsidRDefault="00F6696F" w:rsidP="00F6696F">
            <w:pPr>
              <w:spacing w:after="0" w:line="240" w:lineRule="auto"/>
              <w:jc w:val="right"/>
              <w:rPr>
                <w:rFonts w:ascii="Cambria" w:eastAsia="Times New Roman" w:hAnsi="Cambria" w:cs="Calibri"/>
                <w:b/>
                <w:bCs/>
                <w:kern w:val="0"/>
                <w:sz w:val="18"/>
                <w:szCs w:val="18"/>
                <w:lang w:eastAsia="ja-JP"/>
                <w14:ligatures w14:val="none"/>
              </w:rPr>
            </w:pPr>
          </w:p>
        </w:tc>
        <w:tc>
          <w:tcPr>
            <w:tcW w:w="0" w:type="auto"/>
            <w:tcBorders>
              <w:bottom w:val="single" w:sz="12" w:space="0" w:color="000000"/>
            </w:tcBorders>
          </w:tcPr>
          <w:p w14:paraId="3943709D" w14:textId="77777777" w:rsidR="00F6696F" w:rsidRPr="00F6696F" w:rsidRDefault="00F6696F" w:rsidP="00F6696F">
            <w:pPr>
              <w:spacing w:after="0" w:line="240" w:lineRule="auto"/>
              <w:rPr>
                <w:rFonts w:ascii="Cambria" w:eastAsia="Times New Roman" w:hAnsi="Cambria" w:cs="Calibri"/>
                <w:b/>
                <w:bCs/>
                <w:kern w:val="0"/>
                <w:sz w:val="18"/>
                <w:szCs w:val="18"/>
                <w:lang w:eastAsia="ja-JP"/>
                <w14:ligatures w14:val="none"/>
              </w:rPr>
            </w:pPr>
          </w:p>
        </w:tc>
        <w:tc>
          <w:tcPr>
            <w:tcW w:w="0" w:type="auto"/>
            <w:tcBorders>
              <w:bottom w:val="single" w:sz="12" w:space="0" w:color="000000"/>
            </w:tcBorders>
            <w:noWrap/>
            <w:vAlign w:val="center"/>
          </w:tcPr>
          <w:p w14:paraId="6B4414EB" w14:textId="77777777" w:rsidR="00F6696F" w:rsidRPr="00F6696F" w:rsidRDefault="00F6696F" w:rsidP="00F6696F">
            <w:pPr>
              <w:spacing w:after="0" w:line="240" w:lineRule="auto"/>
              <w:rPr>
                <w:rFonts w:ascii="Cambria" w:eastAsia="Times New Roman" w:hAnsi="Cambria" w:cs="Calibri"/>
                <w:b/>
                <w:bCs/>
                <w:kern w:val="0"/>
                <w:sz w:val="18"/>
                <w:szCs w:val="18"/>
                <w:lang w:eastAsia="ja-JP"/>
                <w14:ligatures w14:val="none"/>
              </w:rPr>
            </w:pPr>
          </w:p>
        </w:tc>
        <w:tc>
          <w:tcPr>
            <w:tcW w:w="0" w:type="auto"/>
            <w:tcBorders>
              <w:bottom w:val="single" w:sz="12" w:space="0" w:color="000000"/>
            </w:tcBorders>
            <w:vAlign w:val="center"/>
          </w:tcPr>
          <w:p w14:paraId="2DE36C11" w14:textId="77777777" w:rsidR="00F6696F" w:rsidRPr="00F6696F" w:rsidRDefault="00F6696F" w:rsidP="00F6696F">
            <w:pPr>
              <w:spacing w:after="0" w:line="240" w:lineRule="auto"/>
              <w:rPr>
                <w:rFonts w:ascii="Cambria" w:eastAsia="Times New Roman" w:hAnsi="Cambria" w:cs="Calibri"/>
                <w:b/>
                <w:bCs/>
                <w:kern w:val="0"/>
                <w:sz w:val="18"/>
                <w:szCs w:val="18"/>
                <w:lang w:eastAsia="ja-JP"/>
                <w14:ligatures w14:val="none"/>
              </w:rPr>
            </w:pPr>
          </w:p>
        </w:tc>
        <w:tc>
          <w:tcPr>
            <w:tcW w:w="0" w:type="auto"/>
            <w:tcBorders>
              <w:bottom w:val="single" w:sz="12" w:space="0" w:color="000000"/>
            </w:tcBorders>
            <w:vAlign w:val="center"/>
          </w:tcPr>
          <w:p w14:paraId="08B582D9" w14:textId="77777777" w:rsidR="00F6696F" w:rsidRPr="00F6696F" w:rsidRDefault="00F6696F" w:rsidP="00F6696F">
            <w:pPr>
              <w:spacing w:after="0" w:line="240" w:lineRule="auto"/>
              <w:rPr>
                <w:rFonts w:ascii="Cambria" w:eastAsia="Times New Roman" w:hAnsi="Cambria" w:cs="Calibri"/>
                <w:b/>
                <w:bCs/>
                <w:kern w:val="0"/>
                <w:sz w:val="18"/>
                <w:szCs w:val="18"/>
                <w:lang w:val="en-US" w:eastAsia="ja-JP"/>
                <w14:ligatures w14:val="none"/>
              </w:rPr>
            </w:pPr>
          </w:p>
        </w:tc>
        <w:tc>
          <w:tcPr>
            <w:tcW w:w="0" w:type="auto"/>
            <w:tcBorders>
              <w:bottom w:val="single" w:sz="12" w:space="0" w:color="000000"/>
            </w:tcBorders>
            <w:vAlign w:val="center"/>
          </w:tcPr>
          <w:p w14:paraId="36697AED" w14:textId="77777777" w:rsidR="00F6696F" w:rsidRPr="00F6696F" w:rsidRDefault="00F6696F" w:rsidP="00F6696F">
            <w:pPr>
              <w:spacing w:after="0" w:line="240" w:lineRule="auto"/>
              <w:rPr>
                <w:rFonts w:ascii="Cambria" w:eastAsia="Times New Roman" w:hAnsi="Cambria" w:cs="Calibri"/>
                <w:b/>
                <w:bCs/>
                <w:kern w:val="0"/>
                <w:sz w:val="18"/>
                <w:szCs w:val="18"/>
                <w:lang w:val="en-US" w:eastAsia="ja-JP"/>
                <w14:ligatures w14:val="none"/>
              </w:rPr>
            </w:pPr>
          </w:p>
        </w:tc>
        <w:tc>
          <w:tcPr>
            <w:tcW w:w="0" w:type="auto"/>
            <w:tcBorders>
              <w:bottom w:val="single" w:sz="12" w:space="0" w:color="000000"/>
            </w:tcBorders>
          </w:tcPr>
          <w:p w14:paraId="079DA381" w14:textId="77777777" w:rsidR="00F6696F" w:rsidRPr="00F6696F" w:rsidRDefault="00F6696F" w:rsidP="00F6696F">
            <w:pPr>
              <w:spacing w:after="0" w:line="240" w:lineRule="auto"/>
              <w:rPr>
                <w:rFonts w:ascii="Cambria" w:eastAsia="Times New Roman" w:hAnsi="Cambria" w:cs="Calibri"/>
                <w:b/>
                <w:bCs/>
                <w:kern w:val="0"/>
                <w:sz w:val="18"/>
                <w:szCs w:val="18"/>
                <w:lang w:val="en-US" w:eastAsia="ja-JP"/>
                <w14:ligatures w14:val="none"/>
              </w:rPr>
            </w:pPr>
          </w:p>
        </w:tc>
        <w:tc>
          <w:tcPr>
            <w:tcW w:w="0" w:type="auto"/>
            <w:tcBorders>
              <w:bottom w:val="single" w:sz="12" w:space="0" w:color="000000"/>
            </w:tcBorders>
          </w:tcPr>
          <w:p w14:paraId="45963154" w14:textId="77777777" w:rsidR="00F6696F" w:rsidRPr="00F6696F" w:rsidRDefault="00F6696F" w:rsidP="00F6696F">
            <w:pPr>
              <w:spacing w:after="0" w:line="240" w:lineRule="auto"/>
              <w:jc w:val="center"/>
              <w:rPr>
                <w:rFonts w:ascii="Cambria" w:eastAsia="Times New Roman" w:hAnsi="Cambria" w:cs="Calibri"/>
                <w:kern w:val="0"/>
                <w:sz w:val="18"/>
                <w:szCs w:val="18"/>
                <w:lang w:val="en-US" w:eastAsia="ja-JP"/>
                <w14:ligatures w14:val="none"/>
              </w:rPr>
            </w:pPr>
          </w:p>
        </w:tc>
        <w:tc>
          <w:tcPr>
            <w:tcW w:w="0" w:type="auto"/>
            <w:tcBorders>
              <w:bottom w:val="single" w:sz="12" w:space="0" w:color="000000"/>
            </w:tcBorders>
            <w:shd w:val="clear" w:color="000000" w:fill="D9D9D9"/>
            <w:vAlign w:val="center"/>
          </w:tcPr>
          <w:p w14:paraId="2DEF3676" w14:textId="77777777" w:rsidR="00F6696F" w:rsidRPr="00F6696F" w:rsidRDefault="00F6696F" w:rsidP="00F6696F">
            <w:pPr>
              <w:spacing w:after="0" w:line="240" w:lineRule="auto"/>
              <w:rPr>
                <w:rFonts w:ascii="Cambria" w:eastAsia="Times New Roman" w:hAnsi="Cambria" w:cs="Calibri"/>
                <w:b/>
                <w:bCs/>
                <w:kern w:val="0"/>
                <w:sz w:val="18"/>
                <w:szCs w:val="18"/>
                <w:lang w:val="en-US" w:eastAsia="ja-JP"/>
                <w14:ligatures w14:val="none"/>
              </w:rPr>
            </w:pPr>
          </w:p>
        </w:tc>
        <w:tc>
          <w:tcPr>
            <w:tcW w:w="0" w:type="auto"/>
            <w:tcBorders>
              <w:bottom w:val="single" w:sz="12" w:space="0" w:color="000000"/>
            </w:tcBorders>
          </w:tcPr>
          <w:p w14:paraId="4D0929A1" w14:textId="77777777" w:rsidR="00F6696F" w:rsidRPr="00F6696F" w:rsidRDefault="00F6696F" w:rsidP="00F6696F">
            <w:pPr>
              <w:spacing w:after="0" w:line="240" w:lineRule="auto"/>
              <w:rPr>
                <w:rFonts w:ascii="Cambria" w:eastAsia="Times New Roman" w:hAnsi="Cambria" w:cs="Calibri"/>
                <w:b/>
                <w:bCs/>
                <w:kern w:val="0"/>
                <w:sz w:val="18"/>
                <w:szCs w:val="18"/>
                <w:lang w:eastAsia="ja-JP"/>
                <w14:ligatures w14:val="none"/>
              </w:rPr>
            </w:pPr>
          </w:p>
        </w:tc>
        <w:tc>
          <w:tcPr>
            <w:tcW w:w="0" w:type="auto"/>
            <w:tcBorders>
              <w:bottom w:val="single" w:sz="12" w:space="0" w:color="000000"/>
            </w:tcBorders>
            <w:vAlign w:val="center"/>
          </w:tcPr>
          <w:p w14:paraId="738EDA61" w14:textId="77777777" w:rsidR="00F6696F" w:rsidRPr="00F6696F" w:rsidRDefault="00F6696F" w:rsidP="00F6696F">
            <w:pPr>
              <w:spacing w:after="0" w:line="240" w:lineRule="auto"/>
              <w:rPr>
                <w:rFonts w:ascii="Cambria" w:eastAsia="Times New Roman" w:hAnsi="Cambria" w:cs="Calibri"/>
                <w:b/>
                <w:bCs/>
                <w:kern w:val="0"/>
                <w:sz w:val="18"/>
                <w:szCs w:val="18"/>
                <w:lang w:eastAsia="ja-JP"/>
                <w14:ligatures w14:val="none"/>
              </w:rPr>
            </w:pPr>
          </w:p>
        </w:tc>
        <w:tc>
          <w:tcPr>
            <w:tcW w:w="0" w:type="auto"/>
            <w:tcBorders>
              <w:bottom w:val="single" w:sz="12" w:space="0" w:color="000000"/>
            </w:tcBorders>
            <w:vAlign w:val="center"/>
          </w:tcPr>
          <w:p w14:paraId="4A5CB3B9" w14:textId="77777777" w:rsidR="00F6696F" w:rsidRPr="00F6696F" w:rsidRDefault="00F6696F" w:rsidP="00F6696F">
            <w:pPr>
              <w:spacing w:after="0" w:line="240" w:lineRule="auto"/>
              <w:rPr>
                <w:rFonts w:ascii="Cambria" w:eastAsia="Times New Roman" w:hAnsi="Cambria" w:cs="Calibri"/>
                <w:b/>
                <w:bCs/>
                <w:kern w:val="0"/>
                <w:sz w:val="18"/>
                <w:szCs w:val="18"/>
                <w:lang w:val="en-US" w:eastAsia="ja-JP"/>
                <w14:ligatures w14:val="none"/>
              </w:rPr>
            </w:pPr>
          </w:p>
        </w:tc>
        <w:tc>
          <w:tcPr>
            <w:tcW w:w="0" w:type="auto"/>
            <w:tcBorders>
              <w:bottom w:val="single" w:sz="12" w:space="0" w:color="000000"/>
            </w:tcBorders>
            <w:noWrap/>
            <w:vAlign w:val="center"/>
          </w:tcPr>
          <w:p w14:paraId="61679D0B" w14:textId="77777777" w:rsidR="00F6696F" w:rsidRPr="00F6696F" w:rsidRDefault="00F6696F" w:rsidP="00F6696F">
            <w:pPr>
              <w:spacing w:after="0" w:line="240" w:lineRule="auto"/>
              <w:rPr>
                <w:rFonts w:ascii="Cambria" w:eastAsia="Times New Roman" w:hAnsi="Cambria" w:cs="Calibri"/>
                <w:b/>
                <w:bCs/>
                <w:kern w:val="0"/>
                <w:sz w:val="18"/>
                <w:szCs w:val="18"/>
                <w:lang w:val="en-US" w:eastAsia="ja-JP"/>
                <w14:ligatures w14:val="none"/>
              </w:rPr>
            </w:pPr>
          </w:p>
        </w:tc>
        <w:tc>
          <w:tcPr>
            <w:tcW w:w="0" w:type="auto"/>
            <w:tcBorders>
              <w:bottom w:val="single" w:sz="12" w:space="0" w:color="000000"/>
            </w:tcBorders>
            <w:noWrap/>
            <w:vAlign w:val="center"/>
          </w:tcPr>
          <w:p w14:paraId="5F008ADB" w14:textId="77777777" w:rsidR="00F6696F" w:rsidRPr="00F6696F" w:rsidRDefault="00F6696F" w:rsidP="00F6696F">
            <w:pPr>
              <w:spacing w:after="0" w:line="240" w:lineRule="auto"/>
              <w:rPr>
                <w:rFonts w:ascii="Cambria" w:eastAsia="Times New Roman" w:hAnsi="Cambria" w:cs="Calibri"/>
                <w:b/>
                <w:bCs/>
                <w:kern w:val="0"/>
                <w:sz w:val="18"/>
                <w:szCs w:val="18"/>
                <w:lang w:val="en-US" w:eastAsia="ja-JP"/>
                <w14:ligatures w14:val="none"/>
              </w:rPr>
            </w:pPr>
          </w:p>
        </w:tc>
        <w:tc>
          <w:tcPr>
            <w:tcW w:w="0" w:type="auto"/>
            <w:tcBorders>
              <w:bottom w:val="single" w:sz="12" w:space="0" w:color="000000"/>
            </w:tcBorders>
            <w:noWrap/>
            <w:vAlign w:val="center"/>
          </w:tcPr>
          <w:p w14:paraId="32DBE7EC" w14:textId="77777777" w:rsidR="00F6696F" w:rsidRPr="00F6696F" w:rsidRDefault="00F6696F" w:rsidP="00F6696F">
            <w:pPr>
              <w:spacing w:after="0" w:line="240" w:lineRule="auto"/>
              <w:rPr>
                <w:rFonts w:ascii="Cambria" w:eastAsia="Times New Roman" w:hAnsi="Cambria" w:cs="Calibri"/>
                <w:b/>
                <w:bCs/>
                <w:kern w:val="0"/>
                <w:sz w:val="18"/>
                <w:szCs w:val="18"/>
                <w:lang w:val="en-US" w:eastAsia="ja-JP"/>
                <w14:ligatures w14:val="none"/>
              </w:rPr>
            </w:pPr>
          </w:p>
        </w:tc>
        <w:tc>
          <w:tcPr>
            <w:tcW w:w="0" w:type="auto"/>
            <w:tcBorders>
              <w:bottom w:val="single" w:sz="12" w:space="0" w:color="000000"/>
              <w:right w:val="single" w:sz="12" w:space="0" w:color="000000"/>
            </w:tcBorders>
          </w:tcPr>
          <w:p w14:paraId="395D25F2" w14:textId="77777777" w:rsidR="00F6696F" w:rsidRPr="00F6696F" w:rsidRDefault="00F6696F" w:rsidP="00F6696F">
            <w:pPr>
              <w:spacing w:after="0" w:line="240" w:lineRule="auto"/>
              <w:rPr>
                <w:rFonts w:ascii="Cambria" w:eastAsia="Times New Roman" w:hAnsi="Cambria" w:cs="Calibri"/>
                <w:b/>
                <w:bCs/>
                <w:kern w:val="0"/>
                <w:sz w:val="18"/>
                <w:szCs w:val="18"/>
                <w:lang w:val="en-US" w:eastAsia="ja-JP"/>
                <w14:ligatures w14:val="none"/>
              </w:rPr>
            </w:pPr>
          </w:p>
        </w:tc>
      </w:tr>
      <w:tr w:rsidR="00F6696F" w:rsidRPr="00F6696F" w14:paraId="5DD85867" w14:textId="77777777" w:rsidTr="00F6696F">
        <w:trPr>
          <w:trHeight w:val="20"/>
        </w:trPr>
        <w:tc>
          <w:tcPr>
            <w:tcW w:w="3823" w:type="dxa"/>
            <w:tcBorders>
              <w:top w:val="single" w:sz="12" w:space="0" w:color="000000"/>
              <w:left w:val="single" w:sz="12" w:space="0" w:color="000000"/>
              <w:bottom w:val="single" w:sz="12" w:space="0" w:color="000000"/>
            </w:tcBorders>
            <w:shd w:val="clear" w:color="auto" w:fill="D9D9D9"/>
            <w:noWrap/>
            <w:vAlign w:val="center"/>
            <w:hideMark/>
          </w:tcPr>
          <w:p w14:paraId="2F88D65F" w14:textId="77777777" w:rsidR="00F6696F" w:rsidRPr="00F6696F" w:rsidRDefault="00F6696F" w:rsidP="00F6696F">
            <w:pPr>
              <w:spacing w:after="0" w:line="240" w:lineRule="auto"/>
              <w:rPr>
                <w:rFonts w:ascii="Cambria" w:eastAsia="Times New Roman" w:hAnsi="Cambria" w:cs="Calibri"/>
                <w:b/>
                <w:bCs/>
                <w:kern w:val="0"/>
                <w:sz w:val="18"/>
                <w:szCs w:val="18"/>
                <w:lang w:eastAsia="fr-FR" w:bidi="fr-FR"/>
                <w14:ligatures w14:val="none"/>
              </w:rPr>
            </w:pPr>
            <w:r w:rsidRPr="00F6696F">
              <w:rPr>
                <w:rFonts w:ascii="Cambria" w:eastAsia="MS Gothic" w:hAnsi="Cambria" w:cs="Times New Roman"/>
                <w:b/>
                <w:kern w:val="0"/>
                <w:sz w:val="18"/>
                <w:szCs w:val="24"/>
                <w:lang w:eastAsia="fr-FR" w:bidi="fr-FR"/>
                <w14:ligatures w14:val="none"/>
              </w:rPr>
              <w:t>Subcapacidad/exceso de capacidad</w:t>
            </w:r>
            <w:r w:rsidRPr="00F6696F">
              <w:rPr>
                <w:rFonts w:ascii="Cambria" w:eastAsia="MS Gothic" w:hAnsi="Cambria" w:cs="Times New Roman"/>
                <w:b/>
                <w:kern w:val="0"/>
                <w:sz w:val="18"/>
                <w:szCs w:val="24"/>
                <w:vertAlign w:val="superscript"/>
                <w:lang w:eastAsia="fr-FR" w:bidi="fr-FR"/>
                <w14:ligatures w14:val="none"/>
              </w:rPr>
              <w:t>8*</w:t>
            </w:r>
          </w:p>
        </w:tc>
        <w:tc>
          <w:tcPr>
            <w:tcW w:w="2699" w:type="dxa"/>
            <w:tcBorders>
              <w:top w:val="single" w:sz="12" w:space="0" w:color="000000"/>
              <w:bottom w:val="single" w:sz="12" w:space="0" w:color="000000"/>
            </w:tcBorders>
            <w:shd w:val="clear" w:color="auto" w:fill="D9D9D9"/>
            <w:noWrap/>
            <w:vAlign w:val="center"/>
            <w:hideMark/>
          </w:tcPr>
          <w:p w14:paraId="2F94D999" w14:textId="77777777" w:rsidR="00F6696F" w:rsidRPr="00F6696F" w:rsidRDefault="00F6696F" w:rsidP="00F6696F">
            <w:pPr>
              <w:spacing w:after="0" w:line="240" w:lineRule="auto"/>
              <w:jc w:val="right"/>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top w:val="single" w:sz="12" w:space="0" w:color="000000"/>
              <w:bottom w:val="single" w:sz="12" w:space="0" w:color="000000"/>
            </w:tcBorders>
            <w:shd w:val="clear" w:color="auto" w:fill="D9D9D9"/>
          </w:tcPr>
          <w:p w14:paraId="7C6C8950" w14:textId="77777777" w:rsidR="00F6696F" w:rsidRPr="00F6696F" w:rsidRDefault="00F6696F" w:rsidP="00F6696F">
            <w:pPr>
              <w:spacing w:after="0" w:line="240" w:lineRule="auto"/>
              <w:rPr>
                <w:rFonts w:ascii="Cambria" w:eastAsia="Times New Roman" w:hAnsi="Cambria" w:cs="Calibri"/>
                <w:kern w:val="0"/>
                <w:sz w:val="18"/>
                <w:szCs w:val="18"/>
                <w:lang w:eastAsia="ja-JP"/>
                <w14:ligatures w14:val="none"/>
              </w:rPr>
            </w:pPr>
          </w:p>
        </w:tc>
        <w:tc>
          <w:tcPr>
            <w:tcW w:w="0" w:type="auto"/>
            <w:tcBorders>
              <w:top w:val="single" w:sz="12" w:space="0" w:color="000000"/>
              <w:bottom w:val="single" w:sz="12" w:space="0" w:color="000000"/>
            </w:tcBorders>
            <w:shd w:val="clear" w:color="auto" w:fill="D9D9D9"/>
            <w:noWrap/>
            <w:vAlign w:val="center"/>
            <w:hideMark/>
          </w:tcPr>
          <w:p w14:paraId="6ADCADE2"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top w:val="single" w:sz="12" w:space="0" w:color="000000"/>
              <w:bottom w:val="single" w:sz="12" w:space="0" w:color="000000"/>
            </w:tcBorders>
            <w:shd w:val="clear" w:color="auto" w:fill="D9D9D9"/>
            <w:vAlign w:val="center"/>
            <w:hideMark/>
          </w:tcPr>
          <w:p w14:paraId="2F079FA1"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top w:val="single" w:sz="12" w:space="0" w:color="000000"/>
              <w:bottom w:val="single" w:sz="12" w:space="0" w:color="000000"/>
            </w:tcBorders>
            <w:shd w:val="clear" w:color="auto" w:fill="D9D9D9"/>
            <w:vAlign w:val="center"/>
            <w:hideMark/>
          </w:tcPr>
          <w:p w14:paraId="5283A5F3"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top w:val="single" w:sz="12" w:space="0" w:color="000000"/>
              <w:bottom w:val="single" w:sz="12" w:space="0" w:color="000000"/>
            </w:tcBorders>
            <w:shd w:val="clear" w:color="auto" w:fill="D9D9D9"/>
            <w:vAlign w:val="center"/>
            <w:hideMark/>
          </w:tcPr>
          <w:p w14:paraId="1F82398A"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top w:val="single" w:sz="12" w:space="0" w:color="000000"/>
              <w:bottom w:val="single" w:sz="12" w:space="0" w:color="000000"/>
            </w:tcBorders>
            <w:shd w:val="clear" w:color="auto" w:fill="D9D9D9"/>
          </w:tcPr>
          <w:p w14:paraId="61E629F0" w14:textId="77777777" w:rsidR="00F6696F" w:rsidRPr="00F6696F" w:rsidRDefault="00F6696F" w:rsidP="00F6696F">
            <w:pPr>
              <w:spacing w:after="0" w:line="240" w:lineRule="auto"/>
              <w:rPr>
                <w:rFonts w:ascii="Cambria" w:eastAsia="Times New Roman" w:hAnsi="Cambria" w:cs="Calibri"/>
                <w:kern w:val="0"/>
                <w:sz w:val="18"/>
                <w:szCs w:val="18"/>
                <w:lang w:val="en-US" w:eastAsia="ja-JP"/>
                <w14:ligatures w14:val="none"/>
              </w:rPr>
            </w:pPr>
          </w:p>
        </w:tc>
        <w:tc>
          <w:tcPr>
            <w:tcW w:w="0" w:type="auto"/>
            <w:tcBorders>
              <w:top w:val="single" w:sz="12" w:space="0" w:color="000000"/>
              <w:bottom w:val="single" w:sz="12" w:space="0" w:color="000000"/>
            </w:tcBorders>
            <w:shd w:val="clear" w:color="auto" w:fill="D9D9D9"/>
          </w:tcPr>
          <w:p w14:paraId="55E3CEFA" w14:textId="77777777" w:rsidR="00F6696F" w:rsidRPr="00F6696F" w:rsidRDefault="00F6696F" w:rsidP="00F6696F">
            <w:pPr>
              <w:spacing w:after="0" w:line="240" w:lineRule="auto"/>
              <w:jc w:val="center"/>
              <w:rPr>
                <w:rFonts w:ascii="Cambria" w:eastAsia="Times New Roman" w:hAnsi="Cambria" w:cs="Calibri"/>
                <w:kern w:val="0"/>
                <w:sz w:val="18"/>
                <w:szCs w:val="18"/>
                <w:lang w:val="en-US" w:eastAsia="ja-JP"/>
                <w14:ligatures w14:val="none"/>
              </w:rPr>
            </w:pPr>
          </w:p>
        </w:tc>
        <w:tc>
          <w:tcPr>
            <w:tcW w:w="0" w:type="auto"/>
            <w:tcBorders>
              <w:top w:val="single" w:sz="12" w:space="0" w:color="000000"/>
              <w:bottom w:val="single" w:sz="12" w:space="0" w:color="000000"/>
            </w:tcBorders>
            <w:shd w:val="clear" w:color="auto" w:fill="D9D9D9"/>
            <w:vAlign w:val="center"/>
            <w:hideMark/>
          </w:tcPr>
          <w:p w14:paraId="1F883127"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top w:val="single" w:sz="12" w:space="0" w:color="000000"/>
              <w:bottom w:val="single" w:sz="12" w:space="0" w:color="000000"/>
            </w:tcBorders>
            <w:shd w:val="clear" w:color="auto" w:fill="D9D9D9"/>
          </w:tcPr>
          <w:p w14:paraId="46D260F6" w14:textId="77777777" w:rsidR="00F6696F" w:rsidRPr="00F6696F" w:rsidRDefault="00F6696F" w:rsidP="00F6696F">
            <w:pPr>
              <w:spacing w:after="0" w:line="240" w:lineRule="auto"/>
              <w:rPr>
                <w:rFonts w:ascii="Cambria" w:eastAsia="Times New Roman" w:hAnsi="Cambria" w:cs="Calibri"/>
                <w:kern w:val="0"/>
                <w:sz w:val="18"/>
                <w:szCs w:val="18"/>
                <w:lang w:eastAsia="ja-JP"/>
                <w14:ligatures w14:val="none"/>
              </w:rPr>
            </w:pPr>
          </w:p>
        </w:tc>
        <w:tc>
          <w:tcPr>
            <w:tcW w:w="0" w:type="auto"/>
            <w:tcBorders>
              <w:top w:val="single" w:sz="12" w:space="0" w:color="000000"/>
              <w:bottom w:val="single" w:sz="12" w:space="0" w:color="000000"/>
            </w:tcBorders>
            <w:shd w:val="clear" w:color="auto" w:fill="D9D9D9"/>
            <w:vAlign w:val="center"/>
            <w:hideMark/>
          </w:tcPr>
          <w:p w14:paraId="0FDE9543"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top w:val="single" w:sz="12" w:space="0" w:color="000000"/>
              <w:bottom w:val="single" w:sz="12" w:space="0" w:color="000000"/>
            </w:tcBorders>
            <w:shd w:val="clear" w:color="auto" w:fill="D9D9D9"/>
            <w:vAlign w:val="center"/>
            <w:hideMark/>
          </w:tcPr>
          <w:p w14:paraId="6910E149"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top w:val="single" w:sz="12" w:space="0" w:color="000000"/>
              <w:bottom w:val="single" w:sz="12" w:space="0" w:color="000000"/>
            </w:tcBorders>
            <w:shd w:val="clear" w:color="auto" w:fill="D9D9D9"/>
            <w:vAlign w:val="center"/>
            <w:hideMark/>
          </w:tcPr>
          <w:p w14:paraId="479FA554"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top w:val="single" w:sz="12" w:space="0" w:color="000000"/>
              <w:bottom w:val="single" w:sz="12" w:space="0" w:color="000000"/>
            </w:tcBorders>
            <w:shd w:val="clear" w:color="auto" w:fill="D9D9D9"/>
            <w:vAlign w:val="center"/>
            <w:hideMark/>
          </w:tcPr>
          <w:p w14:paraId="5296725D"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top w:val="single" w:sz="12" w:space="0" w:color="000000"/>
              <w:bottom w:val="single" w:sz="12" w:space="0" w:color="000000"/>
            </w:tcBorders>
            <w:shd w:val="clear" w:color="auto" w:fill="D9D9D9"/>
            <w:vAlign w:val="center"/>
            <w:hideMark/>
          </w:tcPr>
          <w:p w14:paraId="70AE345F" w14:textId="77777777" w:rsidR="00F6696F" w:rsidRPr="00F6696F" w:rsidRDefault="00F6696F" w:rsidP="00F6696F">
            <w:pPr>
              <w:spacing w:after="0" w:line="240" w:lineRule="auto"/>
              <w:rPr>
                <w:rFonts w:ascii="Cambria" w:eastAsia="Times New Roman" w:hAnsi="Cambria" w:cs="Calibri"/>
                <w:kern w:val="0"/>
                <w:sz w:val="18"/>
                <w:szCs w:val="18"/>
                <w:lang w:eastAsia="fr-FR" w:bidi="fr-FR"/>
                <w14:ligatures w14:val="none"/>
              </w:rPr>
            </w:pPr>
            <w:r w:rsidRPr="00F6696F">
              <w:rPr>
                <w:rFonts w:ascii="Cambria" w:eastAsia="MS Gothic" w:hAnsi="Cambria" w:cs="Times New Roman"/>
                <w:kern w:val="0"/>
                <w:sz w:val="18"/>
                <w:szCs w:val="24"/>
                <w:lang w:eastAsia="fr-FR" w:bidi="fr-FR"/>
                <w14:ligatures w14:val="none"/>
              </w:rPr>
              <w:t> </w:t>
            </w:r>
          </w:p>
        </w:tc>
        <w:tc>
          <w:tcPr>
            <w:tcW w:w="0" w:type="auto"/>
            <w:tcBorders>
              <w:top w:val="single" w:sz="12" w:space="0" w:color="000000"/>
              <w:bottom w:val="single" w:sz="12" w:space="0" w:color="000000"/>
              <w:right w:val="single" w:sz="12" w:space="0" w:color="000000"/>
            </w:tcBorders>
            <w:shd w:val="clear" w:color="auto" w:fill="D9D9D9"/>
          </w:tcPr>
          <w:p w14:paraId="661C1180" w14:textId="77777777" w:rsidR="00F6696F" w:rsidRPr="00F6696F" w:rsidRDefault="00F6696F" w:rsidP="00F6696F">
            <w:pPr>
              <w:spacing w:after="0" w:line="240" w:lineRule="auto"/>
              <w:rPr>
                <w:rFonts w:ascii="Cambria" w:eastAsia="Times New Roman" w:hAnsi="Cambria" w:cs="Calibri"/>
                <w:kern w:val="0"/>
                <w:sz w:val="18"/>
                <w:szCs w:val="18"/>
                <w:lang w:val="en-US" w:eastAsia="ja-JP"/>
                <w14:ligatures w14:val="none"/>
              </w:rPr>
            </w:pPr>
          </w:p>
        </w:tc>
      </w:tr>
    </w:tbl>
    <w:p w14:paraId="4FC45FC1" w14:textId="36682DFD" w:rsidR="00F6696F" w:rsidRPr="00F6696F" w:rsidRDefault="00F6696F" w:rsidP="00F6696F">
      <w:pPr>
        <w:tabs>
          <w:tab w:val="left" w:pos="142"/>
        </w:tabs>
        <w:spacing w:after="0" w:line="240" w:lineRule="auto"/>
        <w:rPr>
          <w:rFonts w:ascii="Cambria" w:eastAsia="MS Gothic" w:hAnsi="Cambria" w:cs="Times New Roman"/>
          <w:kern w:val="0"/>
          <w:sz w:val="16"/>
          <w:szCs w:val="24"/>
          <w:lang w:val="it-IT" w:eastAsia="fr-FR" w:bidi="fr-FR"/>
          <w14:ligatures w14:val="none"/>
        </w:rPr>
      </w:pPr>
      <w:hyperlink r:id="rId9" w:history="1">
        <w:r w:rsidRPr="00F6696F">
          <w:rPr>
            <w:rFonts w:ascii="Cambria" w:eastAsia="MS Gothic" w:hAnsi="Cambria" w:cs="Times New Roman"/>
            <w:color w:val="0563C1"/>
            <w:kern w:val="0"/>
            <w:sz w:val="16"/>
            <w:szCs w:val="24"/>
            <w:vertAlign w:val="superscript"/>
            <w:lang w:val="it-IT" w:eastAsia="fr-FR" w:bidi="fr-FR"/>
            <w14:ligatures w14:val="none"/>
          </w:rPr>
          <w:t xml:space="preserve">1 </w:t>
        </w:r>
        <w:proofErr w:type="spellStart"/>
        <w:r w:rsidR="00123AD9">
          <w:rPr>
            <w:rFonts w:ascii="Cambria" w:eastAsia="MS Gothic" w:hAnsi="Cambria" w:cs="Times New Roman"/>
            <w:color w:val="0563C1"/>
            <w:kern w:val="0"/>
            <w:sz w:val="16"/>
            <w:szCs w:val="24"/>
            <w:lang w:val="it-IT" w:eastAsia="fr-FR" w:bidi="fr-FR"/>
            <w14:ligatures w14:val="none"/>
          </w:rPr>
          <w:t>Anón</w:t>
        </w:r>
        <w:proofErr w:type="spellEnd"/>
        <w:r w:rsidR="00B10B75">
          <w:rPr>
            <w:rFonts w:ascii="Cambria" w:eastAsia="MS Gothic" w:hAnsi="Cambria" w:cs="Times New Roman"/>
            <w:color w:val="0563C1"/>
            <w:kern w:val="0"/>
            <w:sz w:val="16"/>
            <w:szCs w:val="24"/>
            <w:lang w:val="it-IT" w:eastAsia="fr-FR" w:bidi="fr-FR"/>
            <w14:ligatures w14:val="none"/>
          </w:rPr>
          <w:t>.</w:t>
        </w:r>
        <w:r w:rsidRPr="00F6696F">
          <w:rPr>
            <w:rFonts w:ascii="Cambria" w:eastAsia="MS Gothic" w:hAnsi="Cambria" w:cs="Times New Roman"/>
            <w:color w:val="0563C1"/>
            <w:kern w:val="0"/>
            <w:sz w:val="16"/>
            <w:szCs w:val="24"/>
            <w:lang w:val="it-IT" w:eastAsia="fr-FR" w:bidi="fr-FR"/>
            <w14:ligatures w14:val="none"/>
          </w:rPr>
          <w:t xml:space="preserve"> 2010, Informe del periodo bienal, 2008-2009, IIª Parte, Vol. 2</w:t>
        </w:r>
      </w:hyperlink>
      <w:r w:rsidRPr="00F6696F">
        <w:rPr>
          <w:rFonts w:ascii="Times New Roman" w:eastAsia="MS Gothic" w:hAnsi="Times New Roman" w:cs="Times New Roman"/>
          <w:color w:val="000000"/>
          <w:kern w:val="0"/>
          <w:sz w:val="24"/>
          <w:szCs w:val="24"/>
          <w:lang w:val="it-IT" w:eastAsia="fr-FR" w:bidi="fr-FR"/>
          <w14:ligatures w14:val="none"/>
        </w:rPr>
        <w:t xml:space="preserve"> </w:t>
      </w:r>
    </w:p>
    <w:p w14:paraId="3B9A3E03" w14:textId="77777777" w:rsidR="00F6696F" w:rsidRPr="00F6696F" w:rsidRDefault="00F6696F" w:rsidP="00F6696F">
      <w:pPr>
        <w:tabs>
          <w:tab w:val="left" w:pos="142"/>
        </w:tabs>
        <w:spacing w:after="0" w:line="240" w:lineRule="auto"/>
        <w:rPr>
          <w:rFonts w:ascii="Cambria" w:eastAsia="MS Gothic" w:hAnsi="Cambria" w:cs="Times New Roman"/>
          <w:kern w:val="0"/>
          <w:sz w:val="16"/>
          <w:szCs w:val="16"/>
          <w:lang w:eastAsia="fr-FR" w:bidi="fr-FR"/>
          <w14:ligatures w14:val="none"/>
        </w:rPr>
      </w:pPr>
      <w:r w:rsidRPr="00F6696F">
        <w:rPr>
          <w:rFonts w:ascii="Cambria" w:eastAsia="MS Gothic" w:hAnsi="Cambria" w:cs="Times New Roman"/>
          <w:kern w:val="0"/>
          <w:sz w:val="16"/>
          <w:szCs w:val="24"/>
          <w:vertAlign w:val="superscript"/>
          <w:lang w:eastAsia="fr-FR" w:bidi="fr-FR"/>
          <w14:ligatures w14:val="none"/>
        </w:rPr>
        <w:t>2</w:t>
      </w:r>
      <w:r w:rsidRPr="00F6696F">
        <w:rPr>
          <w:rFonts w:ascii="Cambria" w:eastAsia="MS Gothic" w:hAnsi="Cambria" w:cs="Times New Roman"/>
          <w:kern w:val="0"/>
          <w:sz w:val="16"/>
          <w:szCs w:val="24"/>
          <w:lang w:eastAsia="fr-FR" w:bidi="fr-FR"/>
          <w14:ligatures w14:val="none"/>
        </w:rPr>
        <w:t xml:space="preserve"> Año de referencia 2018. Párrafos 16-18 de la </w:t>
      </w:r>
      <w:hyperlink r:id="rId10" w:history="1">
        <w:r w:rsidRPr="00F6696F">
          <w:rPr>
            <w:rFonts w:ascii="Cambria" w:eastAsia="MS Gothic" w:hAnsi="Cambria" w:cs="Times New Roman"/>
            <w:color w:val="0563C1"/>
            <w:kern w:val="0"/>
            <w:sz w:val="16"/>
            <w:szCs w:val="24"/>
            <w:lang w:eastAsia="fr-FR" w:bidi="fr-FR"/>
            <w14:ligatures w14:val="none"/>
          </w:rPr>
          <w:t>Rec. 24-05</w:t>
        </w:r>
      </w:hyperlink>
      <w:r w:rsidRPr="00F6696F">
        <w:rPr>
          <w:rFonts w:ascii="Cambria" w:eastAsia="MS Gothic" w:hAnsi="Cambria" w:cs="Times New Roman"/>
          <w:kern w:val="0"/>
          <w:sz w:val="16"/>
          <w:szCs w:val="24"/>
          <w:lang w:eastAsia="fr-FR" w:bidi="fr-FR"/>
          <w14:ligatures w14:val="none"/>
        </w:rPr>
        <w:t>.</w:t>
      </w:r>
    </w:p>
    <w:p w14:paraId="2749DD32" w14:textId="77777777" w:rsidR="00F6696F" w:rsidRPr="00F6696F" w:rsidRDefault="00F6696F" w:rsidP="00F6696F">
      <w:pPr>
        <w:tabs>
          <w:tab w:val="left" w:pos="142"/>
        </w:tabs>
        <w:spacing w:after="0" w:line="240" w:lineRule="auto"/>
        <w:rPr>
          <w:rFonts w:ascii="Cambria" w:eastAsia="MS Gothic" w:hAnsi="Cambria" w:cs="Times New Roman"/>
          <w:kern w:val="0"/>
          <w:sz w:val="16"/>
          <w:szCs w:val="16"/>
          <w:lang w:eastAsia="fr-FR" w:bidi="fr-FR"/>
          <w14:ligatures w14:val="none"/>
        </w:rPr>
      </w:pPr>
      <w:r w:rsidRPr="00F6696F">
        <w:rPr>
          <w:rFonts w:ascii="Cambria" w:eastAsia="MS Gothic" w:hAnsi="Cambria" w:cs="Times New Roman"/>
          <w:kern w:val="0"/>
          <w:sz w:val="16"/>
          <w:szCs w:val="24"/>
          <w:vertAlign w:val="superscript"/>
          <w:lang w:eastAsia="fr-FR" w:bidi="fr-FR"/>
          <w14:ligatures w14:val="none"/>
        </w:rPr>
        <w:t>3</w:t>
      </w:r>
      <w:r w:rsidRPr="00F6696F">
        <w:rPr>
          <w:rFonts w:ascii="Cambria" w:eastAsia="MS Gothic" w:hAnsi="Cambria" w:cs="Times New Roman"/>
          <w:kern w:val="0"/>
          <w:sz w:val="16"/>
          <w:szCs w:val="24"/>
          <w:lang w:eastAsia="fr-FR" w:bidi="fr-FR"/>
          <w14:ligatures w14:val="none"/>
        </w:rPr>
        <w:t xml:space="preserve">Año de referencia 2006. Párrafo 1 del Anexo 1de la </w:t>
      </w:r>
      <w:hyperlink r:id="rId11" w:history="1">
        <w:r w:rsidRPr="00F6696F">
          <w:rPr>
            <w:rFonts w:ascii="Cambria" w:eastAsia="MS Gothic" w:hAnsi="Cambria" w:cs="Times New Roman"/>
            <w:color w:val="0563C1"/>
            <w:kern w:val="0"/>
            <w:sz w:val="16"/>
            <w:szCs w:val="24"/>
            <w:lang w:eastAsia="fr-FR" w:bidi="fr-FR"/>
            <w14:ligatures w14:val="none"/>
          </w:rPr>
          <w:t>Rec. 24-05</w:t>
        </w:r>
      </w:hyperlink>
      <w:r w:rsidRPr="00F6696F">
        <w:rPr>
          <w:rFonts w:ascii="Cambria" w:eastAsia="MS Gothic" w:hAnsi="Cambria" w:cs="Times New Roman"/>
          <w:kern w:val="0"/>
          <w:sz w:val="16"/>
          <w:szCs w:val="24"/>
          <w:lang w:eastAsia="fr-FR" w:bidi="fr-FR"/>
          <w14:ligatures w14:val="none"/>
        </w:rPr>
        <w:t>.</w:t>
      </w:r>
    </w:p>
    <w:p w14:paraId="57B7946A" w14:textId="77777777" w:rsidR="00F6696F" w:rsidRPr="00F6696F" w:rsidRDefault="00F6696F" w:rsidP="00F6696F">
      <w:pPr>
        <w:tabs>
          <w:tab w:val="left" w:pos="142"/>
        </w:tabs>
        <w:spacing w:after="0" w:line="240" w:lineRule="auto"/>
        <w:rPr>
          <w:rFonts w:ascii="Cambria" w:eastAsia="MS Gothic" w:hAnsi="Cambria" w:cs="Times New Roman"/>
          <w:kern w:val="0"/>
          <w:sz w:val="16"/>
          <w:szCs w:val="16"/>
          <w:lang w:eastAsia="fr-FR" w:bidi="fr-FR"/>
          <w14:ligatures w14:val="none"/>
        </w:rPr>
      </w:pPr>
      <w:r w:rsidRPr="00F6696F">
        <w:rPr>
          <w:rFonts w:ascii="Cambria" w:eastAsia="MS Gothic" w:hAnsi="Cambria" w:cs="Times New Roman"/>
          <w:kern w:val="0"/>
          <w:sz w:val="16"/>
          <w:szCs w:val="24"/>
          <w:vertAlign w:val="superscript"/>
          <w:lang w:eastAsia="fr-FR" w:bidi="fr-FR"/>
          <w14:ligatures w14:val="none"/>
        </w:rPr>
        <w:t>4</w:t>
      </w:r>
      <w:r w:rsidRPr="00F6696F">
        <w:rPr>
          <w:rFonts w:ascii="Cambria" w:eastAsia="MS Gothic" w:hAnsi="Cambria" w:cs="Times New Roman"/>
          <w:kern w:val="0"/>
          <w:sz w:val="16"/>
          <w:szCs w:val="24"/>
          <w:lang w:eastAsia="fr-FR" w:bidi="fr-FR"/>
          <w14:ligatures w14:val="none"/>
        </w:rPr>
        <w:t xml:space="preserve"> Año de referencia 2008. Párrafo 1 del Anexo 1 de la </w:t>
      </w:r>
      <w:hyperlink r:id="rId12" w:history="1">
        <w:r w:rsidRPr="00F6696F">
          <w:rPr>
            <w:rFonts w:ascii="Cambria" w:eastAsia="MS Gothic" w:hAnsi="Cambria" w:cs="Times New Roman"/>
            <w:color w:val="0563C1"/>
            <w:kern w:val="0"/>
            <w:sz w:val="16"/>
            <w:szCs w:val="24"/>
            <w:lang w:eastAsia="fr-FR" w:bidi="fr-FR"/>
            <w14:ligatures w14:val="none"/>
          </w:rPr>
          <w:t>Rec. 24-05</w:t>
        </w:r>
      </w:hyperlink>
      <w:r w:rsidRPr="00F6696F">
        <w:rPr>
          <w:rFonts w:ascii="Cambria" w:eastAsia="MS Gothic" w:hAnsi="Cambria" w:cs="Times New Roman"/>
          <w:kern w:val="0"/>
          <w:sz w:val="16"/>
          <w:szCs w:val="24"/>
          <w:lang w:eastAsia="fr-FR" w:bidi="fr-FR"/>
          <w14:ligatures w14:val="none"/>
        </w:rPr>
        <w:t>.</w:t>
      </w:r>
    </w:p>
    <w:p w14:paraId="38C58AC3" w14:textId="77777777" w:rsidR="00F6696F" w:rsidRPr="00F6696F" w:rsidRDefault="00F6696F" w:rsidP="00F6696F">
      <w:pPr>
        <w:tabs>
          <w:tab w:val="left" w:pos="142"/>
        </w:tabs>
        <w:spacing w:after="0" w:line="240" w:lineRule="auto"/>
        <w:rPr>
          <w:rFonts w:ascii="Cambria" w:eastAsia="MS Gothic" w:hAnsi="Cambria" w:cs="Times New Roman"/>
          <w:kern w:val="0"/>
          <w:sz w:val="16"/>
          <w:szCs w:val="16"/>
          <w:lang w:eastAsia="fr-FR" w:bidi="fr-FR"/>
          <w14:ligatures w14:val="none"/>
        </w:rPr>
      </w:pPr>
      <w:r w:rsidRPr="00F6696F">
        <w:rPr>
          <w:rFonts w:ascii="Cambria" w:eastAsia="MS Gothic" w:hAnsi="Cambria" w:cs="Times New Roman"/>
          <w:kern w:val="0"/>
          <w:sz w:val="16"/>
          <w:szCs w:val="24"/>
          <w:vertAlign w:val="subscript"/>
          <w:lang w:eastAsia="fr-FR" w:bidi="fr-FR"/>
          <w14:ligatures w14:val="none"/>
        </w:rPr>
        <w:t>5</w:t>
      </w:r>
      <w:r w:rsidRPr="00F6696F">
        <w:rPr>
          <w:rFonts w:ascii="Cambria" w:eastAsia="MS Gothic" w:hAnsi="Cambria" w:cs="Times New Roman"/>
          <w:kern w:val="0"/>
          <w:sz w:val="16"/>
          <w:szCs w:val="24"/>
          <w:lang w:eastAsia="fr-FR" w:bidi="fr-FR"/>
          <w14:ligatures w14:val="none"/>
        </w:rPr>
        <w:t xml:space="preserve"> "Cuota inicial" se refiere a la cuota asignada a una CPC en virtud de la Recomendación correspondiente. </w:t>
      </w:r>
    </w:p>
    <w:p w14:paraId="0D693608" w14:textId="77777777" w:rsidR="00F6696F" w:rsidRPr="00F6696F" w:rsidRDefault="00F6696F" w:rsidP="00F6696F">
      <w:pPr>
        <w:tabs>
          <w:tab w:val="left" w:pos="142"/>
        </w:tabs>
        <w:spacing w:after="0" w:line="240" w:lineRule="auto"/>
        <w:rPr>
          <w:rFonts w:ascii="Cambria" w:eastAsia="MS Gothic" w:hAnsi="Cambria" w:cs="Times New Roman"/>
          <w:kern w:val="0"/>
          <w:sz w:val="16"/>
          <w:szCs w:val="16"/>
          <w:lang w:eastAsia="fr-FR" w:bidi="fr-FR"/>
          <w14:ligatures w14:val="none"/>
        </w:rPr>
      </w:pPr>
      <w:r w:rsidRPr="00F6696F">
        <w:rPr>
          <w:rFonts w:ascii="Cambria" w:eastAsia="MS Gothic" w:hAnsi="Cambria" w:cs="Times New Roman"/>
          <w:kern w:val="0"/>
          <w:sz w:val="16"/>
          <w:szCs w:val="24"/>
          <w:vertAlign w:val="superscript"/>
          <w:lang w:eastAsia="fr-FR" w:bidi="fr-FR"/>
          <w14:ligatures w14:val="none"/>
        </w:rPr>
        <w:t>6</w:t>
      </w:r>
      <w:r w:rsidRPr="00F6696F">
        <w:rPr>
          <w:rFonts w:ascii="Cambria" w:eastAsia="MS Gothic" w:hAnsi="Cambria" w:cs="Times New Roman"/>
          <w:kern w:val="0"/>
          <w:sz w:val="16"/>
          <w:szCs w:val="24"/>
          <w:lang w:eastAsia="fr-FR" w:bidi="fr-FR"/>
          <w14:ligatures w14:val="none"/>
        </w:rPr>
        <w:t xml:space="preserve"> La "cuota ajustada" se calcula como la "cuota inicial" más o menos las transferencias que reciba o realice la CPC, más cualquier traspaso del año anterior, menos cualquier posible exceso de capturas [AQ = IQ ± transferencias + traspaso - exceso de capturas].</w:t>
      </w:r>
    </w:p>
    <w:p w14:paraId="184A868F" w14:textId="0BAA659B" w:rsidR="00F6696F" w:rsidRPr="00F6696F" w:rsidRDefault="00F6696F" w:rsidP="00332503">
      <w:pPr>
        <w:tabs>
          <w:tab w:val="left" w:pos="142"/>
        </w:tabs>
        <w:spacing w:after="0" w:line="240" w:lineRule="auto"/>
        <w:jc w:val="both"/>
        <w:rPr>
          <w:rFonts w:ascii="Cambria" w:eastAsia="MS Gothic" w:hAnsi="Cambria" w:cs="Times New Roman"/>
          <w:kern w:val="0"/>
          <w:sz w:val="16"/>
          <w:szCs w:val="16"/>
          <w:lang w:eastAsia="fr-FR" w:bidi="fr-FR"/>
          <w14:ligatures w14:val="none"/>
        </w:rPr>
      </w:pPr>
      <w:r w:rsidRPr="00F6696F">
        <w:rPr>
          <w:rFonts w:ascii="Cambria" w:eastAsia="MS Gothic" w:hAnsi="Cambria" w:cs="Times New Roman"/>
          <w:kern w:val="0"/>
          <w:sz w:val="16"/>
          <w:szCs w:val="24"/>
          <w:vertAlign w:val="superscript"/>
          <w:lang w:eastAsia="fr-FR" w:bidi="fr-FR"/>
          <w14:ligatures w14:val="none"/>
        </w:rPr>
        <w:t>7</w:t>
      </w:r>
      <w:r w:rsidRPr="00F6696F">
        <w:rPr>
          <w:rFonts w:ascii="Cambria" w:eastAsia="MS Gothic" w:hAnsi="Cambria" w:cs="Times New Roman"/>
          <w:kern w:val="0"/>
          <w:sz w:val="16"/>
          <w:szCs w:val="24"/>
          <w:lang w:eastAsia="fr-FR" w:bidi="fr-FR"/>
          <w14:ligatures w14:val="none"/>
        </w:rPr>
        <w:t xml:space="preserve"> La "cuota disponible" se calcula como la "cuota ajustada" menos las asignaciones para capturas fortuitas y para investigación científica y la tolerancia para la pesca deportiva y de recreo [</w:t>
      </w:r>
      <w:proofErr w:type="spellStart"/>
      <w:r w:rsidRPr="00F6696F">
        <w:rPr>
          <w:rFonts w:ascii="Cambria" w:eastAsia="MS Gothic" w:hAnsi="Cambria" w:cs="Times New Roman"/>
          <w:kern w:val="0"/>
          <w:sz w:val="16"/>
          <w:szCs w:val="24"/>
          <w:lang w:eastAsia="fr-FR" w:bidi="fr-FR"/>
          <w14:ligatures w14:val="none"/>
        </w:rPr>
        <w:t>AvQ</w:t>
      </w:r>
      <w:proofErr w:type="spellEnd"/>
      <w:r w:rsidRPr="00F6696F">
        <w:rPr>
          <w:rFonts w:ascii="Cambria" w:eastAsia="MS Gothic" w:hAnsi="Cambria" w:cs="Times New Roman"/>
          <w:kern w:val="0"/>
          <w:sz w:val="16"/>
          <w:szCs w:val="24"/>
          <w:lang w:eastAsia="fr-FR" w:bidi="fr-FR"/>
          <w14:ligatures w14:val="none"/>
        </w:rPr>
        <w:t xml:space="preserve"> = AQ - (capturas fortuitas</w:t>
      </w:r>
      <w:r w:rsidR="00332503">
        <w:rPr>
          <w:rFonts w:ascii="Cambria" w:eastAsia="MS Gothic" w:hAnsi="Cambria" w:cs="Times New Roman"/>
          <w:kern w:val="0"/>
          <w:sz w:val="16"/>
          <w:szCs w:val="24"/>
          <w:lang w:eastAsia="fr-FR" w:bidi="fr-FR"/>
          <w14:ligatures w14:val="none"/>
        </w:rPr>
        <w:t xml:space="preserve"> </w:t>
      </w:r>
      <w:r w:rsidRPr="00F6696F">
        <w:rPr>
          <w:rFonts w:ascii="Cambria" w:eastAsia="MS Gothic" w:hAnsi="Cambria" w:cs="Times New Roman"/>
          <w:kern w:val="0"/>
          <w:sz w:val="16"/>
          <w:szCs w:val="24"/>
          <w:lang w:eastAsia="fr-FR" w:bidi="fr-FR"/>
          <w14:ligatures w14:val="none"/>
        </w:rPr>
        <w:t>+ investigación científica + tolerancia para la pesca deportiva/de recreo)].</w:t>
      </w:r>
    </w:p>
    <w:p w14:paraId="7E18D185" w14:textId="744E0E97" w:rsidR="00F6696F" w:rsidRPr="00F6696F" w:rsidRDefault="00F6696F" w:rsidP="00F6696F">
      <w:pPr>
        <w:tabs>
          <w:tab w:val="left" w:pos="142"/>
        </w:tabs>
        <w:spacing w:after="0" w:line="240" w:lineRule="auto"/>
        <w:jc w:val="both"/>
        <w:rPr>
          <w:rFonts w:ascii="Cambria" w:eastAsia="MS Gothic" w:hAnsi="Cambria" w:cs="Times New Roman"/>
          <w:kern w:val="0"/>
          <w:sz w:val="16"/>
          <w:szCs w:val="16"/>
          <w:lang w:eastAsia="fr-FR" w:bidi="fr-FR"/>
          <w14:ligatures w14:val="none"/>
        </w:rPr>
      </w:pPr>
      <w:r w:rsidRPr="00F6696F">
        <w:rPr>
          <w:rFonts w:ascii="Cambria" w:eastAsia="MS Gothic" w:hAnsi="Cambria" w:cs="Times New Roman"/>
          <w:kern w:val="0"/>
          <w:sz w:val="16"/>
          <w:szCs w:val="16"/>
          <w:vertAlign w:val="superscript"/>
          <w:lang w:eastAsia="fr-FR" w:bidi="fr-FR"/>
          <w14:ligatures w14:val="none"/>
        </w:rPr>
        <w:t>8</w:t>
      </w:r>
      <w:r w:rsidRPr="00F6696F">
        <w:rPr>
          <w:rFonts w:ascii="Cambria" w:eastAsia="MS Gothic" w:hAnsi="Cambria" w:cs="Times New Roman"/>
          <w:kern w:val="0"/>
          <w:sz w:val="16"/>
          <w:szCs w:val="16"/>
          <w:lang w:eastAsia="fr-FR" w:bidi="fr-FR"/>
          <w14:ligatures w14:val="none"/>
        </w:rPr>
        <w:t xml:space="preserve"> La “subcapacidad/exceso de capacidad” se calcula restando la cifra de «cuota disponible» a la de «capacidad pesquera/flota total». Si la cifra calculada es superior a 0, indica exceso de capacidad</w:t>
      </w:r>
      <w:r w:rsidR="0016630B">
        <w:rPr>
          <w:rFonts w:ascii="Cambria" w:eastAsia="MS Gothic" w:hAnsi="Cambria" w:cs="Times New Roman"/>
          <w:kern w:val="0"/>
          <w:sz w:val="16"/>
          <w:szCs w:val="16"/>
          <w:lang w:eastAsia="fr-FR" w:bidi="fr-FR"/>
          <w14:ligatures w14:val="none"/>
        </w:rPr>
        <w:t>.</w:t>
      </w:r>
      <w:r w:rsidRPr="00F6696F">
        <w:rPr>
          <w:rFonts w:ascii="Cambria" w:eastAsia="MS Gothic" w:hAnsi="Cambria" w:cs="Times New Roman"/>
          <w:kern w:val="0"/>
          <w:sz w:val="16"/>
          <w:szCs w:val="16"/>
          <w:lang w:eastAsia="fr-FR" w:bidi="fr-FR"/>
          <w14:ligatures w14:val="none"/>
        </w:rPr>
        <w:t xml:space="preserve"> </w:t>
      </w:r>
      <w:r w:rsidRPr="00F6696F">
        <w:rPr>
          <w:rFonts w:ascii="Cambria" w:eastAsia="MS Gothic" w:hAnsi="Cambria" w:cs="Times New Roman"/>
          <w:color w:val="000000"/>
          <w:kern w:val="0"/>
          <w:sz w:val="16"/>
          <w:szCs w:val="16"/>
          <w:lang w:eastAsia="fr-FR" w:bidi="fr-FR"/>
          <w14:ligatures w14:val="none"/>
        </w:rPr>
        <w:t>Si la cifra es inferior a 0, indica subcapacidad y debería expresarse con un signo menos (-).</w:t>
      </w:r>
      <w:r w:rsidRPr="00F6696F">
        <w:rPr>
          <w:rFonts w:ascii="Cambria" w:eastAsia="MS Gothic" w:hAnsi="Cambria" w:cs="Times New Roman"/>
          <w:kern w:val="0"/>
          <w:sz w:val="16"/>
          <w:szCs w:val="16"/>
          <w:lang w:eastAsia="fr-FR" w:bidi="fr-FR"/>
          <w14:ligatures w14:val="none"/>
        </w:rPr>
        <w:t xml:space="preserve"> [UC/ OC= Capacidad pesquera/flota total– </w:t>
      </w:r>
      <w:proofErr w:type="spellStart"/>
      <w:r w:rsidRPr="00F6696F">
        <w:rPr>
          <w:rFonts w:ascii="Cambria" w:eastAsia="MS Gothic" w:hAnsi="Cambria" w:cs="Times New Roman"/>
          <w:kern w:val="0"/>
          <w:sz w:val="16"/>
          <w:szCs w:val="16"/>
          <w:lang w:eastAsia="fr-FR" w:bidi="fr-FR"/>
          <w14:ligatures w14:val="none"/>
        </w:rPr>
        <w:t>AvQ</w:t>
      </w:r>
      <w:proofErr w:type="spellEnd"/>
      <w:r w:rsidRPr="00F6696F">
        <w:rPr>
          <w:rFonts w:ascii="Cambria" w:eastAsia="MS Gothic" w:hAnsi="Cambria" w:cs="Times New Roman"/>
          <w:kern w:val="0"/>
          <w:sz w:val="16"/>
          <w:szCs w:val="16"/>
          <w:lang w:eastAsia="fr-FR" w:bidi="fr-FR"/>
          <w14:ligatures w14:val="none"/>
        </w:rPr>
        <w:t xml:space="preserve">]. Por ejemplo, si la capacidad es de 1.000 t y la cuota disponible es de 1.050 t, escriba "-50" en "Subcapacidad/exceso de capacidad". </w:t>
      </w:r>
    </w:p>
    <w:p w14:paraId="192AD6A7" w14:textId="77777777" w:rsidR="00F6696F" w:rsidRPr="00F6696F" w:rsidRDefault="00F6696F" w:rsidP="00F6696F">
      <w:pPr>
        <w:tabs>
          <w:tab w:val="left" w:pos="142"/>
        </w:tabs>
        <w:spacing w:after="0" w:line="240" w:lineRule="auto"/>
        <w:rPr>
          <w:rFonts w:ascii="Cambria" w:eastAsia="MS Gothic" w:hAnsi="Cambria" w:cs="Times New Roman"/>
          <w:kern w:val="0"/>
          <w:sz w:val="16"/>
          <w:szCs w:val="16"/>
          <w:lang w:eastAsia="fr-FR" w:bidi="fr-FR"/>
          <w14:ligatures w14:val="none"/>
        </w:rPr>
        <w:sectPr w:rsidR="00F6696F" w:rsidRPr="00F6696F" w:rsidSect="00F6696F">
          <w:footerReference w:type="default" r:id="rId13"/>
          <w:pgSz w:w="16838" w:h="11906" w:orient="landscape" w:code="9"/>
          <w:pgMar w:top="720" w:right="720" w:bottom="720" w:left="720" w:header="851" w:footer="1134" w:gutter="0"/>
          <w:cols w:space="425"/>
          <w:docGrid w:linePitch="360"/>
        </w:sectPr>
      </w:pPr>
      <w:r w:rsidRPr="00F6696F">
        <w:rPr>
          <w:rFonts w:ascii="Cambria" w:eastAsia="MS Gothic" w:hAnsi="Cambria" w:cs="Times New Roman"/>
          <w:kern w:val="0"/>
          <w:sz w:val="16"/>
          <w:szCs w:val="16"/>
          <w:lang w:eastAsia="fr-FR" w:bidi="fr-FR"/>
          <w14:ligatures w14:val="none"/>
        </w:rPr>
        <w:t xml:space="preserve">* Expresado en toneladas. </w:t>
      </w:r>
    </w:p>
    <w:p w14:paraId="73A46DCF" w14:textId="77777777" w:rsidR="00B43974" w:rsidRPr="00B43974" w:rsidRDefault="00B43974" w:rsidP="00B43974">
      <w:pPr>
        <w:tabs>
          <w:tab w:val="left" w:pos="142"/>
        </w:tabs>
        <w:spacing w:after="0" w:line="240" w:lineRule="auto"/>
        <w:jc w:val="both"/>
        <w:rPr>
          <w:rFonts w:ascii="Cambria" w:eastAsia="MS Gothic" w:hAnsi="Cambria" w:cs="Times New Roman"/>
          <w:kern w:val="0"/>
          <w:sz w:val="16"/>
          <w:szCs w:val="16"/>
          <w:lang w:eastAsia="fr-FR" w:bidi="fr-FR"/>
          <w14:ligatures w14:val="none"/>
        </w:rPr>
        <w:sectPr w:rsidR="00B43974" w:rsidRPr="00B43974" w:rsidSect="00B43974">
          <w:footerReference w:type="default" r:id="rId14"/>
          <w:type w:val="continuous"/>
          <w:pgSz w:w="16838" w:h="11906" w:orient="landscape" w:code="9"/>
          <w:pgMar w:top="720" w:right="720" w:bottom="720" w:left="720" w:header="851" w:footer="1134" w:gutter="0"/>
          <w:cols w:space="425"/>
          <w:docGrid w:linePitch="360"/>
        </w:sectPr>
      </w:pPr>
    </w:p>
    <w:p w14:paraId="511AD7A0" w14:textId="77777777" w:rsidR="000D7B68" w:rsidRPr="000D7B68" w:rsidRDefault="000D7B68" w:rsidP="000D7B68">
      <w:pPr>
        <w:tabs>
          <w:tab w:val="left" w:pos="142"/>
        </w:tabs>
        <w:spacing w:after="0" w:line="240" w:lineRule="auto"/>
        <w:jc w:val="center"/>
        <w:rPr>
          <w:rFonts w:ascii="Cambria" w:eastAsia="MS Gothic" w:hAnsi="Cambria" w:cs="Times New Roman"/>
          <w:b/>
          <w:bCs/>
          <w:kern w:val="0"/>
          <w:sz w:val="20"/>
          <w:szCs w:val="20"/>
          <w:lang w:eastAsia="fr-FR" w:bidi="fr-FR"/>
          <w14:ligatures w14:val="none"/>
        </w:rPr>
      </w:pPr>
      <w:r w:rsidRPr="000D7B68">
        <w:rPr>
          <w:rFonts w:ascii="Cambria" w:eastAsia="MS Gothic" w:hAnsi="Cambria" w:cs="Times New Roman"/>
          <w:b/>
          <w:bCs/>
          <w:kern w:val="0"/>
          <w:sz w:val="20"/>
          <w:szCs w:val="20"/>
          <w:lang w:eastAsia="fr-FR" w:bidi="fr-FR"/>
          <w14:ligatures w14:val="none"/>
        </w:rPr>
        <w:lastRenderedPageBreak/>
        <w:t>Comentarios de la UE sobre los cambios propuestos</w:t>
      </w:r>
    </w:p>
    <w:p w14:paraId="0DCEF749" w14:textId="77777777" w:rsidR="000D7B68" w:rsidRPr="000D7B68" w:rsidRDefault="000D7B68" w:rsidP="000D7B68">
      <w:pPr>
        <w:tabs>
          <w:tab w:val="left" w:pos="142"/>
        </w:tabs>
        <w:spacing w:after="0" w:line="240" w:lineRule="auto"/>
        <w:rPr>
          <w:rFonts w:ascii="Cambria" w:eastAsia="MS Gothic" w:hAnsi="Cambria" w:cs="Times New Roman"/>
          <w:kern w:val="0"/>
          <w:sz w:val="20"/>
          <w:szCs w:val="20"/>
          <w:lang w:eastAsia="fr-FR" w:bidi="fr-FR"/>
          <w14:ligatures w14:val="none"/>
        </w:rPr>
      </w:pPr>
    </w:p>
    <w:p w14:paraId="57F15D0C" w14:textId="77777777" w:rsidR="000D7B68" w:rsidRPr="000D7B68" w:rsidRDefault="000D7B68" w:rsidP="000D7B68">
      <w:pPr>
        <w:tabs>
          <w:tab w:val="left" w:pos="142"/>
        </w:tabs>
        <w:spacing w:after="0" w:line="240" w:lineRule="auto"/>
        <w:rPr>
          <w:rFonts w:ascii="Cambria" w:eastAsia="MS Gothic" w:hAnsi="Cambria" w:cs="Times New Roman"/>
          <w:kern w:val="0"/>
          <w:sz w:val="20"/>
          <w:szCs w:val="20"/>
          <w:lang w:eastAsia="fr-FR" w:bidi="fr-FR"/>
          <w14:ligatures w14:val="none"/>
        </w:rPr>
      </w:pPr>
    </w:p>
    <w:p w14:paraId="618B71AB" w14:textId="7E62027D" w:rsidR="000D7B68" w:rsidRPr="000D7B68" w:rsidRDefault="000D7B68" w:rsidP="000D7B68">
      <w:pPr>
        <w:tabs>
          <w:tab w:val="left" w:pos="142"/>
        </w:tabs>
        <w:spacing w:after="0" w:line="240" w:lineRule="auto"/>
        <w:jc w:val="both"/>
        <w:rPr>
          <w:rFonts w:ascii="Cambria" w:eastAsia="MS Gothic" w:hAnsi="Cambria" w:cs="Times New Roman"/>
          <w:kern w:val="0"/>
          <w:sz w:val="20"/>
          <w:szCs w:val="20"/>
          <w:lang w:eastAsia="fr-FR" w:bidi="fr-FR"/>
          <w14:ligatures w14:val="none"/>
        </w:rPr>
      </w:pPr>
      <w:r w:rsidRPr="000D7B68">
        <w:rPr>
          <w:rFonts w:ascii="Cambria" w:eastAsia="MS Gothic" w:hAnsi="Cambria" w:cs="Times New Roman"/>
          <w:kern w:val="0"/>
          <w:sz w:val="20"/>
          <w:szCs w:val="20"/>
          <w:lang w:eastAsia="fr-FR" w:bidi="fr-FR"/>
          <w14:ligatures w14:val="none"/>
        </w:rPr>
        <w:t xml:space="preserve">Tras un análisis exhaustivo de la tabla del SCRS de 2009 en la que se basan las cifras de tasas de captura incluidas en la tabla de capacidad del plan de pesca, comprobamos que sólo dos segmentos de flota aparecen en dicha tabla con cifras redondeadas -de dos a un decimal-. Se trata de los cerqueros y </w:t>
      </w:r>
      <w:r w:rsidR="00A001F1">
        <w:rPr>
          <w:rFonts w:ascii="Cambria" w:eastAsia="MS Gothic" w:hAnsi="Cambria" w:cs="Times New Roman"/>
          <w:kern w:val="0"/>
          <w:sz w:val="20"/>
          <w:szCs w:val="20"/>
          <w:lang w:eastAsia="fr-FR" w:bidi="fr-FR"/>
          <w14:ligatures w14:val="none"/>
        </w:rPr>
        <w:t xml:space="preserve">de </w:t>
      </w:r>
      <w:r w:rsidRPr="000D7B68">
        <w:rPr>
          <w:rFonts w:ascii="Cambria" w:eastAsia="MS Gothic" w:hAnsi="Cambria" w:cs="Times New Roman"/>
          <w:kern w:val="0"/>
          <w:sz w:val="20"/>
          <w:szCs w:val="20"/>
          <w:lang w:eastAsia="fr-FR" w:bidi="fr-FR"/>
          <w14:ligatures w14:val="none"/>
        </w:rPr>
        <w:t>los barcos de cebo vivo.</w:t>
      </w:r>
    </w:p>
    <w:p w14:paraId="3D94A4EF" w14:textId="77777777" w:rsidR="000D7B68" w:rsidRPr="000D7B68" w:rsidRDefault="000D7B68" w:rsidP="000D7B68">
      <w:pPr>
        <w:tabs>
          <w:tab w:val="left" w:pos="142"/>
        </w:tabs>
        <w:spacing w:after="0" w:line="240" w:lineRule="auto"/>
        <w:jc w:val="both"/>
        <w:rPr>
          <w:rFonts w:ascii="Cambria" w:eastAsia="MS Gothic" w:hAnsi="Cambria" w:cs="Times New Roman"/>
          <w:kern w:val="0"/>
          <w:sz w:val="20"/>
          <w:szCs w:val="20"/>
          <w:lang w:eastAsia="fr-FR" w:bidi="fr-FR"/>
          <w14:ligatures w14:val="none"/>
        </w:rPr>
      </w:pPr>
    </w:p>
    <w:p w14:paraId="0A882950" w14:textId="414FB8F8" w:rsidR="000D7B68" w:rsidRPr="000D7B68" w:rsidRDefault="000D7B68" w:rsidP="000D7B68">
      <w:pPr>
        <w:tabs>
          <w:tab w:val="left" w:pos="142"/>
        </w:tabs>
        <w:spacing w:after="0" w:line="240" w:lineRule="auto"/>
        <w:jc w:val="both"/>
        <w:rPr>
          <w:rFonts w:ascii="Cambria" w:eastAsia="MS Gothic" w:hAnsi="Cambria" w:cs="Times New Roman"/>
          <w:kern w:val="0"/>
          <w:sz w:val="20"/>
          <w:szCs w:val="20"/>
          <w:lang w:eastAsia="fr-FR" w:bidi="fr-FR"/>
          <w14:ligatures w14:val="none"/>
        </w:rPr>
      </w:pPr>
      <w:r w:rsidRPr="000D7B68">
        <w:rPr>
          <w:rFonts w:ascii="Cambria" w:eastAsia="MS Gothic" w:hAnsi="Cambria" w:cs="Times New Roman"/>
          <w:kern w:val="0"/>
          <w:sz w:val="20"/>
          <w:szCs w:val="20"/>
          <w:lang w:eastAsia="fr-FR" w:bidi="fr-FR"/>
          <w14:ligatures w14:val="none"/>
        </w:rPr>
        <w:t>Por lo tanto, al confirmar este hecho a tiempo -y dado que la tabla está siendo revisada y ajustada en este momento-, creemos que se trata de una oportunidad para armonizar el enfoque de las tasas de captura. Así pues, las cifras reflejadas en la tabla de capacidad deberían coincidir exactamente con la tabla del SCRS de 2009 o redondearse uniformemente a un decimal.</w:t>
      </w:r>
    </w:p>
    <w:p w14:paraId="12107F50" w14:textId="77777777" w:rsidR="00B43974" w:rsidRPr="000D7B68" w:rsidRDefault="00B43974" w:rsidP="000D7B68">
      <w:pPr>
        <w:tabs>
          <w:tab w:val="left" w:pos="142"/>
        </w:tabs>
        <w:spacing w:after="0" w:line="240" w:lineRule="auto"/>
        <w:rPr>
          <w:rFonts w:ascii="Cambria" w:hAnsi="Cambria"/>
          <w:sz w:val="20"/>
          <w:szCs w:val="20"/>
        </w:rPr>
      </w:pPr>
    </w:p>
    <w:sectPr w:rsidR="00B43974" w:rsidRPr="000D7B68" w:rsidSect="00B43974">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4BDD5" w14:textId="77777777" w:rsidR="007A5C1B" w:rsidRDefault="007A5C1B" w:rsidP="00DB047D">
      <w:pPr>
        <w:spacing w:after="0" w:line="240" w:lineRule="auto"/>
      </w:pPr>
      <w:r>
        <w:separator/>
      </w:r>
    </w:p>
  </w:endnote>
  <w:endnote w:type="continuationSeparator" w:id="0">
    <w:p w14:paraId="22710BF2" w14:textId="77777777" w:rsidR="007A5C1B" w:rsidRDefault="007A5C1B" w:rsidP="00DB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5FE2" w14:textId="77777777" w:rsidR="00DB047D" w:rsidRPr="00DB047D" w:rsidRDefault="000A594F" w:rsidP="00DB047D">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sdt>
      <w:sdtPr>
        <w:rPr>
          <w:rFonts w:ascii="Calibri" w:eastAsia="Calibri" w:hAnsi="Calibri" w:cs="Calibri"/>
          <w:kern w:val="0"/>
          <w:sz w:val="20"/>
          <w:szCs w:val="20"/>
          <w14:ligatures w14:val="none"/>
        </w:rPr>
        <w:id w:val="810910487"/>
        <w:docPartObj>
          <w:docPartGallery w:val="Page Numbers (Top of Page)"/>
          <w:docPartUnique/>
        </w:docPartObj>
      </w:sdtPr>
      <w:sdtEndPr/>
      <w:sdtContent>
        <w:r w:rsidR="00DB047D" w:rsidRPr="00DB047D">
          <w:rPr>
            <w:rFonts w:ascii="Cambria" w:eastAsia="Calibri" w:hAnsi="Cambria" w:cs="Calibri"/>
            <w:sz w:val="20"/>
          </w:rPr>
          <w:fldChar w:fldCharType="begin"/>
        </w:r>
        <w:r w:rsidR="00DB047D" w:rsidRPr="00DB047D">
          <w:rPr>
            <w:rFonts w:ascii="Cambria" w:eastAsia="Calibri" w:hAnsi="Cambria" w:cs="Calibri"/>
            <w:sz w:val="20"/>
          </w:rPr>
          <w:instrText xml:space="preserve"> PAGE </w:instrText>
        </w:r>
        <w:r w:rsidR="00DB047D" w:rsidRPr="00DB047D">
          <w:rPr>
            <w:rFonts w:ascii="Cambria" w:eastAsia="Calibri" w:hAnsi="Cambria" w:cs="Calibri"/>
            <w:sz w:val="20"/>
          </w:rPr>
          <w:fldChar w:fldCharType="separate"/>
        </w:r>
        <w:r w:rsidR="00DB047D" w:rsidRPr="00DB047D">
          <w:rPr>
            <w:rFonts w:ascii="Cambria" w:eastAsia="Calibri" w:hAnsi="Cambria" w:cs="Calibri"/>
            <w:sz w:val="20"/>
          </w:rPr>
          <w:t>1</w:t>
        </w:r>
        <w:r w:rsidR="00DB047D" w:rsidRPr="00DB047D">
          <w:rPr>
            <w:rFonts w:ascii="Cambria" w:eastAsia="Calibri" w:hAnsi="Cambria" w:cs="Calibri"/>
            <w:sz w:val="20"/>
          </w:rPr>
          <w:fldChar w:fldCharType="end"/>
        </w:r>
        <w:r>
          <w:rPr>
            <w:rFonts w:ascii="Cambria" w:hAnsi="Cambria"/>
            <w:sz w:val="20"/>
          </w:rPr>
          <w:t xml:space="preserve"> / </w:t>
        </w:r>
        <w:r w:rsidR="00DB047D" w:rsidRPr="00DB047D">
          <w:rPr>
            <w:rFonts w:ascii="Cambria" w:eastAsia="Calibri" w:hAnsi="Cambria" w:cs="Calibri"/>
            <w:sz w:val="20"/>
          </w:rPr>
          <w:fldChar w:fldCharType="begin"/>
        </w:r>
        <w:r w:rsidR="00DB047D" w:rsidRPr="00DB047D">
          <w:rPr>
            <w:rFonts w:ascii="Cambria" w:eastAsia="Calibri" w:hAnsi="Cambria" w:cs="Calibri"/>
            <w:sz w:val="20"/>
          </w:rPr>
          <w:instrText xml:space="preserve"> NUMPAGES  </w:instrText>
        </w:r>
        <w:r w:rsidR="00DB047D" w:rsidRPr="00DB047D">
          <w:rPr>
            <w:rFonts w:ascii="Cambria" w:eastAsia="Calibri" w:hAnsi="Cambria" w:cs="Calibri"/>
            <w:sz w:val="20"/>
          </w:rPr>
          <w:fldChar w:fldCharType="separate"/>
        </w:r>
        <w:r w:rsidR="00DB047D" w:rsidRPr="00DB047D">
          <w:rPr>
            <w:rFonts w:ascii="Cambria" w:eastAsia="Calibri" w:hAnsi="Cambria" w:cs="Calibri"/>
            <w:sz w:val="20"/>
          </w:rPr>
          <w:t>5</w:t>
        </w:r>
        <w:r w:rsidR="00DB047D" w:rsidRPr="00DB047D">
          <w:rPr>
            <w:rFonts w:ascii="Cambria" w:eastAsia="Calibri" w:hAnsi="Cambria" w:cs="Calibr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EE3CE" w14:textId="77777777" w:rsidR="00F6696F" w:rsidRPr="00264140" w:rsidRDefault="00F6696F" w:rsidP="00264140">
    <w:pPr>
      <w:pStyle w:val="Footer"/>
      <w:tabs>
        <w:tab w:val="center" w:pos="4535"/>
        <w:tab w:val="left" w:pos="6150"/>
      </w:tabs>
      <w:jc w:val="center"/>
      <w:rPr>
        <w:rFonts w:ascii="Cambria" w:hAnsi="Cambria"/>
        <w:sz w:val="20"/>
        <w:szCs w:val="20"/>
      </w:rPr>
    </w:pPr>
    <w:sdt>
      <w:sdtPr>
        <w:id w:val="921844695"/>
        <w:docPartObj>
          <w:docPartGallery w:val="Page Numbers (Top of Page)"/>
          <w:docPartUnique/>
        </w:docPartObj>
      </w:sdtPr>
      <w:sdtContent>
        <w:r w:rsidRPr="005E521F">
          <w:rPr>
            <w:rFonts w:ascii="Cambria" w:hAnsi="Cambria"/>
            <w:sz w:val="20"/>
          </w:rPr>
          <w:fldChar w:fldCharType="begin"/>
        </w:r>
        <w:r w:rsidRPr="005E521F">
          <w:rPr>
            <w:rFonts w:ascii="Cambria" w:hAnsi="Cambria"/>
            <w:sz w:val="20"/>
          </w:rPr>
          <w:instrText xml:space="preserve"> PAGE </w:instrText>
        </w:r>
        <w:r w:rsidRPr="005E521F">
          <w:rPr>
            <w:rFonts w:ascii="Cambria" w:hAnsi="Cambria"/>
            <w:sz w:val="20"/>
          </w:rPr>
          <w:fldChar w:fldCharType="separate"/>
        </w:r>
        <w:r>
          <w:rPr>
            <w:rFonts w:ascii="Cambria" w:hAnsi="Cambria"/>
          </w:rPr>
          <w:t>3</w:t>
        </w:r>
        <w:r w:rsidRPr="005E521F">
          <w:rPr>
            <w:rFonts w:ascii="Cambria" w:hAnsi="Cambria"/>
            <w:sz w:val="20"/>
          </w:rPr>
          <w:fldChar w:fldCharType="end"/>
        </w:r>
        <w:r>
          <w:rPr>
            <w:rFonts w:ascii="Cambria" w:hAnsi="Cambria"/>
            <w:sz w:val="20"/>
          </w:rPr>
          <w:t xml:space="preserve"> / </w:t>
        </w:r>
        <w:r w:rsidRPr="005E521F">
          <w:rPr>
            <w:rFonts w:ascii="Cambria" w:hAnsi="Cambria"/>
            <w:sz w:val="20"/>
          </w:rPr>
          <w:fldChar w:fldCharType="begin"/>
        </w:r>
        <w:r w:rsidRPr="005E521F">
          <w:rPr>
            <w:rFonts w:ascii="Cambria" w:hAnsi="Cambria"/>
            <w:sz w:val="20"/>
          </w:rPr>
          <w:instrText xml:space="preserve"> NUMPAGES  </w:instrText>
        </w:r>
        <w:r w:rsidRPr="005E521F">
          <w:rPr>
            <w:rFonts w:ascii="Cambria" w:hAnsi="Cambria"/>
            <w:sz w:val="20"/>
          </w:rPr>
          <w:fldChar w:fldCharType="separate"/>
        </w:r>
        <w:r>
          <w:rPr>
            <w:rFonts w:ascii="Cambria" w:hAnsi="Cambria"/>
          </w:rPr>
          <w:t>4</w:t>
        </w:r>
        <w:r w:rsidRPr="005E521F">
          <w:rPr>
            <w:rFonts w:ascii="Cambria" w:hAnsi="Cambria"/>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59EB5" w14:textId="77777777" w:rsidR="00B43974" w:rsidRPr="00264140" w:rsidRDefault="000A594F" w:rsidP="00264140">
    <w:pPr>
      <w:pStyle w:val="Footer"/>
      <w:tabs>
        <w:tab w:val="center" w:pos="4535"/>
        <w:tab w:val="left" w:pos="6150"/>
      </w:tabs>
      <w:jc w:val="center"/>
      <w:rPr>
        <w:rFonts w:ascii="Cambria" w:hAnsi="Cambria"/>
        <w:sz w:val="20"/>
        <w:szCs w:val="20"/>
      </w:rPr>
    </w:pPr>
    <w:sdt>
      <w:sdtPr>
        <w:id w:val="-1812404672"/>
        <w:docPartObj>
          <w:docPartGallery w:val="Page Numbers (Top of Page)"/>
          <w:docPartUnique/>
        </w:docPartObj>
      </w:sdtPr>
      <w:sdtEndPr/>
      <w:sdtContent>
        <w:r w:rsidR="00B43974" w:rsidRPr="005E521F">
          <w:rPr>
            <w:rFonts w:ascii="Cambria" w:hAnsi="Cambria"/>
            <w:sz w:val="20"/>
          </w:rPr>
          <w:fldChar w:fldCharType="begin"/>
        </w:r>
        <w:r w:rsidR="00B43974" w:rsidRPr="005E521F">
          <w:rPr>
            <w:rFonts w:ascii="Cambria" w:hAnsi="Cambria"/>
            <w:sz w:val="20"/>
          </w:rPr>
          <w:instrText xml:space="preserve"> PAGE </w:instrText>
        </w:r>
        <w:r w:rsidR="00B43974" w:rsidRPr="005E521F">
          <w:rPr>
            <w:rFonts w:ascii="Cambria" w:hAnsi="Cambria"/>
            <w:sz w:val="20"/>
          </w:rPr>
          <w:fldChar w:fldCharType="separate"/>
        </w:r>
        <w:r w:rsidR="00B43974">
          <w:rPr>
            <w:rFonts w:ascii="Cambria" w:hAnsi="Cambria"/>
          </w:rPr>
          <w:t>3</w:t>
        </w:r>
        <w:r w:rsidR="00B43974" w:rsidRPr="005E521F">
          <w:rPr>
            <w:rFonts w:ascii="Cambria" w:hAnsi="Cambria"/>
            <w:sz w:val="20"/>
          </w:rPr>
          <w:fldChar w:fldCharType="end"/>
        </w:r>
        <w:r w:rsidR="00B43974">
          <w:rPr>
            <w:rFonts w:ascii="Cambria" w:hAnsi="Cambria"/>
            <w:sz w:val="20"/>
          </w:rPr>
          <w:t xml:space="preserve"> / </w:t>
        </w:r>
        <w:r w:rsidR="00B43974" w:rsidRPr="005E521F">
          <w:rPr>
            <w:rFonts w:ascii="Cambria" w:hAnsi="Cambria"/>
            <w:sz w:val="20"/>
          </w:rPr>
          <w:fldChar w:fldCharType="begin"/>
        </w:r>
        <w:r w:rsidR="00B43974" w:rsidRPr="005E521F">
          <w:rPr>
            <w:rFonts w:ascii="Cambria" w:hAnsi="Cambria"/>
            <w:sz w:val="20"/>
          </w:rPr>
          <w:instrText xml:space="preserve"> NUMPAGES  </w:instrText>
        </w:r>
        <w:r w:rsidR="00B43974" w:rsidRPr="005E521F">
          <w:rPr>
            <w:rFonts w:ascii="Cambria" w:hAnsi="Cambria"/>
            <w:sz w:val="20"/>
          </w:rPr>
          <w:fldChar w:fldCharType="separate"/>
        </w:r>
        <w:r w:rsidR="00B43974">
          <w:rPr>
            <w:rFonts w:ascii="Cambria" w:hAnsi="Cambria"/>
          </w:rPr>
          <w:t>4</w:t>
        </w:r>
        <w:r w:rsidR="00B43974" w:rsidRPr="005E521F">
          <w:rPr>
            <w:rFonts w:ascii="Cambria" w:hAnsi="Cambria"/>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8376E" w14:textId="77777777" w:rsidR="007A5C1B" w:rsidRDefault="007A5C1B" w:rsidP="00DB047D">
      <w:pPr>
        <w:spacing w:after="0" w:line="240" w:lineRule="auto"/>
      </w:pPr>
      <w:r>
        <w:separator/>
      </w:r>
    </w:p>
  </w:footnote>
  <w:footnote w:type="continuationSeparator" w:id="0">
    <w:p w14:paraId="1E8B9602" w14:textId="77777777" w:rsidR="007A5C1B" w:rsidRDefault="007A5C1B" w:rsidP="00DB0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6F7E" w14:textId="62C01E2A" w:rsidR="00DB047D" w:rsidRPr="00DB047D" w:rsidRDefault="00F849BC" w:rsidP="00DB047D">
    <w:pPr>
      <w:tabs>
        <w:tab w:val="center" w:pos="4680"/>
        <w:tab w:val="left" w:pos="6520"/>
        <w:tab w:val="right" w:pos="9360"/>
        <w:tab w:val="right" w:pos="14240"/>
      </w:tabs>
      <w:spacing w:after="0" w:line="240" w:lineRule="auto"/>
      <w:jc w:val="right"/>
      <w:rPr>
        <w:rFonts w:ascii="Cambria" w:eastAsia="Calibri" w:hAnsi="Cambria" w:cs="Times New Roman"/>
        <w:b/>
        <w:bCs/>
        <w:kern w:val="0"/>
        <w14:ligatures w14:val="none"/>
      </w:rPr>
    </w:pPr>
    <w:bookmarkStart w:id="0" w:name="_Hlk107908354"/>
    <w:bookmarkStart w:id="1" w:name="_Hlk107908355"/>
    <w:bookmarkStart w:id="2" w:name="_Hlk107908359"/>
    <w:bookmarkStart w:id="3" w:name="_Hlk107908360"/>
    <w:bookmarkStart w:id="4" w:name="_Hlk107908361"/>
    <w:bookmarkStart w:id="5" w:name="_Hlk107908362"/>
    <w:bookmarkStart w:id="6" w:name="_Hlk117162352"/>
    <w:bookmarkStart w:id="7" w:name="_Hlk117162353"/>
    <w:bookmarkStart w:id="8" w:name="_Hlk117162355"/>
    <w:bookmarkStart w:id="9" w:name="_Hlk117162356"/>
    <w:bookmarkStart w:id="10" w:name="_Hlk117589541"/>
    <w:bookmarkStart w:id="11" w:name="_Hlk117589542"/>
    <w:bookmarkStart w:id="12" w:name="_Hlk117589581"/>
    <w:bookmarkStart w:id="13" w:name="_Hlk117589582"/>
    <w:r>
      <w:rPr>
        <w:rFonts w:ascii="Cambria" w:hAnsi="Cambria"/>
        <w:b/>
      </w:rPr>
      <w:t>PA2_605/2025</w:t>
    </w:r>
  </w:p>
  <w:p w14:paraId="62C5EB2B" w14:textId="0ED8D37A" w:rsidR="00DB047D" w:rsidRPr="00DB047D" w:rsidRDefault="00DB047D" w:rsidP="00DB047D">
    <w:pPr>
      <w:tabs>
        <w:tab w:val="center" w:pos="4680"/>
        <w:tab w:val="left" w:pos="6520"/>
        <w:tab w:val="right" w:pos="9360"/>
        <w:tab w:val="right" w:pos="14240"/>
      </w:tabs>
      <w:spacing w:after="0" w:line="240" w:lineRule="auto"/>
      <w:jc w:val="right"/>
      <w:rPr>
        <w:rFonts w:ascii="Calibri" w:eastAsia="Calibri" w:hAnsi="Calibri" w:cs="Times New Roman"/>
        <w:kern w:val="0"/>
        <w14:ligatures w14:val="none"/>
      </w:rPr>
    </w:pPr>
    <w:r w:rsidRPr="00DB047D">
      <w:rPr>
        <w:rFonts w:ascii="Calibri" w:eastAsia="Calibri" w:hAnsi="Calibri" w:cs="Times New Roman"/>
      </w:rPr>
      <w:fldChar w:fldCharType="begin"/>
    </w:r>
    <w:r w:rsidRPr="00DB047D">
      <w:rPr>
        <w:rFonts w:ascii="Cambria" w:eastAsia="Calibri" w:hAnsi="Cambria" w:cs="Times New Roman"/>
        <w:b/>
        <w:sz w:val="16"/>
      </w:rPr>
      <w:instrText xml:space="preserve"> TIME \@ "dd/MM/yyyy H:mm" </w:instrText>
    </w:r>
    <w:r w:rsidRPr="00DB047D">
      <w:rPr>
        <w:rFonts w:ascii="Calibri" w:eastAsia="Calibri" w:hAnsi="Calibri" w:cs="Times New Roman"/>
      </w:rPr>
      <w:fldChar w:fldCharType="separate"/>
    </w:r>
    <w:r w:rsidR="006E2955">
      <w:rPr>
        <w:rFonts w:ascii="Cambria" w:eastAsia="Calibri" w:hAnsi="Cambria" w:cs="Times New Roman"/>
        <w:b/>
        <w:noProof/>
        <w:sz w:val="16"/>
      </w:rPr>
      <w:t>15/11/2025 17:06</w:t>
    </w:r>
    <w:r w:rsidRPr="00DB047D">
      <w:rPr>
        <w:rFonts w:ascii="Calibri" w:eastAsia="Calibri" w:hAnsi="Calibri" w:cs="Times New Roman"/>
        <w:kern w:val="0"/>
        <w14:ligatures w14:val="none"/>
      </w:rPr>
      <w:fldChar w:fldCharType="end"/>
    </w:r>
    <w:bookmarkEnd w:id="0"/>
    <w:bookmarkEnd w:id="1"/>
    <w:bookmarkEnd w:id="2"/>
    <w:bookmarkEnd w:id="3"/>
    <w:bookmarkEnd w:id="4"/>
    <w:bookmarkEnd w:id="5"/>
    <w:bookmarkEnd w:id="6"/>
    <w:bookmarkEnd w:id="7"/>
    <w:bookmarkEnd w:id="8"/>
    <w:bookmarkEnd w:id="9"/>
    <w:bookmarkEnd w:id="10"/>
    <w:bookmarkEnd w:id="11"/>
    <w:bookmarkEnd w:id="12"/>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9511C"/>
    <w:multiLevelType w:val="hybridMultilevel"/>
    <w:tmpl w:val="1390D98A"/>
    <w:lvl w:ilvl="0" w:tplc="39B088C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79413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257"/>
    <w:rsid w:val="000A032E"/>
    <w:rsid w:val="000D7B68"/>
    <w:rsid w:val="00123AD9"/>
    <w:rsid w:val="0016630B"/>
    <w:rsid w:val="0019201B"/>
    <w:rsid w:val="001959F5"/>
    <w:rsid w:val="001B6BBE"/>
    <w:rsid w:val="001C6578"/>
    <w:rsid w:val="001E6C30"/>
    <w:rsid w:val="00313570"/>
    <w:rsid w:val="00332503"/>
    <w:rsid w:val="00342CFA"/>
    <w:rsid w:val="0036557C"/>
    <w:rsid w:val="00381F31"/>
    <w:rsid w:val="003D5F66"/>
    <w:rsid w:val="00495056"/>
    <w:rsid w:val="00495634"/>
    <w:rsid w:val="004B1257"/>
    <w:rsid w:val="00556B72"/>
    <w:rsid w:val="005E22CB"/>
    <w:rsid w:val="00604DE6"/>
    <w:rsid w:val="00631123"/>
    <w:rsid w:val="00672CBF"/>
    <w:rsid w:val="006E2955"/>
    <w:rsid w:val="006F798D"/>
    <w:rsid w:val="00773D06"/>
    <w:rsid w:val="007A5C1B"/>
    <w:rsid w:val="007C2CD3"/>
    <w:rsid w:val="007E775D"/>
    <w:rsid w:val="008A3FDE"/>
    <w:rsid w:val="00921D26"/>
    <w:rsid w:val="00974457"/>
    <w:rsid w:val="00A001F1"/>
    <w:rsid w:val="00A90F29"/>
    <w:rsid w:val="00AF0508"/>
    <w:rsid w:val="00AF1F42"/>
    <w:rsid w:val="00B10B75"/>
    <w:rsid w:val="00B43974"/>
    <w:rsid w:val="00C61344"/>
    <w:rsid w:val="00C8676B"/>
    <w:rsid w:val="00DB047D"/>
    <w:rsid w:val="00DB7AE3"/>
    <w:rsid w:val="00DE6E43"/>
    <w:rsid w:val="00EE19BC"/>
    <w:rsid w:val="00F6696F"/>
    <w:rsid w:val="00F849BC"/>
    <w:rsid w:val="00FC5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39815"/>
  <w15:chartTrackingRefBased/>
  <w15:docId w15:val="{82D44029-8328-4AF5-A9A1-41B955BA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2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2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2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B12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2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2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2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2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2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2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2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2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B12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2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2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2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2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257"/>
    <w:rPr>
      <w:rFonts w:eastAsiaTheme="majorEastAsia" w:cstheme="majorBidi"/>
      <w:color w:val="272727" w:themeColor="text1" w:themeTint="D8"/>
    </w:rPr>
  </w:style>
  <w:style w:type="paragraph" w:styleId="Title">
    <w:name w:val="Title"/>
    <w:basedOn w:val="Normal"/>
    <w:next w:val="Normal"/>
    <w:link w:val="TitleChar"/>
    <w:uiPriority w:val="10"/>
    <w:qFormat/>
    <w:rsid w:val="004B12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2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2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2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257"/>
    <w:pPr>
      <w:spacing w:before="160"/>
      <w:jc w:val="center"/>
    </w:pPr>
    <w:rPr>
      <w:i/>
      <w:iCs/>
      <w:color w:val="404040" w:themeColor="text1" w:themeTint="BF"/>
    </w:rPr>
  </w:style>
  <w:style w:type="character" w:customStyle="1" w:styleId="QuoteChar">
    <w:name w:val="Quote Char"/>
    <w:basedOn w:val="DefaultParagraphFont"/>
    <w:link w:val="Quote"/>
    <w:uiPriority w:val="29"/>
    <w:rsid w:val="004B1257"/>
    <w:rPr>
      <w:i/>
      <w:iCs/>
      <w:color w:val="404040" w:themeColor="text1" w:themeTint="BF"/>
    </w:rPr>
  </w:style>
  <w:style w:type="paragraph" w:styleId="ListParagraph">
    <w:name w:val="List Paragraph"/>
    <w:basedOn w:val="Normal"/>
    <w:uiPriority w:val="34"/>
    <w:qFormat/>
    <w:rsid w:val="004B1257"/>
    <w:pPr>
      <w:ind w:left="720"/>
      <w:contextualSpacing/>
    </w:pPr>
  </w:style>
  <w:style w:type="character" w:styleId="IntenseEmphasis">
    <w:name w:val="Intense Emphasis"/>
    <w:basedOn w:val="DefaultParagraphFont"/>
    <w:uiPriority w:val="21"/>
    <w:qFormat/>
    <w:rsid w:val="004B1257"/>
    <w:rPr>
      <w:i/>
      <w:iCs/>
      <w:color w:val="0F4761" w:themeColor="accent1" w:themeShade="BF"/>
    </w:rPr>
  </w:style>
  <w:style w:type="paragraph" w:styleId="IntenseQuote">
    <w:name w:val="Intense Quote"/>
    <w:basedOn w:val="Normal"/>
    <w:next w:val="Normal"/>
    <w:link w:val="IntenseQuoteChar"/>
    <w:uiPriority w:val="30"/>
    <w:qFormat/>
    <w:rsid w:val="004B12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257"/>
    <w:rPr>
      <w:i/>
      <w:iCs/>
      <w:color w:val="0F4761" w:themeColor="accent1" w:themeShade="BF"/>
    </w:rPr>
  </w:style>
  <w:style w:type="character" w:styleId="IntenseReference">
    <w:name w:val="Intense Reference"/>
    <w:basedOn w:val="DefaultParagraphFont"/>
    <w:uiPriority w:val="32"/>
    <w:qFormat/>
    <w:rsid w:val="004B1257"/>
    <w:rPr>
      <w:b/>
      <w:bCs/>
      <w:smallCaps/>
      <w:color w:val="0F4761" w:themeColor="accent1" w:themeShade="BF"/>
      <w:spacing w:val="5"/>
    </w:rPr>
  </w:style>
  <w:style w:type="paragraph" w:styleId="Revision">
    <w:name w:val="Revision"/>
    <w:hidden/>
    <w:uiPriority w:val="99"/>
    <w:semiHidden/>
    <w:rsid w:val="00A90F29"/>
    <w:pPr>
      <w:spacing w:after="0" w:line="240" w:lineRule="auto"/>
    </w:pPr>
  </w:style>
  <w:style w:type="paragraph" w:styleId="Header">
    <w:name w:val="header"/>
    <w:basedOn w:val="Normal"/>
    <w:link w:val="HeaderChar"/>
    <w:uiPriority w:val="99"/>
    <w:unhideWhenUsed/>
    <w:rsid w:val="00DB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47D"/>
  </w:style>
  <w:style w:type="paragraph" w:styleId="Footer">
    <w:name w:val="footer"/>
    <w:basedOn w:val="Normal"/>
    <w:link w:val="FooterChar"/>
    <w:uiPriority w:val="99"/>
    <w:unhideWhenUsed/>
    <w:rsid w:val="00DB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47D"/>
  </w:style>
  <w:style w:type="character" w:styleId="Hyperlink">
    <w:name w:val="Hyperlink"/>
    <w:basedOn w:val="DefaultParagraphFont"/>
    <w:uiPriority w:val="99"/>
    <w:unhideWhenUsed/>
    <w:rsid w:val="00AF1F42"/>
    <w:rPr>
      <w:color w:val="467886" w:themeColor="hyperlink"/>
      <w:u w:val="single"/>
    </w:rPr>
  </w:style>
  <w:style w:type="character" w:styleId="UnresolvedMention">
    <w:name w:val="Unresolved Mention"/>
    <w:basedOn w:val="DefaultParagraphFont"/>
    <w:uiPriority w:val="99"/>
    <w:semiHidden/>
    <w:unhideWhenUsed/>
    <w:rsid w:val="00AF1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3654">
      <w:bodyDiv w:val="1"/>
      <w:marLeft w:val="0"/>
      <w:marRight w:val="0"/>
      <w:marTop w:val="0"/>
      <w:marBottom w:val="0"/>
      <w:divBdr>
        <w:top w:val="none" w:sz="0" w:space="0" w:color="auto"/>
        <w:left w:val="none" w:sz="0" w:space="0" w:color="auto"/>
        <w:bottom w:val="none" w:sz="0" w:space="0" w:color="auto"/>
        <w:right w:val="none" w:sz="0" w:space="0" w:color="auto"/>
      </w:divBdr>
    </w:div>
    <w:div w:id="375587774">
      <w:bodyDiv w:val="1"/>
      <w:marLeft w:val="0"/>
      <w:marRight w:val="0"/>
      <w:marTop w:val="0"/>
      <w:marBottom w:val="0"/>
      <w:divBdr>
        <w:top w:val="none" w:sz="0" w:space="0" w:color="auto"/>
        <w:left w:val="none" w:sz="0" w:space="0" w:color="auto"/>
        <w:bottom w:val="none" w:sz="0" w:space="0" w:color="auto"/>
        <w:right w:val="none" w:sz="0" w:space="0" w:color="auto"/>
      </w:divBdr>
    </w:div>
    <w:div w:id="580481872">
      <w:bodyDiv w:val="1"/>
      <w:marLeft w:val="0"/>
      <w:marRight w:val="0"/>
      <w:marTop w:val="0"/>
      <w:marBottom w:val="0"/>
      <w:divBdr>
        <w:top w:val="none" w:sz="0" w:space="0" w:color="auto"/>
        <w:left w:val="none" w:sz="0" w:space="0" w:color="auto"/>
        <w:bottom w:val="none" w:sz="0" w:space="0" w:color="auto"/>
        <w:right w:val="none" w:sz="0" w:space="0" w:color="auto"/>
      </w:divBdr>
    </w:div>
    <w:div w:id="705444581">
      <w:bodyDiv w:val="1"/>
      <w:marLeft w:val="0"/>
      <w:marRight w:val="0"/>
      <w:marTop w:val="0"/>
      <w:marBottom w:val="0"/>
      <w:divBdr>
        <w:top w:val="none" w:sz="0" w:space="0" w:color="auto"/>
        <w:left w:val="none" w:sz="0" w:space="0" w:color="auto"/>
        <w:bottom w:val="none" w:sz="0" w:space="0" w:color="auto"/>
        <w:right w:val="none" w:sz="0" w:space="0" w:color="auto"/>
      </w:divBdr>
    </w:div>
    <w:div w:id="1663120383">
      <w:bodyDiv w:val="1"/>
      <w:marLeft w:val="0"/>
      <w:marRight w:val="0"/>
      <w:marTop w:val="0"/>
      <w:marBottom w:val="0"/>
      <w:divBdr>
        <w:top w:val="none" w:sz="0" w:space="0" w:color="auto"/>
        <w:left w:val="none" w:sz="0" w:space="0" w:color="auto"/>
        <w:bottom w:val="none" w:sz="0" w:space="0" w:color="auto"/>
        <w:right w:val="none" w:sz="0" w:space="0" w:color="auto"/>
      </w:divBdr>
    </w:div>
    <w:div w:id="188317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iccat.int/Documents/Recs/compendiopdf-s/2024-05-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cat.int/Documents/Recs/compendiopdf-s/2024-05-s.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ccat.int/Documents/Recs/compendiopdf-s/2024-05-s.pdf" TargetMode="External"/><Relationship Id="rId4" Type="http://schemas.openxmlformats.org/officeDocument/2006/relationships/webSettings" Target="webSettings.xml"/><Relationship Id="rId9" Type="http://schemas.openxmlformats.org/officeDocument/2006/relationships/hyperlink" Target="https://www.iccat.int/Documents/BienRep/REP_ES_08-09_II_2.pdf"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Parrilla</dc:creator>
  <cp:keywords/>
  <dc:description/>
  <cp:lastModifiedBy>María José García</cp:lastModifiedBy>
  <cp:revision>2</cp:revision>
  <dcterms:created xsi:type="dcterms:W3CDTF">2025-11-15T16:20:00Z</dcterms:created>
  <dcterms:modified xsi:type="dcterms:W3CDTF">2025-11-15T16:20:00Z</dcterms:modified>
</cp:coreProperties>
</file>