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02FE0" w14:textId="77777777" w:rsidR="00DB047D" w:rsidRPr="00DB047D" w:rsidRDefault="00DB047D" w:rsidP="00DB047D">
      <w:pPr>
        <w:spacing w:after="0" w:line="240" w:lineRule="auto"/>
        <w:jc w:val="right"/>
        <w:rPr>
          <w:rFonts w:ascii="Cambria" w:eastAsia="Times New Roman" w:hAnsi="Cambria" w:cs="Times New Roman"/>
          <w:b/>
          <w:bCs/>
          <w:kern w:val="0"/>
          <w:sz w:val="20"/>
          <w:szCs w:val="20"/>
          <w14:ligatures w14:val="none"/>
        </w:rPr>
      </w:pPr>
      <w:r>
        <w:rPr>
          <w:rFonts w:ascii="Cambria" w:hAnsi="Cambria"/>
          <w:b/>
          <w:sz w:val="20"/>
        </w:rPr>
        <w:t xml:space="preserve">Original : </w:t>
      </w:r>
      <w:r>
        <w:rPr>
          <w:rFonts w:ascii="Cambria" w:hAnsi="Cambria"/>
          <w:b/>
          <w:bCs/>
          <w:sz w:val="20"/>
        </w:rPr>
        <w:t>anglais</w:t>
      </w:r>
    </w:p>
    <w:p w14:paraId="2572D132" w14:textId="77777777" w:rsidR="00DB047D" w:rsidRDefault="00DB047D" w:rsidP="00DB047D">
      <w:pPr>
        <w:spacing w:after="0" w:line="240" w:lineRule="auto"/>
        <w:rPr>
          <w:rFonts w:ascii="Cambria" w:hAnsi="Cambria"/>
          <w:b/>
          <w:bCs/>
          <w:sz w:val="20"/>
          <w:szCs w:val="20"/>
        </w:rPr>
      </w:pPr>
    </w:p>
    <w:p w14:paraId="67F42B58" w14:textId="5D2DEC43" w:rsidR="00A90F29" w:rsidRPr="00EA27E8" w:rsidRDefault="00F849BC" w:rsidP="00DB047D">
      <w:pPr>
        <w:spacing w:after="0" w:line="240" w:lineRule="auto"/>
        <w:jc w:val="center"/>
        <w:rPr>
          <w:rFonts w:ascii="Cambria" w:hAnsi="Cambria"/>
          <w:b/>
          <w:bCs/>
          <w:sz w:val="20"/>
          <w:szCs w:val="20"/>
        </w:rPr>
      </w:pPr>
      <w:r w:rsidRPr="00BC70EF">
        <w:rPr>
          <w:rFonts w:ascii="Cambria" w:hAnsi="Cambria"/>
          <w:b/>
          <w:bCs/>
          <w:sz w:val="20"/>
          <w:szCs w:val="20"/>
        </w:rPr>
        <w:t xml:space="preserve">Projet de modèle </w:t>
      </w:r>
      <w:r w:rsidR="001D24E8" w:rsidRPr="00BC70EF">
        <w:rPr>
          <w:rFonts w:ascii="Cambria" w:hAnsi="Cambria"/>
          <w:b/>
          <w:bCs/>
          <w:sz w:val="20"/>
          <w:szCs w:val="20"/>
        </w:rPr>
        <w:t xml:space="preserve">révisé </w:t>
      </w:r>
      <w:r w:rsidRPr="00BC70EF">
        <w:rPr>
          <w:rFonts w:ascii="Cambria" w:hAnsi="Cambria"/>
          <w:b/>
          <w:bCs/>
          <w:sz w:val="20"/>
          <w:szCs w:val="20"/>
        </w:rPr>
        <w:t>pour le tableau de la capacité des plans de pêche, d’élevage, d'inspection et de gestion de la capacité pour le thon rouge de l'Atlantique Est et de la Méditerranée</w:t>
      </w:r>
    </w:p>
    <w:p w14:paraId="24977F84" w14:textId="77777777" w:rsidR="00DB047D" w:rsidRDefault="00DB047D" w:rsidP="00DB047D">
      <w:pPr>
        <w:spacing w:after="0" w:line="240" w:lineRule="auto"/>
        <w:jc w:val="center"/>
        <w:rPr>
          <w:rFonts w:ascii="Cambria" w:hAnsi="Cambria"/>
          <w:b/>
          <w:bCs/>
          <w:sz w:val="20"/>
          <w:szCs w:val="20"/>
        </w:rPr>
      </w:pPr>
    </w:p>
    <w:p w14:paraId="3394FD59" w14:textId="6403F38C" w:rsidR="004B1257" w:rsidRDefault="004B1257" w:rsidP="00DB047D">
      <w:pPr>
        <w:spacing w:after="0" w:line="240" w:lineRule="auto"/>
        <w:jc w:val="center"/>
        <w:rPr>
          <w:rFonts w:ascii="Cambria" w:hAnsi="Cambria"/>
          <w:i/>
          <w:iCs/>
          <w:sz w:val="20"/>
          <w:szCs w:val="20"/>
        </w:rPr>
      </w:pPr>
      <w:r>
        <w:rPr>
          <w:rFonts w:ascii="Cambria" w:hAnsi="Cambria"/>
          <w:i/>
          <w:sz w:val="20"/>
        </w:rPr>
        <w:t xml:space="preserve">(préparé par le Secrétariat, après consultation avec les membres de la </w:t>
      </w:r>
      <w:r w:rsidR="00C705F6">
        <w:rPr>
          <w:rFonts w:ascii="Cambria" w:hAnsi="Cambria"/>
          <w:i/>
          <w:sz w:val="20"/>
        </w:rPr>
        <w:t>Sous-commission</w:t>
      </w:r>
      <w:r>
        <w:rPr>
          <w:rFonts w:ascii="Cambria" w:hAnsi="Cambria"/>
          <w:i/>
          <w:sz w:val="20"/>
        </w:rPr>
        <w:t xml:space="preserve"> 2)</w:t>
      </w:r>
    </w:p>
    <w:p w14:paraId="2154006C" w14:textId="77777777" w:rsidR="00DB047D" w:rsidRPr="00FC542C" w:rsidRDefault="00DB047D" w:rsidP="00DB047D">
      <w:pPr>
        <w:spacing w:after="0" w:line="240" w:lineRule="auto"/>
        <w:rPr>
          <w:rFonts w:ascii="Cambria" w:hAnsi="Cambria"/>
          <w:i/>
          <w:iCs/>
          <w:sz w:val="20"/>
          <w:szCs w:val="20"/>
        </w:rPr>
      </w:pPr>
    </w:p>
    <w:p w14:paraId="2C79C64A" w14:textId="4DB6CAA6" w:rsidR="00F849BC" w:rsidRDefault="00F849BC" w:rsidP="00F849BC">
      <w:pPr>
        <w:spacing w:after="0" w:line="240" w:lineRule="auto"/>
        <w:jc w:val="both"/>
        <w:rPr>
          <w:rFonts w:ascii="Cambria" w:hAnsi="Cambria"/>
          <w:sz w:val="20"/>
          <w:szCs w:val="20"/>
        </w:rPr>
      </w:pPr>
      <w:r>
        <w:rPr>
          <w:rFonts w:ascii="Cambria" w:hAnsi="Cambria"/>
          <w:sz w:val="20"/>
        </w:rPr>
        <w:t>Lors de la réunion intersessions de la Sous-commission 2 qui s'est tenue à Madrid du 4 au 6 mars 2025, le Secrétariat a proposé l'élaboration d'un nouveau modèle pour le tableau de la capacité des plans de pêche, d’élevage, d'inspection et de gestion de la capacité pour le thon rouge de l'Atlantique Est et de la Méditerranée. Le modèle révisé comprendrait une ligne supplémentaire afin d’inclure un nouveau montant</w:t>
      </w:r>
      <w:r w:rsidR="00E421B9">
        <w:rPr>
          <w:rFonts w:ascii="Cambria" w:hAnsi="Cambria"/>
          <w:sz w:val="20"/>
        </w:rPr>
        <w:t> :</w:t>
      </w:r>
      <w:r>
        <w:rPr>
          <w:rFonts w:ascii="Cambria" w:hAnsi="Cambria"/>
          <w:sz w:val="20"/>
        </w:rPr>
        <w:t xml:space="preserve"> le quota disponible. Par conséquent, le tableau comprendrait le quota initial, le quota ajusté et le quota disponible. Pour faciliter son remplissage et garantir sa clarté, le modèle comprendrait également des notes explicatives définissant chacun de ces concepts.</w:t>
      </w:r>
    </w:p>
    <w:p w14:paraId="7C1F7A6F" w14:textId="77777777" w:rsidR="00F849BC" w:rsidRPr="00EA27E8" w:rsidRDefault="00F849BC" w:rsidP="00F849BC">
      <w:pPr>
        <w:spacing w:after="0" w:line="240" w:lineRule="auto"/>
        <w:jc w:val="both"/>
        <w:rPr>
          <w:rFonts w:ascii="Cambria" w:hAnsi="Cambria"/>
          <w:sz w:val="20"/>
          <w:szCs w:val="20"/>
        </w:rPr>
      </w:pPr>
    </w:p>
    <w:p w14:paraId="56B8E265" w14:textId="689F6F6E" w:rsidR="00F849BC" w:rsidRPr="00F849BC" w:rsidRDefault="00F849BC" w:rsidP="00F849BC">
      <w:pPr>
        <w:spacing w:after="0" w:line="240" w:lineRule="auto"/>
        <w:jc w:val="both"/>
        <w:rPr>
          <w:rFonts w:ascii="Cambria" w:hAnsi="Cambria"/>
          <w:sz w:val="20"/>
          <w:szCs w:val="20"/>
        </w:rPr>
      </w:pPr>
      <w:r>
        <w:rPr>
          <w:rFonts w:ascii="Cambria" w:hAnsi="Cambria"/>
          <w:sz w:val="20"/>
        </w:rPr>
        <w:t>Conformément aux circulaires n°03722/2025 et nº04419/2025</w:t>
      </w:r>
      <w:r w:rsidR="00E421B9">
        <w:rPr>
          <w:rFonts w:ascii="Cambria" w:hAnsi="Cambria"/>
          <w:sz w:val="20"/>
        </w:rPr>
        <w:t xml:space="preserve"> de l'ICCAT</w:t>
      </w:r>
      <w:r>
        <w:rPr>
          <w:rFonts w:ascii="Cambria" w:hAnsi="Cambria"/>
          <w:sz w:val="20"/>
        </w:rPr>
        <w:t xml:space="preserve">, le Secrétariat a reçu des commentaires de l'Union européenne sur le projet de modèle pour le tableau de la capacité dans les délais impartis. Les changements proposés, ainsi que les commentaires explicatifs fournis par l'Union européenne, ont été intégrés dans le projet de modèle révisé, qui est présenté dans le </w:t>
      </w:r>
      <w:r>
        <w:rPr>
          <w:rFonts w:ascii="Cambria" w:hAnsi="Cambria"/>
          <w:b/>
          <w:bCs/>
          <w:sz w:val="20"/>
        </w:rPr>
        <w:t>tableau 1</w:t>
      </w:r>
      <w:r>
        <w:rPr>
          <w:rFonts w:ascii="Cambria" w:hAnsi="Cambria"/>
          <w:sz w:val="20"/>
        </w:rPr>
        <w:t xml:space="preserve"> </w:t>
      </w:r>
      <w:r w:rsidR="00DE5BE5">
        <w:rPr>
          <w:rFonts w:ascii="Cambria" w:hAnsi="Cambria"/>
          <w:sz w:val="20"/>
        </w:rPr>
        <w:t xml:space="preserve">du présent </w:t>
      </w:r>
      <w:r>
        <w:rPr>
          <w:rFonts w:ascii="Cambria" w:hAnsi="Cambria"/>
          <w:sz w:val="20"/>
        </w:rPr>
        <w:t>document.</w:t>
      </w:r>
    </w:p>
    <w:p w14:paraId="0BAA73D3" w14:textId="77777777" w:rsidR="00F849BC" w:rsidRPr="00EA27E8" w:rsidRDefault="00F849BC" w:rsidP="00F849BC">
      <w:pPr>
        <w:spacing w:after="0" w:line="240" w:lineRule="auto"/>
        <w:jc w:val="both"/>
        <w:rPr>
          <w:rFonts w:ascii="Cambria" w:hAnsi="Cambria"/>
          <w:sz w:val="20"/>
          <w:szCs w:val="20"/>
        </w:rPr>
      </w:pPr>
    </w:p>
    <w:p w14:paraId="7E8FF020" w14:textId="77777777" w:rsidR="00773D06" w:rsidRDefault="00773D06" w:rsidP="00773D06">
      <w:pPr>
        <w:jc w:val="right"/>
        <w:rPr>
          <w:rFonts w:ascii="Cambria" w:hAnsi="Cambria"/>
          <w:b/>
          <w:bCs/>
          <w:sz w:val="18"/>
          <w:szCs w:val="18"/>
        </w:rPr>
      </w:pPr>
    </w:p>
    <w:p w14:paraId="48D8FBAD" w14:textId="77777777" w:rsidR="00F849BC" w:rsidRDefault="00F849BC" w:rsidP="00773D06">
      <w:pPr>
        <w:jc w:val="right"/>
        <w:rPr>
          <w:rFonts w:ascii="Cambria" w:hAnsi="Cambria"/>
          <w:b/>
          <w:bCs/>
          <w:sz w:val="18"/>
          <w:szCs w:val="18"/>
        </w:rPr>
      </w:pPr>
    </w:p>
    <w:p w14:paraId="7F19DBD3" w14:textId="77777777" w:rsidR="00F849BC" w:rsidRPr="00FC542C" w:rsidRDefault="00F849BC" w:rsidP="00F849BC">
      <w:pPr>
        <w:rPr>
          <w:rFonts w:ascii="Cambria" w:hAnsi="Cambria"/>
          <w:b/>
          <w:bCs/>
          <w:sz w:val="18"/>
          <w:szCs w:val="18"/>
        </w:rPr>
        <w:sectPr w:rsidR="00F849BC" w:rsidRPr="00FC542C" w:rsidSect="00C61344">
          <w:headerReference w:type="default" r:id="rId7"/>
          <w:footerReference w:type="default" r:id="rId8"/>
          <w:pgSz w:w="11907" w:h="16840" w:code="9"/>
          <w:pgMar w:top="1418" w:right="1418" w:bottom="1418" w:left="1418" w:header="851" w:footer="1134" w:gutter="0"/>
          <w:cols w:space="720"/>
          <w:docGrid w:linePitch="360"/>
        </w:sectPr>
      </w:pPr>
    </w:p>
    <w:p w14:paraId="660B4B27" w14:textId="79A25156" w:rsidR="001B6BBE" w:rsidRDefault="00773D06" w:rsidP="004F3ADE">
      <w:pPr>
        <w:spacing w:after="0" w:line="240" w:lineRule="auto"/>
        <w:rPr>
          <w:rFonts w:ascii="Cambria" w:hAnsi="Cambria"/>
          <w:b/>
          <w:bCs/>
          <w:sz w:val="20"/>
          <w:szCs w:val="20"/>
        </w:rPr>
      </w:pPr>
      <w:r>
        <w:rPr>
          <w:rFonts w:ascii="Cambria" w:hAnsi="Cambria"/>
          <w:b/>
          <w:sz w:val="20"/>
        </w:rPr>
        <w:lastRenderedPageBreak/>
        <w:t xml:space="preserve">Tableau 1. </w:t>
      </w:r>
      <w:r>
        <w:rPr>
          <w:rFonts w:ascii="Cambria" w:hAnsi="Cambria"/>
          <w:sz w:val="20"/>
        </w:rPr>
        <w:t>Projet de modèle pour le tableau de la capacité des plans de pêche, d’élevage, d'inspection et de gestion de la capacité pour le thon rouge de l'Atlantique Est et de la Méditerranée.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2575"/>
        <w:gridCol w:w="615"/>
        <w:gridCol w:w="615"/>
        <w:gridCol w:w="615"/>
        <w:gridCol w:w="615"/>
        <w:gridCol w:w="615"/>
        <w:gridCol w:w="615"/>
        <w:gridCol w:w="615"/>
        <w:gridCol w:w="256"/>
        <w:gridCol w:w="615"/>
        <w:gridCol w:w="615"/>
        <w:gridCol w:w="615"/>
        <w:gridCol w:w="615"/>
        <w:gridCol w:w="615"/>
        <w:gridCol w:w="615"/>
        <w:gridCol w:w="615"/>
      </w:tblGrid>
      <w:tr w:rsidR="004F3ADE" w:rsidRPr="0088108C" w14:paraId="0C533B4F" w14:textId="77777777" w:rsidTr="004F3ADE">
        <w:trPr>
          <w:trHeight w:val="20"/>
        </w:trPr>
        <w:tc>
          <w:tcPr>
            <w:tcW w:w="0" w:type="auto"/>
            <w:noWrap/>
            <w:vAlign w:val="center"/>
            <w:hideMark/>
          </w:tcPr>
          <w:p w14:paraId="2965577D" w14:textId="77777777" w:rsidR="004F3ADE" w:rsidRPr="004F3ADE" w:rsidRDefault="004F3ADE" w:rsidP="004F3ADE">
            <w:pPr>
              <w:spacing w:after="0" w:line="240" w:lineRule="auto"/>
              <w:jc w:val="center"/>
              <w:rPr>
                <w:rFonts w:ascii="Cambria" w:eastAsia="Times New Roman" w:hAnsi="Cambria" w:cs="Calibri"/>
                <w:i/>
                <w:iCs/>
                <w:kern w:val="0"/>
                <w:sz w:val="18"/>
                <w:szCs w:val="18"/>
                <w:lang w:eastAsia="fr-FR" w:bidi="fr-FR"/>
                <w14:ligatures w14:val="none"/>
              </w:rPr>
            </w:pPr>
            <w:r w:rsidRPr="004F3ADE">
              <w:rPr>
                <w:rFonts w:ascii="Cambria" w:eastAsia="MS Gothic" w:hAnsi="Cambria" w:cs="Times New Roman"/>
                <w:i/>
                <w:kern w:val="0"/>
                <w:sz w:val="18"/>
                <w:szCs w:val="24"/>
                <w:lang w:eastAsia="fr-FR" w:bidi="fr-FR"/>
                <w14:ligatures w14:val="none"/>
              </w:rPr>
              <w:t>Type de navires thoniers</w:t>
            </w:r>
          </w:p>
        </w:tc>
        <w:tc>
          <w:tcPr>
            <w:tcW w:w="0" w:type="auto"/>
            <w:noWrap/>
            <w:vAlign w:val="center"/>
            <w:hideMark/>
          </w:tcPr>
          <w:p w14:paraId="2FDA0FA8" w14:textId="77777777" w:rsidR="004F3ADE" w:rsidRPr="004F3ADE" w:rsidRDefault="004F3ADE" w:rsidP="004F3ADE">
            <w:pPr>
              <w:spacing w:after="0" w:line="240" w:lineRule="auto"/>
              <w:jc w:val="center"/>
              <w:rPr>
                <w:rFonts w:ascii="Calibri" w:eastAsia="Times New Roman" w:hAnsi="Calibri" w:cs="Calibri"/>
                <w:kern w:val="0"/>
                <w:sz w:val="18"/>
                <w:szCs w:val="18"/>
                <w:lang w:val="en-US" w:eastAsia="ja-JP"/>
                <w14:ligatures w14:val="none"/>
              </w:rPr>
            </w:pPr>
          </w:p>
        </w:tc>
        <w:tc>
          <w:tcPr>
            <w:tcW w:w="0" w:type="auto"/>
            <w:gridSpan w:val="3"/>
          </w:tcPr>
          <w:p w14:paraId="5B97712D" w14:textId="77777777" w:rsidR="004F3ADE" w:rsidRPr="004F3ADE" w:rsidRDefault="004F3ADE" w:rsidP="004F3ADE">
            <w:pPr>
              <w:spacing w:after="0" w:line="240" w:lineRule="auto"/>
              <w:jc w:val="center"/>
              <w:rPr>
                <w:rFonts w:ascii="Cambria" w:eastAsia="Times New Roman" w:hAnsi="Cambria" w:cs="Calibri"/>
                <w:i/>
                <w:iCs/>
                <w:kern w:val="0"/>
                <w:sz w:val="18"/>
                <w:szCs w:val="18"/>
                <w:lang w:eastAsia="fr-FR" w:bidi="fr-FR"/>
                <w14:ligatures w14:val="none"/>
              </w:rPr>
            </w:pPr>
            <w:r w:rsidRPr="004F3ADE">
              <w:rPr>
                <w:rFonts w:ascii="Cambria" w:eastAsia="MS Gothic" w:hAnsi="Cambria" w:cs="Times New Roman"/>
                <w:i/>
                <w:kern w:val="0"/>
                <w:sz w:val="18"/>
                <w:szCs w:val="24"/>
                <w:lang w:eastAsia="fr-FR" w:bidi="fr-FR"/>
                <w14:ligatures w14:val="none"/>
              </w:rPr>
              <w:t>Année de réf.</w:t>
            </w:r>
          </w:p>
        </w:tc>
        <w:tc>
          <w:tcPr>
            <w:tcW w:w="0" w:type="auto"/>
            <w:gridSpan w:val="4"/>
            <w:vAlign w:val="center"/>
          </w:tcPr>
          <w:p w14:paraId="5BDDC0AF" w14:textId="77777777" w:rsidR="004F3ADE" w:rsidRPr="004F3ADE" w:rsidRDefault="004F3ADE" w:rsidP="004F3ADE">
            <w:pPr>
              <w:spacing w:after="0" w:line="240" w:lineRule="auto"/>
              <w:jc w:val="center"/>
              <w:rPr>
                <w:rFonts w:ascii="Times New Roman" w:eastAsia="Times New Roman" w:hAnsi="Times New Roman" w:cs="Times New Roman"/>
                <w:kern w:val="0"/>
                <w:sz w:val="18"/>
                <w:szCs w:val="18"/>
                <w:lang w:eastAsia="fr-FR" w:bidi="fr-FR"/>
                <w14:ligatures w14:val="none"/>
              </w:rPr>
            </w:pPr>
            <w:r w:rsidRPr="004F3ADE">
              <w:rPr>
                <w:rFonts w:ascii="Cambria" w:eastAsia="MS Gothic" w:hAnsi="Cambria" w:cs="Times New Roman"/>
                <w:i/>
                <w:kern w:val="0"/>
                <w:sz w:val="18"/>
                <w:szCs w:val="24"/>
                <w:lang w:eastAsia="fr-FR" w:bidi="fr-FR"/>
                <w14:ligatures w14:val="none"/>
              </w:rPr>
              <w:t>Nombre de navires</w:t>
            </w:r>
          </w:p>
        </w:tc>
        <w:tc>
          <w:tcPr>
            <w:tcW w:w="0" w:type="auto"/>
            <w:shd w:val="clear" w:color="auto" w:fill="D9D9D9"/>
            <w:vAlign w:val="center"/>
            <w:hideMark/>
          </w:tcPr>
          <w:p w14:paraId="6535E4A5" w14:textId="77777777" w:rsidR="004F3ADE" w:rsidRPr="004F3ADE" w:rsidRDefault="004F3ADE" w:rsidP="004F3ADE">
            <w:pPr>
              <w:spacing w:after="0" w:line="240" w:lineRule="auto"/>
              <w:jc w:val="center"/>
              <w:rPr>
                <w:rFonts w:ascii="Times New Roman" w:eastAsia="Times New Roman" w:hAnsi="Times New Roman" w:cs="Times New Roman"/>
                <w:kern w:val="0"/>
                <w:sz w:val="18"/>
                <w:szCs w:val="18"/>
                <w:lang w:val="en-US" w:eastAsia="ja-JP"/>
                <w14:ligatures w14:val="none"/>
              </w:rPr>
            </w:pPr>
          </w:p>
        </w:tc>
        <w:tc>
          <w:tcPr>
            <w:tcW w:w="0" w:type="auto"/>
            <w:gridSpan w:val="3"/>
          </w:tcPr>
          <w:p w14:paraId="5F917D6F" w14:textId="77777777" w:rsidR="004F3ADE" w:rsidRPr="004F3ADE" w:rsidRDefault="004F3ADE" w:rsidP="004F3ADE">
            <w:pPr>
              <w:spacing w:after="0" w:line="240" w:lineRule="auto"/>
              <w:jc w:val="center"/>
              <w:rPr>
                <w:rFonts w:ascii="Cambria" w:eastAsia="Times New Roman" w:hAnsi="Cambria" w:cs="Calibri"/>
                <w:i/>
                <w:iCs/>
                <w:kern w:val="0"/>
                <w:sz w:val="18"/>
                <w:szCs w:val="18"/>
                <w:lang w:eastAsia="fr-FR" w:bidi="fr-FR"/>
                <w14:ligatures w14:val="none"/>
              </w:rPr>
            </w:pPr>
            <w:r w:rsidRPr="004F3ADE">
              <w:rPr>
                <w:rFonts w:ascii="Cambria" w:eastAsia="MS Gothic" w:hAnsi="Cambria" w:cs="Times New Roman"/>
                <w:i/>
                <w:kern w:val="0"/>
                <w:sz w:val="18"/>
                <w:szCs w:val="24"/>
                <w:lang w:eastAsia="fr-FR" w:bidi="fr-FR"/>
                <w14:ligatures w14:val="none"/>
              </w:rPr>
              <w:t>Année de réf.</w:t>
            </w:r>
          </w:p>
        </w:tc>
        <w:tc>
          <w:tcPr>
            <w:tcW w:w="0" w:type="auto"/>
            <w:gridSpan w:val="4"/>
          </w:tcPr>
          <w:p w14:paraId="6B85EFF3" w14:textId="77777777" w:rsidR="004F3ADE" w:rsidRPr="004F3ADE" w:rsidRDefault="004F3ADE" w:rsidP="004F3ADE">
            <w:pPr>
              <w:spacing w:after="0" w:line="240" w:lineRule="auto"/>
              <w:jc w:val="center"/>
              <w:rPr>
                <w:rFonts w:ascii="Cambria" w:eastAsia="Times New Roman" w:hAnsi="Cambria" w:cs="Calibri"/>
                <w:i/>
                <w:iCs/>
                <w:kern w:val="0"/>
                <w:sz w:val="18"/>
                <w:szCs w:val="18"/>
                <w:lang w:eastAsia="fr-FR" w:bidi="fr-FR"/>
                <w14:ligatures w14:val="none"/>
              </w:rPr>
            </w:pPr>
            <w:r w:rsidRPr="004F3ADE">
              <w:rPr>
                <w:rFonts w:ascii="Cambria" w:eastAsia="MS Gothic" w:hAnsi="Cambria" w:cs="Times New Roman"/>
                <w:i/>
                <w:kern w:val="0"/>
                <w:sz w:val="18"/>
                <w:szCs w:val="24"/>
                <w:lang w:eastAsia="fr-FR" w:bidi="fr-FR"/>
                <w14:ligatures w14:val="none"/>
              </w:rPr>
              <w:t>Capacité de pêche</w:t>
            </w:r>
          </w:p>
        </w:tc>
      </w:tr>
      <w:tr w:rsidR="004F3ADE" w:rsidRPr="0088108C" w14:paraId="3303EFE5" w14:textId="77777777" w:rsidTr="004F3ADE">
        <w:trPr>
          <w:trHeight w:val="20"/>
        </w:trPr>
        <w:tc>
          <w:tcPr>
            <w:tcW w:w="0" w:type="auto"/>
            <w:tcBorders>
              <w:bottom w:val="single" w:sz="12" w:space="0" w:color="000000"/>
            </w:tcBorders>
            <w:noWrap/>
            <w:vAlign w:val="center"/>
            <w:hideMark/>
          </w:tcPr>
          <w:p w14:paraId="70170D41"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Type</w:t>
            </w:r>
          </w:p>
        </w:tc>
        <w:tc>
          <w:tcPr>
            <w:tcW w:w="0" w:type="auto"/>
            <w:tcBorders>
              <w:bottom w:val="single" w:sz="12" w:space="0" w:color="000000"/>
            </w:tcBorders>
            <w:vAlign w:val="center"/>
            <w:hideMark/>
          </w:tcPr>
          <w:p w14:paraId="3F64625C"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Meilleurs taux de capture définis par le SCRS en 2009 (t)</w:t>
            </w:r>
            <w:r w:rsidRPr="004F3ADE">
              <w:rPr>
                <w:rFonts w:ascii="Cambria" w:eastAsia="MS Gothic" w:hAnsi="Cambria" w:cs="Times New Roman"/>
                <w:kern w:val="0"/>
                <w:sz w:val="18"/>
                <w:szCs w:val="24"/>
                <w:vertAlign w:val="superscript"/>
                <w:lang w:eastAsia="fr-FR" w:bidi="fr-FR"/>
                <w14:ligatures w14:val="none"/>
              </w:rPr>
              <w:t>1</w:t>
            </w:r>
          </w:p>
        </w:tc>
        <w:tc>
          <w:tcPr>
            <w:tcW w:w="0" w:type="auto"/>
            <w:tcBorders>
              <w:bottom w:val="single" w:sz="12" w:space="0" w:color="000000"/>
            </w:tcBorders>
            <w:vAlign w:val="center"/>
          </w:tcPr>
          <w:p w14:paraId="091E450F"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2006</w:t>
            </w:r>
          </w:p>
        </w:tc>
        <w:tc>
          <w:tcPr>
            <w:tcW w:w="0" w:type="auto"/>
            <w:tcBorders>
              <w:bottom w:val="single" w:sz="12" w:space="0" w:color="000000"/>
            </w:tcBorders>
            <w:noWrap/>
            <w:vAlign w:val="center"/>
            <w:hideMark/>
          </w:tcPr>
          <w:p w14:paraId="694BF78F"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2008</w:t>
            </w:r>
          </w:p>
        </w:tc>
        <w:tc>
          <w:tcPr>
            <w:tcW w:w="0" w:type="auto"/>
            <w:tcBorders>
              <w:bottom w:val="single" w:sz="12" w:space="0" w:color="000000"/>
            </w:tcBorders>
            <w:vAlign w:val="center"/>
            <w:hideMark/>
          </w:tcPr>
          <w:p w14:paraId="2265221C"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2018</w:t>
            </w:r>
          </w:p>
        </w:tc>
        <w:tc>
          <w:tcPr>
            <w:tcW w:w="0" w:type="auto"/>
            <w:tcBorders>
              <w:bottom w:val="single" w:sz="12" w:space="0" w:color="000000"/>
            </w:tcBorders>
            <w:vAlign w:val="center"/>
            <w:hideMark/>
          </w:tcPr>
          <w:p w14:paraId="1CDA5B00"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2023</w:t>
            </w:r>
          </w:p>
        </w:tc>
        <w:tc>
          <w:tcPr>
            <w:tcW w:w="0" w:type="auto"/>
            <w:tcBorders>
              <w:bottom w:val="single" w:sz="12" w:space="0" w:color="000000"/>
            </w:tcBorders>
            <w:vAlign w:val="center"/>
            <w:hideMark/>
          </w:tcPr>
          <w:p w14:paraId="7FE1C5C5"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2024</w:t>
            </w:r>
          </w:p>
        </w:tc>
        <w:tc>
          <w:tcPr>
            <w:tcW w:w="0" w:type="auto"/>
            <w:tcBorders>
              <w:bottom w:val="single" w:sz="12" w:space="0" w:color="000000"/>
            </w:tcBorders>
            <w:vAlign w:val="center"/>
          </w:tcPr>
          <w:p w14:paraId="136D0E4E"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2025</w:t>
            </w:r>
          </w:p>
        </w:tc>
        <w:tc>
          <w:tcPr>
            <w:tcW w:w="0" w:type="auto"/>
            <w:tcBorders>
              <w:bottom w:val="single" w:sz="12" w:space="0" w:color="000000"/>
            </w:tcBorders>
            <w:vAlign w:val="center"/>
          </w:tcPr>
          <w:p w14:paraId="59CA8400"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2026</w:t>
            </w:r>
          </w:p>
        </w:tc>
        <w:tc>
          <w:tcPr>
            <w:tcW w:w="0" w:type="auto"/>
            <w:tcBorders>
              <w:bottom w:val="single" w:sz="12" w:space="0" w:color="000000"/>
            </w:tcBorders>
            <w:shd w:val="clear" w:color="000000" w:fill="D9D9D9"/>
            <w:vAlign w:val="center"/>
            <w:hideMark/>
          </w:tcPr>
          <w:p w14:paraId="4936E0A5" w14:textId="77777777" w:rsidR="004F3ADE" w:rsidRPr="004F3ADE" w:rsidRDefault="004F3ADE" w:rsidP="004F3ADE">
            <w:pPr>
              <w:spacing w:after="0" w:line="240" w:lineRule="auto"/>
              <w:jc w:val="center"/>
              <w:rPr>
                <w:rFonts w:ascii="Cambria" w:eastAsia="Times New Roman" w:hAnsi="Cambria" w:cs="Calibri"/>
                <w:kern w:val="0"/>
                <w:sz w:val="18"/>
                <w:szCs w:val="18"/>
                <w:lang w:val="en-US" w:eastAsia="ja-JP"/>
                <w14:ligatures w14:val="none"/>
              </w:rPr>
            </w:pPr>
          </w:p>
        </w:tc>
        <w:tc>
          <w:tcPr>
            <w:tcW w:w="0" w:type="auto"/>
            <w:tcBorders>
              <w:bottom w:val="single" w:sz="12" w:space="0" w:color="000000"/>
            </w:tcBorders>
            <w:vAlign w:val="center"/>
          </w:tcPr>
          <w:p w14:paraId="59550251"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2006</w:t>
            </w:r>
          </w:p>
        </w:tc>
        <w:tc>
          <w:tcPr>
            <w:tcW w:w="0" w:type="auto"/>
            <w:tcBorders>
              <w:bottom w:val="single" w:sz="12" w:space="0" w:color="000000"/>
            </w:tcBorders>
            <w:vAlign w:val="center"/>
            <w:hideMark/>
          </w:tcPr>
          <w:p w14:paraId="2D46B83E"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2008</w:t>
            </w:r>
          </w:p>
        </w:tc>
        <w:tc>
          <w:tcPr>
            <w:tcW w:w="0" w:type="auto"/>
            <w:tcBorders>
              <w:bottom w:val="single" w:sz="12" w:space="0" w:color="000000"/>
            </w:tcBorders>
            <w:vAlign w:val="center"/>
            <w:hideMark/>
          </w:tcPr>
          <w:p w14:paraId="0D16DBB2"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2018</w:t>
            </w:r>
          </w:p>
        </w:tc>
        <w:tc>
          <w:tcPr>
            <w:tcW w:w="0" w:type="auto"/>
            <w:tcBorders>
              <w:bottom w:val="single" w:sz="12" w:space="0" w:color="000000"/>
            </w:tcBorders>
            <w:vAlign w:val="center"/>
            <w:hideMark/>
          </w:tcPr>
          <w:p w14:paraId="40F705D8"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2023</w:t>
            </w:r>
          </w:p>
        </w:tc>
        <w:tc>
          <w:tcPr>
            <w:tcW w:w="0" w:type="auto"/>
            <w:tcBorders>
              <w:bottom w:val="single" w:sz="12" w:space="0" w:color="000000"/>
            </w:tcBorders>
            <w:vAlign w:val="center"/>
            <w:hideMark/>
          </w:tcPr>
          <w:p w14:paraId="5FA80290"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2024</w:t>
            </w:r>
          </w:p>
        </w:tc>
        <w:tc>
          <w:tcPr>
            <w:tcW w:w="0" w:type="auto"/>
            <w:tcBorders>
              <w:bottom w:val="single" w:sz="12" w:space="0" w:color="000000"/>
            </w:tcBorders>
            <w:vAlign w:val="center"/>
            <w:hideMark/>
          </w:tcPr>
          <w:p w14:paraId="4B773903"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2025</w:t>
            </w:r>
          </w:p>
        </w:tc>
        <w:tc>
          <w:tcPr>
            <w:tcW w:w="0" w:type="auto"/>
            <w:tcBorders>
              <w:bottom w:val="single" w:sz="12" w:space="0" w:color="000000"/>
            </w:tcBorders>
            <w:vAlign w:val="center"/>
          </w:tcPr>
          <w:p w14:paraId="37D2F4BE"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2026</w:t>
            </w:r>
          </w:p>
        </w:tc>
      </w:tr>
      <w:tr w:rsidR="004F3ADE" w:rsidRPr="0088108C" w14:paraId="2B8F8FAC" w14:textId="77777777" w:rsidTr="004F3ADE">
        <w:trPr>
          <w:trHeight w:val="20"/>
        </w:trPr>
        <w:tc>
          <w:tcPr>
            <w:tcW w:w="0" w:type="auto"/>
            <w:tcBorders>
              <w:top w:val="single" w:sz="12" w:space="0" w:color="000000"/>
              <w:left w:val="single" w:sz="12" w:space="0" w:color="000000"/>
            </w:tcBorders>
            <w:noWrap/>
            <w:vAlign w:val="center"/>
            <w:hideMark/>
          </w:tcPr>
          <w:p w14:paraId="3916F9FC"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Senneur de plus de 40 m</w:t>
            </w:r>
          </w:p>
        </w:tc>
        <w:tc>
          <w:tcPr>
            <w:tcW w:w="0" w:type="auto"/>
            <w:tcBorders>
              <w:top w:val="single" w:sz="12" w:space="0" w:color="000000"/>
            </w:tcBorders>
            <w:noWrap/>
            <w:vAlign w:val="center"/>
            <w:hideMark/>
          </w:tcPr>
          <w:p w14:paraId="41811190"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70,66</w:t>
            </w:r>
          </w:p>
        </w:tc>
        <w:tc>
          <w:tcPr>
            <w:tcW w:w="0" w:type="auto"/>
            <w:tcBorders>
              <w:top w:val="single" w:sz="12" w:space="0" w:color="000000"/>
            </w:tcBorders>
          </w:tcPr>
          <w:p w14:paraId="0F8B9310"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tcBorders>
              <w:top w:val="single" w:sz="12" w:space="0" w:color="000000"/>
            </w:tcBorders>
            <w:noWrap/>
            <w:vAlign w:val="center"/>
            <w:hideMark/>
          </w:tcPr>
          <w:p w14:paraId="789586CE"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1B617D4E"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0610E58B"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5142AE8E"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tcPr>
          <w:p w14:paraId="062F6C1C"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c>
          <w:tcPr>
            <w:tcW w:w="0" w:type="auto"/>
            <w:tcBorders>
              <w:top w:val="single" w:sz="12" w:space="0" w:color="000000"/>
            </w:tcBorders>
          </w:tcPr>
          <w:p w14:paraId="64531E93" w14:textId="77777777" w:rsidR="004F3ADE" w:rsidRPr="004F3ADE" w:rsidRDefault="004F3ADE" w:rsidP="004F3ADE">
            <w:pPr>
              <w:spacing w:after="0" w:line="240" w:lineRule="auto"/>
              <w:jc w:val="center"/>
              <w:rPr>
                <w:rFonts w:ascii="Cambria" w:eastAsia="Times New Roman" w:hAnsi="Cambria" w:cs="Calibri"/>
                <w:kern w:val="0"/>
                <w:sz w:val="18"/>
                <w:szCs w:val="18"/>
                <w:lang w:val="en-US" w:eastAsia="ja-JP"/>
                <w14:ligatures w14:val="none"/>
              </w:rPr>
            </w:pPr>
          </w:p>
        </w:tc>
        <w:tc>
          <w:tcPr>
            <w:tcW w:w="0" w:type="auto"/>
            <w:tcBorders>
              <w:top w:val="single" w:sz="12" w:space="0" w:color="000000"/>
            </w:tcBorders>
            <w:shd w:val="clear" w:color="000000" w:fill="D9D9D9"/>
            <w:vAlign w:val="center"/>
            <w:hideMark/>
          </w:tcPr>
          <w:p w14:paraId="63C8D447"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tcPr>
          <w:p w14:paraId="2A8490B2"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tcBorders>
              <w:top w:val="single" w:sz="12" w:space="0" w:color="000000"/>
            </w:tcBorders>
            <w:vAlign w:val="center"/>
            <w:hideMark/>
          </w:tcPr>
          <w:p w14:paraId="3AAFBB88"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02BA1319"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377B4C85"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10336B21"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1FA18F2E"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right w:val="single" w:sz="12" w:space="0" w:color="000000"/>
            </w:tcBorders>
          </w:tcPr>
          <w:p w14:paraId="13FEA869"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r>
      <w:tr w:rsidR="004F3ADE" w:rsidRPr="0088108C" w14:paraId="692748B2" w14:textId="77777777" w:rsidTr="004F3ADE">
        <w:trPr>
          <w:trHeight w:val="20"/>
        </w:trPr>
        <w:tc>
          <w:tcPr>
            <w:tcW w:w="0" w:type="auto"/>
            <w:tcBorders>
              <w:left w:val="single" w:sz="12" w:space="0" w:color="000000"/>
            </w:tcBorders>
            <w:noWrap/>
            <w:vAlign w:val="center"/>
            <w:hideMark/>
          </w:tcPr>
          <w:p w14:paraId="3D8796EC"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Senneur entre 24 et 40 m</w:t>
            </w:r>
          </w:p>
        </w:tc>
        <w:tc>
          <w:tcPr>
            <w:tcW w:w="0" w:type="auto"/>
            <w:noWrap/>
            <w:vAlign w:val="center"/>
            <w:hideMark/>
          </w:tcPr>
          <w:p w14:paraId="15B5A29F"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49,78</w:t>
            </w:r>
          </w:p>
        </w:tc>
        <w:tc>
          <w:tcPr>
            <w:tcW w:w="0" w:type="auto"/>
          </w:tcPr>
          <w:p w14:paraId="742C5ACA"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noWrap/>
            <w:vAlign w:val="center"/>
            <w:hideMark/>
          </w:tcPr>
          <w:p w14:paraId="64A3FDF4"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02525C2D"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2CA6D85B"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17C6E2C5"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Pr>
          <w:p w14:paraId="43F66387"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c>
          <w:tcPr>
            <w:tcW w:w="0" w:type="auto"/>
          </w:tcPr>
          <w:p w14:paraId="5E550237" w14:textId="77777777" w:rsidR="004F3ADE" w:rsidRPr="004F3ADE" w:rsidRDefault="004F3ADE" w:rsidP="004F3ADE">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7E42DF74"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Pr>
          <w:p w14:paraId="66835F6C"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vAlign w:val="center"/>
            <w:hideMark/>
          </w:tcPr>
          <w:p w14:paraId="58F09CDB"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21BE699B"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20E6364D"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3ABDFD64"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25AEC1DE"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right w:val="single" w:sz="12" w:space="0" w:color="000000"/>
            </w:tcBorders>
          </w:tcPr>
          <w:p w14:paraId="3C5021A3"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r>
      <w:tr w:rsidR="004F3ADE" w:rsidRPr="0088108C" w14:paraId="7565C17D" w14:textId="77777777" w:rsidTr="004F3ADE">
        <w:trPr>
          <w:trHeight w:val="20"/>
        </w:trPr>
        <w:tc>
          <w:tcPr>
            <w:tcW w:w="0" w:type="auto"/>
            <w:tcBorders>
              <w:left w:val="single" w:sz="12" w:space="0" w:color="000000"/>
            </w:tcBorders>
            <w:noWrap/>
            <w:vAlign w:val="center"/>
            <w:hideMark/>
          </w:tcPr>
          <w:p w14:paraId="231CD6BE" w14:textId="77777777" w:rsidR="004F3ADE" w:rsidRPr="004F3ADE" w:rsidRDefault="004F3ADE" w:rsidP="00B44D85">
            <w:pPr>
              <w:spacing w:after="0" w:line="240" w:lineRule="auto"/>
              <w:jc w:val="both"/>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Senneur de moins de 24 m</w:t>
            </w:r>
          </w:p>
        </w:tc>
        <w:tc>
          <w:tcPr>
            <w:tcW w:w="0" w:type="auto"/>
            <w:noWrap/>
            <w:vAlign w:val="center"/>
            <w:hideMark/>
          </w:tcPr>
          <w:p w14:paraId="2466F717"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33,68</w:t>
            </w:r>
          </w:p>
        </w:tc>
        <w:tc>
          <w:tcPr>
            <w:tcW w:w="0" w:type="auto"/>
          </w:tcPr>
          <w:p w14:paraId="1D21EC73"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noWrap/>
            <w:vAlign w:val="center"/>
            <w:hideMark/>
          </w:tcPr>
          <w:p w14:paraId="3978A902"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64F8722A"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2A409731"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0AF4F5CA"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Pr>
          <w:p w14:paraId="728608B1"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c>
          <w:tcPr>
            <w:tcW w:w="0" w:type="auto"/>
          </w:tcPr>
          <w:p w14:paraId="1B0864FD" w14:textId="77777777" w:rsidR="004F3ADE" w:rsidRPr="004F3ADE" w:rsidRDefault="004F3ADE" w:rsidP="004F3ADE">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2C170CF6"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Pr>
          <w:p w14:paraId="0B59050C"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vAlign w:val="center"/>
            <w:hideMark/>
          </w:tcPr>
          <w:p w14:paraId="7123625E"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75819526"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0743CD51"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4F284F4D"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587723A0"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right w:val="single" w:sz="12" w:space="0" w:color="000000"/>
            </w:tcBorders>
          </w:tcPr>
          <w:p w14:paraId="6D9E851E"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r>
      <w:tr w:rsidR="004F3ADE" w:rsidRPr="0088108C" w14:paraId="71EA205A" w14:textId="77777777" w:rsidTr="004F3ADE">
        <w:trPr>
          <w:trHeight w:val="20"/>
        </w:trPr>
        <w:tc>
          <w:tcPr>
            <w:tcW w:w="0" w:type="auto"/>
            <w:tcBorders>
              <w:left w:val="single" w:sz="12" w:space="0" w:color="000000"/>
            </w:tcBorders>
            <w:noWrap/>
            <w:vAlign w:val="center"/>
            <w:hideMark/>
          </w:tcPr>
          <w:p w14:paraId="5BBCC056" w14:textId="77777777" w:rsidR="004F3ADE" w:rsidRPr="004F3ADE" w:rsidRDefault="004F3ADE" w:rsidP="00B44D85">
            <w:pPr>
              <w:spacing w:after="0" w:line="240" w:lineRule="auto"/>
              <w:jc w:val="both"/>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xml:space="preserve">Flottille totale de senneurs </w:t>
            </w:r>
            <w:r w:rsidRPr="004F3ADE">
              <w:rPr>
                <w:rFonts w:ascii="Cambria" w:eastAsia="MS Gothic" w:hAnsi="Cambria" w:cs="Times New Roman"/>
                <w:b/>
                <w:kern w:val="0"/>
                <w:sz w:val="18"/>
                <w:szCs w:val="24"/>
                <w:vertAlign w:val="superscript"/>
                <w:lang w:eastAsia="fr-FR" w:bidi="fr-FR"/>
                <w14:ligatures w14:val="none"/>
              </w:rPr>
              <w:t>2</w:t>
            </w:r>
          </w:p>
        </w:tc>
        <w:tc>
          <w:tcPr>
            <w:tcW w:w="0" w:type="auto"/>
            <w:noWrap/>
            <w:vAlign w:val="center"/>
            <w:hideMark/>
          </w:tcPr>
          <w:p w14:paraId="732B7AAE" w14:textId="77777777" w:rsidR="004F3ADE" w:rsidRPr="004F3ADE" w:rsidRDefault="004F3ADE" w:rsidP="004F3ADE">
            <w:pPr>
              <w:spacing w:after="0" w:line="240" w:lineRule="auto"/>
              <w:rPr>
                <w:rFonts w:ascii="Times New Roman" w:eastAsia="Times New Roman" w:hAnsi="Times New Roman" w:cs="Times New Roman"/>
                <w:kern w:val="0"/>
                <w:sz w:val="18"/>
                <w:szCs w:val="18"/>
                <w:lang w:eastAsia="fr-FR" w:bidi="fr-FR"/>
                <w14:ligatures w14:val="none"/>
              </w:rPr>
            </w:pPr>
            <w:r w:rsidRPr="004F3ADE">
              <w:rPr>
                <w:rFonts w:ascii="Times New Roman" w:eastAsia="MS Gothic" w:hAnsi="Times New Roman" w:cs="Times New Roman"/>
                <w:kern w:val="0"/>
                <w:sz w:val="18"/>
                <w:szCs w:val="24"/>
                <w:lang w:eastAsia="fr-FR" w:bidi="fr-FR"/>
                <w14:ligatures w14:val="none"/>
              </w:rPr>
              <w:t> </w:t>
            </w:r>
          </w:p>
        </w:tc>
        <w:tc>
          <w:tcPr>
            <w:tcW w:w="0" w:type="auto"/>
          </w:tcPr>
          <w:p w14:paraId="660E6470"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hideMark/>
          </w:tcPr>
          <w:p w14:paraId="51300703"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3A89CE44"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53BAC7D1"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3F9070D9"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Pr>
          <w:p w14:paraId="2345F918"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c>
          <w:tcPr>
            <w:tcW w:w="0" w:type="auto"/>
          </w:tcPr>
          <w:p w14:paraId="4E71D367" w14:textId="77777777" w:rsidR="004F3ADE" w:rsidRPr="004F3ADE" w:rsidRDefault="004F3ADE" w:rsidP="004F3ADE">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7FC7ED68"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Pr>
          <w:p w14:paraId="33EBAA90"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vAlign w:val="center"/>
            <w:hideMark/>
          </w:tcPr>
          <w:p w14:paraId="72FB32D9"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29DA9530"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419A0AB5"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4D99AB67"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1B516C9B"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Borders>
              <w:right w:val="single" w:sz="12" w:space="0" w:color="000000"/>
            </w:tcBorders>
          </w:tcPr>
          <w:p w14:paraId="1DC03626"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r>
      <w:tr w:rsidR="004F3ADE" w:rsidRPr="0088108C" w14:paraId="5869460F" w14:textId="77777777" w:rsidTr="004F3ADE">
        <w:trPr>
          <w:trHeight w:val="20"/>
        </w:trPr>
        <w:tc>
          <w:tcPr>
            <w:tcW w:w="0" w:type="auto"/>
            <w:tcBorders>
              <w:left w:val="single" w:sz="12" w:space="0" w:color="000000"/>
            </w:tcBorders>
            <w:noWrap/>
            <w:vAlign w:val="center"/>
            <w:hideMark/>
          </w:tcPr>
          <w:p w14:paraId="3DE800A6" w14:textId="77777777" w:rsidR="004F3ADE" w:rsidRPr="004F3ADE" w:rsidRDefault="004F3ADE" w:rsidP="00B44D85">
            <w:pPr>
              <w:spacing w:after="0" w:line="240" w:lineRule="auto"/>
              <w:jc w:val="both"/>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Palangrier de plus de 40 m</w:t>
            </w:r>
          </w:p>
        </w:tc>
        <w:tc>
          <w:tcPr>
            <w:tcW w:w="0" w:type="auto"/>
            <w:noWrap/>
            <w:vAlign w:val="center"/>
            <w:hideMark/>
          </w:tcPr>
          <w:p w14:paraId="086DC623"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25</w:t>
            </w:r>
          </w:p>
        </w:tc>
        <w:tc>
          <w:tcPr>
            <w:tcW w:w="0" w:type="auto"/>
          </w:tcPr>
          <w:p w14:paraId="7656DA6B"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noWrap/>
            <w:vAlign w:val="center"/>
            <w:hideMark/>
          </w:tcPr>
          <w:p w14:paraId="7D06336D"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71EFE6D6"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1B77A4E4"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57FD9020"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Pr>
          <w:p w14:paraId="358EF889"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c>
          <w:tcPr>
            <w:tcW w:w="0" w:type="auto"/>
          </w:tcPr>
          <w:p w14:paraId="48E1829A" w14:textId="77777777" w:rsidR="004F3ADE" w:rsidRPr="004F3ADE" w:rsidRDefault="004F3ADE" w:rsidP="004F3ADE">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0E5C17D4"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Pr>
          <w:p w14:paraId="7E0AD73C"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vAlign w:val="center"/>
            <w:hideMark/>
          </w:tcPr>
          <w:p w14:paraId="00F013FC"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153B4F57"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1F5F7734"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2C6CC685"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6408961F"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right w:val="single" w:sz="12" w:space="0" w:color="000000"/>
            </w:tcBorders>
          </w:tcPr>
          <w:p w14:paraId="3874157E"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r>
      <w:tr w:rsidR="004F3ADE" w:rsidRPr="0088108C" w14:paraId="1280E2D7" w14:textId="77777777" w:rsidTr="004F3ADE">
        <w:trPr>
          <w:trHeight w:val="20"/>
        </w:trPr>
        <w:tc>
          <w:tcPr>
            <w:tcW w:w="0" w:type="auto"/>
            <w:tcBorders>
              <w:left w:val="single" w:sz="12" w:space="0" w:color="000000"/>
            </w:tcBorders>
            <w:noWrap/>
            <w:vAlign w:val="center"/>
            <w:hideMark/>
          </w:tcPr>
          <w:p w14:paraId="59B18BA2" w14:textId="77777777" w:rsidR="004F3ADE" w:rsidRPr="004F3ADE" w:rsidRDefault="004F3ADE" w:rsidP="00B44D85">
            <w:pPr>
              <w:spacing w:after="0" w:line="240" w:lineRule="auto"/>
              <w:jc w:val="both"/>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Palangrier entre 24 et 40 m</w:t>
            </w:r>
          </w:p>
        </w:tc>
        <w:tc>
          <w:tcPr>
            <w:tcW w:w="0" w:type="auto"/>
            <w:noWrap/>
            <w:vAlign w:val="center"/>
            <w:hideMark/>
          </w:tcPr>
          <w:p w14:paraId="0B46AC0F"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5,68</w:t>
            </w:r>
          </w:p>
        </w:tc>
        <w:tc>
          <w:tcPr>
            <w:tcW w:w="0" w:type="auto"/>
          </w:tcPr>
          <w:p w14:paraId="314365A3"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noWrap/>
            <w:vAlign w:val="center"/>
            <w:hideMark/>
          </w:tcPr>
          <w:p w14:paraId="019EDBCF"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46635383"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6B87B516"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503AF2E5"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Pr>
          <w:p w14:paraId="0085163C"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c>
          <w:tcPr>
            <w:tcW w:w="0" w:type="auto"/>
          </w:tcPr>
          <w:p w14:paraId="0CB2A383" w14:textId="77777777" w:rsidR="004F3ADE" w:rsidRPr="004F3ADE" w:rsidRDefault="004F3ADE" w:rsidP="004F3ADE">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3C379668"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Pr>
          <w:p w14:paraId="3B91F381"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vAlign w:val="center"/>
            <w:hideMark/>
          </w:tcPr>
          <w:p w14:paraId="6937643E"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0D0D8A33"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5B7B7AAD"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2B1E28DF"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3F12CDAD"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right w:val="single" w:sz="12" w:space="0" w:color="000000"/>
            </w:tcBorders>
          </w:tcPr>
          <w:p w14:paraId="4F693772"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r>
      <w:tr w:rsidR="004F3ADE" w:rsidRPr="0088108C" w14:paraId="19E4A7A6" w14:textId="77777777" w:rsidTr="004F3ADE">
        <w:trPr>
          <w:trHeight w:val="20"/>
        </w:trPr>
        <w:tc>
          <w:tcPr>
            <w:tcW w:w="0" w:type="auto"/>
            <w:tcBorders>
              <w:left w:val="single" w:sz="12" w:space="0" w:color="000000"/>
            </w:tcBorders>
            <w:noWrap/>
            <w:vAlign w:val="center"/>
            <w:hideMark/>
          </w:tcPr>
          <w:p w14:paraId="758AFE16" w14:textId="77777777" w:rsidR="004F3ADE" w:rsidRPr="004F3ADE" w:rsidRDefault="004F3ADE" w:rsidP="00B44D85">
            <w:pPr>
              <w:spacing w:after="0" w:line="240" w:lineRule="auto"/>
              <w:jc w:val="both"/>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Palangrier de moins de 24 m</w:t>
            </w:r>
          </w:p>
        </w:tc>
        <w:tc>
          <w:tcPr>
            <w:tcW w:w="0" w:type="auto"/>
            <w:noWrap/>
            <w:vAlign w:val="center"/>
            <w:hideMark/>
          </w:tcPr>
          <w:p w14:paraId="704283BB"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5</w:t>
            </w:r>
          </w:p>
        </w:tc>
        <w:tc>
          <w:tcPr>
            <w:tcW w:w="0" w:type="auto"/>
          </w:tcPr>
          <w:p w14:paraId="42C492F2"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noWrap/>
            <w:vAlign w:val="center"/>
            <w:hideMark/>
          </w:tcPr>
          <w:p w14:paraId="0A462B0E"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40EE6318"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145C739A"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39CB934B"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Pr>
          <w:p w14:paraId="51DE6E80"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c>
          <w:tcPr>
            <w:tcW w:w="0" w:type="auto"/>
          </w:tcPr>
          <w:p w14:paraId="5D41FE90" w14:textId="77777777" w:rsidR="004F3ADE" w:rsidRPr="004F3ADE" w:rsidRDefault="004F3ADE" w:rsidP="004F3ADE">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47CFC0E4"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Pr>
          <w:p w14:paraId="0827B7DC"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vAlign w:val="center"/>
            <w:hideMark/>
          </w:tcPr>
          <w:p w14:paraId="76C51BE8"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02CC7AD6"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7991186A"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4E628EF3"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3612D52C"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right w:val="single" w:sz="12" w:space="0" w:color="000000"/>
            </w:tcBorders>
          </w:tcPr>
          <w:p w14:paraId="0B88CB1C"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r>
      <w:tr w:rsidR="004F3ADE" w:rsidRPr="0088108C" w14:paraId="610DA5EB" w14:textId="77777777" w:rsidTr="004F3ADE">
        <w:trPr>
          <w:trHeight w:val="20"/>
        </w:trPr>
        <w:tc>
          <w:tcPr>
            <w:tcW w:w="0" w:type="auto"/>
            <w:tcBorders>
              <w:left w:val="single" w:sz="12" w:space="0" w:color="000000"/>
            </w:tcBorders>
            <w:noWrap/>
            <w:vAlign w:val="center"/>
            <w:hideMark/>
          </w:tcPr>
          <w:p w14:paraId="740040CD" w14:textId="77777777" w:rsidR="004F3ADE" w:rsidRPr="004F3ADE" w:rsidRDefault="004F3ADE" w:rsidP="00B44D85">
            <w:pPr>
              <w:spacing w:after="0" w:line="240" w:lineRule="auto"/>
              <w:jc w:val="both"/>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Flottille totale de palangriers</w:t>
            </w:r>
          </w:p>
        </w:tc>
        <w:tc>
          <w:tcPr>
            <w:tcW w:w="0" w:type="auto"/>
            <w:noWrap/>
            <w:vAlign w:val="center"/>
            <w:hideMark/>
          </w:tcPr>
          <w:p w14:paraId="48C2ECD6" w14:textId="77777777" w:rsidR="004F3ADE" w:rsidRPr="004F3ADE" w:rsidRDefault="004F3ADE" w:rsidP="004F3ADE">
            <w:pPr>
              <w:spacing w:after="0" w:line="240" w:lineRule="auto"/>
              <w:rPr>
                <w:rFonts w:ascii="Times New Roman" w:eastAsia="Times New Roman" w:hAnsi="Times New Roman" w:cs="Times New Roman"/>
                <w:kern w:val="0"/>
                <w:sz w:val="18"/>
                <w:szCs w:val="18"/>
                <w:lang w:eastAsia="fr-FR" w:bidi="fr-FR"/>
                <w14:ligatures w14:val="none"/>
              </w:rPr>
            </w:pPr>
            <w:r w:rsidRPr="004F3ADE">
              <w:rPr>
                <w:rFonts w:ascii="Times New Roman" w:eastAsia="MS Gothic" w:hAnsi="Times New Roman" w:cs="Times New Roman"/>
                <w:kern w:val="0"/>
                <w:sz w:val="18"/>
                <w:szCs w:val="24"/>
                <w:lang w:eastAsia="fr-FR" w:bidi="fr-FR"/>
                <w14:ligatures w14:val="none"/>
              </w:rPr>
              <w:t> </w:t>
            </w:r>
          </w:p>
        </w:tc>
        <w:tc>
          <w:tcPr>
            <w:tcW w:w="0" w:type="auto"/>
          </w:tcPr>
          <w:p w14:paraId="7904AB06"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hideMark/>
          </w:tcPr>
          <w:p w14:paraId="43220ADA"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0C0728D6"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09B652D7"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3294C551"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Pr>
          <w:p w14:paraId="10628BA5"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c>
          <w:tcPr>
            <w:tcW w:w="0" w:type="auto"/>
          </w:tcPr>
          <w:p w14:paraId="2F93FCE7" w14:textId="77777777" w:rsidR="004F3ADE" w:rsidRPr="004F3ADE" w:rsidRDefault="004F3ADE" w:rsidP="004F3ADE">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5B59FA17"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Pr>
          <w:p w14:paraId="25DC2BD5"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vAlign w:val="center"/>
            <w:hideMark/>
          </w:tcPr>
          <w:p w14:paraId="0A8A5E4D"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7950743B"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1E87E77C"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5EC830D3"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4105F202"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Borders>
              <w:right w:val="single" w:sz="12" w:space="0" w:color="000000"/>
            </w:tcBorders>
          </w:tcPr>
          <w:p w14:paraId="1C220B06"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r>
      <w:tr w:rsidR="004F3ADE" w:rsidRPr="0088108C" w14:paraId="20F0D839" w14:textId="77777777" w:rsidTr="004F3ADE">
        <w:trPr>
          <w:trHeight w:val="20"/>
        </w:trPr>
        <w:tc>
          <w:tcPr>
            <w:tcW w:w="0" w:type="auto"/>
            <w:tcBorders>
              <w:left w:val="single" w:sz="12" w:space="0" w:color="000000"/>
            </w:tcBorders>
            <w:noWrap/>
            <w:vAlign w:val="center"/>
            <w:hideMark/>
          </w:tcPr>
          <w:p w14:paraId="63A2FFD0" w14:textId="77777777" w:rsidR="004F3ADE" w:rsidRPr="004F3ADE" w:rsidRDefault="004F3ADE" w:rsidP="00B44D85">
            <w:pPr>
              <w:spacing w:after="0" w:line="240" w:lineRule="auto"/>
              <w:jc w:val="both"/>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xml:space="preserve">Canneur </w:t>
            </w:r>
            <w:r w:rsidRPr="004F3ADE">
              <w:rPr>
                <w:rFonts w:ascii="Cambria" w:eastAsia="MS Gothic" w:hAnsi="Cambria" w:cs="Times New Roman"/>
                <w:kern w:val="0"/>
                <w:sz w:val="18"/>
                <w:szCs w:val="24"/>
                <w:vertAlign w:val="superscript"/>
                <w:lang w:eastAsia="fr-FR" w:bidi="fr-FR"/>
                <w14:ligatures w14:val="none"/>
              </w:rPr>
              <w:t>3</w:t>
            </w:r>
          </w:p>
        </w:tc>
        <w:tc>
          <w:tcPr>
            <w:tcW w:w="0" w:type="auto"/>
            <w:noWrap/>
            <w:vAlign w:val="center"/>
            <w:hideMark/>
          </w:tcPr>
          <w:p w14:paraId="7F3CA76D"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19,75</w:t>
            </w:r>
          </w:p>
        </w:tc>
        <w:tc>
          <w:tcPr>
            <w:tcW w:w="0" w:type="auto"/>
          </w:tcPr>
          <w:p w14:paraId="54EFEAC5"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hideMark/>
          </w:tcPr>
          <w:p w14:paraId="130E703F"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2BF4CAD9"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6916B5E1"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274C6AC8"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Pr>
          <w:p w14:paraId="39A93FAA"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c>
          <w:tcPr>
            <w:tcW w:w="0" w:type="auto"/>
          </w:tcPr>
          <w:p w14:paraId="2CFC41C3" w14:textId="77777777" w:rsidR="004F3ADE" w:rsidRPr="004F3ADE" w:rsidRDefault="004F3ADE" w:rsidP="004F3ADE">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6473A9FB"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Pr>
          <w:p w14:paraId="444D01B6"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vAlign w:val="center"/>
            <w:hideMark/>
          </w:tcPr>
          <w:p w14:paraId="594782CD"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2771CA97"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5375CDB5"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69618433"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5D19847F"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Borders>
              <w:right w:val="single" w:sz="12" w:space="0" w:color="000000"/>
            </w:tcBorders>
          </w:tcPr>
          <w:p w14:paraId="36FCF286"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r>
      <w:tr w:rsidR="004F3ADE" w:rsidRPr="0088108C" w14:paraId="7539BB1A" w14:textId="77777777" w:rsidTr="004F3ADE">
        <w:trPr>
          <w:trHeight w:val="20"/>
        </w:trPr>
        <w:tc>
          <w:tcPr>
            <w:tcW w:w="0" w:type="auto"/>
            <w:tcBorders>
              <w:left w:val="single" w:sz="12" w:space="0" w:color="000000"/>
            </w:tcBorders>
            <w:noWrap/>
            <w:vAlign w:val="center"/>
            <w:hideMark/>
          </w:tcPr>
          <w:p w14:paraId="52A3B881" w14:textId="77777777" w:rsidR="004F3ADE" w:rsidRPr="004F3ADE" w:rsidRDefault="004F3ADE" w:rsidP="00B44D85">
            <w:pPr>
              <w:spacing w:after="0" w:line="240" w:lineRule="auto"/>
              <w:jc w:val="both"/>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Ligne à main</w:t>
            </w:r>
          </w:p>
        </w:tc>
        <w:tc>
          <w:tcPr>
            <w:tcW w:w="0" w:type="auto"/>
            <w:noWrap/>
            <w:vAlign w:val="center"/>
            <w:hideMark/>
          </w:tcPr>
          <w:p w14:paraId="6DEA16BC"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5</w:t>
            </w:r>
          </w:p>
        </w:tc>
        <w:tc>
          <w:tcPr>
            <w:tcW w:w="0" w:type="auto"/>
          </w:tcPr>
          <w:p w14:paraId="48771D63"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noWrap/>
            <w:vAlign w:val="center"/>
            <w:hideMark/>
          </w:tcPr>
          <w:p w14:paraId="1CAF38CE"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09230883"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200A3C9E"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43C447A0"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Pr>
          <w:p w14:paraId="5BFC90E0"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c>
          <w:tcPr>
            <w:tcW w:w="0" w:type="auto"/>
          </w:tcPr>
          <w:p w14:paraId="034ED3B8" w14:textId="77777777" w:rsidR="004F3ADE" w:rsidRPr="004F3ADE" w:rsidRDefault="004F3ADE" w:rsidP="004F3ADE">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021CF45E"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Pr>
          <w:p w14:paraId="2BD7684F"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vAlign w:val="center"/>
            <w:hideMark/>
          </w:tcPr>
          <w:p w14:paraId="01C964FB"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2633AB8E"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27492D2C"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3D56BF82"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43FDC5DA"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right w:val="single" w:sz="12" w:space="0" w:color="000000"/>
            </w:tcBorders>
          </w:tcPr>
          <w:p w14:paraId="799C1E0C"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r>
      <w:tr w:rsidR="004F3ADE" w:rsidRPr="0088108C" w14:paraId="4DE7781A" w14:textId="77777777" w:rsidTr="004F3ADE">
        <w:trPr>
          <w:trHeight w:val="20"/>
        </w:trPr>
        <w:tc>
          <w:tcPr>
            <w:tcW w:w="0" w:type="auto"/>
            <w:tcBorders>
              <w:left w:val="single" w:sz="12" w:space="0" w:color="000000"/>
            </w:tcBorders>
            <w:noWrap/>
            <w:vAlign w:val="center"/>
            <w:hideMark/>
          </w:tcPr>
          <w:p w14:paraId="42CBC151" w14:textId="77777777" w:rsidR="004F3ADE" w:rsidRPr="004F3ADE" w:rsidRDefault="004F3ADE" w:rsidP="00B44D85">
            <w:pPr>
              <w:spacing w:after="0" w:line="240" w:lineRule="auto"/>
              <w:jc w:val="both"/>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Chalutier</w:t>
            </w:r>
          </w:p>
        </w:tc>
        <w:tc>
          <w:tcPr>
            <w:tcW w:w="0" w:type="auto"/>
            <w:noWrap/>
            <w:vAlign w:val="center"/>
            <w:hideMark/>
          </w:tcPr>
          <w:p w14:paraId="1DC4176C"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10</w:t>
            </w:r>
          </w:p>
        </w:tc>
        <w:tc>
          <w:tcPr>
            <w:tcW w:w="0" w:type="auto"/>
          </w:tcPr>
          <w:p w14:paraId="06C3394B"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noWrap/>
            <w:vAlign w:val="center"/>
            <w:hideMark/>
          </w:tcPr>
          <w:p w14:paraId="0A79A86C"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783EF738"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229F2432"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4E3C4796"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Pr>
          <w:p w14:paraId="799332E2"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c>
          <w:tcPr>
            <w:tcW w:w="0" w:type="auto"/>
          </w:tcPr>
          <w:p w14:paraId="1F140FCD" w14:textId="77777777" w:rsidR="004F3ADE" w:rsidRPr="004F3ADE" w:rsidRDefault="004F3ADE" w:rsidP="004F3ADE">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5FAEDD26"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Pr>
          <w:p w14:paraId="5266E50D"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vAlign w:val="center"/>
            <w:hideMark/>
          </w:tcPr>
          <w:p w14:paraId="506E134A"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29E6E97B"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1A97E73B"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508E8A37"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vAlign w:val="center"/>
            <w:hideMark/>
          </w:tcPr>
          <w:p w14:paraId="07593A46"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right w:val="single" w:sz="12" w:space="0" w:color="000000"/>
            </w:tcBorders>
          </w:tcPr>
          <w:p w14:paraId="051D3E30"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r>
      <w:tr w:rsidR="004F3ADE" w:rsidRPr="0088108C" w14:paraId="2B55BE21" w14:textId="77777777" w:rsidTr="004F3ADE">
        <w:trPr>
          <w:trHeight w:val="20"/>
        </w:trPr>
        <w:tc>
          <w:tcPr>
            <w:tcW w:w="0" w:type="auto"/>
            <w:tcBorders>
              <w:left w:val="single" w:sz="12" w:space="0" w:color="000000"/>
            </w:tcBorders>
            <w:noWrap/>
            <w:vAlign w:val="center"/>
            <w:hideMark/>
          </w:tcPr>
          <w:p w14:paraId="43F74DEB" w14:textId="77777777" w:rsidR="004F3ADE" w:rsidRPr="004F3ADE" w:rsidRDefault="004F3ADE" w:rsidP="00B44D85">
            <w:pPr>
              <w:spacing w:after="0" w:line="240" w:lineRule="auto"/>
              <w:jc w:val="both"/>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Madrague</w:t>
            </w:r>
          </w:p>
        </w:tc>
        <w:tc>
          <w:tcPr>
            <w:tcW w:w="0" w:type="auto"/>
            <w:noWrap/>
            <w:vAlign w:val="center"/>
            <w:hideMark/>
          </w:tcPr>
          <w:p w14:paraId="01750D5C"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130</w:t>
            </w:r>
          </w:p>
        </w:tc>
        <w:tc>
          <w:tcPr>
            <w:tcW w:w="0" w:type="auto"/>
          </w:tcPr>
          <w:p w14:paraId="028E45DD"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hideMark/>
          </w:tcPr>
          <w:p w14:paraId="271ACEAF"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4A77D2AB"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71D9D96D"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4D7710F3"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Pr>
          <w:p w14:paraId="6BD218E9"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c>
          <w:tcPr>
            <w:tcW w:w="0" w:type="auto"/>
          </w:tcPr>
          <w:p w14:paraId="76128C4A" w14:textId="77777777" w:rsidR="004F3ADE" w:rsidRPr="004F3ADE" w:rsidRDefault="004F3ADE" w:rsidP="004F3ADE">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409CF795"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Pr>
          <w:p w14:paraId="60D2DCFA"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vAlign w:val="center"/>
            <w:hideMark/>
          </w:tcPr>
          <w:p w14:paraId="14745876"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4E726116"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15036801"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3EB9AE21"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7459F191"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Borders>
              <w:right w:val="single" w:sz="12" w:space="0" w:color="000000"/>
            </w:tcBorders>
          </w:tcPr>
          <w:p w14:paraId="39952FC0"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r>
      <w:tr w:rsidR="004F3ADE" w:rsidRPr="0088108C" w14:paraId="555B4E9C" w14:textId="77777777" w:rsidTr="004F3ADE">
        <w:trPr>
          <w:trHeight w:val="20"/>
        </w:trPr>
        <w:tc>
          <w:tcPr>
            <w:tcW w:w="0" w:type="auto"/>
            <w:tcBorders>
              <w:left w:val="single" w:sz="12" w:space="0" w:color="000000"/>
            </w:tcBorders>
            <w:vAlign w:val="center"/>
            <w:hideMark/>
          </w:tcPr>
          <w:p w14:paraId="136BC89D" w14:textId="77777777" w:rsidR="004F3ADE" w:rsidRPr="004F3ADE" w:rsidRDefault="004F3ADE" w:rsidP="00B44D85">
            <w:pPr>
              <w:spacing w:after="0" w:line="240" w:lineRule="auto"/>
              <w:jc w:val="both"/>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xml:space="preserve">Petits navires côtiers </w:t>
            </w:r>
            <w:r w:rsidRPr="004F3ADE">
              <w:rPr>
                <w:rFonts w:ascii="Cambria" w:eastAsia="MS Gothic" w:hAnsi="Cambria" w:cs="Times New Roman"/>
                <w:kern w:val="0"/>
                <w:sz w:val="18"/>
                <w:szCs w:val="24"/>
                <w:vertAlign w:val="superscript"/>
                <w:lang w:eastAsia="fr-FR" w:bidi="fr-FR"/>
                <w14:ligatures w14:val="none"/>
              </w:rPr>
              <w:t>4</w:t>
            </w:r>
          </w:p>
        </w:tc>
        <w:tc>
          <w:tcPr>
            <w:tcW w:w="0" w:type="auto"/>
            <w:noWrap/>
            <w:vAlign w:val="center"/>
            <w:hideMark/>
          </w:tcPr>
          <w:p w14:paraId="28FBF399"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N/A</w:t>
            </w:r>
          </w:p>
        </w:tc>
        <w:tc>
          <w:tcPr>
            <w:tcW w:w="0" w:type="auto"/>
          </w:tcPr>
          <w:p w14:paraId="64BCEFC6"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hideMark/>
          </w:tcPr>
          <w:p w14:paraId="3F476BCD"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31FF6E64"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2F3AC0C8"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7C0272F2"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Pr>
          <w:p w14:paraId="0500BA42"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c>
          <w:tcPr>
            <w:tcW w:w="0" w:type="auto"/>
          </w:tcPr>
          <w:p w14:paraId="07F631B3" w14:textId="77777777" w:rsidR="004F3ADE" w:rsidRPr="004F3ADE" w:rsidRDefault="004F3ADE" w:rsidP="004F3ADE">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0ADD4A97"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Pr>
          <w:p w14:paraId="66833CEC"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vAlign w:val="center"/>
            <w:hideMark/>
          </w:tcPr>
          <w:p w14:paraId="53C5212B"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4C965CFD"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3F7A451B"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50B9E590"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06A8AD77"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Borders>
              <w:right w:val="single" w:sz="12" w:space="0" w:color="000000"/>
            </w:tcBorders>
          </w:tcPr>
          <w:p w14:paraId="10137424"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r>
      <w:tr w:rsidR="004F3ADE" w:rsidRPr="0088108C" w14:paraId="030F7F57" w14:textId="77777777" w:rsidTr="004F3ADE">
        <w:trPr>
          <w:trHeight w:val="20"/>
        </w:trPr>
        <w:tc>
          <w:tcPr>
            <w:tcW w:w="0" w:type="auto"/>
            <w:tcBorders>
              <w:left w:val="single" w:sz="12" w:space="0" w:color="000000"/>
            </w:tcBorders>
            <w:vAlign w:val="center"/>
            <w:hideMark/>
          </w:tcPr>
          <w:p w14:paraId="2AE3A618" w14:textId="77777777" w:rsidR="004F3ADE" w:rsidRPr="004F3ADE" w:rsidRDefault="004F3ADE" w:rsidP="00B44D85">
            <w:pPr>
              <w:spacing w:after="0" w:line="240" w:lineRule="auto"/>
              <w:jc w:val="both"/>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Autre (à préciser)</w:t>
            </w:r>
          </w:p>
        </w:tc>
        <w:tc>
          <w:tcPr>
            <w:tcW w:w="0" w:type="auto"/>
            <w:noWrap/>
            <w:vAlign w:val="center"/>
            <w:hideMark/>
          </w:tcPr>
          <w:p w14:paraId="7A679E03" w14:textId="77777777" w:rsidR="004F3ADE" w:rsidRPr="004F3ADE" w:rsidRDefault="004F3ADE" w:rsidP="004F3ADE">
            <w:pPr>
              <w:spacing w:after="0" w:line="240" w:lineRule="auto"/>
              <w:jc w:val="center"/>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5</w:t>
            </w:r>
          </w:p>
        </w:tc>
        <w:tc>
          <w:tcPr>
            <w:tcW w:w="0" w:type="auto"/>
          </w:tcPr>
          <w:p w14:paraId="7425DB3D"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hideMark/>
          </w:tcPr>
          <w:p w14:paraId="6B58A0A1"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421728DD"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0D87812D"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22735B7D"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Pr>
          <w:p w14:paraId="3E899078"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c>
          <w:tcPr>
            <w:tcW w:w="0" w:type="auto"/>
          </w:tcPr>
          <w:p w14:paraId="3E781F10" w14:textId="77777777" w:rsidR="004F3ADE" w:rsidRPr="004F3ADE" w:rsidRDefault="004F3ADE" w:rsidP="004F3ADE">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214C8FFE"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Pr>
          <w:p w14:paraId="113CBB53"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vAlign w:val="center"/>
            <w:hideMark/>
          </w:tcPr>
          <w:p w14:paraId="61EB0D88"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117304F5"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0491E9B9"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6CC012F4"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vAlign w:val="center"/>
            <w:hideMark/>
          </w:tcPr>
          <w:p w14:paraId="1FA4160D"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Borders>
              <w:right w:val="single" w:sz="12" w:space="0" w:color="000000"/>
            </w:tcBorders>
          </w:tcPr>
          <w:p w14:paraId="74EEAA7D"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r>
      <w:tr w:rsidR="004F3ADE" w:rsidRPr="0088108C" w14:paraId="2ED6D828" w14:textId="77777777" w:rsidTr="004F3ADE">
        <w:trPr>
          <w:trHeight w:val="20"/>
        </w:trPr>
        <w:tc>
          <w:tcPr>
            <w:tcW w:w="0" w:type="auto"/>
            <w:tcBorders>
              <w:left w:val="single" w:sz="12" w:space="0" w:color="000000"/>
              <w:bottom w:val="single" w:sz="12" w:space="0" w:color="000000"/>
            </w:tcBorders>
            <w:noWrap/>
            <w:vAlign w:val="center"/>
            <w:hideMark/>
          </w:tcPr>
          <w:p w14:paraId="0494DEE3" w14:textId="77777777" w:rsidR="004F3ADE" w:rsidRPr="004F3ADE" w:rsidRDefault="004F3ADE" w:rsidP="00B44D85">
            <w:pPr>
              <w:spacing w:after="0" w:line="240" w:lineRule="auto"/>
              <w:jc w:val="both"/>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Capacité totale de la flottille/de pêche*</w:t>
            </w:r>
          </w:p>
        </w:tc>
        <w:tc>
          <w:tcPr>
            <w:tcW w:w="0" w:type="auto"/>
            <w:tcBorders>
              <w:bottom w:val="single" w:sz="12" w:space="0" w:color="000000"/>
            </w:tcBorders>
            <w:noWrap/>
            <w:vAlign w:val="center"/>
            <w:hideMark/>
          </w:tcPr>
          <w:p w14:paraId="5E37595F" w14:textId="77777777" w:rsidR="004F3ADE" w:rsidRPr="004F3ADE" w:rsidRDefault="004F3ADE" w:rsidP="004F3ADE">
            <w:pPr>
              <w:spacing w:after="0" w:line="240" w:lineRule="auto"/>
              <w:jc w:val="right"/>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bottom w:val="single" w:sz="12" w:space="0" w:color="000000"/>
            </w:tcBorders>
          </w:tcPr>
          <w:p w14:paraId="0C6C771C"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tcBorders>
              <w:bottom w:val="single" w:sz="12" w:space="0" w:color="000000"/>
            </w:tcBorders>
            <w:noWrap/>
            <w:vAlign w:val="center"/>
            <w:hideMark/>
          </w:tcPr>
          <w:p w14:paraId="38221D0D"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Borders>
              <w:bottom w:val="single" w:sz="12" w:space="0" w:color="000000"/>
            </w:tcBorders>
            <w:vAlign w:val="center"/>
            <w:hideMark/>
          </w:tcPr>
          <w:p w14:paraId="0FC15830"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Borders>
              <w:bottom w:val="single" w:sz="12" w:space="0" w:color="000000"/>
            </w:tcBorders>
            <w:vAlign w:val="center"/>
            <w:hideMark/>
          </w:tcPr>
          <w:p w14:paraId="0760E276"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Borders>
              <w:bottom w:val="single" w:sz="12" w:space="0" w:color="000000"/>
            </w:tcBorders>
            <w:vAlign w:val="center"/>
            <w:hideMark/>
          </w:tcPr>
          <w:p w14:paraId="2ADC851C"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Borders>
              <w:bottom w:val="single" w:sz="12" w:space="0" w:color="000000"/>
            </w:tcBorders>
          </w:tcPr>
          <w:p w14:paraId="68EB5E82"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tcBorders>
              <w:bottom w:val="single" w:sz="12" w:space="0" w:color="000000"/>
            </w:tcBorders>
          </w:tcPr>
          <w:p w14:paraId="28958B2D" w14:textId="77777777" w:rsidR="004F3ADE" w:rsidRPr="004F3ADE" w:rsidRDefault="004F3ADE" w:rsidP="004F3ADE">
            <w:pPr>
              <w:spacing w:after="0" w:line="240" w:lineRule="auto"/>
              <w:jc w:val="center"/>
              <w:rPr>
                <w:rFonts w:ascii="Cambria" w:eastAsia="Times New Roman" w:hAnsi="Cambria" w:cs="Calibri"/>
                <w:kern w:val="0"/>
                <w:sz w:val="18"/>
                <w:szCs w:val="18"/>
                <w:lang w:eastAsia="ja-JP"/>
                <w14:ligatures w14:val="none"/>
              </w:rPr>
            </w:pPr>
          </w:p>
        </w:tc>
        <w:tc>
          <w:tcPr>
            <w:tcW w:w="0" w:type="auto"/>
            <w:tcBorders>
              <w:bottom w:val="single" w:sz="12" w:space="0" w:color="000000"/>
            </w:tcBorders>
            <w:shd w:val="clear" w:color="000000" w:fill="D9D9D9"/>
            <w:vAlign w:val="center"/>
            <w:hideMark/>
          </w:tcPr>
          <w:p w14:paraId="0C09110C"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Borders>
              <w:bottom w:val="single" w:sz="12" w:space="0" w:color="000000"/>
            </w:tcBorders>
          </w:tcPr>
          <w:p w14:paraId="52DFA8B7"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tcBorders>
              <w:bottom w:val="single" w:sz="12" w:space="0" w:color="000000"/>
            </w:tcBorders>
            <w:vAlign w:val="center"/>
            <w:hideMark/>
          </w:tcPr>
          <w:p w14:paraId="69584686"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Borders>
              <w:bottom w:val="single" w:sz="12" w:space="0" w:color="000000"/>
            </w:tcBorders>
            <w:vAlign w:val="center"/>
            <w:hideMark/>
          </w:tcPr>
          <w:p w14:paraId="7A967EE8"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Borders>
              <w:bottom w:val="single" w:sz="12" w:space="0" w:color="000000"/>
            </w:tcBorders>
            <w:noWrap/>
            <w:vAlign w:val="center"/>
            <w:hideMark/>
          </w:tcPr>
          <w:p w14:paraId="7A8F90A0"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Borders>
              <w:bottom w:val="single" w:sz="12" w:space="0" w:color="000000"/>
            </w:tcBorders>
            <w:noWrap/>
            <w:vAlign w:val="center"/>
            <w:hideMark/>
          </w:tcPr>
          <w:p w14:paraId="70AC3E30"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Borders>
              <w:bottom w:val="single" w:sz="12" w:space="0" w:color="000000"/>
            </w:tcBorders>
            <w:noWrap/>
            <w:vAlign w:val="center"/>
            <w:hideMark/>
          </w:tcPr>
          <w:p w14:paraId="1ADA9F37"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w:t>
            </w:r>
          </w:p>
        </w:tc>
        <w:tc>
          <w:tcPr>
            <w:tcW w:w="0" w:type="auto"/>
            <w:tcBorders>
              <w:bottom w:val="single" w:sz="12" w:space="0" w:color="000000"/>
              <w:right w:val="single" w:sz="12" w:space="0" w:color="000000"/>
            </w:tcBorders>
          </w:tcPr>
          <w:p w14:paraId="501ACA7C"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r>
      <w:tr w:rsidR="004F3ADE" w:rsidRPr="0088108C" w14:paraId="7563F27C" w14:textId="77777777" w:rsidTr="004F3ADE">
        <w:trPr>
          <w:trHeight w:val="20"/>
        </w:trPr>
        <w:tc>
          <w:tcPr>
            <w:tcW w:w="0" w:type="auto"/>
            <w:tcBorders>
              <w:top w:val="single" w:sz="12" w:space="0" w:color="000000"/>
              <w:left w:val="single" w:sz="12" w:space="0" w:color="000000"/>
            </w:tcBorders>
            <w:shd w:val="clear" w:color="auto" w:fill="D9D9D9"/>
            <w:noWrap/>
            <w:vAlign w:val="center"/>
            <w:hideMark/>
          </w:tcPr>
          <w:p w14:paraId="032F3999" w14:textId="77777777" w:rsidR="004F3ADE" w:rsidRPr="004F3ADE" w:rsidRDefault="004F3ADE" w:rsidP="00B44D85">
            <w:pPr>
              <w:spacing w:after="0" w:line="240" w:lineRule="auto"/>
              <w:jc w:val="both"/>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xml:space="preserve">Quota initial </w:t>
            </w:r>
            <w:r w:rsidRPr="004F3ADE">
              <w:rPr>
                <w:rFonts w:ascii="Cambria" w:eastAsia="MS Gothic" w:hAnsi="Cambria" w:cs="Times New Roman"/>
                <w:b/>
                <w:kern w:val="0"/>
                <w:sz w:val="18"/>
                <w:szCs w:val="24"/>
                <w:vertAlign w:val="superscript"/>
                <w:lang w:eastAsia="fr-FR" w:bidi="fr-FR"/>
                <w14:ligatures w14:val="none"/>
              </w:rPr>
              <w:t>5 *</w:t>
            </w:r>
          </w:p>
        </w:tc>
        <w:tc>
          <w:tcPr>
            <w:tcW w:w="0" w:type="auto"/>
            <w:tcBorders>
              <w:top w:val="single" w:sz="12" w:space="0" w:color="000000"/>
            </w:tcBorders>
            <w:shd w:val="clear" w:color="auto" w:fill="D9D9D9"/>
            <w:noWrap/>
            <w:vAlign w:val="center"/>
            <w:hideMark/>
          </w:tcPr>
          <w:p w14:paraId="45C14580" w14:textId="77777777" w:rsidR="004F3ADE" w:rsidRPr="004F3ADE" w:rsidRDefault="004F3ADE" w:rsidP="004F3ADE">
            <w:pPr>
              <w:spacing w:after="0" w:line="240" w:lineRule="auto"/>
              <w:jc w:val="right"/>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shd w:val="clear" w:color="auto" w:fill="D9D9D9"/>
          </w:tcPr>
          <w:p w14:paraId="22940BB5"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tcBorders>
              <w:top w:val="single" w:sz="12" w:space="0" w:color="000000"/>
            </w:tcBorders>
            <w:shd w:val="clear" w:color="auto" w:fill="D9D9D9"/>
            <w:noWrap/>
            <w:vAlign w:val="center"/>
            <w:hideMark/>
          </w:tcPr>
          <w:p w14:paraId="2491DED2"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shd w:val="clear" w:color="auto" w:fill="D9D9D9"/>
            <w:vAlign w:val="center"/>
            <w:hideMark/>
          </w:tcPr>
          <w:p w14:paraId="0B1DDD62"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shd w:val="clear" w:color="auto" w:fill="D9D9D9"/>
            <w:vAlign w:val="center"/>
            <w:hideMark/>
          </w:tcPr>
          <w:p w14:paraId="13C2A9D5"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shd w:val="clear" w:color="auto" w:fill="D9D9D9"/>
            <w:vAlign w:val="center"/>
            <w:hideMark/>
          </w:tcPr>
          <w:p w14:paraId="2DFA10D2"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shd w:val="clear" w:color="auto" w:fill="D9D9D9"/>
          </w:tcPr>
          <w:p w14:paraId="6D6403DB"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c>
          <w:tcPr>
            <w:tcW w:w="0" w:type="auto"/>
            <w:tcBorders>
              <w:top w:val="single" w:sz="12" w:space="0" w:color="000000"/>
            </w:tcBorders>
            <w:shd w:val="clear" w:color="auto" w:fill="D9D9D9"/>
          </w:tcPr>
          <w:p w14:paraId="30F4D1E9" w14:textId="77777777" w:rsidR="004F3ADE" w:rsidRPr="004F3ADE" w:rsidRDefault="004F3ADE" w:rsidP="004F3ADE">
            <w:pPr>
              <w:spacing w:after="0" w:line="240" w:lineRule="auto"/>
              <w:jc w:val="center"/>
              <w:rPr>
                <w:rFonts w:ascii="Cambria" w:eastAsia="Times New Roman" w:hAnsi="Cambria" w:cs="Calibri"/>
                <w:kern w:val="0"/>
                <w:sz w:val="18"/>
                <w:szCs w:val="18"/>
                <w:lang w:val="en-US" w:eastAsia="ja-JP"/>
                <w14:ligatures w14:val="none"/>
              </w:rPr>
            </w:pPr>
          </w:p>
        </w:tc>
        <w:tc>
          <w:tcPr>
            <w:tcW w:w="0" w:type="auto"/>
            <w:tcBorders>
              <w:top w:val="single" w:sz="12" w:space="0" w:color="000000"/>
            </w:tcBorders>
            <w:shd w:val="clear" w:color="auto" w:fill="D9D9D9"/>
            <w:vAlign w:val="center"/>
            <w:hideMark/>
          </w:tcPr>
          <w:p w14:paraId="3B259A1B"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shd w:val="clear" w:color="auto" w:fill="D9D9D9"/>
          </w:tcPr>
          <w:p w14:paraId="2C95DC12"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tcBorders>
              <w:top w:val="single" w:sz="12" w:space="0" w:color="000000"/>
            </w:tcBorders>
            <w:shd w:val="clear" w:color="auto" w:fill="D9D9D9"/>
            <w:vAlign w:val="center"/>
            <w:hideMark/>
          </w:tcPr>
          <w:p w14:paraId="0C28655A"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shd w:val="clear" w:color="auto" w:fill="D9D9D9"/>
            <w:vAlign w:val="center"/>
            <w:hideMark/>
          </w:tcPr>
          <w:p w14:paraId="04C4D3C3"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shd w:val="clear" w:color="auto" w:fill="D9D9D9"/>
            <w:vAlign w:val="center"/>
            <w:hideMark/>
          </w:tcPr>
          <w:p w14:paraId="0DFC9DCF"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shd w:val="clear" w:color="auto" w:fill="D9D9D9"/>
            <w:vAlign w:val="center"/>
            <w:hideMark/>
          </w:tcPr>
          <w:p w14:paraId="2F3EC9FE"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shd w:val="clear" w:color="auto" w:fill="D9D9D9"/>
            <w:vAlign w:val="center"/>
            <w:hideMark/>
          </w:tcPr>
          <w:p w14:paraId="16D7ED2B"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right w:val="single" w:sz="12" w:space="0" w:color="000000"/>
            </w:tcBorders>
            <w:shd w:val="clear" w:color="auto" w:fill="D9D9D9"/>
          </w:tcPr>
          <w:p w14:paraId="74B24091"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r>
      <w:tr w:rsidR="004F3ADE" w:rsidRPr="0088108C" w14:paraId="6FB0722B" w14:textId="77777777" w:rsidTr="004F3ADE">
        <w:trPr>
          <w:trHeight w:val="20"/>
        </w:trPr>
        <w:tc>
          <w:tcPr>
            <w:tcW w:w="0" w:type="auto"/>
            <w:tcBorders>
              <w:left w:val="single" w:sz="12" w:space="0" w:color="000000"/>
              <w:bottom w:val="single" w:sz="12" w:space="0" w:color="000000"/>
            </w:tcBorders>
            <w:shd w:val="clear" w:color="auto" w:fill="D9D9D9"/>
            <w:noWrap/>
            <w:vAlign w:val="center"/>
          </w:tcPr>
          <w:p w14:paraId="165A69F9" w14:textId="77777777" w:rsidR="004F3ADE" w:rsidRPr="004F3ADE" w:rsidRDefault="004F3ADE" w:rsidP="00B44D85">
            <w:pPr>
              <w:spacing w:after="0" w:line="240" w:lineRule="auto"/>
              <w:jc w:val="both"/>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Quota ajusté (le cas échéant)</w:t>
            </w:r>
            <w:r w:rsidRPr="004F3ADE">
              <w:rPr>
                <w:rFonts w:ascii="Cambria" w:eastAsia="MS Gothic" w:hAnsi="Cambria" w:cs="Times New Roman"/>
                <w:b/>
                <w:kern w:val="0"/>
                <w:sz w:val="18"/>
                <w:szCs w:val="24"/>
                <w:vertAlign w:val="superscript"/>
                <w:lang w:eastAsia="fr-FR" w:bidi="fr-FR"/>
                <w14:ligatures w14:val="none"/>
              </w:rPr>
              <w:t>6 *</w:t>
            </w:r>
          </w:p>
        </w:tc>
        <w:tc>
          <w:tcPr>
            <w:tcW w:w="0" w:type="auto"/>
            <w:tcBorders>
              <w:bottom w:val="single" w:sz="12" w:space="0" w:color="000000"/>
            </w:tcBorders>
            <w:shd w:val="clear" w:color="auto" w:fill="D9D9D9"/>
            <w:noWrap/>
            <w:vAlign w:val="center"/>
          </w:tcPr>
          <w:p w14:paraId="25A030BA" w14:textId="77777777" w:rsidR="004F3ADE" w:rsidRPr="004F3ADE" w:rsidRDefault="004F3ADE" w:rsidP="004F3ADE">
            <w:pPr>
              <w:spacing w:after="0" w:line="240" w:lineRule="auto"/>
              <w:jc w:val="right"/>
              <w:rPr>
                <w:rFonts w:ascii="Cambria" w:eastAsia="Times New Roman" w:hAnsi="Cambria" w:cs="Calibri"/>
                <w:kern w:val="0"/>
                <w:sz w:val="18"/>
                <w:szCs w:val="18"/>
                <w:lang w:eastAsia="ja-JP"/>
                <w14:ligatures w14:val="none"/>
              </w:rPr>
            </w:pPr>
          </w:p>
        </w:tc>
        <w:tc>
          <w:tcPr>
            <w:tcW w:w="0" w:type="auto"/>
            <w:tcBorders>
              <w:bottom w:val="single" w:sz="12" w:space="0" w:color="000000"/>
            </w:tcBorders>
            <w:shd w:val="clear" w:color="auto" w:fill="D9D9D9"/>
          </w:tcPr>
          <w:p w14:paraId="0D7A1D0D"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tcBorders>
              <w:bottom w:val="single" w:sz="12" w:space="0" w:color="000000"/>
            </w:tcBorders>
            <w:shd w:val="clear" w:color="auto" w:fill="D9D9D9"/>
            <w:noWrap/>
            <w:vAlign w:val="center"/>
          </w:tcPr>
          <w:p w14:paraId="20B92828"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tcBorders>
              <w:bottom w:val="single" w:sz="12" w:space="0" w:color="000000"/>
            </w:tcBorders>
            <w:shd w:val="clear" w:color="auto" w:fill="D9D9D9"/>
            <w:vAlign w:val="center"/>
          </w:tcPr>
          <w:p w14:paraId="7A46555A"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tcBorders>
              <w:bottom w:val="single" w:sz="12" w:space="0" w:color="000000"/>
            </w:tcBorders>
            <w:shd w:val="clear" w:color="auto" w:fill="D9D9D9"/>
            <w:vAlign w:val="center"/>
          </w:tcPr>
          <w:p w14:paraId="77456131"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tcBorders>
              <w:bottom w:val="single" w:sz="12" w:space="0" w:color="000000"/>
            </w:tcBorders>
            <w:shd w:val="clear" w:color="auto" w:fill="D9D9D9"/>
            <w:vAlign w:val="center"/>
          </w:tcPr>
          <w:p w14:paraId="3BAE8C9D"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tcBorders>
              <w:bottom w:val="single" w:sz="12" w:space="0" w:color="000000"/>
            </w:tcBorders>
            <w:shd w:val="clear" w:color="auto" w:fill="D9D9D9"/>
          </w:tcPr>
          <w:p w14:paraId="32552799"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tcBorders>
              <w:bottom w:val="single" w:sz="12" w:space="0" w:color="000000"/>
            </w:tcBorders>
            <w:shd w:val="clear" w:color="auto" w:fill="D9D9D9"/>
          </w:tcPr>
          <w:p w14:paraId="07DCD3C7" w14:textId="77777777" w:rsidR="004F3ADE" w:rsidRPr="004F3ADE" w:rsidRDefault="004F3ADE" w:rsidP="004F3ADE">
            <w:pPr>
              <w:spacing w:after="0" w:line="240" w:lineRule="auto"/>
              <w:jc w:val="center"/>
              <w:rPr>
                <w:rFonts w:ascii="Cambria" w:eastAsia="Times New Roman" w:hAnsi="Cambria" w:cs="Calibri"/>
                <w:kern w:val="0"/>
                <w:sz w:val="18"/>
                <w:szCs w:val="18"/>
                <w:lang w:eastAsia="ja-JP"/>
                <w14:ligatures w14:val="none"/>
              </w:rPr>
            </w:pPr>
          </w:p>
        </w:tc>
        <w:tc>
          <w:tcPr>
            <w:tcW w:w="0" w:type="auto"/>
            <w:tcBorders>
              <w:bottom w:val="single" w:sz="12" w:space="0" w:color="000000"/>
            </w:tcBorders>
            <w:shd w:val="clear" w:color="auto" w:fill="D9D9D9"/>
            <w:vAlign w:val="center"/>
          </w:tcPr>
          <w:p w14:paraId="3DB53FCD"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tcBorders>
              <w:bottom w:val="single" w:sz="12" w:space="0" w:color="000000"/>
            </w:tcBorders>
            <w:shd w:val="clear" w:color="auto" w:fill="D9D9D9"/>
          </w:tcPr>
          <w:p w14:paraId="6D5D7263"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tcBorders>
              <w:bottom w:val="single" w:sz="12" w:space="0" w:color="000000"/>
            </w:tcBorders>
            <w:shd w:val="clear" w:color="auto" w:fill="D9D9D9"/>
            <w:vAlign w:val="center"/>
          </w:tcPr>
          <w:p w14:paraId="34FA34C7"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tcBorders>
              <w:bottom w:val="single" w:sz="12" w:space="0" w:color="000000"/>
            </w:tcBorders>
            <w:shd w:val="clear" w:color="auto" w:fill="D9D9D9"/>
            <w:vAlign w:val="center"/>
          </w:tcPr>
          <w:p w14:paraId="7DC79706"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tcBorders>
              <w:bottom w:val="single" w:sz="12" w:space="0" w:color="000000"/>
            </w:tcBorders>
            <w:shd w:val="clear" w:color="auto" w:fill="D9D9D9"/>
            <w:vAlign w:val="center"/>
          </w:tcPr>
          <w:p w14:paraId="6CF9AE1F"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tcBorders>
              <w:bottom w:val="single" w:sz="12" w:space="0" w:color="000000"/>
            </w:tcBorders>
            <w:shd w:val="clear" w:color="auto" w:fill="D9D9D9"/>
            <w:vAlign w:val="center"/>
          </w:tcPr>
          <w:p w14:paraId="4199DFA9"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tcBorders>
              <w:bottom w:val="single" w:sz="12" w:space="0" w:color="000000"/>
            </w:tcBorders>
            <w:shd w:val="clear" w:color="auto" w:fill="D9D9D9"/>
            <w:vAlign w:val="center"/>
          </w:tcPr>
          <w:p w14:paraId="47262EBC"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tcBorders>
              <w:bottom w:val="single" w:sz="12" w:space="0" w:color="000000"/>
              <w:right w:val="single" w:sz="12" w:space="0" w:color="000000"/>
            </w:tcBorders>
            <w:shd w:val="clear" w:color="auto" w:fill="D9D9D9"/>
          </w:tcPr>
          <w:p w14:paraId="1EDBC20F"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r>
      <w:tr w:rsidR="004F3ADE" w:rsidRPr="0088108C" w14:paraId="4F996482" w14:textId="77777777" w:rsidTr="004F3ADE">
        <w:trPr>
          <w:trHeight w:val="20"/>
        </w:trPr>
        <w:tc>
          <w:tcPr>
            <w:tcW w:w="0" w:type="auto"/>
            <w:tcBorders>
              <w:top w:val="single" w:sz="12" w:space="0" w:color="000000"/>
              <w:left w:val="single" w:sz="12" w:space="0" w:color="000000"/>
            </w:tcBorders>
            <w:noWrap/>
            <w:vAlign w:val="center"/>
            <w:hideMark/>
          </w:tcPr>
          <w:p w14:paraId="5F18C8B7" w14:textId="77777777" w:rsidR="004F3ADE" w:rsidRPr="004F3ADE" w:rsidRDefault="004F3ADE" w:rsidP="00B44D85">
            <w:pPr>
              <w:spacing w:after="0" w:line="240" w:lineRule="auto"/>
              <w:jc w:val="both"/>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Pourcentage alloué aux prises accessoires</w:t>
            </w:r>
          </w:p>
        </w:tc>
        <w:tc>
          <w:tcPr>
            <w:tcW w:w="0" w:type="auto"/>
            <w:tcBorders>
              <w:top w:val="single" w:sz="12" w:space="0" w:color="000000"/>
            </w:tcBorders>
            <w:noWrap/>
            <w:vAlign w:val="center"/>
            <w:hideMark/>
          </w:tcPr>
          <w:p w14:paraId="54D9004D" w14:textId="77777777" w:rsidR="004F3ADE" w:rsidRPr="004F3ADE" w:rsidRDefault="004F3ADE" w:rsidP="004F3ADE">
            <w:pPr>
              <w:spacing w:after="0" w:line="240" w:lineRule="auto"/>
              <w:jc w:val="right"/>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tcPr>
          <w:p w14:paraId="23ED726D"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tcBorders>
              <w:top w:val="single" w:sz="12" w:space="0" w:color="000000"/>
            </w:tcBorders>
            <w:noWrap/>
            <w:vAlign w:val="center"/>
            <w:hideMark/>
          </w:tcPr>
          <w:p w14:paraId="674B7B04"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55BB23DD"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075BC635"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66CF8876"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tcPr>
          <w:p w14:paraId="42B31353"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tcBorders>
              <w:top w:val="single" w:sz="12" w:space="0" w:color="000000"/>
            </w:tcBorders>
          </w:tcPr>
          <w:p w14:paraId="6AF925AD" w14:textId="77777777" w:rsidR="004F3ADE" w:rsidRPr="004F3ADE" w:rsidRDefault="004F3ADE" w:rsidP="004F3ADE">
            <w:pPr>
              <w:spacing w:after="0" w:line="240" w:lineRule="auto"/>
              <w:jc w:val="center"/>
              <w:rPr>
                <w:rFonts w:ascii="Cambria" w:eastAsia="Times New Roman" w:hAnsi="Cambria" w:cs="Calibri"/>
                <w:kern w:val="0"/>
                <w:sz w:val="18"/>
                <w:szCs w:val="18"/>
                <w:lang w:eastAsia="ja-JP"/>
                <w14:ligatures w14:val="none"/>
              </w:rPr>
            </w:pPr>
          </w:p>
        </w:tc>
        <w:tc>
          <w:tcPr>
            <w:tcW w:w="0" w:type="auto"/>
            <w:tcBorders>
              <w:top w:val="single" w:sz="12" w:space="0" w:color="000000"/>
            </w:tcBorders>
            <w:shd w:val="clear" w:color="000000" w:fill="D9D9D9"/>
            <w:vAlign w:val="center"/>
            <w:hideMark/>
          </w:tcPr>
          <w:p w14:paraId="73274578"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tcPr>
          <w:p w14:paraId="44A114E3"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tcBorders>
              <w:top w:val="single" w:sz="12" w:space="0" w:color="000000"/>
            </w:tcBorders>
            <w:vAlign w:val="center"/>
            <w:hideMark/>
          </w:tcPr>
          <w:p w14:paraId="72AB31E3"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2CA5C11C"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6DEE1B85"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62A2C10A"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18D48310"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right w:val="single" w:sz="12" w:space="0" w:color="000000"/>
            </w:tcBorders>
          </w:tcPr>
          <w:p w14:paraId="2BB4BBE7"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r>
      <w:tr w:rsidR="004F3ADE" w:rsidRPr="0088108C" w14:paraId="07C8B496" w14:textId="77777777" w:rsidTr="004F3ADE">
        <w:trPr>
          <w:trHeight w:val="20"/>
        </w:trPr>
        <w:tc>
          <w:tcPr>
            <w:tcW w:w="0" w:type="auto"/>
            <w:tcBorders>
              <w:left w:val="single" w:sz="12" w:space="0" w:color="000000"/>
            </w:tcBorders>
            <w:noWrap/>
            <w:vAlign w:val="center"/>
          </w:tcPr>
          <w:p w14:paraId="4AB1B607" w14:textId="77777777" w:rsidR="004F3ADE" w:rsidRPr="004F3ADE" w:rsidRDefault="004F3ADE" w:rsidP="00B44D85">
            <w:pPr>
              <w:spacing w:after="0" w:line="240" w:lineRule="auto"/>
              <w:jc w:val="both"/>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Allocation aux prises accessoires</w:t>
            </w:r>
            <w:r w:rsidRPr="004F3ADE">
              <w:rPr>
                <w:rFonts w:ascii="Cambria" w:eastAsia="MS Gothic" w:hAnsi="Cambria" w:cs="Times New Roman"/>
                <w:b/>
                <w:kern w:val="0"/>
                <w:sz w:val="18"/>
                <w:szCs w:val="24"/>
                <w:vertAlign w:val="superscript"/>
                <w:lang w:eastAsia="fr-FR" w:bidi="fr-FR"/>
                <w14:ligatures w14:val="none"/>
              </w:rPr>
              <w:t>*</w:t>
            </w:r>
          </w:p>
        </w:tc>
        <w:tc>
          <w:tcPr>
            <w:tcW w:w="0" w:type="auto"/>
            <w:noWrap/>
            <w:vAlign w:val="center"/>
          </w:tcPr>
          <w:p w14:paraId="1EA10C7A" w14:textId="77777777" w:rsidR="004F3ADE" w:rsidRPr="004F3ADE" w:rsidRDefault="004F3ADE" w:rsidP="004F3ADE">
            <w:pPr>
              <w:spacing w:after="0" w:line="240" w:lineRule="auto"/>
              <w:jc w:val="right"/>
              <w:rPr>
                <w:rFonts w:ascii="Cambria" w:eastAsia="Times New Roman" w:hAnsi="Cambria" w:cs="Calibri"/>
                <w:kern w:val="0"/>
                <w:sz w:val="18"/>
                <w:szCs w:val="18"/>
                <w:lang w:eastAsia="ja-JP"/>
                <w14:ligatures w14:val="none"/>
              </w:rPr>
            </w:pPr>
          </w:p>
        </w:tc>
        <w:tc>
          <w:tcPr>
            <w:tcW w:w="0" w:type="auto"/>
          </w:tcPr>
          <w:p w14:paraId="2368674F"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noWrap/>
            <w:vAlign w:val="center"/>
          </w:tcPr>
          <w:p w14:paraId="77500402"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vAlign w:val="center"/>
          </w:tcPr>
          <w:p w14:paraId="53B6B769"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vAlign w:val="center"/>
          </w:tcPr>
          <w:p w14:paraId="23A72C8F"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c>
          <w:tcPr>
            <w:tcW w:w="0" w:type="auto"/>
            <w:vAlign w:val="center"/>
          </w:tcPr>
          <w:p w14:paraId="5F6535A0"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c>
          <w:tcPr>
            <w:tcW w:w="0" w:type="auto"/>
          </w:tcPr>
          <w:p w14:paraId="48C7267F"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c>
          <w:tcPr>
            <w:tcW w:w="0" w:type="auto"/>
          </w:tcPr>
          <w:p w14:paraId="1B1CBB25" w14:textId="77777777" w:rsidR="004F3ADE" w:rsidRPr="004F3ADE" w:rsidRDefault="004F3ADE" w:rsidP="004F3ADE">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tcPr>
          <w:p w14:paraId="38442839"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c>
          <w:tcPr>
            <w:tcW w:w="0" w:type="auto"/>
          </w:tcPr>
          <w:p w14:paraId="29C7EBE0"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vAlign w:val="center"/>
          </w:tcPr>
          <w:p w14:paraId="75B0A9B1"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vAlign w:val="center"/>
          </w:tcPr>
          <w:p w14:paraId="156AE9C8"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c>
          <w:tcPr>
            <w:tcW w:w="0" w:type="auto"/>
            <w:vAlign w:val="center"/>
          </w:tcPr>
          <w:p w14:paraId="41976883"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c>
          <w:tcPr>
            <w:tcW w:w="0" w:type="auto"/>
            <w:vAlign w:val="center"/>
          </w:tcPr>
          <w:p w14:paraId="68912EAC"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c>
          <w:tcPr>
            <w:tcW w:w="0" w:type="auto"/>
            <w:vAlign w:val="center"/>
          </w:tcPr>
          <w:p w14:paraId="24B86875"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c>
          <w:tcPr>
            <w:tcW w:w="0" w:type="auto"/>
            <w:tcBorders>
              <w:right w:val="single" w:sz="12" w:space="0" w:color="000000"/>
            </w:tcBorders>
          </w:tcPr>
          <w:p w14:paraId="518C2087"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r>
      <w:tr w:rsidR="004F3ADE" w:rsidRPr="0088108C" w14:paraId="1DB7BC9E" w14:textId="77777777" w:rsidTr="004F3ADE">
        <w:trPr>
          <w:trHeight w:val="20"/>
        </w:trPr>
        <w:tc>
          <w:tcPr>
            <w:tcW w:w="0" w:type="auto"/>
            <w:tcBorders>
              <w:left w:val="single" w:sz="12" w:space="0" w:color="000000"/>
            </w:tcBorders>
            <w:vAlign w:val="center"/>
          </w:tcPr>
          <w:p w14:paraId="39C4944B" w14:textId="77777777" w:rsidR="004F3ADE" w:rsidRPr="004F3ADE" w:rsidRDefault="004F3ADE" w:rsidP="00B44D85">
            <w:pPr>
              <w:spacing w:after="0" w:line="240" w:lineRule="auto"/>
              <w:jc w:val="both"/>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xml:space="preserve">Quota de recherche scientifique (le cas échéant) </w:t>
            </w:r>
            <w:r w:rsidRPr="004F3ADE">
              <w:rPr>
                <w:rFonts w:ascii="Cambria" w:eastAsia="MS Gothic" w:hAnsi="Cambria" w:cs="Times New Roman"/>
                <w:b/>
                <w:kern w:val="0"/>
                <w:sz w:val="18"/>
                <w:szCs w:val="24"/>
                <w:vertAlign w:val="superscript"/>
                <w:lang w:eastAsia="fr-FR" w:bidi="fr-FR"/>
                <w14:ligatures w14:val="none"/>
              </w:rPr>
              <w:t>*</w:t>
            </w:r>
          </w:p>
        </w:tc>
        <w:tc>
          <w:tcPr>
            <w:tcW w:w="0" w:type="auto"/>
            <w:noWrap/>
            <w:vAlign w:val="center"/>
          </w:tcPr>
          <w:p w14:paraId="4579C4C2" w14:textId="77777777" w:rsidR="004F3ADE" w:rsidRPr="004F3ADE" w:rsidRDefault="004F3ADE" w:rsidP="004F3ADE">
            <w:pPr>
              <w:spacing w:after="0" w:line="240" w:lineRule="auto"/>
              <w:jc w:val="right"/>
              <w:rPr>
                <w:rFonts w:ascii="Cambria" w:eastAsia="Times New Roman" w:hAnsi="Cambria" w:cs="Calibri"/>
                <w:b/>
                <w:bCs/>
                <w:kern w:val="0"/>
                <w:sz w:val="18"/>
                <w:szCs w:val="18"/>
                <w:lang w:eastAsia="ja-JP"/>
                <w14:ligatures w14:val="none"/>
              </w:rPr>
            </w:pPr>
          </w:p>
        </w:tc>
        <w:tc>
          <w:tcPr>
            <w:tcW w:w="0" w:type="auto"/>
          </w:tcPr>
          <w:p w14:paraId="6B7E1333"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tcPr>
          <w:p w14:paraId="5EB38BBA"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vAlign w:val="center"/>
          </w:tcPr>
          <w:p w14:paraId="290456AF"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vAlign w:val="center"/>
          </w:tcPr>
          <w:p w14:paraId="267E3192"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vAlign w:val="center"/>
          </w:tcPr>
          <w:p w14:paraId="52407824"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tcPr>
          <w:p w14:paraId="0E4DEF92"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tcPr>
          <w:p w14:paraId="5EEC7C7E" w14:textId="77777777" w:rsidR="004F3ADE" w:rsidRPr="004F3ADE" w:rsidRDefault="004F3ADE" w:rsidP="004F3ADE">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000000" w:fill="D9D9D9"/>
            <w:vAlign w:val="center"/>
          </w:tcPr>
          <w:p w14:paraId="3170E06A"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tcPr>
          <w:p w14:paraId="525E18E6"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vAlign w:val="center"/>
          </w:tcPr>
          <w:p w14:paraId="7EEE19F3"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vAlign w:val="center"/>
          </w:tcPr>
          <w:p w14:paraId="0F667CC9"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tcPr>
          <w:p w14:paraId="69CDE815"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tcPr>
          <w:p w14:paraId="1B4D6F42"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tcPr>
          <w:p w14:paraId="04B1F399"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tcBorders>
              <w:right w:val="single" w:sz="12" w:space="0" w:color="000000"/>
            </w:tcBorders>
          </w:tcPr>
          <w:p w14:paraId="39DAE609"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r>
      <w:tr w:rsidR="004F3ADE" w:rsidRPr="0088108C" w14:paraId="0DE73152" w14:textId="77777777" w:rsidTr="004F3ADE">
        <w:trPr>
          <w:trHeight w:val="20"/>
        </w:trPr>
        <w:tc>
          <w:tcPr>
            <w:tcW w:w="0" w:type="auto"/>
            <w:tcBorders>
              <w:left w:val="single" w:sz="12" w:space="0" w:color="000000"/>
            </w:tcBorders>
            <w:vAlign w:val="center"/>
          </w:tcPr>
          <w:p w14:paraId="2CCBA89B"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Tolérance pour la pêche sportive/récréative</w:t>
            </w:r>
          </w:p>
          <w:p w14:paraId="1C10066C"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(le cas échéant)</w:t>
            </w:r>
            <w:r w:rsidRPr="004F3ADE">
              <w:rPr>
                <w:rFonts w:ascii="Cambria" w:eastAsia="MS Gothic" w:hAnsi="Cambria" w:cs="Times New Roman"/>
                <w:b/>
                <w:kern w:val="0"/>
                <w:sz w:val="18"/>
                <w:szCs w:val="24"/>
                <w:vertAlign w:val="superscript"/>
                <w:lang w:eastAsia="fr-FR" w:bidi="fr-FR"/>
                <w14:ligatures w14:val="none"/>
              </w:rPr>
              <w:t xml:space="preserve"> *</w:t>
            </w:r>
          </w:p>
        </w:tc>
        <w:tc>
          <w:tcPr>
            <w:tcW w:w="0" w:type="auto"/>
            <w:noWrap/>
            <w:vAlign w:val="center"/>
          </w:tcPr>
          <w:p w14:paraId="2DD314FC" w14:textId="77777777" w:rsidR="004F3ADE" w:rsidRPr="004F3ADE" w:rsidRDefault="004F3ADE" w:rsidP="004F3ADE">
            <w:pPr>
              <w:spacing w:after="0" w:line="240" w:lineRule="auto"/>
              <w:jc w:val="right"/>
              <w:rPr>
                <w:rFonts w:ascii="Cambria" w:eastAsia="Times New Roman" w:hAnsi="Cambria" w:cs="Calibri"/>
                <w:b/>
                <w:bCs/>
                <w:kern w:val="0"/>
                <w:sz w:val="18"/>
                <w:szCs w:val="18"/>
                <w:lang w:eastAsia="ja-JP"/>
                <w14:ligatures w14:val="none"/>
              </w:rPr>
            </w:pPr>
          </w:p>
        </w:tc>
        <w:tc>
          <w:tcPr>
            <w:tcW w:w="0" w:type="auto"/>
          </w:tcPr>
          <w:p w14:paraId="15D8C06C"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tcPr>
          <w:p w14:paraId="375A9D8A"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vAlign w:val="center"/>
          </w:tcPr>
          <w:p w14:paraId="2A5A9AB7"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vAlign w:val="center"/>
          </w:tcPr>
          <w:p w14:paraId="70EE2150"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c>
          <w:tcPr>
            <w:tcW w:w="0" w:type="auto"/>
            <w:vAlign w:val="center"/>
          </w:tcPr>
          <w:p w14:paraId="7A80FB29"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c>
          <w:tcPr>
            <w:tcW w:w="0" w:type="auto"/>
          </w:tcPr>
          <w:p w14:paraId="413052E6"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c>
          <w:tcPr>
            <w:tcW w:w="0" w:type="auto"/>
          </w:tcPr>
          <w:p w14:paraId="75E916E5" w14:textId="77777777" w:rsidR="004F3ADE" w:rsidRPr="004F3ADE" w:rsidRDefault="004F3ADE" w:rsidP="004F3ADE">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tcPr>
          <w:p w14:paraId="0A204B20"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c>
          <w:tcPr>
            <w:tcW w:w="0" w:type="auto"/>
          </w:tcPr>
          <w:p w14:paraId="13EECEE3"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vAlign w:val="center"/>
          </w:tcPr>
          <w:p w14:paraId="4B83A026"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vAlign w:val="center"/>
          </w:tcPr>
          <w:p w14:paraId="13A3A8CD"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c>
          <w:tcPr>
            <w:tcW w:w="0" w:type="auto"/>
            <w:noWrap/>
            <w:vAlign w:val="center"/>
          </w:tcPr>
          <w:p w14:paraId="088F6F88"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c>
          <w:tcPr>
            <w:tcW w:w="0" w:type="auto"/>
            <w:noWrap/>
            <w:vAlign w:val="center"/>
          </w:tcPr>
          <w:p w14:paraId="01B66A95"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c>
          <w:tcPr>
            <w:tcW w:w="0" w:type="auto"/>
            <w:noWrap/>
            <w:vAlign w:val="center"/>
          </w:tcPr>
          <w:p w14:paraId="4E23961E"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c>
          <w:tcPr>
            <w:tcW w:w="0" w:type="auto"/>
            <w:tcBorders>
              <w:right w:val="single" w:sz="12" w:space="0" w:color="000000"/>
            </w:tcBorders>
          </w:tcPr>
          <w:p w14:paraId="4642DB63"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r>
      <w:tr w:rsidR="004F3ADE" w:rsidRPr="0088108C" w14:paraId="2AF41581" w14:textId="77777777" w:rsidTr="004F3ADE">
        <w:trPr>
          <w:trHeight w:val="20"/>
        </w:trPr>
        <w:tc>
          <w:tcPr>
            <w:tcW w:w="0" w:type="auto"/>
            <w:tcBorders>
              <w:left w:val="single" w:sz="12" w:space="0" w:color="000000"/>
              <w:bottom w:val="single" w:sz="12" w:space="0" w:color="000000"/>
            </w:tcBorders>
            <w:vAlign w:val="center"/>
          </w:tcPr>
          <w:p w14:paraId="795BCDC9"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xml:space="preserve">Quota disponible </w:t>
            </w:r>
            <w:r w:rsidRPr="004F3ADE">
              <w:rPr>
                <w:rFonts w:ascii="Cambria" w:eastAsia="MS Gothic" w:hAnsi="Cambria" w:cs="Times New Roman"/>
                <w:b/>
                <w:kern w:val="0"/>
                <w:sz w:val="18"/>
                <w:szCs w:val="24"/>
                <w:vertAlign w:val="superscript"/>
                <w:lang w:eastAsia="fr-FR" w:bidi="fr-FR"/>
                <w14:ligatures w14:val="none"/>
              </w:rPr>
              <w:t>7 *</w:t>
            </w:r>
          </w:p>
        </w:tc>
        <w:tc>
          <w:tcPr>
            <w:tcW w:w="0" w:type="auto"/>
            <w:tcBorders>
              <w:bottom w:val="single" w:sz="12" w:space="0" w:color="000000"/>
            </w:tcBorders>
            <w:noWrap/>
            <w:vAlign w:val="center"/>
          </w:tcPr>
          <w:p w14:paraId="51F27E4C" w14:textId="77777777" w:rsidR="004F3ADE" w:rsidRPr="004F3ADE" w:rsidRDefault="004F3ADE" w:rsidP="004F3ADE">
            <w:pPr>
              <w:spacing w:after="0" w:line="240" w:lineRule="auto"/>
              <w:jc w:val="right"/>
              <w:rPr>
                <w:rFonts w:ascii="Cambria" w:eastAsia="Times New Roman" w:hAnsi="Cambria" w:cs="Calibri"/>
                <w:b/>
                <w:bCs/>
                <w:kern w:val="0"/>
                <w:sz w:val="18"/>
                <w:szCs w:val="18"/>
                <w:lang w:eastAsia="ja-JP"/>
                <w14:ligatures w14:val="none"/>
              </w:rPr>
            </w:pPr>
          </w:p>
        </w:tc>
        <w:tc>
          <w:tcPr>
            <w:tcW w:w="0" w:type="auto"/>
            <w:tcBorders>
              <w:bottom w:val="single" w:sz="12" w:space="0" w:color="000000"/>
            </w:tcBorders>
          </w:tcPr>
          <w:p w14:paraId="5EE40133"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tcBorders>
              <w:bottom w:val="single" w:sz="12" w:space="0" w:color="000000"/>
            </w:tcBorders>
            <w:noWrap/>
            <w:vAlign w:val="center"/>
          </w:tcPr>
          <w:p w14:paraId="6C0EE854"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tcBorders>
              <w:bottom w:val="single" w:sz="12" w:space="0" w:color="000000"/>
            </w:tcBorders>
            <w:vAlign w:val="center"/>
          </w:tcPr>
          <w:p w14:paraId="12F3C073"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tcBorders>
              <w:bottom w:val="single" w:sz="12" w:space="0" w:color="000000"/>
            </w:tcBorders>
            <w:vAlign w:val="center"/>
          </w:tcPr>
          <w:p w14:paraId="2C2ABED7"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c>
          <w:tcPr>
            <w:tcW w:w="0" w:type="auto"/>
            <w:tcBorders>
              <w:bottom w:val="single" w:sz="12" w:space="0" w:color="000000"/>
            </w:tcBorders>
            <w:vAlign w:val="center"/>
          </w:tcPr>
          <w:p w14:paraId="7EE80762"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c>
          <w:tcPr>
            <w:tcW w:w="0" w:type="auto"/>
            <w:tcBorders>
              <w:bottom w:val="single" w:sz="12" w:space="0" w:color="000000"/>
            </w:tcBorders>
          </w:tcPr>
          <w:p w14:paraId="26702D2B"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c>
          <w:tcPr>
            <w:tcW w:w="0" w:type="auto"/>
            <w:tcBorders>
              <w:bottom w:val="single" w:sz="12" w:space="0" w:color="000000"/>
            </w:tcBorders>
          </w:tcPr>
          <w:p w14:paraId="38819A1F" w14:textId="77777777" w:rsidR="004F3ADE" w:rsidRPr="004F3ADE" w:rsidRDefault="004F3ADE" w:rsidP="004F3ADE">
            <w:pPr>
              <w:spacing w:after="0" w:line="240" w:lineRule="auto"/>
              <w:jc w:val="center"/>
              <w:rPr>
                <w:rFonts w:ascii="Cambria" w:eastAsia="Times New Roman" w:hAnsi="Cambria" w:cs="Calibri"/>
                <w:kern w:val="0"/>
                <w:sz w:val="18"/>
                <w:szCs w:val="18"/>
                <w:lang w:val="en-US" w:eastAsia="ja-JP"/>
                <w14:ligatures w14:val="none"/>
              </w:rPr>
            </w:pPr>
          </w:p>
        </w:tc>
        <w:tc>
          <w:tcPr>
            <w:tcW w:w="0" w:type="auto"/>
            <w:tcBorders>
              <w:bottom w:val="single" w:sz="12" w:space="0" w:color="000000"/>
            </w:tcBorders>
            <w:shd w:val="clear" w:color="000000" w:fill="D9D9D9"/>
            <w:vAlign w:val="center"/>
          </w:tcPr>
          <w:p w14:paraId="5F026662"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c>
          <w:tcPr>
            <w:tcW w:w="0" w:type="auto"/>
            <w:tcBorders>
              <w:bottom w:val="single" w:sz="12" w:space="0" w:color="000000"/>
            </w:tcBorders>
          </w:tcPr>
          <w:p w14:paraId="7A1EB69C"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tcBorders>
              <w:bottom w:val="single" w:sz="12" w:space="0" w:color="000000"/>
            </w:tcBorders>
            <w:vAlign w:val="center"/>
          </w:tcPr>
          <w:p w14:paraId="075065ED" w14:textId="77777777" w:rsidR="004F3ADE" w:rsidRPr="004F3ADE" w:rsidRDefault="004F3ADE" w:rsidP="004F3ADE">
            <w:pPr>
              <w:spacing w:after="0" w:line="240" w:lineRule="auto"/>
              <w:rPr>
                <w:rFonts w:ascii="Cambria" w:eastAsia="Times New Roman" w:hAnsi="Cambria" w:cs="Calibri"/>
                <w:b/>
                <w:bCs/>
                <w:kern w:val="0"/>
                <w:sz w:val="18"/>
                <w:szCs w:val="18"/>
                <w:lang w:eastAsia="ja-JP"/>
                <w14:ligatures w14:val="none"/>
              </w:rPr>
            </w:pPr>
          </w:p>
        </w:tc>
        <w:tc>
          <w:tcPr>
            <w:tcW w:w="0" w:type="auto"/>
            <w:tcBorders>
              <w:bottom w:val="single" w:sz="12" w:space="0" w:color="000000"/>
            </w:tcBorders>
            <w:vAlign w:val="center"/>
          </w:tcPr>
          <w:p w14:paraId="3262F443"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c>
          <w:tcPr>
            <w:tcW w:w="0" w:type="auto"/>
            <w:tcBorders>
              <w:bottom w:val="single" w:sz="12" w:space="0" w:color="000000"/>
            </w:tcBorders>
            <w:noWrap/>
            <w:vAlign w:val="center"/>
          </w:tcPr>
          <w:p w14:paraId="19418CE7"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c>
          <w:tcPr>
            <w:tcW w:w="0" w:type="auto"/>
            <w:tcBorders>
              <w:bottom w:val="single" w:sz="12" w:space="0" w:color="000000"/>
            </w:tcBorders>
            <w:noWrap/>
            <w:vAlign w:val="center"/>
          </w:tcPr>
          <w:p w14:paraId="02C7363D"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c>
          <w:tcPr>
            <w:tcW w:w="0" w:type="auto"/>
            <w:tcBorders>
              <w:bottom w:val="single" w:sz="12" w:space="0" w:color="000000"/>
            </w:tcBorders>
            <w:noWrap/>
            <w:vAlign w:val="center"/>
          </w:tcPr>
          <w:p w14:paraId="2F787E1B"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c>
          <w:tcPr>
            <w:tcW w:w="0" w:type="auto"/>
            <w:tcBorders>
              <w:bottom w:val="single" w:sz="12" w:space="0" w:color="000000"/>
              <w:right w:val="single" w:sz="12" w:space="0" w:color="000000"/>
            </w:tcBorders>
          </w:tcPr>
          <w:p w14:paraId="3C8A9147" w14:textId="77777777" w:rsidR="004F3ADE" w:rsidRPr="004F3ADE" w:rsidRDefault="004F3ADE" w:rsidP="004F3ADE">
            <w:pPr>
              <w:spacing w:after="0" w:line="240" w:lineRule="auto"/>
              <w:rPr>
                <w:rFonts w:ascii="Cambria" w:eastAsia="Times New Roman" w:hAnsi="Cambria" w:cs="Calibri"/>
                <w:b/>
                <w:bCs/>
                <w:kern w:val="0"/>
                <w:sz w:val="18"/>
                <w:szCs w:val="18"/>
                <w:lang w:val="en-US" w:eastAsia="ja-JP"/>
                <w14:ligatures w14:val="none"/>
              </w:rPr>
            </w:pPr>
          </w:p>
        </w:tc>
      </w:tr>
      <w:tr w:rsidR="004F3ADE" w:rsidRPr="0088108C" w14:paraId="244D0247" w14:textId="77777777" w:rsidTr="004F3ADE">
        <w:trPr>
          <w:trHeight w:val="20"/>
        </w:trPr>
        <w:tc>
          <w:tcPr>
            <w:tcW w:w="0" w:type="auto"/>
            <w:tcBorders>
              <w:top w:val="single" w:sz="12" w:space="0" w:color="000000"/>
              <w:left w:val="single" w:sz="12" w:space="0" w:color="000000"/>
              <w:bottom w:val="single" w:sz="12" w:space="0" w:color="000000"/>
            </w:tcBorders>
            <w:shd w:val="clear" w:color="auto" w:fill="D9D9D9"/>
            <w:noWrap/>
            <w:vAlign w:val="center"/>
            <w:hideMark/>
          </w:tcPr>
          <w:p w14:paraId="70E9BEFE" w14:textId="77777777" w:rsidR="004F3ADE" w:rsidRPr="004F3ADE" w:rsidRDefault="004F3ADE" w:rsidP="004F3ADE">
            <w:pPr>
              <w:spacing w:after="0" w:line="240" w:lineRule="auto"/>
              <w:rPr>
                <w:rFonts w:ascii="Cambria" w:eastAsia="Times New Roman" w:hAnsi="Cambria" w:cs="Calibri"/>
                <w:b/>
                <w:bCs/>
                <w:kern w:val="0"/>
                <w:sz w:val="18"/>
                <w:szCs w:val="18"/>
                <w:lang w:eastAsia="fr-FR" w:bidi="fr-FR"/>
                <w14:ligatures w14:val="none"/>
              </w:rPr>
            </w:pPr>
            <w:r w:rsidRPr="004F3ADE">
              <w:rPr>
                <w:rFonts w:ascii="Cambria" w:eastAsia="MS Gothic" w:hAnsi="Cambria" w:cs="Times New Roman"/>
                <w:b/>
                <w:kern w:val="0"/>
                <w:sz w:val="18"/>
                <w:szCs w:val="24"/>
                <w:lang w:eastAsia="fr-FR" w:bidi="fr-FR"/>
                <w14:ligatures w14:val="none"/>
              </w:rPr>
              <w:t xml:space="preserve">Sous/surcapacité </w:t>
            </w:r>
            <w:r w:rsidRPr="004F3ADE">
              <w:rPr>
                <w:rFonts w:ascii="Cambria" w:eastAsia="MS Gothic" w:hAnsi="Cambria" w:cs="Times New Roman"/>
                <w:b/>
                <w:kern w:val="0"/>
                <w:sz w:val="18"/>
                <w:szCs w:val="24"/>
                <w:vertAlign w:val="superscript"/>
                <w:lang w:eastAsia="fr-FR" w:bidi="fr-FR"/>
                <w14:ligatures w14:val="none"/>
              </w:rPr>
              <w:t>8*</w:t>
            </w:r>
          </w:p>
        </w:tc>
        <w:tc>
          <w:tcPr>
            <w:tcW w:w="0" w:type="auto"/>
            <w:tcBorders>
              <w:top w:val="single" w:sz="12" w:space="0" w:color="000000"/>
              <w:bottom w:val="single" w:sz="12" w:space="0" w:color="000000"/>
            </w:tcBorders>
            <w:shd w:val="clear" w:color="auto" w:fill="D9D9D9"/>
            <w:noWrap/>
            <w:vAlign w:val="center"/>
            <w:hideMark/>
          </w:tcPr>
          <w:p w14:paraId="5250FAE7" w14:textId="77777777" w:rsidR="004F3ADE" w:rsidRPr="004F3ADE" w:rsidRDefault="004F3ADE" w:rsidP="004F3ADE">
            <w:pPr>
              <w:spacing w:after="0" w:line="240" w:lineRule="auto"/>
              <w:jc w:val="right"/>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bottom w:val="single" w:sz="12" w:space="0" w:color="000000"/>
            </w:tcBorders>
            <w:shd w:val="clear" w:color="auto" w:fill="D9D9D9"/>
          </w:tcPr>
          <w:p w14:paraId="07B647AA"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tcBorders>
              <w:top w:val="single" w:sz="12" w:space="0" w:color="000000"/>
              <w:bottom w:val="single" w:sz="12" w:space="0" w:color="000000"/>
            </w:tcBorders>
            <w:shd w:val="clear" w:color="auto" w:fill="D9D9D9"/>
            <w:noWrap/>
            <w:vAlign w:val="center"/>
            <w:hideMark/>
          </w:tcPr>
          <w:p w14:paraId="76E7ECC4"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bottom w:val="single" w:sz="12" w:space="0" w:color="000000"/>
            </w:tcBorders>
            <w:shd w:val="clear" w:color="auto" w:fill="D9D9D9"/>
            <w:vAlign w:val="center"/>
            <w:hideMark/>
          </w:tcPr>
          <w:p w14:paraId="3A731B42"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bottom w:val="single" w:sz="12" w:space="0" w:color="000000"/>
            </w:tcBorders>
            <w:shd w:val="clear" w:color="auto" w:fill="D9D9D9"/>
            <w:vAlign w:val="center"/>
            <w:hideMark/>
          </w:tcPr>
          <w:p w14:paraId="6CE976C9"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bottom w:val="single" w:sz="12" w:space="0" w:color="000000"/>
            </w:tcBorders>
            <w:shd w:val="clear" w:color="auto" w:fill="D9D9D9"/>
            <w:vAlign w:val="center"/>
            <w:hideMark/>
          </w:tcPr>
          <w:p w14:paraId="537EE59E"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bottom w:val="single" w:sz="12" w:space="0" w:color="000000"/>
            </w:tcBorders>
            <w:shd w:val="clear" w:color="auto" w:fill="D9D9D9"/>
          </w:tcPr>
          <w:p w14:paraId="463BCE1E"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c>
          <w:tcPr>
            <w:tcW w:w="0" w:type="auto"/>
            <w:tcBorders>
              <w:top w:val="single" w:sz="12" w:space="0" w:color="000000"/>
              <w:bottom w:val="single" w:sz="12" w:space="0" w:color="000000"/>
            </w:tcBorders>
            <w:shd w:val="clear" w:color="auto" w:fill="D9D9D9"/>
          </w:tcPr>
          <w:p w14:paraId="7F5F2811" w14:textId="77777777" w:rsidR="004F3ADE" w:rsidRPr="004F3ADE" w:rsidRDefault="004F3ADE" w:rsidP="004F3ADE">
            <w:pPr>
              <w:spacing w:after="0" w:line="240" w:lineRule="auto"/>
              <w:jc w:val="center"/>
              <w:rPr>
                <w:rFonts w:ascii="Cambria" w:eastAsia="Times New Roman" w:hAnsi="Cambria" w:cs="Calibri"/>
                <w:kern w:val="0"/>
                <w:sz w:val="18"/>
                <w:szCs w:val="18"/>
                <w:lang w:val="en-US" w:eastAsia="ja-JP"/>
                <w14:ligatures w14:val="none"/>
              </w:rPr>
            </w:pPr>
          </w:p>
        </w:tc>
        <w:tc>
          <w:tcPr>
            <w:tcW w:w="0" w:type="auto"/>
            <w:tcBorders>
              <w:top w:val="single" w:sz="12" w:space="0" w:color="000000"/>
              <w:bottom w:val="single" w:sz="12" w:space="0" w:color="000000"/>
            </w:tcBorders>
            <w:shd w:val="clear" w:color="auto" w:fill="D9D9D9"/>
            <w:vAlign w:val="center"/>
            <w:hideMark/>
          </w:tcPr>
          <w:p w14:paraId="009105D9"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bottom w:val="single" w:sz="12" w:space="0" w:color="000000"/>
            </w:tcBorders>
            <w:shd w:val="clear" w:color="auto" w:fill="D9D9D9"/>
          </w:tcPr>
          <w:p w14:paraId="5699F813" w14:textId="77777777" w:rsidR="004F3ADE" w:rsidRPr="004F3ADE" w:rsidRDefault="004F3ADE" w:rsidP="004F3ADE">
            <w:pPr>
              <w:spacing w:after="0" w:line="240" w:lineRule="auto"/>
              <w:rPr>
                <w:rFonts w:ascii="Cambria" w:eastAsia="Times New Roman" w:hAnsi="Cambria" w:cs="Calibri"/>
                <w:kern w:val="0"/>
                <w:sz w:val="18"/>
                <w:szCs w:val="18"/>
                <w:lang w:eastAsia="ja-JP"/>
                <w14:ligatures w14:val="none"/>
              </w:rPr>
            </w:pPr>
          </w:p>
        </w:tc>
        <w:tc>
          <w:tcPr>
            <w:tcW w:w="0" w:type="auto"/>
            <w:tcBorders>
              <w:top w:val="single" w:sz="12" w:space="0" w:color="000000"/>
              <w:bottom w:val="single" w:sz="12" w:space="0" w:color="000000"/>
            </w:tcBorders>
            <w:shd w:val="clear" w:color="auto" w:fill="D9D9D9"/>
            <w:vAlign w:val="center"/>
            <w:hideMark/>
          </w:tcPr>
          <w:p w14:paraId="6BCECB1D"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bottom w:val="single" w:sz="12" w:space="0" w:color="000000"/>
            </w:tcBorders>
            <w:shd w:val="clear" w:color="auto" w:fill="D9D9D9"/>
            <w:vAlign w:val="center"/>
            <w:hideMark/>
          </w:tcPr>
          <w:p w14:paraId="77531782"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bottom w:val="single" w:sz="12" w:space="0" w:color="000000"/>
            </w:tcBorders>
            <w:shd w:val="clear" w:color="auto" w:fill="D9D9D9"/>
            <w:vAlign w:val="center"/>
            <w:hideMark/>
          </w:tcPr>
          <w:p w14:paraId="49B9DFB8"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bottom w:val="single" w:sz="12" w:space="0" w:color="000000"/>
            </w:tcBorders>
            <w:shd w:val="clear" w:color="auto" w:fill="D9D9D9"/>
            <w:vAlign w:val="center"/>
            <w:hideMark/>
          </w:tcPr>
          <w:p w14:paraId="7AC87BAB"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bottom w:val="single" w:sz="12" w:space="0" w:color="000000"/>
            </w:tcBorders>
            <w:shd w:val="clear" w:color="auto" w:fill="D9D9D9"/>
            <w:vAlign w:val="center"/>
            <w:hideMark/>
          </w:tcPr>
          <w:p w14:paraId="783D498D" w14:textId="77777777" w:rsidR="004F3ADE" w:rsidRPr="004F3ADE" w:rsidRDefault="004F3ADE" w:rsidP="004F3ADE">
            <w:pPr>
              <w:spacing w:after="0" w:line="240" w:lineRule="auto"/>
              <w:rPr>
                <w:rFonts w:ascii="Cambria" w:eastAsia="Times New Roman" w:hAnsi="Cambria" w:cs="Calibri"/>
                <w:kern w:val="0"/>
                <w:sz w:val="18"/>
                <w:szCs w:val="18"/>
                <w:lang w:eastAsia="fr-FR" w:bidi="fr-FR"/>
                <w14:ligatures w14:val="none"/>
              </w:rPr>
            </w:pPr>
            <w:r w:rsidRPr="004F3ADE">
              <w:rPr>
                <w:rFonts w:ascii="Cambria" w:eastAsia="MS Gothic" w:hAnsi="Cambria" w:cs="Times New Roman"/>
                <w:kern w:val="0"/>
                <w:sz w:val="18"/>
                <w:szCs w:val="24"/>
                <w:lang w:eastAsia="fr-FR" w:bidi="fr-FR"/>
                <w14:ligatures w14:val="none"/>
              </w:rPr>
              <w:t> </w:t>
            </w:r>
          </w:p>
        </w:tc>
        <w:tc>
          <w:tcPr>
            <w:tcW w:w="0" w:type="auto"/>
            <w:tcBorders>
              <w:top w:val="single" w:sz="12" w:space="0" w:color="000000"/>
              <w:bottom w:val="single" w:sz="12" w:space="0" w:color="000000"/>
              <w:right w:val="single" w:sz="12" w:space="0" w:color="000000"/>
            </w:tcBorders>
            <w:shd w:val="clear" w:color="auto" w:fill="D9D9D9"/>
          </w:tcPr>
          <w:p w14:paraId="623B9EEE" w14:textId="77777777" w:rsidR="004F3ADE" w:rsidRPr="004F3ADE" w:rsidRDefault="004F3ADE" w:rsidP="004F3ADE">
            <w:pPr>
              <w:spacing w:after="0" w:line="240" w:lineRule="auto"/>
              <w:rPr>
                <w:rFonts w:ascii="Cambria" w:eastAsia="Times New Roman" w:hAnsi="Cambria" w:cs="Calibri"/>
                <w:kern w:val="0"/>
                <w:sz w:val="18"/>
                <w:szCs w:val="18"/>
                <w:lang w:val="en-US" w:eastAsia="ja-JP"/>
                <w14:ligatures w14:val="none"/>
              </w:rPr>
            </w:pPr>
          </w:p>
        </w:tc>
      </w:tr>
    </w:tbl>
    <w:p w14:paraId="395D3443" w14:textId="6F16507B" w:rsidR="004F3ADE" w:rsidRPr="004F3ADE" w:rsidRDefault="004F3ADE" w:rsidP="004F3ADE">
      <w:pPr>
        <w:tabs>
          <w:tab w:val="left" w:pos="142"/>
        </w:tabs>
        <w:spacing w:after="0" w:line="240" w:lineRule="auto"/>
        <w:jc w:val="both"/>
        <w:rPr>
          <w:rFonts w:ascii="Cambria" w:eastAsia="MS Gothic" w:hAnsi="Cambria" w:cs="Times New Roman"/>
          <w:kern w:val="0"/>
          <w:sz w:val="16"/>
          <w:szCs w:val="16"/>
          <w:lang w:eastAsia="fr-FR" w:bidi="fr-FR"/>
          <w14:ligatures w14:val="none"/>
        </w:rPr>
      </w:pPr>
      <w:hyperlink r:id="rId9" w:history="1">
        <w:r w:rsidRPr="004F3ADE">
          <w:rPr>
            <w:rFonts w:ascii="Cambria" w:eastAsia="MS Gothic" w:hAnsi="Cambria" w:cs="Times New Roman"/>
            <w:color w:val="0563C1"/>
            <w:kern w:val="0"/>
            <w:sz w:val="16"/>
            <w:szCs w:val="16"/>
            <w:vertAlign w:val="superscript"/>
            <w:lang w:eastAsia="fr-FR" w:bidi="fr-FR"/>
            <w14:ligatures w14:val="none"/>
          </w:rPr>
          <w:t>1</w:t>
        </w:r>
        <w:r w:rsidRPr="004F3ADE">
          <w:rPr>
            <w:rFonts w:ascii="Cambria" w:eastAsia="MS Gothic" w:hAnsi="Cambria" w:cs="Times New Roman"/>
            <w:color w:val="0563C1"/>
            <w:kern w:val="0"/>
            <w:sz w:val="16"/>
            <w:szCs w:val="16"/>
            <w:lang w:eastAsia="fr-FR" w:bidi="fr-FR"/>
            <w14:ligatures w14:val="none"/>
          </w:rPr>
          <w:t xml:space="preserve"> </w:t>
        </w:r>
        <w:proofErr w:type="gramStart"/>
        <w:r w:rsidR="00C0594F">
          <w:rPr>
            <w:rFonts w:ascii="Cambria" w:eastAsia="MS Gothic" w:hAnsi="Cambria" w:cs="Times New Roman"/>
            <w:color w:val="0563C1"/>
            <w:kern w:val="0"/>
            <w:sz w:val="16"/>
            <w:szCs w:val="16"/>
            <w:lang w:eastAsia="fr-FR" w:bidi="fr-FR"/>
            <w14:ligatures w14:val="none"/>
          </w:rPr>
          <w:t>Anon,</w:t>
        </w:r>
        <w:r w:rsidRPr="004F3ADE">
          <w:rPr>
            <w:rFonts w:ascii="Cambria" w:eastAsia="MS Gothic" w:hAnsi="Cambria" w:cs="Times New Roman"/>
            <w:color w:val="0563C1"/>
            <w:kern w:val="0"/>
            <w:sz w:val="16"/>
            <w:szCs w:val="16"/>
            <w:lang w:eastAsia="fr-FR" w:bidi="fr-FR"/>
            <w14:ligatures w14:val="none"/>
          </w:rPr>
          <w:t>,</w:t>
        </w:r>
        <w:proofErr w:type="gramEnd"/>
        <w:r w:rsidRPr="004F3ADE">
          <w:rPr>
            <w:rFonts w:ascii="Cambria" w:eastAsia="MS Gothic" w:hAnsi="Cambria" w:cs="Times New Roman"/>
            <w:color w:val="0563C1"/>
            <w:kern w:val="0"/>
            <w:sz w:val="16"/>
            <w:szCs w:val="16"/>
            <w:lang w:eastAsia="fr-FR" w:bidi="fr-FR"/>
            <w14:ligatures w14:val="none"/>
          </w:rPr>
          <w:t xml:space="preserve"> 2010. Rapport de la période biennale, 2008-</w:t>
        </w:r>
        <w:r w:rsidR="00C6353C">
          <w:rPr>
            <w:rFonts w:ascii="Cambria" w:eastAsia="MS Gothic" w:hAnsi="Cambria" w:cs="Times New Roman"/>
            <w:color w:val="0563C1"/>
            <w:kern w:val="0"/>
            <w:sz w:val="16"/>
            <w:szCs w:val="16"/>
            <w:lang w:eastAsia="fr-FR" w:bidi="fr-FR"/>
            <w14:ligatures w14:val="none"/>
          </w:rPr>
          <w:t>20</w:t>
        </w:r>
        <w:r w:rsidRPr="004F3ADE">
          <w:rPr>
            <w:rFonts w:ascii="Cambria" w:eastAsia="MS Gothic" w:hAnsi="Cambria" w:cs="Times New Roman"/>
            <w:color w:val="0563C1"/>
            <w:kern w:val="0"/>
            <w:sz w:val="16"/>
            <w:szCs w:val="16"/>
            <w:lang w:eastAsia="fr-FR" w:bidi="fr-FR"/>
            <w14:ligatures w14:val="none"/>
          </w:rPr>
          <w:t>09, II</w:t>
        </w:r>
        <w:r w:rsidR="00590514">
          <w:rPr>
            <w:rFonts w:ascii="Cambria" w:eastAsia="MS Gothic" w:hAnsi="Cambria" w:cs="Times New Roman"/>
            <w:color w:val="0563C1"/>
            <w:kern w:val="0"/>
            <w:sz w:val="16"/>
            <w:szCs w:val="16"/>
            <w:lang w:eastAsia="fr-FR" w:bidi="fr-FR"/>
            <w14:ligatures w14:val="none"/>
          </w:rPr>
          <w:t>e</w:t>
        </w:r>
        <w:r w:rsidRPr="004F3ADE">
          <w:rPr>
            <w:rFonts w:ascii="Cambria" w:eastAsia="MS Gothic" w:hAnsi="Cambria" w:cs="Times New Roman"/>
            <w:color w:val="0563C1"/>
            <w:kern w:val="0"/>
            <w:sz w:val="16"/>
            <w:szCs w:val="16"/>
            <w:lang w:eastAsia="fr-FR" w:bidi="fr-FR"/>
            <w14:ligatures w14:val="none"/>
          </w:rPr>
          <w:t xml:space="preserve"> Partie -Vol. 2</w:t>
        </w:r>
      </w:hyperlink>
    </w:p>
    <w:p w14:paraId="47AAB958" w14:textId="77777777" w:rsidR="004F3ADE" w:rsidRPr="004F3ADE" w:rsidRDefault="004F3ADE" w:rsidP="004F3ADE">
      <w:pPr>
        <w:tabs>
          <w:tab w:val="left" w:pos="142"/>
        </w:tabs>
        <w:spacing w:after="0" w:line="240" w:lineRule="auto"/>
        <w:jc w:val="both"/>
        <w:rPr>
          <w:rFonts w:ascii="Cambria" w:eastAsia="MS Gothic" w:hAnsi="Cambria" w:cs="Times New Roman"/>
          <w:kern w:val="0"/>
          <w:sz w:val="16"/>
          <w:szCs w:val="16"/>
          <w:lang w:eastAsia="fr-FR" w:bidi="fr-FR"/>
          <w14:ligatures w14:val="none"/>
        </w:rPr>
      </w:pPr>
      <w:r w:rsidRPr="004F3ADE">
        <w:rPr>
          <w:rFonts w:ascii="Cambria" w:eastAsia="MS Gothic" w:hAnsi="Cambria" w:cs="Times New Roman"/>
          <w:kern w:val="0"/>
          <w:sz w:val="16"/>
          <w:szCs w:val="16"/>
          <w:vertAlign w:val="superscript"/>
          <w:lang w:eastAsia="fr-FR" w:bidi="fr-FR"/>
          <w14:ligatures w14:val="none"/>
        </w:rPr>
        <w:t>2</w:t>
      </w:r>
      <w:r w:rsidRPr="004F3ADE">
        <w:rPr>
          <w:rFonts w:ascii="Cambria" w:eastAsia="MS Gothic" w:hAnsi="Cambria" w:cs="Times New Roman"/>
          <w:kern w:val="0"/>
          <w:sz w:val="16"/>
          <w:szCs w:val="16"/>
          <w:lang w:eastAsia="fr-FR" w:bidi="fr-FR"/>
          <w14:ligatures w14:val="none"/>
        </w:rPr>
        <w:t xml:space="preserve"> Année de référence 2018. </w:t>
      </w:r>
      <w:r w:rsidRPr="004F3ADE">
        <w:rPr>
          <w:rFonts w:ascii="Cambria" w:eastAsia="MS Gothic" w:hAnsi="Cambria" w:cs="Times New Roman"/>
          <w:color w:val="000000"/>
          <w:kern w:val="0"/>
          <w:sz w:val="16"/>
          <w:szCs w:val="16"/>
          <w:lang w:eastAsia="fr-FR" w:bidi="fr-FR"/>
          <w14:ligatures w14:val="none"/>
        </w:rPr>
        <w:t xml:space="preserve">Paragraphes 16-18 de la </w:t>
      </w:r>
      <w:hyperlink r:id="rId10" w:history="1">
        <w:r w:rsidRPr="004F3ADE">
          <w:rPr>
            <w:rFonts w:ascii="Cambria" w:eastAsia="MS Gothic" w:hAnsi="Cambria" w:cs="Times New Roman"/>
            <w:color w:val="0563C1"/>
            <w:kern w:val="0"/>
            <w:sz w:val="16"/>
            <w:szCs w:val="16"/>
            <w:lang w:eastAsia="fr-FR" w:bidi="fr-FR"/>
            <w14:ligatures w14:val="none"/>
          </w:rPr>
          <w:t>Rec.</w:t>
        </w:r>
      </w:hyperlink>
      <w:hyperlink r:id="rId11" w:history="1">
        <w:r w:rsidRPr="004F3ADE">
          <w:rPr>
            <w:rFonts w:ascii="Cambria" w:eastAsia="MS Gothic" w:hAnsi="Cambria" w:cs="Times New Roman"/>
            <w:color w:val="0563C1"/>
            <w:kern w:val="0"/>
            <w:sz w:val="16"/>
            <w:szCs w:val="16"/>
            <w:lang w:eastAsia="fr-FR" w:bidi="fr-FR"/>
            <w14:ligatures w14:val="none"/>
          </w:rPr>
          <w:t xml:space="preserve"> 24-05</w:t>
        </w:r>
      </w:hyperlink>
      <w:r w:rsidRPr="004F3ADE">
        <w:rPr>
          <w:rFonts w:ascii="Cambria" w:eastAsia="MS Gothic" w:hAnsi="Cambria" w:cs="Times New Roman"/>
          <w:kern w:val="0"/>
          <w:sz w:val="16"/>
          <w:szCs w:val="16"/>
          <w:lang w:eastAsia="fr-FR" w:bidi="fr-FR"/>
          <w14:ligatures w14:val="none"/>
        </w:rPr>
        <w:t>.</w:t>
      </w:r>
    </w:p>
    <w:p w14:paraId="7B9537FC" w14:textId="77777777" w:rsidR="004F3ADE" w:rsidRPr="004F3ADE" w:rsidRDefault="004F3ADE" w:rsidP="004F3ADE">
      <w:pPr>
        <w:tabs>
          <w:tab w:val="left" w:pos="142"/>
        </w:tabs>
        <w:spacing w:after="0" w:line="240" w:lineRule="auto"/>
        <w:jc w:val="both"/>
        <w:rPr>
          <w:rFonts w:ascii="Cambria" w:eastAsia="MS Gothic" w:hAnsi="Cambria" w:cs="Times New Roman"/>
          <w:kern w:val="0"/>
          <w:sz w:val="16"/>
          <w:szCs w:val="16"/>
          <w:lang w:eastAsia="fr-FR" w:bidi="fr-FR"/>
          <w14:ligatures w14:val="none"/>
        </w:rPr>
      </w:pPr>
      <w:r w:rsidRPr="004F3ADE">
        <w:rPr>
          <w:rFonts w:ascii="Cambria" w:eastAsia="MS Gothic" w:hAnsi="Cambria" w:cs="Times New Roman"/>
          <w:kern w:val="0"/>
          <w:sz w:val="16"/>
          <w:szCs w:val="16"/>
          <w:vertAlign w:val="superscript"/>
          <w:lang w:eastAsia="fr-FR" w:bidi="fr-FR"/>
          <w14:ligatures w14:val="none"/>
        </w:rPr>
        <w:t>3</w:t>
      </w:r>
      <w:r w:rsidRPr="004F3ADE">
        <w:rPr>
          <w:rFonts w:ascii="Cambria" w:eastAsia="MS Gothic" w:hAnsi="Cambria" w:cs="Times New Roman"/>
          <w:kern w:val="0"/>
          <w:sz w:val="16"/>
          <w:szCs w:val="16"/>
          <w:lang w:eastAsia="fr-FR" w:bidi="fr-FR"/>
          <w14:ligatures w14:val="none"/>
        </w:rPr>
        <w:t xml:space="preserve"> Année de référence 2006. Paragraphe 1 de l’annexe 1 </w:t>
      </w:r>
      <w:r w:rsidRPr="004F3ADE">
        <w:rPr>
          <w:rFonts w:ascii="Cambria" w:eastAsia="MS Gothic" w:hAnsi="Cambria" w:cs="Times New Roman"/>
          <w:color w:val="000000"/>
          <w:kern w:val="0"/>
          <w:sz w:val="16"/>
          <w:szCs w:val="16"/>
          <w:lang w:eastAsia="fr-FR" w:bidi="fr-FR"/>
          <w14:ligatures w14:val="none"/>
        </w:rPr>
        <w:t xml:space="preserve">de la </w:t>
      </w:r>
      <w:hyperlink r:id="rId12" w:history="1">
        <w:r w:rsidRPr="004F3ADE">
          <w:rPr>
            <w:rFonts w:ascii="Cambria" w:eastAsia="MS Gothic" w:hAnsi="Cambria" w:cs="Times New Roman"/>
            <w:color w:val="0563C1"/>
            <w:kern w:val="0"/>
            <w:sz w:val="16"/>
            <w:szCs w:val="16"/>
            <w:lang w:eastAsia="fr-FR" w:bidi="fr-FR"/>
            <w14:ligatures w14:val="none"/>
          </w:rPr>
          <w:t>Rec.</w:t>
        </w:r>
      </w:hyperlink>
      <w:hyperlink r:id="rId13" w:history="1">
        <w:r w:rsidRPr="004F3ADE">
          <w:rPr>
            <w:rFonts w:ascii="Cambria" w:eastAsia="MS Gothic" w:hAnsi="Cambria" w:cs="Times New Roman"/>
            <w:color w:val="0563C1"/>
            <w:kern w:val="0"/>
            <w:sz w:val="16"/>
            <w:szCs w:val="16"/>
            <w:lang w:eastAsia="fr-FR" w:bidi="fr-FR"/>
            <w14:ligatures w14:val="none"/>
          </w:rPr>
          <w:t xml:space="preserve"> 24-05</w:t>
        </w:r>
      </w:hyperlink>
      <w:r w:rsidRPr="004F3ADE">
        <w:rPr>
          <w:rFonts w:ascii="Cambria" w:eastAsia="MS Gothic" w:hAnsi="Cambria" w:cs="Times New Roman"/>
          <w:kern w:val="0"/>
          <w:sz w:val="16"/>
          <w:szCs w:val="16"/>
          <w:lang w:eastAsia="fr-FR" w:bidi="fr-FR"/>
          <w14:ligatures w14:val="none"/>
        </w:rPr>
        <w:t>.</w:t>
      </w:r>
    </w:p>
    <w:p w14:paraId="2691C8A4" w14:textId="77777777" w:rsidR="004F3ADE" w:rsidRPr="004F3ADE" w:rsidRDefault="004F3ADE" w:rsidP="004F3ADE">
      <w:pPr>
        <w:tabs>
          <w:tab w:val="left" w:pos="142"/>
        </w:tabs>
        <w:spacing w:after="0" w:line="240" w:lineRule="auto"/>
        <w:jc w:val="both"/>
        <w:rPr>
          <w:rFonts w:ascii="Cambria" w:eastAsia="MS Gothic" w:hAnsi="Cambria" w:cs="Times New Roman"/>
          <w:kern w:val="0"/>
          <w:sz w:val="16"/>
          <w:szCs w:val="16"/>
          <w:lang w:eastAsia="fr-FR" w:bidi="fr-FR"/>
          <w14:ligatures w14:val="none"/>
        </w:rPr>
      </w:pPr>
      <w:r w:rsidRPr="004F3ADE">
        <w:rPr>
          <w:rFonts w:ascii="Cambria" w:eastAsia="MS Gothic" w:hAnsi="Cambria" w:cs="Times New Roman"/>
          <w:kern w:val="0"/>
          <w:sz w:val="16"/>
          <w:szCs w:val="16"/>
          <w:vertAlign w:val="superscript"/>
          <w:lang w:eastAsia="fr-FR" w:bidi="fr-FR"/>
          <w14:ligatures w14:val="none"/>
        </w:rPr>
        <w:t>4</w:t>
      </w:r>
      <w:r w:rsidRPr="004F3ADE">
        <w:rPr>
          <w:rFonts w:ascii="Cambria" w:eastAsia="MS Gothic" w:hAnsi="Cambria" w:cs="Times New Roman"/>
          <w:kern w:val="0"/>
          <w:sz w:val="16"/>
          <w:szCs w:val="16"/>
          <w:lang w:eastAsia="fr-FR" w:bidi="fr-FR"/>
          <w14:ligatures w14:val="none"/>
        </w:rPr>
        <w:t xml:space="preserve"> Année de référence 2008. Paragraphe 1 de l’annexe 1 </w:t>
      </w:r>
      <w:r w:rsidRPr="004F3ADE">
        <w:rPr>
          <w:rFonts w:ascii="Cambria" w:eastAsia="MS Gothic" w:hAnsi="Cambria" w:cs="Times New Roman"/>
          <w:color w:val="000000"/>
          <w:kern w:val="0"/>
          <w:sz w:val="16"/>
          <w:szCs w:val="16"/>
          <w:lang w:eastAsia="fr-FR" w:bidi="fr-FR"/>
          <w14:ligatures w14:val="none"/>
        </w:rPr>
        <w:t xml:space="preserve">de la </w:t>
      </w:r>
      <w:hyperlink r:id="rId14" w:history="1">
        <w:r w:rsidRPr="004F3ADE">
          <w:rPr>
            <w:rFonts w:ascii="Cambria" w:eastAsia="MS Gothic" w:hAnsi="Cambria" w:cs="Times New Roman"/>
            <w:color w:val="0563C1"/>
            <w:kern w:val="0"/>
            <w:sz w:val="16"/>
            <w:szCs w:val="16"/>
            <w:lang w:eastAsia="fr-FR" w:bidi="fr-FR"/>
            <w14:ligatures w14:val="none"/>
          </w:rPr>
          <w:t>Rec.</w:t>
        </w:r>
      </w:hyperlink>
      <w:hyperlink r:id="rId15" w:history="1">
        <w:r w:rsidRPr="004F3ADE">
          <w:rPr>
            <w:rFonts w:ascii="Cambria" w:eastAsia="MS Gothic" w:hAnsi="Cambria" w:cs="Times New Roman"/>
            <w:color w:val="0563C1"/>
            <w:kern w:val="0"/>
            <w:sz w:val="16"/>
            <w:szCs w:val="16"/>
            <w:lang w:eastAsia="fr-FR" w:bidi="fr-FR"/>
            <w14:ligatures w14:val="none"/>
          </w:rPr>
          <w:t xml:space="preserve"> 24-05</w:t>
        </w:r>
      </w:hyperlink>
      <w:r w:rsidRPr="004F3ADE">
        <w:rPr>
          <w:rFonts w:ascii="Cambria" w:eastAsia="MS Gothic" w:hAnsi="Cambria" w:cs="Times New Roman"/>
          <w:kern w:val="0"/>
          <w:sz w:val="16"/>
          <w:szCs w:val="16"/>
          <w:lang w:eastAsia="fr-FR" w:bidi="fr-FR"/>
          <w14:ligatures w14:val="none"/>
        </w:rPr>
        <w:t>.</w:t>
      </w:r>
    </w:p>
    <w:p w14:paraId="41CB0C6D" w14:textId="77777777" w:rsidR="004F3ADE" w:rsidRPr="004F3ADE" w:rsidRDefault="004F3ADE" w:rsidP="004F3ADE">
      <w:pPr>
        <w:tabs>
          <w:tab w:val="left" w:pos="142"/>
        </w:tabs>
        <w:spacing w:after="0" w:line="240" w:lineRule="auto"/>
        <w:jc w:val="both"/>
        <w:rPr>
          <w:rFonts w:ascii="Cambria" w:eastAsia="MS Gothic" w:hAnsi="Cambria" w:cs="Times New Roman"/>
          <w:kern w:val="0"/>
          <w:sz w:val="16"/>
          <w:szCs w:val="16"/>
          <w:lang w:eastAsia="fr-FR" w:bidi="fr-FR"/>
          <w14:ligatures w14:val="none"/>
        </w:rPr>
      </w:pPr>
      <w:r w:rsidRPr="004F3ADE">
        <w:rPr>
          <w:rFonts w:ascii="Cambria" w:eastAsia="MS Gothic" w:hAnsi="Cambria" w:cs="Times New Roman"/>
          <w:kern w:val="0"/>
          <w:sz w:val="16"/>
          <w:szCs w:val="16"/>
          <w:vertAlign w:val="superscript"/>
          <w:lang w:eastAsia="fr-FR" w:bidi="fr-FR"/>
          <w14:ligatures w14:val="none"/>
        </w:rPr>
        <w:t>5</w:t>
      </w:r>
      <w:r w:rsidRPr="004F3ADE">
        <w:rPr>
          <w:rFonts w:ascii="Cambria" w:eastAsia="MS Gothic" w:hAnsi="Cambria" w:cs="Times New Roman"/>
          <w:kern w:val="0"/>
          <w:sz w:val="16"/>
          <w:szCs w:val="16"/>
          <w:lang w:eastAsia="fr-FR" w:bidi="fr-FR"/>
          <w14:ligatures w14:val="none"/>
        </w:rPr>
        <w:t xml:space="preserve"> Le « quota initial » fait référence au quota alloué à une CPC en vertu de la Recommandation pertinente.</w:t>
      </w:r>
    </w:p>
    <w:p w14:paraId="25A88B10" w14:textId="77777777" w:rsidR="004F3ADE" w:rsidRPr="004F3ADE" w:rsidRDefault="004F3ADE" w:rsidP="004F3ADE">
      <w:pPr>
        <w:tabs>
          <w:tab w:val="left" w:pos="142"/>
        </w:tabs>
        <w:spacing w:after="0" w:line="240" w:lineRule="auto"/>
        <w:jc w:val="both"/>
        <w:rPr>
          <w:rFonts w:ascii="Cambria" w:eastAsia="MS Gothic" w:hAnsi="Cambria" w:cs="Times New Roman"/>
          <w:kern w:val="0"/>
          <w:sz w:val="16"/>
          <w:szCs w:val="16"/>
          <w:lang w:eastAsia="fr-FR" w:bidi="fr-FR"/>
          <w14:ligatures w14:val="none"/>
        </w:rPr>
      </w:pPr>
      <w:r w:rsidRPr="004F3ADE">
        <w:rPr>
          <w:rFonts w:ascii="Cambria" w:eastAsia="MS Gothic" w:hAnsi="Cambria" w:cs="Times New Roman"/>
          <w:kern w:val="0"/>
          <w:sz w:val="16"/>
          <w:szCs w:val="16"/>
          <w:vertAlign w:val="superscript"/>
          <w:lang w:eastAsia="fr-FR" w:bidi="fr-FR"/>
          <w14:ligatures w14:val="none"/>
        </w:rPr>
        <w:t xml:space="preserve">6 </w:t>
      </w:r>
      <w:r w:rsidRPr="004F3ADE">
        <w:rPr>
          <w:rFonts w:ascii="Cambria" w:eastAsia="MS Gothic" w:hAnsi="Cambria" w:cs="Times New Roman"/>
          <w:kern w:val="0"/>
          <w:sz w:val="16"/>
          <w:szCs w:val="16"/>
          <w:lang w:eastAsia="fr-FR" w:bidi="fr-FR"/>
          <w14:ligatures w14:val="none"/>
        </w:rPr>
        <w:t>Le « quota ajusté » est calculé comme étant le « quota initial » plus ou moins tout transfert que la CPC reçoit ou effectue, plus tout report de l'année précédente, moins toute surconsommation potentielle [AQ = IQ ± transferts + report - surconsommation].</w:t>
      </w:r>
    </w:p>
    <w:p w14:paraId="4DEBBA01" w14:textId="7D083448" w:rsidR="004F3ADE" w:rsidRPr="004F3ADE" w:rsidRDefault="004F3ADE" w:rsidP="004F3ADE">
      <w:pPr>
        <w:tabs>
          <w:tab w:val="left" w:pos="142"/>
        </w:tabs>
        <w:spacing w:after="0" w:line="240" w:lineRule="auto"/>
        <w:jc w:val="both"/>
        <w:rPr>
          <w:rFonts w:ascii="Cambria" w:eastAsia="MS Gothic" w:hAnsi="Cambria" w:cs="Times New Roman"/>
          <w:kern w:val="0"/>
          <w:sz w:val="16"/>
          <w:szCs w:val="16"/>
          <w:lang w:eastAsia="fr-FR" w:bidi="fr-FR"/>
          <w14:ligatures w14:val="none"/>
        </w:rPr>
      </w:pPr>
      <w:r w:rsidRPr="004F3ADE">
        <w:rPr>
          <w:rFonts w:ascii="Cambria" w:eastAsia="MS Gothic" w:hAnsi="Cambria" w:cs="Times New Roman"/>
          <w:kern w:val="0"/>
          <w:sz w:val="16"/>
          <w:szCs w:val="16"/>
          <w:vertAlign w:val="superscript"/>
          <w:lang w:eastAsia="fr-FR" w:bidi="fr-FR"/>
          <w14:ligatures w14:val="none"/>
        </w:rPr>
        <w:t>7</w:t>
      </w:r>
      <w:r w:rsidRPr="004F3ADE">
        <w:rPr>
          <w:rFonts w:ascii="Cambria" w:eastAsia="MS Gothic" w:hAnsi="Cambria" w:cs="Times New Roman"/>
          <w:kern w:val="0"/>
          <w:sz w:val="16"/>
          <w:szCs w:val="16"/>
          <w:lang w:eastAsia="fr-FR" w:bidi="fr-FR"/>
          <w14:ligatures w14:val="none"/>
        </w:rPr>
        <w:t xml:space="preserve"> Le « quota disponible » est calculé comme le « quota ajusté » moins les allocations pour les prises accessoires, la recherche scientifique et les tolérances pour la pêche sportive et récréative [</w:t>
      </w:r>
      <w:proofErr w:type="spellStart"/>
      <w:r w:rsidRPr="004F3ADE">
        <w:rPr>
          <w:rFonts w:ascii="Cambria" w:eastAsia="MS Gothic" w:hAnsi="Cambria" w:cs="Times New Roman"/>
          <w:kern w:val="0"/>
          <w:sz w:val="16"/>
          <w:szCs w:val="16"/>
          <w:lang w:eastAsia="fr-FR" w:bidi="fr-FR"/>
          <w14:ligatures w14:val="none"/>
        </w:rPr>
        <w:t>AvQ</w:t>
      </w:r>
      <w:proofErr w:type="spellEnd"/>
      <w:r w:rsidRPr="004F3ADE">
        <w:rPr>
          <w:rFonts w:ascii="Cambria" w:eastAsia="MS Gothic" w:hAnsi="Cambria" w:cs="Times New Roman"/>
          <w:kern w:val="0"/>
          <w:sz w:val="16"/>
          <w:szCs w:val="16"/>
          <w:lang w:eastAsia="fr-FR" w:bidi="fr-FR"/>
          <w14:ligatures w14:val="none"/>
        </w:rPr>
        <w:t xml:space="preserve"> = AQ – (prises accessoires + recherche scientifique + tolérances pour la pêche sportive/récréative)].</w:t>
      </w:r>
    </w:p>
    <w:p w14:paraId="674BA65B" w14:textId="77777777" w:rsidR="004F3ADE" w:rsidRPr="004F3ADE" w:rsidRDefault="004F3ADE" w:rsidP="004F3ADE">
      <w:pPr>
        <w:tabs>
          <w:tab w:val="left" w:pos="142"/>
        </w:tabs>
        <w:spacing w:after="0" w:line="240" w:lineRule="auto"/>
        <w:jc w:val="both"/>
        <w:rPr>
          <w:rFonts w:ascii="Cambria" w:eastAsia="MS Gothic" w:hAnsi="Cambria" w:cs="Times New Roman"/>
          <w:kern w:val="0"/>
          <w:sz w:val="16"/>
          <w:szCs w:val="16"/>
          <w:lang w:eastAsia="fr-FR" w:bidi="fr-FR"/>
          <w14:ligatures w14:val="none"/>
        </w:rPr>
      </w:pPr>
      <w:r w:rsidRPr="004F3ADE">
        <w:rPr>
          <w:rFonts w:ascii="Cambria" w:eastAsia="MS Gothic" w:hAnsi="Cambria" w:cs="Times New Roman"/>
          <w:kern w:val="0"/>
          <w:sz w:val="16"/>
          <w:szCs w:val="16"/>
          <w:vertAlign w:val="superscript"/>
          <w:lang w:eastAsia="fr-FR" w:bidi="fr-FR"/>
          <w14:ligatures w14:val="none"/>
        </w:rPr>
        <w:t>8</w:t>
      </w:r>
      <w:r w:rsidRPr="004F3ADE">
        <w:rPr>
          <w:rFonts w:ascii="Cambria" w:eastAsia="MS Gothic" w:hAnsi="Cambria" w:cs="Times New Roman"/>
          <w:kern w:val="0"/>
          <w:sz w:val="16"/>
          <w:szCs w:val="16"/>
          <w:vertAlign w:val="superscript"/>
          <w:lang w:eastAsia="fr-FR" w:bidi="fr-FR"/>
          <w14:ligatures w14:val="none"/>
        </w:rPr>
        <w:tab/>
      </w:r>
      <w:r w:rsidRPr="004F3ADE">
        <w:rPr>
          <w:rFonts w:ascii="Cambria" w:eastAsia="MS Gothic" w:hAnsi="Cambria" w:cs="Times New Roman"/>
          <w:kern w:val="0"/>
          <w:sz w:val="16"/>
          <w:szCs w:val="16"/>
          <w:lang w:eastAsia="fr-FR" w:bidi="fr-FR"/>
          <w14:ligatures w14:val="none"/>
        </w:rPr>
        <w:t xml:space="preserve">La « sous/surcapacité » est calculée en soustrayant le « quota disponible » de la « Capacité totale de la flottille/de pêche ». Si le chiffre calculé est supérieur à 0, il y a surcapacité. </w:t>
      </w:r>
      <w:r w:rsidRPr="004F3ADE">
        <w:rPr>
          <w:rFonts w:ascii="Cambria" w:eastAsia="MS Gothic" w:hAnsi="Cambria" w:cs="Times New Roman"/>
          <w:color w:val="000000"/>
          <w:kern w:val="0"/>
          <w:sz w:val="16"/>
          <w:szCs w:val="16"/>
          <w:lang w:eastAsia="fr-FR" w:bidi="fr-FR"/>
          <w14:ligatures w14:val="none"/>
        </w:rPr>
        <w:t>Si le chiffre est inférieur à 0, cela signifie une sous-capacité et il faut utiliser le signe moins (-).</w:t>
      </w:r>
      <w:r w:rsidRPr="004F3ADE">
        <w:rPr>
          <w:rFonts w:ascii="Cambria" w:eastAsia="MS Gothic" w:hAnsi="Cambria" w:cs="Times New Roman"/>
          <w:kern w:val="0"/>
          <w:sz w:val="16"/>
          <w:szCs w:val="16"/>
          <w:lang w:eastAsia="fr-FR" w:bidi="fr-FR"/>
          <w14:ligatures w14:val="none"/>
        </w:rPr>
        <w:t xml:space="preserve"> [UC/OC = Capacité totale de la flottille/de pêche – </w:t>
      </w:r>
      <w:proofErr w:type="spellStart"/>
      <w:r w:rsidRPr="004F3ADE">
        <w:rPr>
          <w:rFonts w:ascii="Cambria" w:eastAsia="MS Gothic" w:hAnsi="Cambria" w:cs="Times New Roman"/>
          <w:kern w:val="0"/>
          <w:sz w:val="16"/>
          <w:szCs w:val="16"/>
          <w:lang w:eastAsia="fr-FR" w:bidi="fr-FR"/>
          <w14:ligatures w14:val="none"/>
        </w:rPr>
        <w:t>AvQ</w:t>
      </w:r>
      <w:proofErr w:type="spellEnd"/>
      <w:r w:rsidRPr="004F3ADE">
        <w:rPr>
          <w:rFonts w:ascii="Cambria" w:eastAsia="MS Gothic" w:hAnsi="Cambria" w:cs="Times New Roman"/>
          <w:kern w:val="0"/>
          <w:sz w:val="16"/>
          <w:szCs w:val="16"/>
          <w:lang w:eastAsia="fr-FR" w:bidi="fr-FR"/>
          <w14:ligatures w14:val="none"/>
        </w:rPr>
        <w:t>]. Par exemple, si la capacité est de 1.000 et le quota disponible est de 1.050, inscrire « -50 » dans « sous/surcapacité ».</w:t>
      </w:r>
    </w:p>
    <w:p w14:paraId="7A6A0090" w14:textId="5C39E3C6" w:rsidR="00B43974" w:rsidRPr="004F3ADE" w:rsidRDefault="004F3ADE" w:rsidP="004F3ADE">
      <w:pPr>
        <w:tabs>
          <w:tab w:val="left" w:pos="142"/>
        </w:tabs>
        <w:spacing w:after="0" w:line="240" w:lineRule="auto"/>
        <w:jc w:val="both"/>
        <w:rPr>
          <w:rFonts w:ascii="Cambria" w:eastAsia="MS Gothic" w:hAnsi="Cambria" w:cs="Times New Roman"/>
          <w:kern w:val="0"/>
          <w:sz w:val="16"/>
          <w:szCs w:val="16"/>
          <w14:ligatures w14:val="none"/>
        </w:rPr>
        <w:sectPr w:rsidR="00B43974" w:rsidRPr="004F3ADE" w:rsidSect="00B43974">
          <w:footerReference w:type="default" r:id="rId16"/>
          <w:pgSz w:w="16838" w:h="11906" w:orient="landscape" w:code="9"/>
          <w:pgMar w:top="720" w:right="720" w:bottom="720" w:left="720" w:header="851" w:footer="1134" w:gutter="0"/>
          <w:cols w:space="425"/>
          <w:docGrid w:linePitch="360"/>
        </w:sectPr>
      </w:pPr>
      <w:r w:rsidRPr="004F3ADE">
        <w:rPr>
          <w:rFonts w:ascii="Cambria" w:eastAsia="MS Gothic" w:hAnsi="Cambria" w:cs="Times New Roman"/>
          <w:kern w:val="0"/>
          <w:sz w:val="16"/>
          <w:szCs w:val="16"/>
          <w:lang w:eastAsia="fr-FR" w:bidi="fr-FR"/>
          <w14:ligatures w14:val="none"/>
        </w:rPr>
        <w:t>* Exprimé en tonnes.</w:t>
      </w:r>
      <w:r w:rsidR="00B43974" w:rsidRPr="004F3ADE">
        <w:rPr>
          <w:rFonts w:ascii="Cambria" w:hAnsi="Cambria"/>
          <w:sz w:val="16"/>
        </w:rPr>
        <w:t xml:space="preserve"> </w:t>
      </w:r>
    </w:p>
    <w:p w14:paraId="73A46DCF" w14:textId="77777777" w:rsidR="00B43974" w:rsidRPr="00B43974" w:rsidRDefault="00B43974" w:rsidP="00B43974">
      <w:pPr>
        <w:tabs>
          <w:tab w:val="left" w:pos="142"/>
        </w:tabs>
        <w:spacing w:after="0" w:line="240" w:lineRule="auto"/>
        <w:jc w:val="both"/>
        <w:rPr>
          <w:rFonts w:ascii="Cambria" w:eastAsia="MS Gothic" w:hAnsi="Cambria" w:cs="Times New Roman"/>
          <w:kern w:val="0"/>
          <w:sz w:val="16"/>
          <w:szCs w:val="16"/>
          <w:lang w:eastAsia="fr-FR" w:bidi="fr-FR"/>
          <w14:ligatures w14:val="none"/>
        </w:rPr>
        <w:sectPr w:rsidR="00B43974" w:rsidRPr="00B43974" w:rsidSect="00B43974">
          <w:type w:val="continuous"/>
          <w:pgSz w:w="16838" w:h="11906" w:orient="landscape" w:code="9"/>
          <w:pgMar w:top="720" w:right="720" w:bottom="720" w:left="720" w:header="851" w:footer="1134" w:gutter="0"/>
          <w:cols w:space="425"/>
          <w:docGrid w:linePitch="360"/>
        </w:sectPr>
      </w:pPr>
    </w:p>
    <w:p w14:paraId="0804D700" w14:textId="77777777" w:rsidR="00883568" w:rsidRDefault="00883568" w:rsidP="009D124E">
      <w:pPr>
        <w:tabs>
          <w:tab w:val="left" w:pos="142"/>
        </w:tabs>
        <w:spacing w:after="0" w:line="240" w:lineRule="auto"/>
        <w:jc w:val="center"/>
        <w:rPr>
          <w:rFonts w:ascii="Cambria" w:hAnsi="Cambria"/>
          <w:b/>
          <w:sz w:val="20"/>
        </w:rPr>
      </w:pPr>
    </w:p>
    <w:p w14:paraId="3F67FC14" w14:textId="18D6EB12" w:rsidR="00381F31" w:rsidRPr="00381F31" w:rsidRDefault="00381F31" w:rsidP="009D124E">
      <w:pPr>
        <w:tabs>
          <w:tab w:val="left" w:pos="142"/>
        </w:tabs>
        <w:spacing w:after="0" w:line="240" w:lineRule="auto"/>
        <w:jc w:val="center"/>
        <w:rPr>
          <w:rFonts w:ascii="Cambria" w:eastAsia="MS Gothic" w:hAnsi="Cambria" w:cs="Times New Roman"/>
          <w:b/>
          <w:bCs/>
          <w:kern w:val="0"/>
          <w:sz w:val="20"/>
          <w:szCs w:val="20"/>
          <w14:ligatures w14:val="none"/>
        </w:rPr>
      </w:pPr>
      <w:r>
        <w:rPr>
          <w:rFonts w:ascii="Cambria" w:hAnsi="Cambria"/>
          <w:b/>
          <w:sz w:val="20"/>
        </w:rPr>
        <w:t>Commentaires de l'Union européenne concernant les modifications proposées</w:t>
      </w:r>
    </w:p>
    <w:p w14:paraId="133E6CC0" w14:textId="77777777" w:rsidR="00381F31" w:rsidRPr="00EA27E8" w:rsidRDefault="00381F31" w:rsidP="00556B72">
      <w:pPr>
        <w:tabs>
          <w:tab w:val="left" w:pos="142"/>
        </w:tabs>
        <w:spacing w:after="0" w:line="240" w:lineRule="auto"/>
        <w:rPr>
          <w:rFonts w:ascii="Cambria" w:eastAsia="MS Gothic" w:hAnsi="Cambria" w:cs="Times New Roman"/>
          <w:kern w:val="0"/>
          <w:sz w:val="20"/>
          <w:szCs w:val="20"/>
          <w:lang w:eastAsia="fr-FR" w:bidi="fr-FR"/>
          <w14:ligatures w14:val="none"/>
        </w:rPr>
      </w:pPr>
    </w:p>
    <w:p w14:paraId="5CDEC14A" w14:textId="77777777" w:rsidR="00381F31" w:rsidRPr="00381F31" w:rsidRDefault="00381F31" w:rsidP="00556B72">
      <w:pPr>
        <w:tabs>
          <w:tab w:val="left" w:pos="142"/>
        </w:tabs>
        <w:spacing w:after="0" w:line="240" w:lineRule="auto"/>
        <w:jc w:val="both"/>
        <w:rPr>
          <w:rFonts w:ascii="Cambria" w:eastAsia="MS Gothic" w:hAnsi="Cambria" w:cs="Times New Roman"/>
          <w:kern w:val="0"/>
          <w:sz w:val="20"/>
          <w:szCs w:val="20"/>
          <w14:ligatures w14:val="none"/>
        </w:rPr>
      </w:pPr>
      <w:r>
        <w:rPr>
          <w:rFonts w:ascii="Cambria" w:hAnsi="Cambria"/>
          <w:sz w:val="20"/>
        </w:rPr>
        <w:t>Après une analyse approfondie du tableau du SCRS de 2009 sur lequel sont basés les montants des taux de capture inclus dans le tableau de la capacité du plan de pêche, nous avons vérifié que seuls deux segments de flottille figurent dans ce tableau avec des chiffres arrondis - de deux à une décimale. Il s'agit des senneurs et des canneurs.</w:t>
      </w:r>
    </w:p>
    <w:p w14:paraId="68AA0EEB" w14:textId="77777777" w:rsidR="00381F31" w:rsidRPr="00EA27E8" w:rsidRDefault="00381F31" w:rsidP="00556B72">
      <w:pPr>
        <w:tabs>
          <w:tab w:val="left" w:pos="142"/>
        </w:tabs>
        <w:spacing w:after="0" w:line="240" w:lineRule="auto"/>
        <w:jc w:val="both"/>
        <w:rPr>
          <w:rFonts w:ascii="Cambria" w:eastAsia="MS Gothic" w:hAnsi="Cambria" w:cs="Times New Roman"/>
          <w:kern w:val="0"/>
          <w:sz w:val="20"/>
          <w:szCs w:val="20"/>
          <w:lang w:eastAsia="fr-FR" w:bidi="fr-FR"/>
          <w14:ligatures w14:val="none"/>
        </w:rPr>
      </w:pPr>
    </w:p>
    <w:p w14:paraId="5F0B41CF" w14:textId="77777777" w:rsidR="00381F31" w:rsidRPr="00381F31" w:rsidRDefault="00381F31" w:rsidP="00556B72">
      <w:pPr>
        <w:tabs>
          <w:tab w:val="left" w:pos="142"/>
        </w:tabs>
        <w:spacing w:after="0" w:line="240" w:lineRule="auto"/>
        <w:jc w:val="both"/>
        <w:rPr>
          <w:rFonts w:ascii="Cambria" w:eastAsia="MS Gothic" w:hAnsi="Cambria" w:cs="Times New Roman"/>
          <w:kern w:val="0"/>
          <w:sz w:val="20"/>
          <w:szCs w:val="20"/>
          <w14:ligatures w14:val="none"/>
        </w:rPr>
      </w:pPr>
      <w:r>
        <w:rPr>
          <w:rFonts w:ascii="Cambria" w:hAnsi="Cambria"/>
          <w:sz w:val="20"/>
        </w:rPr>
        <w:t>Par conséquent, en confirmant ce fait à temps, et étant donné que le tableau fait actuellement l'objet d'une révision et d'une mise au point à ce stade, nous pensons qu'il s'agit de l’occasion d'harmoniser l'approche des taux de capture. Ainsi, les chiffres reflétés dans le tableau de la capacité devraient soit correspondre exactement à ceux du tableau du SCRS de 2009, soit être uniformément arrondis à la première décimale.</w:t>
      </w:r>
    </w:p>
    <w:p w14:paraId="12107F50" w14:textId="77777777" w:rsidR="00B43974" w:rsidRPr="00EA27E8" w:rsidRDefault="00B43974" w:rsidP="00B43974">
      <w:pPr>
        <w:rPr>
          <w:rFonts w:ascii="Cambria" w:hAnsi="Cambria"/>
          <w:sz w:val="20"/>
          <w:szCs w:val="20"/>
        </w:rPr>
      </w:pPr>
    </w:p>
    <w:sectPr w:rsidR="00B43974" w:rsidRPr="00EA27E8" w:rsidSect="00B43974">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C33B3" w14:textId="77777777" w:rsidR="00A84420" w:rsidRDefault="00A84420" w:rsidP="00DB047D">
      <w:pPr>
        <w:spacing w:after="0" w:line="240" w:lineRule="auto"/>
      </w:pPr>
      <w:r>
        <w:separator/>
      </w:r>
    </w:p>
  </w:endnote>
  <w:endnote w:type="continuationSeparator" w:id="0">
    <w:p w14:paraId="5576EA0D" w14:textId="77777777" w:rsidR="00A84420" w:rsidRDefault="00A84420" w:rsidP="00DB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5FE2" w14:textId="77777777" w:rsidR="00DB047D" w:rsidRPr="00DB047D" w:rsidRDefault="00000000" w:rsidP="00DB047D">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sdt>
      <w:sdtPr>
        <w:rPr>
          <w:rFonts w:ascii="Calibri" w:eastAsia="Calibri" w:hAnsi="Calibri" w:cs="Calibri"/>
          <w:kern w:val="0"/>
          <w:sz w:val="20"/>
          <w:szCs w:val="20"/>
          <w14:ligatures w14:val="none"/>
        </w:rPr>
        <w:id w:val="810910487"/>
        <w:docPartObj>
          <w:docPartGallery w:val="Page Numbers (Top of Page)"/>
          <w:docPartUnique/>
        </w:docPartObj>
      </w:sdtPr>
      <w:sdtContent>
        <w:r w:rsidR="00DB047D" w:rsidRPr="00DB047D">
          <w:rPr>
            <w:rFonts w:ascii="Cambria" w:eastAsia="Calibri" w:hAnsi="Cambria" w:cs="Calibri"/>
            <w:sz w:val="20"/>
          </w:rPr>
          <w:fldChar w:fldCharType="begin"/>
        </w:r>
        <w:r w:rsidR="00DB047D" w:rsidRPr="00DB047D">
          <w:rPr>
            <w:rFonts w:ascii="Cambria" w:eastAsia="Calibri" w:hAnsi="Cambria" w:cs="Calibri"/>
            <w:sz w:val="20"/>
          </w:rPr>
          <w:instrText xml:space="preserve"> PAGE </w:instrText>
        </w:r>
        <w:r w:rsidR="00DB047D" w:rsidRPr="00DB047D">
          <w:rPr>
            <w:rFonts w:ascii="Cambria" w:eastAsia="Calibri" w:hAnsi="Cambria" w:cs="Calibri"/>
            <w:sz w:val="20"/>
          </w:rPr>
          <w:fldChar w:fldCharType="separate"/>
        </w:r>
        <w:r w:rsidR="00DB047D" w:rsidRPr="00DB047D">
          <w:rPr>
            <w:rFonts w:ascii="Cambria" w:eastAsia="Calibri" w:hAnsi="Cambria" w:cs="Calibri"/>
            <w:sz w:val="20"/>
          </w:rPr>
          <w:t>1</w:t>
        </w:r>
        <w:r w:rsidR="00DB047D" w:rsidRPr="00DB047D">
          <w:rPr>
            <w:rFonts w:ascii="Cambria" w:eastAsia="Calibri" w:hAnsi="Cambria" w:cs="Calibri"/>
            <w:sz w:val="20"/>
          </w:rPr>
          <w:fldChar w:fldCharType="end"/>
        </w:r>
        <w:r>
          <w:rPr>
            <w:rFonts w:ascii="Cambria" w:hAnsi="Cambria"/>
            <w:sz w:val="20"/>
          </w:rPr>
          <w:t xml:space="preserve"> / </w:t>
        </w:r>
        <w:r w:rsidR="00DB047D" w:rsidRPr="00DB047D">
          <w:rPr>
            <w:rFonts w:ascii="Cambria" w:eastAsia="Calibri" w:hAnsi="Cambria" w:cs="Calibri"/>
            <w:sz w:val="20"/>
          </w:rPr>
          <w:fldChar w:fldCharType="begin"/>
        </w:r>
        <w:r w:rsidR="00DB047D" w:rsidRPr="00DB047D">
          <w:rPr>
            <w:rFonts w:ascii="Cambria" w:eastAsia="Calibri" w:hAnsi="Cambria" w:cs="Calibri"/>
            <w:sz w:val="20"/>
          </w:rPr>
          <w:instrText xml:space="preserve"> NUMPAGES  </w:instrText>
        </w:r>
        <w:r w:rsidR="00DB047D" w:rsidRPr="00DB047D">
          <w:rPr>
            <w:rFonts w:ascii="Cambria" w:eastAsia="Calibri" w:hAnsi="Cambria" w:cs="Calibri"/>
            <w:sz w:val="20"/>
          </w:rPr>
          <w:fldChar w:fldCharType="separate"/>
        </w:r>
        <w:r w:rsidR="00DB047D" w:rsidRPr="00DB047D">
          <w:rPr>
            <w:rFonts w:ascii="Cambria" w:eastAsia="Calibri" w:hAnsi="Cambria" w:cs="Calibri"/>
            <w:sz w:val="20"/>
          </w:rPr>
          <w:t>5</w:t>
        </w:r>
        <w:r w:rsidR="00DB047D" w:rsidRPr="00DB047D">
          <w:rPr>
            <w:rFonts w:ascii="Cambria" w:eastAsia="Calibri" w:hAnsi="Cambria" w:cs="Calibr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9EB5" w14:textId="77777777" w:rsidR="00B43974" w:rsidRPr="00264140" w:rsidRDefault="00000000" w:rsidP="00264140">
    <w:pPr>
      <w:pStyle w:val="Footer"/>
      <w:tabs>
        <w:tab w:val="center" w:pos="4535"/>
        <w:tab w:val="left" w:pos="6150"/>
      </w:tabs>
      <w:jc w:val="center"/>
      <w:rPr>
        <w:rFonts w:ascii="Cambria" w:hAnsi="Cambria"/>
        <w:sz w:val="20"/>
        <w:szCs w:val="20"/>
      </w:rPr>
    </w:pPr>
    <w:sdt>
      <w:sdtPr>
        <w:id w:val="-1812404672"/>
        <w:docPartObj>
          <w:docPartGallery w:val="Page Numbers (Top of Page)"/>
          <w:docPartUnique/>
        </w:docPartObj>
      </w:sdtPr>
      <w:sdtContent>
        <w:r w:rsidR="00B43974" w:rsidRPr="005E521F">
          <w:rPr>
            <w:rFonts w:ascii="Cambria" w:hAnsi="Cambria"/>
            <w:sz w:val="20"/>
          </w:rPr>
          <w:fldChar w:fldCharType="begin"/>
        </w:r>
        <w:r w:rsidR="00B43974" w:rsidRPr="005E521F">
          <w:rPr>
            <w:rFonts w:ascii="Cambria" w:hAnsi="Cambria"/>
            <w:sz w:val="20"/>
          </w:rPr>
          <w:instrText xml:space="preserve"> PAGE </w:instrText>
        </w:r>
        <w:r w:rsidR="00B43974" w:rsidRPr="005E521F">
          <w:rPr>
            <w:rFonts w:ascii="Cambria" w:hAnsi="Cambria"/>
            <w:sz w:val="20"/>
          </w:rPr>
          <w:fldChar w:fldCharType="separate"/>
        </w:r>
        <w:r w:rsidR="00B43974">
          <w:rPr>
            <w:rFonts w:ascii="Cambria" w:hAnsi="Cambria"/>
          </w:rPr>
          <w:t>3</w:t>
        </w:r>
        <w:r w:rsidR="00B43974" w:rsidRPr="005E521F">
          <w:rPr>
            <w:rFonts w:ascii="Cambria" w:hAnsi="Cambria"/>
            <w:sz w:val="20"/>
          </w:rPr>
          <w:fldChar w:fldCharType="end"/>
        </w:r>
        <w:r w:rsidR="00B43974">
          <w:rPr>
            <w:rFonts w:ascii="Cambria" w:hAnsi="Cambria"/>
            <w:sz w:val="20"/>
          </w:rPr>
          <w:t xml:space="preserve"> / </w:t>
        </w:r>
        <w:r w:rsidR="00B43974" w:rsidRPr="005E521F">
          <w:rPr>
            <w:rFonts w:ascii="Cambria" w:hAnsi="Cambria"/>
            <w:sz w:val="20"/>
          </w:rPr>
          <w:fldChar w:fldCharType="begin"/>
        </w:r>
        <w:r w:rsidR="00B43974" w:rsidRPr="005E521F">
          <w:rPr>
            <w:rFonts w:ascii="Cambria" w:hAnsi="Cambria"/>
            <w:sz w:val="20"/>
          </w:rPr>
          <w:instrText xml:space="preserve"> NUMPAGES  </w:instrText>
        </w:r>
        <w:r w:rsidR="00B43974" w:rsidRPr="005E521F">
          <w:rPr>
            <w:rFonts w:ascii="Cambria" w:hAnsi="Cambria"/>
            <w:sz w:val="20"/>
          </w:rPr>
          <w:fldChar w:fldCharType="separate"/>
        </w:r>
        <w:r w:rsidR="00B43974">
          <w:rPr>
            <w:rFonts w:ascii="Cambria" w:hAnsi="Cambria"/>
          </w:rPr>
          <w:t>4</w:t>
        </w:r>
        <w:r w:rsidR="00B43974" w:rsidRPr="005E521F">
          <w:rPr>
            <w:rFonts w:ascii="Cambria" w:hAnsi="Cambria"/>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0FEF7" w14:textId="77777777" w:rsidR="00A84420" w:rsidRDefault="00A84420" w:rsidP="00DB047D">
      <w:pPr>
        <w:spacing w:after="0" w:line="240" w:lineRule="auto"/>
      </w:pPr>
      <w:r>
        <w:separator/>
      </w:r>
    </w:p>
  </w:footnote>
  <w:footnote w:type="continuationSeparator" w:id="0">
    <w:p w14:paraId="632E5A22" w14:textId="77777777" w:rsidR="00A84420" w:rsidRDefault="00A84420" w:rsidP="00DB0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6F7E" w14:textId="62C01E2A" w:rsidR="00DB047D" w:rsidRPr="00DB047D" w:rsidRDefault="00F849BC" w:rsidP="00DB047D">
    <w:pPr>
      <w:tabs>
        <w:tab w:val="center" w:pos="4680"/>
        <w:tab w:val="left" w:pos="6520"/>
        <w:tab w:val="right" w:pos="9360"/>
        <w:tab w:val="right" w:pos="14240"/>
      </w:tabs>
      <w:spacing w:after="0" w:line="240" w:lineRule="auto"/>
      <w:jc w:val="right"/>
      <w:rPr>
        <w:rFonts w:ascii="Cambria" w:eastAsia="Calibri" w:hAnsi="Cambria" w:cs="Times New Roman"/>
        <w:b/>
        <w:bCs/>
        <w:kern w:val="0"/>
        <w14:ligatures w14:val="none"/>
      </w:rPr>
    </w:pPr>
    <w:bookmarkStart w:id="0" w:name="_Hlk107908354"/>
    <w:bookmarkStart w:id="1" w:name="_Hlk107908355"/>
    <w:bookmarkStart w:id="2" w:name="_Hlk107908359"/>
    <w:bookmarkStart w:id="3" w:name="_Hlk107908360"/>
    <w:bookmarkStart w:id="4" w:name="_Hlk107908361"/>
    <w:bookmarkStart w:id="5" w:name="_Hlk107908362"/>
    <w:bookmarkStart w:id="6" w:name="_Hlk117162352"/>
    <w:bookmarkStart w:id="7" w:name="_Hlk117162353"/>
    <w:bookmarkStart w:id="8" w:name="_Hlk117162355"/>
    <w:bookmarkStart w:id="9" w:name="_Hlk117162356"/>
    <w:bookmarkStart w:id="10" w:name="_Hlk117589541"/>
    <w:bookmarkStart w:id="11" w:name="_Hlk117589542"/>
    <w:bookmarkStart w:id="12" w:name="_Hlk117589581"/>
    <w:bookmarkStart w:id="13" w:name="_Hlk117589582"/>
    <w:r>
      <w:rPr>
        <w:rFonts w:ascii="Cambria" w:hAnsi="Cambria"/>
        <w:b/>
      </w:rPr>
      <w:t>PA2_605/2025</w:t>
    </w:r>
  </w:p>
  <w:p w14:paraId="62C5EB2B" w14:textId="08C6A2DC" w:rsidR="00DB047D" w:rsidRPr="00DB047D" w:rsidRDefault="00DB047D" w:rsidP="00DB047D">
    <w:pPr>
      <w:tabs>
        <w:tab w:val="center" w:pos="4680"/>
        <w:tab w:val="left" w:pos="6520"/>
        <w:tab w:val="right" w:pos="9360"/>
        <w:tab w:val="right" w:pos="14240"/>
      </w:tabs>
      <w:spacing w:after="0" w:line="240" w:lineRule="auto"/>
      <w:jc w:val="right"/>
      <w:rPr>
        <w:rFonts w:ascii="Calibri" w:eastAsia="Calibri" w:hAnsi="Calibri" w:cs="Times New Roman"/>
        <w:kern w:val="0"/>
        <w14:ligatures w14:val="none"/>
      </w:rPr>
    </w:pPr>
    <w:r w:rsidRPr="00DB047D">
      <w:rPr>
        <w:rFonts w:ascii="Calibri" w:eastAsia="Calibri" w:hAnsi="Calibri" w:cs="Times New Roman"/>
      </w:rPr>
      <w:fldChar w:fldCharType="begin"/>
    </w:r>
    <w:r w:rsidRPr="00DB047D">
      <w:rPr>
        <w:rFonts w:ascii="Cambria" w:eastAsia="Calibri" w:hAnsi="Cambria" w:cs="Times New Roman"/>
        <w:b/>
        <w:sz w:val="16"/>
      </w:rPr>
      <w:instrText xml:space="preserve"> TIME \@ "dd/MM/yyyy H:mm" </w:instrText>
    </w:r>
    <w:r w:rsidRPr="00DB047D">
      <w:rPr>
        <w:rFonts w:ascii="Calibri" w:eastAsia="Calibri" w:hAnsi="Calibri" w:cs="Times New Roman"/>
      </w:rPr>
      <w:fldChar w:fldCharType="separate"/>
    </w:r>
    <w:r w:rsidR="001D24E8">
      <w:rPr>
        <w:rFonts w:ascii="Cambria" w:eastAsia="Calibri" w:hAnsi="Cambria" w:cs="Times New Roman"/>
        <w:b/>
        <w:noProof/>
        <w:sz w:val="16"/>
      </w:rPr>
      <w:t>15/11/2025 17:07</w:t>
    </w:r>
    <w:r w:rsidRPr="00DB047D">
      <w:rPr>
        <w:rFonts w:ascii="Calibri" w:eastAsia="Calibri" w:hAnsi="Calibri" w:cs="Times New Roman"/>
        <w:kern w:val="0"/>
        <w:lang w:val="es-ES"/>
        <w14:ligatures w14:val="none"/>
      </w:rPr>
      <w:fldChar w:fldCharType="end"/>
    </w:r>
    <w:bookmarkEnd w:id="0"/>
    <w:bookmarkEnd w:id="1"/>
    <w:bookmarkEnd w:id="2"/>
    <w:bookmarkEnd w:id="3"/>
    <w:bookmarkEnd w:id="4"/>
    <w:bookmarkEnd w:id="5"/>
    <w:bookmarkEnd w:id="6"/>
    <w:bookmarkEnd w:id="7"/>
    <w:bookmarkEnd w:id="8"/>
    <w:bookmarkEnd w:id="9"/>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9511C"/>
    <w:multiLevelType w:val="hybridMultilevel"/>
    <w:tmpl w:val="1390D98A"/>
    <w:lvl w:ilvl="0" w:tplc="39B088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941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57"/>
    <w:rsid w:val="00044FB2"/>
    <w:rsid w:val="000A032E"/>
    <w:rsid w:val="0019201B"/>
    <w:rsid w:val="001959F5"/>
    <w:rsid w:val="001B6BBE"/>
    <w:rsid w:val="001C6578"/>
    <w:rsid w:val="001D24E8"/>
    <w:rsid w:val="001E6C30"/>
    <w:rsid w:val="00205327"/>
    <w:rsid w:val="00233973"/>
    <w:rsid w:val="00313570"/>
    <w:rsid w:val="00342CFA"/>
    <w:rsid w:val="0036557C"/>
    <w:rsid w:val="00381F31"/>
    <w:rsid w:val="003D5F66"/>
    <w:rsid w:val="00495056"/>
    <w:rsid w:val="00495634"/>
    <w:rsid w:val="004B1257"/>
    <w:rsid w:val="004F3ADE"/>
    <w:rsid w:val="00556B72"/>
    <w:rsid w:val="00590514"/>
    <w:rsid w:val="005E22CB"/>
    <w:rsid w:val="00604DE6"/>
    <w:rsid w:val="00672CBF"/>
    <w:rsid w:val="006F798D"/>
    <w:rsid w:val="00773D06"/>
    <w:rsid w:val="007A5C1B"/>
    <w:rsid w:val="007C2CD3"/>
    <w:rsid w:val="007E775D"/>
    <w:rsid w:val="0088108C"/>
    <w:rsid w:val="00883568"/>
    <w:rsid w:val="008A0E5E"/>
    <w:rsid w:val="008E4868"/>
    <w:rsid w:val="009D124E"/>
    <w:rsid w:val="00A84005"/>
    <w:rsid w:val="00A84420"/>
    <w:rsid w:val="00A90F29"/>
    <w:rsid w:val="00AF0508"/>
    <w:rsid w:val="00AF1F42"/>
    <w:rsid w:val="00B43974"/>
    <w:rsid w:val="00B44D85"/>
    <w:rsid w:val="00BC70EF"/>
    <w:rsid w:val="00C0594F"/>
    <w:rsid w:val="00C61344"/>
    <w:rsid w:val="00C6353C"/>
    <w:rsid w:val="00C705F6"/>
    <w:rsid w:val="00C8676B"/>
    <w:rsid w:val="00CC3591"/>
    <w:rsid w:val="00DB047D"/>
    <w:rsid w:val="00DB7AE3"/>
    <w:rsid w:val="00DE51E2"/>
    <w:rsid w:val="00DE5BE5"/>
    <w:rsid w:val="00DE6E43"/>
    <w:rsid w:val="00E07798"/>
    <w:rsid w:val="00E421B9"/>
    <w:rsid w:val="00EA27E8"/>
    <w:rsid w:val="00F61D55"/>
    <w:rsid w:val="00F849BC"/>
    <w:rsid w:val="00FC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39815"/>
  <w15:chartTrackingRefBased/>
  <w15:docId w15:val="{82D44029-8328-4AF5-A9A1-41B955BA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2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B12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2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B1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257"/>
    <w:rPr>
      <w:rFonts w:eastAsiaTheme="majorEastAsia" w:cstheme="majorBidi"/>
      <w:color w:val="272727" w:themeColor="text1" w:themeTint="D8"/>
    </w:rPr>
  </w:style>
  <w:style w:type="paragraph" w:styleId="Title">
    <w:name w:val="Title"/>
    <w:basedOn w:val="Normal"/>
    <w:next w:val="Normal"/>
    <w:link w:val="TitleChar"/>
    <w:uiPriority w:val="10"/>
    <w:qFormat/>
    <w:rsid w:val="004B1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257"/>
    <w:pPr>
      <w:spacing w:before="160"/>
      <w:jc w:val="center"/>
    </w:pPr>
    <w:rPr>
      <w:i/>
      <w:iCs/>
      <w:color w:val="404040" w:themeColor="text1" w:themeTint="BF"/>
    </w:rPr>
  </w:style>
  <w:style w:type="character" w:customStyle="1" w:styleId="QuoteChar">
    <w:name w:val="Quote Char"/>
    <w:basedOn w:val="DefaultParagraphFont"/>
    <w:link w:val="Quote"/>
    <w:uiPriority w:val="29"/>
    <w:rsid w:val="004B1257"/>
    <w:rPr>
      <w:i/>
      <w:iCs/>
      <w:color w:val="404040" w:themeColor="text1" w:themeTint="BF"/>
    </w:rPr>
  </w:style>
  <w:style w:type="paragraph" w:styleId="ListParagraph">
    <w:name w:val="List Paragraph"/>
    <w:basedOn w:val="Normal"/>
    <w:uiPriority w:val="34"/>
    <w:qFormat/>
    <w:rsid w:val="004B1257"/>
    <w:pPr>
      <w:ind w:left="720"/>
      <w:contextualSpacing/>
    </w:pPr>
  </w:style>
  <w:style w:type="character" w:styleId="IntenseEmphasis">
    <w:name w:val="Intense Emphasis"/>
    <w:basedOn w:val="DefaultParagraphFont"/>
    <w:uiPriority w:val="21"/>
    <w:qFormat/>
    <w:rsid w:val="004B1257"/>
    <w:rPr>
      <w:i/>
      <w:iCs/>
      <w:color w:val="0F4761" w:themeColor="accent1" w:themeShade="BF"/>
    </w:rPr>
  </w:style>
  <w:style w:type="paragraph" w:styleId="IntenseQuote">
    <w:name w:val="Intense Quote"/>
    <w:basedOn w:val="Normal"/>
    <w:next w:val="Normal"/>
    <w:link w:val="IntenseQuoteChar"/>
    <w:uiPriority w:val="30"/>
    <w:qFormat/>
    <w:rsid w:val="004B1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257"/>
    <w:rPr>
      <w:i/>
      <w:iCs/>
      <w:color w:val="0F4761" w:themeColor="accent1" w:themeShade="BF"/>
    </w:rPr>
  </w:style>
  <w:style w:type="character" w:styleId="IntenseReference">
    <w:name w:val="Intense Reference"/>
    <w:basedOn w:val="DefaultParagraphFont"/>
    <w:uiPriority w:val="32"/>
    <w:qFormat/>
    <w:rsid w:val="004B1257"/>
    <w:rPr>
      <w:b/>
      <w:bCs/>
      <w:smallCaps/>
      <w:color w:val="0F4761" w:themeColor="accent1" w:themeShade="BF"/>
      <w:spacing w:val="5"/>
    </w:rPr>
  </w:style>
  <w:style w:type="paragraph" w:styleId="Revision">
    <w:name w:val="Revision"/>
    <w:hidden/>
    <w:uiPriority w:val="99"/>
    <w:semiHidden/>
    <w:rsid w:val="00A90F29"/>
    <w:pPr>
      <w:spacing w:after="0" w:line="240" w:lineRule="auto"/>
    </w:pPr>
  </w:style>
  <w:style w:type="paragraph" w:styleId="Header">
    <w:name w:val="header"/>
    <w:basedOn w:val="Normal"/>
    <w:link w:val="HeaderChar"/>
    <w:uiPriority w:val="99"/>
    <w:unhideWhenUsed/>
    <w:rsid w:val="00DB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47D"/>
  </w:style>
  <w:style w:type="paragraph" w:styleId="Footer">
    <w:name w:val="footer"/>
    <w:basedOn w:val="Normal"/>
    <w:link w:val="FooterChar"/>
    <w:uiPriority w:val="99"/>
    <w:unhideWhenUsed/>
    <w:rsid w:val="00DB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47D"/>
  </w:style>
  <w:style w:type="character" w:styleId="Hyperlink">
    <w:name w:val="Hyperlink"/>
    <w:basedOn w:val="DefaultParagraphFont"/>
    <w:uiPriority w:val="99"/>
    <w:unhideWhenUsed/>
    <w:rsid w:val="00AF1F42"/>
    <w:rPr>
      <w:color w:val="467886" w:themeColor="hyperlink"/>
      <w:u w:val="single"/>
    </w:rPr>
  </w:style>
  <w:style w:type="character" w:styleId="UnresolvedMention">
    <w:name w:val="Unresolved Mention"/>
    <w:basedOn w:val="DefaultParagraphFont"/>
    <w:uiPriority w:val="99"/>
    <w:semiHidden/>
    <w:unhideWhenUsed/>
    <w:rsid w:val="00AF1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3654">
      <w:bodyDiv w:val="1"/>
      <w:marLeft w:val="0"/>
      <w:marRight w:val="0"/>
      <w:marTop w:val="0"/>
      <w:marBottom w:val="0"/>
      <w:divBdr>
        <w:top w:val="none" w:sz="0" w:space="0" w:color="auto"/>
        <w:left w:val="none" w:sz="0" w:space="0" w:color="auto"/>
        <w:bottom w:val="none" w:sz="0" w:space="0" w:color="auto"/>
        <w:right w:val="none" w:sz="0" w:space="0" w:color="auto"/>
      </w:divBdr>
    </w:div>
    <w:div w:id="375587774">
      <w:bodyDiv w:val="1"/>
      <w:marLeft w:val="0"/>
      <w:marRight w:val="0"/>
      <w:marTop w:val="0"/>
      <w:marBottom w:val="0"/>
      <w:divBdr>
        <w:top w:val="none" w:sz="0" w:space="0" w:color="auto"/>
        <w:left w:val="none" w:sz="0" w:space="0" w:color="auto"/>
        <w:bottom w:val="none" w:sz="0" w:space="0" w:color="auto"/>
        <w:right w:val="none" w:sz="0" w:space="0" w:color="auto"/>
      </w:divBdr>
    </w:div>
    <w:div w:id="580481872">
      <w:bodyDiv w:val="1"/>
      <w:marLeft w:val="0"/>
      <w:marRight w:val="0"/>
      <w:marTop w:val="0"/>
      <w:marBottom w:val="0"/>
      <w:divBdr>
        <w:top w:val="none" w:sz="0" w:space="0" w:color="auto"/>
        <w:left w:val="none" w:sz="0" w:space="0" w:color="auto"/>
        <w:bottom w:val="none" w:sz="0" w:space="0" w:color="auto"/>
        <w:right w:val="none" w:sz="0" w:space="0" w:color="auto"/>
      </w:divBdr>
    </w:div>
    <w:div w:id="705444581">
      <w:bodyDiv w:val="1"/>
      <w:marLeft w:val="0"/>
      <w:marRight w:val="0"/>
      <w:marTop w:val="0"/>
      <w:marBottom w:val="0"/>
      <w:divBdr>
        <w:top w:val="none" w:sz="0" w:space="0" w:color="auto"/>
        <w:left w:val="none" w:sz="0" w:space="0" w:color="auto"/>
        <w:bottom w:val="none" w:sz="0" w:space="0" w:color="auto"/>
        <w:right w:val="none" w:sz="0" w:space="0" w:color="auto"/>
      </w:divBdr>
    </w:div>
    <w:div w:id="1663120383">
      <w:bodyDiv w:val="1"/>
      <w:marLeft w:val="0"/>
      <w:marRight w:val="0"/>
      <w:marTop w:val="0"/>
      <w:marBottom w:val="0"/>
      <w:divBdr>
        <w:top w:val="none" w:sz="0" w:space="0" w:color="auto"/>
        <w:left w:val="none" w:sz="0" w:space="0" w:color="auto"/>
        <w:bottom w:val="none" w:sz="0" w:space="0" w:color="auto"/>
        <w:right w:val="none" w:sz="0" w:space="0" w:color="auto"/>
      </w:divBdr>
    </w:div>
    <w:div w:id="188317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ccat.int/Documents/Recs/compendiopdf-f/2024-05-f.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iccat.int/Documents/Recs/compendiopdf-f/2024-05-f.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cat.int/Documents/Recs/compendiopdf-f/2024-05-f.pdf" TargetMode="External"/><Relationship Id="rId5" Type="http://schemas.openxmlformats.org/officeDocument/2006/relationships/footnotes" Target="footnotes.xml"/><Relationship Id="rId15" Type="http://schemas.openxmlformats.org/officeDocument/2006/relationships/hyperlink" Target="https://www.iccat.int/Documents/Recs/compendiopdf-f/2024-05-f.pdf" TargetMode="External"/><Relationship Id="rId10" Type="http://schemas.openxmlformats.org/officeDocument/2006/relationships/hyperlink" Target="https://www.iccat.int/Documents/Recs/compendiopdf-f/2024-05-f.pdf" TargetMode="External"/><Relationship Id="rId4" Type="http://schemas.openxmlformats.org/officeDocument/2006/relationships/webSettings" Target="webSettings.xml"/><Relationship Id="rId9" Type="http://schemas.openxmlformats.org/officeDocument/2006/relationships/hyperlink" Target="https://www.iccat.int/Documents/BienRep/REP_FR_08-09_II_2.pdf" TargetMode="External"/><Relationship Id="rId14" Type="http://schemas.openxmlformats.org/officeDocument/2006/relationships/hyperlink" Target="https://www.iccat.int/Documents/Recs/compendiopdf-f/2024-05-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Parrilla</dc:creator>
  <cp:keywords/>
  <dc:description/>
  <cp:lastModifiedBy>Dorothee Pinet</cp:lastModifiedBy>
  <cp:revision>34</cp:revision>
  <dcterms:created xsi:type="dcterms:W3CDTF">2024-10-24T01:42:00Z</dcterms:created>
  <dcterms:modified xsi:type="dcterms:W3CDTF">2025-11-15T16:17:00Z</dcterms:modified>
</cp:coreProperties>
</file>