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67A" w14:textId="77777777" w:rsidR="00082853" w:rsidRPr="006C5E3E" w:rsidRDefault="00082853" w:rsidP="005C4D20">
      <w:pPr>
        <w:pStyle w:val="BodyText"/>
        <w:rPr>
          <w:rFonts w:asciiTheme="majorHAnsi" w:hAnsiTheme="majorHAnsi"/>
        </w:rPr>
      </w:pPr>
    </w:p>
    <w:p w14:paraId="5C457B72" w14:textId="77777777" w:rsidR="00AE5554" w:rsidRPr="00B8381B" w:rsidRDefault="00AE5554" w:rsidP="005C4D20">
      <w:pPr>
        <w:jc w:val="center"/>
        <w:rPr>
          <w:rFonts w:asciiTheme="majorHAnsi" w:hAnsiTheme="majorHAnsi"/>
          <w:b/>
          <w:iCs/>
          <w:sz w:val="20"/>
          <w:szCs w:val="20"/>
        </w:rPr>
      </w:pPr>
      <w:r w:rsidRPr="00B8381B">
        <w:rPr>
          <w:rFonts w:asciiTheme="majorHAnsi" w:hAnsiTheme="majorHAnsi"/>
          <w:b/>
          <w:iCs/>
          <w:sz w:val="20"/>
          <w:szCs w:val="20"/>
        </w:rPr>
        <w:t>Page de garde accompagnant les nouvelles propositions</w:t>
      </w:r>
    </w:p>
    <w:p w14:paraId="709DA0CC" w14:textId="77777777" w:rsidR="00AE5554" w:rsidRPr="006C5E3E" w:rsidRDefault="00AE5554" w:rsidP="005C4D20">
      <w:pPr>
        <w:jc w:val="center"/>
        <w:rPr>
          <w:rFonts w:asciiTheme="majorHAnsi" w:hAnsiTheme="majorHAnsi"/>
          <w:b/>
          <w:bCs/>
          <w:i/>
          <w:iCs/>
          <w:sz w:val="20"/>
          <w:szCs w:val="20"/>
        </w:rPr>
      </w:pPr>
    </w:p>
    <w:p w14:paraId="6A2EB0E3" w14:textId="39A28795" w:rsidR="00AE5554" w:rsidRPr="006C5E3E" w:rsidRDefault="00AE5554" w:rsidP="005C4D20">
      <w:pPr>
        <w:jc w:val="center"/>
        <w:rPr>
          <w:rFonts w:asciiTheme="majorHAnsi" w:hAnsiTheme="majorHAnsi"/>
          <w:i/>
          <w:iCs/>
          <w:sz w:val="20"/>
          <w:szCs w:val="20"/>
        </w:rPr>
      </w:pPr>
      <w:r w:rsidRPr="006C5E3E">
        <w:rPr>
          <w:rFonts w:asciiTheme="majorHAnsi" w:hAnsiTheme="majorHAnsi"/>
          <w:i/>
          <w:sz w:val="20"/>
          <w:szCs w:val="20"/>
        </w:rPr>
        <w:t>(Document présenté par la Norvège)</w:t>
      </w:r>
    </w:p>
    <w:p w14:paraId="5DC2C8C7" w14:textId="77777777" w:rsidR="00002486" w:rsidRPr="006C5E3E" w:rsidRDefault="00002486" w:rsidP="005C4D20">
      <w:pPr>
        <w:jc w:val="center"/>
        <w:rPr>
          <w:rFonts w:asciiTheme="majorHAnsi" w:hAnsiTheme="majorHAnsi"/>
          <w:i/>
          <w:iCs/>
          <w:sz w:val="20"/>
          <w:szCs w:val="20"/>
        </w:rPr>
      </w:pPr>
    </w:p>
    <w:p w14:paraId="1E4F25E6" w14:textId="24527005" w:rsidR="009F6A2C" w:rsidRPr="00A86F9C" w:rsidRDefault="009F6A2C" w:rsidP="005C4D20">
      <w:pPr>
        <w:jc w:val="both"/>
        <w:rPr>
          <w:rFonts w:asciiTheme="majorHAnsi" w:hAnsiTheme="majorHAnsi"/>
          <w:iCs/>
          <w:color w:val="EE0000"/>
          <w:spacing w:val="-2"/>
          <w:sz w:val="20"/>
          <w:szCs w:val="20"/>
        </w:rPr>
      </w:pPr>
      <w:r w:rsidRPr="006C5E3E">
        <w:rPr>
          <w:rFonts w:asciiTheme="majorHAnsi" w:hAnsiTheme="majorHAnsi"/>
          <w:b/>
          <w:sz w:val="20"/>
          <w:szCs w:val="20"/>
        </w:rPr>
        <w:t xml:space="preserve">Titre de la proposition de projet de Recommandation/Résolution : </w:t>
      </w:r>
      <w:r w:rsidR="007077C3" w:rsidRPr="00A86F9C">
        <w:rPr>
          <w:rFonts w:asciiTheme="majorHAnsi" w:hAnsiTheme="majorHAnsi"/>
          <w:iCs/>
          <w:color w:val="EE0000"/>
          <w:sz w:val="20"/>
          <w:szCs w:val="20"/>
        </w:rPr>
        <w:t>Projet de R</w:t>
      </w:r>
      <w:r w:rsidRPr="00A86F9C">
        <w:rPr>
          <w:rFonts w:asciiTheme="majorHAnsi" w:hAnsiTheme="majorHAnsi"/>
          <w:iCs/>
          <w:color w:val="EE0000"/>
          <w:sz w:val="20"/>
          <w:szCs w:val="20"/>
        </w:rPr>
        <w:t>ésolution de l’ICCAT sur un projet pilote de stockage de courte durée du thon rouge vivant</w:t>
      </w:r>
    </w:p>
    <w:p w14:paraId="5D6D97FC" w14:textId="77777777" w:rsidR="009F6A2C" w:rsidRPr="006C5E3E" w:rsidRDefault="009F6A2C" w:rsidP="005C4D20">
      <w:pPr>
        <w:jc w:val="both"/>
        <w:rPr>
          <w:rFonts w:asciiTheme="majorHAnsi" w:hAnsiTheme="majorHAnsi"/>
          <w:b/>
          <w:bCs/>
          <w:spacing w:val="-2"/>
          <w:sz w:val="20"/>
          <w:szCs w:val="20"/>
        </w:rPr>
      </w:pPr>
    </w:p>
    <w:p w14:paraId="6C33A10F" w14:textId="788EE1C0" w:rsidR="009F6A2C" w:rsidRPr="006C5E3E" w:rsidRDefault="009F6A2C" w:rsidP="005C4D20">
      <w:pPr>
        <w:jc w:val="both"/>
        <w:rPr>
          <w:rFonts w:asciiTheme="majorHAnsi" w:hAnsiTheme="majorHAnsi"/>
          <w:bCs/>
          <w:i/>
          <w:iCs/>
          <w:color w:val="EE0000"/>
          <w:spacing w:val="-2"/>
          <w:sz w:val="20"/>
          <w:szCs w:val="20"/>
        </w:rPr>
      </w:pPr>
      <w:r w:rsidRPr="006C5E3E">
        <w:rPr>
          <w:rFonts w:asciiTheme="majorHAnsi" w:hAnsiTheme="majorHAnsi"/>
          <w:b/>
          <w:sz w:val="20"/>
          <w:szCs w:val="20"/>
        </w:rPr>
        <w:t xml:space="preserve">Titre de la ou des Recommandations ou Résolutions en vigueur traitant des mêmes questions ou de questions connexes : </w:t>
      </w:r>
      <w:r w:rsidRPr="006C5E3E">
        <w:rPr>
          <w:rFonts w:asciiTheme="majorHAnsi" w:hAnsiTheme="majorHAnsi"/>
          <w:i/>
          <w:color w:val="EE0000"/>
          <w:sz w:val="20"/>
          <w:szCs w:val="20"/>
        </w:rPr>
        <w:t>Résolution de l’ICCAT sur un projet pilote de stockage de courte durée du thon rouge vivant (R</w:t>
      </w:r>
      <w:r w:rsidR="00AE4633">
        <w:rPr>
          <w:rFonts w:asciiTheme="majorHAnsi" w:hAnsiTheme="majorHAnsi"/>
          <w:i/>
          <w:color w:val="EE0000"/>
          <w:sz w:val="20"/>
          <w:szCs w:val="20"/>
        </w:rPr>
        <w:t>és</w:t>
      </w:r>
      <w:r w:rsidRPr="006C5E3E">
        <w:rPr>
          <w:rFonts w:asciiTheme="majorHAnsi" w:hAnsiTheme="majorHAnsi"/>
          <w:i/>
          <w:color w:val="EE0000"/>
          <w:sz w:val="20"/>
          <w:szCs w:val="20"/>
        </w:rPr>
        <w:t>. 22-07)</w:t>
      </w:r>
    </w:p>
    <w:p w14:paraId="2A4EEB35" w14:textId="77777777" w:rsidR="009F6A2C" w:rsidRPr="006C5E3E" w:rsidRDefault="009F6A2C" w:rsidP="005C4D20">
      <w:pPr>
        <w:ind w:left="318"/>
        <w:jc w:val="both"/>
        <w:rPr>
          <w:rFonts w:asciiTheme="majorHAnsi" w:hAnsiTheme="majorHAnsi"/>
          <w:sz w:val="20"/>
          <w:szCs w:val="20"/>
        </w:rPr>
      </w:pPr>
    </w:p>
    <w:p w14:paraId="30A21078" w14:textId="67D3178E" w:rsidR="009F6A2C" w:rsidRPr="006C5E3E" w:rsidRDefault="009F6A2C" w:rsidP="005C4D20">
      <w:pPr>
        <w:pStyle w:val="ListParagraph"/>
        <w:numPr>
          <w:ilvl w:val="0"/>
          <w:numId w:val="66"/>
        </w:numPr>
        <w:ind w:left="426" w:hanging="426"/>
        <w:jc w:val="both"/>
        <w:rPr>
          <w:rFonts w:asciiTheme="majorHAnsi" w:hAnsiTheme="majorHAnsi"/>
          <w:sz w:val="20"/>
          <w:szCs w:val="20"/>
        </w:rPr>
      </w:pPr>
      <w:r w:rsidRPr="006C5E3E">
        <w:rPr>
          <w:rFonts w:asciiTheme="majorHAnsi" w:hAnsiTheme="majorHAnsi"/>
          <w:sz w:val="20"/>
          <w:szCs w:val="20"/>
        </w:rPr>
        <w:t xml:space="preserve">Cela crée-t-il de nouvelles </w:t>
      </w:r>
      <w:r w:rsidRPr="006C5E3E">
        <w:rPr>
          <w:rFonts w:asciiTheme="majorHAnsi" w:hAnsiTheme="majorHAnsi"/>
          <w:b/>
          <w:sz w:val="20"/>
          <w:szCs w:val="20"/>
        </w:rPr>
        <w:t xml:space="preserve">obligations de déclaration </w:t>
      </w:r>
      <w:r w:rsidRPr="006C5E3E">
        <w:rPr>
          <w:rFonts w:asciiTheme="majorHAnsi" w:hAnsiTheme="majorHAnsi"/>
          <w:sz w:val="20"/>
          <w:szCs w:val="20"/>
        </w:rPr>
        <w:t xml:space="preserve">pour les CPC ?     Oui </w:t>
      </w:r>
      <w:r w:rsidRPr="006C5E3E">
        <w:rPr>
          <w:rFonts w:asciiTheme="majorHAnsi" w:hAnsiTheme="majorHAnsi"/>
          <w:sz w:val="20"/>
          <w:szCs w:val="20"/>
        </w:rPr>
        <w:tab/>
        <w:t>¨</w:t>
      </w:r>
      <w:r w:rsidRPr="006C5E3E">
        <w:rPr>
          <w:rFonts w:asciiTheme="majorHAnsi" w:hAnsiTheme="majorHAnsi"/>
          <w:sz w:val="20"/>
          <w:szCs w:val="20"/>
        </w:rPr>
        <w:tab/>
      </w:r>
      <w:r w:rsidRPr="006C5E3E">
        <w:rPr>
          <w:rFonts w:asciiTheme="majorHAnsi" w:hAnsiTheme="majorHAnsi"/>
          <w:color w:val="EE0000"/>
          <w:sz w:val="20"/>
          <w:szCs w:val="20"/>
        </w:rPr>
        <w:t xml:space="preserve">Non </w:t>
      </w:r>
    </w:p>
    <w:p w14:paraId="545E989E" w14:textId="77777777" w:rsidR="009F6A2C" w:rsidRPr="006C5E3E" w:rsidRDefault="009F6A2C" w:rsidP="005C4D20">
      <w:pPr>
        <w:pStyle w:val="BodyText"/>
        <w:rPr>
          <w:rFonts w:asciiTheme="majorHAnsi" w:hAnsiTheme="majorHAnsi"/>
        </w:rPr>
      </w:pPr>
    </w:p>
    <w:p w14:paraId="4C11DB1C" w14:textId="77777777" w:rsidR="009F6A2C" w:rsidRPr="006C5E3E" w:rsidRDefault="009F6A2C" w:rsidP="005C4D20">
      <w:pPr>
        <w:ind w:left="426"/>
        <w:jc w:val="both"/>
        <w:rPr>
          <w:rFonts w:asciiTheme="majorHAnsi" w:hAnsiTheme="majorHAnsi"/>
          <w:sz w:val="20"/>
          <w:szCs w:val="20"/>
        </w:rPr>
      </w:pPr>
      <w:r w:rsidRPr="006C5E3E">
        <w:rPr>
          <w:rFonts w:asciiTheme="majorHAnsi" w:hAnsiTheme="majorHAnsi"/>
          <w:sz w:val="20"/>
          <w:szCs w:val="20"/>
        </w:rPr>
        <w:t>Brève description de la ou des nouvelle(s) obligation(s) de déclaration :</w:t>
      </w:r>
    </w:p>
    <w:p w14:paraId="6E226D68" w14:textId="77777777" w:rsidR="00C85E88" w:rsidRPr="006C5E3E" w:rsidRDefault="00C85E88" w:rsidP="005C4D20">
      <w:pPr>
        <w:pStyle w:val="BodyText"/>
        <w:ind w:firstLine="426"/>
        <w:rPr>
          <w:rFonts w:asciiTheme="majorHAnsi" w:hAnsiTheme="majorHAnsi"/>
        </w:rPr>
      </w:pPr>
    </w:p>
    <w:p w14:paraId="640FA8B9" w14:textId="2934EADA" w:rsidR="009F6A2C" w:rsidRPr="00484817" w:rsidRDefault="009F6A2C" w:rsidP="005C4D20">
      <w:pPr>
        <w:pStyle w:val="BodyText"/>
        <w:ind w:firstLine="426"/>
        <w:rPr>
          <w:rFonts w:asciiTheme="majorHAnsi" w:hAnsiTheme="majorHAnsi"/>
          <w:color w:val="EE0000"/>
        </w:rPr>
      </w:pPr>
      <w:r w:rsidRPr="00484817">
        <w:rPr>
          <w:rFonts w:asciiTheme="majorHAnsi" w:hAnsiTheme="majorHAnsi"/>
          <w:color w:val="EE0000"/>
        </w:rPr>
        <w:t xml:space="preserve">Pas de nouvelles obligations </w:t>
      </w:r>
    </w:p>
    <w:p w14:paraId="47C89C18" w14:textId="77777777" w:rsidR="009F6A2C" w:rsidRPr="006C5E3E" w:rsidRDefault="009F6A2C" w:rsidP="005C4D20">
      <w:pPr>
        <w:pStyle w:val="BodyText"/>
        <w:rPr>
          <w:rFonts w:asciiTheme="majorHAnsi" w:hAnsiTheme="majorHAnsi"/>
        </w:rPr>
      </w:pPr>
    </w:p>
    <w:p w14:paraId="76192B38" w14:textId="77777777" w:rsidR="009F6A2C" w:rsidRPr="006C5E3E" w:rsidRDefault="009F6A2C" w:rsidP="005C4D20">
      <w:pPr>
        <w:ind w:left="318"/>
        <w:rPr>
          <w:rFonts w:asciiTheme="majorHAnsi" w:hAnsiTheme="majorHAnsi"/>
          <w:sz w:val="20"/>
          <w:szCs w:val="20"/>
        </w:rPr>
      </w:pPr>
    </w:p>
    <w:p w14:paraId="3E9BEFC4" w14:textId="5C669E48" w:rsidR="009F6A2C" w:rsidRPr="006C5E3E" w:rsidRDefault="009F6A2C" w:rsidP="005C4D20">
      <w:pPr>
        <w:pStyle w:val="ListParagraph"/>
        <w:numPr>
          <w:ilvl w:val="0"/>
          <w:numId w:val="66"/>
        </w:numPr>
        <w:ind w:left="426" w:hanging="426"/>
        <w:jc w:val="both"/>
        <w:rPr>
          <w:rFonts w:asciiTheme="majorHAnsi" w:hAnsiTheme="majorHAnsi"/>
          <w:sz w:val="20"/>
          <w:szCs w:val="20"/>
        </w:rPr>
      </w:pPr>
      <w:r w:rsidRPr="006C5E3E">
        <w:rPr>
          <w:rFonts w:asciiTheme="majorHAnsi" w:hAnsiTheme="majorHAnsi"/>
          <w:sz w:val="20"/>
          <w:szCs w:val="20"/>
        </w:rPr>
        <w:t xml:space="preserve">Cela nécessite-t-il une contribution ou un </w:t>
      </w:r>
      <w:r w:rsidRPr="006C5E3E">
        <w:rPr>
          <w:rFonts w:asciiTheme="majorHAnsi" w:hAnsiTheme="majorHAnsi"/>
          <w:b/>
          <w:sz w:val="20"/>
          <w:szCs w:val="20"/>
        </w:rPr>
        <w:t>travail</w:t>
      </w:r>
      <w:r w:rsidRPr="006C5E3E">
        <w:rPr>
          <w:rFonts w:asciiTheme="majorHAnsi" w:hAnsiTheme="majorHAnsi"/>
          <w:sz w:val="20"/>
          <w:szCs w:val="20"/>
        </w:rPr>
        <w:t xml:space="preserve"> supplémentaire </w:t>
      </w:r>
      <w:r w:rsidRPr="006C5E3E">
        <w:rPr>
          <w:rFonts w:asciiTheme="majorHAnsi" w:hAnsiTheme="majorHAnsi"/>
          <w:b/>
          <w:sz w:val="20"/>
          <w:szCs w:val="20"/>
        </w:rPr>
        <w:t>de la part du SCRS</w:t>
      </w:r>
      <w:r w:rsidRPr="006C5E3E">
        <w:rPr>
          <w:rFonts w:asciiTheme="majorHAnsi" w:hAnsiTheme="majorHAnsi"/>
          <w:sz w:val="20"/>
          <w:szCs w:val="20"/>
        </w:rPr>
        <w:t xml:space="preserve"> ?    Oui</w:t>
      </w:r>
      <w:r w:rsidRPr="006C5E3E">
        <w:rPr>
          <w:rFonts w:asciiTheme="majorHAnsi" w:hAnsiTheme="majorHAnsi"/>
          <w:sz w:val="20"/>
          <w:szCs w:val="20"/>
        </w:rPr>
        <w:tab/>
        <w:t>¨</w:t>
      </w:r>
      <w:r w:rsidRPr="006C5E3E">
        <w:rPr>
          <w:rFonts w:asciiTheme="majorHAnsi" w:hAnsiTheme="majorHAnsi"/>
          <w:sz w:val="20"/>
          <w:szCs w:val="20"/>
        </w:rPr>
        <w:tab/>
      </w:r>
      <w:r w:rsidRPr="006C5E3E">
        <w:rPr>
          <w:rFonts w:asciiTheme="majorHAnsi" w:hAnsiTheme="majorHAnsi"/>
          <w:color w:val="EE0000"/>
          <w:sz w:val="20"/>
          <w:szCs w:val="20"/>
        </w:rPr>
        <w:t xml:space="preserve">Non </w:t>
      </w:r>
    </w:p>
    <w:p w14:paraId="7F4A05BF" w14:textId="77777777" w:rsidR="009F6A2C" w:rsidRPr="006C5E3E" w:rsidRDefault="009F6A2C" w:rsidP="005C4D20">
      <w:pPr>
        <w:ind w:left="360"/>
        <w:rPr>
          <w:rFonts w:asciiTheme="majorHAnsi" w:hAnsiTheme="majorHAnsi"/>
          <w:sz w:val="20"/>
          <w:szCs w:val="20"/>
        </w:rPr>
      </w:pPr>
    </w:p>
    <w:p w14:paraId="55CB5E88" w14:textId="77777777" w:rsidR="009F6A2C" w:rsidRPr="006C5E3E" w:rsidRDefault="009F6A2C" w:rsidP="005C4D20">
      <w:pPr>
        <w:ind w:left="360" w:firstLine="66"/>
        <w:jc w:val="both"/>
        <w:rPr>
          <w:rFonts w:asciiTheme="majorHAnsi" w:hAnsiTheme="majorHAnsi"/>
          <w:sz w:val="20"/>
          <w:szCs w:val="20"/>
        </w:rPr>
      </w:pPr>
      <w:r w:rsidRPr="006C5E3E">
        <w:rPr>
          <w:rFonts w:asciiTheme="majorHAnsi" w:hAnsiTheme="majorHAnsi"/>
          <w:sz w:val="20"/>
          <w:szCs w:val="20"/>
        </w:rPr>
        <w:t>Ce travail est-il déjà inclus dans le plan de travail actuel du SCRS ? Oui ¨</w:t>
      </w:r>
      <w:r w:rsidRPr="006C5E3E">
        <w:rPr>
          <w:rFonts w:asciiTheme="majorHAnsi" w:hAnsiTheme="majorHAnsi"/>
          <w:sz w:val="20"/>
          <w:szCs w:val="20"/>
        </w:rPr>
        <w:tab/>
        <w:t>Non ¨</w:t>
      </w:r>
    </w:p>
    <w:p w14:paraId="75F661D7" w14:textId="77777777" w:rsidR="009F6A2C" w:rsidRPr="006C5E3E" w:rsidRDefault="009F6A2C" w:rsidP="005C4D20">
      <w:pPr>
        <w:ind w:left="360"/>
        <w:rPr>
          <w:rFonts w:asciiTheme="majorHAnsi" w:hAnsiTheme="majorHAnsi"/>
          <w:sz w:val="20"/>
          <w:szCs w:val="20"/>
        </w:rPr>
      </w:pPr>
    </w:p>
    <w:p w14:paraId="08147E87" w14:textId="77777777" w:rsidR="009F6A2C" w:rsidRPr="006C5E3E" w:rsidRDefault="009F6A2C" w:rsidP="005C4D20">
      <w:pPr>
        <w:ind w:left="360" w:firstLine="66"/>
        <w:jc w:val="both"/>
        <w:rPr>
          <w:rFonts w:asciiTheme="majorHAnsi" w:hAnsiTheme="majorHAnsi"/>
          <w:sz w:val="20"/>
          <w:szCs w:val="20"/>
        </w:rPr>
      </w:pPr>
      <w:r w:rsidRPr="006C5E3E">
        <w:rPr>
          <w:rFonts w:asciiTheme="majorHAnsi" w:hAnsiTheme="majorHAnsi"/>
          <w:sz w:val="20"/>
          <w:szCs w:val="20"/>
        </w:rPr>
        <w:t>Brève description des nouveaux travaux scientifiques requis (évaluation des stocks, analyse, consultant externe) :</w:t>
      </w:r>
    </w:p>
    <w:p w14:paraId="519973D9" w14:textId="77777777" w:rsidR="00C85E88" w:rsidRPr="006C5E3E" w:rsidRDefault="00C85E88" w:rsidP="005C4D20">
      <w:pPr>
        <w:ind w:left="360" w:firstLine="66"/>
        <w:jc w:val="both"/>
        <w:rPr>
          <w:rFonts w:asciiTheme="majorHAnsi" w:hAnsiTheme="majorHAnsi"/>
          <w:spacing w:val="-2"/>
          <w:sz w:val="20"/>
          <w:szCs w:val="20"/>
        </w:rPr>
      </w:pPr>
    </w:p>
    <w:p w14:paraId="1546B99E" w14:textId="46D0C16E" w:rsidR="009F6A2C" w:rsidRPr="006C5E3E" w:rsidRDefault="009F6A2C" w:rsidP="005C4D20">
      <w:pPr>
        <w:ind w:left="360" w:firstLine="66"/>
        <w:jc w:val="both"/>
        <w:rPr>
          <w:rFonts w:asciiTheme="majorHAnsi" w:hAnsiTheme="majorHAnsi"/>
          <w:color w:val="EE0000"/>
          <w:spacing w:val="-2"/>
          <w:sz w:val="20"/>
          <w:szCs w:val="20"/>
        </w:rPr>
      </w:pPr>
      <w:r w:rsidRPr="006C5E3E">
        <w:rPr>
          <w:rFonts w:asciiTheme="majorHAnsi" w:hAnsiTheme="majorHAnsi"/>
          <w:color w:val="EE0000"/>
          <w:sz w:val="20"/>
          <w:szCs w:val="20"/>
        </w:rPr>
        <w:t>N/A</w:t>
      </w:r>
    </w:p>
    <w:p w14:paraId="554B9B31" w14:textId="77777777" w:rsidR="009F6A2C" w:rsidRPr="006C5E3E" w:rsidRDefault="009F6A2C" w:rsidP="005C4D20">
      <w:pPr>
        <w:ind w:left="360" w:firstLine="66"/>
        <w:jc w:val="both"/>
        <w:rPr>
          <w:rFonts w:asciiTheme="majorHAnsi" w:hAnsiTheme="majorHAnsi"/>
          <w:sz w:val="20"/>
          <w:szCs w:val="20"/>
        </w:rPr>
      </w:pPr>
    </w:p>
    <w:p w14:paraId="508D9ADD" w14:textId="77777777" w:rsidR="009F6A2C" w:rsidRPr="006C5E3E" w:rsidRDefault="009F6A2C" w:rsidP="005C4D20">
      <w:pPr>
        <w:ind w:left="318"/>
        <w:rPr>
          <w:rFonts w:asciiTheme="majorHAnsi" w:hAnsiTheme="majorHAnsi"/>
          <w:sz w:val="20"/>
          <w:szCs w:val="20"/>
        </w:rPr>
      </w:pPr>
    </w:p>
    <w:p w14:paraId="637AF7FC" w14:textId="29527BDD" w:rsidR="009F6A2C" w:rsidRPr="006C5E3E" w:rsidRDefault="009F6A2C" w:rsidP="005C4D20">
      <w:pPr>
        <w:pStyle w:val="ListParagraph"/>
        <w:numPr>
          <w:ilvl w:val="0"/>
          <w:numId w:val="66"/>
        </w:numPr>
        <w:ind w:left="426" w:hanging="426"/>
        <w:jc w:val="both"/>
        <w:rPr>
          <w:rFonts w:asciiTheme="majorHAnsi" w:hAnsiTheme="majorHAnsi"/>
          <w:color w:val="EE0000"/>
          <w:sz w:val="20"/>
          <w:szCs w:val="20"/>
        </w:rPr>
      </w:pPr>
      <w:r w:rsidRPr="006C5E3E">
        <w:rPr>
          <w:rFonts w:asciiTheme="majorHAnsi" w:hAnsiTheme="majorHAnsi"/>
          <w:sz w:val="20"/>
          <w:szCs w:val="20"/>
        </w:rPr>
        <w:t xml:space="preserve">Cela implique-t-il la création d'un </w:t>
      </w:r>
      <w:r w:rsidRPr="006C5E3E">
        <w:rPr>
          <w:rFonts w:asciiTheme="majorHAnsi" w:hAnsiTheme="majorHAnsi"/>
          <w:b/>
          <w:sz w:val="20"/>
          <w:szCs w:val="20"/>
        </w:rPr>
        <w:t xml:space="preserve">nouveau groupe de travail ou d'un processus intersessions </w:t>
      </w:r>
      <w:r w:rsidRPr="006C5E3E">
        <w:rPr>
          <w:rFonts w:asciiTheme="majorHAnsi" w:hAnsiTheme="majorHAnsi"/>
          <w:sz w:val="20"/>
          <w:szCs w:val="20"/>
        </w:rPr>
        <w:t xml:space="preserve">?    Oui ¨      </w:t>
      </w:r>
      <w:r w:rsidRPr="006C5E3E">
        <w:rPr>
          <w:rFonts w:asciiTheme="majorHAnsi" w:hAnsiTheme="majorHAnsi"/>
          <w:sz w:val="20"/>
          <w:szCs w:val="20"/>
        </w:rPr>
        <w:tab/>
        <w:t>¨</w:t>
      </w:r>
      <w:r w:rsidRPr="006C5E3E">
        <w:rPr>
          <w:rFonts w:asciiTheme="majorHAnsi" w:hAnsiTheme="majorHAnsi"/>
          <w:sz w:val="20"/>
          <w:szCs w:val="20"/>
        </w:rPr>
        <w:tab/>
      </w:r>
      <w:r w:rsidRPr="006C5E3E">
        <w:rPr>
          <w:rFonts w:asciiTheme="majorHAnsi" w:hAnsiTheme="majorHAnsi"/>
          <w:color w:val="EE0000"/>
          <w:sz w:val="20"/>
          <w:szCs w:val="20"/>
        </w:rPr>
        <w:t xml:space="preserve">Non </w:t>
      </w:r>
    </w:p>
    <w:p w14:paraId="7F88675E" w14:textId="77777777" w:rsidR="009F6A2C" w:rsidRPr="006C5E3E" w:rsidRDefault="009F6A2C" w:rsidP="005C4D20">
      <w:pPr>
        <w:ind w:left="318"/>
        <w:rPr>
          <w:rFonts w:asciiTheme="majorHAnsi" w:hAnsiTheme="majorHAnsi"/>
          <w:sz w:val="20"/>
          <w:szCs w:val="20"/>
        </w:rPr>
      </w:pPr>
    </w:p>
    <w:p w14:paraId="2EF285C6" w14:textId="77777777" w:rsidR="009F6A2C" w:rsidRPr="006C5E3E" w:rsidRDefault="009F6A2C" w:rsidP="005C4D20">
      <w:pPr>
        <w:ind w:left="318"/>
        <w:rPr>
          <w:rFonts w:asciiTheme="majorHAnsi" w:hAnsiTheme="majorHAnsi"/>
          <w:sz w:val="20"/>
          <w:szCs w:val="20"/>
        </w:rPr>
      </w:pPr>
    </w:p>
    <w:p w14:paraId="2902C3E3" w14:textId="77777777" w:rsidR="009F6A2C" w:rsidRPr="006C5E3E" w:rsidRDefault="009F6A2C" w:rsidP="005C4D20">
      <w:pPr>
        <w:pStyle w:val="ListParagraph"/>
        <w:numPr>
          <w:ilvl w:val="0"/>
          <w:numId w:val="66"/>
        </w:numPr>
        <w:ind w:left="426" w:hanging="426"/>
        <w:jc w:val="both"/>
        <w:rPr>
          <w:rFonts w:asciiTheme="majorHAnsi" w:hAnsiTheme="majorHAnsi"/>
          <w:sz w:val="20"/>
          <w:szCs w:val="20"/>
        </w:rPr>
      </w:pPr>
      <w:r w:rsidRPr="006C5E3E">
        <w:rPr>
          <w:rFonts w:asciiTheme="majorHAnsi" w:hAnsiTheme="majorHAnsi"/>
          <w:sz w:val="20"/>
          <w:szCs w:val="20"/>
        </w:rPr>
        <w:t xml:space="preserve">Cela nécessite-t-il un nouveau </w:t>
      </w:r>
      <w:r w:rsidRPr="006C5E3E">
        <w:rPr>
          <w:rFonts w:asciiTheme="majorHAnsi" w:hAnsiTheme="majorHAnsi"/>
          <w:b/>
          <w:sz w:val="20"/>
          <w:szCs w:val="20"/>
        </w:rPr>
        <w:t xml:space="preserve">programme ou des activités supplémentaires à gérer par le Secrétariat </w:t>
      </w:r>
      <w:r w:rsidRPr="006C5E3E">
        <w:rPr>
          <w:rFonts w:asciiTheme="majorHAnsi" w:hAnsiTheme="majorHAnsi"/>
          <w:sz w:val="20"/>
          <w:szCs w:val="20"/>
        </w:rPr>
        <w:t xml:space="preserve">?  </w:t>
      </w:r>
    </w:p>
    <w:p w14:paraId="6A21B5D3" w14:textId="77777777" w:rsidR="009F6A2C" w:rsidRPr="006C5E3E" w:rsidRDefault="009F6A2C" w:rsidP="005C4D20">
      <w:pPr>
        <w:pStyle w:val="ListParagraph"/>
        <w:ind w:left="426" w:firstLine="0"/>
        <w:rPr>
          <w:rFonts w:asciiTheme="majorHAnsi" w:hAnsiTheme="majorHAnsi"/>
          <w:spacing w:val="-2"/>
          <w:sz w:val="20"/>
          <w:szCs w:val="20"/>
        </w:rPr>
      </w:pPr>
    </w:p>
    <w:p w14:paraId="2A49621B" w14:textId="624FC557" w:rsidR="009F6A2C" w:rsidRPr="006C5E3E" w:rsidRDefault="009F6A2C" w:rsidP="005C4D20">
      <w:pPr>
        <w:pStyle w:val="ListParagraph"/>
        <w:ind w:left="426" w:firstLine="0"/>
        <w:rPr>
          <w:rFonts w:asciiTheme="majorHAnsi" w:hAnsiTheme="majorHAnsi"/>
          <w:sz w:val="20"/>
          <w:szCs w:val="20"/>
        </w:rPr>
      </w:pPr>
      <w:r w:rsidRPr="006C5E3E">
        <w:rPr>
          <w:rFonts w:asciiTheme="majorHAnsi" w:hAnsiTheme="majorHAnsi"/>
          <w:sz w:val="20"/>
          <w:szCs w:val="20"/>
        </w:rPr>
        <w:t xml:space="preserve">Oui ¨     </w:t>
      </w:r>
      <w:r w:rsidRPr="006C5E3E">
        <w:rPr>
          <w:rFonts w:asciiTheme="majorHAnsi" w:hAnsiTheme="majorHAnsi"/>
          <w:sz w:val="20"/>
          <w:szCs w:val="20"/>
        </w:rPr>
        <w:tab/>
        <w:t>¨</w:t>
      </w:r>
      <w:r w:rsidRPr="006C5E3E">
        <w:rPr>
          <w:rFonts w:asciiTheme="majorHAnsi" w:hAnsiTheme="majorHAnsi"/>
          <w:sz w:val="20"/>
          <w:szCs w:val="20"/>
        </w:rPr>
        <w:tab/>
      </w:r>
      <w:r w:rsidRPr="006C5E3E">
        <w:rPr>
          <w:rFonts w:asciiTheme="majorHAnsi" w:hAnsiTheme="majorHAnsi"/>
          <w:color w:val="EE0000"/>
          <w:sz w:val="20"/>
          <w:szCs w:val="20"/>
        </w:rPr>
        <w:t xml:space="preserve">Non </w:t>
      </w:r>
    </w:p>
    <w:p w14:paraId="5C456259" w14:textId="77777777" w:rsidR="009F6A2C" w:rsidRPr="006C5E3E" w:rsidRDefault="009F6A2C" w:rsidP="005C4D20">
      <w:pPr>
        <w:ind w:left="318"/>
        <w:rPr>
          <w:rFonts w:asciiTheme="majorHAnsi" w:hAnsiTheme="majorHAnsi"/>
          <w:sz w:val="20"/>
          <w:szCs w:val="20"/>
        </w:rPr>
      </w:pPr>
    </w:p>
    <w:p w14:paraId="6CDAE78A" w14:textId="77777777" w:rsidR="009F6A2C" w:rsidRPr="006C5E3E" w:rsidRDefault="009F6A2C" w:rsidP="005C4D20">
      <w:pPr>
        <w:ind w:left="360" w:firstLine="66"/>
        <w:jc w:val="both"/>
        <w:rPr>
          <w:rFonts w:asciiTheme="majorHAnsi" w:hAnsiTheme="majorHAnsi"/>
          <w:spacing w:val="-2"/>
          <w:sz w:val="20"/>
          <w:szCs w:val="20"/>
        </w:rPr>
      </w:pPr>
      <w:r w:rsidRPr="006C5E3E">
        <w:rPr>
          <w:rFonts w:asciiTheme="majorHAnsi" w:hAnsiTheme="majorHAnsi"/>
          <w:sz w:val="20"/>
          <w:szCs w:val="20"/>
        </w:rPr>
        <w:t>Brève description du nouveau travail requis pour le Secrétariat :</w:t>
      </w:r>
    </w:p>
    <w:p w14:paraId="39000472" w14:textId="77777777" w:rsidR="00C85E88" w:rsidRPr="006C5E3E" w:rsidRDefault="00C85E88" w:rsidP="005C4D20">
      <w:pPr>
        <w:ind w:left="360" w:firstLine="66"/>
        <w:jc w:val="both"/>
        <w:rPr>
          <w:rFonts w:asciiTheme="majorHAnsi" w:hAnsiTheme="majorHAnsi"/>
          <w:spacing w:val="-2"/>
          <w:sz w:val="20"/>
          <w:szCs w:val="20"/>
        </w:rPr>
      </w:pPr>
    </w:p>
    <w:p w14:paraId="24F198F6" w14:textId="60DDD34C" w:rsidR="009F6A2C" w:rsidRPr="006C5E3E" w:rsidRDefault="009F6A2C" w:rsidP="005C4D20">
      <w:pPr>
        <w:ind w:left="360" w:firstLine="66"/>
        <w:jc w:val="both"/>
        <w:rPr>
          <w:rFonts w:asciiTheme="majorHAnsi" w:hAnsiTheme="majorHAnsi"/>
          <w:color w:val="EE0000"/>
          <w:spacing w:val="-2"/>
          <w:sz w:val="20"/>
          <w:szCs w:val="20"/>
        </w:rPr>
      </w:pPr>
      <w:r w:rsidRPr="006C5E3E">
        <w:rPr>
          <w:rFonts w:asciiTheme="majorHAnsi" w:hAnsiTheme="majorHAnsi"/>
          <w:color w:val="EE0000"/>
          <w:sz w:val="20"/>
          <w:szCs w:val="20"/>
        </w:rPr>
        <w:t>N/A</w:t>
      </w:r>
    </w:p>
    <w:p w14:paraId="6385EAB5" w14:textId="77777777" w:rsidR="009F6A2C" w:rsidRPr="006C5E3E" w:rsidRDefault="009F6A2C" w:rsidP="005C4D20">
      <w:pPr>
        <w:ind w:left="360" w:firstLine="66"/>
        <w:jc w:val="both"/>
        <w:rPr>
          <w:rFonts w:asciiTheme="majorHAnsi" w:hAnsiTheme="majorHAnsi"/>
          <w:spacing w:val="-2"/>
          <w:sz w:val="20"/>
          <w:szCs w:val="20"/>
        </w:rPr>
      </w:pPr>
    </w:p>
    <w:p w14:paraId="238A1DB0" w14:textId="77777777" w:rsidR="009F6A2C" w:rsidRPr="006C5E3E" w:rsidRDefault="009F6A2C" w:rsidP="005C4D20">
      <w:pPr>
        <w:rPr>
          <w:rFonts w:asciiTheme="majorHAnsi" w:hAnsiTheme="majorHAnsi"/>
          <w:spacing w:val="-2"/>
          <w:sz w:val="20"/>
          <w:szCs w:val="20"/>
        </w:rPr>
      </w:pPr>
    </w:p>
    <w:p w14:paraId="04A1AD0D" w14:textId="77777777" w:rsidR="009F6A2C" w:rsidRPr="006C5E3E" w:rsidRDefault="009F6A2C" w:rsidP="005C4D20">
      <w:pPr>
        <w:pStyle w:val="ListParagraph"/>
        <w:numPr>
          <w:ilvl w:val="0"/>
          <w:numId w:val="66"/>
        </w:numPr>
        <w:ind w:left="426" w:hanging="426"/>
        <w:jc w:val="both"/>
        <w:rPr>
          <w:rFonts w:asciiTheme="majorHAnsi" w:hAnsiTheme="majorHAnsi"/>
          <w:spacing w:val="-2"/>
          <w:sz w:val="20"/>
          <w:szCs w:val="20"/>
        </w:rPr>
      </w:pPr>
      <w:r w:rsidRPr="006C5E3E">
        <w:rPr>
          <w:rFonts w:asciiTheme="majorHAnsi" w:hAnsiTheme="majorHAnsi"/>
          <w:sz w:val="20"/>
          <w:szCs w:val="20"/>
        </w:rPr>
        <w:t>Quel est le calendrier proposé pour la mise en œuvre, et existe-t-il des calendriers spécifiques différents pour certaines CPC, pêcheries, régions, etc. ?</w:t>
      </w:r>
    </w:p>
    <w:p w14:paraId="3C4F5025" w14:textId="77777777" w:rsidR="00C85E88" w:rsidRPr="006C5E3E" w:rsidRDefault="00C85E88" w:rsidP="005C4D20">
      <w:pPr>
        <w:pStyle w:val="ListParagraph"/>
        <w:ind w:left="426" w:firstLine="0"/>
        <w:jc w:val="both"/>
        <w:rPr>
          <w:rFonts w:asciiTheme="majorHAnsi" w:hAnsiTheme="majorHAnsi"/>
          <w:color w:val="EE0000"/>
          <w:spacing w:val="-2"/>
          <w:sz w:val="20"/>
          <w:szCs w:val="20"/>
        </w:rPr>
      </w:pPr>
    </w:p>
    <w:p w14:paraId="49788378" w14:textId="0CB9506E" w:rsidR="009F6A2C" w:rsidRPr="006C5E3E" w:rsidRDefault="009F6A2C" w:rsidP="005C4D20">
      <w:pPr>
        <w:pStyle w:val="ListParagraph"/>
        <w:ind w:left="426" w:firstLine="0"/>
        <w:jc w:val="both"/>
        <w:rPr>
          <w:rFonts w:asciiTheme="majorHAnsi" w:hAnsiTheme="majorHAnsi"/>
          <w:color w:val="EE0000"/>
          <w:spacing w:val="-2"/>
          <w:sz w:val="20"/>
          <w:szCs w:val="20"/>
        </w:rPr>
      </w:pPr>
      <w:r w:rsidRPr="006C5E3E">
        <w:rPr>
          <w:rFonts w:asciiTheme="majorHAnsi" w:hAnsiTheme="majorHAnsi"/>
          <w:color w:val="EE0000"/>
          <w:sz w:val="20"/>
          <w:szCs w:val="20"/>
        </w:rPr>
        <w:t>Entrée en vigueur en 2026.</w:t>
      </w:r>
    </w:p>
    <w:p w14:paraId="2F5871D4" w14:textId="77777777" w:rsidR="009F6A2C" w:rsidRPr="006C5E3E" w:rsidRDefault="009F6A2C" w:rsidP="005C4D20">
      <w:pPr>
        <w:rPr>
          <w:rFonts w:asciiTheme="majorHAnsi" w:hAnsiTheme="majorHAnsi"/>
          <w:spacing w:val="-2"/>
          <w:sz w:val="20"/>
          <w:szCs w:val="20"/>
        </w:rPr>
      </w:pPr>
    </w:p>
    <w:p w14:paraId="6F13A6AF" w14:textId="77777777" w:rsidR="009F6A2C" w:rsidRPr="006C5E3E" w:rsidRDefault="009F6A2C" w:rsidP="005C4D20">
      <w:pPr>
        <w:pStyle w:val="ListParagraph"/>
        <w:numPr>
          <w:ilvl w:val="0"/>
          <w:numId w:val="66"/>
        </w:numPr>
        <w:ind w:left="426" w:hanging="426"/>
        <w:jc w:val="both"/>
        <w:rPr>
          <w:rFonts w:asciiTheme="majorHAnsi" w:hAnsiTheme="majorHAnsi"/>
          <w:spacing w:val="-2"/>
          <w:sz w:val="20"/>
          <w:szCs w:val="20"/>
        </w:rPr>
      </w:pPr>
      <w:r w:rsidRPr="006C5E3E">
        <w:rPr>
          <w:rFonts w:asciiTheme="majorHAnsi" w:hAnsiTheme="majorHAnsi"/>
          <w:sz w:val="20"/>
          <w:szCs w:val="20"/>
        </w:rPr>
        <w:t>Existe-t-il d'autres informations pertinentes concernant les implications de la proposition en termes de ressources et de charge de travail ?</w:t>
      </w:r>
    </w:p>
    <w:p w14:paraId="5FEE6B27" w14:textId="77777777" w:rsidR="009F6A2C" w:rsidRPr="006C5E3E" w:rsidRDefault="009F6A2C" w:rsidP="005C4D20">
      <w:pPr>
        <w:pStyle w:val="ListParagraph"/>
        <w:ind w:left="426" w:firstLine="0"/>
        <w:rPr>
          <w:rFonts w:asciiTheme="majorHAnsi" w:hAnsiTheme="majorHAnsi"/>
          <w:spacing w:val="-2"/>
          <w:sz w:val="20"/>
          <w:szCs w:val="20"/>
        </w:rPr>
      </w:pPr>
    </w:p>
    <w:p w14:paraId="4F5516EC" w14:textId="05ECA3AD" w:rsidR="009F6A2C" w:rsidRPr="006C5E3E" w:rsidRDefault="009F6A2C" w:rsidP="005C4D20">
      <w:pPr>
        <w:pStyle w:val="BodyText"/>
        <w:ind w:left="426"/>
        <w:jc w:val="both"/>
        <w:rPr>
          <w:rFonts w:asciiTheme="majorHAnsi" w:hAnsiTheme="majorHAnsi"/>
          <w:color w:val="EE0000"/>
        </w:rPr>
      </w:pPr>
      <w:r w:rsidRPr="006C5E3E">
        <w:rPr>
          <w:rFonts w:asciiTheme="majorHAnsi" w:hAnsiTheme="majorHAnsi"/>
          <w:color w:val="EE0000"/>
        </w:rPr>
        <w:t xml:space="preserve">Mise à jour de l'échéancier des obligations de déclaration de la CPC en vertu de la </w:t>
      </w:r>
      <w:hyperlink r:id="rId8" w:history="1">
        <w:r w:rsidRPr="006C5E3E">
          <w:rPr>
            <w:rStyle w:val="Hyperlink"/>
            <w:rFonts w:asciiTheme="majorHAnsi" w:hAnsiTheme="majorHAnsi"/>
            <w:color w:val="EE0000"/>
            <w:u w:val="none"/>
          </w:rPr>
          <w:t>R</w:t>
        </w:r>
        <w:r w:rsidR="00484817">
          <w:rPr>
            <w:rStyle w:val="Hyperlink"/>
            <w:rFonts w:asciiTheme="majorHAnsi" w:hAnsiTheme="majorHAnsi"/>
            <w:color w:val="EE0000"/>
            <w:u w:val="none"/>
          </w:rPr>
          <w:t>és</w:t>
        </w:r>
        <w:r w:rsidRPr="006C5E3E">
          <w:rPr>
            <w:rStyle w:val="Hyperlink"/>
            <w:rFonts w:asciiTheme="majorHAnsi" w:hAnsiTheme="majorHAnsi"/>
            <w:color w:val="EE0000"/>
            <w:u w:val="none"/>
          </w:rPr>
          <w:t>. 22-07</w:t>
        </w:r>
      </w:hyperlink>
      <w:r w:rsidRPr="006C5E3E">
        <w:rPr>
          <w:rFonts w:asciiTheme="majorHAnsi" w:hAnsiTheme="majorHAnsi"/>
          <w:color w:val="EE0000"/>
        </w:rPr>
        <w:t xml:space="preserve">, pas de nouvelles obligations ni de changements supplémentaires </w:t>
      </w:r>
      <w:r w:rsidR="00484817">
        <w:rPr>
          <w:rFonts w:asciiTheme="majorHAnsi" w:hAnsiTheme="majorHAnsi"/>
          <w:color w:val="EE0000"/>
        </w:rPr>
        <w:t>par rapport à</w:t>
      </w:r>
      <w:r w:rsidR="006C5E3E" w:rsidRPr="006C5E3E">
        <w:rPr>
          <w:rFonts w:asciiTheme="majorHAnsi" w:hAnsiTheme="majorHAnsi"/>
          <w:color w:val="EE0000"/>
        </w:rPr>
        <w:t xml:space="preserve"> la</w:t>
      </w:r>
      <w:r w:rsidRPr="006C5E3E">
        <w:rPr>
          <w:rFonts w:asciiTheme="majorHAnsi" w:hAnsiTheme="majorHAnsi"/>
          <w:color w:val="EE0000"/>
        </w:rPr>
        <w:t xml:space="preserve"> </w:t>
      </w:r>
      <w:hyperlink r:id="rId9" w:history="1">
        <w:r w:rsidRPr="006C5E3E">
          <w:rPr>
            <w:rStyle w:val="Hyperlink"/>
            <w:rFonts w:asciiTheme="majorHAnsi" w:hAnsiTheme="majorHAnsi"/>
            <w:color w:val="EE0000"/>
            <w:u w:val="none"/>
          </w:rPr>
          <w:t>R</w:t>
        </w:r>
        <w:r w:rsidR="00484817">
          <w:rPr>
            <w:rStyle w:val="Hyperlink"/>
            <w:rFonts w:asciiTheme="majorHAnsi" w:hAnsiTheme="majorHAnsi"/>
            <w:color w:val="EE0000"/>
            <w:u w:val="none"/>
          </w:rPr>
          <w:t>és</w:t>
        </w:r>
        <w:r w:rsidRPr="006C5E3E">
          <w:rPr>
            <w:rStyle w:val="Hyperlink"/>
            <w:rFonts w:asciiTheme="majorHAnsi" w:hAnsiTheme="majorHAnsi"/>
            <w:color w:val="EE0000"/>
            <w:u w:val="none"/>
          </w:rPr>
          <w:t>. 22-07</w:t>
        </w:r>
      </w:hyperlink>
      <w:r w:rsidRPr="006C5E3E">
        <w:rPr>
          <w:rFonts w:asciiTheme="majorHAnsi" w:hAnsiTheme="majorHAnsi"/>
          <w:color w:val="EE0000"/>
        </w:rPr>
        <w:t>.</w:t>
      </w:r>
      <w:r w:rsidRPr="006C5E3E">
        <w:rPr>
          <w:rFonts w:asciiTheme="majorHAnsi" w:hAnsiTheme="majorHAnsi"/>
        </w:rPr>
        <w:t>.</w:t>
      </w:r>
    </w:p>
    <w:p w14:paraId="0E5D2A6A" w14:textId="77777777" w:rsidR="009F6A2C" w:rsidRPr="006C5E3E" w:rsidRDefault="009F6A2C" w:rsidP="005C4D20">
      <w:pPr>
        <w:pStyle w:val="BodyText"/>
        <w:rPr>
          <w:rFonts w:asciiTheme="majorHAnsi" w:hAnsiTheme="majorHAnsi"/>
        </w:rPr>
      </w:pPr>
    </w:p>
    <w:p w14:paraId="2C926FED" w14:textId="77777777" w:rsidR="0039573E" w:rsidRPr="006C5E3E" w:rsidRDefault="0039573E" w:rsidP="005C4D20">
      <w:pPr>
        <w:jc w:val="center"/>
        <w:rPr>
          <w:rFonts w:asciiTheme="majorHAnsi" w:hAnsiTheme="majorHAnsi"/>
          <w:b/>
          <w:sz w:val="20"/>
          <w:szCs w:val="20"/>
          <w:highlight w:val="yellow"/>
        </w:rPr>
      </w:pPr>
    </w:p>
    <w:p w14:paraId="12943A5C" w14:textId="77777777" w:rsidR="0039573E" w:rsidRPr="006C5E3E" w:rsidRDefault="0039573E" w:rsidP="005C4D20">
      <w:pPr>
        <w:jc w:val="center"/>
        <w:rPr>
          <w:rFonts w:asciiTheme="majorHAnsi" w:hAnsiTheme="majorHAnsi"/>
          <w:b/>
          <w:sz w:val="20"/>
          <w:szCs w:val="20"/>
          <w:highlight w:val="yellow"/>
        </w:rPr>
      </w:pPr>
    </w:p>
    <w:p w14:paraId="2C530BC6" w14:textId="77777777" w:rsidR="0039573E" w:rsidRPr="006C5E3E" w:rsidRDefault="0039573E" w:rsidP="005C4D20">
      <w:pPr>
        <w:jc w:val="center"/>
        <w:rPr>
          <w:rFonts w:asciiTheme="majorHAnsi" w:hAnsiTheme="majorHAnsi"/>
          <w:b/>
          <w:sz w:val="20"/>
          <w:szCs w:val="20"/>
          <w:highlight w:val="yellow"/>
        </w:rPr>
      </w:pPr>
    </w:p>
    <w:p w14:paraId="1746526D" w14:textId="77777777" w:rsidR="0039573E" w:rsidRPr="006C5E3E" w:rsidRDefault="0039573E" w:rsidP="005C4D20">
      <w:pPr>
        <w:jc w:val="center"/>
        <w:rPr>
          <w:rFonts w:asciiTheme="majorHAnsi" w:hAnsiTheme="majorHAnsi"/>
          <w:b/>
          <w:sz w:val="20"/>
          <w:szCs w:val="20"/>
          <w:highlight w:val="yellow"/>
        </w:rPr>
      </w:pPr>
    </w:p>
    <w:p w14:paraId="726C82DC" w14:textId="77777777" w:rsidR="001E1193" w:rsidRPr="006C5E3E" w:rsidRDefault="001E1193" w:rsidP="001E1193">
      <w:pPr>
        <w:ind w:left="487" w:right="2"/>
        <w:jc w:val="right"/>
        <w:rPr>
          <w:rFonts w:asciiTheme="majorHAnsi" w:hAnsiTheme="majorHAnsi"/>
          <w:b/>
          <w:spacing w:val="-2"/>
          <w:sz w:val="20"/>
          <w:szCs w:val="20"/>
        </w:rPr>
      </w:pPr>
      <w:r w:rsidRPr="006C5E3E">
        <w:rPr>
          <w:rFonts w:asciiTheme="majorHAnsi" w:hAnsiTheme="majorHAnsi"/>
          <w:b/>
          <w:sz w:val="20"/>
          <w:szCs w:val="20"/>
        </w:rPr>
        <w:lastRenderedPageBreak/>
        <w:t xml:space="preserve">Original : </w:t>
      </w:r>
      <w:r w:rsidRPr="006C5E3E">
        <w:rPr>
          <w:rFonts w:asciiTheme="majorHAnsi" w:hAnsiTheme="majorHAnsi"/>
          <w:b/>
          <w:bCs/>
          <w:sz w:val="20"/>
          <w:szCs w:val="20"/>
        </w:rPr>
        <w:t>anglais</w:t>
      </w:r>
    </w:p>
    <w:p w14:paraId="13758113" w14:textId="77777777" w:rsidR="0039573E" w:rsidRPr="006C5E3E" w:rsidRDefault="0039573E" w:rsidP="005C4D20">
      <w:pPr>
        <w:jc w:val="center"/>
        <w:rPr>
          <w:rFonts w:asciiTheme="majorHAnsi" w:hAnsiTheme="majorHAnsi"/>
          <w:b/>
          <w:sz w:val="20"/>
          <w:szCs w:val="20"/>
          <w:highlight w:val="yellow"/>
        </w:rPr>
      </w:pPr>
    </w:p>
    <w:p w14:paraId="05B7D806" w14:textId="77777777" w:rsidR="0039573E" w:rsidRPr="00484817" w:rsidRDefault="0039573E" w:rsidP="005C4D20">
      <w:pPr>
        <w:jc w:val="center"/>
        <w:rPr>
          <w:rFonts w:asciiTheme="majorHAnsi" w:hAnsiTheme="majorHAnsi"/>
          <w:b/>
          <w:sz w:val="20"/>
          <w:szCs w:val="20"/>
        </w:rPr>
      </w:pPr>
    </w:p>
    <w:p w14:paraId="05F4BDA8" w14:textId="1DE56DF3" w:rsidR="00082853" w:rsidRPr="006C5E3E" w:rsidRDefault="005C4D20" w:rsidP="005C4D20">
      <w:pPr>
        <w:jc w:val="center"/>
        <w:rPr>
          <w:rFonts w:asciiTheme="majorHAnsi" w:hAnsiTheme="majorHAnsi"/>
          <w:b/>
          <w:sz w:val="20"/>
          <w:szCs w:val="20"/>
        </w:rPr>
      </w:pPr>
      <w:r w:rsidRPr="00484817">
        <w:rPr>
          <w:rFonts w:asciiTheme="majorHAnsi" w:hAnsiTheme="majorHAnsi"/>
          <w:b/>
          <w:sz w:val="20"/>
          <w:szCs w:val="20"/>
        </w:rPr>
        <w:t>Projet de résolution de l’ICCAT sur un projet pilote de stockage de courte durée du thon rouge vivant</w:t>
      </w:r>
      <w:r w:rsidRPr="006C5E3E">
        <w:rPr>
          <w:rFonts w:asciiTheme="majorHAnsi" w:hAnsiTheme="majorHAnsi"/>
          <w:b/>
          <w:sz w:val="20"/>
          <w:szCs w:val="20"/>
        </w:rPr>
        <w:t xml:space="preserve"> </w:t>
      </w:r>
    </w:p>
    <w:p w14:paraId="5E9902FD" w14:textId="77777777" w:rsidR="004E1447" w:rsidRPr="006C5E3E" w:rsidRDefault="004E1447" w:rsidP="005C4D20">
      <w:pPr>
        <w:jc w:val="center"/>
        <w:rPr>
          <w:rFonts w:asciiTheme="majorHAnsi" w:hAnsiTheme="majorHAnsi"/>
          <w:b/>
          <w:sz w:val="20"/>
          <w:szCs w:val="20"/>
        </w:rPr>
      </w:pPr>
    </w:p>
    <w:p w14:paraId="113AE0A7" w14:textId="77777777" w:rsidR="004E1447" w:rsidRPr="006C5E3E" w:rsidRDefault="004E1447" w:rsidP="004E1447">
      <w:pPr>
        <w:jc w:val="center"/>
        <w:rPr>
          <w:rFonts w:asciiTheme="majorHAnsi" w:hAnsiTheme="majorHAnsi"/>
          <w:i/>
          <w:iCs/>
          <w:sz w:val="20"/>
          <w:szCs w:val="20"/>
        </w:rPr>
      </w:pPr>
      <w:r w:rsidRPr="006C5E3E">
        <w:rPr>
          <w:rFonts w:asciiTheme="majorHAnsi" w:hAnsiTheme="majorHAnsi"/>
          <w:i/>
          <w:sz w:val="20"/>
          <w:szCs w:val="20"/>
        </w:rPr>
        <w:t>(Document présenté par la Norvège)</w:t>
      </w:r>
    </w:p>
    <w:p w14:paraId="191C9B0B" w14:textId="77777777" w:rsidR="00082853" w:rsidRPr="006C5E3E" w:rsidRDefault="00082853" w:rsidP="005C4D20">
      <w:pPr>
        <w:tabs>
          <w:tab w:val="left" w:pos="284"/>
        </w:tabs>
        <w:jc w:val="both"/>
        <w:rPr>
          <w:rFonts w:asciiTheme="majorHAnsi" w:hAnsiTheme="majorHAnsi" w:cstheme="minorHAnsi"/>
          <w:i/>
          <w:iCs/>
          <w:sz w:val="20"/>
          <w:szCs w:val="20"/>
        </w:rPr>
      </w:pPr>
    </w:p>
    <w:p w14:paraId="7974B3A2" w14:textId="5161D974" w:rsidR="00082853" w:rsidRPr="006C5E3E" w:rsidRDefault="00082853" w:rsidP="005C4D20">
      <w:pPr>
        <w:tabs>
          <w:tab w:val="left" w:pos="284"/>
        </w:tabs>
        <w:jc w:val="both"/>
        <w:rPr>
          <w:rFonts w:asciiTheme="majorHAnsi" w:hAnsiTheme="majorHAnsi"/>
          <w:color w:val="0A0A0A"/>
          <w:sz w:val="20"/>
          <w:szCs w:val="20"/>
        </w:rPr>
      </w:pPr>
      <w:r w:rsidRPr="006C5E3E">
        <w:rPr>
          <w:rFonts w:asciiTheme="majorHAnsi" w:hAnsiTheme="majorHAnsi"/>
          <w:i/>
          <w:color w:val="0A0A0A"/>
          <w:sz w:val="20"/>
          <w:szCs w:val="20"/>
        </w:rPr>
        <w:tab/>
        <w:t>RAPPELANT</w:t>
      </w:r>
      <w:r w:rsidRPr="006C5E3E">
        <w:rPr>
          <w:rFonts w:asciiTheme="majorHAnsi" w:hAnsiTheme="majorHAnsi"/>
          <w:color w:val="0A0A0A"/>
          <w:sz w:val="20"/>
          <w:szCs w:val="20"/>
        </w:rPr>
        <w:t xml:space="preserve"> que la Norvège, lors de la 27e réunion ordinaire de la Commission en 2021, a présenté un document conceptuel sur le stockage de courte durée du thon rouge vivant ;</w:t>
      </w:r>
    </w:p>
    <w:p w14:paraId="0D1C485D" w14:textId="77777777" w:rsidR="00082853" w:rsidRPr="006C5E3E" w:rsidRDefault="00082853" w:rsidP="005C4D20">
      <w:pPr>
        <w:jc w:val="both"/>
        <w:rPr>
          <w:rFonts w:asciiTheme="majorHAnsi" w:hAnsiTheme="majorHAnsi"/>
          <w:color w:val="0A0A0A"/>
          <w:sz w:val="20"/>
          <w:szCs w:val="20"/>
        </w:rPr>
      </w:pPr>
    </w:p>
    <w:p w14:paraId="1110CAAA" w14:textId="77777777" w:rsidR="00082853" w:rsidRPr="006C5E3E" w:rsidRDefault="00082853" w:rsidP="005C4D20">
      <w:pPr>
        <w:tabs>
          <w:tab w:val="left" w:pos="284"/>
        </w:tabs>
        <w:jc w:val="both"/>
        <w:rPr>
          <w:rFonts w:asciiTheme="majorHAnsi" w:hAnsiTheme="majorHAnsi"/>
          <w:color w:val="0A0A0A"/>
          <w:sz w:val="20"/>
          <w:szCs w:val="20"/>
        </w:rPr>
      </w:pPr>
      <w:r w:rsidRPr="006C5E3E">
        <w:rPr>
          <w:rFonts w:asciiTheme="majorHAnsi" w:hAnsiTheme="majorHAnsi"/>
          <w:color w:val="0A0A0A"/>
          <w:sz w:val="20"/>
          <w:szCs w:val="20"/>
        </w:rPr>
        <w:tab/>
      </w:r>
      <w:r w:rsidRPr="006C5E3E">
        <w:rPr>
          <w:rFonts w:asciiTheme="majorHAnsi" w:hAnsiTheme="majorHAnsi"/>
          <w:i/>
          <w:color w:val="0A0A0A"/>
          <w:sz w:val="20"/>
          <w:szCs w:val="20"/>
        </w:rPr>
        <w:t>RECONNAISSANT</w:t>
      </w:r>
      <w:r w:rsidRPr="006C5E3E">
        <w:rPr>
          <w:rFonts w:asciiTheme="majorHAnsi" w:hAnsiTheme="majorHAnsi"/>
          <w:color w:val="0A0A0A"/>
          <w:sz w:val="20"/>
          <w:szCs w:val="20"/>
        </w:rPr>
        <w:t xml:space="preserve"> qu’à la réunion annuelle de 2021, la Sous-commission 2 a demandé à la Norvège de présenter un projet de proposition à la réunion extraordinaire de la Commission en 2022 sur le stockage de courte durée du thon rouge vivant ;</w:t>
      </w:r>
    </w:p>
    <w:p w14:paraId="4C3B9C0C" w14:textId="77777777" w:rsidR="00082853" w:rsidRPr="006C5E3E" w:rsidRDefault="00082853" w:rsidP="005C4D20">
      <w:pPr>
        <w:jc w:val="both"/>
        <w:rPr>
          <w:rFonts w:asciiTheme="majorHAnsi" w:hAnsiTheme="majorHAnsi"/>
          <w:color w:val="0A0A0A"/>
          <w:sz w:val="20"/>
          <w:szCs w:val="20"/>
        </w:rPr>
      </w:pPr>
    </w:p>
    <w:p w14:paraId="25DE4C5B" w14:textId="014DCCF8" w:rsidR="00082853" w:rsidRPr="006C5E3E" w:rsidRDefault="00082853" w:rsidP="005C4D20">
      <w:pPr>
        <w:tabs>
          <w:tab w:val="left" w:pos="284"/>
        </w:tabs>
        <w:jc w:val="both"/>
        <w:rPr>
          <w:rFonts w:asciiTheme="majorHAnsi" w:hAnsiTheme="majorHAnsi"/>
          <w:color w:val="0A0A0A"/>
          <w:sz w:val="20"/>
          <w:szCs w:val="20"/>
        </w:rPr>
      </w:pPr>
      <w:r w:rsidRPr="006C5E3E">
        <w:rPr>
          <w:rFonts w:asciiTheme="majorHAnsi" w:hAnsiTheme="majorHAnsi"/>
          <w:color w:val="0A0A0A"/>
          <w:sz w:val="20"/>
          <w:szCs w:val="20"/>
        </w:rPr>
        <w:tab/>
      </w:r>
      <w:bookmarkStart w:id="0" w:name="_Hlk101422754"/>
      <w:r w:rsidRPr="00447BC1">
        <w:rPr>
          <w:rFonts w:asciiTheme="majorHAnsi" w:hAnsiTheme="majorHAnsi"/>
          <w:i/>
          <w:iCs/>
          <w:sz w:val="20"/>
          <w:szCs w:val="20"/>
          <w:u w:val="single"/>
        </w:rPr>
        <w:t>ÉTANT DONNÉ QUE l’ICCAT</w:t>
      </w:r>
      <w:r w:rsidRPr="00447BC1">
        <w:rPr>
          <w:rFonts w:asciiTheme="majorHAnsi" w:hAnsiTheme="majorHAnsi"/>
          <w:sz w:val="20"/>
          <w:szCs w:val="20"/>
          <w:u w:val="single"/>
        </w:rPr>
        <w:t xml:space="preserve"> a adopté la </w:t>
      </w:r>
      <w:r w:rsidRPr="00447BC1">
        <w:rPr>
          <w:rFonts w:asciiTheme="majorHAnsi" w:hAnsiTheme="majorHAnsi"/>
          <w:i/>
          <w:iCs/>
          <w:sz w:val="20"/>
          <w:szCs w:val="20"/>
          <w:u w:val="single"/>
        </w:rPr>
        <w:t>Recommandation de l’ICCAT amendant la Recommandation 22-08 établissant un plan pluriannuel de gestion du thon rouge dans l’Atlantique Est et la Méditerranée</w:t>
      </w:r>
      <w:r w:rsidRPr="00447BC1">
        <w:rPr>
          <w:rFonts w:asciiTheme="majorHAnsi" w:hAnsiTheme="majorHAnsi"/>
          <w:sz w:val="20"/>
          <w:szCs w:val="20"/>
          <w:u w:val="single"/>
        </w:rPr>
        <w:t xml:space="preserve"> (Rec. 24-05), la </w:t>
      </w:r>
      <w:r w:rsidRPr="00447BC1">
        <w:rPr>
          <w:rFonts w:asciiTheme="majorHAnsi" w:hAnsiTheme="majorHAnsi"/>
          <w:i/>
          <w:iCs/>
          <w:sz w:val="20"/>
          <w:szCs w:val="20"/>
          <w:u w:val="single"/>
        </w:rPr>
        <w:t>Recommandation de l’ICCAT amendant la Recommandation 22-16 amendant la Recommandation 21-18 concernant l’application du système eBCD</w:t>
      </w:r>
      <w:r w:rsidRPr="00447BC1">
        <w:rPr>
          <w:rFonts w:asciiTheme="majorHAnsi" w:hAnsiTheme="majorHAnsi"/>
          <w:sz w:val="20"/>
          <w:szCs w:val="20"/>
          <w:u w:val="single"/>
        </w:rPr>
        <w:t xml:space="preserve"> (Rec. 24-16) et la </w:t>
      </w:r>
      <w:r w:rsidRPr="00447BC1">
        <w:rPr>
          <w:rFonts w:asciiTheme="majorHAnsi" w:hAnsiTheme="majorHAnsi"/>
          <w:i/>
          <w:iCs/>
          <w:sz w:val="20"/>
          <w:szCs w:val="20"/>
          <w:u w:val="single"/>
        </w:rPr>
        <w:t>Recommandation de l’ICCAT amendant et remplaçant la Recommandation 18-13 sur un programme ICCAT de documentation des captures de thon rouge</w:t>
      </w:r>
      <w:r w:rsidRPr="00447BC1">
        <w:rPr>
          <w:rFonts w:asciiTheme="majorHAnsi" w:hAnsiTheme="majorHAnsi"/>
          <w:sz w:val="20"/>
          <w:szCs w:val="20"/>
          <w:u w:val="single"/>
        </w:rPr>
        <w:t xml:space="preserve"> (Rec. 23-21) ;</w:t>
      </w:r>
    </w:p>
    <w:bookmarkEnd w:id="0"/>
    <w:p w14:paraId="5C240A49" w14:textId="77777777" w:rsidR="00082853" w:rsidRPr="006C5E3E" w:rsidRDefault="00082853" w:rsidP="005C4D20">
      <w:pPr>
        <w:jc w:val="both"/>
        <w:rPr>
          <w:rFonts w:asciiTheme="majorHAnsi" w:hAnsiTheme="majorHAnsi"/>
          <w:color w:val="0A0A0A"/>
          <w:sz w:val="20"/>
          <w:szCs w:val="20"/>
        </w:rPr>
      </w:pPr>
    </w:p>
    <w:p w14:paraId="6DAB7A71" w14:textId="77777777" w:rsidR="00082853" w:rsidRPr="006C5E3E" w:rsidRDefault="00082853" w:rsidP="005C4D20">
      <w:pPr>
        <w:tabs>
          <w:tab w:val="left" w:pos="284"/>
        </w:tabs>
        <w:jc w:val="both"/>
        <w:rPr>
          <w:rFonts w:asciiTheme="majorHAnsi" w:hAnsiTheme="majorHAnsi"/>
          <w:i/>
          <w:color w:val="0A0A0A"/>
          <w:sz w:val="20"/>
          <w:szCs w:val="20"/>
        </w:rPr>
      </w:pPr>
      <w:r w:rsidRPr="006C5E3E">
        <w:rPr>
          <w:rFonts w:asciiTheme="majorHAnsi" w:hAnsiTheme="majorHAnsi"/>
          <w:i/>
          <w:color w:val="0A0A0A"/>
          <w:sz w:val="20"/>
          <w:szCs w:val="20"/>
        </w:rPr>
        <w:tab/>
      </w:r>
      <w:r w:rsidRPr="006C5E3E">
        <w:rPr>
          <w:rFonts w:asciiTheme="majorHAnsi" w:hAnsiTheme="majorHAnsi"/>
          <w:i/>
          <w:iCs/>
          <w:color w:val="0A0A0A"/>
          <w:sz w:val="20"/>
          <w:szCs w:val="20"/>
        </w:rPr>
        <w:t>NOTANT</w:t>
      </w:r>
      <w:r w:rsidRPr="006C5E3E">
        <w:rPr>
          <w:rFonts w:asciiTheme="majorHAnsi" w:hAnsiTheme="majorHAnsi"/>
          <w:color w:val="0A0A0A"/>
          <w:sz w:val="20"/>
          <w:szCs w:val="20"/>
        </w:rPr>
        <w:t xml:space="preserve"> un intérêt pour l'exploration de moyens visant à (a) promouvoir une distribution plus uniforme du thon rouge afin d'empêcher l'inondation du marché, (b) maintenir la qualité du thon rouge, et (c) tirer profit au maximum du thon rouge en empêchant la destruction d'aliments de haute qualité, tout en garantissant l'intégrité des Recommandations existantes de l'ICCAT concernant cette espèce ;</w:t>
      </w:r>
    </w:p>
    <w:p w14:paraId="66853EC7" w14:textId="77777777" w:rsidR="00082853" w:rsidRPr="006C5E3E" w:rsidRDefault="00082853" w:rsidP="005C4D20">
      <w:pPr>
        <w:tabs>
          <w:tab w:val="left" w:pos="284"/>
        </w:tabs>
        <w:jc w:val="both"/>
        <w:rPr>
          <w:rFonts w:asciiTheme="majorHAnsi" w:hAnsiTheme="majorHAnsi"/>
          <w:i/>
          <w:color w:val="0A0A0A"/>
          <w:sz w:val="20"/>
          <w:szCs w:val="20"/>
        </w:rPr>
      </w:pPr>
    </w:p>
    <w:p w14:paraId="20C650B4" w14:textId="77777777" w:rsidR="00082853" w:rsidRPr="006C5E3E" w:rsidRDefault="00082853" w:rsidP="005C4D20">
      <w:pPr>
        <w:tabs>
          <w:tab w:val="left" w:pos="284"/>
        </w:tabs>
        <w:jc w:val="both"/>
        <w:rPr>
          <w:rFonts w:asciiTheme="majorHAnsi" w:hAnsiTheme="majorHAnsi"/>
          <w:color w:val="0A0A0A"/>
          <w:sz w:val="20"/>
          <w:szCs w:val="20"/>
        </w:rPr>
      </w:pPr>
      <w:r w:rsidRPr="006C5E3E">
        <w:rPr>
          <w:rFonts w:asciiTheme="majorHAnsi" w:hAnsiTheme="majorHAnsi"/>
          <w:color w:val="0A0A0A"/>
          <w:sz w:val="20"/>
          <w:szCs w:val="20"/>
        </w:rPr>
        <w:tab/>
      </w:r>
      <w:r w:rsidRPr="006C5E3E">
        <w:rPr>
          <w:rFonts w:asciiTheme="majorHAnsi" w:hAnsiTheme="majorHAnsi"/>
          <w:i/>
          <w:color w:val="0A0A0A"/>
          <w:sz w:val="20"/>
          <w:szCs w:val="20"/>
        </w:rPr>
        <w:t>RECONNAISSANT</w:t>
      </w:r>
      <w:r w:rsidRPr="006C5E3E">
        <w:rPr>
          <w:rFonts w:asciiTheme="majorHAnsi" w:hAnsiTheme="majorHAnsi"/>
          <w:color w:val="0A0A0A"/>
          <w:sz w:val="20"/>
          <w:szCs w:val="20"/>
        </w:rPr>
        <w:t xml:space="preserve"> que l'utilisation du stockage de courte durée du thon rouge vivant peut être un moyen efficace d'atteindre ces objectifs et que l'établissement d'un projet pilote utilisant une approche de précaution peut fournir des réponses scientifiques précieuses sur la façon dont le stockage de courte durée du thon rouge vivant peut être effectué efficacement à l'avenir ;</w:t>
      </w:r>
    </w:p>
    <w:p w14:paraId="7312DF41" w14:textId="77777777" w:rsidR="00082853" w:rsidRPr="006C5E3E" w:rsidRDefault="00082853" w:rsidP="005C4D20">
      <w:pPr>
        <w:jc w:val="both"/>
        <w:rPr>
          <w:rFonts w:asciiTheme="majorHAnsi" w:hAnsiTheme="majorHAnsi"/>
          <w:color w:val="0A0A0A"/>
          <w:sz w:val="20"/>
          <w:szCs w:val="20"/>
        </w:rPr>
      </w:pPr>
    </w:p>
    <w:p w14:paraId="360BC6F6" w14:textId="4B0A8643" w:rsidR="00082853" w:rsidRPr="006C5E3E" w:rsidRDefault="006467B9" w:rsidP="006467B9">
      <w:pPr>
        <w:tabs>
          <w:tab w:val="left" w:pos="284"/>
        </w:tabs>
        <w:jc w:val="both"/>
        <w:rPr>
          <w:rFonts w:asciiTheme="majorHAnsi" w:hAnsiTheme="majorHAnsi"/>
          <w:color w:val="0A0A0A"/>
          <w:sz w:val="20"/>
          <w:szCs w:val="20"/>
        </w:rPr>
      </w:pPr>
      <w:r w:rsidRPr="006C5E3E">
        <w:rPr>
          <w:rFonts w:asciiTheme="majorHAnsi" w:hAnsiTheme="majorHAnsi"/>
          <w:i/>
          <w:color w:val="0A0A0A"/>
          <w:sz w:val="20"/>
          <w:szCs w:val="20"/>
        </w:rPr>
        <w:tab/>
        <w:t>RECONNAISSANT EN OUTRE</w:t>
      </w:r>
      <w:r w:rsidRPr="006C5E3E">
        <w:rPr>
          <w:rFonts w:asciiTheme="majorHAnsi" w:hAnsiTheme="majorHAnsi"/>
          <w:color w:val="0A0A0A"/>
          <w:sz w:val="20"/>
          <w:szCs w:val="20"/>
        </w:rPr>
        <w:t xml:space="preserve"> que la recherche à entreprendre sur le stockage de courte durée du thon rouge vivant pourrait entraîner la nécessité d'ajuster les mesures pertinentes de l’ICCAT ou d'en élaborer de nouvelles ;</w:t>
      </w:r>
    </w:p>
    <w:p w14:paraId="7CDC9910" w14:textId="77777777" w:rsidR="00082853" w:rsidRPr="006C5E3E" w:rsidRDefault="00082853" w:rsidP="005C4D20">
      <w:pPr>
        <w:jc w:val="both"/>
        <w:rPr>
          <w:rFonts w:asciiTheme="majorHAnsi" w:hAnsiTheme="majorHAnsi"/>
          <w:color w:val="0A0A0A"/>
          <w:sz w:val="20"/>
          <w:szCs w:val="20"/>
        </w:rPr>
      </w:pPr>
    </w:p>
    <w:p w14:paraId="0450AAA9" w14:textId="77777777" w:rsidR="006467B9" w:rsidRPr="006C5E3E" w:rsidRDefault="006467B9" w:rsidP="005C4D20">
      <w:pPr>
        <w:jc w:val="both"/>
        <w:rPr>
          <w:rFonts w:asciiTheme="majorHAnsi" w:hAnsiTheme="majorHAnsi"/>
          <w:color w:val="0A0A0A"/>
          <w:sz w:val="20"/>
          <w:szCs w:val="20"/>
        </w:rPr>
      </w:pPr>
    </w:p>
    <w:p w14:paraId="35E908E1" w14:textId="77777777" w:rsidR="00082853" w:rsidRPr="006C5E3E" w:rsidRDefault="00082853" w:rsidP="005C4D20">
      <w:pPr>
        <w:jc w:val="center"/>
        <w:rPr>
          <w:rFonts w:asciiTheme="majorHAnsi" w:hAnsiTheme="majorHAnsi"/>
          <w:sz w:val="20"/>
          <w:szCs w:val="20"/>
        </w:rPr>
      </w:pPr>
      <w:bookmarkStart w:id="1" w:name="_Hlk201145930"/>
      <w:r w:rsidRPr="006C5E3E">
        <w:rPr>
          <w:rFonts w:asciiTheme="majorHAnsi" w:hAnsiTheme="majorHAnsi"/>
          <w:sz w:val="20"/>
          <w:szCs w:val="20"/>
        </w:rPr>
        <w:t xml:space="preserve">LA COMMISSION INTERNATIONALE POUR </w:t>
      </w: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w:t>
      </w:r>
    </w:p>
    <w:p w14:paraId="48066233" w14:textId="7A299297" w:rsidR="00082853" w:rsidRPr="006C5E3E" w:rsidRDefault="00082853" w:rsidP="005C4D20">
      <w:pPr>
        <w:jc w:val="center"/>
        <w:rPr>
          <w:rFonts w:asciiTheme="majorHAnsi" w:hAnsiTheme="majorHAnsi"/>
          <w:sz w:val="20"/>
          <w:szCs w:val="20"/>
        </w:rPr>
      </w:pPr>
      <w:r w:rsidRPr="006C5E3E">
        <w:rPr>
          <w:rFonts w:asciiTheme="majorHAnsi" w:hAnsiTheme="majorHAnsi"/>
          <w:sz w:val="20"/>
          <w:szCs w:val="20"/>
        </w:rPr>
        <w:t xml:space="preserve">CONSERVATION DES THONIDÉS DE L’ATLANTIQUE (ICCAT) </w:t>
      </w:r>
      <w:r w:rsidRPr="008F152B">
        <w:rPr>
          <w:rFonts w:asciiTheme="majorHAnsi" w:hAnsiTheme="majorHAnsi"/>
          <w:sz w:val="20"/>
          <w:szCs w:val="20"/>
        </w:rPr>
        <w:t>DÉCIDE</w:t>
      </w:r>
      <w:r w:rsidRPr="006C5E3E">
        <w:rPr>
          <w:rFonts w:asciiTheme="majorHAnsi" w:hAnsiTheme="majorHAnsi"/>
          <w:sz w:val="20"/>
          <w:szCs w:val="20"/>
        </w:rPr>
        <w:t xml:space="preserve"> CE QUI SUIT :</w:t>
      </w:r>
    </w:p>
    <w:p w14:paraId="37F21CCA" w14:textId="77777777" w:rsidR="00082853" w:rsidRPr="006C5E3E" w:rsidRDefault="00082853" w:rsidP="005C4D20">
      <w:pPr>
        <w:jc w:val="both"/>
        <w:rPr>
          <w:rFonts w:asciiTheme="majorHAnsi" w:hAnsiTheme="majorHAnsi"/>
          <w:b/>
          <w:sz w:val="20"/>
          <w:szCs w:val="20"/>
        </w:rPr>
      </w:pPr>
    </w:p>
    <w:p w14:paraId="5E473830" w14:textId="77777777" w:rsidR="00082853" w:rsidRPr="006C5E3E" w:rsidRDefault="00082853" w:rsidP="005C4D20">
      <w:pPr>
        <w:pStyle w:val="ListParagraph"/>
        <w:widowControl/>
        <w:numPr>
          <w:ilvl w:val="0"/>
          <w:numId w:val="2"/>
        </w:numPr>
        <w:autoSpaceDE/>
        <w:autoSpaceDN/>
        <w:ind w:left="426" w:hanging="426"/>
        <w:contextualSpacing/>
        <w:jc w:val="both"/>
        <w:rPr>
          <w:rFonts w:asciiTheme="majorHAnsi" w:hAnsiTheme="majorHAnsi"/>
          <w:sz w:val="20"/>
          <w:szCs w:val="20"/>
        </w:rPr>
      </w:pPr>
      <w:r w:rsidRPr="006C5E3E">
        <w:rPr>
          <w:rFonts w:asciiTheme="majorHAnsi" w:hAnsiTheme="majorHAnsi"/>
          <w:sz w:val="20"/>
          <w:szCs w:val="20"/>
        </w:rPr>
        <w:t xml:space="preserve">Un projet pilote de stockage de courte durée du thon rouge vivant est autorisé. </w:t>
      </w:r>
    </w:p>
    <w:p w14:paraId="6D437C3A" w14:textId="77777777" w:rsidR="00082853" w:rsidRPr="006C5E3E" w:rsidRDefault="00082853" w:rsidP="005C4D20">
      <w:pPr>
        <w:pStyle w:val="ListParagraph"/>
        <w:ind w:left="426"/>
        <w:jc w:val="both"/>
        <w:rPr>
          <w:rFonts w:asciiTheme="majorHAnsi" w:hAnsiTheme="majorHAnsi"/>
          <w:sz w:val="20"/>
          <w:szCs w:val="20"/>
        </w:rPr>
      </w:pPr>
    </w:p>
    <w:p w14:paraId="5101A166" w14:textId="77777777" w:rsidR="00082853" w:rsidRPr="006C5E3E" w:rsidRDefault="00082853" w:rsidP="005C4D20">
      <w:pPr>
        <w:pStyle w:val="ListParagraph"/>
        <w:widowControl/>
        <w:numPr>
          <w:ilvl w:val="0"/>
          <w:numId w:val="2"/>
        </w:numPr>
        <w:autoSpaceDE/>
        <w:autoSpaceDN/>
        <w:ind w:left="426" w:hanging="426"/>
        <w:contextualSpacing/>
        <w:jc w:val="both"/>
        <w:rPr>
          <w:rFonts w:asciiTheme="majorHAnsi" w:hAnsiTheme="majorHAnsi"/>
          <w:sz w:val="20"/>
          <w:szCs w:val="20"/>
        </w:rPr>
      </w:pPr>
      <w:r w:rsidRPr="006C5E3E">
        <w:rPr>
          <w:rFonts w:asciiTheme="majorHAnsi" w:hAnsiTheme="majorHAnsi"/>
          <w:sz w:val="20"/>
          <w:szCs w:val="20"/>
        </w:rPr>
        <w:t>Les Parties contractantes et les Parties, Entités ou Entités de pêche non contractantes coopérantes (ci-après dénommées « CPC ») dont les navires pêchent activement le thon rouge au Nord de 56°N, pourraient procéder au stockage de courte durée du thon rouge vivant.</w:t>
      </w:r>
    </w:p>
    <w:p w14:paraId="4699A849" w14:textId="77777777" w:rsidR="00082853" w:rsidRPr="006C5E3E" w:rsidRDefault="00082853" w:rsidP="005C4D20">
      <w:pPr>
        <w:pStyle w:val="ListParagraph"/>
        <w:jc w:val="both"/>
        <w:rPr>
          <w:rFonts w:asciiTheme="majorHAnsi" w:hAnsiTheme="majorHAnsi"/>
          <w:sz w:val="20"/>
          <w:szCs w:val="20"/>
        </w:rPr>
      </w:pPr>
    </w:p>
    <w:p w14:paraId="0FD9D762" w14:textId="27E9A763"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Les objectifs du stockage de courte durée du thon rouge vivant sont de maintenir la qualité supérieure du produit et de s'assurer que la distribution du poisson peut se faire d'une manière qui n'inonde pas le marché.</w:t>
      </w:r>
    </w:p>
    <w:p w14:paraId="33287C6E" w14:textId="77777777" w:rsidR="00082853" w:rsidRPr="006C5E3E" w:rsidRDefault="00082853" w:rsidP="005C4D20">
      <w:pPr>
        <w:jc w:val="both"/>
        <w:rPr>
          <w:rFonts w:asciiTheme="majorHAnsi" w:hAnsiTheme="majorHAnsi"/>
          <w:sz w:val="20"/>
          <w:szCs w:val="20"/>
        </w:rPr>
      </w:pPr>
    </w:p>
    <w:p w14:paraId="333A59C9" w14:textId="49C7569C"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Les recherches menées dans le cadre du projet pilote devraient viser à fournir des réponses aux questions clés liées au stockage de courte durée du thon rouge vivant, y compris, mais sans s'y limiter, les points suivants :</w:t>
      </w:r>
    </w:p>
    <w:p w14:paraId="609334FB" w14:textId="77777777" w:rsidR="00082853" w:rsidRPr="006C5E3E" w:rsidRDefault="00082853" w:rsidP="005C4D20">
      <w:pPr>
        <w:pStyle w:val="ListParagraph"/>
        <w:rPr>
          <w:rFonts w:asciiTheme="majorHAnsi" w:hAnsiTheme="majorHAnsi"/>
          <w:sz w:val="20"/>
          <w:szCs w:val="20"/>
        </w:rPr>
      </w:pPr>
    </w:p>
    <w:bookmarkEnd w:id="1"/>
    <w:p w14:paraId="0A646D89"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comportement du poisson,</w:t>
      </w:r>
    </w:p>
    <w:p w14:paraId="49CAC6E8"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l’estimation</w:t>
      </w:r>
      <w:proofErr w:type="gramEnd"/>
      <w:r w:rsidRPr="006C5E3E">
        <w:rPr>
          <w:rFonts w:asciiTheme="majorHAnsi" w:hAnsiTheme="majorHAnsi"/>
          <w:sz w:val="20"/>
          <w:szCs w:val="20"/>
        </w:rPr>
        <w:t xml:space="preserve"> du poids du thon rouge au moment de la capture et de la mise en cage, </w:t>
      </w:r>
    </w:p>
    <w:p w14:paraId="033D9D95"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question de savoir si l'alimentation est nécessaire pour garantir la santé des animaux et, le cas échéant, la manière d’éviter l’engraissement du thon rouge, </w:t>
      </w:r>
    </w:p>
    <w:p w14:paraId="6DD314C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l'ampleur</w:t>
      </w:r>
      <w:proofErr w:type="gramEnd"/>
      <w:r w:rsidRPr="006C5E3E">
        <w:rPr>
          <w:rFonts w:asciiTheme="majorHAnsi" w:hAnsiTheme="majorHAnsi"/>
          <w:sz w:val="20"/>
          <w:szCs w:val="20"/>
        </w:rPr>
        <w:t xml:space="preserve"> de la mortalité et ses causes, </w:t>
      </w:r>
    </w:p>
    <w:p w14:paraId="55D1D4BD"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lastRenderedPageBreak/>
        <w:t>la</w:t>
      </w:r>
      <w:proofErr w:type="gramEnd"/>
      <w:r w:rsidRPr="006C5E3E">
        <w:rPr>
          <w:rFonts w:asciiTheme="majorHAnsi" w:hAnsiTheme="majorHAnsi"/>
          <w:sz w:val="20"/>
          <w:szCs w:val="20"/>
        </w:rPr>
        <w:t xml:space="preserve"> qualité de la viande </w:t>
      </w:r>
    </w:p>
    <w:p w14:paraId="6DDB4687"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manière de s’assurer la traçabilité conformément aux exigences du programme BCD, y compris l'étude de l'utilisation du marquage, </w:t>
      </w:r>
    </w:p>
    <w:p w14:paraId="102D8A27"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processus de mise à mort, et </w:t>
      </w:r>
    </w:p>
    <w:p w14:paraId="3E19BD3B" w14:textId="5F5A9550"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w:t>
      </w:r>
      <w:proofErr w:type="gramEnd"/>
      <w:r w:rsidRPr="006C5E3E">
        <w:rPr>
          <w:rFonts w:asciiTheme="majorHAnsi" w:hAnsiTheme="majorHAnsi"/>
          <w:sz w:val="20"/>
          <w:szCs w:val="20"/>
        </w:rPr>
        <w:t xml:space="preserve"> questions de commercialisation.</w:t>
      </w:r>
    </w:p>
    <w:p w14:paraId="7C7D49B6" w14:textId="77777777" w:rsidR="00082853" w:rsidRPr="006C5E3E" w:rsidRDefault="00082853" w:rsidP="005C4D20">
      <w:pPr>
        <w:ind w:left="360"/>
        <w:jc w:val="both"/>
        <w:rPr>
          <w:rFonts w:asciiTheme="majorHAnsi" w:hAnsiTheme="majorHAnsi"/>
          <w:sz w:val="20"/>
          <w:szCs w:val="20"/>
        </w:rPr>
      </w:pPr>
    </w:p>
    <w:p w14:paraId="6D81BDAE" w14:textId="2BC09934"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Les CPC qui souhaitent participer au projet pilote de stockage de courte durée du thon rouge vivant devront identifier et décrire l'activité dans leur plan de pêche annuel, conformément </w:t>
      </w:r>
      <w:proofErr w:type="gramStart"/>
      <w:r w:rsidRPr="006C5E3E">
        <w:rPr>
          <w:rFonts w:asciiTheme="majorHAnsi" w:hAnsiTheme="majorHAnsi"/>
          <w:sz w:val="20"/>
          <w:szCs w:val="20"/>
        </w:rPr>
        <w:t>au</w:t>
      </w:r>
      <w:proofErr w:type="gramEnd"/>
      <w:r w:rsidRPr="006C5E3E">
        <w:rPr>
          <w:rFonts w:asciiTheme="majorHAnsi" w:hAnsiTheme="majorHAnsi"/>
          <w:sz w:val="20"/>
          <w:szCs w:val="20"/>
        </w:rPr>
        <w:t xml:space="preserve"> plan pluriannuel de conservation et de gestion du thon rouge de l'Atlantique Est et de la Méditerranée (</w:t>
      </w:r>
      <w:r w:rsidRPr="006C5E3E">
        <w:rPr>
          <w:rFonts w:asciiTheme="majorHAnsi" w:hAnsiTheme="majorHAnsi"/>
          <w:sz w:val="20"/>
          <w:szCs w:val="20"/>
          <w:u w:val="single"/>
        </w:rPr>
        <w:t>Rec.</w:t>
      </w:r>
      <w:r w:rsidR="00B11AE8">
        <w:rPr>
          <w:rFonts w:asciiTheme="majorHAnsi" w:hAnsiTheme="majorHAnsi"/>
          <w:sz w:val="20"/>
          <w:szCs w:val="20"/>
          <w:u w:val="single"/>
        </w:rPr>
        <w:t> </w:t>
      </w:r>
      <w:r w:rsidRPr="006C5E3E">
        <w:rPr>
          <w:rFonts w:asciiTheme="majorHAnsi" w:hAnsiTheme="majorHAnsi"/>
          <w:sz w:val="20"/>
          <w:szCs w:val="20"/>
          <w:u w:val="single"/>
        </w:rPr>
        <w:t>24-05, p</w:t>
      </w:r>
      <w:r w:rsidRPr="006C5E3E">
        <w:rPr>
          <w:rFonts w:asciiTheme="majorHAnsi" w:hAnsiTheme="majorHAnsi"/>
          <w:sz w:val="20"/>
          <w:szCs w:val="20"/>
        </w:rPr>
        <w:t>aragraphe 10). L'allocation du quota national des CPC au projet pilote devrait être spécifiée dans le plan annuel de pêche et devrait être à une échelle limitée et approuvée par la Sous-commission 2. Ce plan doit également inclure des détails sur les mesures de contrôle qui seront mises en place pour garantir que l'activité est menée conformément à la présente Résolution, et la manière dont ces règles deviendront obligatoires pour les opérateurs. Le plan de pêche devrait être analysé et, le cas échéant, entériné par la Sous-commission 2 pendant la période intersessions (Rec. 24-05, paragraphe 11).</w:t>
      </w:r>
    </w:p>
    <w:p w14:paraId="2556B213" w14:textId="77777777" w:rsidR="00082853" w:rsidRPr="006C5E3E" w:rsidRDefault="00082853" w:rsidP="005C4D20">
      <w:pPr>
        <w:pStyle w:val="ListParagraph"/>
        <w:ind w:left="360"/>
        <w:jc w:val="both"/>
        <w:rPr>
          <w:rFonts w:asciiTheme="majorHAnsi" w:hAnsiTheme="majorHAnsi"/>
          <w:sz w:val="20"/>
          <w:szCs w:val="20"/>
        </w:rPr>
      </w:pPr>
    </w:p>
    <w:p w14:paraId="09FA521B" w14:textId="77777777"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Les CPC qui souhaitent participer au projet pilote de stockage de courte durée du thon rouge vivant devraient le faire conformément à la présente Résolution, y compris les </w:t>
      </w:r>
      <w:r w:rsidRPr="006C5E3E">
        <w:rPr>
          <w:rFonts w:asciiTheme="majorHAnsi" w:hAnsiTheme="majorHAnsi"/>
          <w:b/>
          <w:sz w:val="20"/>
          <w:szCs w:val="20"/>
        </w:rPr>
        <w:t>appendices 1</w:t>
      </w:r>
      <w:r w:rsidRPr="006C5E3E">
        <w:rPr>
          <w:rFonts w:asciiTheme="majorHAnsi" w:hAnsiTheme="majorHAnsi"/>
          <w:sz w:val="20"/>
          <w:szCs w:val="20"/>
        </w:rPr>
        <w:t xml:space="preserve"> et </w:t>
      </w:r>
      <w:r w:rsidRPr="006C5E3E">
        <w:rPr>
          <w:rFonts w:asciiTheme="majorHAnsi" w:hAnsiTheme="majorHAnsi"/>
          <w:b/>
          <w:sz w:val="20"/>
          <w:szCs w:val="20"/>
        </w:rPr>
        <w:t>2</w:t>
      </w:r>
      <w:r w:rsidRPr="006C5E3E">
        <w:rPr>
          <w:rFonts w:asciiTheme="majorHAnsi" w:hAnsiTheme="majorHAnsi"/>
          <w:sz w:val="20"/>
          <w:szCs w:val="20"/>
        </w:rPr>
        <w:t>.</w:t>
      </w:r>
    </w:p>
    <w:p w14:paraId="632C890F" w14:textId="77777777" w:rsidR="00082853" w:rsidRPr="006C5E3E" w:rsidRDefault="00082853" w:rsidP="005C4D20">
      <w:pPr>
        <w:pStyle w:val="ListParagraph"/>
        <w:rPr>
          <w:rFonts w:asciiTheme="majorHAnsi" w:hAnsiTheme="majorHAnsi"/>
          <w:sz w:val="20"/>
          <w:szCs w:val="20"/>
        </w:rPr>
      </w:pPr>
    </w:p>
    <w:p w14:paraId="3E92E794" w14:textId="4A107E68"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Le projet pilote sera évalué par la Commission </w:t>
      </w:r>
      <w:r w:rsidRPr="006C5E3E">
        <w:rPr>
          <w:rFonts w:asciiTheme="majorHAnsi" w:hAnsiTheme="majorHAnsi"/>
          <w:sz w:val="20"/>
          <w:szCs w:val="20"/>
          <w:u w:val="single"/>
        </w:rPr>
        <w:t xml:space="preserve">au plus tard en 2027 </w:t>
      </w:r>
      <w:r w:rsidRPr="006C5E3E">
        <w:rPr>
          <w:rFonts w:asciiTheme="majorHAnsi" w:hAnsiTheme="majorHAnsi"/>
          <w:sz w:val="20"/>
          <w:szCs w:val="20"/>
        </w:rPr>
        <w:t>afin de déterminer si l'activité doit se poursuivre au-delà du stade du projet pilote, et de quelle manière. Les CPC participant au projet pilote soumettront un rapport sur les résultats du projet pour examen par le Comité permanent pour la recherche et les statistiques (SCR</w:t>
      </w:r>
      <w:r w:rsidRPr="006C5E3E">
        <w:rPr>
          <w:rFonts w:asciiTheme="majorHAnsi" w:hAnsiTheme="majorHAnsi"/>
          <w:sz w:val="20"/>
          <w:szCs w:val="20"/>
          <w:u w:val="single"/>
        </w:rPr>
        <w:t>S).</w:t>
      </w:r>
      <w:r w:rsidRPr="006C5E3E">
        <w:rPr>
          <w:rFonts w:asciiTheme="majorHAnsi" w:hAnsiTheme="majorHAnsi"/>
          <w:sz w:val="20"/>
          <w:szCs w:val="20"/>
        </w:rPr>
        <w:t xml:space="preserve"> Le rapport devrait, entre autres, identifier clairement toute difficulté rencontrée dans la réalisation du projet pilote, y compris si des dispositions des appendices ou des recommandations pertinentes de l'ICCAT ne peuvent pas être mises en œuvre.</w:t>
      </w:r>
    </w:p>
    <w:p w14:paraId="24CAFE85" w14:textId="77777777" w:rsidR="00082853" w:rsidRPr="006C5E3E" w:rsidRDefault="00082853" w:rsidP="005C4D20">
      <w:pPr>
        <w:pStyle w:val="ListParagraph"/>
        <w:rPr>
          <w:rFonts w:asciiTheme="majorHAnsi" w:hAnsiTheme="majorHAnsi"/>
          <w:sz w:val="20"/>
          <w:szCs w:val="20"/>
        </w:rPr>
      </w:pPr>
    </w:p>
    <w:p w14:paraId="1A93016C" w14:textId="75CE3E02" w:rsidR="00082853" w:rsidRPr="006C5E3E" w:rsidRDefault="00082853" w:rsidP="005C4D20">
      <w:pPr>
        <w:pStyle w:val="ListParagraph"/>
        <w:widowControl/>
        <w:numPr>
          <w:ilvl w:val="0"/>
          <w:numId w:val="2"/>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Les CPC qui se sont engagées dans le projet pilote devront faire rapport à la Commission sur la mise en œuvre de ce projet pilote avant le 1er </w:t>
      </w:r>
      <w:r w:rsidRPr="006C5E3E">
        <w:rPr>
          <w:rFonts w:asciiTheme="majorHAnsi" w:hAnsiTheme="majorHAnsi"/>
          <w:sz w:val="20"/>
          <w:szCs w:val="20"/>
          <w:u w:val="single"/>
        </w:rPr>
        <w:t xml:space="preserve">novembre </w:t>
      </w:r>
      <w:r w:rsidRPr="006C5E3E">
        <w:rPr>
          <w:rFonts w:asciiTheme="majorHAnsi" w:hAnsiTheme="majorHAnsi"/>
          <w:sz w:val="20"/>
          <w:szCs w:val="20"/>
        </w:rPr>
        <w:t>de chaque année, jusqu'à ce que le rapport final soit soumis à l'évaluation de la Commission. Ce rapport devra inclure des informations sur la quantité de stockage et les statistiques sur la mise en œuvre et les procédures de vérification et de contrôle et les résultats de ce processus, ainsi que des données sur ces opérations commerciales y compris des informations statistiques pertinentes.</w:t>
      </w:r>
    </w:p>
    <w:p w14:paraId="14AA3C31" w14:textId="77777777" w:rsidR="00082853" w:rsidRPr="006C5E3E" w:rsidRDefault="00082853" w:rsidP="005C4D20">
      <w:pPr>
        <w:pStyle w:val="ListParagraph"/>
        <w:rPr>
          <w:rFonts w:asciiTheme="majorHAnsi" w:hAnsiTheme="majorHAnsi"/>
          <w:sz w:val="20"/>
          <w:szCs w:val="20"/>
        </w:rPr>
      </w:pPr>
    </w:p>
    <w:p w14:paraId="61D3E0DE" w14:textId="77777777" w:rsidR="00082853" w:rsidRPr="006C5E3E" w:rsidRDefault="00082853" w:rsidP="005C4D20">
      <w:pPr>
        <w:pStyle w:val="ListParagraph"/>
        <w:ind w:left="360"/>
        <w:jc w:val="both"/>
        <w:rPr>
          <w:rFonts w:asciiTheme="majorHAnsi" w:hAnsiTheme="majorHAnsi"/>
          <w:sz w:val="20"/>
          <w:szCs w:val="20"/>
        </w:rPr>
      </w:pPr>
    </w:p>
    <w:p w14:paraId="18667FEA" w14:textId="77777777" w:rsidR="00082853" w:rsidRPr="006C5E3E" w:rsidRDefault="00082853" w:rsidP="005C4D20">
      <w:pPr>
        <w:pStyle w:val="ListParagraph"/>
        <w:ind w:left="360"/>
        <w:jc w:val="both"/>
        <w:rPr>
          <w:rFonts w:asciiTheme="majorHAnsi" w:hAnsiTheme="majorHAnsi"/>
          <w:sz w:val="20"/>
          <w:szCs w:val="20"/>
        </w:rPr>
      </w:pPr>
    </w:p>
    <w:p w14:paraId="2F45F0A0" w14:textId="77777777" w:rsidR="00082853" w:rsidRPr="006C5E3E" w:rsidRDefault="00082853" w:rsidP="005C4D20">
      <w:pPr>
        <w:pStyle w:val="ListParagraph"/>
        <w:ind w:left="360"/>
        <w:jc w:val="both"/>
        <w:rPr>
          <w:rFonts w:asciiTheme="majorHAnsi" w:hAnsiTheme="majorHAnsi"/>
          <w:sz w:val="20"/>
          <w:szCs w:val="20"/>
        </w:rPr>
      </w:pPr>
    </w:p>
    <w:p w14:paraId="292D01F1" w14:textId="77777777" w:rsidR="00082853" w:rsidRPr="006C5E3E" w:rsidRDefault="00082853" w:rsidP="005C4D20">
      <w:pPr>
        <w:pStyle w:val="ListParagraph"/>
        <w:ind w:left="360"/>
        <w:jc w:val="both"/>
        <w:rPr>
          <w:rFonts w:asciiTheme="majorHAnsi" w:hAnsiTheme="majorHAnsi"/>
          <w:sz w:val="20"/>
          <w:szCs w:val="20"/>
        </w:rPr>
      </w:pPr>
    </w:p>
    <w:p w14:paraId="3EB04FE5" w14:textId="77777777" w:rsidR="00082853" w:rsidRPr="006C5E3E" w:rsidRDefault="00082853" w:rsidP="005C4D20">
      <w:pPr>
        <w:pStyle w:val="ListParagraph"/>
        <w:ind w:left="360"/>
        <w:jc w:val="both"/>
        <w:rPr>
          <w:rFonts w:asciiTheme="majorHAnsi" w:hAnsiTheme="majorHAnsi"/>
          <w:sz w:val="20"/>
          <w:szCs w:val="20"/>
        </w:rPr>
      </w:pPr>
    </w:p>
    <w:p w14:paraId="0CF5D9C3" w14:textId="77777777" w:rsidR="00082853" w:rsidRPr="006C5E3E" w:rsidRDefault="00082853" w:rsidP="005C4D20">
      <w:pPr>
        <w:pStyle w:val="ListParagraph"/>
        <w:ind w:left="360"/>
        <w:jc w:val="both"/>
        <w:rPr>
          <w:rFonts w:asciiTheme="majorHAnsi" w:hAnsiTheme="majorHAnsi"/>
          <w:sz w:val="20"/>
          <w:szCs w:val="20"/>
        </w:rPr>
      </w:pPr>
    </w:p>
    <w:p w14:paraId="4EAFD1F3" w14:textId="77777777" w:rsidR="00082853" w:rsidRPr="006C5E3E" w:rsidRDefault="00082853" w:rsidP="005C4D20">
      <w:pPr>
        <w:pStyle w:val="ListParagraph"/>
        <w:ind w:left="360"/>
        <w:jc w:val="both"/>
        <w:rPr>
          <w:rFonts w:asciiTheme="majorHAnsi" w:hAnsiTheme="majorHAnsi"/>
          <w:sz w:val="20"/>
          <w:szCs w:val="20"/>
        </w:rPr>
      </w:pPr>
    </w:p>
    <w:p w14:paraId="4A163563" w14:textId="77777777" w:rsidR="00082853" w:rsidRPr="006C5E3E" w:rsidRDefault="00082853" w:rsidP="005C4D20">
      <w:pPr>
        <w:pStyle w:val="ListParagraph"/>
        <w:ind w:left="360"/>
        <w:jc w:val="both"/>
        <w:rPr>
          <w:rFonts w:asciiTheme="majorHAnsi" w:hAnsiTheme="majorHAnsi"/>
          <w:sz w:val="20"/>
          <w:szCs w:val="20"/>
        </w:rPr>
      </w:pPr>
    </w:p>
    <w:p w14:paraId="510AF633" w14:textId="77777777" w:rsidR="00082853" w:rsidRPr="006C5E3E" w:rsidRDefault="00082853" w:rsidP="005C4D20">
      <w:pPr>
        <w:pStyle w:val="ListParagraph"/>
        <w:ind w:left="360"/>
        <w:jc w:val="both"/>
        <w:rPr>
          <w:rFonts w:asciiTheme="majorHAnsi" w:hAnsiTheme="majorHAnsi"/>
          <w:sz w:val="20"/>
          <w:szCs w:val="20"/>
        </w:rPr>
      </w:pPr>
    </w:p>
    <w:p w14:paraId="2C93D733" w14:textId="77777777" w:rsidR="00082853" w:rsidRPr="006C5E3E" w:rsidRDefault="00082853" w:rsidP="005C4D20">
      <w:pPr>
        <w:pStyle w:val="ListParagraph"/>
        <w:ind w:left="360"/>
        <w:jc w:val="both"/>
        <w:rPr>
          <w:rFonts w:asciiTheme="majorHAnsi" w:hAnsiTheme="majorHAnsi"/>
          <w:sz w:val="20"/>
          <w:szCs w:val="20"/>
        </w:rPr>
      </w:pPr>
    </w:p>
    <w:p w14:paraId="5A67F77B" w14:textId="77777777" w:rsidR="00082853" w:rsidRPr="006C5E3E" w:rsidRDefault="00082853" w:rsidP="005C4D20">
      <w:pPr>
        <w:pStyle w:val="ListParagraph"/>
        <w:ind w:left="360"/>
        <w:jc w:val="both"/>
        <w:rPr>
          <w:rFonts w:asciiTheme="majorHAnsi" w:hAnsiTheme="majorHAnsi"/>
          <w:sz w:val="20"/>
          <w:szCs w:val="20"/>
        </w:rPr>
      </w:pPr>
    </w:p>
    <w:p w14:paraId="618E22C4" w14:textId="77777777" w:rsidR="00082853" w:rsidRPr="006C5E3E" w:rsidRDefault="00082853" w:rsidP="005C4D20">
      <w:pPr>
        <w:pStyle w:val="ListParagraph"/>
        <w:ind w:left="360"/>
        <w:jc w:val="both"/>
        <w:rPr>
          <w:rFonts w:asciiTheme="majorHAnsi" w:hAnsiTheme="majorHAnsi"/>
          <w:sz w:val="20"/>
          <w:szCs w:val="20"/>
        </w:rPr>
      </w:pPr>
    </w:p>
    <w:p w14:paraId="24D8A76D" w14:textId="77777777" w:rsidR="00082853" w:rsidRPr="006C5E3E" w:rsidRDefault="00082853" w:rsidP="005C4D20">
      <w:pPr>
        <w:pStyle w:val="ListParagraph"/>
        <w:ind w:left="360"/>
        <w:jc w:val="both"/>
        <w:rPr>
          <w:rFonts w:asciiTheme="majorHAnsi" w:hAnsiTheme="majorHAnsi"/>
          <w:sz w:val="20"/>
          <w:szCs w:val="20"/>
        </w:rPr>
      </w:pPr>
    </w:p>
    <w:p w14:paraId="2B385E34" w14:textId="77777777" w:rsidR="00082853" w:rsidRPr="006C5E3E" w:rsidRDefault="00082853" w:rsidP="005C4D20">
      <w:pPr>
        <w:jc w:val="both"/>
        <w:rPr>
          <w:rFonts w:asciiTheme="majorHAnsi" w:hAnsiTheme="majorHAnsi"/>
          <w:b/>
          <w:sz w:val="20"/>
          <w:szCs w:val="20"/>
        </w:rPr>
      </w:pPr>
      <w:bookmarkStart w:id="2" w:name="_Hlk201146509"/>
    </w:p>
    <w:p w14:paraId="2A196A4F" w14:textId="77777777" w:rsidR="00DE5992" w:rsidRPr="006C5E3E" w:rsidRDefault="00DE5992" w:rsidP="005C4D20">
      <w:pPr>
        <w:jc w:val="both"/>
        <w:rPr>
          <w:rFonts w:asciiTheme="majorHAnsi" w:hAnsiTheme="majorHAnsi"/>
          <w:b/>
          <w:sz w:val="20"/>
          <w:szCs w:val="20"/>
        </w:rPr>
      </w:pPr>
    </w:p>
    <w:p w14:paraId="08AD5F3A" w14:textId="77777777" w:rsidR="00DE5992" w:rsidRPr="006C5E3E" w:rsidRDefault="00DE5992" w:rsidP="005C4D20">
      <w:pPr>
        <w:jc w:val="both"/>
        <w:rPr>
          <w:rFonts w:asciiTheme="majorHAnsi" w:hAnsiTheme="majorHAnsi"/>
          <w:b/>
          <w:sz w:val="20"/>
          <w:szCs w:val="20"/>
        </w:rPr>
      </w:pPr>
    </w:p>
    <w:p w14:paraId="74FA71C3" w14:textId="77777777" w:rsidR="00082853" w:rsidRPr="006C5E3E" w:rsidRDefault="00082853" w:rsidP="005C4D20">
      <w:pPr>
        <w:jc w:val="both"/>
        <w:rPr>
          <w:rFonts w:asciiTheme="majorHAnsi" w:hAnsiTheme="majorHAnsi"/>
          <w:b/>
          <w:sz w:val="20"/>
          <w:szCs w:val="20"/>
        </w:rPr>
      </w:pPr>
    </w:p>
    <w:p w14:paraId="2C82C749" w14:textId="042DD7F4" w:rsidR="00082853" w:rsidRPr="006C5E3E" w:rsidRDefault="00082853" w:rsidP="005C4D20">
      <w:pPr>
        <w:ind w:left="360" w:hanging="360"/>
        <w:jc w:val="both"/>
        <w:rPr>
          <w:rFonts w:asciiTheme="majorHAnsi" w:hAnsiTheme="majorHAnsi"/>
          <w:b/>
          <w:sz w:val="20"/>
          <w:szCs w:val="20"/>
        </w:rPr>
      </w:pPr>
    </w:p>
    <w:p w14:paraId="6369684E" w14:textId="77777777" w:rsidR="006467B9" w:rsidRPr="006C5E3E" w:rsidRDefault="006467B9">
      <w:pPr>
        <w:rPr>
          <w:rFonts w:asciiTheme="majorHAnsi" w:hAnsiTheme="majorHAnsi"/>
          <w:b/>
          <w:sz w:val="20"/>
          <w:szCs w:val="20"/>
        </w:rPr>
      </w:pPr>
      <w:r w:rsidRPr="006C5E3E">
        <w:rPr>
          <w:rFonts w:asciiTheme="majorHAnsi" w:hAnsiTheme="majorHAnsi"/>
          <w:sz w:val="20"/>
          <w:szCs w:val="20"/>
        </w:rPr>
        <w:br w:type="page"/>
      </w:r>
    </w:p>
    <w:p w14:paraId="3023FF8E" w14:textId="25AFC6C6" w:rsidR="00082853" w:rsidRPr="006C5E3E" w:rsidRDefault="00082853" w:rsidP="005C4D20">
      <w:pPr>
        <w:ind w:left="360" w:hanging="360"/>
        <w:jc w:val="right"/>
        <w:rPr>
          <w:rFonts w:asciiTheme="majorHAnsi" w:hAnsiTheme="majorHAnsi"/>
          <w:b/>
          <w:sz w:val="20"/>
          <w:szCs w:val="20"/>
        </w:rPr>
      </w:pPr>
      <w:r w:rsidRPr="006C5E3E">
        <w:rPr>
          <w:rFonts w:asciiTheme="majorHAnsi" w:hAnsiTheme="majorHAnsi"/>
          <w:b/>
          <w:sz w:val="20"/>
          <w:szCs w:val="20"/>
        </w:rPr>
        <w:lastRenderedPageBreak/>
        <w:t>Appendice 1</w:t>
      </w:r>
    </w:p>
    <w:p w14:paraId="700FC1BA" w14:textId="77777777" w:rsidR="00082853" w:rsidRPr="006C5E3E" w:rsidRDefault="00082853" w:rsidP="005C4D20">
      <w:pPr>
        <w:ind w:left="360" w:hanging="360"/>
        <w:jc w:val="both"/>
        <w:rPr>
          <w:rFonts w:asciiTheme="majorHAnsi" w:hAnsiTheme="majorHAnsi"/>
          <w:b/>
          <w:sz w:val="20"/>
          <w:szCs w:val="20"/>
        </w:rPr>
      </w:pPr>
    </w:p>
    <w:p w14:paraId="2787DFED" w14:textId="77777777" w:rsidR="00082853" w:rsidRPr="006C5E3E" w:rsidRDefault="00082853" w:rsidP="005C4D20">
      <w:pPr>
        <w:ind w:left="360" w:hanging="360"/>
        <w:jc w:val="both"/>
        <w:rPr>
          <w:rFonts w:asciiTheme="majorHAnsi" w:hAnsiTheme="majorHAnsi"/>
          <w:b/>
          <w:sz w:val="20"/>
          <w:szCs w:val="20"/>
        </w:rPr>
      </w:pPr>
      <w:r w:rsidRPr="006C5E3E">
        <w:rPr>
          <w:rFonts w:asciiTheme="majorHAnsi" w:hAnsiTheme="majorHAnsi"/>
          <w:b/>
          <w:sz w:val="20"/>
          <w:szCs w:val="20"/>
        </w:rPr>
        <w:t>Définitions</w:t>
      </w:r>
    </w:p>
    <w:p w14:paraId="22A65B8B" w14:textId="77777777" w:rsidR="00082853" w:rsidRPr="006C5E3E" w:rsidRDefault="00082853" w:rsidP="005C4D20">
      <w:pPr>
        <w:ind w:left="360"/>
        <w:jc w:val="both"/>
        <w:rPr>
          <w:rFonts w:asciiTheme="majorHAnsi" w:hAnsiTheme="majorHAnsi"/>
          <w:b/>
          <w:sz w:val="20"/>
          <w:szCs w:val="20"/>
        </w:rPr>
      </w:pPr>
    </w:p>
    <w:p w14:paraId="6312B22B" w14:textId="548E5628"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Aux fins du projet pilote de stockage de courte durée de spécimens vivants : </w:t>
      </w:r>
    </w:p>
    <w:p w14:paraId="5F4A112F" w14:textId="77777777" w:rsidR="00082853" w:rsidRPr="006C5E3E" w:rsidRDefault="00082853" w:rsidP="005C4D20">
      <w:pPr>
        <w:ind w:left="141"/>
        <w:jc w:val="both"/>
        <w:rPr>
          <w:rFonts w:asciiTheme="majorHAnsi" w:hAnsiTheme="majorHAnsi"/>
          <w:sz w:val="20"/>
          <w:szCs w:val="20"/>
        </w:rPr>
      </w:pPr>
    </w:p>
    <w:p w14:paraId="378211B0" w14:textId="738C1BC3"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navire</w:t>
      </w:r>
      <w:proofErr w:type="gramEnd"/>
      <w:r w:rsidRPr="006C5E3E">
        <w:rPr>
          <w:rFonts w:asciiTheme="majorHAnsi" w:hAnsiTheme="majorHAnsi"/>
          <w:sz w:val="20"/>
          <w:szCs w:val="20"/>
        </w:rPr>
        <w:t xml:space="preserve"> auxiliaire » désigne tout navire utilisé pour transporter du thon rouge mort (non transformé) d’une cage de stockage ou d’un senneur jusqu’à un port désigné et/ou un navire de transformation ;</w:t>
      </w:r>
    </w:p>
    <w:p w14:paraId="13ED7012" w14:textId="77777777" w:rsidR="00082853" w:rsidRPr="006C5E3E" w:rsidRDefault="00082853" w:rsidP="005C4D20">
      <w:pPr>
        <w:pStyle w:val="ListParagraph"/>
        <w:jc w:val="both"/>
        <w:rPr>
          <w:rFonts w:asciiTheme="majorHAnsi" w:hAnsiTheme="majorHAnsi"/>
          <w:sz w:val="20"/>
          <w:szCs w:val="20"/>
        </w:rPr>
      </w:pPr>
    </w:p>
    <w:p w14:paraId="16F121EE" w14:textId="0B0508BF"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eBCD » désigne un document électronique de capture de thon rouge ;</w:t>
      </w:r>
    </w:p>
    <w:p w14:paraId="3BAF7490" w14:textId="77777777" w:rsidR="00082853" w:rsidRPr="006C5E3E" w:rsidRDefault="00082853" w:rsidP="005C4D20">
      <w:pPr>
        <w:jc w:val="both"/>
        <w:rPr>
          <w:rFonts w:asciiTheme="majorHAnsi" w:hAnsiTheme="majorHAnsi"/>
          <w:sz w:val="20"/>
          <w:szCs w:val="20"/>
        </w:rPr>
      </w:pPr>
    </w:p>
    <w:p w14:paraId="55178EA1" w14:textId="77777777"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mise</w:t>
      </w:r>
      <w:proofErr w:type="gramEnd"/>
      <w:r w:rsidRPr="006C5E3E">
        <w:rPr>
          <w:rFonts w:asciiTheme="majorHAnsi" w:hAnsiTheme="majorHAnsi"/>
          <w:sz w:val="20"/>
          <w:szCs w:val="20"/>
        </w:rPr>
        <w:t xml:space="preserve"> en cage » désigne le déplacement du thon rouge vivant de la cage de transport à la cage de stockage ;</w:t>
      </w:r>
      <w:r w:rsidRPr="006C5E3E">
        <w:rPr>
          <w:rFonts w:asciiTheme="majorHAnsi" w:hAnsiTheme="majorHAnsi"/>
          <w:sz w:val="20"/>
          <w:szCs w:val="20"/>
        </w:rPr>
        <w:br/>
      </w:r>
    </w:p>
    <w:p w14:paraId="03C799EC" w14:textId="77777777"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navire</w:t>
      </w:r>
      <w:proofErr w:type="gramEnd"/>
      <w:r w:rsidRPr="006C5E3E">
        <w:rPr>
          <w:rFonts w:asciiTheme="majorHAnsi" w:hAnsiTheme="majorHAnsi"/>
          <w:sz w:val="20"/>
          <w:szCs w:val="20"/>
        </w:rPr>
        <w:t xml:space="preserve"> de capture » désigne tout navire utilisé aux fins de la capture commerciale des ressources de thon rouge ;</w:t>
      </w:r>
    </w:p>
    <w:p w14:paraId="1B68A7A3" w14:textId="77777777" w:rsidR="00082853" w:rsidRPr="006C5E3E" w:rsidRDefault="00082853" w:rsidP="005C4D20">
      <w:pPr>
        <w:pStyle w:val="ListParagraph"/>
        <w:jc w:val="both"/>
        <w:rPr>
          <w:rFonts w:asciiTheme="majorHAnsi" w:hAnsiTheme="majorHAnsi"/>
          <w:sz w:val="20"/>
          <w:szCs w:val="20"/>
        </w:rPr>
      </w:pPr>
    </w:p>
    <w:p w14:paraId="18F3D4D6" w14:textId="6D67E09F"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caméra</w:t>
      </w:r>
      <w:proofErr w:type="gramEnd"/>
      <w:r w:rsidRPr="006C5E3E">
        <w:rPr>
          <w:rFonts w:asciiTheme="majorHAnsi" w:hAnsiTheme="majorHAnsi"/>
          <w:sz w:val="20"/>
          <w:szCs w:val="20"/>
        </w:rPr>
        <w:t xml:space="preserve"> de contrôle » désigne une caméra stéréoscopique et/ou une caméra vidéo conventionnelle aux fins des contrôles prévus dans la présente </w:t>
      </w:r>
      <w:r w:rsidRPr="00B92D59">
        <w:rPr>
          <w:rFonts w:asciiTheme="majorHAnsi" w:hAnsiTheme="majorHAnsi"/>
          <w:sz w:val="20"/>
          <w:szCs w:val="20"/>
          <w:u w:val="single"/>
        </w:rPr>
        <w:t>Résolution</w:t>
      </w:r>
      <w:r w:rsidRPr="006C5E3E">
        <w:rPr>
          <w:rFonts w:asciiTheme="majorHAnsi" w:hAnsiTheme="majorHAnsi"/>
          <w:sz w:val="20"/>
          <w:szCs w:val="20"/>
          <w:u w:val="single"/>
        </w:rPr>
        <w:t xml:space="preserve"> </w:t>
      </w:r>
      <w:r w:rsidRPr="006C5E3E">
        <w:rPr>
          <w:rFonts w:asciiTheme="majorHAnsi" w:hAnsiTheme="majorHAnsi"/>
          <w:sz w:val="20"/>
          <w:szCs w:val="20"/>
        </w:rPr>
        <w:t xml:space="preserve">;  </w:t>
      </w:r>
    </w:p>
    <w:p w14:paraId="5D38C732" w14:textId="77777777" w:rsidR="00082853" w:rsidRPr="006C5E3E" w:rsidRDefault="00082853" w:rsidP="005C4D20">
      <w:pPr>
        <w:pStyle w:val="ListParagraph"/>
        <w:jc w:val="both"/>
        <w:rPr>
          <w:rFonts w:asciiTheme="majorHAnsi" w:hAnsiTheme="majorHAnsi"/>
          <w:sz w:val="20"/>
          <w:szCs w:val="20"/>
        </w:rPr>
      </w:pPr>
    </w:p>
    <w:p w14:paraId="663E9E81" w14:textId="45212162"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mise</w:t>
      </w:r>
      <w:proofErr w:type="gramEnd"/>
      <w:r w:rsidRPr="006C5E3E">
        <w:rPr>
          <w:rFonts w:asciiTheme="majorHAnsi" w:hAnsiTheme="majorHAnsi"/>
          <w:sz w:val="20"/>
          <w:szCs w:val="20"/>
        </w:rPr>
        <w:t xml:space="preserve"> à mort » désigne l’exécution du thon rouge </w:t>
      </w:r>
      <w:r w:rsidRPr="00007E9D">
        <w:rPr>
          <w:rFonts w:asciiTheme="majorHAnsi" w:hAnsiTheme="majorHAnsi"/>
          <w:sz w:val="20"/>
          <w:szCs w:val="20"/>
          <w:u w:val="single"/>
        </w:rPr>
        <w:t>dans</w:t>
      </w:r>
      <w:r w:rsidRPr="006C5E3E">
        <w:rPr>
          <w:rFonts w:asciiTheme="majorHAnsi" w:hAnsiTheme="majorHAnsi"/>
          <w:sz w:val="20"/>
          <w:szCs w:val="20"/>
        </w:rPr>
        <w:t xml:space="preserve"> une cage de stockage ; </w:t>
      </w:r>
    </w:p>
    <w:p w14:paraId="0B53B6CC" w14:textId="77777777" w:rsidR="00082853" w:rsidRPr="006C5E3E" w:rsidRDefault="00082853" w:rsidP="005C4D20">
      <w:pPr>
        <w:pStyle w:val="ListParagraph"/>
        <w:ind w:left="1440"/>
        <w:jc w:val="both"/>
        <w:rPr>
          <w:rFonts w:asciiTheme="majorHAnsi" w:hAnsiTheme="majorHAnsi"/>
          <w:sz w:val="20"/>
          <w:szCs w:val="20"/>
        </w:rPr>
      </w:pPr>
    </w:p>
    <w:p w14:paraId="25987439" w14:textId="77777777"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navire</w:t>
      </w:r>
      <w:proofErr w:type="gramEnd"/>
      <w:r w:rsidRPr="006C5E3E">
        <w:rPr>
          <w:rFonts w:asciiTheme="majorHAnsi" w:hAnsiTheme="majorHAnsi"/>
          <w:sz w:val="20"/>
          <w:szCs w:val="20"/>
        </w:rPr>
        <w:t xml:space="preserv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64AF6674" w14:textId="77777777" w:rsidR="00082853" w:rsidRPr="006C5E3E" w:rsidRDefault="00082853" w:rsidP="005C4D20">
      <w:pPr>
        <w:pStyle w:val="ListParagraph"/>
        <w:ind w:left="1440"/>
        <w:jc w:val="both"/>
        <w:rPr>
          <w:rFonts w:asciiTheme="majorHAnsi" w:hAnsiTheme="majorHAnsi"/>
          <w:sz w:val="20"/>
          <w:szCs w:val="20"/>
        </w:rPr>
      </w:pPr>
    </w:p>
    <w:p w14:paraId="37FA4F60" w14:textId="230A7C8D"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stockage</w:t>
      </w:r>
      <w:proofErr w:type="gramEnd"/>
      <w:r w:rsidRPr="006C5E3E">
        <w:rPr>
          <w:rFonts w:asciiTheme="majorHAnsi" w:hAnsiTheme="majorHAnsi"/>
          <w:sz w:val="20"/>
          <w:szCs w:val="20"/>
        </w:rPr>
        <w:t xml:space="preserve"> de courte durée de spécimens vivants » désigne la conservation des thons rouges dans une cage de stockage pendant trois mois au maximum sans </w:t>
      </w:r>
      <w:proofErr w:type="gramStart"/>
      <w:r w:rsidRPr="006C5E3E">
        <w:rPr>
          <w:rFonts w:asciiTheme="majorHAnsi" w:hAnsiTheme="majorHAnsi"/>
          <w:sz w:val="20"/>
          <w:szCs w:val="20"/>
        </w:rPr>
        <w:t>les engraisser ni</w:t>
      </w:r>
      <w:proofErr w:type="gramEnd"/>
      <w:r w:rsidRPr="006C5E3E">
        <w:rPr>
          <w:rFonts w:asciiTheme="majorHAnsi" w:hAnsiTheme="majorHAnsi"/>
          <w:sz w:val="20"/>
          <w:szCs w:val="20"/>
        </w:rPr>
        <w:t xml:space="preserve"> augmenter leur biomasse totale ;</w:t>
      </w:r>
    </w:p>
    <w:p w14:paraId="18C3EA8C" w14:textId="77777777" w:rsidR="00082853" w:rsidRPr="006C5E3E" w:rsidRDefault="00082853" w:rsidP="005C4D20">
      <w:pPr>
        <w:jc w:val="both"/>
        <w:rPr>
          <w:rFonts w:asciiTheme="majorHAnsi" w:hAnsiTheme="majorHAnsi"/>
          <w:sz w:val="20"/>
          <w:szCs w:val="20"/>
        </w:rPr>
      </w:pPr>
    </w:p>
    <w:p w14:paraId="2F09BA14" w14:textId="6458FFCB"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caméra</w:t>
      </w:r>
      <w:proofErr w:type="gramEnd"/>
      <w:r w:rsidRPr="006C5E3E">
        <w:rPr>
          <w:rFonts w:asciiTheme="majorHAnsi" w:hAnsiTheme="majorHAnsi"/>
          <w:sz w:val="20"/>
          <w:szCs w:val="20"/>
        </w:rPr>
        <w:t xml:space="preserve">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334541B" w14:textId="77777777" w:rsidR="00082853" w:rsidRPr="006C5E3E" w:rsidRDefault="00082853" w:rsidP="005C4D20">
      <w:pPr>
        <w:pStyle w:val="ListParagraph"/>
        <w:rPr>
          <w:rFonts w:asciiTheme="majorHAnsi" w:hAnsiTheme="majorHAnsi"/>
          <w:sz w:val="20"/>
          <w:szCs w:val="20"/>
        </w:rPr>
      </w:pPr>
    </w:p>
    <w:p w14:paraId="298B442F" w14:textId="6DA671B9"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 « </w:t>
      </w:r>
      <w:proofErr w:type="gramStart"/>
      <w:r w:rsidRPr="006C5E3E">
        <w:rPr>
          <w:rFonts w:asciiTheme="majorHAnsi" w:hAnsiTheme="majorHAnsi"/>
          <w:sz w:val="20"/>
          <w:szCs w:val="20"/>
        </w:rPr>
        <w:t>cage</w:t>
      </w:r>
      <w:proofErr w:type="gramEnd"/>
      <w:r w:rsidRPr="006C5E3E">
        <w:rPr>
          <w:rFonts w:asciiTheme="majorHAnsi" w:hAnsiTheme="majorHAnsi"/>
          <w:sz w:val="20"/>
          <w:szCs w:val="20"/>
        </w:rPr>
        <w:t xml:space="preserve"> de stockage » désigne la cage utilisée pour le stockage de courte durée du thon rouge vivant</w:t>
      </w:r>
      <w:r w:rsidR="00B11AE8">
        <w:rPr>
          <w:rFonts w:asciiTheme="majorHAnsi" w:hAnsiTheme="majorHAnsi"/>
          <w:sz w:val="20"/>
          <w:szCs w:val="20"/>
        </w:rPr>
        <w:t> </w:t>
      </w:r>
      <w:r w:rsidRPr="006C5E3E">
        <w:rPr>
          <w:rFonts w:asciiTheme="majorHAnsi" w:hAnsiTheme="majorHAnsi"/>
          <w:sz w:val="20"/>
          <w:szCs w:val="20"/>
        </w:rPr>
        <w:t>;</w:t>
      </w:r>
    </w:p>
    <w:p w14:paraId="5EC397A3" w14:textId="77777777" w:rsidR="00082853" w:rsidRPr="006C5E3E" w:rsidRDefault="00082853" w:rsidP="005C4D20">
      <w:pPr>
        <w:jc w:val="both"/>
        <w:rPr>
          <w:rFonts w:asciiTheme="majorHAnsi" w:hAnsiTheme="majorHAnsi"/>
          <w:sz w:val="20"/>
          <w:szCs w:val="20"/>
        </w:rPr>
      </w:pPr>
    </w:p>
    <w:p w14:paraId="109D3CE2" w14:textId="2633C90B" w:rsidR="00082853" w:rsidRPr="006C5E3E" w:rsidRDefault="00082853" w:rsidP="005C4D20">
      <w:pPr>
        <w:pStyle w:val="ListParagraph"/>
        <w:widowControl/>
        <w:numPr>
          <w:ilvl w:val="0"/>
          <w:numId w:val="1"/>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 « </w:t>
      </w:r>
      <w:proofErr w:type="gramStart"/>
      <w:r w:rsidRPr="006C5E3E">
        <w:rPr>
          <w:rFonts w:asciiTheme="majorHAnsi" w:hAnsiTheme="majorHAnsi"/>
          <w:sz w:val="20"/>
          <w:szCs w:val="20"/>
        </w:rPr>
        <w:t>cage</w:t>
      </w:r>
      <w:proofErr w:type="gramEnd"/>
      <w:r w:rsidRPr="006C5E3E">
        <w:rPr>
          <w:rFonts w:asciiTheme="majorHAnsi" w:hAnsiTheme="majorHAnsi"/>
          <w:sz w:val="20"/>
          <w:szCs w:val="20"/>
        </w:rPr>
        <w:t xml:space="preserve"> de transport » désigne la cage utilisée pour transporter le thon vivant vers la cage de stockage ;</w:t>
      </w:r>
    </w:p>
    <w:p w14:paraId="7B355675" w14:textId="77777777" w:rsidR="00082853" w:rsidRPr="006C5E3E" w:rsidRDefault="00082853" w:rsidP="005C4D20">
      <w:pPr>
        <w:jc w:val="both"/>
        <w:rPr>
          <w:rFonts w:asciiTheme="majorHAnsi" w:hAnsiTheme="majorHAnsi"/>
          <w:sz w:val="20"/>
          <w:szCs w:val="20"/>
        </w:rPr>
      </w:pPr>
      <w:r w:rsidRPr="006C5E3E">
        <w:rPr>
          <w:rFonts w:asciiTheme="majorHAnsi" w:hAnsiTheme="majorHAnsi"/>
          <w:sz w:val="20"/>
          <w:szCs w:val="20"/>
        </w:rPr>
        <w:t xml:space="preserve"> </w:t>
      </w:r>
    </w:p>
    <w:p w14:paraId="4842B4B9" w14:textId="77777777" w:rsidR="00082853" w:rsidRPr="006C5E3E" w:rsidRDefault="00082853" w:rsidP="005C4D20">
      <w:pPr>
        <w:widowControl/>
        <w:numPr>
          <w:ilvl w:val="0"/>
          <w:numId w:val="1"/>
        </w:numPr>
        <w:autoSpaceDE/>
        <w:autoSpaceDN/>
        <w:jc w:val="both"/>
        <w:rPr>
          <w:rFonts w:asciiTheme="majorHAnsi" w:hAnsiTheme="majorHAnsi"/>
          <w:sz w:val="20"/>
          <w:szCs w:val="20"/>
        </w:rPr>
      </w:pPr>
      <w:r w:rsidRPr="006C5E3E">
        <w:rPr>
          <w:rFonts w:asciiTheme="majorHAnsi" w:hAnsiTheme="majorHAnsi"/>
          <w:sz w:val="20"/>
          <w:szCs w:val="20"/>
        </w:rPr>
        <w:t>« </w:t>
      </w:r>
      <w:proofErr w:type="gramStart"/>
      <w:r w:rsidRPr="006C5E3E">
        <w:rPr>
          <w:rFonts w:asciiTheme="majorHAnsi" w:hAnsiTheme="majorHAnsi"/>
          <w:sz w:val="20"/>
          <w:szCs w:val="20"/>
        </w:rPr>
        <w:t>opérations</w:t>
      </w:r>
      <w:proofErr w:type="gramEnd"/>
      <w:r w:rsidRPr="006C5E3E">
        <w:rPr>
          <w:rFonts w:asciiTheme="majorHAnsi" w:hAnsiTheme="majorHAnsi"/>
          <w:sz w:val="20"/>
          <w:szCs w:val="20"/>
        </w:rPr>
        <w:t xml:space="preserve"> de transfert » désigne : </w:t>
      </w:r>
    </w:p>
    <w:p w14:paraId="421BFE8A" w14:textId="77777777" w:rsidR="00082853" w:rsidRPr="006C5E3E" w:rsidRDefault="00082853" w:rsidP="005C4D20">
      <w:pPr>
        <w:ind w:left="720"/>
        <w:jc w:val="both"/>
        <w:rPr>
          <w:rFonts w:asciiTheme="majorHAnsi" w:hAnsiTheme="majorHAnsi"/>
          <w:sz w:val="20"/>
          <w:szCs w:val="20"/>
        </w:rPr>
      </w:pPr>
    </w:p>
    <w:p w14:paraId="4700CC19" w14:textId="77777777" w:rsidR="00082853" w:rsidRPr="006C5E3E" w:rsidRDefault="00082853" w:rsidP="005C4D20">
      <w:pPr>
        <w:widowControl/>
        <w:numPr>
          <w:ilvl w:val="1"/>
          <w:numId w:val="1"/>
        </w:numPr>
        <w:autoSpaceDE/>
        <w:autoSpaceDN/>
        <w:ind w:left="1134" w:hanging="283"/>
        <w:jc w:val="both"/>
        <w:rPr>
          <w:rFonts w:asciiTheme="majorHAnsi" w:hAnsiTheme="majorHAnsi"/>
          <w:sz w:val="20"/>
          <w:szCs w:val="20"/>
        </w:rPr>
      </w:pPr>
      <w:proofErr w:type="gramStart"/>
      <w:r w:rsidRPr="006C5E3E">
        <w:rPr>
          <w:rFonts w:asciiTheme="majorHAnsi" w:hAnsiTheme="majorHAnsi"/>
          <w:sz w:val="20"/>
          <w:szCs w:val="20"/>
        </w:rPr>
        <w:t>tout</w:t>
      </w:r>
      <w:proofErr w:type="gramEnd"/>
      <w:r w:rsidRPr="006C5E3E">
        <w:rPr>
          <w:rFonts w:asciiTheme="majorHAnsi" w:hAnsiTheme="majorHAnsi"/>
          <w:sz w:val="20"/>
          <w:szCs w:val="20"/>
        </w:rPr>
        <w:t xml:space="preserve"> transfert de thon rouge vivant du filet du navire de capture jusqu’à la cage de transport ; </w:t>
      </w:r>
    </w:p>
    <w:p w14:paraId="04A2BE5E" w14:textId="1317E4E5" w:rsidR="00082853" w:rsidRPr="006C5E3E" w:rsidRDefault="00082853" w:rsidP="005C4D20">
      <w:pPr>
        <w:widowControl/>
        <w:numPr>
          <w:ilvl w:val="1"/>
          <w:numId w:val="1"/>
        </w:numPr>
        <w:autoSpaceDE/>
        <w:autoSpaceDN/>
        <w:ind w:left="1134" w:hanging="283"/>
        <w:jc w:val="both"/>
        <w:rPr>
          <w:rFonts w:asciiTheme="majorHAnsi" w:hAnsiTheme="majorHAnsi"/>
          <w:sz w:val="20"/>
          <w:szCs w:val="20"/>
        </w:rPr>
      </w:pPr>
      <w:proofErr w:type="gramStart"/>
      <w:r w:rsidRPr="006C5E3E">
        <w:rPr>
          <w:rFonts w:asciiTheme="majorHAnsi" w:hAnsiTheme="majorHAnsi"/>
          <w:sz w:val="20"/>
          <w:szCs w:val="20"/>
        </w:rPr>
        <w:t>tout</w:t>
      </w:r>
      <w:proofErr w:type="gramEnd"/>
      <w:r w:rsidRPr="006C5E3E">
        <w:rPr>
          <w:rFonts w:asciiTheme="majorHAnsi" w:hAnsiTheme="majorHAnsi"/>
          <w:sz w:val="20"/>
          <w:szCs w:val="20"/>
        </w:rPr>
        <w:t xml:space="preserve"> transfert de thon rouge vivant de </w:t>
      </w:r>
      <w:r w:rsidRPr="005C70F1">
        <w:rPr>
          <w:rFonts w:asciiTheme="majorHAnsi" w:hAnsiTheme="majorHAnsi"/>
          <w:sz w:val="20"/>
          <w:szCs w:val="20"/>
          <w:u w:val="single"/>
        </w:rPr>
        <w:t>la</w:t>
      </w:r>
      <w:r w:rsidRPr="006C5E3E">
        <w:rPr>
          <w:rFonts w:asciiTheme="majorHAnsi" w:hAnsiTheme="majorHAnsi"/>
          <w:sz w:val="20"/>
          <w:szCs w:val="20"/>
        </w:rPr>
        <w:t xml:space="preserve"> cage de transport à une cage de stockage ; </w:t>
      </w:r>
    </w:p>
    <w:p w14:paraId="726DC31C" w14:textId="515AA319" w:rsidR="00082853" w:rsidRPr="006C5E3E" w:rsidRDefault="00082853" w:rsidP="005C4D20">
      <w:pPr>
        <w:widowControl/>
        <w:numPr>
          <w:ilvl w:val="1"/>
          <w:numId w:val="1"/>
        </w:numPr>
        <w:autoSpaceDE/>
        <w:autoSpaceDN/>
        <w:ind w:left="1134" w:hanging="283"/>
        <w:jc w:val="both"/>
        <w:rPr>
          <w:rFonts w:asciiTheme="majorHAnsi" w:hAnsiTheme="majorHAnsi"/>
          <w:sz w:val="20"/>
          <w:szCs w:val="20"/>
        </w:rPr>
      </w:pPr>
      <w:proofErr w:type="gramStart"/>
      <w:r w:rsidRPr="006C5E3E">
        <w:rPr>
          <w:rFonts w:asciiTheme="majorHAnsi" w:hAnsiTheme="majorHAnsi"/>
          <w:sz w:val="20"/>
          <w:szCs w:val="20"/>
        </w:rPr>
        <w:t>tout</w:t>
      </w:r>
      <w:proofErr w:type="gramEnd"/>
      <w:r w:rsidRPr="006C5E3E">
        <w:rPr>
          <w:rFonts w:asciiTheme="majorHAnsi" w:hAnsiTheme="majorHAnsi"/>
          <w:sz w:val="20"/>
          <w:szCs w:val="20"/>
        </w:rPr>
        <w:t xml:space="preserve"> transfert de thon rouge vivant d’une cage de stockage à une cage de transport ;</w:t>
      </w:r>
    </w:p>
    <w:bookmarkEnd w:id="2"/>
    <w:p w14:paraId="77E2F464" w14:textId="77777777" w:rsidR="00082853" w:rsidRPr="006C5E3E" w:rsidRDefault="00082853" w:rsidP="005C4D20">
      <w:pPr>
        <w:ind w:hanging="283"/>
        <w:jc w:val="both"/>
        <w:rPr>
          <w:rFonts w:asciiTheme="majorHAnsi" w:hAnsiTheme="majorHAnsi" w:cstheme="minorHAnsi"/>
          <w:sz w:val="20"/>
          <w:szCs w:val="20"/>
        </w:rPr>
      </w:pPr>
    </w:p>
    <w:p w14:paraId="58C69DD5" w14:textId="77777777" w:rsidR="00082853" w:rsidRPr="006C5E3E" w:rsidRDefault="00082853" w:rsidP="005C4D20">
      <w:pPr>
        <w:ind w:left="3540"/>
        <w:jc w:val="both"/>
        <w:rPr>
          <w:rFonts w:asciiTheme="majorHAnsi" w:hAnsiTheme="majorHAnsi"/>
          <w:b/>
          <w:sz w:val="20"/>
          <w:szCs w:val="20"/>
        </w:rPr>
      </w:pPr>
    </w:p>
    <w:p w14:paraId="56A1D7CF" w14:textId="77777777" w:rsidR="00082853" w:rsidRPr="006C5E3E" w:rsidRDefault="00082853" w:rsidP="005C4D20">
      <w:pPr>
        <w:ind w:left="3540" w:hanging="3540"/>
        <w:rPr>
          <w:rFonts w:asciiTheme="majorHAnsi" w:hAnsiTheme="majorHAnsi"/>
          <w:b/>
          <w:sz w:val="20"/>
          <w:szCs w:val="20"/>
        </w:rPr>
      </w:pPr>
      <w:r w:rsidRPr="006C5E3E">
        <w:rPr>
          <w:rFonts w:asciiTheme="majorHAnsi" w:hAnsiTheme="majorHAnsi"/>
          <w:b/>
          <w:sz w:val="20"/>
          <w:szCs w:val="20"/>
        </w:rPr>
        <w:t>Autorisation</w:t>
      </w:r>
    </w:p>
    <w:p w14:paraId="19E0FB77" w14:textId="77777777" w:rsidR="00082853" w:rsidRPr="006C5E3E" w:rsidRDefault="00082853" w:rsidP="005C4D20">
      <w:pPr>
        <w:ind w:left="3540"/>
        <w:jc w:val="both"/>
        <w:rPr>
          <w:rFonts w:asciiTheme="majorHAnsi" w:hAnsiTheme="majorHAnsi"/>
          <w:sz w:val="20"/>
          <w:szCs w:val="20"/>
        </w:rPr>
      </w:pPr>
    </w:p>
    <w:p w14:paraId="671BC0D8" w14:textId="489128E6" w:rsidR="00082853" w:rsidRPr="006C5E3E" w:rsidRDefault="00082853" w:rsidP="005C4D20">
      <w:pPr>
        <w:pStyle w:val="ListParagraph"/>
        <w:widowControl/>
        <w:numPr>
          <w:ilvl w:val="0"/>
          <w:numId w:val="4"/>
        </w:numPr>
        <w:autoSpaceDE/>
        <w:autoSpaceDN/>
        <w:ind w:left="426" w:hanging="426"/>
        <w:contextualSpacing/>
        <w:jc w:val="both"/>
        <w:rPr>
          <w:rFonts w:asciiTheme="majorHAnsi" w:hAnsiTheme="majorHAnsi"/>
          <w:sz w:val="20"/>
          <w:szCs w:val="20"/>
        </w:rPr>
      </w:pPr>
      <w:r w:rsidRPr="006C5E3E">
        <w:rPr>
          <w:rFonts w:asciiTheme="majorHAnsi" w:hAnsiTheme="majorHAnsi"/>
          <w:sz w:val="20"/>
          <w:szCs w:val="20"/>
        </w:rPr>
        <w:t xml:space="preserve">Toute CPC qui prend part au projet pilote pour le stockage de courte </w:t>
      </w:r>
      <w:r w:rsidR="00B11AE8" w:rsidRPr="006C5E3E">
        <w:rPr>
          <w:rFonts w:asciiTheme="majorHAnsi" w:hAnsiTheme="majorHAnsi"/>
          <w:sz w:val="20"/>
          <w:szCs w:val="20"/>
        </w:rPr>
        <w:t>durée de</w:t>
      </w:r>
      <w:r w:rsidRPr="006C5E3E">
        <w:rPr>
          <w:rFonts w:asciiTheme="majorHAnsi" w:hAnsiTheme="majorHAnsi"/>
          <w:sz w:val="20"/>
          <w:szCs w:val="20"/>
        </w:rPr>
        <w:t xml:space="preserve"> spécimens vivants désignera une autorité compétente, ci-après dénommée « autorité compétente de la CPC », qui sera responsable de la coordination de la collecte et de la vérification des informations aux fins du contrôle des transferts, de la mise en cage, de la mise à mort et des transports connexes de thon rouge effectués sous sa juridiction. </w:t>
      </w:r>
    </w:p>
    <w:p w14:paraId="2EC21CA6" w14:textId="77777777" w:rsidR="00082853" w:rsidRPr="006C5E3E" w:rsidRDefault="00082853" w:rsidP="005C4D20">
      <w:pPr>
        <w:pStyle w:val="ListParagraph"/>
        <w:ind w:left="426"/>
        <w:jc w:val="both"/>
        <w:rPr>
          <w:rFonts w:asciiTheme="majorHAnsi" w:hAnsiTheme="majorHAnsi"/>
          <w:sz w:val="20"/>
          <w:szCs w:val="20"/>
        </w:rPr>
      </w:pPr>
    </w:p>
    <w:p w14:paraId="67D1E1A5" w14:textId="0F6C2E7E" w:rsidR="00082853" w:rsidRPr="006C5E3E" w:rsidRDefault="00082853" w:rsidP="005C4D20">
      <w:pPr>
        <w:pStyle w:val="ListParagraph"/>
        <w:widowControl/>
        <w:numPr>
          <w:ilvl w:val="0"/>
          <w:numId w:val="4"/>
        </w:numPr>
        <w:autoSpaceDE/>
        <w:autoSpaceDN/>
        <w:ind w:left="426" w:hanging="426"/>
        <w:contextualSpacing/>
        <w:jc w:val="both"/>
        <w:rPr>
          <w:rFonts w:asciiTheme="majorHAnsi" w:hAnsiTheme="majorHAnsi"/>
          <w:sz w:val="20"/>
          <w:szCs w:val="20"/>
        </w:rPr>
      </w:pPr>
      <w:r w:rsidRPr="006C5E3E">
        <w:rPr>
          <w:rFonts w:asciiTheme="majorHAnsi" w:hAnsiTheme="majorHAnsi"/>
          <w:sz w:val="20"/>
          <w:szCs w:val="20"/>
        </w:rPr>
        <w:lastRenderedPageBreak/>
        <w:t xml:space="preserve">Avant le début d'une opération de transfert, de mise en cage ou de mise à mort, le capitaine du navire de capture ou son représentant, ou le représentant de la cage de stockage, enverra une notification préalable à l'autorité compétente de la CPC en indiquant les éléments suivants, le cas échéant, en fonction de l’opération : </w:t>
      </w:r>
    </w:p>
    <w:p w14:paraId="79CA72DF" w14:textId="77777777" w:rsidR="00082853" w:rsidRPr="006C5E3E" w:rsidRDefault="00082853" w:rsidP="005C4D20">
      <w:pPr>
        <w:pStyle w:val="ListParagraph"/>
        <w:rPr>
          <w:rFonts w:asciiTheme="majorHAnsi" w:hAnsiTheme="majorHAnsi"/>
          <w:sz w:val="20"/>
          <w:szCs w:val="20"/>
        </w:rPr>
      </w:pPr>
    </w:p>
    <w:p w14:paraId="66A5BF7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nombre de spécimens et le poids estimé du thon rouge en kg ;</w:t>
      </w:r>
    </w:p>
    <w:p w14:paraId="7FAFD63A" w14:textId="3CB6C5BB"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nom du navire de capture ou de la cage de stockage, avec leur numéro de registre ICCAT </w:t>
      </w:r>
      <w:r w:rsidR="00B11AE8" w:rsidRPr="006C5E3E">
        <w:rPr>
          <w:rFonts w:asciiTheme="majorHAnsi" w:hAnsiTheme="majorHAnsi"/>
          <w:sz w:val="20"/>
          <w:szCs w:val="20"/>
        </w:rPr>
        <w:t>respectif</w:t>
      </w:r>
      <w:r w:rsidR="00B11AE8">
        <w:rPr>
          <w:rFonts w:asciiTheme="majorHAnsi" w:hAnsiTheme="majorHAnsi"/>
          <w:sz w:val="20"/>
          <w:szCs w:val="20"/>
        </w:rPr>
        <w:t> </w:t>
      </w:r>
      <w:r w:rsidR="00B11AE8" w:rsidRPr="006C5E3E">
        <w:rPr>
          <w:rFonts w:asciiTheme="majorHAnsi" w:hAnsiTheme="majorHAnsi"/>
          <w:sz w:val="20"/>
          <w:szCs w:val="20"/>
        </w:rPr>
        <w:t>;</w:t>
      </w:r>
    </w:p>
    <w:p w14:paraId="17BA7BA3"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date et le lieu de la capture, de la mise en cage ou de la mise à mort ; </w:t>
      </w:r>
    </w:p>
    <w:p w14:paraId="6825ECC3"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date et l'heure estimée du transfert, de la mise en cage ou de la mise à mort ; </w:t>
      </w:r>
    </w:p>
    <w:p w14:paraId="11F8D8C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numéro de l’eBCD concerné, tel que confirmé et validé par l'autorité compétente de la CPC ; </w:t>
      </w:r>
    </w:p>
    <w:p w14:paraId="12A1C96D"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w:t>
      </w:r>
      <w:proofErr w:type="gramEnd"/>
      <w:r w:rsidRPr="006C5E3E">
        <w:rPr>
          <w:rFonts w:asciiTheme="majorHAnsi" w:hAnsiTheme="majorHAnsi"/>
          <w:sz w:val="20"/>
          <w:szCs w:val="20"/>
        </w:rPr>
        <w:t xml:space="preserve"> détails des navires auxiliaires participant à l'opération ; </w:t>
      </w:r>
    </w:p>
    <w:p w14:paraId="63B920BB"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w:t>
      </w:r>
      <w:proofErr w:type="gramEnd"/>
      <w:r w:rsidRPr="006C5E3E">
        <w:rPr>
          <w:rFonts w:asciiTheme="majorHAnsi" w:hAnsiTheme="majorHAnsi"/>
          <w:sz w:val="20"/>
          <w:szCs w:val="20"/>
        </w:rPr>
        <w:t xml:space="preserve"> quantités estimées à transférer, à mettre en cage ou à mettre à mort, en nombre de spécimens et en kg. </w:t>
      </w:r>
    </w:p>
    <w:p w14:paraId="5029805F" w14:textId="77777777" w:rsidR="00082853" w:rsidRPr="006C5E3E" w:rsidRDefault="00082853" w:rsidP="005C4D20">
      <w:pPr>
        <w:jc w:val="both"/>
        <w:rPr>
          <w:rFonts w:asciiTheme="majorHAnsi" w:hAnsiTheme="majorHAnsi"/>
          <w:sz w:val="20"/>
          <w:szCs w:val="20"/>
        </w:rPr>
      </w:pPr>
    </w:p>
    <w:p w14:paraId="632E9F91" w14:textId="44405451"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Une opération de transfert, de mise en cage ou de mise à mort ne sera pas autorisée par l'autorité compétente de la CPC si, à la réception de la notification préalable, elle considère que :</w:t>
      </w:r>
    </w:p>
    <w:p w14:paraId="0EAC5C77" w14:textId="77777777" w:rsidR="00082853" w:rsidRPr="006C5E3E" w:rsidRDefault="00082853" w:rsidP="005C4D20">
      <w:pPr>
        <w:pStyle w:val="ListParagraph"/>
        <w:ind w:left="360"/>
        <w:jc w:val="both"/>
        <w:rPr>
          <w:rFonts w:asciiTheme="majorHAnsi" w:hAnsiTheme="majorHAnsi"/>
          <w:sz w:val="20"/>
          <w:szCs w:val="20"/>
        </w:rPr>
      </w:pPr>
    </w:p>
    <w:p w14:paraId="0563EC18"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navire de capture ne dispose pas d'une autorisation valide de pêcher le thon rouge ; </w:t>
      </w:r>
    </w:p>
    <w:p w14:paraId="6565044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nombre et le poids des poissons n'ont pas été dûment déclarés par le capitaine du navire de capture ou son représentant, ou le représentant de la cage de stockage ; </w:t>
      </w:r>
    </w:p>
    <w:p w14:paraId="6F62BE8F"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w:t>
      </w:r>
      <w:proofErr w:type="gramEnd"/>
      <w:r w:rsidRPr="006C5E3E">
        <w:rPr>
          <w:rFonts w:asciiTheme="majorHAnsi" w:hAnsiTheme="majorHAnsi"/>
          <w:sz w:val="20"/>
          <w:szCs w:val="20"/>
        </w:rPr>
        <w:t xml:space="preserve"> navire de capture qui a capturé les poissons ne dispose pas d’un quota suffisant ; </w:t>
      </w:r>
    </w:p>
    <w:p w14:paraId="3A3563D1"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cage de stockage de destination n'est pas déclarée comme étant active ; </w:t>
      </w:r>
    </w:p>
    <w:p w14:paraId="2D432A1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w:t>
      </w:r>
      <w:proofErr w:type="gramEnd"/>
      <w:r w:rsidRPr="006C5E3E">
        <w:rPr>
          <w:rFonts w:asciiTheme="majorHAnsi" w:hAnsiTheme="majorHAnsi"/>
          <w:sz w:val="20"/>
          <w:szCs w:val="20"/>
        </w:rPr>
        <w:t xml:space="preserve"> poissons à mettre en cage n’ont pas été dûment déclarés par le navire de capture et n’ont pas été pris en compte dans le calcul de l’utilisation de quota susceptible d’être applicable ; </w:t>
      </w:r>
    </w:p>
    <w:p w14:paraId="04B33E34"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l'observateur</w:t>
      </w:r>
      <w:proofErr w:type="gramEnd"/>
      <w:r w:rsidRPr="006C5E3E">
        <w:rPr>
          <w:rFonts w:asciiTheme="majorHAnsi" w:hAnsiTheme="majorHAnsi"/>
          <w:sz w:val="20"/>
          <w:szCs w:val="20"/>
        </w:rPr>
        <w:t xml:space="preserve"> régional de l'ICCAT n'est pas présent et aucune dérogation n'est applicable ; et </w:t>
      </w:r>
    </w:p>
    <w:p w14:paraId="6B66160C"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les</w:t>
      </w:r>
      <w:proofErr w:type="gramEnd"/>
      <w:r w:rsidRPr="006C5E3E">
        <w:rPr>
          <w:rFonts w:asciiTheme="majorHAnsi" w:hAnsiTheme="majorHAnsi"/>
          <w:sz w:val="20"/>
          <w:szCs w:val="20"/>
        </w:rPr>
        <w:t xml:space="preserve"> activités pertinentes n'ont pas été correctement saisies dans le système eBCD.</w:t>
      </w:r>
    </w:p>
    <w:p w14:paraId="4668BD4D" w14:textId="77777777" w:rsidR="00082853" w:rsidRPr="006C5E3E" w:rsidRDefault="00082853" w:rsidP="005C4D20">
      <w:pPr>
        <w:jc w:val="both"/>
        <w:rPr>
          <w:rFonts w:asciiTheme="majorHAnsi" w:hAnsiTheme="majorHAnsi"/>
          <w:sz w:val="20"/>
          <w:szCs w:val="20"/>
        </w:rPr>
      </w:pPr>
    </w:p>
    <w:p w14:paraId="2E6E7108" w14:textId="77777777" w:rsidR="00082853" w:rsidRPr="006C5E3E" w:rsidRDefault="00082853" w:rsidP="005C4D20">
      <w:pPr>
        <w:jc w:val="both"/>
        <w:rPr>
          <w:rFonts w:asciiTheme="majorHAnsi" w:hAnsiTheme="majorHAnsi"/>
          <w:b/>
          <w:sz w:val="20"/>
          <w:szCs w:val="20"/>
        </w:rPr>
      </w:pPr>
      <w:r w:rsidRPr="006C5E3E">
        <w:rPr>
          <w:rFonts w:asciiTheme="majorHAnsi" w:hAnsiTheme="majorHAnsi"/>
          <w:b/>
          <w:sz w:val="20"/>
          <w:szCs w:val="20"/>
        </w:rPr>
        <w:t>Numéros uniques et navires de capture attribués aux cages</w:t>
      </w:r>
    </w:p>
    <w:p w14:paraId="5DF3104E" w14:textId="77777777" w:rsidR="00082853" w:rsidRPr="006C5E3E" w:rsidRDefault="00082853" w:rsidP="005C4D20">
      <w:pPr>
        <w:jc w:val="both"/>
        <w:rPr>
          <w:rFonts w:asciiTheme="majorHAnsi" w:hAnsiTheme="majorHAnsi"/>
          <w:sz w:val="20"/>
          <w:szCs w:val="20"/>
        </w:rPr>
      </w:pPr>
    </w:p>
    <w:p w14:paraId="50C5565A" w14:textId="67E5EEE4"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Toutes les cages utilisées dans les opérations de transfert, de mise en cage et de mise à mort, ainsi que les transports associés, seront numérotées conformément au système de numérotation unique visé dans le plan pluriannuel de conservation et de gestion du thon rouge de l'Atlantique Est et de la Méditerranée (</w:t>
      </w:r>
      <w:r w:rsidRPr="006C5E3E">
        <w:rPr>
          <w:rFonts w:asciiTheme="majorHAnsi" w:hAnsiTheme="majorHAnsi"/>
          <w:sz w:val="20"/>
          <w:szCs w:val="20"/>
          <w:u w:val="single"/>
        </w:rPr>
        <w:t>Rec. 24-05</w:t>
      </w:r>
      <w:r w:rsidRPr="006C5E3E">
        <w:rPr>
          <w:rFonts w:asciiTheme="majorHAnsi" w:hAnsiTheme="majorHAnsi"/>
          <w:sz w:val="20"/>
          <w:szCs w:val="20"/>
        </w:rPr>
        <w:t>, paragraphes 147-150).</w:t>
      </w:r>
    </w:p>
    <w:p w14:paraId="3D8EA89E" w14:textId="5EEB9455" w:rsidR="00082853" w:rsidRPr="006C5E3E" w:rsidRDefault="00082853" w:rsidP="005C4D20">
      <w:pPr>
        <w:pStyle w:val="ListParagraph"/>
        <w:ind w:left="360"/>
        <w:jc w:val="both"/>
        <w:rPr>
          <w:rFonts w:asciiTheme="majorHAnsi" w:hAnsiTheme="majorHAnsi" w:cstheme="minorHAnsi"/>
          <w:sz w:val="20"/>
          <w:szCs w:val="20"/>
        </w:rPr>
      </w:pPr>
    </w:p>
    <w:p w14:paraId="24E77AC9" w14:textId="7777777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Pour faciliter la traçabilité, une cage de stockage ne contiendra que du thon rouge provenant d'un seul navire de capture. L'autorité compétente de la CPC peut autoriser un navire à utiliser une cage vide qui a été précédemment utilisée par un autre </w:t>
      </w:r>
      <w:r w:rsidRPr="00AB5447">
        <w:rPr>
          <w:rFonts w:asciiTheme="majorHAnsi" w:hAnsiTheme="majorHAnsi"/>
          <w:sz w:val="20"/>
          <w:szCs w:val="20"/>
        </w:rPr>
        <w:t>navire.</w:t>
      </w:r>
      <w:r w:rsidRPr="005C70F1">
        <w:rPr>
          <w:rFonts w:asciiTheme="majorHAnsi" w:hAnsiTheme="majorHAnsi"/>
          <w:sz w:val="20"/>
          <w:szCs w:val="20"/>
          <w:u w:val="single"/>
        </w:rPr>
        <w:t xml:space="preserve"> </w:t>
      </w:r>
    </w:p>
    <w:p w14:paraId="5F5E2C23" w14:textId="77777777" w:rsidR="00082853" w:rsidRDefault="00082853" w:rsidP="005C4D20">
      <w:pPr>
        <w:jc w:val="both"/>
        <w:rPr>
          <w:rFonts w:asciiTheme="majorHAnsi" w:hAnsiTheme="majorHAnsi"/>
          <w:sz w:val="20"/>
          <w:szCs w:val="20"/>
        </w:rPr>
      </w:pPr>
    </w:p>
    <w:p w14:paraId="1E2E749B" w14:textId="3E08E281" w:rsidR="00AB5447" w:rsidRDefault="00AB5447" w:rsidP="005C4D20">
      <w:pPr>
        <w:jc w:val="both"/>
        <w:rPr>
          <w:rFonts w:asciiTheme="majorHAnsi" w:hAnsiTheme="majorHAnsi"/>
          <w:sz w:val="20"/>
          <w:szCs w:val="20"/>
        </w:rPr>
      </w:pPr>
      <w:r>
        <w:rPr>
          <w:rFonts w:asciiTheme="majorHAnsi" w:hAnsiTheme="majorHAnsi"/>
          <w:sz w:val="20"/>
          <w:szCs w:val="20"/>
        </w:rPr>
        <w:t>[…]</w:t>
      </w:r>
    </w:p>
    <w:p w14:paraId="1E7193B6" w14:textId="77777777" w:rsidR="00AB5447" w:rsidRPr="006C5E3E" w:rsidRDefault="00AB5447" w:rsidP="005C4D20">
      <w:pPr>
        <w:jc w:val="both"/>
        <w:rPr>
          <w:rFonts w:asciiTheme="majorHAnsi" w:hAnsiTheme="majorHAnsi"/>
          <w:sz w:val="20"/>
          <w:szCs w:val="20"/>
        </w:rPr>
      </w:pPr>
    </w:p>
    <w:p w14:paraId="3AD0209E" w14:textId="77777777" w:rsidR="00082853" w:rsidRPr="006C5E3E" w:rsidRDefault="00082853" w:rsidP="005C4D20">
      <w:pPr>
        <w:jc w:val="both"/>
        <w:rPr>
          <w:rFonts w:asciiTheme="majorHAnsi" w:hAnsiTheme="majorHAnsi"/>
          <w:b/>
          <w:sz w:val="20"/>
          <w:szCs w:val="20"/>
        </w:rPr>
      </w:pPr>
      <w:r w:rsidRPr="006C5E3E">
        <w:rPr>
          <w:rFonts w:asciiTheme="majorHAnsi" w:hAnsiTheme="majorHAnsi"/>
          <w:b/>
          <w:sz w:val="20"/>
          <w:szCs w:val="20"/>
        </w:rPr>
        <w:t>Mesures de contrôle</w:t>
      </w:r>
    </w:p>
    <w:p w14:paraId="5D80286F" w14:textId="77777777" w:rsidR="00082853" w:rsidRPr="006C5E3E" w:rsidRDefault="00082853" w:rsidP="005C4D20">
      <w:pPr>
        <w:jc w:val="both"/>
        <w:rPr>
          <w:rFonts w:asciiTheme="majorHAnsi" w:hAnsiTheme="majorHAnsi"/>
          <w:sz w:val="20"/>
          <w:szCs w:val="20"/>
        </w:rPr>
      </w:pPr>
    </w:p>
    <w:p w14:paraId="189C1EC4" w14:textId="375E42AF"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Avant le début d'une opération de transfert, de mise en cage ou de mise à mort, le capitaine du navire de capture ou son représentant, ou le représentant de la cage de stockage, déclarera ses activités dans son carnet de pêche électronique et transmettra quotidiennement les informations à l'autorité compétente de la CPC.</w:t>
      </w:r>
    </w:p>
    <w:p w14:paraId="38550305" w14:textId="7EB122E8" w:rsidR="00082853" w:rsidRPr="006C5E3E" w:rsidRDefault="00082853" w:rsidP="005C4D20">
      <w:pPr>
        <w:pStyle w:val="ListParagraph"/>
        <w:ind w:left="360"/>
        <w:jc w:val="both"/>
        <w:rPr>
          <w:rFonts w:asciiTheme="majorHAnsi" w:hAnsiTheme="majorHAnsi" w:cstheme="minorHAnsi"/>
          <w:sz w:val="20"/>
          <w:szCs w:val="20"/>
        </w:rPr>
      </w:pPr>
    </w:p>
    <w:p w14:paraId="3061AB09" w14:textId="6C951CD5" w:rsidR="00082853" w:rsidRPr="006C5E3E" w:rsidRDefault="00082853" w:rsidP="005C4D20">
      <w:pPr>
        <w:pStyle w:val="ListParagraph"/>
        <w:widowControl/>
        <w:numPr>
          <w:ilvl w:val="0"/>
          <w:numId w:val="4"/>
        </w:numPr>
        <w:autoSpaceDE/>
        <w:autoSpaceDN/>
        <w:contextualSpacing/>
        <w:jc w:val="both"/>
        <w:rPr>
          <w:rFonts w:asciiTheme="majorHAnsi" w:hAnsiTheme="majorHAnsi"/>
          <w:b/>
          <w:sz w:val="20"/>
          <w:szCs w:val="20"/>
        </w:rPr>
      </w:pPr>
      <w:r w:rsidRPr="006C5E3E">
        <w:rPr>
          <w:rFonts w:asciiTheme="majorHAnsi" w:hAnsiTheme="majorHAnsi"/>
          <w:sz w:val="20"/>
          <w:szCs w:val="20"/>
        </w:rPr>
        <w:t>Toutes les opérations de transfert et de mise en cage seront surveillées par une caméra de contrôle dans l’eau, conformément aux normes minimales et procédures définies à l'</w:t>
      </w:r>
      <w:r w:rsidRPr="00965151">
        <w:rPr>
          <w:rFonts w:asciiTheme="majorHAnsi" w:hAnsiTheme="majorHAnsi"/>
          <w:b/>
          <w:sz w:val="20"/>
          <w:szCs w:val="20"/>
        </w:rPr>
        <w:t xml:space="preserve">appendice </w:t>
      </w:r>
      <w:r w:rsidRPr="006C5E3E">
        <w:rPr>
          <w:rFonts w:asciiTheme="majorHAnsi" w:hAnsiTheme="majorHAnsi"/>
          <w:b/>
          <w:sz w:val="20"/>
          <w:szCs w:val="20"/>
        </w:rPr>
        <w:t>2</w:t>
      </w:r>
      <w:r w:rsidRPr="006C5E3E">
        <w:rPr>
          <w:rFonts w:asciiTheme="majorHAnsi" w:hAnsiTheme="majorHAnsi"/>
          <w:sz w:val="20"/>
          <w:szCs w:val="20"/>
        </w:rPr>
        <w:t xml:space="preserve">, afin de déterminer le nombre de spécimens de thon rouge. Toutes les opérations de mise en cage devraient être filmées au moyen de caméras conventionnelles et stéréoscopiques dans l'eau, et tous les enregistrements vidéo devraient être conformes aux normes minimales définies </w:t>
      </w:r>
      <w:r w:rsidRPr="00965151">
        <w:rPr>
          <w:rFonts w:asciiTheme="majorHAnsi" w:hAnsiTheme="majorHAnsi"/>
          <w:sz w:val="20"/>
          <w:szCs w:val="20"/>
        </w:rPr>
        <w:t>à l’</w:t>
      </w:r>
      <w:r w:rsidRPr="00965151">
        <w:rPr>
          <w:rFonts w:asciiTheme="majorHAnsi" w:hAnsiTheme="majorHAnsi"/>
          <w:b/>
          <w:sz w:val="20"/>
          <w:szCs w:val="20"/>
        </w:rPr>
        <w:t>appendice</w:t>
      </w:r>
      <w:r w:rsidRPr="006C5E3E">
        <w:rPr>
          <w:rFonts w:asciiTheme="majorHAnsi" w:hAnsiTheme="majorHAnsi"/>
          <w:b/>
          <w:sz w:val="20"/>
          <w:szCs w:val="20"/>
        </w:rPr>
        <w:t xml:space="preserve"> 2.</w:t>
      </w:r>
      <w:r w:rsidRPr="006C5E3E">
        <w:rPr>
          <w:rFonts w:asciiTheme="majorHAnsi" w:hAnsiTheme="majorHAnsi"/>
          <w:sz w:val="20"/>
          <w:szCs w:val="20"/>
        </w:rPr>
        <w:t xml:space="preserve"> </w:t>
      </w:r>
    </w:p>
    <w:p w14:paraId="2DEB5867" w14:textId="77777777" w:rsidR="00082853" w:rsidRPr="006C5E3E" w:rsidRDefault="00082853" w:rsidP="005C4D20">
      <w:pPr>
        <w:pStyle w:val="ListParagraph"/>
        <w:rPr>
          <w:rFonts w:asciiTheme="majorHAnsi" w:hAnsiTheme="majorHAnsi"/>
          <w:b/>
          <w:sz w:val="20"/>
          <w:szCs w:val="20"/>
        </w:rPr>
      </w:pPr>
    </w:p>
    <w:p w14:paraId="38AB42FB" w14:textId="7777777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Une copie des enregistrements vidéo pertinents sera immédiatement fournie à l'observateur régional et à l'autorité compétente de la CPC. L'autorité compétente de la CPC devrait fournir sur demande au SCRS des copies des enregistrements vidéo. Le SCRS devrait maintenir la confidentialité des activités commerciales.</w:t>
      </w:r>
    </w:p>
    <w:p w14:paraId="1D356FAD" w14:textId="77777777" w:rsidR="00082853" w:rsidRPr="006C5E3E" w:rsidRDefault="00082853" w:rsidP="005C4D20">
      <w:pPr>
        <w:pStyle w:val="ListParagraph"/>
        <w:rPr>
          <w:rFonts w:asciiTheme="majorHAnsi" w:hAnsiTheme="majorHAnsi"/>
          <w:sz w:val="20"/>
          <w:szCs w:val="20"/>
        </w:rPr>
      </w:pPr>
    </w:p>
    <w:p w14:paraId="260A072E" w14:textId="5EE4CE95"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lastRenderedPageBreak/>
        <w:t xml:space="preserve">L'autorité compétente de la CPC déterminera le nombre et le poids des thons rouges mis en cage, en analysant les enregistrements vidéo de chaque opération de mise en cage. Pour effectuer cette analyse, les autorités suivront les normes et les procédures pertinentes pour les systèmes de caméras stéréoscopiques énoncées dans les annexes applicables, dont l’annexe 9 de la </w:t>
      </w:r>
      <w:r w:rsidRPr="006C5E3E">
        <w:rPr>
          <w:rFonts w:asciiTheme="majorHAnsi" w:hAnsiTheme="majorHAnsi"/>
          <w:i/>
          <w:iCs/>
          <w:sz w:val="20"/>
          <w:szCs w:val="20"/>
        </w:rPr>
        <w:t>R</w:t>
      </w:r>
      <w:r w:rsidRPr="006C5E3E">
        <w:rPr>
          <w:rFonts w:asciiTheme="majorHAnsi" w:hAnsiTheme="majorHAnsi"/>
          <w:i/>
          <w:iCs/>
          <w:sz w:val="20"/>
          <w:szCs w:val="20"/>
          <w:u w:val="single"/>
        </w:rPr>
        <w:t>ecommandation de l’ICCAT amendant la Recommandation 22-08 établissant un plan pluriannuel de gestion du thon rouge dans l’Atlantique Est et la Méditerranée</w:t>
      </w:r>
      <w:r w:rsidRPr="006C5E3E">
        <w:rPr>
          <w:rFonts w:asciiTheme="majorHAnsi" w:hAnsiTheme="majorHAnsi"/>
          <w:sz w:val="20"/>
          <w:szCs w:val="20"/>
          <w:u w:val="single"/>
        </w:rPr>
        <w:t xml:space="preserve"> (Rec. 24-05).</w:t>
      </w:r>
    </w:p>
    <w:p w14:paraId="69C2468D" w14:textId="77777777" w:rsidR="00082853" w:rsidRPr="006C5E3E" w:rsidRDefault="00082853" w:rsidP="005C4D20">
      <w:pPr>
        <w:pStyle w:val="ListParagraph"/>
        <w:rPr>
          <w:rFonts w:asciiTheme="majorHAnsi" w:hAnsiTheme="majorHAnsi"/>
          <w:sz w:val="20"/>
          <w:szCs w:val="20"/>
        </w:rPr>
      </w:pPr>
    </w:p>
    <w:p w14:paraId="5D197D11" w14:textId="76BF1608"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La CPC assurera une couverture d'observateurs à 100% dans le cadre du programme d'observateurs régionaux de l'ICCAT visé dans la</w:t>
      </w:r>
      <w:r w:rsidRPr="006C5E3E">
        <w:rPr>
          <w:rFonts w:asciiTheme="majorHAnsi" w:hAnsiTheme="majorHAnsi"/>
          <w:sz w:val="20"/>
          <w:szCs w:val="20"/>
          <w:u w:val="single"/>
        </w:rPr>
        <w:t xml:space="preserve"> </w:t>
      </w:r>
      <w:r w:rsidRPr="006C5E3E">
        <w:rPr>
          <w:rFonts w:asciiTheme="majorHAnsi" w:hAnsiTheme="majorHAnsi"/>
          <w:i/>
          <w:iCs/>
          <w:sz w:val="20"/>
          <w:szCs w:val="20"/>
          <w:u w:val="single"/>
        </w:rPr>
        <w:t xml:space="preserve">Recommandation de l’ICCAT amendant la Recommandation 22-08 établissant un plan pluriannuel de gestion du thon rouge dans l’Atlantique Est et la </w:t>
      </w:r>
      <w:r w:rsidRPr="00E75D69">
        <w:rPr>
          <w:rFonts w:asciiTheme="majorHAnsi" w:hAnsiTheme="majorHAnsi"/>
          <w:i/>
          <w:iCs/>
          <w:sz w:val="20"/>
          <w:szCs w:val="20"/>
          <w:u w:val="single"/>
        </w:rPr>
        <w:t>Méditerranée</w:t>
      </w:r>
      <w:r w:rsidRPr="00E75D69">
        <w:rPr>
          <w:rFonts w:asciiTheme="majorHAnsi" w:hAnsiTheme="majorHAnsi"/>
          <w:sz w:val="20"/>
          <w:szCs w:val="20"/>
          <w:u w:val="single"/>
        </w:rPr>
        <w:t xml:space="preserve"> (Rec</w:t>
      </w:r>
      <w:r w:rsidRPr="006C5E3E">
        <w:rPr>
          <w:rFonts w:asciiTheme="majorHAnsi" w:hAnsiTheme="majorHAnsi"/>
          <w:sz w:val="20"/>
          <w:szCs w:val="20"/>
          <w:u w:val="single"/>
        </w:rPr>
        <w:t>.</w:t>
      </w:r>
      <w:r w:rsidR="00B11AE8">
        <w:t> </w:t>
      </w:r>
      <w:r w:rsidRPr="006C5E3E">
        <w:rPr>
          <w:rFonts w:asciiTheme="majorHAnsi" w:hAnsiTheme="majorHAnsi"/>
          <w:sz w:val="20"/>
          <w:szCs w:val="20"/>
          <w:u w:val="single"/>
        </w:rPr>
        <w:t>24-05</w:t>
      </w:r>
      <w:r w:rsidR="00457369">
        <w:rPr>
          <w:rFonts w:asciiTheme="majorHAnsi" w:hAnsiTheme="majorHAnsi"/>
          <w:sz w:val="20"/>
          <w:szCs w:val="20"/>
          <w:u w:val="single"/>
        </w:rPr>
        <w:t>)</w:t>
      </w:r>
      <w:r w:rsidRPr="006C5E3E">
        <w:rPr>
          <w:rFonts w:asciiTheme="majorHAnsi" w:hAnsiTheme="majorHAnsi"/>
          <w:sz w:val="20"/>
          <w:szCs w:val="20"/>
          <w:u w:val="single"/>
        </w:rPr>
        <w:t xml:space="preserve"> </w:t>
      </w:r>
      <w:r w:rsidR="003D5C94">
        <w:rPr>
          <w:rFonts w:asciiTheme="majorHAnsi" w:hAnsiTheme="majorHAnsi"/>
          <w:sz w:val="20"/>
          <w:szCs w:val="20"/>
          <w:u w:val="single"/>
        </w:rPr>
        <w:t>(</w:t>
      </w:r>
      <w:r w:rsidRPr="006C5E3E">
        <w:rPr>
          <w:rFonts w:asciiTheme="majorHAnsi" w:hAnsiTheme="majorHAnsi"/>
          <w:sz w:val="20"/>
          <w:szCs w:val="20"/>
          <w:u w:val="single"/>
        </w:rPr>
        <w:t>e</w:t>
      </w:r>
      <w:r w:rsidRPr="006C5E3E">
        <w:rPr>
          <w:rFonts w:asciiTheme="majorHAnsi" w:hAnsiTheme="majorHAnsi"/>
          <w:sz w:val="20"/>
          <w:szCs w:val="20"/>
        </w:rPr>
        <w:t>t toute autre recommandation la remplaçant à l’avenir) pendant toutes les opérations de capture, de transfert, de mise en cage et de mise à mort.</w:t>
      </w:r>
    </w:p>
    <w:p w14:paraId="35DFD9F5" w14:textId="77777777" w:rsidR="00082853" w:rsidRPr="006C5E3E" w:rsidRDefault="00082853" w:rsidP="005C4D20">
      <w:pPr>
        <w:pStyle w:val="ListParagraph"/>
        <w:rPr>
          <w:rFonts w:asciiTheme="majorHAnsi" w:hAnsiTheme="majorHAnsi"/>
          <w:sz w:val="20"/>
          <w:szCs w:val="20"/>
        </w:rPr>
      </w:pPr>
    </w:p>
    <w:p w14:paraId="67B94B3E" w14:textId="1CBA6B2C"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Nonobstant ce qui précède, lorsque, pour des raisons de force majeure (par exemple une pandémie) dûment notifiées à l’ICCAT, le déploiement d'un observateur régional n'est pas possible, les opérations du navire ou de la cage de stockage pourraient être réalisées sans observateur. Dans ces cas, les CPC accorderont la priorité à ces navires et à ces cages de stockage pour le contrôle et l’inspection. En outre, les CPC mettront en œuvre une série de mesures alternatives appropriées visant à atteindre les objectifs du programme d’observateurs régionaux, y compris, dans la mesure du possible, le déploiement d'un inspecteur national ou d'un observateur national pour remplacer l'observateur régional. La CPC concernée enverra tous les détails des mesures alternatives au Secrétariat. Le Secrétariat compilera et diffusera à la Commission toutes les informations reçues sur la mise en œuvre de ces procédures. Ces mesures alternatives et les actions entreprises seront examinées par le Comité d’application, lors de chaque réunion annuelle.</w:t>
      </w:r>
    </w:p>
    <w:p w14:paraId="4A886F0D" w14:textId="77777777" w:rsidR="00082853" w:rsidRPr="006C5E3E" w:rsidRDefault="00082853" w:rsidP="005C4D20">
      <w:pPr>
        <w:pStyle w:val="ListParagraph"/>
        <w:rPr>
          <w:rFonts w:asciiTheme="majorHAnsi" w:hAnsiTheme="majorHAnsi"/>
          <w:sz w:val="20"/>
          <w:szCs w:val="20"/>
        </w:rPr>
      </w:pPr>
    </w:p>
    <w:p w14:paraId="6F192448" w14:textId="36AE2A76"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Par dérogation au paragraphe 11, la mise à mort de chaque cage de stockage jusqu'à 1.000 kg par jour et jusqu’à un maximum de 50 tonnes par cage de stockage par année pour approvisionner le marché en thon rouge frais, pourrait être autorisée par la CPC pertinente à condition qu’un inspecteur autorisé de la CPC de la cage de stockage soit présent pendant 100% de ces mises à mort et contrôle l’intégralité de l'opération. L’inspecteur autorisé validera également les quantités mises à mort dans le système eBCD. Dans ce cas, la signature de l'observateur régional n’est pas requise dans la section de mise à mort de l'eBCD.</w:t>
      </w:r>
    </w:p>
    <w:p w14:paraId="2B533582" w14:textId="77777777" w:rsidR="00493ED5" w:rsidRPr="006C5E3E" w:rsidRDefault="00493ED5" w:rsidP="00493ED5">
      <w:pPr>
        <w:pStyle w:val="ListParagraph"/>
        <w:ind w:left="360" w:firstLine="0"/>
        <w:jc w:val="both"/>
        <w:rPr>
          <w:rFonts w:asciiTheme="majorHAnsi" w:hAnsiTheme="majorHAnsi"/>
          <w:sz w:val="20"/>
          <w:szCs w:val="20"/>
          <w:highlight w:val="yellow"/>
        </w:rPr>
      </w:pPr>
    </w:p>
    <w:p w14:paraId="3291C0D7" w14:textId="341F2ECD" w:rsidR="00082853" w:rsidRPr="00647BCC" w:rsidRDefault="00082853" w:rsidP="00493ED5">
      <w:pPr>
        <w:pStyle w:val="ListParagraph"/>
        <w:ind w:left="360" w:firstLine="0"/>
        <w:jc w:val="both"/>
        <w:rPr>
          <w:rFonts w:asciiTheme="majorHAnsi" w:hAnsiTheme="majorHAnsi"/>
          <w:sz w:val="20"/>
          <w:szCs w:val="20"/>
          <w:u w:val="single"/>
        </w:rPr>
      </w:pPr>
      <w:r w:rsidRPr="00647BCC">
        <w:rPr>
          <w:rFonts w:asciiTheme="majorHAnsi" w:hAnsiTheme="majorHAnsi"/>
          <w:sz w:val="20"/>
          <w:szCs w:val="20"/>
          <w:u w:val="single"/>
        </w:rPr>
        <w:t>Si le thon rouge a été marqué, une cage de stockage peut contenir du thon rouge provenant de plus d'un navire de capture.</w:t>
      </w:r>
    </w:p>
    <w:p w14:paraId="1C9FB420" w14:textId="77777777" w:rsidR="00082853" w:rsidRPr="006C5E3E" w:rsidRDefault="00082853" w:rsidP="005C4D20">
      <w:pPr>
        <w:pStyle w:val="ListParagraph"/>
        <w:ind w:left="360"/>
        <w:jc w:val="both"/>
        <w:rPr>
          <w:rFonts w:asciiTheme="majorHAnsi" w:hAnsiTheme="majorHAnsi"/>
          <w:sz w:val="20"/>
          <w:szCs w:val="20"/>
        </w:rPr>
      </w:pPr>
    </w:p>
    <w:p w14:paraId="35CDF60F" w14:textId="0708BEE9"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À l'arrivée de la cage de transport à proximité de la cage de stockage, l'autorité compétente de la CPC de la cage de stockage s'assurera que :</w:t>
      </w:r>
    </w:p>
    <w:p w14:paraId="39656D66" w14:textId="77777777" w:rsidR="00082853" w:rsidRPr="006C5E3E" w:rsidRDefault="00082853" w:rsidP="005C4D20">
      <w:pPr>
        <w:pStyle w:val="ListParagraph"/>
        <w:ind w:left="360"/>
        <w:jc w:val="both"/>
        <w:rPr>
          <w:rFonts w:asciiTheme="majorHAnsi" w:hAnsiTheme="majorHAnsi"/>
          <w:sz w:val="20"/>
          <w:szCs w:val="20"/>
        </w:rPr>
      </w:pPr>
    </w:p>
    <w:p w14:paraId="0322B4A1" w14:textId="2598451A" w:rsidR="00082853" w:rsidRPr="006C5E3E" w:rsidRDefault="00082853" w:rsidP="005C4D20">
      <w:pPr>
        <w:pStyle w:val="ListParagraph"/>
        <w:widowControl/>
        <w:numPr>
          <w:ilvl w:val="0"/>
          <w:numId w:val="5"/>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si</w:t>
      </w:r>
      <w:proofErr w:type="gramEnd"/>
      <w:r w:rsidRPr="006C5E3E">
        <w:rPr>
          <w:rFonts w:asciiTheme="majorHAnsi" w:hAnsiTheme="majorHAnsi"/>
          <w:sz w:val="20"/>
          <w:szCs w:val="20"/>
        </w:rPr>
        <w:t xml:space="preserve"> un observateur régional n'est pas à bord du navire de capture concerné, le navire devrait se maintenir à une distance minimale de 1 mille nautique de toute installation jusqu'à ce que l'autorité compétente de la CPC de la cage de stockage soit physiquement présente ; et</w:t>
      </w:r>
    </w:p>
    <w:p w14:paraId="65783E68" w14:textId="77777777" w:rsidR="00082853" w:rsidRPr="006C5E3E" w:rsidRDefault="00082853" w:rsidP="005C4D20">
      <w:pPr>
        <w:pStyle w:val="ListParagraph"/>
        <w:jc w:val="both"/>
        <w:rPr>
          <w:rFonts w:asciiTheme="majorHAnsi" w:hAnsiTheme="majorHAnsi"/>
          <w:sz w:val="20"/>
          <w:szCs w:val="20"/>
        </w:rPr>
      </w:pPr>
    </w:p>
    <w:p w14:paraId="50FF0548" w14:textId="554DFD43" w:rsidR="00082853" w:rsidRPr="006C5E3E" w:rsidRDefault="00082853" w:rsidP="005C4D20">
      <w:pPr>
        <w:pStyle w:val="ListParagraph"/>
        <w:widowControl/>
        <w:numPr>
          <w:ilvl w:val="0"/>
          <w:numId w:val="5"/>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la</w:t>
      </w:r>
      <w:proofErr w:type="gramEnd"/>
      <w:r w:rsidRPr="006C5E3E">
        <w:rPr>
          <w:rFonts w:asciiTheme="majorHAnsi" w:hAnsiTheme="majorHAnsi"/>
          <w:sz w:val="20"/>
          <w:szCs w:val="20"/>
        </w:rPr>
        <w:t xml:space="preserve"> position et l'activité d</w:t>
      </w:r>
      <w:r w:rsidR="00544BEC" w:rsidRPr="00544BEC">
        <w:rPr>
          <w:rFonts w:asciiTheme="majorHAnsi" w:hAnsiTheme="majorHAnsi"/>
          <w:sz w:val="20"/>
          <w:szCs w:val="20"/>
          <w:u w:val="single"/>
        </w:rPr>
        <w:t>u</w:t>
      </w:r>
      <w:r w:rsidRPr="006C5E3E">
        <w:rPr>
          <w:rFonts w:asciiTheme="majorHAnsi" w:hAnsiTheme="majorHAnsi"/>
          <w:sz w:val="20"/>
          <w:szCs w:val="20"/>
        </w:rPr>
        <w:t xml:space="preserve"> remorqueu</w:t>
      </w:r>
      <w:r w:rsidRPr="00544BEC">
        <w:rPr>
          <w:rFonts w:asciiTheme="majorHAnsi" w:hAnsiTheme="majorHAnsi"/>
          <w:sz w:val="20"/>
          <w:szCs w:val="20"/>
          <w:u w:val="single"/>
        </w:rPr>
        <w:t>r</w:t>
      </w:r>
      <w:r w:rsidRPr="006C5E3E">
        <w:rPr>
          <w:rFonts w:asciiTheme="majorHAnsi" w:hAnsiTheme="majorHAnsi"/>
          <w:sz w:val="20"/>
          <w:szCs w:val="20"/>
        </w:rPr>
        <w:t xml:space="preserve"> concern</w:t>
      </w:r>
      <w:r w:rsidRPr="00544BEC">
        <w:rPr>
          <w:rFonts w:asciiTheme="majorHAnsi" w:hAnsiTheme="majorHAnsi"/>
          <w:sz w:val="20"/>
          <w:szCs w:val="20"/>
          <w:u w:val="single"/>
        </w:rPr>
        <w:t>é</w:t>
      </w:r>
      <w:r w:rsidRPr="006C5E3E">
        <w:rPr>
          <w:rFonts w:asciiTheme="majorHAnsi" w:hAnsiTheme="majorHAnsi"/>
          <w:sz w:val="20"/>
          <w:szCs w:val="20"/>
        </w:rPr>
        <w:t xml:space="preserve"> sont surveillées à tout moment. </w:t>
      </w:r>
    </w:p>
    <w:p w14:paraId="627A8268" w14:textId="77777777" w:rsidR="00082853" w:rsidRPr="006C5E3E" w:rsidRDefault="00082853" w:rsidP="005C4D20">
      <w:pPr>
        <w:jc w:val="both"/>
        <w:rPr>
          <w:rFonts w:asciiTheme="majorHAnsi" w:hAnsiTheme="majorHAnsi"/>
          <w:sz w:val="20"/>
          <w:szCs w:val="20"/>
        </w:rPr>
      </w:pPr>
    </w:p>
    <w:p w14:paraId="10E9B52A" w14:textId="77777777" w:rsidR="00082853" w:rsidRPr="006C5E3E" w:rsidRDefault="00082853" w:rsidP="005C4D20">
      <w:pPr>
        <w:pStyle w:val="ListParagraph"/>
        <w:widowControl/>
        <w:numPr>
          <w:ilvl w:val="0"/>
          <w:numId w:val="5"/>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Aucune opération de mise en cage ne commencera : </w:t>
      </w:r>
    </w:p>
    <w:p w14:paraId="70D7B684" w14:textId="77777777" w:rsidR="00082853" w:rsidRPr="006C5E3E" w:rsidRDefault="00082853" w:rsidP="005C4D20">
      <w:pPr>
        <w:pStyle w:val="ListParagraph"/>
        <w:jc w:val="both"/>
        <w:rPr>
          <w:rFonts w:asciiTheme="majorHAnsi" w:hAnsiTheme="majorHAnsi"/>
          <w:sz w:val="20"/>
          <w:szCs w:val="20"/>
        </w:rPr>
      </w:pPr>
    </w:p>
    <w:p w14:paraId="1E81D0E1" w14:textId="4BCF3876"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avant</w:t>
      </w:r>
      <w:proofErr w:type="gramEnd"/>
      <w:r w:rsidRPr="006C5E3E">
        <w:rPr>
          <w:rFonts w:asciiTheme="majorHAnsi" w:hAnsiTheme="majorHAnsi"/>
          <w:sz w:val="20"/>
          <w:szCs w:val="20"/>
        </w:rPr>
        <w:t xml:space="preserve"> d'avoir été dûment autorisée par l'autorité compétente de la CPC de la cage de stockage ;</w:t>
      </w:r>
    </w:p>
    <w:p w14:paraId="75370301" w14:textId="77777777" w:rsidR="00082853" w:rsidRPr="006C5E3E" w:rsidRDefault="00082853" w:rsidP="005C4D20">
      <w:pPr>
        <w:ind w:left="360"/>
        <w:jc w:val="both"/>
        <w:rPr>
          <w:rFonts w:asciiTheme="majorHAnsi" w:hAnsiTheme="majorHAnsi"/>
          <w:sz w:val="20"/>
          <w:szCs w:val="20"/>
        </w:rPr>
      </w:pPr>
    </w:p>
    <w:p w14:paraId="5A7B3133" w14:textId="77777777"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sans</w:t>
      </w:r>
      <w:proofErr w:type="gramEnd"/>
      <w:r w:rsidRPr="006C5E3E">
        <w:rPr>
          <w:rFonts w:asciiTheme="majorHAnsi" w:hAnsiTheme="majorHAnsi"/>
          <w:sz w:val="20"/>
          <w:szCs w:val="20"/>
        </w:rPr>
        <w:t xml:space="preserve"> la présence de l'autorité compétente de la CPC de la cage de stockage et de l'observateur régional de l’ICCAT ; </w:t>
      </w:r>
    </w:p>
    <w:p w14:paraId="431B6AD6" w14:textId="77777777" w:rsidR="00082853" w:rsidRPr="006C5E3E" w:rsidRDefault="00082853" w:rsidP="005C4D20">
      <w:pPr>
        <w:jc w:val="both"/>
        <w:rPr>
          <w:rFonts w:asciiTheme="majorHAnsi" w:hAnsiTheme="majorHAnsi"/>
          <w:sz w:val="20"/>
          <w:szCs w:val="20"/>
        </w:rPr>
      </w:pPr>
    </w:p>
    <w:p w14:paraId="0DDE7082" w14:textId="67B5E7BF" w:rsidR="00082853" w:rsidRPr="006C5E3E" w:rsidRDefault="00082853" w:rsidP="005C4D20">
      <w:pPr>
        <w:pStyle w:val="ListParagraph"/>
        <w:widowControl/>
        <w:numPr>
          <w:ilvl w:val="0"/>
          <w:numId w:val="3"/>
        </w:numPr>
        <w:autoSpaceDE/>
        <w:autoSpaceDN/>
        <w:contextualSpacing/>
        <w:jc w:val="both"/>
        <w:rPr>
          <w:rFonts w:asciiTheme="majorHAnsi" w:hAnsiTheme="majorHAnsi"/>
          <w:sz w:val="20"/>
          <w:szCs w:val="20"/>
        </w:rPr>
      </w:pPr>
      <w:proofErr w:type="gramStart"/>
      <w:r w:rsidRPr="006C5E3E">
        <w:rPr>
          <w:rFonts w:asciiTheme="majorHAnsi" w:hAnsiTheme="majorHAnsi"/>
          <w:sz w:val="20"/>
          <w:szCs w:val="20"/>
        </w:rPr>
        <w:t>avant</w:t>
      </w:r>
      <w:proofErr w:type="gramEnd"/>
      <w:r w:rsidRPr="006C5E3E">
        <w:rPr>
          <w:rFonts w:asciiTheme="majorHAnsi" w:hAnsiTheme="majorHAnsi"/>
          <w:sz w:val="20"/>
          <w:szCs w:val="20"/>
        </w:rPr>
        <w:t xml:space="preserve"> que les sections de capture et de commerce de spécimens vivants de l'eBCD n'aient été complétées et validées par la ou les autorités compétentes de la CPC du pavillon de capture ou de la cage de stockage.</w:t>
      </w:r>
    </w:p>
    <w:p w14:paraId="298ED9C2" w14:textId="77777777" w:rsidR="00082853" w:rsidRPr="006C5E3E" w:rsidRDefault="00082853" w:rsidP="005C4D20">
      <w:pPr>
        <w:jc w:val="both"/>
        <w:rPr>
          <w:rFonts w:asciiTheme="majorHAnsi" w:hAnsiTheme="majorHAnsi"/>
          <w:sz w:val="20"/>
          <w:szCs w:val="20"/>
        </w:rPr>
      </w:pPr>
    </w:p>
    <w:p w14:paraId="6844B999" w14:textId="48888545"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 xml:space="preserve">Après le transfert du thon rouge de la cage de remorquage à la cage de stockage, l’autorité de contrôle de la CPC de la cage de stockage veillera à ce que les cages de stockage contenant du thon rouge soient scellées à tout moment, en suivant la procédure des opérations de scellement stipulée à l'annexe 14 de </w:t>
      </w:r>
      <w:r w:rsidRPr="006C5E3E">
        <w:rPr>
          <w:rFonts w:asciiTheme="majorHAnsi" w:hAnsiTheme="majorHAnsi"/>
          <w:sz w:val="20"/>
          <w:szCs w:val="20"/>
        </w:rPr>
        <w:lastRenderedPageBreak/>
        <w:t xml:space="preserve">la </w:t>
      </w:r>
      <w:r w:rsidRPr="006C5E3E">
        <w:rPr>
          <w:rFonts w:asciiTheme="majorHAnsi" w:hAnsiTheme="majorHAnsi"/>
          <w:sz w:val="20"/>
          <w:szCs w:val="20"/>
          <w:u w:val="single"/>
        </w:rPr>
        <w:t>Rec. 24-05.</w:t>
      </w:r>
      <w:r w:rsidRPr="006C5E3E">
        <w:rPr>
          <w:rFonts w:asciiTheme="majorHAnsi" w:hAnsiTheme="majorHAnsi"/>
          <w:sz w:val="20"/>
          <w:szCs w:val="20"/>
        </w:rPr>
        <w:t xml:space="preserve"> La levée des scellés ne sera possible qu'en présence de l'autorité compétente de la CPC de la cage de stockage et après son autorisation. L'autorité de contrôle de la CPC de la cage de stockage devra établir des protocoles pour le scellement des cages de stockage, en garantissant l'utilisation de scellés officiels et en veillant à ce que ces scellés soient placés de manière à empêcher l'ouverture des portes sans que les scellés ne soient brisés.</w:t>
      </w:r>
    </w:p>
    <w:p w14:paraId="2F90FF6B" w14:textId="77777777" w:rsidR="00082853" w:rsidRPr="006C5E3E" w:rsidRDefault="00082853" w:rsidP="005C4D20">
      <w:pPr>
        <w:pStyle w:val="ListParagraph"/>
        <w:ind w:left="360"/>
        <w:jc w:val="both"/>
        <w:rPr>
          <w:rFonts w:asciiTheme="majorHAnsi" w:hAnsiTheme="majorHAnsi"/>
          <w:sz w:val="20"/>
          <w:szCs w:val="20"/>
        </w:rPr>
      </w:pPr>
      <w:r w:rsidRPr="006C5E3E">
        <w:rPr>
          <w:rFonts w:asciiTheme="majorHAnsi" w:hAnsiTheme="majorHAnsi"/>
          <w:sz w:val="20"/>
          <w:szCs w:val="20"/>
        </w:rPr>
        <w:t xml:space="preserve"> </w:t>
      </w:r>
    </w:p>
    <w:p w14:paraId="68A387BB" w14:textId="5168AA2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L’autorité compétente de la CPC réalisant le stockage de courte durée de spécimens vivants effectuera des contrôles aléatoires dans les cages de stockage relevant de sa juridiction (Rec</w:t>
      </w:r>
      <w:r w:rsidRPr="006C5E3E">
        <w:rPr>
          <w:rFonts w:asciiTheme="majorHAnsi" w:hAnsiTheme="majorHAnsi"/>
          <w:sz w:val="20"/>
          <w:szCs w:val="20"/>
          <w:u w:val="single"/>
        </w:rPr>
        <w:t>. 24-05</w:t>
      </w:r>
      <w:r w:rsidRPr="006C5E3E">
        <w:rPr>
          <w:rFonts w:asciiTheme="majorHAnsi" w:hAnsiTheme="majorHAnsi"/>
          <w:sz w:val="20"/>
          <w:szCs w:val="20"/>
        </w:rPr>
        <w:t xml:space="preserve">, paragraphes 211-218). La CPC décrira les mesures relatives aux contrôles aléatoires dans son plan annuel de pêche (Rec. </w:t>
      </w:r>
      <w:r w:rsidRPr="006C5E3E">
        <w:rPr>
          <w:rFonts w:asciiTheme="majorHAnsi" w:hAnsiTheme="majorHAnsi"/>
          <w:sz w:val="20"/>
          <w:szCs w:val="20"/>
          <w:u w:val="single"/>
        </w:rPr>
        <w:t>24-05,</w:t>
      </w:r>
      <w:r w:rsidRPr="006C5E3E">
        <w:rPr>
          <w:rFonts w:asciiTheme="majorHAnsi" w:hAnsiTheme="majorHAnsi"/>
          <w:sz w:val="20"/>
          <w:szCs w:val="20"/>
        </w:rPr>
        <w:t xml:space="preserve"> paragraphe 12).</w:t>
      </w:r>
    </w:p>
    <w:p w14:paraId="649B054C" w14:textId="77777777" w:rsidR="00082853" w:rsidRPr="006C5E3E" w:rsidRDefault="00082853" w:rsidP="005C4D20">
      <w:pPr>
        <w:jc w:val="both"/>
        <w:rPr>
          <w:rFonts w:asciiTheme="majorHAnsi" w:hAnsiTheme="majorHAnsi"/>
          <w:sz w:val="20"/>
          <w:szCs w:val="20"/>
        </w:rPr>
      </w:pPr>
    </w:p>
    <w:p w14:paraId="2A2711D2" w14:textId="7777777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Chaque opération de transfert, de mise en cage et de mise à mort sera enregistrée dans le système eBCD afin de garantir une traçabilité appropriée.</w:t>
      </w:r>
    </w:p>
    <w:p w14:paraId="37E37DA1" w14:textId="77777777" w:rsidR="00082853" w:rsidRPr="006C5E3E" w:rsidRDefault="00082853" w:rsidP="005C4D20">
      <w:pPr>
        <w:pStyle w:val="ListParagraph"/>
        <w:rPr>
          <w:rFonts w:asciiTheme="majorHAnsi" w:hAnsiTheme="majorHAnsi"/>
          <w:sz w:val="20"/>
          <w:szCs w:val="20"/>
        </w:rPr>
      </w:pPr>
    </w:p>
    <w:p w14:paraId="2D576940" w14:textId="7777777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Nonobstant ce qui précède, tous les navires utilisés pour le transport de thon rouge vivant, quelle que soit leur longueur, devront installer et utiliser un VMS, conformément à la Rec. 18-10, et transmettre des messages au moins une fois par heure.</w:t>
      </w:r>
    </w:p>
    <w:p w14:paraId="0D6D74F9" w14:textId="77777777" w:rsidR="00082853" w:rsidRPr="006C5E3E" w:rsidRDefault="00082853" w:rsidP="005C4D20">
      <w:pPr>
        <w:pStyle w:val="ListParagraph"/>
        <w:rPr>
          <w:rFonts w:asciiTheme="majorHAnsi" w:hAnsiTheme="majorHAnsi"/>
          <w:sz w:val="20"/>
          <w:szCs w:val="20"/>
        </w:rPr>
      </w:pPr>
      <w:bookmarkStart w:id="3" w:name="_Hlk120540373"/>
    </w:p>
    <w:p w14:paraId="3B2D3B31" w14:textId="77777777" w:rsidR="00082853" w:rsidRPr="006C5E3E" w:rsidRDefault="00082853" w:rsidP="005C4D20">
      <w:pPr>
        <w:jc w:val="both"/>
        <w:rPr>
          <w:rFonts w:asciiTheme="majorHAnsi" w:hAnsiTheme="majorHAnsi"/>
          <w:b/>
          <w:sz w:val="20"/>
          <w:szCs w:val="20"/>
        </w:rPr>
      </w:pPr>
      <w:r w:rsidRPr="006C5E3E">
        <w:rPr>
          <w:rFonts w:asciiTheme="majorHAnsi" w:hAnsiTheme="majorHAnsi"/>
          <w:b/>
          <w:sz w:val="20"/>
          <w:szCs w:val="20"/>
        </w:rPr>
        <w:t>Poissons morts et mourants</w:t>
      </w:r>
    </w:p>
    <w:p w14:paraId="51448C42" w14:textId="77777777" w:rsidR="00082853" w:rsidRPr="006C5E3E" w:rsidRDefault="00082853" w:rsidP="005C4D20">
      <w:pPr>
        <w:jc w:val="both"/>
        <w:rPr>
          <w:rFonts w:asciiTheme="majorHAnsi" w:hAnsiTheme="majorHAnsi"/>
          <w:sz w:val="20"/>
          <w:szCs w:val="20"/>
        </w:rPr>
      </w:pPr>
    </w:p>
    <w:p w14:paraId="4DC5A86D" w14:textId="375479C7"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Pendant les opérations de transfert et de mise en cage, et pendant la période où le thon rouge est stocké dans les cages de stockage, les poissons malades, blessés, morts et mourants seront retirés et ceux qui ne sont pas encore morts seront mis à mort. Ces poissons seront saisis dans le système eBCD et peuvent être commercialisés.</w:t>
      </w:r>
    </w:p>
    <w:p w14:paraId="32DB3F61" w14:textId="77777777" w:rsidR="00082853" w:rsidRPr="006C5E3E" w:rsidRDefault="00082853" w:rsidP="005C4D20">
      <w:pPr>
        <w:jc w:val="both"/>
        <w:rPr>
          <w:rFonts w:asciiTheme="majorHAnsi" w:hAnsiTheme="majorHAnsi"/>
          <w:sz w:val="20"/>
          <w:szCs w:val="20"/>
        </w:rPr>
      </w:pPr>
    </w:p>
    <w:p w14:paraId="201B47A7" w14:textId="77777777" w:rsidR="00082853" w:rsidRPr="006C5E3E" w:rsidRDefault="00082853" w:rsidP="005C4D20">
      <w:pPr>
        <w:jc w:val="both"/>
        <w:rPr>
          <w:rFonts w:asciiTheme="majorHAnsi" w:hAnsiTheme="majorHAnsi"/>
          <w:b/>
          <w:sz w:val="20"/>
          <w:szCs w:val="20"/>
        </w:rPr>
      </w:pPr>
      <w:r w:rsidRPr="006C5E3E">
        <w:rPr>
          <w:rFonts w:asciiTheme="majorHAnsi" w:hAnsiTheme="majorHAnsi"/>
          <w:b/>
          <w:sz w:val="20"/>
          <w:szCs w:val="20"/>
        </w:rPr>
        <w:t xml:space="preserve">Exécution </w:t>
      </w:r>
    </w:p>
    <w:p w14:paraId="51989C39" w14:textId="77777777" w:rsidR="00082853" w:rsidRPr="006C5E3E" w:rsidRDefault="00082853" w:rsidP="005C4D20">
      <w:pPr>
        <w:jc w:val="both"/>
        <w:rPr>
          <w:rFonts w:asciiTheme="majorHAnsi" w:hAnsiTheme="majorHAnsi"/>
          <w:sz w:val="20"/>
          <w:szCs w:val="20"/>
        </w:rPr>
      </w:pPr>
    </w:p>
    <w:p w14:paraId="66AE0647" w14:textId="4B545DAB"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r w:rsidRPr="006C5E3E">
        <w:rPr>
          <w:rFonts w:asciiTheme="majorHAnsi" w:hAnsiTheme="majorHAnsi"/>
          <w:sz w:val="20"/>
          <w:szCs w:val="20"/>
        </w:rPr>
        <w:t>Les CPC prendront les mesures d'exécution appropriées à l'égard du capitaine du navire de capture ou de son représentant, ou du représentant de la cage de stockage, lorsqu'il a été établi, conformément à sa législation, que le navire de pêche ou la cage de stockage battant son pavillon ne respecte pas les dispositions d</w:t>
      </w:r>
      <w:r w:rsidR="008421B3">
        <w:rPr>
          <w:rFonts w:asciiTheme="majorHAnsi" w:hAnsiTheme="majorHAnsi"/>
          <w:sz w:val="20"/>
          <w:szCs w:val="20"/>
        </w:rPr>
        <w:t>u</w:t>
      </w:r>
      <w:r w:rsidRPr="006C5E3E">
        <w:rPr>
          <w:rFonts w:asciiTheme="majorHAnsi" w:hAnsiTheme="majorHAnsi"/>
          <w:sz w:val="20"/>
          <w:szCs w:val="20"/>
        </w:rPr>
        <w:t xml:space="preserve"> présent </w:t>
      </w:r>
      <w:r w:rsidRPr="006C5E3E">
        <w:rPr>
          <w:rFonts w:asciiTheme="majorHAnsi" w:hAnsiTheme="majorHAnsi"/>
          <w:sz w:val="20"/>
          <w:szCs w:val="20"/>
          <w:u w:val="single"/>
        </w:rPr>
        <w:t>appendice</w:t>
      </w:r>
      <w:r w:rsidRPr="006C5E3E">
        <w:rPr>
          <w:rFonts w:asciiTheme="majorHAnsi" w:hAnsiTheme="majorHAnsi"/>
          <w:sz w:val="20"/>
          <w:szCs w:val="20"/>
        </w:rPr>
        <w:t>.</w:t>
      </w:r>
    </w:p>
    <w:bookmarkEnd w:id="3"/>
    <w:p w14:paraId="3D33CE40" w14:textId="77777777" w:rsidR="00082853" w:rsidRPr="006C5E3E" w:rsidRDefault="00082853" w:rsidP="005C4D20">
      <w:pPr>
        <w:pStyle w:val="ListParagraph"/>
        <w:ind w:left="360"/>
        <w:jc w:val="both"/>
        <w:rPr>
          <w:rFonts w:asciiTheme="majorHAnsi" w:hAnsiTheme="majorHAnsi"/>
          <w:sz w:val="20"/>
          <w:szCs w:val="20"/>
        </w:rPr>
      </w:pPr>
    </w:p>
    <w:p w14:paraId="077C3BC7" w14:textId="653C4418" w:rsidR="00082853" w:rsidRPr="006C5E3E" w:rsidRDefault="00082853" w:rsidP="005C4D20">
      <w:pPr>
        <w:pStyle w:val="ListParagraph"/>
        <w:widowControl/>
        <w:numPr>
          <w:ilvl w:val="0"/>
          <w:numId w:val="4"/>
        </w:numPr>
        <w:autoSpaceDE/>
        <w:autoSpaceDN/>
        <w:contextualSpacing/>
        <w:jc w:val="both"/>
        <w:rPr>
          <w:rFonts w:asciiTheme="majorHAnsi" w:hAnsiTheme="majorHAnsi"/>
          <w:sz w:val="20"/>
          <w:szCs w:val="20"/>
        </w:rPr>
      </w:pPr>
      <w:bookmarkStart w:id="4" w:name="_Hlk120540351"/>
      <w:r w:rsidRPr="006C5E3E">
        <w:rPr>
          <w:rFonts w:asciiTheme="majorHAnsi" w:hAnsiTheme="majorHAnsi"/>
          <w:sz w:val="20"/>
          <w:szCs w:val="20"/>
        </w:rPr>
        <w:t>Les mesures seront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seront également susceptibles de produire des résultats proportionnels à la gravité de cette infraction, décourageant ainsi efficacement d'autres infractions de même nature.</w:t>
      </w:r>
    </w:p>
    <w:bookmarkEnd w:id="4"/>
    <w:p w14:paraId="440E028E" w14:textId="77777777" w:rsidR="00082853" w:rsidRPr="006C5E3E" w:rsidRDefault="00082853" w:rsidP="005C4D20">
      <w:pPr>
        <w:pStyle w:val="ListParagraph"/>
        <w:rPr>
          <w:rFonts w:asciiTheme="majorHAnsi" w:hAnsiTheme="majorHAnsi"/>
          <w:sz w:val="20"/>
          <w:szCs w:val="20"/>
        </w:rPr>
      </w:pPr>
    </w:p>
    <w:p w14:paraId="6884E371" w14:textId="77777777" w:rsidR="00082853" w:rsidRPr="006C5E3E" w:rsidRDefault="00082853" w:rsidP="005C4D20">
      <w:pPr>
        <w:pStyle w:val="ListParagraph"/>
        <w:ind w:left="360"/>
        <w:jc w:val="both"/>
        <w:rPr>
          <w:rFonts w:asciiTheme="majorHAnsi" w:hAnsiTheme="majorHAnsi"/>
          <w:sz w:val="20"/>
          <w:szCs w:val="20"/>
        </w:rPr>
      </w:pPr>
    </w:p>
    <w:p w14:paraId="3B419121" w14:textId="77777777" w:rsidR="00493ED5" w:rsidRPr="006C5E3E" w:rsidRDefault="00493ED5">
      <w:pPr>
        <w:rPr>
          <w:rFonts w:asciiTheme="majorHAnsi" w:eastAsiaTheme="minorHAnsi" w:hAnsiTheme="majorHAnsi"/>
          <w:b/>
          <w:color w:val="000000"/>
          <w:sz w:val="20"/>
          <w:szCs w:val="20"/>
        </w:rPr>
      </w:pPr>
      <w:r w:rsidRPr="006C5E3E">
        <w:rPr>
          <w:rFonts w:asciiTheme="majorHAnsi" w:hAnsiTheme="majorHAnsi"/>
          <w:sz w:val="20"/>
          <w:szCs w:val="20"/>
        </w:rPr>
        <w:br w:type="page"/>
      </w:r>
    </w:p>
    <w:p w14:paraId="3E6AFA4C" w14:textId="32387732" w:rsidR="00082853" w:rsidRPr="006C5E3E" w:rsidRDefault="00082853" w:rsidP="005C4D20">
      <w:pPr>
        <w:pStyle w:val="Default"/>
        <w:ind w:left="720"/>
        <w:jc w:val="right"/>
        <w:rPr>
          <w:rFonts w:asciiTheme="majorHAnsi" w:hAnsiTheme="majorHAnsi"/>
          <w:b/>
          <w:sz w:val="20"/>
          <w:szCs w:val="20"/>
        </w:rPr>
      </w:pPr>
      <w:r w:rsidRPr="006C5E3E">
        <w:rPr>
          <w:rFonts w:asciiTheme="majorHAnsi" w:hAnsiTheme="majorHAnsi"/>
          <w:b/>
          <w:sz w:val="20"/>
          <w:szCs w:val="20"/>
        </w:rPr>
        <w:lastRenderedPageBreak/>
        <w:t>Appendice 2</w:t>
      </w:r>
    </w:p>
    <w:p w14:paraId="29110376" w14:textId="77777777" w:rsidR="00082853" w:rsidRPr="006C5E3E" w:rsidRDefault="00082853" w:rsidP="005C4D20">
      <w:pPr>
        <w:pStyle w:val="Default"/>
        <w:ind w:left="720"/>
        <w:jc w:val="right"/>
        <w:rPr>
          <w:rFonts w:asciiTheme="majorHAnsi" w:hAnsiTheme="majorHAnsi"/>
          <w:b/>
          <w:sz w:val="20"/>
          <w:szCs w:val="20"/>
        </w:rPr>
      </w:pPr>
    </w:p>
    <w:p w14:paraId="33B75E65" w14:textId="77777777" w:rsidR="00493ED5" w:rsidRPr="006C5E3E" w:rsidRDefault="00082853" w:rsidP="005C4D20">
      <w:pPr>
        <w:pStyle w:val="Default"/>
        <w:ind w:left="720"/>
        <w:jc w:val="center"/>
        <w:rPr>
          <w:rFonts w:asciiTheme="majorHAnsi" w:hAnsiTheme="majorHAnsi"/>
          <w:b/>
          <w:sz w:val="20"/>
          <w:szCs w:val="20"/>
        </w:rPr>
      </w:pPr>
      <w:r w:rsidRPr="006C5E3E">
        <w:rPr>
          <w:rFonts w:asciiTheme="majorHAnsi" w:hAnsiTheme="majorHAnsi"/>
          <w:b/>
          <w:sz w:val="20"/>
          <w:szCs w:val="20"/>
        </w:rPr>
        <w:t xml:space="preserve">Normes minimales concernant les procédures d'enregistrement vidéo applicables aux  </w:t>
      </w:r>
    </w:p>
    <w:p w14:paraId="0CBE9525" w14:textId="5D698244" w:rsidR="00082853" w:rsidRPr="006C5E3E" w:rsidRDefault="00082853" w:rsidP="005C4D20">
      <w:pPr>
        <w:pStyle w:val="Default"/>
        <w:ind w:left="720"/>
        <w:jc w:val="center"/>
        <w:rPr>
          <w:rFonts w:asciiTheme="majorHAnsi" w:hAnsiTheme="majorHAnsi"/>
          <w:b/>
          <w:sz w:val="20"/>
          <w:szCs w:val="20"/>
        </w:rPr>
      </w:pPr>
      <w:proofErr w:type="gramStart"/>
      <w:r w:rsidRPr="006C5E3E">
        <w:rPr>
          <w:rFonts w:asciiTheme="majorHAnsi" w:hAnsiTheme="majorHAnsi"/>
          <w:b/>
          <w:sz w:val="20"/>
          <w:szCs w:val="20"/>
        </w:rPr>
        <w:t>opérations</w:t>
      </w:r>
      <w:proofErr w:type="gramEnd"/>
      <w:r w:rsidRPr="006C5E3E">
        <w:rPr>
          <w:rFonts w:asciiTheme="majorHAnsi" w:hAnsiTheme="majorHAnsi"/>
          <w:b/>
          <w:sz w:val="20"/>
          <w:szCs w:val="20"/>
        </w:rPr>
        <w:t xml:space="preserve"> de transfert, de mise en cage et/ou de libération</w:t>
      </w:r>
    </w:p>
    <w:p w14:paraId="066C66AA" w14:textId="77777777" w:rsidR="00082853" w:rsidRPr="006C5E3E" w:rsidRDefault="00082853" w:rsidP="005C4D20">
      <w:pPr>
        <w:pStyle w:val="Default"/>
        <w:ind w:left="720"/>
        <w:jc w:val="center"/>
        <w:rPr>
          <w:rFonts w:asciiTheme="majorHAnsi" w:hAnsiTheme="majorHAnsi"/>
          <w:sz w:val="20"/>
          <w:szCs w:val="20"/>
        </w:rPr>
      </w:pPr>
    </w:p>
    <w:p w14:paraId="07AB4068" w14:textId="77777777" w:rsidR="00082853" w:rsidRPr="006C5E3E" w:rsidRDefault="00082853" w:rsidP="005C4D20">
      <w:pPr>
        <w:pStyle w:val="Default"/>
        <w:numPr>
          <w:ilvl w:val="2"/>
          <w:numId w:val="1"/>
        </w:numPr>
        <w:rPr>
          <w:rFonts w:asciiTheme="majorHAnsi" w:hAnsiTheme="majorHAnsi"/>
          <w:sz w:val="20"/>
          <w:szCs w:val="20"/>
        </w:rPr>
      </w:pPr>
      <w:r w:rsidRPr="006C5E3E">
        <w:rPr>
          <w:rFonts w:asciiTheme="majorHAnsi" w:hAnsiTheme="majorHAnsi"/>
          <w:sz w:val="20"/>
          <w:szCs w:val="20"/>
        </w:rPr>
        <w:t>Chaque CPC de la cage de stockage concernée devrait s'assurer que les procédures suivantes s'appliquent à tous les enregistrements vidéo des opérations de transfert, de mise en cage et/ou de libération visées dans la présente Résolution :</w:t>
      </w:r>
    </w:p>
    <w:p w14:paraId="4FD2958B" w14:textId="77777777" w:rsidR="00082853" w:rsidRPr="006C5E3E" w:rsidRDefault="00082853" w:rsidP="005C4D20">
      <w:pPr>
        <w:pStyle w:val="Default"/>
        <w:ind w:left="360"/>
        <w:rPr>
          <w:rFonts w:asciiTheme="majorHAnsi" w:hAnsiTheme="majorHAnsi"/>
          <w:sz w:val="20"/>
          <w:szCs w:val="20"/>
        </w:rPr>
      </w:pPr>
    </w:p>
    <w:p w14:paraId="5CBFE570"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Le numéro ICCAT de l’autorisation de transfert ou de mise en cage ou de l’ordre de libération devrait être affiché au début et/ou à la fin de chaque vidéo, selon ce qui est demandé ;</w:t>
      </w:r>
    </w:p>
    <w:p w14:paraId="48D1E1C3" w14:textId="77777777" w:rsidR="00082853" w:rsidRPr="006C5E3E" w:rsidRDefault="00082853" w:rsidP="00493ED5">
      <w:pPr>
        <w:pStyle w:val="Default"/>
        <w:ind w:left="720"/>
        <w:jc w:val="both"/>
        <w:rPr>
          <w:rFonts w:asciiTheme="majorHAnsi" w:hAnsiTheme="majorHAnsi"/>
          <w:sz w:val="20"/>
          <w:szCs w:val="20"/>
        </w:rPr>
      </w:pPr>
    </w:p>
    <w:p w14:paraId="36CEDB25"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 xml:space="preserve">L’heure et la date de la vidéo devraient être affichées de manière continue dans tous les enregistrements vidéo ; </w:t>
      </w:r>
    </w:p>
    <w:p w14:paraId="38B9E419" w14:textId="77777777" w:rsidR="00082853" w:rsidRPr="006C5E3E" w:rsidRDefault="00082853" w:rsidP="00493ED5">
      <w:pPr>
        <w:pStyle w:val="Default"/>
        <w:jc w:val="both"/>
        <w:rPr>
          <w:rFonts w:asciiTheme="majorHAnsi" w:hAnsiTheme="majorHAnsi"/>
          <w:sz w:val="20"/>
          <w:szCs w:val="20"/>
        </w:rPr>
      </w:pPr>
    </w:p>
    <w:p w14:paraId="4E705BC3"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 xml:space="preserve">L’enregistrement vidéo devrait être continu, sans interruption ni coupure, et couvrir toute l’opération de transfert, de mise en cage et/ou de libération ; </w:t>
      </w:r>
    </w:p>
    <w:p w14:paraId="477D2906" w14:textId="77777777" w:rsidR="00082853" w:rsidRPr="006C5E3E" w:rsidRDefault="00082853" w:rsidP="00493ED5">
      <w:pPr>
        <w:pStyle w:val="Default"/>
        <w:jc w:val="both"/>
        <w:rPr>
          <w:rFonts w:asciiTheme="majorHAnsi" w:hAnsiTheme="majorHAnsi"/>
          <w:sz w:val="20"/>
          <w:szCs w:val="20"/>
        </w:rPr>
      </w:pPr>
    </w:p>
    <w:p w14:paraId="279B9536"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donatrices contiennent déjà du thon rouge ; </w:t>
      </w:r>
    </w:p>
    <w:p w14:paraId="16B7FDC7" w14:textId="77777777" w:rsidR="00082853" w:rsidRPr="006C5E3E" w:rsidRDefault="00082853" w:rsidP="00493ED5">
      <w:pPr>
        <w:pStyle w:val="Default"/>
        <w:jc w:val="both"/>
        <w:rPr>
          <w:rFonts w:asciiTheme="majorHAnsi" w:hAnsiTheme="majorHAnsi"/>
          <w:sz w:val="20"/>
          <w:szCs w:val="20"/>
        </w:rPr>
      </w:pPr>
    </w:p>
    <w:p w14:paraId="2B8F87DF"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 xml:space="preserve">L'enregistrement vidéo devrait être de qualité suffisante pour déterminer le nombre et, le cas échéant, le poids des thons rouges transférés, mis en cage et/ou libérés ; </w:t>
      </w:r>
    </w:p>
    <w:p w14:paraId="3C5C41EA" w14:textId="77777777" w:rsidR="00082853" w:rsidRPr="006C5E3E" w:rsidRDefault="00082853" w:rsidP="00493ED5">
      <w:pPr>
        <w:pStyle w:val="Default"/>
        <w:jc w:val="both"/>
        <w:rPr>
          <w:rFonts w:asciiTheme="majorHAnsi" w:hAnsiTheme="majorHAnsi"/>
          <w:sz w:val="20"/>
          <w:szCs w:val="20"/>
        </w:rPr>
      </w:pPr>
    </w:p>
    <w:p w14:paraId="3A5987EC"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 xml:space="preserve">L’enregistrement vidéo original devrait être conservé, selon le cas, à bord du navire donateur ou par l’opérateur de la cage de stockage pendant toute la durée de leur autorisation d'exploitation ; </w:t>
      </w:r>
    </w:p>
    <w:p w14:paraId="17C04161" w14:textId="77777777" w:rsidR="00082853" w:rsidRPr="006C5E3E" w:rsidRDefault="00082853" w:rsidP="00493ED5">
      <w:pPr>
        <w:pStyle w:val="Default"/>
        <w:jc w:val="both"/>
        <w:rPr>
          <w:rFonts w:asciiTheme="majorHAnsi" w:hAnsiTheme="majorHAnsi"/>
          <w:sz w:val="20"/>
          <w:szCs w:val="20"/>
        </w:rPr>
      </w:pPr>
    </w:p>
    <w:p w14:paraId="4598D525" w14:textId="77777777" w:rsidR="00082853" w:rsidRPr="006C5E3E" w:rsidRDefault="00082853" w:rsidP="00493ED5">
      <w:pPr>
        <w:pStyle w:val="Default"/>
        <w:numPr>
          <w:ilvl w:val="0"/>
          <w:numId w:val="6"/>
        </w:numPr>
        <w:jc w:val="both"/>
        <w:rPr>
          <w:rFonts w:asciiTheme="majorHAnsi" w:hAnsiTheme="majorHAnsi"/>
          <w:sz w:val="20"/>
          <w:szCs w:val="20"/>
        </w:rPr>
      </w:pPr>
      <w:r w:rsidRPr="006C5E3E">
        <w:rPr>
          <w:rFonts w:asciiTheme="majorHAnsi" w:hAnsiTheme="majorHAnsi"/>
          <w:sz w:val="20"/>
          <w:szCs w:val="20"/>
        </w:rPr>
        <w:t>Le dispositif de stockage électronique contenant l'enregistrement vidéo original devrait être immédiatement fourni à l'observateur régional de l'ICCAT et/ou à l'observateur national de la CPC après la fin de l'opération de transfert, de mise en cage et/ou de libération. L'observateur régional de l'ICCAT et/ou l’observateur de la CPC devrait l'initialiser immédiatement afin d'éviter toute autre manipulation.</w:t>
      </w:r>
    </w:p>
    <w:p w14:paraId="1335BB0B" w14:textId="77777777" w:rsidR="00082853" w:rsidRPr="006C5E3E" w:rsidRDefault="00082853" w:rsidP="00493ED5">
      <w:pPr>
        <w:pStyle w:val="Default"/>
        <w:jc w:val="both"/>
        <w:rPr>
          <w:rFonts w:asciiTheme="majorHAnsi" w:hAnsiTheme="majorHAnsi"/>
          <w:sz w:val="20"/>
          <w:szCs w:val="20"/>
        </w:rPr>
      </w:pPr>
    </w:p>
    <w:p w14:paraId="0F555D3B" w14:textId="77777777" w:rsidR="00082853" w:rsidRPr="006C5E3E" w:rsidRDefault="00082853" w:rsidP="00493ED5">
      <w:pPr>
        <w:pStyle w:val="Default"/>
        <w:numPr>
          <w:ilvl w:val="2"/>
          <w:numId w:val="1"/>
        </w:numPr>
        <w:jc w:val="both"/>
        <w:rPr>
          <w:rFonts w:asciiTheme="majorHAnsi" w:hAnsiTheme="majorHAnsi"/>
          <w:sz w:val="20"/>
          <w:szCs w:val="20"/>
        </w:rPr>
      </w:pPr>
      <w:r w:rsidRPr="006C5E3E">
        <w:rPr>
          <w:rFonts w:asciiTheme="majorHAnsi" w:hAnsiTheme="majorHAnsi"/>
          <w:sz w:val="20"/>
          <w:szCs w:val="20"/>
        </w:rPr>
        <w:t xml:space="preserve">Chaque CPC du pavillon et de la cage de stockage concernée devrait établir les mesures nécessaires afin d'éviter tout remplacement, édition ou manipulation des enregistrements vidéo originaux. </w:t>
      </w:r>
    </w:p>
    <w:p w14:paraId="46996642" w14:textId="77777777" w:rsidR="00082853" w:rsidRPr="006C5E3E" w:rsidRDefault="00082853" w:rsidP="005C4D20">
      <w:pPr>
        <w:pStyle w:val="BodyText"/>
        <w:ind w:left="280"/>
        <w:rPr>
          <w:rFonts w:asciiTheme="majorHAnsi" w:hAnsiTheme="majorHAnsi"/>
        </w:rPr>
      </w:pPr>
    </w:p>
    <w:sectPr w:rsidR="00082853" w:rsidRPr="006C5E3E" w:rsidSect="00F87D85">
      <w:headerReference w:type="default" r:id="rId10"/>
      <w:footerReference w:type="default" r:id="rId11"/>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C61F" w14:textId="77777777" w:rsidR="00414500" w:rsidRPr="009D7C60" w:rsidRDefault="00414500">
      <w:r w:rsidRPr="009D7C60">
        <w:separator/>
      </w:r>
    </w:p>
  </w:endnote>
  <w:endnote w:type="continuationSeparator" w:id="0">
    <w:p w14:paraId="02C581BA" w14:textId="77777777" w:rsidR="00414500" w:rsidRPr="009D7C60" w:rsidRDefault="00414500">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379C" w14:textId="77777777" w:rsidR="00414500" w:rsidRPr="009D7C60" w:rsidRDefault="00414500">
      <w:r>
        <w:separator/>
      </w:r>
    </w:p>
  </w:footnote>
  <w:footnote w:type="continuationSeparator" w:id="0">
    <w:p w14:paraId="09EC0311" w14:textId="77777777" w:rsidR="00414500" w:rsidRPr="009D7C60" w:rsidRDefault="00414500">
      <w:r w:rsidRPr="009D7C60">
        <w:continuationSeparator/>
      </w:r>
    </w:p>
  </w:footnote>
  <w:footnote w:type="continuationNotice" w:id="1">
    <w:p w14:paraId="76DA29FF" w14:textId="77777777" w:rsidR="00414500" w:rsidRPr="009D7C60" w:rsidRDefault="00414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1A4AEA67"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b/>
        <w:sz w:val="20"/>
      </w:rPr>
      <w:t>PA2_604/2025</w:t>
    </w:r>
  </w:p>
  <w:p w14:paraId="5A9DE81A" w14:textId="13882E02"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1E1193">
      <w:rPr>
        <w:b/>
        <w:noProof/>
        <w:sz w:val="16"/>
      </w:rPr>
      <w:t>17/10/2025 11:17</w:t>
    </w:r>
    <w:r w:rsidRPr="00793F38">
      <w:rPr>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7"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8"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4"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6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5255525">
    <w:abstractNumId w:val="11"/>
  </w:num>
  <w:num w:numId="2" w16cid:durableId="1496216057">
    <w:abstractNumId w:val="61"/>
  </w:num>
  <w:num w:numId="3" w16cid:durableId="40834489">
    <w:abstractNumId w:val="19"/>
  </w:num>
  <w:num w:numId="4" w16cid:durableId="308094877">
    <w:abstractNumId w:val="7"/>
  </w:num>
  <w:num w:numId="5" w16cid:durableId="706760316">
    <w:abstractNumId w:val="46"/>
  </w:num>
  <w:num w:numId="6" w16cid:durableId="1209491294">
    <w:abstractNumId w:val="39"/>
  </w:num>
  <w:num w:numId="7"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25880084">
    <w:abstractNumId w:val="24"/>
  </w:num>
  <w:num w:numId="9" w16cid:durableId="1756170864">
    <w:abstractNumId w:val="16"/>
  </w:num>
  <w:num w:numId="10" w16cid:durableId="121852735">
    <w:abstractNumId w:val="53"/>
  </w:num>
  <w:num w:numId="11" w16cid:durableId="1280408722">
    <w:abstractNumId w:val="29"/>
  </w:num>
  <w:num w:numId="12" w16cid:durableId="1705138088">
    <w:abstractNumId w:val="0"/>
  </w:num>
  <w:num w:numId="13" w16cid:durableId="1956717995">
    <w:abstractNumId w:val="2"/>
  </w:num>
  <w:num w:numId="14" w16cid:durableId="607926232">
    <w:abstractNumId w:val="3"/>
  </w:num>
  <w:num w:numId="15" w16cid:durableId="884609657">
    <w:abstractNumId w:val="4"/>
  </w:num>
  <w:num w:numId="16" w16cid:durableId="212035735">
    <w:abstractNumId w:val="47"/>
  </w:num>
  <w:num w:numId="17" w16cid:durableId="1200165681">
    <w:abstractNumId w:val="25"/>
  </w:num>
  <w:num w:numId="18" w16cid:durableId="2004813808">
    <w:abstractNumId w:val="14"/>
  </w:num>
  <w:num w:numId="19" w16cid:durableId="1609003381">
    <w:abstractNumId w:val="40"/>
  </w:num>
  <w:num w:numId="20" w16cid:durableId="311565708">
    <w:abstractNumId w:val="17"/>
  </w:num>
  <w:num w:numId="21" w16cid:durableId="598685712">
    <w:abstractNumId w:val="58"/>
  </w:num>
  <w:num w:numId="22" w16cid:durableId="169108757">
    <w:abstractNumId w:val="13"/>
  </w:num>
  <w:num w:numId="23" w16cid:durableId="1599216064">
    <w:abstractNumId w:val="59"/>
  </w:num>
  <w:num w:numId="24" w16cid:durableId="1285848019">
    <w:abstractNumId w:val="38"/>
  </w:num>
  <w:num w:numId="25" w16cid:durableId="2144500574">
    <w:abstractNumId w:val="36"/>
  </w:num>
  <w:num w:numId="26" w16cid:durableId="99302873">
    <w:abstractNumId w:val="60"/>
  </w:num>
  <w:num w:numId="27" w16cid:durableId="1451240854">
    <w:abstractNumId w:val="30"/>
  </w:num>
  <w:num w:numId="28" w16cid:durableId="587888515">
    <w:abstractNumId w:val="6"/>
  </w:num>
  <w:num w:numId="29" w16cid:durableId="153451121">
    <w:abstractNumId w:val="21"/>
  </w:num>
  <w:num w:numId="30" w16cid:durableId="1292904809">
    <w:abstractNumId w:val="10"/>
  </w:num>
  <w:num w:numId="31" w16cid:durableId="1158154002">
    <w:abstractNumId w:val="49"/>
  </w:num>
  <w:num w:numId="32" w16cid:durableId="1553079017">
    <w:abstractNumId w:val="33"/>
  </w:num>
  <w:num w:numId="33" w16cid:durableId="2032220368">
    <w:abstractNumId w:val="12"/>
  </w:num>
  <w:num w:numId="34" w16cid:durableId="430274537">
    <w:abstractNumId w:val="64"/>
  </w:num>
  <w:num w:numId="35" w16cid:durableId="1694845481">
    <w:abstractNumId w:val="51"/>
  </w:num>
  <w:num w:numId="36" w16cid:durableId="1910460296">
    <w:abstractNumId w:val="50"/>
  </w:num>
  <w:num w:numId="37" w16cid:durableId="1527789104">
    <w:abstractNumId w:val="31"/>
  </w:num>
  <w:num w:numId="38" w16cid:durableId="337542362">
    <w:abstractNumId w:val="57"/>
  </w:num>
  <w:num w:numId="39" w16cid:durableId="1317496219">
    <w:abstractNumId w:val="45"/>
  </w:num>
  <w:num w:numId="40" w16cid:durableId="1998655792">
    <w:abstractNumId w:val="20"/>
  </w:num>
  <w:num w:numId="41" w16cid:durableId="710688847">
    <w:abstractNumId w:val="27"/>
  </w:num>
  <w:num w:numId="42" w16cid:durableId="407270913">
    <w:abstractNumId w:val="43"/>
  </w:num>
  <w:num w:numId="43" w16cid:durableId="1821379702">
    <w:abstractNumId w:val="22"/>
  </w:num>
  <w:num w:numId="44" w16cid:durableId="48959298">
    <w:abstractNumId w:val="15"/>
  </w:num>
  <w:num w:numId="45" w16cid:durableId="1626542123">
    <w:abstractNumId w:val="44"/>
  </w:num>
  <w:num w:numId="46" w16cid:durableId="1828740577">
    <w:abstractNumId w:val="56"/>
  </w:num>
  <w:num w:numId="47" w16cid:durableId="819886137">
    <w:abstractNumId w:val="42"/>
  </w:num>
  <w:num w:numId="48" w16cid:durableId="644512682">
    <w:abstractNumId w:val="5"/>
  </w:num>
  <w:num w:numId="49" w16cid:durableId="515194995">
    <w:abstractNumId w:val="28"/>
  </w:num>
  <w:num w:numId="50" w16cid:durableId="99840888">
    <w:abstractNumId w:val="34"/>
  </w:num>
  <w:num w:numId="51" w16cid:durableId="1400788244">
    <w:abstractNumId w:val="32"/>
  </w:num>
  <w:num w:numId="52" w16cid:durableId="243149332">
    <w:abstractNumId w:val="37"/>
  </w:num>
  <w:num w:numId="53" w16cid:durableId="2044480170">
    <w:abstractNumId w:val="8"/>
  </w:num>
  <w:num w:numId="54" w16cid:durableId="569268702">
    <w:abstractNumId w:val="63"/>
  </w:num>
  <w:num w:numId="55" w16cid:durableId="1906527987">
    <w:abstractNumId w:val="54"/>
  </w:num>
  <w:num w:numId="56" w16cid:durableId="1161048355">
    <w:abstractNumId w:val="23"/>
  </w:num>
  <w:num w:numId="57" w16cid:durableId="1584488646">
    <w:abstractNumId w:val="52"/>
  </w:num>
  <w:num w:numId="58" w16cid:durableId="26686603">
    <w:abstractNumId w:val="26"/>
  </w:num>
  <w:num w:numId="59" w16cid:durableId="911427534">
    <w:abstractNumId w:val="55"/>
  </w:num>
  <w:num w:numId="60" w16cid:durableId="1717043713">
    <w:abstractNumId w:val="9"/>
  </w:num>
  <w:num w:numId="61" w16cid:durableId="877857179">
    <w:abstractNumId w:val="41"/>
  </w:num>
  <w:num w:numId="62" w16cid:durableId="563611236">
    <w:abstractNumId w:val="48"/>
  </w:num>
  <w:num w:numId="63" w16cid:durableId="1530413349">
    <w:abstractNumId w:val="35"/>
  </w:num>
  <w:num w:numId="64" w16cid:durableId="1428499735">
    <w:abstractNumId w:val="18"/>
  </w:num>
  <w:num w:numId="65" w16cid:durableId="147509749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12524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06C99"/>
    <w:rsid w:val="00007E9D"/>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829"/>
    <w:rsid w:val="001D68E6"/>
    <w:rsid w:val="001D6BBA"/>
    <w:rsid w:val="001D6CA0"/>
    <w:rsid w:val="001D784F"/>
    <w:rsid w:val="001E061B"/>
    <w:rsid w:val="001E1193"/>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5A5"/>
    <w:rsid w:val="002D0644"/>
    <w:rsid w:val="002D08C2"/>
    <w:rsid w:val="002D0D51"/>
    <w:rsid w:val="002D14A8"/>
    <w:rsid w:val="002D1510"/>
    <w:rsid w:val="002D1C79"/>
    <w:rsid w:val="002D2D3D"/>
    <w:rsid w:val="002D3E26"/>
    <w:rsid w:val="002D4E1C"/>
    <w:rsid w:val="002D52A0"/>
    <w:rsid w:val="002D550F"/>
    <w:rsid w:val="002D7531"/>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4064"/>
    <w:rsid w:val="003D469B"/>
    <w:rsid w:val="003D57A4"/>
    <w:rsid w:val="003D5AB9"/>
    <w:rsid w:val="003D5C94"/>
    <w:rsid w:val="003D6A4B"/>
    <w:rsid w:val="003D7C25"/>
    <w:rsid w:val="003E05F4"/>
    <w:rsid w:val="003E066D"/>
    <w:rsid w:val="003E07FC"/>
    <w:rsid w:val="003E0F21"/>
    <w:rsid w:val="003E2542"/>
    <w:rsid w:val="003E3592"/>
    <w:rsid w:val="003E3DE6"/>
    <w:rsid w:val="003E48FC"/>
    <w:rsid w:val="003E5716"/>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3A5A"/>
    <w:rsid w:val="00414500"/>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BC1"/>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369"/>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423"/>
    <w:rsid w:val="004724AA"/>
    <w:rsid w:val="00472F98"/>
    <w:rsid w:val="00473753"/>
    <w:rsid w:val="004747CC"/>
    <w:rsid w:val="00475F99"/>
    <w:rsid w:val="0048030A"/>
    <w:rsid w:val="00480784"/>
    <w:rsid w:val="00480BAA"/>
    <w:rsid w:val="004812FB"/>
    <w:rsid w:val="0048201B"/>
    <w:rsid w:val="00482431"/>
    <w:rsid w:val="00482559"/>
    <w:rsid w:val="004825DD"/>
    <w:rsid w:val="00482B6F"/>
    <w:rsid w:val="00484603"/>
    <w:rsid w:val="00484648"/>
    <w:rsid w:val="00484817"/>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4BE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0F1"/>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BCC"/>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3E"/>
    <w:rsid w:val="006C5E73"/>
    <w:rsid w:val="006C6411"/>
    <w:rsid w:val="006C77B0"/>
    <w:rsid w:val="006D1B86"/>
    <w:rsid w:val="006D24A0"/>
    <w:rsid w:val="006D2888"/>
    <w:rsid w:val="006D4FF3"/>
    <w:rsid w:val="006D5085"/>
    <w:rsid w:val="006D7D4D"/>
    <w:rsid w:val="006E014B"/>
    <w:rsid w:val="006E19D9"/>
    <w:rsid w:val="006E40CF"/>
    <w:rsid w:val="006E6382"/>
    <w:rsid w:val="006E6D4A"/>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077C3"/>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1235"/>
    <w:rsid w:val="008421B3"/>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5A5D"/>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52B"/>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46C6"/>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B5"/>
    <w:rsid w:val="00955389"/>
    <w:rsid w:val="00955A14"/>
    <w:rsid w:val="00955C11"/>
    <w:rsid w:val="0096030F"/>
    <w:rsid w:val="0096098E"/>
    <w:rsid w:val="009616E9"/>
    <w:rsid w:val="0096184D"/>
    <w:rsid w:val="00961B5E"/>
    <w:rsid w:val="00962370"/>
    <w:rsid w:val="00963326"/>
    <w:rsid w:val="00965151"/>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8F7"/>
    <w:rsid w:val="00A00E92"/>
    <w:rsid w:val="00A01094"/>
    <w:rsid w:val="00A0185C"/>
    <w:rsid w:val="00A01EBF"/>
    <w:rsid w:val="00A02565"/>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86F9C"/>
    <w:rsid w:val="00A902CE"/>
    <w:rsid w:val="00A913E6"/>
    <w:rsid w:val="00A91786"/>
    <w:rsid w:val="00A92CEB"/>
    <w:rsid w:val="00A93057"/>
    <w:rsid w:val="00A93324"/>
    <w:rsid w:val="00A935DF"/>
    <w:rsid w:val="00A939F8"/>
    <w:rsid w:val="00A94E3D"/>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B407E"/>
    <w:rsid w:val="00AB5447"/>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633"/>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514F"/>
    <w:rsid w:val="00B05D0C"/>
    <w:rsid w:val="00B06DF9"/>
    <w:rsid w:val="00B11774"/>
    <w:rsid w:val="00B11AE8"/>
    <w:rsid w:val="00B121C9"/>
    <w:rsid w:val="00B12958"/>
    <w:rsid w:val="00B1319F"/>
    <w:rsid w:val="00B13CC5"/>
    <w:rsid w:val="00B14ABD"/>
    <w:rsid w:val="00B15B38"/>
    <w:rsid w:val="00B15C63"/>
    <w:rsid w:val="00B171CE"/>
    <w:rsid w:val="00B17F89"/>
    <w:rsid w:val="00B20255"/>
    <w:rsid w:val="00B2271B"/>
    <w:rsid w:val="00B23107"/>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285D"/>
    <w:rsid w:val="00B74828"/>
    <w:rsid w:val="00B74D75"/>
    <w:rsid w:val="00B75D3A"/>
    <w:rsid w:val="00B7606D"/>
    <w:rsid w:val="00B761E2"/>
    <w:rsid w:val="00B77A48"/>
    <w:rsid w:val="00B800DE"/>
    <w:rsid w:val="00B8094E"/>
    <w:rsid w:val="00B81CC4"/>
    <w:rsid w:val="00B8372D"/>
    <w:rsid w:val="00B8381B"/>
    <w:rsid w:val="00B850FD"/>
    <w:rsid w:val="00B85ED0"/>
    <w:rsid w:val="00B860A9"/>
    <w:rsid w:val="00B86935"/>
    <w:rsid w:val="00B87D62"/>
    <w:rsid w:val="00B90177"/>
    <w:rsid w:val="00B90E97"/>
    <w:rsid w:val="00B915A3"/>
    <w:rsid w:val="00B91798"/>
    <w:rsid w:val="00B9269F"/>
    <w:rsid w:val="00B92D59"/>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A98"/>
    <w:rsid w:val="00BC3540"/>
    <w:rsid w:val="00BC43A2"/>
    <w:rsid w:val="00BC59F8"/>
    <w:rsid w:val="00BC667A"/>
    <w:rsid w:val="00BD0534"/>
    <w:rsid w:val="00BD0BC5"/>
    <w:rsid w:val="00BD1179"/>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DF2"/>
    <w:rsid w:val="00C07ECA"/>
    <w:rsid w:val="00C1046A"/>
    <w:rsid w:val="00C11C6F"/>
    <w:rsid w:val="00C12396"/>
    <w:rsid w:val="00C12CF4"/>
    <w:rsid w:val="00C14339"/>
    <w:rsid w:val="00C145E8"/>
    <w:rsid w:val="00C14B46"/>
    <w:rsid w:val="00C1555D"/>
    <w:rsid w:val="00C15673"/>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5C01"/>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5D69"/>
    <w:rsid w:val="00E7615D"/>
    <w:rsid w:val="00E77032"/>
    <w:rsid w:val="00E77BE8"/>
    <w:rsid w:val="00E8034F"/>
    <w:rsid w:val="00E80E1A"/>
    <w:rsid w:val="00E82931"/>
    <w:rsid w:val="00E82AC1"/>
    <w:rsid w:val="00E82BC9"/>
    <w:rsid w:val="00E83563"/>
    <w:rsid w:val="00E83A06"/>
    <w:rsid w:val="00E83FD5"/>
    <w:rsid w:val="00E8497D"/>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95"/>
    <w:rsid w:val="00F41F7D"/>
    <w:rsid w:val="00F42047"/>
    <w:rsid w:val="00F423C4"/>
    <w:rsid w:val="00F426D0"/>
    <w:rsid w:val="00F43050"/>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1F9"/>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441D5573-7C23-42F3-A02E-75C566AF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7"/>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9"/>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11"/>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8"/>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9"/>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9"/>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10"/>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12"/>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14"/>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13"/>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15"/>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6"/>
      </w:numPr>
    </w:pPr>
  </w:style>
  <w:style w:type="numbering" w:customStyle="1" w:styleId="List1">
    <w:name w:val="List 1"/>
    <w:basedOn w:val="NoList"/>
    <w:rsid w:val="00E75C90"/>
    <w:pPr>
      <w:numPr>
        <w:numId w:val="17"/>
      </w:numPr>
    </w:pPr>
  </w:style>
  <w:style w:type="numbering" w:customStyle="1" w:styleId="List21">
    <w:name w:val="List 21"/>
    <w:basedOn w:val="NoList"/>
    <w:rsid w:val="00E75C90"/>
    <w:pPr>
      <w:numPr>
        <w:numId w:val="18"/>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9"/>
      </w:numPr>
    </w:pPr>
  </w:style>
  <w:style w:type="numbering" w:customStyle="1" w:styleId="ImportedStyle2">
    <w:name w:val="Imported Style 2"/>
    <w:rsid w:val="00E75C90"/>
    <w:pPr>
      <w:numPr>
        <w:numId w:val="20"/>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21"/>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22"/>
      </w:numPr>
    </w:pPr>
  </w:style>
  <w:style w:type="numbering" w:customStyle="1" w:styleId="ImportedStyle5">
    <w:name w:val="Imported Style 5"/>
    <w:rsid w:val="00E75C90"/>
    <w:pPr>
      <w:numPr>
        <w:numId w:val="23"/>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24"/>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25"/>
      </w:numPr>
    </w:pPr>
  </w:style>
  <w:style w:type="numbering" w:customStyle="1" w:styleId="ImportedStyle8">
    <w:name w:val="Imported Style 8"/>
    <w:rsid w:val="00E75C90"/>
    <w:pPr>
      <w:numPr>
        <w:numId w:val="26"/>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7"/>
      </w:numPr>
    </w:pPr>
  </w:style>
  <w:style w:type="numbering" w:customStyle="1" w:styleId="ImportedStyle10">
    <w:name w:val="Imported Style 10"/>
    <w:rsid w:val="00E75C90"/>
    <w:pPr>
      <w:numPr>
        <w:numId w:val="28"/>
      </w:numPr>
    </w:pPr>
  </w:style>
  <w:style w:type="numbering" w:customStyle="1" w:styleId="ImportedStyle11">
    <w:name w:val="Imported Style 11"/>
    <w:rsid w:val="00E75C90"/>
    <w:pPr>
      <w:numPr>
        <w:numId w:val="29"/>
      </w:numPr>
    </w:pPr>
  </w:style>
  <w:style w:type="numbering" w:customStyle="1" w:styleId="ImportedStyle12">
    <w:name w:val="Imported Style 12"/>
    <w:rsid w:val="00E75C90"/>
    <w:pPr>
      <w:numPr>
        <w:numId w:val="30"/>
      </w:numPr>
    </w:pPr>
  </w:style>
  <w:style w:type="numbering" w:customStyle="1" w:styleId="ImportedStyle13">
    <w:name w:val="Imported Style 13"/>
    <w:rsid w:val="00E75C90"/>
    <w:pPr>
      <w:numPr>
        <w:numId w:val="31"/>
      </w:numPr>
    </w:pPr>
  </w:style>
  <w:style w:type="numbering" w:customStyle="1" w:styleId="ImportedStyle14">
    <w:name w:val="Imported Style 14"/>
    <w:rsid w:val="00E75C90"/>
    <w:pPr>
      <w:numPr>
        <w:numId w:val="32"/>
      </w:numPr>
    </w:pPr>
  </w:style>
  <w:style w:type="numbering" w:customStyle="1" w:styleId="ImportedStyle15">
    <w:name w:val="Imported Style 15"/>
    <w:rsid w:val="00E75C90"/>
    <w:pPr>
      <w:numPr>
        <w:numId w:val="33"/>
      </w:numPr>
    </w:pPr>
  </w:style>
  <w:style w:type="numbering" w:customStyle="1" w:styleId="ImportedStyle16">
    <w:name w:val="Imported Style 16"/>
    <w:rsid w:val="00E75C90"/>
    <w:pPr>
      <w:numPr>
        <w:numId w:val="34"/>
      </w:numPr>
    </w:pPr>
  </w:style>
  <w:style w:type="numbering" w:customStyle="1" w:styleId="ImportedStyle17">
    <w:name w:val="Imported Style 17"/>
    <w:rsid w:val="00E75C90"/>
    <w:pPr>
      <w:numPr>
        <w:numId w:val="35"/>
      </w:numPr>
    </w:pPr>
  </w:style>
  <w:style w:type="numbering" w:customStyle="1" w:styleId="ImportedStyle18">
    <w:name w:val="Imported Style 18"/>
    <w:rsid w:val="00E75C90"/>
    <w:pPr>
      <w:numPr>
        <w:numId w:val="36"/>
      </w:numPr>
    </w:pPr>
  </w:style>
  <w:style w:type="numbering" w:customStyle="1" w:styleId="ImportedStyle19">
    <w:name w:val="Imported Style 19"/>
    <w:rsid w:val="00E75C90"/>
    <w:pPr>
      <w:numPr>
        <w:numId w:val="37"/>
      </w:numPr>
    </w:pPr>
  </w:style>
  <w:style w:type="numbering" w:customStyle="1" w:styleId="ImportedStyle20">
    <w:name w:val="Imported Style 20"/>
    <w:rsid w:val="00E75C90"/>
    <w:pPr>
      <w:numPr>
        <w:numId w:val="38"/>
      </w:numPr>
    </w:pPr>
  </w:style>
  <w:style w:type="numbering" w:customStyle="1" w:styleId="ImportedStyle21">
    <w:name w:val="Imported Style 21"/>
    <w:rsid w:val="00E75C90"/>
    <w:pPr>
      <w:numPr>
        <w:numId w:val="39"/>
      </w:numPr>
    </w:pPr>
  </w:style>
  <w:style w:type="numbering" w:customStyle="1" w:styleId="ImportedStyle22">
    <w:name w:val="Imported Style 22"/>
    <w:rsid w:val="00E75C90"/>
    <w:pPr>
      <w:numPr>
        <w:numId w:val="40"/>
      </w:numPr>
    </w:pPr>
  </w:style>
  <w:style w:type="numbering" w:customStyle="1" w:styleId="ImportedStyle23">
    <w:name w:val="Imported Style 23"/>
    <w:rsid w:val="00E75C90"/>
    <w:pPr>
      <w:numPr>
        <w:numId w:val="41"/>
      </w:numPr>
    </w:pPr>
  </w:style>
  <w:style w:type="numbering" w:customStyle="1" w:styleId="ImportedStyle24">
    <w:name w:val="Imported Style 24"/>
    <w:rsid w:val="00E75C90"/>
    <w:pPr>
      <w:numPr>
        <w:numId w:val="42"/>
      </w:numPr>
    </w:pPr>
  </w:style>
  <w:style w:type="numbering" w:customStyle="1" w:styleId="ImportedStyle25">
    <w:name w:val="Imported Style 25"/>
    <w:rsid w:val="00E75C90"/>
    <w:pPr>
      <w:numPr>
        <w:numId w:val="43"/>
      </w:numPr>
    </w:pPr>
  </w:style>
  <w:style w:type="numbering" w:customStyle="1" w:styleId="ImportedStyle26">
    <w:name w:val="Imported Style 26"/>
    <w:rsid w:val="00E75C90"/>
    <w:pPr>
      <w:numPr>
        <w:numId w:val="44"/>
      </w:numPr>
    </w:pPr>
  </w:style>
  <w:style w:type="numbering" w:customStyle="1" w:styleId="ImportedStyle27">
    <w:name w:val="Imported Style 27"/>
    <w:rsid w:val="00E75C90"/>
    <w:pPr>
      <w:numPr>
        <w:numId w:val="45"/>
      </w:numPr>
    </w:pPr>
  </w:style>
  <w:style w:type="numbering" w:customStyle="1" w:styleId="ImportedStyle28">
    <w:name w:val="Imported Style 28"/>
    <w:rsid w:val="00E75C90"/>
    <w:pPr>
      <w:numPr>
        <w:numId w:val="46"/>
      </w:numPr>
    </w:pPr>
  </w:style>
  <w:style w:type="numbering" w:customStyle="1" w:styleId="ImportedStyle29">
    <w:name w:val="Imported Style 29"/>
    <w:rsid w:val="00E75C90"/>
    <w:pPr>
      <w:numPr>
        <w:numId w:val="47"/>
      </w:numPr>
    </w:pPr>
  </w:style>
  <w:style w:type="numbering" w:customStyle="1" w:styleId="ImportedStyle30">
    <w:name w:val="Imported Style 30"/>
    <w:rsid w:val="00E75C90"/>
    <w:pPr>
      <w:numPr>
        <w:numId w:val="48"/>
      </w:numPr>
    </w:pPr>
  </w:style>
  <w:style w:type="numbering" w:customStyle="1" w:styleId="ImportedStyle31">
    <w:name w:val="Imported Style 31"/>
    <w:rsid w:val="00E75C90"/>
    <w:pPr>
      <w:numPr>
        <w:numId w:val="49"/>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50"/>
      </w:numPr>
    </w:pPr>
  </w:style>
  <w:style w:type="numbering" w:customStyle="1" w:styleId="ImportedStyle34">
    <w:name w:val="Imported Style 34"/>
    <w:rsid w:val="00E75C90"/>
    <w:pPr>
      <w:numPr>
        <w:numId w:val="51"/>
      </w:numPr>
    </w:pPr>
  </w:style>
  <w:style w:type="numbering" w:customStyle="1" w:styleId="ImportedStyle35">
    <w:name w:val="Imported Style 35"/>
    <w:rsid w:val="00E75C90"/>
    <w:pPr>
      <w:numPr>
        <w:numId w:val="52"/>
      </w:numPr>
    </w:pPr>
  </w:style>
  <w:style w:type="numbering" w:customStyle="1" w:styleId="ImportedStyle36">
    <w:name w:val="Imported Style 36"/>
    <w:rsid w:val="00E75C90"/>
    <w:pPr>
      <w:numPr>
        <w:numId w:val="53"/>
      </w:numPr>
    </w:pPr>
  </w:style>
  <w:style w:type="numbering" w:customStyle="1" w:styleId="ImportedStyle37">
    <w:name w:val="Imported Style 37"/>
    <w:rsid w:val="00E75C90"/>
    <w:pPr>
      <w:numPr>
        <w:numId w:val="54"/>
      </w:numPr>
    </w:pPr>
  </w:style>
  <w:style w:type="numbering" w:customStyle="1" w:styleId="ImportedStyle38">
    <w:name w:val="Imported Style 38"/>
    <w:rsid w:val="00E75C90"/>
    <w:pPr>
      <w:numPr>
        <w:numId w:val="55"/>
      </w:numPr>
    </w:pPr>
  </w:style>
  <w:style w:type="numbering" w:customStyle="1" w:styleId="ImportedStyle39">
    <w:name w:val="Imported Style 39"/>
    <w:rsid w:val="00E75C90"/>
    <w:pPr>
      <w:numPr>
        <w:numId w:val="56"/>
      </w:numPr>
    </w:pPr>
  </w:style>
  <w:style w:type="numbering" w:customStyle="1" w:styleId="ImportedStyle40">
    <w:name w:val="Imported Style 40"/>
    <w:rsid w:val="00E75C90"/>
    <w:pPr>
      <w:numPr>
        <w:numId w:val="57"/>
      </w:numPr>
    </w:pPr>
  </w:style>
  <w:style w:type="numbering" w:customStyle="1" w:styleId="ImportedStyle41">
    <w:name w:val="Imported Style 41"/>
    <w:rsid w:val="00E75C90"/>
    <w:pPr>
      <w:numPr>
        <w:numId w:val="58"/>
      </w:numPr>
    </w:pPr>
  </w:style>
  <w:style w:type="numbering" w:customStyle="1" w:styleId="ImportedStyle42">
    <w:name w:val="Imported Style 42"/>
    <w:rsid w:val="00E75C90"/>
    <w:pPr>
      <w:numPr>
        <w:numId w:val="59"/>
      </w:numPr>
    </w:pPr>
  </w:style>
  <w:style w:type="numbering" w:customStyle="1" w:styleId="ImportedStyle43">
    <w:name w:val="Imported Style 43"/>
    <w:rsid w:val="00E75C90"/>
    <w:pPr>
      <w:numPr>
        <w:numId w:val="60"/>
      </w:numPr>
    </w:pPr>
  </w:style>
  <w:style w:type="numbering" w:customStyle="1" w:styleId="ImportedStyle44">
    <w:name w:val="Imported Style 44"/>
    <w:rsid w:val="00E75C90"/>
    <w:pPr>
      <w:numPr>
        <w:numId w:val="61"/>
      </w:numPr>
    </w:pPr>
  </w:style>
  <w:style w:type="numbering" w:customStyle="1" w:styleId="ImportedStyle45">
    <w:name w:val="Imported Style 45"/>
    <w:rsid w:val="00E75C90"/>
    <w:pPr>
      <w:numPr>
        <w:numId w:val="62"/>
      </w:numPr>
    </w:pPr>
  </w:style>
  <w:style w:type="numbering" w:customStyle="1" w:styleId="ImportedStyle46">
    <w:name w:val="Imported Style 46"/>
    <w:rsid w:val="00E75C90"/>
    <w:pPr>
      <w:numPr>
        <w:numId w:val="63"/>
      </w:numPr>
    </w:pPr>
  </w:style>
  <w:style w:type="numbering" w:customStyle="1" w:styleId="ImportedStyle47">
    <w:name w:val="Imported Style 47"/>
    <w:rsid w:val="00E75C90"/>
    <w:pPr>
      <w:numPr>
        <w:numId w:val="64"/>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2-07-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f/2022-07-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FC6B2-8CF0-4CE8-B168-99BE1F1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3275</Words>
  <Characters>19653</Characters>
  <Application>Microsoft Office Word</Application>
  <DocSecurity>0</DocSecurity>
  <Lines>491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Christine Peyre</cp:lastModifiedBy>
  <cp:revision>27</cp:revision>
  <dcterms:created xsi:type="dcterms:W3CDTF">2025-10-16T09:13:00Z</dcterms:created>
  <dcterms:modified xsi:type="dcterms:W3CDTF">2025-10-17T09:54:00Z</dcterms:modified>
</cp:coreProperties>
</file>