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A8E5" w14:textId="77777777" w:rsidR="00471200" w:rsidRPr="00DC75CC" w:rsidRDefault="00471200" w:rsidP="00F36743">
      <w:pPr>
        <w:jc w:val="right"/>
        <w:rPr>
          <w:rFonts w:asciiTheme="majorHAnsi" w:hAnsiTheme="majorHAnsi"/>
          <w:b/>
          <w:bCs/>
          <w:sz w:val="20"/>
          <w:szCs w:val="20"/>
        </w:rPr>
      </w:pPr>
      <w:r w:rsidRPr="00DC75CC">
        <w:rPr>
          <w:rFonts w:asciiTheme="majorHAnsi" w:hAnsiTheme="majorHAnsi"/>
          <w:b/>
          <w:sz w:val="20"/>
        </w:rPr>
        <w:t>Original:  inglés</w:t>
      </w:r>
    </w:p>
    <w:p w14:paraId="478F4337" w14:textId="77777777" w:rsidR="003464A5" w:rsidRPr="00DC75CC" w:rsidRDefault="003464A5" w:rsidP="00F36743">
      <w:pPr>
        <w:jc w:val="both"/>
        <w:rPr>
          <w:rFonts w:asciiTheme="majorHAnsi" w:hAnsiTheme="majorHAnsi"/>
          <w:b/>
          <w:sz w:val="20"/>
          <w:szCs w:val="20"/>
        </w:rPr>
      </w:pPr>
    </w:p>
    <w:p w14:paraId="6ED4C41D" w14:textId="77777777" w:rsidR="00274BA3" w:rsidRPr="00DC75CC" w:rsidRDefault="00274BA3" w:rsidP="00F36743">
      <w:pPr>
        <w:jc w:val="center"/>
        <w:rPr>
          <w:rFonts w:asciiTheme="majorHAnsi" w:hAnsiTheme="majorHAnsi"/>
          <w:b/>
          <w:sz w:val="20"/>
          <w:szCs w:val="20"/>
        </w:rPr>
      </w:pPr>
      <w:r w:rsidRPr="00DC75CC">
        <w:rPr>
          <w:rFonts w:asciiTheme="majorHAnsi" w:hAnsiTheme="majorHAnsi"/>
          <w:b/>
          <w:sz w:val="20"/>
        </w:rPr>
        <w:t xml:space="preserve">Informe de la implementación del programa regional de observadores </w:t>
      </w:r>
    </w:p>
    <w:p w14:paraId="737488FD" w14:textId="53520D38" w:rsidR="00274BA3" w:rsidRPr="00DC75CC" w:rsidRDefault="00274BA3" w:rsidP="00F36743">
      <w:pPr>
        <w:jc w:val="center"/>
        <w:rPr>
          <w:rFonts w:asciiTheme="majorHAnsi" w:hAnsiTheme="majorHAnsi"/>
          <w:b/>
          <w:sz w:val="20"/>
          <w:szCs w:val="20"/>
        </w:rPr>
      </w:pPr>
      <w:r w:rsidRPr="00DC75CC">
        <w:rPr>
          <w:rFonts w:asciiTheme="majorHAnsi" w:hAnsiTheme="majorHAnsi"/>
          <w:b/>
          <w:sz w:val="20"/>
        </w:rPr>
        <w:t>de ICCAT para el atún rojo del Atlántico este y Mediterráneo</w:t>
      </w:r>
    </w:p>
    <w:p w14:paraId="53D3268E" w14:textId="77777777" w:rsidR="006A5E8E" w:rsidRPr="00DC75CC" w:rsidRDefault="006A5E8E" w:rsidP="00F36743">
      <w:pPr>
        <w:jc w:val="center"/>
        <w:rPr>
          <w:rFonts w:asciiTheme="majorHAnsi" w:hAnsiTheme="majorHAnsi"/>
          <w:i/>
          <w:sz w:val="20"/>
          <w:szCs w:val="20"/>
        </w:rPr>
      </w:pPr>
    </w:p>
    <w:p w14:paraId="667AE7EE" w14:textId="7F6D31C0" w:rsidR="003464A5" w:rsidRPr="00DC75CC" w:rsidRDefault="00562209" w:rsidP="00F36743">
      <w:pPr>
        <w:jc w:val="center"/>
        <w:rPr>
          <w:rFonts w:asciiTheme="majorHAnsi" w:hAnsiTheme="majorHAnsi"/>
          <w:i/>
          <w:sz w:val="20"/>
          <w:szCs w:val="20"/>
        </w:rPr>
      </w:pPr>
      <w:r w:rsidRPr="00DC75CC">
        <w:rPr>
          <w:rFonts w:asciiTheme="majorHAnsi" w:hAnsiTheme="majorHAnsi"/>
          <w:i/>
          <w:sz w:val="20"/>
        </w:rPr>
        <w:t>(Secretaría de ICCAT)</w:t>
      </w:r>
    </w:p>
    <w:p w14:paraId="14208735" w14:textId="77777777" w:rsidR="003464A5" w:rsidRPr="00DC75CC" w:rsidRDefault="003464A5" w:rsidP="00F36743">
      <w:pPr>
        <w:jc w:val="both"/>
        <w:rPr>
          <w:rFonts w:asciiTheme="majorHAnsi" w:hAnsiTheme="majorHAnsi"/>
          <w:bCs/>
          <w:sz w:val="20"/>
          <w:szCs w:val="20"/>
        </w:rPr>
      </w:pPr>
    </w:p>
    <w:p w14:paraId="511BA00E" w14:textId="4640B6B2" w:rsidR="00EB190A" w:rsidRPr="00DC75CC" w:rsidRDefault="003464A5" w:rsidP="00F36743">
      <w:pPr>
        <w:jc w:val="both"/>
        <w:rPr>
          <w:rStyle w:val="Hyperlink"/>
          <w:rFonts w:asciiTheme="majorHAnsi" w:hAnsiTheme="majorHAnsi"/>
          <w:bCs/>
          <w:sz w:val="20"/>
          <w:szCs w:val="20"/>
          <w:u w:val="none"/>
        </w:rPr>
      </w:pPr>
      <w:r w:rsidRPr="00DC75CC">
        <w:rPr>
          <w:rFonts w:asciiTheme="majorHAnsi" w:hAnsiTheme="majorHAnsi"/>
          <w:sz w:val="20"/>
        </w:rPr>
        <w:t xml:space="preserve">El Programa regional de observadores de ICCAT para el atún rojo del Atlántico este y Mediterráneo (ROP-BFT) se implementó en el marco de las disposiciones de la </w:t>
      </w:r>
      <w:hyperlink r:id="rId8" w:history="1">
        <w:r w:rsidRPr="00DC75CC">
          <w:rPr>
            <w:rStyle w:val="Hyperlink"/>
            <w:rFonts w:asciiTheme="majorHAnsi" w:hAnsiTheme="majorHAnsi"/>
            <w:i/>
            <w:iCs/>
            <w:sz w:val="20"/>
            <w:u w:val="none"/>
          </w:rPr>
          <w:t>Recomendación de ICCAT que enmienda la Recomendación 22-08 que establece un plan de ordenación plurianual para el atún rojo en el Atlántico este y el Mediterráneo</w:t>
        </w:r>
        <w:r w:rsidRPr="00DC75CC">
          <w:rPr>
            <w:rStyle w:val="Hyperlink"/>
            <w:rFonts w:asciiTheme="majorHAnsi" w:hAnsiTheme="majorHAnsi"/>
            <w:sz w:val="20"/>
            <w:u w:val="none"/>
          </w:rPr>
          <w:t xml:space="preserve"> (Rec. 24-05)</w:t>
        </w:r>
      </w:hyperlink>
      <w:r w:rsidRPr="00DC75CC">
        <w:rPr>
          <w:rFonts w:asciiTheme="majorHAnsi" w:hAnsiTheme="majorHAnsi"/>
          <w:sz w:val="20"/>
        </w:rPr>
        <w:t>. Esta Recomendación, adoptada el 16 de junio de 2025, fue enmendada y reemplazada por la</w:t>
      </w:r>
      <w:r w:rsidRPr="00DC75CC">
        <w:rPr>
          <w:rFonts w:asciiTheme="majorHAnsi" w:hAnsiTheme="majorHAnsi"/>
        </w:rPr>
        <w:t xml:space="preserve"> </w:t>
      </w:r>
      <w:hyperlink r:id="rId9" w:history="1">
        <w:r w:rsidRPr="00DC75CC">
          <w:rPr>
            <w:rStyle w:val="Hyperlink"/>
            <w:rFonts w:asciiTheme="majorHAnsi" w:hAnsiTheme="majorHAnsi"/>
            <w:i/>
            <w:iCs/>
            <w:sz w:val="20"/>
            <w:u w:val="none"/>
          </w:rPr>
          <w:t xml:space="preserve">Recomendación de ICCAT que enmienda la Recomendación 21-08 que establece un plan de ordenación plurianual para el atún rojo en el Atlántico este y el Mediterráneo </w:t>
        </w:r>
        <w:r w:rsidRPr="00DC75CC">
          <w:rPr>
            <w:rStyle w:val="Hyperlink"/>
            <w:rFonts w:asciiTheme="majorHAnsi" w:hAnsiTheme="majorHAnsi"/>
            <w:sz w:val="20"/>
            <w:u w:val="none"/>
          </w:rPr>
          <w:t>(Rec. 22-08)</w:t>
        </w:r>
      </w:hyperlink>
      <w:r w:rsidRPr="00DC75CC">
        <w:rPr>
          <w:rFonts w:asciiTheme="majorHAnsi" w:hAnsiTheme="majorHAnsi"/>
          <w:sz w:val="20"/>
        </w:rPr>
        <w:t xml:space="preserve"> y la </w:t>
      </w:r>
      <w:hyperlink r:id="rId10" w:tgtFrame="_blank" w:history="1">
        <w:r w:rsidRPr="00DC75CC">
          <w:rPr>
            <w:rStyle w:val="Hyperlink"/>
            <w:rFonts w:asciiTheme="majorHAnsi" w:hAnsiTheme="majorHAnsi"/>
            <w:i/>
            <w:sz w:val="20"/>
            <w:u w:val="none"/>
          </w:rPr>
          <w:t>Recomendación de ICCAT que enmienda la Recomendación 22-08 que establece un plan de ordenación plurianual para el atún rojo en el Atlántico este y Mediterráneo</w:t>
        </w:r>
      </w:hyperlink>
      <w:r w:rsidRPr="00DC75CC">
        <w:rPr>
          <w:rStyle w:val="Hyperlink"/>
          <w:rFonts w:asciiTheme="majorHAnsi" w:hAnsiTheme="majorHAnsi"/>
          <w:i/>
          <w:sz w:val="20"/>
          <w:u w:val="none"/>
        </w:rPr>
        <w:t xml:space="preserve"> </w:t>
      </w:r>
      <w:hyperlink r:id="rId11" w:history="1">
        <w:r w:rsidRPr="00DC75CC">
          <w:rPr>
            <w:rStyle w:val="Hyperlink"/>
            <w:rFonts w:asciiTheme="majorHAnsi" w:hAnsiTheme="majorHAnsi"/>
            <w:sz w:val="20"/>
            <w:u w:val="none"/>
          </w:rPr>
          <w:t>(Rec. 23-06)</w:t>
        </w:r>
      </w:hyperlink>
      <w:r w:rsidRPr="00DC75CC">
        <w:rPr>
          <w:rStyle w:val="Hyperlink"/>
          <w:rFonts w:asciiTheme="majorHAnsi" w:hAnsiTheme="majorHAnsi"/>
          <w:sz w:val="20"/>
          <w:u w:val="none"/>
        </w:rPr>
        <w:t>.</w:t>
      </w:r>
    </w:p>
    <w:p w14:paraId="6284BF67" w14:textId="77777777" w:rsidR="00F36743" w:rsidRPr="00DC75CC" w:rsidRDefault="00F36743" w:rsidP="00F36743">
      <w:pPr>
        <w:jc w:val="both"/>
        <w:rPr>
          <w:rFonts w:asciiTheme="majorHAnsi" w:hAnsiTheme="majorHAnsi"/>
          <w:bCs/>
          <w:sz w:val="20"/>
          <w:szCs w:val="20"/>
        </w:rPr>
      </w:pPr>
    </w:p>
    <w:p w14:paraId="3EEFA564" w14:textId="749D498D" w:rsidR="003464A5" w:rsidRPr="00DC75CC" w:rsidRDefault="003464A5" w:rsidP="00F36743">
      <w:pPr>
        <w:autoSpaceDE w:val="0"/>
        <w:autoSpaceDN w:val="0"/>
        <w:adjustRightInd w:val="0"/>
        <w:jc w:val="both"/>
        <w:rPr>
          <w:rFonts w:asciiTheme="majorHAnsi" w:hAnsiTheme="majorHAnsi"/>
          <w:sz w:val="20"/>
          <w:szCs w:val="20"/>
        </w:rPr>
      </w:pPr>
      <w:r w:rsidRPr="00DC75CC">
        <w:rPr>
          <w:rFonts w:asciiTheme="majorHAnsi" w:hAnsiTheme="majorHAnsi"/>
          <w:sz w:val="20"/>
        </w:rPr>
        <w:t>Las disposiciones de estas Recomendaciones estipulan que la Secretaría tiene que asignar observadores para garantizar una cobertura del 100 % de los cerqueros durante toda la temporada de pesca anual. En este sentido, tiene que estar presente un observador durante la operación de pesca y durante toda transferencia de atún rojo a las jaulas y todo sacrificio de atún de las jaulas, así como durante toda transferencia de atún rojo desde las almadrabas a las jaulas de transporte.</w:t>
      </w:r>
    </w:p>
    <w:p w14:paraId="0AA8BC75" w14:textId="77777777" w:rsidR="00311FD3" w:rsidRPr="00DC75CC" w:rsidRDefault="00311FD3" w:rsidP="00F36743">
      <w:pPr>
        <w:autoSpaceDE w:val="0"/>
        <w:autoSpaceDN w:val="0"/>
        <w:adjustRightInd w:val="0"/>
        <w:jc w:val="both"/>
        <w:rPr>
          <w:rFonts w:asciiTheme="majorHAnsi" w:hAnsiTheme="majorHAnsi"/>
          <w:sz w:val="20"/>
          <w:szCs w:val="20"/>
        </w:rPr>
      </w:pPr>
    </w:p>
    <w:p w14:paraId="5FE9A71D" w14:textId="1016B455" w:rsidR="003509DE" w:rsidRPr="00DC75CC" w:rsidRDefault="00FE7FC2" w:rsidP="00F36743">
      <w:pPr>
        <w:autoSpaceDE w:val="0"/>
        <w:autoSpaceDN w:val="0"/>
        <w:adjustRightInd w:val="0"/>
        <w:jc w:val="both"/>
        <w:rPr>
          <w:rFonts w:asciiTheme="majorHAnsi" w:hAnsiTheme="majorHAnsi"/>
          <w:b/>
          <w:sz w:val="20"/>
          <w:szCs w:val="20"/>
        </w:rPr>
      </w:pPr>
      <w:r w:rsidRPr="00DC75CC">
        <w:rPr>
          <w:rFonts w:asciiTheme="majorHAnsi" w:hAnsiTheme="majorHAnsi"/>
          <w:b/>
          <w:sz w:val="20"/>
        </w:rPr>
        <w:t>Implementación en 2025</w:t>
      </w:r>
    </w:p>
    <w:p w14:paraId="6F8418D3" w14:textId="3F5BADD1" w:rsidR="003509DE" w:rsidRPr="00DC75CC" w:rsidRDefault="003509DE" w:rsidP="00F36743">
      <w:pPr>
        <w:autoSpaceDE w:val="0"/>
        <w:autoSpaceDN w:val="0"/>
        <w:adjustRightInd w:val="0"/>
        <w:jc w:val="both"/>
        <w:rPr>
          <w:rFonts w:asciiTheme="majorHAnsi" w:hAnsiTheme="majorHAnsi"/>
          <w:bCs/>
          <w:sz w:val="20"/>
          <w:szCs w:val="20"/>
        </w:rPr>
      </w:pPr>
      <w:bookmarkStart w:id="0" w:name="_Hlk52868922"/>
    </w:p>
    <w:bookmarkEnd w:id="0"/>
    <w:p w14:paraId="2E3A5010" w14:textId="69B843DA" w:rsidR="008B10B1" w:rsidRPr="00DC75CC" w:rsidRDefault="00EA6C30" w:rsidP="00F36743">
      <w:pPr>
        <w:jc w:val="both"/>
        <w:rPr>
          <w:rFonts w:asciiTheme="majorHAnsi" w:hAnsiTheme="majorHAnsi"/>
          <w:sz w:val="20"/>
          <w:szCs w:val="20"/>
        </w:rPr>
      </w:pPr>
      <w:r w:rsidRPr="00DC75CC">
        <w:rPr>
          <w:rFonts w:asciiTheme="majorHAnsi" w:hAnsiTheme="majorHAnsi"/>
          <w:sz w:val="20"/>
        </w:rPr>
        <w:t xml:space="preserve">La Secretaría se complace en informar de que se han embarcado observadores regionales de ICCAT en todos los buques (216) para los que se recibieron y confirmaron solicitudes de embarque de observadores.  Por esta razón, la Secretaría no distribuyó ningún informe provisional durante la temporada, ya que no se invocaron los procedimientos especiales acordados por la Comisión en 2020. </w:t>
      </w:r>
    </w:p>
    <w:p w14:paraId="3B9AAE93" w14:textId="77777777" w:rsidR="008B10B1" w:rsidRPr="00DC75CC" w:rsidRDefault="008B10B1" w:rsidP="00F36743">
      <w:pPr>
        <w:jc w:val="both"/>
        <w:rPr>
          <w:rFonts w:asciiTheme="majorHAnsi" w:hAnsiTheme="majorHAnsi"/>
          <w:sz w:val="20"/>
          <w:szCs w:val="20"/>
        </w:rPr>
      </w:pPr>
    </w:p>
    <w:p w14:paraId="2348CEC6" w14:textId="5A5027D9" w:rsidR="00453900" w:rsidRPr="00DC75CC" w:rsidRDefault="00FA27EF" w:rsidP="00F36743">
      <w:pPr>
        <w:jc w:val="both"/>
        <w:rPr>
          <w:rFonts w:asciiTheme="majorHAnsi" w:hAnsiTheme="majorHAnsi"/>
          <w:sz w:val="20"/>
          <w:szCs w:val="20"/>
        </w:rPr>
      </w:pPr>
      <w:r w:rsidRPr="00DC75CC">
        <w:rPr>
          <w:rFonts w:asciiTheme="majorHAnsi" w:hAnsiTheme="majorHAnsi"/>
          <w:sz w:val="20"/>
        </w:rPr>
        <w:t>Los únicos observadores de la misma nacionalidad a bordo de buques se encontraban en buques turcos, lo que se debe a la cuestión lingüística. Además, se utilizaron observadores turcos en las granjas turcas.</w:t>
      </w:r>
    </w:p>
    <w:p w14:paraId="50E6F614" w14:textId="477B3741" w:rsidR="00CF1528" w:rsidRPr="00DC75CC" w:rsidRDefault="00CF1528" w:rsidP="00F36743">
      <w:pPr>
        <w:jc w:val="both"/>
        <w:rPr>
          <w:rFonts w:asciiTheme="majorHAnsi" w:hAnsiTheme="majorHAnsi"/>
          <w:sz w:val="20"/>
          <w:szCs w:val="20"/>
        </w:rPr>
      </w:pPr>
    </w:p>
    <w:p w14:paraId="5D039838" w14:textId="26DBAAFE" w:rsidR="00CF1528" w:rsidRPr="00DC75CC" w:rsidRDefault="00EF67B8" w:rsidP="00F36743">
      <w:pPr>
        <w:jc w:val="both"/>
        <w:rPr>
          <w:rFonts w:asciiTheme="majorHAnsi" w:hAnsiTheme="majorHAnsi"/>
          <w:sz w:val="20"/>
          <w:szCs w:val="20"/>
        </w:rPr>
      </w:pPr>
      <w:r w:rsidRPr="00DC75CC">
        <w:rPr>
          <w:rFonts w:asciiTheme="majorHAnsi" w:hAnsiTheme="majorHAnsi"/>
          <w:sz w:val="20"/>
        </w:rPr>
        <w:t>Bajo la autoridad de las CPC correspondientes, los observadores para las operaciones de introducción en jaulas y sacrificio fueron compartidos por UE-España, UE-Croacia, UE-Malta, Túnez y Türkiye (que tiene una granja con tres licencias y, por lo tanto, tres números ICCAT, pero opera como una sola granja en la misma ubicación, como ha sido el caso desde el inicio del programa).</w:t>
      </w:r>
    </w:p>
    <w:p w14:paraId="5800149E" w14:textId="77777777" w:rsidR="00EA6C30" w:rsidRPr="00DC75CC" w:rsidRDefault="00EA6C30" w:rsidP="00F36743">
      <w:pPr>
        <w:jc w:val="both"/>
        <w:rPr>
          <w:rFonts w:asciiTheme="majorHAnsi" w:hAnsiTheme="majorHAnsi"/>
          <w:sz w:val="20"/>
          <w:szCs w:val="20"/>
        </w:rPr>
      </w:pPr>
    </w:p>
    <w:p w14:paraId="06FA8C32" w14:textId="7E2D333D" w:rsidR="008D5E10" w:rsidRPr="00DC75CC" w:rsidRDefault="003464A5" w:rsidP="00F36743">
      <w:pPr>
        <w:jc w:val="both"/>
        <w:rPr>
          <w:rFonts w:asciiTheme="majorHAnsi" w:hAnsiTheme="majorHAnsi"/>
          <w:sz w:val="20"/>
          <w:szCs w:val="20"/>
        </w:rPr>
      </w:pPr>
      <w:r w:rsidRPr="00DC75CC">
        <w:rPr>
          <w:rFonts w:asciiTheme="majorHAnsi" w:hAnsiTheme="majorHAnsi"/>
          <w:sz w:val="20"/>
        </w:rPr>
        <w:t xml:space="preserve">La lista de buques con pabellón de las siete CPC que participan en el programa se adjunta como </w:t>
      </w:r>
      <w:r w:rsidRPr="00DC75CC">
        <w:rPr>
          <w:rFonts w:asciiTheme="majorHAnsi" w:hAnsiTheme="majorHAnsi"/>
          <w:b/>
          <w:bCs/>
          <w:sz w:val="20"/>
        </w:rPr>
        <w:t>Tabla 1</w:t>
      </w:r>
      <w:r w:rsidRPr="00DC75CC">
        <w:rPr>
          <w:rFonts w:asciiTheme="majorHAnsi" w:hAnsiTheme="majorHAnsi"/>
          <w:sz w:val="20"/>
        </w:rPr>
        <w:t xml:space="preserve">. </w:t>
      </w:r>
    </w:p>
    <w:p w14:paraId="54E1155B" w14:textId="77777777" w:rsidR="008D5E10" w:rsidRPr="00DC75CC" w:rsidRDefault="008D5E10" w:rsidP="00F36743">
      <w:pPr>
        <w:jc w:val="both"/>
        <w:rPr>
          <w:rFonts w:asciiTheme="majorHAnsi" w:hAnsiTheme="majorHAnsi"/>
          <w:sz w:val="20"/>
          <w:szCs w:val="20"/>
        </w:rPr>
      </w:pPr>
    </w:p>
    <w:p w14:paraId="59FD30EE" w14:textId="5015967C" w:rsidR="008D5E10" w:rsidRPr="00DC75CC" w:rsidRDefault="008D5E10" w:rsidP="00F36743">
      <w:pPr>
        <w:jc w:val="both"/>
        <w:rPr>
          <w:rFonts w:asciiTheme="majorHAnsi" w:hAnsiTheme="majorHAnsi"/>
          <w:sz w:val="20"/>
          <w:szCs w:val="20"/>
        </w:rPr>
      </w:pPr>
      <w:r w:rsidRPr="00DC75CC">
        <w:rPr>
          <w:rFonts w:asciiTheme="majorHAnsi" w:hAnsiTheme="majorHAnsi"/>
          <w:sz w:val="20"/>
        </w:rPr>
        <w:t>Desde 2009, se han solicitado 940</w:t>
      </w:r>
      <w:r w:rsidRPr="00DC75CC">
        <w:rPr>
          <w:rStyle w:val="FootnoteReference"/>
          <w:rFonts w:asciiTheme="majorHAnsi" w:hAnsiTheme="majorHAnsi"/>
          <w:sz w:val="20"/>
          <w:szCs w:val="20"/>
          <w:lang w:val="en-GB"/>
        </w:rPr>
        <w:footnoteReference w:id="1"/>
      </w:r>
      <w:r w:rsidRPr="00DC75CC">
        <w:rPr>
          <w:rFonts w:asciiTheme="majorHAnsi" w:hAnsiTheme="majorHAnsi"/>
          <w:sz w:val="20"/>
        </w:rPr>
        <w:t xml:space="preserve"> asignaciones en granjas y 29 en almadrabas, tal y como se muestra en la </w:t>
      </w:r>
      <w:r w:rsidRPr="00DC75CC">
        <w:rPr>
          <w:rFonts w:asciiTheme="majorHAnsi" w:hAnsiTheme="majorHAnsi"/>
          <w:b/>
          <w:bCs/>
          <w:sz w:val="20"/>
        </w:rPr>
        <w:t>Tabla 2</w:t>
      </w:r>
      <w:r w:rsidRPr="00DC75CC">
        <w:rPr>
          <w:rFonts w:asciiTheme="majorHAnsi" w:hAnsiTheme="majorHAnsi"/>
          <w:sz w:val="20"/>
        </w:rPr>
        <w:t>.</w:t>
      </w:r>
      <w:r w:rsidRPr="00DC75CC">
        <w:rPr>
          <w:rFonts w:asciiTheme="majorHAnsi" w:hAnsiTheme="majorHAnsi"/>
          <w:b/>
          <w:sz w:val="20"/>
        </w:rPr>
        <w:t xml:space="preserve"> </w:t>
      </w:r>
      <w:r w:rsidRPr="00DC75CC">
        <w:rPr>
          <w:rFonts w:asciiTheme="majorHAnsi" w:hAnsiTheme="majorHAnsi"/>
          <w:sz w:val="20"/>
        </w:rPr>
        <w:t xml:space="preserve">La lista de granjas participantes en el programa se adjunta como </w:t>
      </w:r>
      <w:r w:rsidRPr="00DC75CC">
        <w:rPr>
          <w:rFonts w:asciiTheme="majorHAnsi" w:hAnsiTheme="majorHAnsi"/>
          <w:b/>
          <w:bCs/>
          <w:sz w:val="20"/>
        </w:rPr>
        <w:t>Tabla 3</w:t>
      </w:r>
      <w:r w:rsidRPr="00DC75CC">
        <w:rPr>
          <w:rFonts w:asciiTheme="majorHAnsi" w:hAnsiTheme="majorHAnsi"/>
          <w:sz w:val="20"/>
        </w:rPr>
        <w:t xml:space="preserve"> y la lista de almadrabas observadas por los observadores regionales como </w:t>
      </w:r>
      <w:r w:rsidRPr="00DC75CC">
        <w:rPr>
          <w:rFonts w:asciiTheme="majorHAnsi" w:hAnsiTheme="majorHAnsi"/>
          <w:b/>
          <w:bCs/>
          <w:sz w:val="20"/>
        </w:rPr>
        <w:t>Tabla 4</w:t>
      </w:r>
      <w:r w:rsidRPr="00DC75CC">
        <w:rPr>
          <w:rFonts w:asciiTheme="majorHAnsi" w:hAnsiTheme="majorHAnsi"/>
          <w:sz w:val="20"/>
        </w:rPr>
        <w:t xml:space="preserve">.  </w:t>
      </w:r>
    </w:p>
    <w:p w14:paraId="614AF160" w14:textId="77777777" w:rsidR="008D5E10" w:rsidRPr="00DC75CC" w:rsidRDefault="008D5E10" w:rsidP="00F36743">
      <w:pPr>
        <w:jc w:val="both"/>
        <w:rPr>
          <w:rFonts w:asciiTheme="majorHAnsi" w:hAnsiTheme="majorHAnsi"/>
          <w:sz w:val="20"/>
          <w:szCs w:val="20"/>
        </w:rPr>
      </w:pPr>
    </w:p>
    <w:p w14:paraId="3EB9F7EB" w14:textId="731C41D1" w:rsidR="00FA27EF" w:rsidRPr="00DC75CC" w:rsidRDefault="008D5E10" w:rsidP="00F36743">
      <w:pPr>
        <w:jc w:val="both"/>
        <w:rPr>
          <w:rFonts w:asciiTheme="majorHAnsi" w:hAnsiTheme="majorHAnsi"/>
          <w:sz w:val="20"/>
          <w:szCs w:val="20"/>
        </w:rPr>
      </w:pPr>
      <w:r w:rsidRPr="00DC75CC">
        <w:rPr>
          <w:rFonts w:asciiTheme="majorHAnsi" w:hAnsiTheme="majorHAnsi"/>
          <w:sz w:val="20"/>
        </w:rPr>
        <w:t xml:space="preserve">Todos los informes de los observadores se han puesto a disposición de las CPC como Anexos 1 y 2 del documento "Cuestiones de posible incumplimiento derivadas de los </w:t>
      </w:r>
      <w:r w:rsidR="004803DD">
        <w:rPr>
          <w:rFonts w:asciiTheme="majorHAnsi" w:hAnsiTheme="majorHAnsi"/>
          <w:sz w:val="20"/>
        </w:rPr>
        <w:t>p</w:t>
      </w:r>
      <w:r w:rsidRPr="00DC75CC">
        <w:rPr>
          <w:rFonts w:asciiTheme="majorHAnsi" w:hAnsiTheme="majorHAnsi"/>
          <w:sz w:val="20"/>
        </w:rPr>
        <w:t>rogramas regionales de observadores de ICCAT y respuestas" [COC_305/2025].</w:t>
      </w:r>
      <w:r w:rsidRPr="00DC75CC">
        <w:rPr>
          <w:rFonts w:asciiTheme="majorHAnsi" w:hAnsiTheme="majorHAnsi"/>
          <w:b/>
          <w:sz w:val="20"/>
        </w:rPr>
        <w:t xml:space="preserve"> </w:t>
      </w:r>
      <w:r w:rsidRPr="00DC75CC">
        <w:rPr>
          <w:rFonts w:asciiTheme="majorHAnsi" w:hAnsiTheme="majorHAnsi"/>
          <w:sz w:val="20"/>
        </w:rPr>
        <w:t xml:space="preserve">Las listas de posibles incumplimientos detectados por los observadores en buques, granjas y almadrabas figuran en el Apéndice 2 y Apéndice 3 </w:t>
      </w:r>
      <w:r w:rsidR="00DC75CC">
        <w:rPr>
          <w:rFonts w:asciiTheme="majorHAnsi" w:hAnsiTheme="majorHAnsi"/>
          <w:sz w:val="20"/>
        </w:rPr>
        <w:t>a</w:t>
      </w:r>
      <w:r w:rsidRPr="00DC75CC">
        <w:rPr>
          <w:rFonts w:asciiTheme="majorHAnsi" w:hAnsiTheme="majorHAnsi"/>
          <w:sz w:val="20"/>
        </w:rPr>
        <w:t xml:space="preserve">l documento </w:t>
      </w:r>
      <w:r w:rsidR="00DC75CC">
        <w:rPr>
          <w:rFonts w:asciiTheme="majorHAnsi" w:hAnsiTheme="majorHAnsi"/>
          <w:sz w:val="20"/>
        </w:rPr>
        <w:t>[</w:t>
      </w:r>
      <w:r w:rsidRPr="00DC75CC">
        <w:rPr>
          <w:rFonts w:asciiTheme="majorHAnsi" w:hAnsiTheme="majorHAnsi"/>
          <w:sz w:val="20"/>
        </w:rPr>
        <w:t>COC_305/2025</w:t>
      </w:r>
      <w:r w:rsidR="00DC75CC">
        <w:rPr>
          <w:rFonts w:asciiTheme="majorHAnsi" w:hAnsiTheme="majorHAnsi"/>
          <w:sz w:val="20"/>
        </w:rPr>
        <w:t>]</w:t>
      </w:r>
      <w:r w:rsidRPr="00DC75CC">
        <w:rPr>
          <w:rFonts w:asciiTheme="majorHAnsi" w:hAnsiTheme="majorHAnsi"/>
          <w:sz w:val="20"/>
        </w:rPr>
        <w:t xml:space="preserve">, junto con las respuestas recibidas. </w:t>
      </w:r>
    </w:p>
    <w:p w14:paraId="16219F9D" w14:textId="4C60D914" w:rsidR="002847E5" w:rsidRPr="00DC75CC" w:rsidRDefault="002847E5" w:rsidP="00F36743">
      <w:pPr>
        <w:jc w:val="both"/>
        <w:rPr>
          <w:rFonts w:asciiTheme="majorHAnsi" w:hAnsiTheme="majorHAnsi"/>
          <w:sz w:val="20"/>
          <w:szCs w:val="20"/>
        </w:rPr>
      </w:pPr>
    </w:p>
    <w:p w14:paraId="76FECE57" w14:textId="51432BE3" w:rsidR="002847E5" w:rsidRPr="00DC75CC" w:rsidRDefault="002847E5" w:rsidP="00F36743">
      <w:pPr>
        <w:jc w:val="both"/>
        <w:rPr>
          <w:rFonts w:asciiTheme="majorHAnsi" w:hAnsiTheme="majorHAnsi"/>
          <w:sz w:val="20"/>
          <w:szCs w:val="20"/>
        </w:rPr>
      </w:pPr>
      <w:r w:rsidRPr="00DC75CC">
        <w:rPr>
          <w:rFonts w:asciiTheme="majorHAnsi" w:hAnsiTheme="majorHAnsi"/>
          <w:sz w:val="20"/>
        </w:rPr>
        <w:t>El consorcio MRAG/COFREPECH sigue implementando el programa. El informe del consorcio, disponible como Anexo 1, con su resumen ejecutivo se adjunta como Apéndice 1, incluye más detalles sobre la implementación del programa.</w:t>
      </w:r>
    </w:p>
    <w:p w14:paraId="09C41499" w14:textId="77777777" w:rsidR="008D5E10" w:rsidRPr="00DC75CC" w:rsidRDefault="008D5E10" w:rsidP="00F36743">
      <w:pPr>
        <w:jc w:val="both"/>
        <w:rPr>
          <w:rFonts w:asciiTheme="majorHAnsi" w:hAnsiTheme="majorHAnsi"/>
          <w:sz w:val="20"/>
          <w:szCs w:val="20"/>
        </w:rPr>
      </w:pPr>
    </w:p>
    <w:p w14:paraId="1FD31AE6" w14:textId="77777777" w:rsidR="007430AA" w:rsidRPr="00DC75CC" w:rsidRDefault="007430AA" w:rsidP="00F36743">
      <w:pPr>
        <w:jc w:val="both"/>
        <w:rPr>
          <w:rFonts w:asciiTheme="majorHAnsi" w:hAnsiTheme="majorHAnsi"/>
          <w:sz w:val="20"/>
          <w:szCs w:val="20"/>
        </w:rPr>
      </w:pPr>
    </w:p>
    <w:p w14:paraId="3AB7743B" w14:textId="77777777" w:rsidR="007430AA" w:rsidRPr="00DC75CC" w:rsidRDefault="007430AA" w:rsidP="00F36743">
      <w:pPr>
        <w:jc w:val="both"/>
        <w:rPr>
          <w:rFonts w:asciiTheme="majorHAnsi" w:hAnsiTheme="majorHAnsi"/>
          <w:sz w:val="20"/>
          <w:szCs w:val="20"/>
        </w:rPr>
      </w:pPr>
    </w:p>
    <w:p w14:paraId="408AFFF7" w14:textId="77777777" w:rsidR="007430AA" w:rsidRPr="00DC75CC" w:rsidRDefault="007430AA" w:rsidP="00F36743">
      <w:pPr>
        <w:jc w:val="both"/>
        <w:rPr>
          <w:rFonts w:asciiTheme="majorHAnsi" w:hAnsiTheme="majorHAnsi"/>
          <w:sz w:val="20"/>
          <w:szCs w:val="20"/>
        </w:rPr>
      </w:pPr>
    </w:p>
    <w:p w14:paraId="6C2EB858" w14:textId="77777777" w:rsidR="007430AA" w:rsidRPr="00DC75CC" w:rsidRDefault="007430AA" w:rsidP="00F36743">
      <w:pPr>
        <w:jc w:val="both"/>
        <w:rPr>
          <w:rFonts w:asciiTheme="majorHAnsi" w:hAnsiTheme="majorHAnsi"/>
          <w:sz w:val="20"/>
          <w:szCs w:val="20"/>
        </w:rPr>
      </w:pPr>
    </w:p>
    <w:p w14:paraId="18582FBD" w14:textId="2F8A6AC4" w:rsidR="008D5E10" w:rsidRPr="00DC75CC" w:rsidRDefault="008639C3" w:rsidP="00F36743">
      <w:pPr>
        <w:jc w:val="both"/>
        <w:rPr>
          <w:rFonts w:asciiTheme="majorHAnsi" w:hAnsiTheme="majorHAnsi"/>
          <w:sz w:val="20"/>
          <w:szCs w:val="20"/>
        </w:rPr>
      </w:pPr>
      <w:r w:rsidRPr="00DC75CC">
        <w:rPr>
          <w:rFonts w:asciiTheme="majorHAnsi" w:hAnsiTheme="majorHAnsi"/>
          <w:sz w:val="20"/>
        </w:rPr>
        <w:lastRenderedPageBreak/>
        <w:t xml:space="preserve">El hecho de que no se sigan los procedimientos para solicitar las asignaciones y ampliaciones de asignaciones aprobadas sigue generando dificultades para la implementación, por ejemplo, solicitudes después de 96 horas o solicitudes de observadores no acompañadas de pruebas de pago. Cabe señalar que la Secretaría no puede procesar ninguna solicitud para la que no se haya realizado el pago. Además, varias solicitudes de asignaciones en buques se envían con antelación pero se cancelan más tarde, lo que crea problemas para la logística, ya que a menudo no se conoce el puerto de embarque (o se cambia) muy cerca del inicio de la campaña. </w:t>
      </w:r>
    </w:p>
    <w:p w14:paraId="62538FF3" w14:textId="3AC63E63" w:rsidR="003537A6" w:rsidRPr="00DC75CC" w:rsidRDefault="003537A6" w:rsidP="00F36743">
      <w:pPr>
        <w:jc w:val="both"/>
        <w:rPr>
          <w:rFonts w:asciiTheme="majorHAnsi" w:hAnsiTheme="majorHAnsi"/>
          <w:sz w:val="20"/>
          <w:szCs w:val="20"/>
        </w:rPr>
      </w:pPr>
    </w:p>
    <w:p w14:paraId="27A02300" w14:textId="1D335191" w:rsidR="00630AB7" w:rsidRPr="00DC75CC" w:rsidRDefault="00804604" w:rsidP="00F36743">
      <w:pPr>
        <w:jc w:val="both"/>
        <w:rPr>
          <w:rFonts w:asciiTheme="majorHAnsi" w:hAnsiTheme="majorHAnsi"/>
          <w:sz w:val="20"/>
          <w:szCs w:val="20"/>
        </w:rPr>
      </w:pPr>
      <w:r w:rsidRPr="00DC75CC">
        <w:rPr>
          <w:rFonts w:asciiTheme="majorHAnsi" w:hAnsiTheme="majorHAnsi"/>
          <w:sz w:val="20"/>
        </w:rPr>
        <w:t>En 2025, no fue necesario proporcionar al Consorcio sellos adicionales de ICCAT para que los observadores regionales los utilizaran en las jaulas de transporte en los casos en que las transferencias voluntarias no fueran de calidad suficiente para permitir el recuento correcto de los peces, de conformidad con el párrafo</w:t>
      </w:r>
      <w:r w:rsidR="00DC75CC">
        <w:rPr>
          <w:rFonts w:asciiTheme="majorHAnsi" w:hAnsiTheme="majorHAnsi"/>
          <w:sz w:val="20"/>
        </w:rPr>
        <w:t> </w:t>
      </w:r>
      <w:r w:rsidRPr="00DC75CC">
        <w:rPr>
          <w:rFonts w:asciiTheme="majorHAnsi" w:hAnsiTheme="majorHAnsi"/>
          <w:sz w:val="20"/>
        </w:rPr>
        <w:t xml:space="preserve">128 de la </w:t>
      </w:r>
      <w:hyperlink r:id="rId12" w:history="1">
        <w:r w:rsidRPr="00DC75CC">
          <w:rPr>
            <w:rStyle w:val="Hyperlink"/>
            <w:rFonts w:asciiTheme="majorHAnsi" w:hAnsiTheme="majorHAnsi"/>
            <w:sz w:val="20"/>
            <w:highlight w:val="yellow"/>
            <w:u w:val="none"/>
          </w:rPr>
          <w:t>Rec. 24-05</w:t>
        </w:r>
      </w:hyperlink>
      <w:r w:rsidRPr="00DC75CC">
        <w:rPr>
          <w:rFonts w:asciiTheme="majorHAnsi" w:hAnsiTheme="majorHAnsi"/>
          <w:sz w:val="20"/>
        </w:rPr>
        <w:t>, ya que aún disponían de una cantidad suficiente de sellos para llevar a cabo estas operaciones cuando fuera necesario.</w:t>
      </w:r>
    </w:p>
    <w:p w14:paraId="187E407A" w14:textId="77777777" w:rsidR="008B10B1" w:rsidRPr="00DC75CC" w:rsidRDefault="008B10B1" w:rsidP="00F36743">
      <w:pPr>
        <w:jc w:val="both"/>
        <w:rPr>
          <w:rFonts w:asciiTheme="majorHAnsi" w:hAnsiTheme="majorHAnsi"/>
          <w:sz w:val="20"/>
          <w:szCs w:val="20"/>
        </w:rPr>
      </w:pPr>
    </w:p>
    <w:p w14:paraId="59685E67" w14:textId="77777777" w:rsidR="00311FD3" w:rsidRPr="00DC75CC" w:rsidRDefault="00311FD3" w:rsidP="00F36743">
      <w:pPr>
        <w:jc w:val="both"/>
        <w:rPr>
          <w:rFonts w:asciiTheme="majorHAnsi" w:hAnsiTheme="majorHAnsi"/>
          <w:sz w:val="20"/>
          <w:szCs w:val="20"/>
        </w:rPr>
      </w:pPr>
      <w:r w:rsidRPr="00DC75CC">
        <w:rPr>
          <w:rFonts w:asciiTheme="majorHAnsi" w:hAnsiTheme="majorHAnsi"/>
          <w:b/>
          <w:sz w:val="20"/>
        </w:rPr>
        <w:t xml:space="preserve">Implementación futura </w:t>
      </w:r>
    </w:p>
    <w:p w14:paraId="13FA7674" w14:textId="77777777" w:rsidR="00311FD3" w:rsidRPr="00DC75CC" w:rsidRDefault="00311FD3" w:rsidP="00F36743">
      <w:pPr>
        <w:autoSpaceDE w:val="0"/>
        <w:autoSpaceDN w:val="0"/>
        <w:adjustRightInd w:val="0"/>
        <w:jc w:val="both"/>
        <w:rPr>
          <w:rFonts w:asciiTheme="majorHAnsi" w:hAnsiTheme="majorHAnsi"/>
          <w:sz w:val="20"/>
          <w:szCs w:val="20"/>
        </w:rPr>
      </w:pPr>
    </w:p>
    <w:p w14:paraId="69010B5A" w14:textId="4AFCD5BF" w:rsidR="00F777BA" w:rsidRPr="00DC75CC" w:rsidRDefault="00F777BA" w:rsidP="00F36743">
      <w:pPr>
        <w:jc w:val="both"/>
        <w:rPr>
          <w:rFonts w:asciiTheme="majorHAnsi" w:hAnsiTheme="majorHAnsi"/>
          <w:sz w:val="20"/>
          <w:szCs w:val="20"/>
        </w:rPr>
      </w:pPr>
      <w:r w:rsidRPr="00DC75CC">
        <w:rPr>
          <w:rFonts w:asciiTheme="majorHAnsi" w:hAnsiTheme="majorHAnsi"/>
          <w:sz w:val="20"/>
        </w:rPr>
        <w:t xml:space="preserve">Actualmente, no se prevé ningún cambio significativo en la implementación del ROP-BFT, a menos que lo requiera cualquier nueva medida adoptada por la Comisión. A corto plazo, las solicitudes de asignación anticipadas facilitarán la asignación a tiempo. </w:t>
      </w:r>
    </w:p>
    <w:p w14:paraId="54D3CA8E" w14:textId="77777777" w:rsidR="00BF307D" w:rsidRPr="00DC75CC" w:rsidRDefault="00BF307D" w:rsidP="00F36743">
      <w:pPr>
        <w:jc w:val="both"/>
        <w:rPr>
          <w:rFonts w:asciiTheme="majorHAnsi" w:hAnsiTheme="majorHAnsi"/>
          <w:bCs/>
          <w:sz w:val="20"/>
          <w:szCs w:val="20"/>
        </w:rPr>
      </w:pPr>
    </w:p>
    <w:p w14:paraId="681D7501" w14:textId="53B3CF81" w:rsidR="00013B36" w:rsidRPr="00DC75CC" w:rsidRDefault="00013B36" w:rsidP="00F36743">
      <w:pPr>
        <w:rPr>
          <w:rFonts w:asciiTheme="majorHAnsi" w:hAnsiTheme="majorHAnsi"/>
          <w:bCs/>
          <w:sz w:val="20"/>
          <w:szCs w:val="20"/>
        </w:rPr>
      </w:pPr>
    </w:p>
    <w:tbl>
      <w:tblPr>
        <w:tblW w:w="5000" w:type="pct"/>
        <w:jc w:val="center"/>
        <w:tblLook w:val="04A0" w:firstRow="1" w:lastRow="0" w:firstColumn="1" w:lastColumn="0" w:noHBand="0" w:noVBand="1"/>
      </w:tblPr>
      <w:tblGrid>
        <w:gridCol w:w="1671"/>
        <w:gridCol w:w="4590"/>
        <w:gridCol w:w="2809"/>
      </w:tblGrid>
      <w:tr w:rsidR="00A076B6" w:rsidRPr="00DC75CC" w14:paraId="6A034295" w14:textId="77777777" w:rsidTr="00A076B6">
        <w:trPr>
          <w:trHeight w:val="288"/>
          <w:tblHeader/>
          <w:jc w:val="center"/>
        </w:trPr>
        <w:tc>
          <w:tcPr>
            <w:tcW w:w="0" w:type="auto"/>
            <w:gridSpan w:val="3"/>
            <w:tcBorders>
              <w:bottom w:val="single" w:sz="4" w:space="0" w:color="auto"/>
            </w:tcBorders>
            <w:noWrap/>
            <w:vAlign w:val="bottom"/>
          </w:tcPr>
          <w:p w14:paraId="5AEA4FC6" w14:textId="3A63EBF6" w:rsidR="00A076B6" w:rsidRPr="00DC75CC" w:rsidRDefault="00A076B6" w:rsidP="00A076B6">
            <w:pPr>
              <w:widowControl w:val="0"/>
              <w:rPr>
                <w:rFonts w:asciiTheme="majorHAnsi" w:hAnsiTheme="majorHAnsi"/>
                <w:color w:val="000000"/>
                <w:sz w:val="20"/>
                <w:szCs w:val="20"/>
              </w:rPr>
            </w:pPr>
            <w:r w:rsidRPr="00DC75CC">
              <w:rPr>
                <w:rFonts w:asciiTheme="majorHAnsi" w:hAnsiTheme="majorHAnsi"/>
                <w:b/>
                <w:color w:val="000000"/>
                <w:sz w:val="20"/>
              </w:rPr>
              <w:lastRenderedPageBreak/>
              <w:t>Tabla 1</w:t>
            </w:r>
            <w:r w:rsidRPr="00DC75CC">
              <w:rPr>
                <w:rFonts w:asciiTheme="majorHAnsi" w:hAnsiTheme="majorHAnsi"/>
                <w:color w:val="000000"/>
                <w:sz w:val="20"/>
              </w:rPr>
              <w:t>. Lista de buques cerqueros que operaron en 2025.</w:t>
            </w:r>
          </w:p>
        </w:tc>
      </w:tr>
      <w:tr w:rsidR="00D3469D" w:rsidRPr="00DC75CC" w14:paraId="21E93A27" w14:textId="77777777" w:rsidTr="00C75467">
        <w:trPr>
          <w:trHeight w:val="288"/>
          <w:tblHeader/>
          <w:jc w:val="center"/>
        </w:trPr>
        <w:tc>
          <w:tcPr>
            <w:tcW w:w="0" w:type="auto"/>
            <w:tcBorders>
              <w:top w:val="single" w:sz="4" w:space="0" w:color="auto"/>
              <w:bottom w:val="single" w:sz="4" w:space="0" w:color="auto"/>
            </w:tcBorders>
            <w:noWrap/>
            <w:vAlign w:val="bottom"/>
            <w:hideMark/>
          </w:tcPr>
          <w:p w14:paraId="102D05AE" w14:textId="77777777" w:rsidR="00BF307D" w:rsidRPr="00DC75CC" w:rsidRDefault="00BF307D" w:rsidP="0073483A">
            <w:pPr>
              <w:widowControl w:val="0"/>
              <w:rPr>
                <w:rFonts w:asciiTheme="majorHAnsi" w:hAnsiTheme="majorHAnsi"/>
                <w:b/>
                <w:bCs/>
                <w:i/>
                <w:iCs/>
                <w:color w:val="000000"/>
                <w:sz w:val="20"/>
                <w:szCs w:val="20"/>
              </w:rPr>
            </w:pPr>
            <w:r w:rsidRPr="00DC75CC">
              <w:rPr>
                <w:rFonts w:asciiTheme="majorHAnsi" w:hAnsiTheme="majorHAnsi"/>
                <w:b/>
                <w:i/>
                <w:color w:val="000000"/>
                <w:sz w:val="20"/>
              </w:rPr>
              <w:t>CPC</w:t>
            </w:r>
          </w:p>
        </w:tc>
        <w:tc>
          <w:tcPr>
            <w:tcW w:w="0" w:type="auto"/>
            <w:tcBorders>
              <w:top w:val="single" w:sz="4" w:space="0" w:color="auto"/>
              <w:bottom w:val="single" w:sz="4" w:space="0" w:color="auto"/>
            </w:tcBorders>
            <w:noWrap/>
            <w:vAlign w:val="bottom"/>
            <w:hideMark/>
          </w:tcPr>
          <w:p w14:paraId="2A3F9AAF" w14:textId="77777777" w:rsidR="00BF307D" w:rsidRPr="00DC75CC" w:rsidRDefault="00BF307D" w:rsidP="0073483A">
            <w:pPr>
              <w:widowControl w:val="0"/>
              <w:rPr>
                <w:rFonts w:asciiTheme="majorHAnsi" w:hAnsiTheme="majorHAnsi"/>
                <w:b/>
                <w:bCs/>
                <w:i/>
                <w:iCs/>
                <w:color w:val="000000"/>
                <w:sz w:val="20"/>
                <w:szCs w:val="20"/>
              </w:rPr>
            </w:pPr>
            <w:r w:rsidRPr="00DC75CC">
              <w:rPr>
                <w:rFonts w:asciiTheme="majorHAnsi" w:hAnsiTheme="majorHAnsi"/>
                <w:b/>
                <w:i/>
                <w:color w:val="000000"/>
                <w:sz w:val="20"/>
              </w:rPr>
              <w:t>Información detallada del buque:</w:t>
            </w:r>
          </w:p>
        </w:tc>
        <w:tc>
          <w:tcPr>
            <w:tcW w:w="0" w:type="auto"/>
            <w:tcBorders>
              <w:top w:val="single" w:sz="4" w:space="0" w:color="auto"/>
              <w:bottom w:val="single" w:sz="4" w:space="0" w:color="auto"/>
            </w:tcBorders>
            <w:noWrap/>
            <w:vAlign w:val="bottom"/>
            <w:hideMark/>
          </w:tcPr>
          <w:p w14:paraId="4C1021B0" w14:textId="60C2C557" w:rsidR="00BF307D" w:rsidRPr="00DC75CC" w:rsidRDefault="00BF307D" w:rsidP="0073483A">
            <w:pPr>
              <w:widowControl w:val="0"/>
              <w:jc w:val="center"/>
              <w:rPr>
                <w:rFonts w:asciiTheme="majorHAnsi" w:hAnsiTheme="majorHAnsi"/>
                <w:b/>
                <w:bCs/>
                <w:i/>
                <w:iCs/>
                <w:color w:val="000000"/>
                <w:sz w:val="20"/>
                <w:szCs w:val="20"/>
              </w:rPr>
            </w:pPr>
            <w:r w:rsidRPr="00DC75CC">
              <w:rPr>
                <w:rFonts w:asciiTheme="majorHAnsi" w:hAnsiTheme="majorHAnsi"/>
                <w:b/>
                <w:i/>
                <w:color w:val="000000"/>
                <w:sz w:val="20"/>
              </w:rPr>
              <w:t>Número de registro</w:t>
            </w:r>
          </w:p>
        </w:tc>
      </w:tr>
      <w:tr w:rsidR="00D3469D" w:rsidRPr="00DC75CC" w14:paraId="2650B83B" w14:textId="77777777" w:rsidTr="00D3469D">
        <w:trPr>
          <w:trHeight w:val="288"/>
          <w:tblHeader/>
          <w:jc w:val="center"/>
        </w:trPr>
        <w:tc>
          <w:tcPr>
            <w:tcW w:w="0" w:type="auto"/>
            <w:tcBorders>
              <w:top w:val="single" w:sz="4" w:space="0" w:color="auto"/>
              <w:left w:val="nil"/>
              <w:bottom w:val="nil"/>
              <w:right w:val="nil"/>
            </w:tcBorders>
            <w:noWrap/>
            <w:vAlign w:val="bottom"/>
            <w:hideMark/>
          </w:tcPr>
          <w:p w14:paraId="0B689C26"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Albania</w:t>
            </w:r>
          </w:p>
        </w:tc>
        <w:tc>
          <w:tcPr>
            <w:tcW w:w="0" w:type="auto"/>
            <w:tcBorders>
              <w:top w:val="single" w:sz="4" w:space="0" w:color="auto"/>
              <w:left w:val="nil"/>
              <w:bottom w:val="nil"/>
              <w:right w:val="nil"/>
            </w:tcBorders>
            <w:noWrap/>
            <w:vAlign w:val="bottom"/>
            <w:hideMark/>
          </w:tcPr>
          <w:p w14:paraId="473B1733"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Rozafa 15</w:t>
            </w:r>
          </w:p>
        </w:tc>
        <w:tc>
          <w:tcPr>
            <w:tcW w:w="0" w:type="auto"/>
            <w:tcBorders>
              <w:top w:val="single" w:sz="4" w:space="0" w:color="auto"/>
              <w:left w:val="nil"/>
              <w:bottom w:val="nil"/>
              <w:right w:val="nil"/>
            </w:tcBorders>
            <w:noWrap/>
            <w:vAlign w:val="bottom"/>
            <w:hideMark/>
          </w:tcPr>
          <w:p w14:paraId="40F5DE9D"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AT000ALB00010</w:t>
            </w:r>
          </w:p>
        </w:tc>
      </w:tr>
      <w:tr w:rsidR="00C27D6A" w:rsidRPr="00DC75CC" w14:paraId="74719B7B" w14:textId="77777777" w:rsidTr="00C75467">
        <w:trPr>
          <w:trHeight w:val="288"/>
          <w:tblHeader/>
          <w:jc w:val="center"/>
        </w:trPr>
        <w:tc>
          <w:tcPr>
            <w:tcW w:w="0" w:type="auto"/>
            <w:tcBorders>
              <w:top w:val="nil"/>
              <w:left w:val="nil"/>
              <w:bottom w:val="nil"/>
              <w:right w:val="nil"/>
            </w:tcBorders>
            <w:noWrap/>
            <w:vAlign w:val="bottom"/>
            <w:hideMark/>
          </w:tcPr>
          <w:p w14:paraId="02B99207"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Albania</w:t>
            </w:r>
          </w:p>
        </w:tc>
        <w:tc>
          <w:tcPr>
            <w:tcW w:w="0" w:type="auto"/>
            <w:tcBorders>
              <w:top w:val="nil"/>
              <w:left w:val="nil"/>
              <w:bottom w:val="nil"/>
              <w:right w:val="nil"/>
            </w:tcBorders>
            <w:noWrap/>
            <w:vAlign w:val="bottom"/>
            <w:hideMark/>
          </w:tcPr>
          <w:p w14:paraId="2423D8A2"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Rozafa 23</w:t>
            </w:r>
          </w:p>
        </w:tc>
        <w:tc>
          <w:tcPr>
            <w:tcW w:w="0" w:type="auto"/>
            <w:tcBorders>
              <w:top w:val="nil"/>
              <w:left w:val="nil"/>
              <w:bottom w:val="nil"/>
              <w:right w:val="nil"/>
            </w:tcBorders>
            <w:noWrap/>
            <w:vAlign w:val="bottom"/>
            <w:hideMark/>
          </w:tcPr>
          <w:p w14:paraId="0E3A7A47"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AT000ALB00011</w:t>
            </w:r>
          </w:p>
        </w:tc>
      </w:tr>
      <w:tr w:rsidR="00C27D6A" w:rsidRPr="00DC75CC" w14:paraId="484C4AEA" w14:textId="77777777" w:rsidTr="00C75467">
        <w:trPr>
          <w:trHeight w:val="288"/>
          <w:tblHeader/>
          <w:jc w:val="center"/>
        </w:trPr>
        <w:tc>
          <w:tcPr>
            <w:tcW w:w="0" w:type="auto"/>
            <w:tcBorders>
              <w:top w:val="nil"/>
              <w:left w:val="nil"/>
              <w:bottom w:val="nil"/>
              <w:right w:val="nil"/>
            </w:tcBorders>
            <w:noWrap/>
            <w:vAlign w:val="bottom"/>
            <w:hideMark/>
          </w:tcPr>
          <w:p w14:paraId="4566A589"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0DE94952"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SIDI SLIMANE</w:t>
            </w:r>
          </w:p>
        </w:tc>
        <w:tc>
          <w:tcPr>
            <w:tcW w:w="0" w:type="auto"/>
            <w:tcBorders>
              <w:top w:val="nil"/>
              <w:left w:val="nil"/>
              <w:bottom w:val="nil"/>
              <w:right w:val="nil"/>
            </w:tcBorders>
            <w:noWrap/>
            <w:vAlign w:val="bottom"/>
            <w:hideMark/>
          </w:tcPr>
          <w:p w14:paraId="49AE8C61"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AT000DZA00001</w:t>
            </w:r>
          </w:p>
        </w:tc>
      </w:tr>
      <w:tr w:rsidR="00C27D6A" w:rsidRPr="00DC75CC" w14:paraId="37B9C654" w14:textId="77777777" w:rsidTr="00C75467">
        <w:trPr>
          <w:trHeight w:val="288"/>
          <w:tblHeader/>
          <w:jc w:val="center"/>
        </w:trPr>
        <w:tc>
          <w:tcPr>
            <w:tcW w:w="0" w:type="auto"/>
            <w:tcBorders>
              <w:top w:val="nil"/>
              <w:left w:val="nil"/>
              <w:bottom w:val="nil"/>
              <w:right w:val="nil"/>
            </w:tcBorders>
            <w:noWrap/>
            <w:vAlign w:val="bottom"/>
            <w:hideMark/>
          </w:tcPr>
          <w:p w14:paraId="31E2DF81"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67A5324D"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NEPTUNE VI</w:t>
            </w:r>
          </w:p>
        </w:tc>
        <w:tc>
          <w:tcPr>
            <w:tcW w:w="0" w:type="auto"/>
            <w:tcBorders>
              <w:top w:val="nil"/>
              <w:left w:val="nil"/>
              <w:bottom w:val="nil"/>
              <w:right w:val="nil"/>
            </w:tcBorders>
            <w:noWrap/>
            <w:vAlign w:val="bottom"/>
            <w:hideMark/>
          </w:tcPr>
          <w:p w14:paraId="47879707"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AT000DZA00006</w:t>
            </w:r>
          </w:p>
        </w:tc>
      </w:tr>
      <w:tr w:rsidR="00C27D6A" w:rsidRPr="00DC75CC" w14:paraId="1E8403EF" w14:textId="77777777" w:rsidTr="00C75467">
        <w:trPr>
          <w:trHeight w:val="288"/>
          <w:tblHeader/>
          <w:jc w:val="center"/>
        </w:trPr>
        <w:tc>
          <w:tcPr>
            <w:tcW w:w="0" w:type="auto"/>
            <w:tcBorders>
              <w:top w:val="nil"/>
              <w:left w:val="nil"/>
              <w:bottom w:val="nil"/>
              <w:right w:val="nil"/>
            </w:tcBorders>
            <w:noWrap/>
            <w:vAlign w:val="bottom"/>
            <w:hideMark/>
          </w:tcPr>
          <w:p w14:paraId="6CFA55BC"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5AB8099A"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YOUNES I</w:t>
            </w:r>
          </w:p>
        </w:tc>
        <w:tc>
          <w:tcPr>
            <w:tcW w:w="0" w:type="auto"/>
            <w:tcBorders>
              <w:top w:val="nil"/>
              <w:left w:val="nil"/>
              <w:bottom w:val="nil"/>
              <w:right w:val="nil"/>
            </w:tcBorders>
            <w:noWrap/>
            <w:vAlign w:val="bottom"/>
            <w:hideMark/>
          </w:tcPr>
          <w:p w14:paraId="61553FF8"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AT000DZA00007</w:t>
            </w:r>
          </w:p>
        </w:tc>
      </w:tr>
      <w:tr w:rsidR="00C27D6A" w:rsidRPr="00DC75CC" w14:paraId="5E73949E" w14:textId="77777777" w:rsidTr="00C75467">
        <w:trPr>
          <w:trHeight w:val="288"/>
          <w:tblHeader/>
          <w:jc w:val="center"/>
        </w:trPr>
        <w:tc>
          <w:tcPr>
            <w:tcW w:w="0" w:type="auto"/>
            <w:tcBorders>
              <w:top w:val="nil"/>
              <w:left w:val="nil"/>
              <w:bottom w:val="nil"/>
              <w:right w:val="nil"/>
            </w:tcBorders>
            <w:noWrap/>
            <w:vAlign w:val="bottom"/>
            <w:hideMark/>
          </w:tcPr>
          <w:p w14:paraId="49979E72"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58A66536"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CHAHID HASNI SAIDI</w:t>
            </w:r>
          </w:p>
        </w:tc>
        <w:tc>
          <w:tcPr>
            <w:tcW w:w="0" w:type="auto"/>
            <w:tcBorders>
              <w:top w:val="nil"/>
              <w:left w:val="nil"/>
              <w:bottom w:val="nil"/>
              <w:right w:val="nil"/>
            </w:tcBorders>
            <w:noWrap/>
            <w:vAlign w:val="bottom"/>
            <w:hideMark/>
          </w:tcPr>
          <w:p w14:paraId="0285B4BE"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AT000DZA00009</w:t>
            </w:r>
          </w:p>
        </w:tc>
      </w:tr>
      <w:tr w:rsidR="00C27D6A" w:rsidRPr="00DC75CC" w14:paraId="36D008ED" w14:textId="77777777" w:rsidTr="00C75467">
        <w:trPr>
          <w:trHeight w:val="288"/>
          <w:tblHeader/>
          <w:jc w:val="center"/>
        </w:trPr>
        <w:tc>
          <w:tcPr>
            <w:tcW w:w="0" w:type="auto"/>
            <w:tcBorders>
              <w:top w:val="nil"/>
              <w:left w:val="nil"/>
              <w:bottom w:val="nil"/>
              <w:right w:val="nil"/>
            </w:tcBorders>
            <w:noWrap/>
            <w:vAlign w:val="bottom"/>
            <w:hideMark/>
          </w:tcPr>
          <w:p w14:paraId="13196910"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50E0585D"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BRAHAM</w:t>
            </w:r>
          </w:p>
        </w:tc>
        <w:tc>
          <w:tcPr>
            <w:tcW w:w="0" w:type="auto"/>
            <w:tcBorders>
              <w:top w:val="nil"/>
              <w:left w:val="nil"/>
              <w:bottom w:val="nil"/>
              <w:right w:val="nil"/>
            </w:tcBorders>
            <w:noWrap/>
            <w:vAlign w:val="bottom"/>
            <w:hideMark/>
          </w:tcPr>
          <w:p w14:paraId="49AAC18D"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AT000DZA00014</w:t>
            </w:r>
          </w:p>
        </w:tc>
      </w:tr>
      <w:tr w:rsidR="00C27D6A" w:rsidRPr="00DC75CC" w14:paraId="68FC7339" w14:textId="77777777" w:rsidTr="00C75467">
        <w:trPr>
          <w:trHeight w:val="288"/>
          <w:tblHeader/>
          <w:jc w:val="center"/>
        </w:trPr>
        <w:tc>
          <w:tcPr>
            <w:tcW w:w="0" w:type="auto"/>
            <w:tcBorders>
              <w:top w:val="nil"/>
              <w:left w:val="nil"/>
              <w:bottom w:val="nil"/>
              <w:right w:val="nil"/>
            </w:tcBorders>
            <w:noWrap/>
            <w:vAlign w:val="bottom"/>
            <w:hideMark/>
          </w:tcPr>
          <w:p w14:paraId="65F3499B"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415BB386"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BENI LOUMA</w:t>
            </w:r>
          </w:p>
        </w:tc>
        <w:tc>
          <w:tcPr>
            <w:tcW w:w="0" w:type="auto"/>
            <w:tcBorders>
              <w:top w:val="nil"/>
              <w:left w:val="nil"/>
              <w:bottom w:val="nil"/>
              <w:right w:val="nil"/>
            </w:tcBorders>
            <w:noWrap/>
            <w:vAlign w:val="bottom"/>
            <w:hideMark/>
          </w:tcPr>
          <w:p w14:paraId="7602EAF3"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AT000DZA00015</w:t>
            </w:r>
          </w:p>
        </w:tc>
      </w:tr>
      <w:tr w:rsidR="00C27D6A" w:rsidRPr="00DC75CC" w14:paraId="12C66388" w14:textId="77777777" w:rsidTr="00C75467">
        <w:trPr>
          <w:trHeight w:val="288"/>
          <w:tblHeader/>
          <w:jc w:val="center"/>
        </w:trPr>
        <w:tc>
          <w:tcPr>
            <w:tcW w:w="0" w:type="auto"/>
            <w:tcBorders>
              <w:top w:val="nil"/>
              <w:left w:val="nil"/>
              <w:bottom w:val="nil"/>
              <w:right w:val="nil"/>
            </w:tcBorders>
            <w:noWrap/>
            <w:vAlign w:val="bottom"/>
            <w:hideMark/>
          </w:tcPr>
          <w:p w14:paraId="37DD30CB"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3BA5A27B"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HABIB ALLAH I</w:t>
            </w:r>
          </w:p>
        </w:tc>
        <w:tc>
          <w:tcPr>
            <w:tcW w:w="0" w:type="auto"/>
            <w:tcBorders>
              <w:top w:val="nil"/>
              <w:left w:val="nil"/>
              <w:bottom w:val="nil"/>
              <w:right w:val="nil"/>
            </w:tcBorders>
            <w:noWrap/>
            <w:vAlign w:val="bottom"/>
            <w:hideMark/>
          </w:tcPr>
          <w:p w14:paraId="5C570E24"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AT000DZA00818</w:t>
            </w:r>
          </w:p>
        </w:tc>
      </w:tr>
      <w:tr w:rsidR="00C27D6A" w:rsidRPr="00DC75CC" w14:paraId="67CE3C95" w14:textId="77777777" w:rsidTr="00C75467">
        <w:trPr>
          <w:trHeight w:val="288"/>
          <w:tblHeader/>
          <w:jc w:val="center"/>
        </w:trPr>
        <w:tc>
          <w:tcPr>
            <w:tcW w:w="0" w:type="auto"/>
            <w:tcBorders>
              <w:top w:val="nil"/>
              <w:left w:val="nil"/>
              <w:bottom w:val="nil"/>
              <w:right w:val="nil"/>
            </w:tcBorders>
            <w:noWrap/>
            <w:vAlign w:val="bottom"/>
            <w:hideMark/>
          </w:tcPr>
          <w:p w14:paraId="5FE513D3"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72366110"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Sid Ahmed</w:t>
            </w:r>
          </w:p>
        </w:tc>
        <w:tc>
          <w:tcPr>
            <w:tcW w:w="0" w:type="auto"/>
            <w:tcBorders>
              <w:top w:val="nil"/>
              <w:left w:val="nil"/>
              <w:bottom w:val="nil"/>
              <w:right w:val="nil"/>
            </w:tcBorders>
            <w:noWrap/>
            <w:vAlign w:val="bottom"/>
            <w:hideMark/>
          </w:tcPr>
          <w:p w14:paraId="2B3693BB"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AT000DZA00549</w:t>
            </w:r>
          </w:p>
        </w:tc>
      </w:tr>
      <w:tr w:rsidR="00C27D6A" w:rsidRPr="00DC75CC" w14:paraId="24863609" w14:textId="77777777" w:rsidTr="00C75467">
        <w:trPr>
          <w:trHeight w:val="288"/>
          <w:tblHeader/>
          <w:jc w:val="center"/>
        </w:trPr>
        <w:tc>
          <w:tcPr>
            <w:tcW w:w="0" w:type="auto"/>
            <w:tcBorders>
              <w:top w:val="nil"/>
              <w:left w:val="nil"/>
              <w:bottom w:val="nil"/>
              <w:right w:val="nil"/>
            </w:tcBorders>
            <w:noWrap/>
            <w:vAlign w:val="bottom"/>
            <w:hideMark/>
          </w:tcPr>
          <w:p w14:paraId="6DF6FD30"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375C0B35"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SIDI SLIMANE II</w:t>
            </w:r>
          </w:p>
        </w:tc>
        <w:tc>
          <w:tcPr>
            <w:tcW w:w="0" w:type="auto"/>
            <w:tcBorders>
              <w:top w:val="nil"/>
              <w:left w:val="nil"/>
              <w:bottom w:val="nil"/>
              <w:right w:val="nil"/>
            </w:tcBorders>
            <w:noWrap/>
            <w:vAlign w:val="bottom"/>
            <w:hideMark/>
          </w:tcPr>
          <w:p w14:paraId="6126B1F7"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AT000DZA00792</w:t>
            </w:r>
          </w:p>
        </w:tc>
      </w:tr>
      <w:tr w:rsidR="00C27D6A" w:rsidRPr="00DC75CC" w14:paraId="2E5E855A" w14:textId="77777777" w:rsidTr="00C75467">
        <w:trPr>
          <w:trHeight w:val="288"/>
          <w:tblHeader/>
          <w:jc w:val="center"/>
        </w:trPr>
        <w:tc>
          <w:tcPr>
            <w:tcW w:w="0" w:type="auto"/>
            <w:tcBorders>
              <w:top w:val="nil"/>
              <w:left w:val="nil"/>
              <w:bottom w:val="nil"/>
              <w:right w:val="nil"/>
            </w:tcBorders>
            <w:noWrap/>
            <w:vAlign w:val="bottom"/>
            <w:hideMark/>
          </w:tcPr>
          <w:p w14:paraId="4BD3C0EC"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159D0CC8"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Lalla Mennoune</w:t>
            </w:r>
          </w:p>
        </w:tc>
        <w:tc>
          <w:tcPr>
            <w:tcW w:w="0" w:type="auto"/>
            <w:tcBorders>
              <w:top w:val="nil"/>
              <w:left w:val="nil"/>
              <w:bottom w:val="nil"/>
              <w:right w:val="nil"/>
            </w:tcBorders>
            <w:noWrap/>
            <w:vAlign w:val="bottom"/>
            <w:hideMark/>
          </w:tcPr>
          <w:p w14:paraId="45000F7A"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AT000DZA00817</w:t>
            </w:r>
          </w:p>
        </w:tc>
      </w:tr>
      <w:tr w:rsidR="00C27D6A" w:rsidRPr="00DC75CC" w14:paraId="24A3D10E" w14:textId="77777777" w:rsidTr="00C75467">
        <w:trPr>
          <w:trHeight w:val="288"/>
          <w:tblHeader/>
          <w:jc w:val="center"/>
        </w:trPr>
        <w:tc>
          <w:tcPr>
            <w:tcW w:w="0" w:type="auto"/>
            <w:tcBorders>
              <w:top w:val="nil"/>
              <w:left w:val="nil"/>
              <w:bottom w:val="nil"/>
              <w:right w:val="nil"/>
            </w:tcBorders>
            <w:noWrap/>
            <w:vAlign w:val="bottom"/>
            <w:hideMark/>
          </w:tcPr>
          <w:p w14:paraId="7B2E92DA"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44C4A823"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Fel Abdelkader</w:t>
            </w:r>
          </w:p>
        </w:tc>
        <w:tc>
          <w:tcPr>
            <w:tcW w:w="0" w:type="auto"/>
            <w:tcBorders>
              <w:top w:val="nil"/>
              <w:left w:val="nil"/>
              <w:bottom w:val="nil"/>
              <w:right w:val="nil"/>
            </w:tcBorders>
            <w:noWrap/>
            <w:vAlign w:val="bottom"/>
            <w:hideMark/>
          </w:tcPr>
          <w:p w14:paraId="477312C4"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AT000DZA00819</w:t>
            </w:r>
          </w:p>
        </w:tc>
      </w:tr>
      <w:tr w:rsidR="00C27D6A" w:rsidRPr="00DC75CC" w14:paraId="33DD49AE" w14:textId="77777777" w:rsidTr="00C75467">
        <w:trPr>
          <w:trHeight w:val="288"/>
          <w:tblHeader/>
          <w:jc w:val="center"/>
        </w:trPr>
        <w:tc>
          <w:tcPr>
            <w:tcW w:w="0" w:type="auto"/>
            <w:tcBorders>
              <w:top w:val="nil"/>
              <w:left w:val="nil"/>
              <w:bottom w:val="nil"/>
              <w:right w:val="nil"/>
            </w:tcBorders>
            <w:noWrap/>
            <w:vAlign w:val="bottom"/>
            <w:hideMark/>
          </w:tcPr>
          <w:p w14:paraId="3B97D67C"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4B0C2910"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SERAJ</w:t>
            </w:r>
          </w:p>
        </w:tc>
        <w:tc>
          <w:tcPr>
            <w:tcW w:w="0" w:type="auto"/>
            <w:tcBorders>
              <w:top w:val="nil"/>
              <w:left w:val="nil"/>
              <w:bottom w:val="nil"/>
              <w:right w:val="nil"/>
            </w:tcBorders>
            <w:noWrap/>
            <w:vAlign w:val="bottom"/>
            <w:hideMark/>
          </w:tcPr>
          <w:p w14:paraId="2C9038BC"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AT000DZA00977</w:t>
            </w:r>
          </w:p>
        </w:tc>
      </w:tr>
      <w:tr w:rsidR="00C27D6A" w:rsidRPr="00DC75CC" w14:paraId="1548928A" w14:textId="77777777" w:rsidTr="00C75467">
        <w:trPr>
          <w:trHeight w:val="288"/>
          <w:tblHeader/>
          <w:jc w:val="center"/>
        </w:trPr>
        <w:tc>
          <w:tcPr>
            <w:tcW w:w="0" w:type="auto"/>
            <w:tcBorders>
              <w:top w:val="nil"/>
              <w:left w:val="nil"/>
              <w:bottom w:val="nil"/>
              <w:right w:val="nil"/>
            </w:tcBorders>
            <w:noWrap/>
            <w:vAlign w:val="bottom"/>
            <w:hideMark/>
          </w:tcPr>
          <w:p w14:paraId="4B6079B1"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4F296134"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HADJ SAID</w:t>
            </w:r>
          </w:p>
        </w:tc>
        <w:tc>
          <w:tcPr>
            <w:tcW w:w="0" w:type="auto"/>
            <w:tcBorders>
              <w:top w:val="nil"/>
              <w:left w:val="nil"/>
              <w:bottom w:val="nil"/>
              <w:right w:val="nil"/>
            </w:tcBorders>
            <w:noWrap/>
            <w:vAlign w:val="bottom"/>
            <w:hideMark/>
          </w:tcPr>
          <w:p w14:paraId="0182E2EF"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AT000DZA00978</w:t>
            </w:r>
          </w:p>
        </w:tc>
      </w:tr>
      <w:tr w:rsidR="00C27D6A" w:rsidRPr="00DC75CC" w14:paraId="6F02EFD8" w14:textId="77777777" w:rsidTr="00C75467">
        <w:trPr>
          <w:trHeight w:val="288"/>
          <w:tblHeader/>
          <w:jc w:val="center"/>
        </w:trPr>
        <w:tc>
          <w:tcPr>
            <w:tcW w:w="0" w:type="auto"/>
            <w:tcBorders>
              <w:top w:val="nil"/>
              <w:left w:val="nil"/>
              <w:bottom w:val="nil"/>
              <w:right w:val="nil"/>
            </w:tcBorders>
            <w:noWrap/>
            <w:vAlign w:val="bottom"/>
            <w:hideMark/>
          </w:tcPr>
          <w:p w14:paraId="1C2A75F4"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23FBCB00"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Meftahi</w:t>
            </w:r>
          </w:p>
        </w:tc>
        <w:tc>
          <w:tcPr>
            <w:tcW w:w="0" w:type="auto"/>
            <w:tcBorders>
              <w:top w:val="nil"/>
              <w:left w:val="nil"/>
              <w:bottom w:val="nil"/>
              <w:right w:val="nil"/>
            </w:tcBorders>
            <w:noWrap/>
            <w:vAlign w:val="bottom"/>
            <w:hideMark/>
          </w:tcPr>
          <w:p w14:paraId="0DA7876C"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AT000DZA00996</w:t>
            </w:r>
          </w:p>
        </w:tc>
      </w:tr>
      <w:tr w:rsidR="00C27D6A" w:rsidRPr="00DC75CC" w14:paraId="736E3322" w14:textId="77777777" w:rsidTr="00C75467">
        <w:trPr>
          <w:trHeight w:val="288"/>
          <w:tblHeader/>
          <w:jc w:val="center"/>
        </w:trPr>
        <w:tc>
          <w:tcPr>
            <w:tcW w:w="0" w:type="auto"/>
            <w:tcBorders>
              <w:top w:val="nil"/>
              <w:left w:val="nil"/>
              <w:bottom w:val="nil"/>
              <w:right w:val="nil"/>
            </w:tcBorders>
            <w:noWrap/>
            <w:vAlign w:val="bottom"/>
            <w:hideMark/>
          </w:tcPr>
          <w:p w14:paraId="5EB81D1A"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584158C4"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EL-Bachir</w:t>
            </w:r>
          </w:p>
        </w:tc>
        <w:tc>
          <w:tcPr>
            <w:tcW w:w="0" w:type="auto"/>
            <w:tcBorders>
              <w:top w:val="nil"/>
              <w:left w:val="nil"/>
              <w:bottom w:val="nil"/>
              <w:right w:val="nil"/>
            </w:tcBorders>
            <w:noWrap/>
            <w:vAlign w:val="bottom"/>
            <w:hideMark/>
          </w:tcPr>
          <w:p w14:paraId="5DF74DBD"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AT000DZA00997</w:t>
            </w:r>
          </w:p>
        </w:tc>
      </w:tr>
      <w:tr w:rsidR="00C27D6A" w:rsidRPr="00DC75CC" w14:paraId="54B0895B" w14:textId="77777777" w:rsidTr="00C75467">
        <w:trPr>
          <w:trHeight w:val="288"/>
          <w:tblHeader/>
          <w:jc w:val="center"/>
        </w:trPr>
        <w:tc>
          <w:tcPr>
            <w:tcW w:w="0" w:type="auto"/>
            <w:tcBorders>
              <w:top w:val="nil"/>
              <w:left w:val="nil"/>
              <w:bottom w:val="nil"/>
              <w:right w:val="nil"/>
            </w:tcBorders>
            <w:noWrap/>
            <w:vAlign w:val="bottom"/>
            <w:hideMark/>
          </w:tcPr>
          <w:p w14:paraId="65AC99A2"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298EC67A"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El Hadj Omar</w:t>
            </w:r>
          </w:p>
        </w:tc>
        <w:tc>
          <w:tcPr>
            <w:tcW w:w="0" w:type="auto"/>
            <w:tcBorders>
              <w:top w:val="nil"/>
              <w:left w:val="nil"/>
              <w:bottom w:val="nil"/>
              <w:right w:val="nil"/>
            </w:tcBorders>
            <w:noWrap/>
            <w:vAlign w:val="bottom"/>
            <w:hideMark/>
          </w:tcPr>
          <w:p w14:paraId="6560FC00"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AT000DZA00998</w:t>
            </w:r>
          </w:p>
        </w:tc>
      </w:tr>
      <w:tr w:rsidR="00C27D6A" w:rsidRPr="00DC75CC" w14:paraId="517FB947" w14:textId="77777777" w:rsidTr="00C75467">
        <w:trPr>
          <w:trHeight w:val="288"/>
          <w:tblHeader/>
          <w:jc w:val="center"/>
        </w:trPr>
        <w:tc>
          <w:tcPr>
            <w:tcW w:w="0" w:type="auto"/>
            <w:tcBorders>
              <w:top w:val="nil"/>
              <w:left w:val="nil"/>
              <w:bottom w:val="nil"/>
              <w:right w:val="nil"/>
            </w:tcBorders>
            <w:noWrap/>
            <w:vAlign w:val="bottom"/>
            <w:hideMark/>
          </w:tcPr>
          <w:p w14:paraId="13923D7B"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6C4D4DDB"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LES FRERES BENAMANE</w:t>
            </w:r>
          </w:p>
        </w:tc>
        <w:tc>
          <w:tcPr>
            <w:tcW w:w="0" w:type="auto"/>
            <w:tcBorders>
              <w:top w:val="nil"/>
              <w:left w:val="nil"/>
              <w:bottom w:val="nil"/>
              <w:right w:val="nil"/>
            </w:tcBorders>
            <w:noWrap/>
            <w:vAlign w:val="bottom"/>
            <w:hideMark/>
          </w:tcPr>
          <w:p w14:paraId="6CB0B0E9"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AT000DZA00999</w:t>
            </w:r>
          </w:p>
        </w:tc>
      </w:tr>
      <w:tr w:rsidR="00C27D6A" w:rsidRPr="00DC75CC" w14:paraId="2436B3C1" w14:textId="77777777" w:rsidTr="00C75467">
        <w:trPr>
          <w:trHeight w:val="288"/>
          <w:tblHeader/>
          <w:jc w:val="center"/>
        </w:trPr>
        <w:tc>
          <w:tcPr>
            <w:tcW w:w="0" w:type="auto"/>
            <w:tcBorders>
              <w:top w:val="nil"/>
              <w:left w:val="nil"/>
              <w:bottom w:val="nil"/>
              <w:right w:val="nil"/>
            </w:tcBorders>
            <w:noWrap/>
            <w:vAlign w:val="bottom"/>
            <w:hideMark/>
          </w:tcPr>
          <w:p w14:paraId="2BF3C285"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417A271B"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El Chourouk</w:t>
            </w:r>
          </w:p>
        </w:tc>
        <w:tc>
          <w:tcPr>
            <w:tcW w:w="0" w:type="auto"/>
            <w:tcBorders>
              <w:top w:val="nil"/>
              <w:left w:val="nil"/>
              <w:bottom w:val="nil"/>
              <w:right w:val="nil"/>
            </w:tcBorders>
            <w:noWrap/>
            <w:vAlign w:val="bottom"/>
            <w:hideMark/>
          </w:tcPr>
          <w:p w14:paraId="063B18E5"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AT000DZA00820</w:t>
            </w:r>
          </w:p>
        </w:tc>
      </w:tr>
      <w:tr w:rsidR="00C27D6A" w:rsidRPr="00DC75CC" w14:paraId="15090665" w14:textId="77777777" w:rsidTr="00C75467">
        <w:trPr>
          <w:trHeight w:val="288"/>
          <w:tblHeader/>
          <w:jc w:val="center"/>
        </w:trPr>
        <w:tc>
          <w:tcPr>
            <w:tcW w:w="0" w:type="auto"/>
            <w:tcBorders>
              <w:top w:val="nil"/>
              <w:left w:val="nil"/>
              <w:bottom w:val="nil"/>
              <w:right w:val="nil"/>
            </w:tcBorders>
            <w:noWrap/>
            <w:vAlign w:val="bottom"/>
            <w:hideMark/>
          </w:tcPr>
          <w:p w14:paraId="619AAD2E"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05F2B527"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Al Majed</w:t>
            </w:r>
          </w:p>
        </w:tc>
        <w:tc>
          <w:tcPr>
            <w:tcW w:w="0" w:type="auto"/>
            <w:tcBorders>
              <w:top w:val="nil"/>
              <w:left w:val="nil"/>
              <w:bottom w:val="nil"/>
              <w:right w:val="nil"/>
            </w:tcBorders>
            <w:noWrap/>
            <w:vAlign w:val="bottom"/>
            <w:hideMark/>
          </w:tcPr>
          <w:p w14:paraId="4B1C3ACF"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AT000DZA00011</w:t>
            </w:r>
          </w:p>
        </w:tc>
      </w:tr>
      <w:tr w:rsidR="00C27D6A" w:rsidRPr="00DC75CC" w14:paraId="5CEBE206" w14:textId="77777777" w:rsidTr="00C75467">
        <w:trPr>
          <w:trHeight w:val="288"/>
          <w:tblHeader/>
          <w:jc w:val="center"/>
        </w:trPr>
        <w:tc>
          <w:tcPr>
            <w:tcW w:w="0" w:type="auto"/>
            <w:tcBorders>
              <w:top w:val="nil"/>
              <w:left w:val="nil"/>
              <w:bottom w:val="nil"/>
              <w:right w:val="nil"/>
            </w:tcBorders>
            <w:noWrap/>
            <w:vAlign w:val="bottom"/>
            <w:hideMark/>
          </w:tcPr>
          <w:p w14:paraId="16471973"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40A81291"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El Kader</w:t>
            </w:r>
          </w:p>
        </w:tc>
        <w:tc>
          <w:tcPr>
            <w:tcW w:w="0" w:type="auto"/>
            <w:tcBorders>
              <w:top w:val="nil"/>
              <w:left w:val="nil"/>
              <w:bottom w:val="nil"/>
              <w:right w:val="nil"/>
            </w:tcBorders>
            <w:noWrap/>
            <w:vAlign w:val="bottom"/>
            <w:hideMark/>
          </w:tcPr>
          <w:p w14:paraId="0ADD0A96"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AT000DZA00012</w:t>
            </w:r>
          </w:p>
        </w:tc>
      </w:tr>
      <w:tr w:rsidR="00C27D6A" w:rsidRPr="00DC75CC" w14:paraId="55F0A018" w14:textId="77777777" w:rsidTr="00C75467">
        <w:trPr>
          <w:trHeight w:val="288"/>
          <w:tblHeader/>
          <w:jc w:val="center"/>
        </w:trPr>
        <w:tc>
          <w:tcPr>
            <w:tcW w:w="0" w:type="auto"/>
            <w:tcBorders>
              <w:top w:val="nil"/>
              <w:left w:val="nil"/>
              <w:bottom w:val="nil"/>
              <w:right w:val="nil"/>
            </w:tcBorders>
            <w:noWrap/>
            <w:vAlign w:val="bottom"/>
            <w:hideMark/>
          </w:tcPr>
          <w:p w14:paraId="604AEF99"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35D69E3E" w14:textId="77777777" w:rsidR="00C27D6A" w:rsidRPr="00DC75CC" w:rsidRDefault="00C27D6A" w:rsidP="0073483A">
            <w:pPr>
              <w:widowControl w:val="0"/>
              <w:rPr>
                <w:rFonts w:asciiTheme="majorHAnsi" w:hAnsiTheme="majorHAnsi"/>
                <w:color w:val="000000"/>
                <w:sz w:val="20"/>
                <w:szCs w:val="20"/>
              </w:rPr>
            </w:pPr>
            <w:r w:rsidRPr="00DC75CC">
              <w:rPr>
                <w:rFonts w:asciiTheme="majorHAnsi" w:hAnsiTheme="majorHAnsi"/>
                <w:color w:val="000000"/>
                <w:sz w:val="20"/>
              </w:rPr>
              <w:t>Borhane I</w:t>
            </w:r>
          </w:p>
        </w:tc>
        <w:tc>
          <w:tcPr>
            <w:tcW w:w="0" w:type="auto"/>
            <w:tcBorders>
              <w:top w:val="nil"/>
              <w:left w:val="nil"/>
              <w:bottom w:val="nil"/>
              <w:right w:val="nil"/>
            </w:tcBorders>
            <w:noWrap/>
            <w:vAlign w:val="bottom"/>
            <w:hideMark/>
          </w:tcPr>
          <w:p w14:paraId="05818C51" w14:textId="77777777" w:rsidR="00C27D6A" w:rsidRPr="00DC75CC" w:rsidRDefault="00C27D6A" w:rsidP="0073483A">
            <w:pPr>
              <w:widowControl w:val="0"/>
              <w:jc w:val="center"/>
              <w:rPr>
                <w:rFonts w:asciiTheme="majorHAnsi" w:hAnsiTheme="majorHAnsi"/>
                <w:color w:val="000000"/>
                <w:sz w:val="20"/>
                <w:szCs w:val="20"/>
              </w:rPr>
            </w:pPr>
            <w:r w:rsidRPr="00DC75CC">
              <w:rPr>
                <w:rFonts w:asciiTheme="majorHAnsi" w:hAnsiTheme="majorHAnsi"/>
                <w:color w:val="000000"/>
                <w:sz w:val="20"/>
              </w:rPr>
              <w:t>AT000DZA00384</w:t>
            </w:r>
          </w:p>
        </w:tc>
      </w:tr>
      <w:tr w:rsidR="00C27D6A" w:rsidRPr="00DC75CC" w14:paraId="1A7E24AC" w14:textId="77777777" w:rsidTr="00C75467">
        <w:trPr>
          <w:trHeight w:val="288"/>
          <w:tblHeader/>
          <w:jc w:val="center"/>
        </w:trPr>
        <w:tc>
          <w:tcPr>
            <w:tcW w:w="0" w:type="auto"/>
            <w:tcBorders>
              <w:top w:val="nil"/>
              <w:left w:val="nil"/>
              <w:bottom w:val="nil"/>
              <w:right w:val="nil"/>
            </w:tcBorders>
            <w:noWrap/>
            <w:vAlign w:val="bottom"/>
            <w:hideMark/>
          </w:tcPr>
          <w:p w14:paraId="0B3A9A0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6234BCB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Marwa 1</w:t>
            </w:r>
          </w:p>
        </w:tc>
        <w:tc>
          <w:tcPr>
            <w:tcW w:w="0" w:type="auto"/>
            <w:tcBorders>
              <w:top w:val="nil"/>
              <w:left w:val="nil"/>
              <w:bottom w:val="nil"/>
              <w:right w:val="nil"/>
            </w:tcBorders>
            <w:noWrap/>
            <w:vAlign w:val="bottom"/>
            <w:hideMark/>
          </w:tcPr>
          <w:p w14:paraId="1C378F3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AT000DZA01000</w:t>
            </w:r>
          </w:p>
        </w:tc>
      </w:tr>
      <w:tr w:rsidR="00C27D6A" w:rsidRPr="00DC75CC" w14:paraId="599DA043" w14:textId="77777777" w:rsidTr="00C75467">
        <w:trPr>
          <w:trHeight w:val="288"/>
          <w:tblHeader/>
          <w:jc w:val="center"/>
        </w:trPr>
        <w:tc>
          <w:tcPr>
            <w:tcW w:w="0" w:type="auto"/>
            <w:tcBorders>
              <w:top w:val="nil"/>
              <w:left w:val="nil"/>
              <w:bottom w:val="nil"/>
              <w:right w:val="nil"/>
            </w:tcBorders>
            <w:noWrap/>
            <w:vAlign w:val="bottom"/>
            <w:hideMark/>
          </w:tcPr>
          <w:p w14:paraId="74519F5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7A5ACA0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WAFID ZINE EDDINE</w:t>
            </w:r>
          </w:p>
        </w:tc>
        <w:tc>
          <w:tcPr>
            <w:tcW w:w="0" w:type="auto"/>
            <w:tcBorders>
              <w:top w:val="nil"/>
              <w:left w:val="nil"/>
              <w:bottom w:val="nil"/>
              <w:right w:val="nil"/>
            </w:tcBorders>
            <w:noWrap/>
            <w:vAlign w:val="bottom"/>
            <w:hideMark/>
          </w:tcPr>
          <w:p w14:paraId="080597CF"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AT000DZA01001</w:t>
            </w:r>
          </w:p>
        </w:tc>
      </w:tr>
      <w:tr w:rsidR="00C27D6A" w:rsidRPr="00DC75CC" w14:paraId="0E11CFEE" w14:textId="77777777" w:rsidTr="00C75467">
        <w:trPr>
          <w:trHeight w:val="288"/>
          <w:tblHeader/>
          <w:jc w:val="center"/>
        </w:trPr>
        <w:tc>
          <w:tcPr>
            <w:tcW w:w="0" w:type="auto"/>
            <w:tcBorders>
              <w:top w:val="nil"/>
              <w:left w:val="nil"/>
              <w:bottom w:val="nil"/>
              <w:right w:val="nil"/>
            </w:tcBorders>
            <w:noWrap/>
            <w:vAlign w:val="bottom"/>
            <w:hideMark/>
          </w:tcPr>
          <w:p w14:paraId="0F1A0FC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75DCB65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AHMED SALIM</w:t>
            </w:r>
          </w:p>
        </w:tc>
        <w:tc>
          <w:tcPr>
            <w:tcW w:w="0" w:type="auto"/>
            <w:tcBorders>
              <w:top w:val="nil"/>
              <w:left w:val="nil"/>
              <w:bottom w:val="nil"/>
              <w:right w:val="nil"/>
            </w:tcBorders>
            <w:noWrap/>
            <w:vAlign w:val="bottom"/>
            <w:hideMark/>
          </w:tcPr>
          <w:p w14:paraId="2F4BE80C"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AT000DZA01002</w:t>
            </w:r>
          </w:p>
        </w:tc>
      </w:tr>
      <w:tr w:rsidR="00C27D6A" w:rsidRPr="00DC75CC" w14:paraId="05DA6A44" w14:textId="77777777" w:rsidTr="00C75467">
        <w:trPr>
          <w:trHeight w:val="288"/>
          <w:tblHeader/>
          <w:jc w:val="center"/>
        </w:trPr>
        <w:tc>
          <w:tcPr>
            <w:tcW w:w="0" w:type="auto"/>
            <w:tcBorders>
              <w:top w:val="nil"/>
              <w:left w:val="nil"/>
              <w:bottom w:val="nil"/>
              <w:right w:val="nil"/>
            </w:tcBorders>
            <w:noWrap/>
            <w:vAlign w:val="bottom"/>
            <w:hideMark/>
          </w:tcPr>
          <w:p w14:paraId="5C62A07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4EB21E1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 MAJDE</w:t>
            </w:r>
          </w:p>
        </w:tc>
        <w:tc>
          <w:tcPr>
            <w:tcW w:w="0" w:type="auto"/>
            <w:tcBorders>
              <w:top w:val="nil"/>
              <w:left w:val="nil"/>
              <w:bottom w:val="nil"/>
              <w:right w:val="nil"/>
            </w:tcBorders>
            <w:noWrap/>
            <w:vAlign w:val="bottom"/>
            <w:hideMark/>
          </w:tcPr>
          <w:p w14:paraId="223928A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AT000DZA00332</w:t>
            </w:r>
          </w:p>
        </w:tc>
      </w:tr>
      <w:tr w:rsidR="00C27D6A" w:rsidRPr="00DC75CC" w14:paraId="726CF42C" w14:textId="77777777" w:rsidTr="00C75467">
        <w:trPr>
          <w:trHeight w:val="288"/>
          <w:tblHeader/>
          <w:jc w:val="center"/>
        </w:trPr>
        <w:tc>
          <w:tcPr>
            <w:tcW w:w="0" w:type="auto"/>
            <w:tcBorders>
              <w:top w:val="nil"/>
              <w:left w:val="nil"/>
              <w:bottom w:val="nil"/>
              <w:right w:val="nil"/>
            </w:tcBorders>
            <w:noWrap/>
            <w:vAlign w:val="bottom"/>
            <w:hideMark/>
          </w:tcPr>
          <w:p w14:paraId="272B580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44DC7CD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HADJ SOUFI MOHAMED</w:t>
            </w:r>
          </w:p>
        </w:tc>
        <w:tc>
          <w:tcPr>
            <w:tcW w:w="0" w:type="auto"/>
            <w:tcBorders>
              <w:top w:val="nil"/>
              <w:left w:val="nil"/>
              <w:bottom w:val="nil"/>
              <w:right w:val="nil"/>
            </w:tcBorders>
            <w:noWrap/>
            <w:vAlign w:val="bottom"/>
            <w:hideMark/>
          </w:tcPr>
          <w:p w14:paraId="59AD8FA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AT000DZA01003</w:t>
            </w:r>
          </w:p>
        </w:tc>
      </w:tr>
      <w:tr w:rsidR="00C27D6A" w:rsidRPr="00DC75CC" w14:paraId="5C01EA7E" w14:textId="77777777" w:rsidTr="00C75467">
        <w:trPr>
          <w:trHeight w:val="288"/>
          <w:tblHeader/>
          <w:jc w:val="center"/>
        </w:trPr>
        <w:tc>
          <w:tcPr>
            <w:tcW w:w="0" w:type="auto"/>
            <w:tcBorders>
              <w:top w:val="nil"/>
              <w:left w:val="nil"/>
              <w:bottom w:val="nil"/>
              <w:right w:val="nil"/>
            </w:tcBorders>
            <w:noWrap/>
            <w:vAlign w:val="bottom"/>
            <w:hideMark/>
          </w:tcPr>
          <w:p w14:paraId="58E03B8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2D57F06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SIDI MAAMAR</w:t>
            </w:r>
          </w:p>
        </w:tc>
        <w:tc>
          <w:tcPr>
            <w:tcW w:w="0" w:type="auto"/>
            <w:tcBorders>
              <w:top w:val="nil"/>
              <w:left w:val="nil"/>
              <w:bottom w:val="nil"/>
              <w:right w:val="nil"/>
            </w:tcBorders>
            <w:noWrap/>
            <w:vAlign w:val="bottom"/>
            <w:hideMark/>
          </w:tcPr>
          <w:p w14:paraId="21AF454A"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AT000DZA00018</w:t>
            </w:r>
          </w:p>
        </w:tc>
      </w:tr>
      <w:tr w:rsidR="00C27D6A" w:rsidRPr="00DC75CC" w14:paraId="7184597E" w14:textId="77777777" w:rsidTr="00C75467">
        <w:trPr>
          <w:trHeight w:val="288"/>
          <w:tblHeader/>
          <w:jc w:val="center"/>
        </w:trPr>
        <w:tc>
          <w:tcPr>
            <w:tcW w:w="0" w:type="auto"/>
            <w:tcBorders>
              <w:top w:val="nil"/>
              <w:left w:val="nil"/>
              <w:bottom w:val="nil"/>
              <w:right w:val="nil"/>
            </w:tcBorders>
            <w:noWrap/>
            <w:vAlign w:val="bottom"/>
            <w:hideMark/>
          </w:tcPr>
          <w:p w14:paraId="508DCFF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6B70420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AHMED ROBAINE</w:t>
            </w:r>
          </w:p>
        </w:tc>
        <w:tc>
          <w:tcPr>
            <w:tcW w:w="0" w:type="auto"/>
            <w:tcBorders>
              <w:top w:val="nil"/>
              <w:left w:val="nil"/>
              <w:bottom w:val="nil"/>
              <w:right w:val="nil"/>
            </w:tcBorders>
            <w:noWrap/>
            <w:vAlign w:val="bottom"/>
            <w:hideMark/>
          </w:tcPr>
          <w:p w14:paraId="4CA1AD5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AT000DZA00816</w:t>
            </w:r>
          </w:p>
        </w:tc>
      </w:tr>
      <w:tr w:rsidR="00C27D6A" w:rsidRPr="00DC75CC" w14:paraId="66660EE8" w14:textId="77777777" w:rsidTr="00C75467">
        <w:trPr>
          <w:trHeight w:val="288"/>
          <w:tblHeader/>
          <w:jc w:val="center"/>
        </w:trPr>
        <w:tc>
          <w:tcPr>
            <w:tcW w:w="0" w:type="auto"/>
            <w:tcBorders>
              <w:top w:val="nil"/>
              <w:left w:val="nil"/>
              <w:bottom w:val="nil"/>
              <w:right w:val="nil"/>
            </w:tcBorders>
            <w:noWrap/>
            <w:vAlign w:val="bottom"/>
            <w:hideMark/>
          </w:tcPr>
          <w:p w14:paraId="7D6A240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6BF4A75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AHMED ROBAINE II</w:t>
            </w:r>
          </w:p>
        </w:tc>
        <w:tc>
          <w:tcPr>
            <w:tcW w:w="0" w:type="auto"/>
            <w:tcBorders>
              <w:top w:val="nil"/>
              <w:left w:val="nil"/>
              <w:bottom w:val="nil"/>
              <w:right w:val="nil"/>
            </w:tcBorders>
            <w:noWrap/>
            <w:vAlign w:val="bottom"/>
            <w:hideMark/>
          </w:tcPr>
          <w:p w14:paraId="23C562A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AT000DZA00976</w:t>
            </w:r>
          </w:p>
        </w:tc>
      </w:tr>
      <w:tr w:rsidR="00C27D6A" w:rsidRPr="00DC75CC" w14:paraId="08536AD4" w14:textId="77777777" w:rsidTr="00C75467">
        <w:trPr>
          <w:trHeight w:val="288"/>
          <w:tblHeader/>
          <w:jc w:val="center"/>
        </w:trPr>
        <w:tc>
          <w:tcPr>
            <w:tcW w:w="0" w:type="auto"/>
            <w:tcBorders>
              <w:top w:val="nil"/>
              <w:left w:val="nil"/>
              <w:bottom w:val="nil"/>
              <w:right w:val="nil"/>
            </w:tcBorders>
            <w:noWrap/>
            <w:vAlign w:val="bottom"/>
            <w:hideMark/>
          </w:tcPr>
          <w:p w14:paraId="7456D89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42C0BBF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ECHAHID MOSTEFA BENBOULAID</w:t>
            </w:r>
          </w:p>
        </w:tc>
        <w:tc>
          <w:tcPr>
            <w:tcW w:w="0" w:type="auto"/>
            <w:tcBorders>
              <w:top w:val="nil"/>
              <w:left w:val="nil"/>
              <w:bottom w:val="nil"/>
              <w:right w:val="nil"/>
            </w:tcBorders>
            <w:noWrap/>
            <w:vAlign w:val="bottom"/>
            <w:hideMark/>
          </w:tcPr>
          <w:p w14:paraId="76F74D0A"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AT000DZA00017</w:t>
            </w:r>
          </w:p>
        </w:tc>
      </w:tr>
      <w:tr w:rsidR="00C27D6A" w:rsidRPr="00DC75CC" w14:paraId="405AD469" w14:textId="77777777" w:rsidTr="00C75467">
        <w:trPr>
          <w:trHeight w:val="288"/>
          <w:tblHeader/>
          <w:jc w:val="center"/>
        </w:trPr>
        <w:tc>
          <w:tcPr>
            <w:tcW w:w="0" w:type="auto"/>
            <w:tcBorders>
              <w:top w:val="nil"/>
              <w:left w:val="nil"/>
              <w:bottom w:val="nil"/>
              <w:right w:val="nil"/>
            </w:tcBorders>
            <w:noWrap/>
            <w:vAlign w:val="bottom"/>
            <w:hideMark/>
          </w:tcPr>
          <w:p w14:paraId="0335F39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47CF115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Neptune V</w:t>
            </w:r>
          </w:p>
        </w:tc>
        <w:tc>
          <w:tcPr>
            <w:tcW w:w="0" w:type="auto"/>
            <w:tcBorders>
              <w:top w:val="nil"/>
              <w:left w:val="nil"/>
              <w:bottom w:val="nil"/>
              <w:right w:val="nil"/>
            </w:tcBorders>
            <w:noWrap/>
            <w:vAlign w:val="bottom"/>
            <w:hideMark/>
          </w:tcPr>
          <w:p w14:paraId="6DD931DD"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AT000DZA00005</w:t>
            </w:r>
          </w:p>
        </w:tc>
      </w:tr>
      <w:tr w:rsidR="00C27D6A" w:rsidRPr="00DC75CC" w14:paraId="2F3CCD1E" w14:textId="77777777" w:rsidTr="00C75467">
        <w:trPr>
          <w:trHeight w:val="288"/>
          <w:tblHeader/>
          <w:jc w:val="center"/>
        </w:trPr>
        <w:tc>
          <w:tcPr>
            <w:tcW w:w="0" w:type="auto"/>
            <w:tcBorders>
              <w:top w:val="nil"/>
              <w:left w:val="nil"/>
              <w:bottom w:val="nil"/>
              <w:right w:val="nil"/>
            </w:tcBorders>
            <w:noWrap/>
            <w:vAlign w:val="bottom"/>
            <w:hideMark/>
          </w:tcPr>
          <w:p w14:paraId="779393F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73A1349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Riadh</w:t>
            </w:r>
          </w:p>
        </w:tc>
        <w:tc>
          <w:tcPr>
            <w:tcW w:w="0" w:type="auto"/>
            <w:tcBorders>
              <w:top w:val="nil"/>
              <w:left w:val="nil"/>
              <w:bottom w:val="nil"/>
              <w:right w:val="nil"/>
            </w:tcBorders>
            <w:noWrap/>
            <w:vAlign w:val="bottom"/>
            <w:hideMark/>
          </w:tcPr>
          <w:p w14:paraId="0A6A68A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AT000DZA00995</w:t>
            </w:r>
          </w:p>
        </w:tc>
      </w:tr>
      <w:tr w:rsidR="00C27D6A" w:rsidRPr="00DC75CC" w14:paraId="3217E66A" w14:textId="77777777" w:rsidTr="00C75467">
        <w:trPr>
          <w:trHeight w:val="288"/>
          <w:tblHeader/>
          <w:jc w:val="center"/>
        </w:trPr>
        <w:tc>
          <w:tcPr>
            <w:tcW w:w="0" w:type="auto"/>
            <w:tcBorders>
              <w:top w:val="nil"/>
              <w:left w:val="nil"/>
              <w:bottom w:val="nil"/>
              <w:right w:val="nil"/>
            </w:tcBorders>
            <w:noWrap/>
            <w:vAlign w:val="bottom"/>
            <w:hideMark/>
          </w:tcPr>
          <w:p w14:paraId="4A95CF9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7048B51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RAIS AMARI</w:t>
            </w:r>
          </w:p>
        </w:tc>
        <w:tc>
          <w:tcPr>
            <w:tcW w:w="0" w:type="auto"/>
            <w:tcBorders>
              <w:top w:val="nil"/>
              <w:left w:val="nil"/>
              <w:bottom w:val="nil"/>
              <w:right w:val="nil"/>
            </w:tcBorders>
            <w:noWrap/>
            <w:vAlign w:val="bottom"/>
            <w:hideMark/>
          </w:tcPr>
          <w:p w14:paraId="3057C47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AT000DZA01028</w:t>
            </w:r>
          </w:p>
        </w:tc>
      </w:tr>
      <w:tr w:rsidR="00C27D6A" w:rsidRPr="00DC75CC" w14:paraId="56AD1E24" w14:textId="77777777" w:rsidTr="00C75467">
        <w:trPr>
          <w:trHeight w:val="288"/>
          <w:tblHeader/>
          <w:jc w:val="center"/>
        </w:trPr>
        <w:tc>
          <w:tcPr>
            <w:tcW w:w="0" w:type="auto"/>
            <w:tcBorders>
              <w:top w:val="nil"/>
              <w:left w:val="nil"/>
              <w:bottom w:val="nil"/>
              <w:right w:val="nil"/>
            </w:tcBorders>
            <w:noWrap/>
            <w:vAlign w:val="bottom"/>
            <w:hideMark/>
          </w:tcPr>
          <w:p w14:paraId="59EF2F4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47F658B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Oum El Kheir</w:t>
            </w:r>
          </w:p>
        </w:tc>
        <w:tc>
          <w:tcPr>
            <w:tcW w:w="0" w:type="auto"/>
            <w:tcBorders>
              <w:top w:val="nil"/>
              <w:left w:val="nil"/>
              <w:bottom w:val="nil"/>
              <w:right w:val="nil"/>
            </w:tcBorders>
            <w:noWrap/>
            <w:vAlign w:val="bottom"/>
            <w:hideMark/>
          </w:tcPr>
          <w:p w14:paraId="50B54F3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AT000DZA01029</w:t>
            </w:r>
          </w:p>
        </w:tc>
      </w:tr>
      <w:tr w:rsidR="00C27D6A" w:rsidRPr="00DC75CC" w14:paraId="26E7E478" w14:textId="77777777" w:rsidTr="00C75467">
        <w:trPr>
          <w:trHeight w:val="288"/>
          <w:tblHeader/>
          <w:jc w:val="center"/>
        </w:trPr>
        <w:tc>
          <w:tcPr>
            <w:tcW w:w="0" w:type="auto"/>
            <w:tcBorders>
              <w:top w:val="nil"/>
              <w:left w:val="nil"/>
              <w:bottom w:val="nil"/>
              <w:right w:val="nil"/>
            </w:tcBorders>
            <w:noWrap/>
            <w:vAlign w:val="bottom"/>
            <w:hideMark/>
          </w:tcPr>
          <w:p w14:paraId="4A6A1C2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63C6CC2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Madinet Béni-Saf</w:t>
            </w:r>
          </w:p>
        </w:tc>
        <w:tc>
          <w:tcPr>
            <w:tcW w:w="0" w:type="auto"/>
            <w:tcBorders>
              <w:top w:val="nil"/>
              <w:left w:val="nil"/>
              <w:bottom w:val="nil"/>
              <w:right w:val="nil"/>
            </w:tcBorders>
            <w:noWrap/>
            <w:vAlign w:val="bottom"/>
            <w:hideMark/>
          </w:tcPr>
          <w:p w14:paraId="5C93A32D"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AT000DZA01034</w:t>
            </w:r>
          </w:p>
        </w:tc>
      </w:tr>
      <w:tr w:rsidR="00C27D6A" w:rsidRPr="00DC75CC" w14:paraId="005FB1AF" w14:textId="77777777" w:rsidTr="00C75467">
        <w:trPr>
          <w:trHeight w:val="288"/>
          <w:tblHeader/>
          <w:jc w:val="center"/>
        </w:trPr>
        <w:tc>
          <w:tcPr>
            <w:tcW w:w="0" w:type="auto"/>
            <w:tcBorders>
              <w:top w:val="nil"/>
              <w:left w:val="nil"/>
              <w:bottom w:val="nil"/>
              <w:right w:val="nil"/>
            </w:tcBorders>
            <w:noWrap/>
            <w:vAlign w:val="bottom"/>
            <w:hideMark/>
          </w:tcPr>
          <w:p w14:paraId="2934916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60BA228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ZMALET ELAMIR ABDELKADER</w:t>
            </w:r>
          </w:p>
        </w:tc>
        <w:tc>
          <w:tcPr>
            <w:tcW w:w="0" w:type="auto"/>
            <w:tcBorders>
              <w:top w:val="nil"/>
              <w:left w:val="nil"/>
              <w:bottom w:val="nil"/>
              <w:right w:val="nil"/>
            </w:tcBorders>
            <w:noWrap/>
            <w:vAlign w:val="bottom"/>
            <w:hideMark/>
          </w:tcPr>
          <w:p w14:paraId="5FCAC11F"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AT000DZA01035</w:t>
            </w:r>
          </w:p>
        </w:tc>
      </w:tr>
      <w:tr w:rsidR="00C27D6A" w:rsidRPr="00DC75CC" w14:paraId="5D8E473C" w14:textId="77777777" w:rsidTr="00C75467">
        <w:trPr>
          <w:trHeight w:val="288"/>
          <w:tblHeader/>
          <w:jc w:val="center"/>
        </w:trPr>
        <w:tc>
          <w:tcPr>
            <w:tcW w:w="0" w:type="auto"/>
            <w:tcBorders>
              <w:top w:val="nil"/>
              <w:left w:val="nil"/>
              <w:bottom w:val="nil"/>
              <w:right w:val="nil"/>
            </w:tcBorders>
            <w:noWrap/>
            <w:vAlign w:val="bottom"/>
            <w:hideMark/>
          </w:tcPr>
          <w:p w14:paraId="72303DD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3FC26FC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Echahid Abane Ramdane</w:t>
            </w:r>
          </w:p>
        </w:tc>
        <w:tc>
          <w:tcPr>
            <w:tcW w:w="0" w:type="auto"/>
            <w:tcBorders>
              <w:top w:val="nil"/>
              <w:left w:val="nil"/>
              <w:bottom w:val="nil"/>
              <w:right w:val="nil"/>
            </w:tcBorders>
            <w:noWrap/>
            <w:vAlign w:val="bottom"/>
            <w:hideMark/>
          </w:tcPr>
          <w:p w14:paraId="2147E0F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AT000DZA01032</w:t>
            </w:r>
          </w:p>
        </w:tc>
      </w:tr>
      <w:tr w:rsidR="00C27D6A" w:rsidRPr="00DC75CC" w14:paraId="3E86D77E" w14:textId="77777777" w:rsidTr="00C75467">
        <w:trPr>
          <w:trHeight w:val="288"/>
          <w:tblHeader/>
          <w:jc w:val="center"/>
        </w:trPr>
        <w:tc>
          <w:tcPr>
            <w:tcW w:w="0" w:type="auto"/>
            <w:tcBorders>
              <w:top w:val="nil"/>
              <w:left w:val="nil"/>
              <w:bottom w:val="nil"/>
              <w:right w:val="nil"/>
            </w:tcBorders>
            <w:noWrap/>
            <w:vAlign w:val="bottom"/>
            <w:hideMark/>
          </w:tcPr>
          <w:p w14:paraId="364FAB0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29610A6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 MOUDJAHID TIZA AMAR</w:t>
            </w:r>
          </w:p>
        </w:tc>
        <w:tc>
          <w:tcPr>
            <w:tcW w:w="0" w:type="auto"/>
            <w:tcBorders>
              <w:top w:val="nil"/>
              <w:left w:val="nil"/>
              <w:bottom w:val="nil"/>
              <w:right w:val="nil"/>
            </w:tcBorders>
            <w:noWrap/>
            <w:vAlign w:val="bottom"/>
            <w:hideMark/>
          </w:tcPr>
          <w:p w14:paraId="0AD8E99D"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AT000DZA01036</w:t>
            </w:r>
          </w:p>
        </w:tc>
      </w:tr>
      <w:tr w:rsidR="00C27D6A" w:rsidRPr="00DC75CC" w14:paraId="2504792B" w14:textId="77777777" w:rsidTr="00C75467">
        <w:trPr>
          <w:trHeight w:val="288"/>
          <w:tblHeader/>
          <w:jc w:val="center"/>
        </w:trPr>
        <w:tc>
          <w:tcPr>
            <w:tcW w:w="0" w:type="auto"/>
            <w:tcBorders>
              <w:top w:val="nil"/>
              <w:left w:val="nil"/>
              <w:bottom w:val="nil"/>
              <w:right w:val="nil"/>
            </w:tcBorders>
            <w:noWrap/>
            <w:vAlign w:val="bottom"/>
            <w:hideMark/>
          </w:tcPr>
          <w:p w14:paraId="5605E41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Argelia</w:t>
            </w:r>
          </w:p>
        </w:tc>
        <w:tc>
          <w:tcPr>
            <w:tcW w:w="0" w:type="auto"/>
            <w:tcBorders>
              <w:top w:val="nil"/>
              <w:left w:val="nil"/>
              <w:bottom w:val="nil"/>
              <w:right w:val="nil"/>
            </w:tcBorders>
            <w:noWrap/>
            <w:vAlign w:val="bottom"/>
            <w:hideMark/>
          </w:tcPr>
          <w:p w14:paraId="3B0C7F6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Ouald El Khechai</w:t>
            </w:r>
          </w:p>
        </w:tc>
        <w:tc>
          <w:tcPr>
            <w:tcW w:w="0" w:type="auto"/>
            <w:tcBorders>
              <w:top w:val="nil"/>
              <w:left w:val="nil"/>
              <w:bottom w:val="nil"/>
              <w:right w:val="nil"/>
            </w:tcBorders>
            <w:noWrap/>
            <w:vAlign w:val="bottom"/>
            <w:hideMark/>
          </w:tcPr>
          <w:p w14:paraId="69816B76"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AT000DZA01033</w:t>
            </w:r>
          </w:p>
        </w:tc>
      </w:tr>
      <w:tr w:rsidR="00C27D6A" w:rsidRPr="00DC75CC" w14:paraId="702AD184" w14:textId="77777777" w:rsidTr="00C75467">
        <w:trPr>
          <w:trHeight w:val="288"/>
          <w:tblHeader/>
          <w:jc w:val="center"/>
        </w:trPr>
        <w:tc>
          <w:tcPr>
            <w:tcW w:w="0" w:type="auto"/>
            <w:tcBorders>
              <w:top w:val="nil"/>
              <w:left w:val="nil"/>
              <w:bottom w:val="nil"/>
              <w:right w:val="nil"/>
            </w:tcBorders>
            <w:noWrap/>
            <w:vAlign w:val="bottom"/>
            <w:hideMark/>
          </w:tcPr>
          <w:p w14:paraId="37A91E4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0" w:type="auto"/>
            <w:tcBorders>
              <w:top w:val="nil"/>
              <w:left w:val="nil"/>
              <w:bottom w:val="nil"/>
              <w:right w:val="nil"/>
            </w:tcBorders>
            <w:noWrap/>
            <w:vAlign w:val="bottom"/>
            <w:hideMark/>
          </w:tcPr>
          <w:p w14:paraId="6DFBFB8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NUEVO PANCHILLETA</w:t>
            </w:r>
          </w:p>
        </w:tc>
        <w:tc>
          <w:tcPr>
            <w:tcW w:w="0" w:type="auto"/>
            <w:tcBorders>
              <w:top w:val="nil"/>
              <w:left w:val="nil"/>
              <w:bottom w:val="nil"/>
              <w:right w:val="nil"/>
            </w:tcBorders>
            <w:noWrap/>
            <w:vAlign w:val="bottom"/>
            <w:hideMark/>
          </w:tcPr>
          <w:p w14:paraId="76ECA960"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ATEU0ESP00276</w:t>
            </w:r>
          </w:p>
        </w:tc>
      </w:tr>
      <w:tr w:rsidR="00C27D6A" w:rsidRPr="00DC75CC" w14:paraId="0AFE6D9E" w14:textId="77777777" w:rsidTr="00C75467">
        <w:trPr>
          <w:trHeight w:val="288"/>
          <w:tblHeader/>
          <w:jc w:val="center"/>
        </w:trPr>
        <w:tc>
          <w:tcPr>
            <w:tcW w:w="0" w:type="auto"/>
            <w:tcBorders>
              <w:top w:val="nil"/>
              <w:left w:val="nil"/>
              <w:bottom w:val="nil"/>
              <w:right w:val="nil"/>
            </w:tcBorders>
            <w:noWrap/>
            <w:vAlign w:val="bottom"/>
            <w:hideMark/>
          </w:tcPr>
          <w:p w14:paraId="35B4A8B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UE-Croacia</w:t>
            </w:r>
          </w:p>
        </w:tc>
        <w:tc>
          <w:tcPr>
            <w:tcW w:w="0" w:type="auto"/>
            <w:tcBorders>
              <w:top w:val="nil"/>
              <w:left w:val="nil"/>
              <w:bottom w:val="nil"/>
              <w:right w:val="nil"/>
            </w:tcBorders>
            <w:noWrap/>
            <w:vAlign w:val="bottom"/>
            <w:hideMark/>
          </w:tcPr>
          <w:p w14:paraId="6EB966B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RIBAR</w:t>
            </w:r>
          </w:p>
        </w:tc>
        <w:tc>
          <w:tcPr>
            <w:tcW w:w="0" w:type="auto"/>
            <w:tcBorders>
              <w:top w:val="nil"/>
              <w:left w:val="nil"/>
              <w:bottom w:val="nil"/>
              <w:right w:val="nil"/>
            </w:tcBorders>
            <w:noWrap/>
            <w:vAlign w:val="bottom"/>
            <w:hideMark/>
          </w:tcPr>
          <w:p w14:paraId="59A7874D"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ATEU0HRV00042</w:t>
            </w:r>
          </w:p>
        </w:tc>
      </w:tr>
      <w:tr w:rsidR="00C27D6A" w:rsidRPr="00DC75CC" w14:paraId="5095009B" w14:textId="77777777" w:rsidTr="00C75467">
        <w:trPr>
          <w:trHeight w:val="288"/>
          <w:tblHeader/>
          <w:jc w:val="center"/>
        </w:trPr>
        <w:tc>
          <w:tcPr>
            <w:tcW w:w="0" w:type="auto"/>
            <w:tcBorders>
              <w:top w:val="nil"/>
              <w:left w:val="nil"/>
              <w:bottom w:val="nil"/>
              <w:right w:val="nil"/>
            </w:tcBorders>
            <w:noWrap/>
            <w:vAlign w:val="bottom"/>
            <w:hideMark/>
          </w:tcPr>
          <w:p w14:paraId="5DBFF54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UE-Croacia</w:t>
            </w:r>
          </w:p>
        </w:tc>
        <w:tc>
          <w:tcPr>
            <w:tcW w:w="0" w:type="auto"/>
            <w:tcBorders>
              <w:top w:val="nil"/>
              <w:left w:val="nil"/>
              <w:bottom w:val="nil"/>
              <w:right w:val="nil"/>
            </w:tcBorders>
            <w:noWrap/>
            <w:vAlign w:val="bottom"/>
            <w:hideMark/>
          </w:tcPr>
          <w:p w14:paraId="28327FF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NEPTUN II</w:t>
            </w:r>
          </w:p>
        </w:tc>
        <w:tc>
          <w:tcPr>
            <w:tcW w:w="0" w:type="auto"/>
            <w:tcBorders>
              <w:top w:val="nil"/>
              <w:left w:val="nil"/>
              <w:bottom w:val="nil"/>
              <w:right w:val="nil"/>
            </w:tcBorders>
            <w:noWrap/>
            <w:vAlign w:val="bottom"/>
            <w:hideMark/>
          </w:tcPr>
          <w:p w14:paraId="3462E26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ATEU0HRV00140</w:t>
            </w:r>
          </w:p>
        </w:tc>
      </w:tr>
      <w:tr w:rsidR="00C27D6A" w:rsidRPr="00DC75CC" w14:paraId="36127858" w14:textId="77777777" w:rsidTr="00C75467">
        <w:trPr>
          <w:trHeight w:val="288"/>
          <w:tblHeader/>
          <w:jc w:val="center"/>
        </w:trPr>
        <w:tc>
          <w:tcPr>
            <w:tcW w:w="0" w:type="auto"/>
            <w:tcBorders>
              <w:top w:val="nil"/>
              <w:left w:val="nil"/>
              <w:bottom w:val="nil"/>
              <w:right w:val="nil"/>
            </w:tcBorders>
            <w:noWrap/>
            <w:vAlign w:val="bottom"/>
            <w:hideMark/>
          </w:tcPr>
          <w:p w14:paraId="7F451D0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UE-Croacia</w:t>
            </w:r>
          </w:p>
        </w:tc>
        <w:tc>
          <w:tcPr>
            <w:tcW w:w="0" w:type="auto"/>
            <w:tcBorders>
              <w:top w:val="nil"/>
              <w:left w:val="nil"/>
              <w:bottom w:val="nil"/>
              <w:right w:val="nil"/>
            </w:tcBorders>
            <w:noWrap/>
            <w:vAlign w:val="bottom"/>
            <w:hideMark/>
          </w:tcPr>
          <w:p w14:paraId="1978D81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NOA</w:t>
            </w:r>
          </w:p>
        </w:tc>
        <w:tc>
          <w:tcPr>
            <w:tcW w:w="0" w:type="auto"/>
            <w:tcBorders>
              <w:top w:val="nil"/>
              <w:left w:val="nil"/>
              <w:bottom w:val="nil"/>
              <w:right w:val="nil"/>
            </w:tcBorders>
            <w:noWrap/>
            <w:vAlign w:val="bottom"/>
            <w:hideMark/>
          </w:tcPr>
          <w:p w14:paraId="4C06A5C6"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ATEU0HRV00330</w:t>
            </w:r>
          </w:p>
        </w:tc>
      </w:tr>
      <w:tr w:rsidR="00C27D6A" w:rsidRPr="00DC75CC" w14:paraId="7187F318" w14:textId="77777777" w:rsidTr="00C75467">
        <w:trPr>
          <w:trHeight w:val="288"/>
          <w:tblHeader/>
          <w:jc w:val="center"/>
        </w:trPr>
        <w:tc>
          <w:tcPr>
            <w:tcW w:w="0" w:type="auto"/>
            <w:tcBorders>
              <w:top w:val="nil"/>
              <w:left w:val="nil"/>
              <w:bottom w:val="nil"/>
              <w:right w:val="nil"/>
            </w:tcBorders>
            <w:noWrap/>
            <w:vAlign w:val="bottom"/>
            <w:hideMark/>
          </w:tcPr>
          <w:p w14:paraId="7D9F928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UE-Chipre</w:t>
            </w:r>
          </w:p>
        </w:tc>
        <w:tc>
          <w:tcPr>
            <w:tcW w:w="0" w:type="auto"/>
            <w:tcBorders>
              <w:top w:val="nil"/>
              <w:left w:val="nil"/>
              <w:bottom w:val="nil"/>
              <w:right w:val="nil"/>
            </w:tcBorders>
            <w:noWrap/>
            <w:vAlign w:val="bottom"/>
            <w:hideMark/>
          </w:tcPr>
          <w:p w14:paraId="6DC4EE4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ALKYA</w:t>
            </w:r>
          </w:p>
        </w:tc>
        <w:tc>
          <w:tcPr>
            <w:tcW w:w="0" w:type="auto"/>
            <w:tcBorders>
              <w:top w:val="nil"/>
              <w:left w:val="nil"/>
              <w:bottom w:val="nil"/>
              <w:right w:val="nil"/>
            </w:tcBorders>
            <w:noWrap/>
            <w:vAlign w:val="bottom"/>
            <w:hideMark/>
          </w:tcPr>
          <w:p w14:paraId="36F509D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ATEU0CYP00103</w:t>
            </w:r>
          </w:p>
        </w:tc>
      </w:tr>
      <w:tr w:rsidR="00C27D6A" w:rsidRPr="00DC75CC" w14:paraId="1CF3B90A" w14:textId="77777777" w:rsidTr="00C75467">
        <w:trPr>
          <w:trHeight w:val="288"/>
          <w:tblHeader/>
          <w:jc w:val="center"/>
        </w:trPr>
        <w:tc>
          <w:tcPr>
            <w:tcW w:w="0" w:type="auto"/>
            <w:tcBorders>
              <w:top w:val="nil"/>
              <w:left w:val="nil"/>
              <w:bottom w:val="nil"/>
              <w:right w:val="nil"/>
            </w:tcBorders>
            <w:noWrap/>
            <w:vAlign w:val="bottom"/>
            <w:hideMark/>
          </w:tcPr>
          <w:p w14:paraId="0785C61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0" w:type="auto"/>
            <w:tcBorders>
              <w:top w:val="nil"/>
              <w:left w:val="nil"/>
              <w:bottom w:val="nil"/>
              <w:right w:val="nil"/>
            </w:tcBorders>
            <w:noWrap/>
            <w:vAlign w:val="bottom"/>
            <w:hideMark/>
          </w:tcPr>
          <w:p w14:paraId="320C7F2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LEONARDO BRULL SEGON</w:t>
            </w:r>
          </w:p>
        </w:tc>
        <w:tc>
          <w:tcPr>
            <w:tcW w:w="0" w:type="auto"/>
            <w:tcBorders>
              <w:top w:val="nil"/>
              <w:left w:val="nil"/>
              <w:bottom w:val="nil"/>
              <w:right w:val="nil"/>
            </w:tcBorders>
            <w:noWrap/>
            <w:vAlign w:val="bottom"/>
            <w:hideMark/>
          </w:tcPr>
          <w:p w14:paraId="2477A4A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ATEU0ESP00173</w:t>
            </w:r>
          </w:p>
        </w:tc>
      </w:tr>
      <w:tr w:rsidR="00C27D6A" w:rsidRPr="00DC75CC" w14:paraId="580ED59A" w14:textId="77777777" w:rsidTr="00C75467">
        <w:trPr>
          <w:trHeight w:val="288"/>
          <w:tblHeader/>
          <w:jc w:val="center"/>
        </w:trPr>
        <w:tc>
          <w:tcPr>
            <w:tcW w:w="0" w:type="auto"/>
            <w:tcBorders>
              <w:top w:val="nil"/>
              <w:left w:val="nil"/>
              <w:bottom w:val="nil"/>
              <w:right w:val="nil"/>
            </w:tcBorders>
            <w:noWrap/>
            <w:vAlign w:val="bottom"/>
            <w:hideMark/>
          </w:tcPr>
          <w:p w14:paraId="4D0E747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0" w:type="auto"/>
            <w:tcBorders>
              <w:top w:val="nil"/>
              <w:left w:val="nil"/>
              <w:bottom w:val="nil"/>
              <w:right w:val="nil"/>
            </w:tcBorders>
            <w:noWrap/>
            <w:vAlign w:val="bottom"/>
            <w:hideMark/>
          </w:tcPr>
          <w:p w14:paraId="3E97168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NUEVO ELORZ</w:t>
            </w:r>
          </w:p>
        </w:tc>
        <w:tc>
          <w:tcPr>
            <w:tcW w:w="0" w:type="auto"/>
            <w:tcBorders>
              <w:top w:val="nil"/>
              <w:left w:val="nil"/>
              <w:bottom w:val="nil"/>
              <w:right w:val="nil"/>
            </w:tcBorders>
            <w:noWrap/>
            <w:vAlign w:val="bottom"/>
            <w:hideMark/>
          </w:tcPr>
          <w:p w14:paraId="454736D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ATEU0ESP00250</w:t>
            </w:r>
          </w:p>
        </w:tc>
      </w:tr>
      <w:tr w:rsidR="00C27D6A" w:rsidRPr="00DC75CC" w14:paraId="0959D005" w14:textId="77777777" w:rsidTr="00C75467">
        <w:trPr>
          <w:trHeight w:val="288"/>
          <w:tblHeader/>
          <w:jc w:val="center"/>
        </w:trPr>
        <w:tc>
          <w:tcPr>
            <w:tcW w:w="0" w:type="auto"/>
            <w:tcBorders>
              <w:top w:val="nil"/>
              <w:left w:val="nil"/>
              <w:bottom w:val="nil"/>
              <w:right w:val="nil"/>
            </w:tcBorders>
            <w:noWrap/>
            <w:vAlign w:val="bottom"/>
            <w:hideMark/>
          </w:tcPr>
          <w:p w14:paraId="4C25617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0" w:type="auto"/>
            <w:tcBorders>
              <w:top w:val="nil"/>
              <w:left w:val="nil"/>
              <w:bottom w:val="nil"/>
              <w:right w:val="nil"/>
            </w:tcBorders>
            <w:noWrap/>
            <w:vAlign w:val="bottom"/>
            <w:hideMark/>
          </w:tcPr>
          <w:p w14:paraId="5118067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NUEVO PANCHILLETA</w:t>
            </w:r>
          </w:p>
        </w:tc>
        <w:tc>
          <w:tcPr>
            <w:tcW w:w="0" w:type="auto"/>
            <w:tcBorders>
              <w:top w:val="nil"/>
              <w:left w:val="nil"/>
              <w:bottom w:val="nil"/>
              <w:right w:val="nil"/>
            </w:tcBorders>
            <w:noWrap/>
            <w:vAlign w:val="bottom"/>
            <w:hideMark/>
          </w:tcPr>
          <w:p w14:paraId="21BDCC7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ATEU0ESP00276</w:t>
            </w:r>
          </w:p>
        </w:tc>
      </w:tr>
      <w:tr w:rsidR="00C27D6A" w:rsidRPr="00DC75CC" w14:paraId="340EDCBF" w14:textId="77777777" w:rsidTr="00C75467">
        <w:trPr>
          <w:trHeight w:val="288"/>
          <w:tblHeader/>
          <w:jc w:val="center"/>
        </w:trPr>
        <w:tc>
          <w:tcPr>
            <w:tcW w:w="0" w:type="auto"/>
            <w:tcBorders>
              <w:top w:val="nil"/>
              <w:left w:val="nil"/>
              <w:bottom w:val="nil"/>
              <w:right w:val="nil"/>
            </w:tcBorders>
            <w:noWrap/>
            <w:vAlign w:val="bottom"/>
            <w:hideMark/>
          </w:tcPr>
          <w:p w14:paraId="558DFAA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0" w:type="auto"/>
            <w:tcBorders>
              <w:top w:val="nil"/>
              <w:left w:val="nil"/>
              <w:bottom w:val="nil"/>
              <w:right w:val="nil"/>
            </w:tcBorders>
            <w:noWrap/>
            <w:vAlign w:val="bottom"/>
            <w:hideMark/>
          </w:tcPr>
          <w:p w14:paraId="42D694C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GEPUS</w:t>
            </w:r>
          </w:p>
        </w:tc>
        <w:tc>
          <w:tcPr>
            <w:tcW w:w="0" w:type="auto"/>
            <w:tcBorders>
              <w:top w:val="nil"/>
              <w:left w:val="nil"/>
              <w:bottom w:val="nil"/>
              <w:right w:val="nil"/>
            </w:tcBorders>
            <w:noWrap/>
            <w:vAlign w:val="bottom"/>
            <w:hideMark/>
          </w:tcPr>
          <w:p w14:paraId="3D16F056"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ATEU0ESP00119</w:t>
            </w:r>
          </w:p>
        </w:tc>
      </w:tr>
      <w:tr w:rsidR="00C27D6A" w:rsidRPr="00DC75CC" w14:paraId="220FE967" w14:textId="77777777" w:rsidTr="00C75467">
        <w:trPr>
          <w:trHeight w:val="288"/>
          <w:tblHeader/>
          <w:jc w:val="center"/>
        </w:trPr>
        <w:tc>
          <w:tcPr>
            <w:tcW w:w="0" w:type="auto"/>
            <w:tcBorders>
              <w:top w:val="nil"/>
              <w:left w:val="nil"/>
              <w:bottom w:val="nil"/>
              <w:right w:val="nil"/>
            </w:tcBorders>
            <w:noWrap/>
            <w:vAlign w:val="bottom"/>
            <w:hideMark/>
          </w:tcPr>
          <w:p w14:paraId="39376C7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0" w:type="auto"/>
            <w:tcBorders>
              <w:top w:val="nil"/>
              <w:left w:val="nil"/>
              <w:bottom w:val="nil"/>
              <w:right w:val="nil"/>
            </w:tcBorders>
            <w:noWrap/>
            <w:vAlign w:val="bottom"/>
            <w:hideMark/>
          </w:tcPr>
          <w:p w14:paraId="1E4A073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LA FRAU DOS</w:t>
            </w:r>
          </w:p>
        </w:tc>
        <w:tc>
          <w:tcPr>
            <w:tcW w:w="0" w:type="auto"/>
            <w:tcBorders>
              <w:top w:val="nil"/>
              <w:left w:val="nil"/>
              <w:bottom w:val="nil"/>
              <w:right w:val="nil"/>
            </w:tcBorders>
            <w:noWrap/>
            <w:vAlign w:val="bottom"/>
            <w:hideMark/>
          </w:tcPr>
          <w:p w14:paraId="1902F8CF"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ATEU0ESP00172</w:t>
            </w:r>
          </w:p>
        </w:tc>
      </w:tr>
      <w:tr w:rsidR="00C27D6A" w:rsidRPr="00DC75CC" w14:paraId="7BA8E6DA" w14:textId="77777777" w:rsidTr="00C75467">
        <w:trPr>
          <w:trHeight w:val="288"/>
          <w:tblHeader/>
          <w:jc w:val="center"/>
        </w:trPr>
        <w:tc>
          <w:tcPr>
            <w:tcW w:w="0" w:type="auto"/>
            <w:tcBorders>
              <w:top w:val="nil"/>
              <w:left w:val="nil"/>
              <w:bottom w:val="nil"/>
              <w:right w:val="nil"/>
            </w:tcBorders>
            <w:noWrap/>
            <w:vAlign w:val="bottom"/>
            <w:hideMark/>
          </w:tcPr>
          <w:p w14:paraId="5779E3D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0" w:type="auto"/>
            <w:tcBorders>
              <w:top w:val="nil"/>
              <w:left w:val="nil"/>
              <w:bottom w:val="nil"/>
              <w:right w:val="nil"/>
            </w:tcBorders>
            <w:noWrap/>
            <w:vAlign w:val="bottom"/>
            <w:hideMark/>
          </w:tcPr>
          <w:p w14:paraId="7A269D9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TIO GEL SEGON</w:t>
            </w:r>
          </w:p>
        </w:tc>
        <w:tc>
          <w:tcPr>
            <w:tcW w:w="0" w:type="auto"/>
            <w:tcBorders>
              <w:top w:val="nil"/>
              <w:left w:val="nil"/>
              <w:bottom w:val="nil"/>
              <w:right w:val="nil"/>
            </w:tcBorders>
            <w:noWrap/>
            <w:vAlign w:val="bottom"/>
            <w:hideMark/>
          </w:tcPr>
          <w:p w14:paraId="3679D9E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ATEU0ESP00394</w:t>
            </w:r>
          </w:p>
        </w:tc>
      </w:tr>
      <w:tr w:rsidR="00C27D6A" w:rsidRPr="00DC75CC" w14:paraId="02C2B508" w14:textId="77777777" w:rsidTr="00C75467">
        <w:trPr>
          <w:trHeight w:val="288"/>
          <w:tblHeader/>
          <w:jc w:val="center"/>
        </w:trPr>
        <w:tc>
          <w:tcPr>
            <w:tcW w:w="0" w:type="auto"/>
            <w:tcBorders>
              <w:top w:val="nil"/>
              <w:left w:val="nil"/>
              <w:bottom w:val="nil"/>
              <w:right w:val="nil"/>
            </w:tcBorders>
            <w:noWrap/>
            <w:vAlign w:val="bottom"/>
            <w:hideMark/>
          </w:tcPr>
          <w:p w14:paraId="19AD300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0" w:type="auto"/>
            <w:tcBorders>
              <w:top w:val="nil"/>
              <w:left w:val="nil"/>
              <w:bottom w:val="nil"/>
              <w:right w:val="nil"/>
            </w:tcBorders>
            <w:noWrap/>
            <w:vAlign w:val="bottom"/>
            <w:hideMark/>
          </w:tcPr>
          <w:p w14:paraId="2418800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KANTAURI</w:t>
            </w:r>
          </w:p>
        </w:tc>
        <w:tc>
          <w:tcPr>
            <w:tcW w:w="0" w:type="auto"/>
            <w:tcBorders>
              <w:top w:val="nil"/>
              <w:left w:val="nil"/>
              <w:bottom w:val="nil"/>
              <w:right w:val="nil"/>
            </w:tcBorders>
            <w:noWrap/>
            <w:vAlign w:val="bottom"/>
            <w:hideMark/>
          </w:tcPr>
          <w:p w14:paraId="5AF4F75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ATEU0ESP03861</w:t>
            </w:r>
          </w:p>
        </w:tc>
      </w:tr>
      <w:tr w:rsidR="00C27D6A" w:rsidRPr="00DC75CC" w14:paraId="45D0B80F" w14:textId="77777777" w:rsidTr="00C75467">
        <w:trPr>
          <w:trHeight w:val="288"/>
          <w:tblHeader/>
          <w:jc w:val="center"/>
        </w:trPr>
        <w:tc>
          <w:tcPr>
            <w:tcW w:w="0" w:type="auto"/>
            <w:tcBorders>
              <w:top w:val="nil"/>
              <w:left w:val="nil"/>
              <w:bottom w:val="nil"/>
              <w:right w:val="nil"/>
            </w:tcBorders>
            <w:noWrap/>
            <w:vAlign w:val="bottom"/>
            <w:hideMark/>
          </w:tcPr>
          <w:p w14:paraId="02A7AC4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758803D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ANNE ANTOINE 2</w:t>
            </w:r>
          </w:p>
        </w:tc>
        <w:tc>
          <w:tcPr>
            <w:tcW w:w="0" w:type="auto"/>
            <w:tcBorders>
              <w:top w:val="nil"/>
              <w:left w:val="nil"/>
              <w:bottom w:val="nil"/>
              <w:right w:val="nil"/>
            </w:tcBorders>
            <w:noWrap/>
            <w:vAlign w:val="bottom"/>
            <w:hideMark/>
          </w:tcPr>
          <w:p w14:paraId="7E094CB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ATEU0FRA00003</w:t>
            </w:r>
          </w:p>
        </w:tc>
      </w:tr>
      <w:tr w:rsidR="00C27D6A" w:rsidRPr="00DC75CC" w14:paraId="3723A579" w14:textId="77777777" w:rsidTr="00C75467">
        <w:trPr>
          <w:trHeight w:val="288"/>
          <w:tblHeader/>
          <w:jc w:val="center"/>
        </w:trPr>
        <w:tc>
          <w:tcPr>
            <w:tcW w:w="0" w:type="auto"/>
            <w:tcBorders>
              <w:top w:val="nil"/>
              <w:left w:val="nil"/>
              <w:bottom w:val="nil"/>
              <w:right w:val="nil"/>
            </w:tcBorders>
            <w:noWrap/>
            <w:vAlign w:val="bottom"/>
            <w:hideMark/>
          </w:tcPr>
          <w:p w14:paraId="7331FE7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5FFC5EC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CAP HORIZON</w:t>
            </w:r>
          </w:p>
        </w:tc>
        <w:tc>
          <w:tcPr>
            <w:tcW w:w="0" w:type="auto"/>
            <w:tcBorders>
              <w:top w:val="nil"/>
              <w:left w:val="nil"/>
              <w:bottom w:val="nil"/>
              <w:right w:val="nil"/>
            </w:tcBorders>
            <w:noWrap/>
            <w:vAlign w:val="bottom"/>
            <w:hideMark/>
          </w:tcPr>
          <w:p w14:paraId="6FCD6EE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ATEU0FRA00013</w:t>
            </w:r>
          </w:p>
        </w:tc>
      </w:tr>
      <w:tr w:rsidR="00C27D6A" w:rsidRPr="00DC75CC" w14:paraId="67B096E6" w14:textId="77777777" w:rsidTr="00C75467">
        <w:trPr>
          <w:trHeight w:val="288"/>
          <w:tblHeader/>
          <w:jc w:val="center"/>
        </w:trPr>
        <w:tc>
          <w:tcPr>
            <w:tcW w:w="0" w:type="auto"/>
            <w:tcBorders>
              <w:top w:val="nil"/>
              <w:left w:val="nil"/>
              <w:bottom w:val="nil"/>
              <w:right w:val="nil"/>
            </w:tcBorders>
            <w:noWrap/>
            <w:vAlign w:val="bottom"/>
            <w:hideMark/>
          </w:tcPr>
          <w:p w14:paraId="6D8FF6F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47030E3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CHRISDERIC II</w:t>
            </w:r>
          </w:p>
        </w:tc>
        <w:tc>
          <w:tcPr>
            <w:tcW w:w="0" w:type="auto"/>
            <w:tcBorders>
              <w:top w:val="nil"/>
              <w:left w:val="nil"/>
              <w:bottom w:val="nil"/>
              <w:right w:val="nil"/>
            </w:tcBorders>
            <w:noWrap/>
            <w:vAlign w:val="bottom"/>
            <w:hideMark/>
          </w:tcPr>
          <w:p w14:paraId="5B44565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ATEU0FRA00019</w:t>
            </w:r>
          </w:p>
        </w:tc>
      </w:tr>
      <w:tr w:rsidR="00C27D6A" w:rsidRPr="00DC75CC" w14:paraId="43F1F17F" w14:textId="77777777" w:rsidTr="00C75467">
        <w:trPr>
          <w:trHeight w:val="288"/>
          <w:tblHeader/>
          <w:jc w:val="center"/>
        </w:trPr>
        <w:tc>
          <w:tcPr>
            <w:tcW w:w="0" w:type="auto"/>
            <w:tcBorders>
              <w:top w:val="nil"/>
              <w:left w:val="nil"/>
              <w:bottom w:val="nil"/>
              <w:right w:val="nil"/>
            </w:tcBorders>
            <w:noWrap/>
            <w:vAlign w:val="bottom"/>
            <w:hideMark/>
          </w:tcPr>
          <w:p w14:paraId="7C99F33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3914298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CISBERLANDE 5</w:t>
            </w:r>
          </w:p>
        </w:tc>
        <w:tc>
          <w:tcPr>
            <w:tcW w:w="0" w:type="auto"/>
            <w:tcBorders>
              <w:top w:val="nil"/>
              <w:left w:val="nil"/>
              <w:bottom w:val="nil"/>
              <w:right w:val="nil"/>
            </w:tcBorders>
            <w:noWrap/>
            <w:vAlign w:val="bottom"/>
            <w:hideMark/>
          </w:tcPr>
          <w:p w14:paraId="558AABE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ATEU0FRA00021</w:t>
            </w:r>
          </w:p>
        </w:tc>
      </w:tr>
      <w:tr w:rsidR="00C27D6A" w:rsidRPr="00DC75CC" w14:paraId="10533D03" w14:textId="77777777" w:rsidTr="00C75467">
        <w:trPr>
          <w:trHeight w:val="288"/>
          <w:tblHeader/>
          <w:jc w:val="center"/>
        </w:trPr>
        <w:tc>
          <w:tcPr>
            <w:tcW w:w="0" w:type="auto"/>
            <w:tcBorders>
              <w:top w:val="nil"/>
              <w:left w:val="nil"/>
              <w:bottom w:val="nil"/>
              <w:right w:val="nil"/>
            </w:tcBorders>
            <w:noWrap/>
            <w:vAlign w:val="bottom"/>
            <w:hideMark/>
          </w:tcPr>
          <w:p w14:paraId="33CA658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76A60EC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GERALD JEAN III</w:t>
            </w:r>
          </w:p>
        </w:tc>
        <w:tc>
          <w:tcPr>
            <w:tcW w:w="0" w:type="auto"/>
            <w:tcBorders>
              <w:top w:val="nil"/>
              <w:left w:val="nil"/>
              <w:bottom w:val="nil"/>
              <w:right w:val="nil"/>
            </w:tcBorders>
            <w:noWrap/>
            <w:vAlign w:val="bottom"/>
            <w:hideMark/>
          </w:tcPr>
          <w:p w14:paraId="5B9222F0"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ATEU0FRA00026</w:t>
            </w:r>
          </w:p>
        </w:tc>
      </w:tr>
      <w:tr w:rsidR="00C27D6A" w:rsidRPr="00DC75CC" w14:paraId="2DB428F9" w14:textId="77777777" w:rsidTr="00C75467">
        <w:trPr>
          <w:trHeight w:val="288"/>
          <w:tblHeader/>
          <w:jc w:val="center"/>
        </w:trPr>
        <w:tc>
          <w:tcPr>
            <w:tcW w:w="0" w:type="auto"/>
            <w:tcBorders>
              <w:top w:val="nil"/>
              <w:left w:val="nil"/>
              <w:bottom w:val="nil"/>
              <w:right w:val="nil"/>
            </w:tcBorders>
            <w:noWrap/>
            <w:vAlign w:val="bottom"/>
            <w:hideMark/>
          </w:tcPr>
          <w:p w14:paraId="64585E2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2D21C62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GERARD LUC IV</w:t>
            </w:r>
          </w:p>
        </w:tc>
        <w:tc>
          <w:tcPr>
            <w:tcW w:w="0" w:type="auto"/>
            <w:tcBorders>
              <w:top w:val="nil"/>
              <w:left w:val="nil"/>
              <w:bottom w:val="nil"/>
              <w:right w:val="nil"/>
            </w:tcBorders>
            <w:noWrap/>
            <w:vAlign w:val="bottom"/>
            <w:hideMark/>
          </w:tcPr>
          <w:p w14:paraId="03BABB6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ATEU0FRA00028</w:t>
            </w:r>
          </w:p>
        </w:tc>
      </w:tr>
      <w:tr w:rsidR="00C27D6A" w:rsidRPr="00DC75CC" w14:paraId="04300B2E" w14:textId="77777777" w:rsidTr="00C75467">
        <w:trPr>
          <w:trHeight w:val="288"/>
          <w:tblHeader/>
          <w:jc w:val="center"/>
        </w:trPr>
        <w:tc>
          <w:tcPr>
            <w:tcW w:w="0" w:type="auto"/>
            <w:tcBorders>
              <w:top w:val="nil"/>
              <w:left w:val="nil"/>
              <w:bottom w:val="nil"/>
              <w:right w:val="nil"/>
            </w:tcBorders>
            <w:noWrap/>
            <w:vAlign w:val="bottom"/>
            <w:hideMark/>
          </w:tcPr>
          <w:p w14:paraId="7394A80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28FF110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JANVIER GIORDANO</w:t>
            </w:r>
          </w:p>
        </w:tc>
        <w:tc>
          <w:tcPr>
            <w:tcW w:w="0" w:type="auto"/>
            <w:tcBorders>
              <w:top w:val="nil"/>
              <w:left w:val="nil"/>
              <w:bottom w:val="nil"/>
              <w:right w:val="nil"/>
            </w:tcBorders>
            <w:noWrap/>
            <w:vAlign w:val="bottom"/>
            <w:hideMark/>
          </w:tcPr>
          <w:p w14:paraId="5C3BFB9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ATEU0FRA00037</w:t>
            </w:r>
          </w:p>
        </w:tc>
      </w:tr>
      <w:tr w:rsidR="00C27D6A" w:rsidRPr="00DC75CC" w14:paraId="272AFA15" w14:textId="77777777" w:rsidTr="00C75467">
        <w:trPr>
          <w:trHeight w:val="288"/>
          <w:tblHeader/>
          <w:jc w:val="center"/>
        </w:trPr>
        <w:tc>
          <w:tcPr>
            <w:tcW w:w="0" w:type="auto"/>
            <w:tcBorders>
              <w:top w:val="nil"/>
              <w:left w:val="nil"/>
              <w:bottom w:val="nil"/>
              <w:right w:val="nil"/>
            </w:tcBorders>
            <w:noWrap/>
            <w:vAlign w:val="bottom"/>
            <w:hideMark/>
          </w:tcPr>
          <w:p w14:paraId="42299B1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512F576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JEAN LOUIS RAPHAEL 2</w:t>
            </w:r>
          </w:p>
        </w:tc>
        <w:tc>
          <w:tcPr>
            <w:tcW w:w="0" w:type="auto"/>
            <w:tcBorders>
              <w:top w:val="nil"/>
              <w:left w:val="nil"/>
              <w:bottom w:val="nil"/>
              <w:right w:val="nil"/>
            </w:tcBorders>
            <w:noWrap/>
            <w:vAlign w:val="bottom"/>
            <w:hideMark/>
          </w:tcPr>
          <w:p w14:paraId="203833E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ATEU0FRA00038</w:t>
            </w:r>
          </w:p>
        </w:tc>
      </w:tr>
      <w:tr w:rsidR="00C27D6A" w:rsidRPr="00DC75CC" w14:paraId="24308459" w14:textId="77777777" w:rsidTr="00C75467">
        <w:trPr>
          <w:trHeight w:val="288"/>
          <w:tblHeader/>
          <w:jc w:val="center"/>
        </w:trPr>
        <w:tc>
          <w:tcPr>
            <w:tcW w:w="0" w:type="auto"/>
            <w:tcBorders>
              <w:top w:val="nil"/>
              <w:left w:val="nil"/>
              <w:bottom w:val="nil"/>
              <w:right w:val="nil"/>
            </w:tcBorders>
            <w:noWrap/>
            <w:vAlign w:val="bottom"/>
            <w:hideMark/>
          </w:tcPr>
          <w:p w14:paraId="36C8CC1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5049C39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JEANMARIE CHRISTIAN 3</w:t>
            </w:r>
          </w:p>
        </w:tc>
        <w:tc>
          <w:tcPr>
            <w:tcW w:w="0" w:type="auto"/>
            <w:tcBorders>
              <w:top w:val="nil"/>
              <w:left w:val="nil"/>
              <w:bottom w:val="nil"/>
              <w:right w:val="nil"/>
            </w:tcBorders>
            <w:noWrap/>
            <w:vAlign w:val="bottom"/>
            <w:hideMark/>
          </w:tcPr>
          <w:p w14:paraId="38E0D3F7"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ATEU0FRA00040</w:t>
            </w:r>
          </w:p>
        </w:tc>
      </w:tr>
      <w:tr w:rsidR="00C27D6A" w:rsidRPr="00DC75CC" w14:paraId="28AA8187" w14:textId="77777777" w:rsidTr="00C75467">
        <w:trPr>
          <w:trHeight w:val="288"/>
          <w:tblHeader/>
          <w:jc w:val="center"/>
        </w:trPr>
        <w:tc>
          <w:tcPr>
            <w:tcW w:w="0" w:type="auto"/>
            <w:tcBorders>
              <w:top w:val="nil"/>
              <w:left w:val="nil"/>
              <w:bottom w:val="nil"/>
              <w:right w:val="nil"/>
            </w:tcBorders>
            <w:noWrap/>
            <w:vAlign w:val="bottom"/>
            <w:hideMark/>
          </w:tcPr>
          <w:p w14:paraId="7452071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09E72FD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JEAN MARIE CHRISTIAN 4</w:t>
            </w:r>
          </w:p>
        </w:tc>
        <w:tc>
          <w:tcPr>
            <w:tcW w:w="0" w:type="auto"/>
            <w:tcBorders>
              <w:top w:val="nil"/>
              <w:left w:val="nil"/>
              <w:bottom w:val="nil"/>
              <w:right w:val="nil"/>
            </w:tcBorders>
            <w:noWrap/>
            <w:vAlign w:val="bottom"/>
            <w:hideMark/>
          </w:tcPr>
          <w:p w14:paraId="0522F1FF"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ATEU0FRA00041</w:t>
            </w:r>
          </w:p>
        </w:tc>
      </w:tr>
      <w:tr w:rsidR="00C27D6A" w:rsidRPr="00DC75CC" w14:paraId="2CE128BE" w14:textId="77777777" w:rsidTr="00C75467">
        <w:trPr>
          <w:trHeight w:val="288"/>
          <w:tblHeader/>
          <w:jc w:val="center"/>
        </w:trPr>
        <w:tc>
          <w:tcPr>
            <w:tcW w:w="0" w:type="auto"/>
            <w:tcBorders>
              <w:top w:val="nil"/>
              <w:left w:val="nil"/>
              <w:bottom w:val="nil"/>
              <w:right w:val="nil"/>
            </w:tcBorders>
            <w:noWrap/>
            <w:vAlign w:val="bottom"/>
            <w:hideMark/>
          </w:tcPr>
          <w:p w14:paraId="3037F33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6D7AFA7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JEAN MARIE CHRISTIAN 6</w:t>
            </w:r>
          </w:p>
        </w:tc>
        <w:tc>
          <w:tcPr>
            <w:tcW w:w="0" w:type="auto"/>
            <w:tcBorders>
              <w:top w:val="nil"/>
              <w:left w:val="nil"/>
              <w:bottom w:val="nil"/>
              <w:right w:val="nil"/>
            </w:tcBorders>
            <w:noWrap/>
            <w:vAlign w:val="bottom"/>
            <w:hideMark/>
          </w:tcPr>
          <w:p w14:paraId="21E6C35A"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ATEU0FRA00043</w:t>
            </w:r>
          </w:p>
        </w:tc>
      </w:tr>
      <w:tr w:rsidR="00C27D6A" w:rsidRPr="00DC75CC" w14:paraId="02E6C2EF" w14:textId="77777777" w:rsidTr="00C75467">
        <w:trPr>
          <w:trHeight w:val="288"/>
          <w:tblHeader/>
          <w:jc w:val="center"/>
        </w:trPr>
        <w:tc>
          <w:tcPr>
            <w:tcW w:w="0" w:type="auto"/>
            <w:tcBorders>
              <w:top w:val="nil"/>
              <w:left w:val="nil"/>
              <w:bottom w:val="nil"/>
              <w:right w:val="nil"/>
            </w:tcBorders>
            <w:noWrap/>
            <w:vAlign w:val="bottom"/>
            <w:hideMark/>
          </w:tcPr>
          <w:p w14:paraId="54E4BAB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65DBF97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SAINT SOPHIE FRANCOIS 2</w:t>
            </w:r>
          </w:p>
        </w:tc>
        <w:tc>
          <w:tcPr>
            <w:tcW w:w="0" w:type="auto"/>
            <w:tcBorders>
              <w:top w:val="nil"/>
              <w:left w:val="nil"/>
              <w:bottom w:val="nil"/>
              <w:right w:val="nil"/>
            </w:tcBorders>
            <w:noWrap/>
            <w:vAlign w:val="bottom"/>
            <w:hideMark/>
          </w:tcPr>
          <w:p w14:paraId="42FD1A4D"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ATEU0FRA00064</w:t>
            </w:r>
          </w:p>
        </w:tc>
      </w:tr>
      <w:tr w:rsidR="00C27D6A" w:rsidRPr="00DC75CC" w14:paraId="7DEE04D1" w14:textId="77777777" w:rsidTr="00C75467">
        <w:trPr>
          <w:trHeight w:val="288"/>
          <w:tblHeader/>
          <w:jc w:val="center"/>
        </w:trPr>
        <w:tc>
          <w:tcPr>
            <w:tcW w:w="0" w:type="auto"/>
            <w:tcBorders>
              <w:top w:val="nil"/>
              <w:left w:val="nil"/>
              <w:bottom w:val="nil"/>
              <w:right w:val="nil"/>
            </w:tcBorders>
            <w:noWrap/>
            <w:vAlign w:val="bottom"/>
            <w:hideMark/>
          </w:tcPr>
          <w:p w14:paraId="69D0FED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11CCC0B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SAINT SOPHIE FRANCOIS 3</w:t>
            </w:r>
          </w:p>
        </w:tc>
        <w:tc>
          <w:tcPr>
            <w:tcW w:w="0" w:type="auto"/>
            <w:tcBorders>
              <w:top w:val="nil"/>
              <w:left w:val="nil"/>
              <w:bottom w:val="nil"/>
              <w:right w:val="nil"/>
            </w:tcBorders>
            <w:noWrap/>
            <w:vAlign w:val="bottom"/>
            <w:hideMark/>
          </w:tcPr>
          <w:p w14:paraId="770B0C9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ATEU0FRA00065</w:t>
            </w:r>
          </w:p>
        </w:tc>
      </w:tr>
      <w:tr w:rsidR="00C27D6A" w:rsidRPr="00DC75CC" w14:paraId="56FDCDC2" w14:textId="77777777" w:rsidTr="00C75467">
        <w:trPr>
          <w:trHeight w:val="288"/>
          <w:tblHeader/>
          <w:jc w:val="center"/>
        </w:trPr>
        <w:tc>
          <w:tcPr>
            <w:tcW w:w="0" w:type="auto"/>
            <w:tcBorders>
              <w:top w:val="nil"/>
              <w:left w:val="nil"/>
              <w:bottom w:val="nil"/>
              <w:right w:val="nil"/>
            </w:tcBorders>
            <w:noWrap/>
            <w:vAlign w:val="bottom"/>
            <w:hideMark/>
          </w:tcPr>
          <w:p w14:paraId="2F3BC6B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2343B0B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JEAN MARIE CHRISTIAN 7</w:t>
            </w:r>
          </w:p>
        </w:tc>
        <w:tc>
          <w:tcPr>
            <w:tcW w:w="0" w:type="auto"/>
            <w:tcBorders>
              <w:top w:val="nil"/>
              <w:left w:val="nil"/>
              <w:bottom w:val="nil"/>
              <w:right w:val="nil"/>
            </w:tcBorders>
            <w:noWrap/>
            <w:vAlign w:val="bottom"/>
            <w:hideMark/>
          </w:tcPr>
          <w:p w14:paraId="76DEA8C7"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ATEU0FRA00078</w:t>
            </w:r>
          </w:p>
        </w:tc>
      </w:tr>
      <w:tr w:rsidR="00C27D6A" w:rsidRPr="00DC75CC" w14:paraId="5C5A14DA" w14:textId="77777777" w:rsidTr="00C75467">
        <w:trPr>
          <w:trHeight w:val="288"/>
          <w:tblHeader/>
          <w:jc w:val="center"/>
        </w:trPr>
        <w:tc>
          <w:tcPr>
            <w:tcW w:w="0" w:type="auto"/>
            <w:tcBorders>
              <w:top w:val="nil"/>
              <w:left w:val="nil"/>
              <w:bottom w:val="nil"/>
              <w:right w:val="nil"/>
            </w:tcBorders>
            <w:noWrap/>
            <w:vAlign w:val="bottom"/>
            <w:hideMark/>
          </w:tcPr>
          <w:p w14:paraId="61CB61D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52766C0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JANVIER LOUIS RAPHAEL</w:t>
            </w:r>
          </w:p>
        </w:tc>
        <w:tc>
          <w:tcPr>
            <w:tcW w:w="0" w:type="auto"/>
            <w:tcBorders>
              <w:top w:val="nil"/>
              <w:left w:val="nil"/>
              <w:bottom w:val="nil"/>
              <w:right w:val="nil"/>
            </w:tcBorders>
            <w:noWrap/>
            <w:vAlign w:val="bottom"/>
            <w:hideMark/>
          </w:tcPr>
          <w:p w14:paraId="241BDF8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ATEU0FRA00083</w:t>
            </w:r>
          </w:p>
        </w:tc>
      </w:tr>
      <w:tr w:rsidR="00C27D6A" w:rsidRPr="00DC75CC" w14:paraId="48926996" w14:textId="77777777" w:rsidTr="00C75467">
        <w:trPr>
          <w:trHeight w:val="288"/>
          <w:tblHeader/>
          <w:jc w:val="center"/>
        </w:trPr>
        <w:tc>
          <w:tcPr>
            <w:tcW w:w="0" w:type="auto"/>
            <w:tcBorders>
              <w:top w:val="nil"/>
              <w:left w:val="nil"/>
              <w:bottom w:val="nil"/>
              <w:right w:val="nil"/>
            </w:tcBorders>
            <w:noWrap/>
            <w:vAlign w:val="bottom"/>
            <w:hideMark/>
          </w:tcPr>
          <w:p w14:paraId="06DEE9D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30BE374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ERIC MARIN</w:t>
            </w:r>
          </w:p>
        </w:tc>
        <w:tc>
          <w:tcPr>
            <w:tcW w:w="0" w:type="auto"/>
            <w:tcBorders>
              <w:top w:val="nil"/>
              <w:left w:val="nil"/>
              <w:bottom w:val="nil"/>
              <w:right w:val="nil"/>
            </w:tcBorders>
            <w:noWrap/>
            <w:vAlign w:val="bottom"/>
            <w:hideMark/>
          </w:tcPr>
          <w:p w14:paraId="0C5C360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ATEU0FRA00087</w:t>
            </w:r>
          </w:p>
        </w:tc>
      </w:tr>
      <w:tr w:rsidR="00C27D6A" w:rsidRPr="00DC75CC" w14:paraId="0C924E78" w14:textId="77777777" w:rsidTr="00C75467">
        <w:trPr>
          <w:trHeight w:val="288"/>
          <w:tblHeader/>
          <w:jc w:val="center"/>
        </w:trPr>
        <w:tc>
          <w:tcPr>
            <w:tcW w:w="0" w:type="auto"/>
            <w:tcBorders>
              <w:top w:val="nil"/>
              <w:left w:val="nil"/>
              <w:bottom w:val="nil"/>
              <w:right w:val="nil"/>
            </w:tcBorders>
            <w:noWrap/>
            <w:vAlign w:val="bottom"/>
            <w:hideMark/>
          </w:tcPr>
          <w:p w14:paraId="33E989A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2153275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PIERRE JOSEPH SALVADOR</w:t>
            </w:r>
          </w:p>
        </w:tc>
        <w:tc>
          <w:tcPr>
            <w:tcW w:w="0" w:type="auto"/>
            <w:tcBorders>
              <w:top w:val="nil"/>
              <w:left w:val="nil"/>
              <w:bottom w:val="nil"/>
              <w:right w:val="nil"/>
            </w:tcBorders>
            <w:noWrap/>
            <w:vAlign w:val="bottom"/>
            <w:hideMark/>
          </w:tcPr>
          <w:p w14:paraId="0E19BDC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ATEU0FRA00088</w:t>
            </w:r>
          </w:p>
        </w:tc>
      </w:tr>
      <w:tr w:rsidR="00C27D6A" w:rsidRPr="00DC75CC" w14:paraId="5B619D9D" w14:textId="77777777" w:rsidTr="00C75467">
        <w:trPr>
          <w:trHeight w:val="288"/>
          <w:tblHeader/>
          <w:jc w:val="center"/>
        </w:trPr>
        <w:tc>
          <w:tcPr>
            <w:tcW w:w="0" w:type="auto"/>
            <w:tcBorders>
              <w:top w:val="nil"/>
              <w:left w:val="nil"/>
              <w:bottom w:val="nil"/>
              <w:right w:val="nil"/>
            </w:tcBorders>
            <w:noWrap/>
            <w:vAlign w:val="bottom"/>
            <w:hideMark/>
          </w:tcPr>
          <w:p w14:paraId="63D8F68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1576AE4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VILLE D'AGDE IV</w:t>
            </w:r>
          </w:p>
        </w:tc>
        <w:tc>
          <w:tcPr>
            <w:tcW w:w="0" w:type="auto"/>
            <w:tcBorders>
              <w:top w:val="nil"/>
              <w:left w:val="nil"/>
              <w:bottom w:val="nil"/>
              <w:right w:val="nil"/>
            </w:tcBorders>
            <w:noWrap/>
            <w:vAlign w:val="bottom"/>
            <w:hideMark/>
          </w:tcPr>
          <w:p w14:paraId="0509933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ATEU0FRA00089</w:t>
            </w:r>
          </w:p>
        </w:tc>
      </w:tr>
      <w:tr w:rsidR="00C27D6A" w:rsidRPr="00DC75CC" w14:paraId="0C6D1ACE" w14:textId="77777777" w:rsidTr="00C75467">
        <w:trPr>
          <w:trHeight w:val="288"/>
          <w:tblHeader/>
          <w:jc w:val="center"/>
        </w:trPr>
        <w:tc>
          <w:tcPr>
            <w:tcW w:w="0" w:type="auto"/>
            <w:tcBorders>
              <w:top w:val="nil"/>
              <w:left w:val="nil"/>
              <w:bottom w:val="nil"/>
              <w:right w:val="nil"/>
            </w:tcBorders>
            <w:noWrap/>
            <w:vAlign w:val="bottom"/>
            <w:hideMark/>
          </w:tcPr>
          <w:p w14:paraId="4AE87AC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53BC2AD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VENT DU NORD II</w:t>
            </w:r>
          </w:p>
        </w:tc>
        <w:tc>
          <w:tcPr>
            <w:tcW w:w="0" w:type="auto"/>
            <w:tcBorders>
              <w:top w:val="nil"/>
              <w:left w:val="nil"/>
              <w:bottom w:val="nil"/>
              <w:right w:val="nil"/>
            </w:tcBorders>
            <w:noWrap/>
            <w:vAlign w:val="bottom"/>
            <w:hideMark/>
          </w:tcPr>
          <w:p w14:paraId="74C3890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ATEU0FRA00090</w:t>
            </w:r>
          </w:p>
        </w:tc>
      </w:tr>
      <w:tr w:rsidR="00C27D6A" w:rsidRPr="00DC75CC" w14:paraId="521C45CF" w14:textId="77777777" w:rsidTr="00C75467">
        <w:trPr>
          <w:trHeight w:val="288"/>
          <w:tblHeader/>
          <w:jc w:val="center"/>
        </w:trPr>
        <w:tc>
          <w:tcPr>
            <w:tcW w:w="0" w:type="auto"/>
            <w:tcBorders>
              <w:top w:val="nil"/>
              <w:left w:val="nil"/>
              <w:bottom w:val="nil"/>
              <w:right w:val="nil"/>
            </w:tcBorders>
            <w:noWrap/>
            <w:vAlign w:val="bottom"/>
            <w:hideMark/>
          </w:tcPr>
          <w:p w14:paraId="50AA001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24D349F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GERALD JEAN IV</w:t>
            </w:r>
          </w:p>
        </w:tc>
        <w:tc>
          <w:tcPr>
            <w:tcW w:w="0" w:type="auto"/>
            <w:tcBorders>
              <w:top w:val="nil"/>
              <w:left w:val="nil"/>
              <w:bottom w:val="nil"/>
              <w:right w:val="nil"/>
            </w:tcBorders>
            <w:noWrap/>
            <w:vAlign w:val="bottom"/>
            <w:hideMark/>
          </w:tcPr>
          <w:p w14:paraId="58C9D5CF"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ATEU0FRA00093</w:t>
            </w:r>
          </w:p>
        </w:tc>
      </w:tr>
      <w:tr w:rsidR="00C27D6A" w:rsidRPr="00DC75CC" w14:paraId="7BC96445" w14:textId="77777777" w:rsidTr="00C75467">
        <w:trPr>
          <w:trHeight w:val="288"/>
          <w:tblHeader/>
          <w:jc w:val="center"/>
        </w:trPr>
        <w:tc>
          <w:tcPr>
            <w:tcW w:w="0" w:type="auto"/>
            <w:tcBorders>
              <w:top w:val="nil"/>
              <w:left w:val="nil"/>
              <w:bottom w:val="nil"/>
              <w:right w:val="nil"/>
            </w:tcBorders>
            <w:noWrap/>
            <w:vAlign w:val="bottom"/>
            <w:hideMark/>
          </w:tcPr>
          <w:p w14:paraId="21AEE75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UE-Francia</w:t>
            </w:r>
          </w:p>
        </w:tc>
        <w:tc>
          <w:tcPr>
            <w:tcW w:w="0" w:type="auto"/>
            <w:tcBorders>
              <w:top w:val="nil"/>
              <w:left w:val="nil"/>
              <w:bottom w:val="nil"/>
              <w:right w:val="nil"/>
            </w:tcBorders>
            <w:noWrap/>
            <w:vAlign w:val="bottom"/>
            <w:hideMark/>
          </w:tcPr>
          <w:p w14:paraId="4DEE104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CHRISDERIC V</w:t>
            </w:r>
          </w:p>
        </w:tc>
        <w:tc>
          <w:tcPr>
            <w:tcW w:w="0" w:type="auto"/>
            <w:tcBorders>
              <w:top w:val="nil"/>
              <w:left w:val="nil"/>
              <w:bottom w:val="nil"/>
              <w:right w:val="nil"/>
            </w:tcBorders>
            <w:noWrap/>
            <w:vAlign w:val="bottom"/>
            <w:hideMark/>
          </w:tcPr>
          <w:p w14:paraId="40F46B6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ATEU0FRA14500</w:t>
            </w:r>
          </w:p>
        </w:tc>
      </w:tr>
      <w:tr w:rsidR="00C27D6A" w:rsidRPr="00DC75CC" w14:paraId="238BE2E9" w14:textId="77777777" w:rsidTr="00C75467">
        <w:trPr>
          <w:trHeight w:val="288"/>
          <w:tblHeader/>
          <w:jc w:val="center"/>
        </w:trPr>
        <w:tc>
          <w:tcPr>
            <w:tcW w:w="0" w:type="auto"/>
            <w:tcBorders>
              <w:top w:val="nil"/>
              <w:left w:val="nil"/>
              <w:bottom w:val="nil"/>
              <w:right w:val="nil"/>
            </w:tcBorders>
            <w:noWrap/>
            <w:vAlign w:val="bottom"/>
            <w:hideMark/>
          </w:tcPr>
          <w:p w14:paraId="7818B60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670D353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ATLANTE</w:t>
            </w:r>
          </w:p>
        </w:tc>
        <w:tc>
          <w:tcPr>
            <w:tcW w:w="0" w:type="auto"/>
            <w:tcBorders>
              <w:top w:val="nil"/>
              <w:left w:val="nil"/>
              <w:bottom w:val="nil"/>
              <w:right w:val="nil"/>
            </w:tcBorders>
            <w:noWrap/>
            <w:vAlign w:val="bottom"/>
            <w:hideMark/>
          </w:tcPr>
          <w:p w14:paraId="00BE674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ATEU0ITA00065</w:t>
            </w:r>
          </w:p>
        </w:tc>
      </w:tr>
      <w:tr w:rsidR="00C27D6A" w:rsidRPr="00DC75CC" w14:paraId="1BD3DB56" w14:textId="77777777" w:rsidTr="00C75467">
        <w:trPr>
          <w:trHeight w:val="288"/>
          <w:tblHeader/>
          <w:jc w:val="center"/>
        </w:trPr>
        <w:tc>
          <w:tcPr>
            <w:tcW w:w="0" w:type="auto"/>
            <w:tcBorders>
              <w:top w:val="nil"/>
              <w:left w:val="nil"/>
              <w:bottom w:val="nil"/>
              <w:right w:val="nil"/>
            </w:tcBorders>
            <w:noWrap/>
            <w:vAlign w:val="bottom"/>
            <w:hideMark/>
          </w:tcPr>
          <w:p w14:paraId="488CC44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5B52057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ENZA MADRE</w:t>
            </w:r>
          </w:p>
        </w:tc>
        <w:tc>
          <w:tcPr>
            <w:tcW w:w="0" w:type="auto"/>
            <w:tcBorders>
              <w:top w:val="nil"/>
              <w:left w:val="nil"/>
              <w:bottom w:val="nil"/>
              <w:right w:val="nil"/>
            </w:tcBorders>
            <w:noWrap/>
            <w:vAlign w:val="bottom"/>
            <w:hideMark/>
          </w:tcPr>
          <w:p w14:paraId="74A93E9C"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ATEU0ITA00188</w:t>
            </w:r>
          </w:p>
        </w:tc>
      </w:tr>
      <w:tr w:rsidR="00C27D6A" w:rsidRPr="00DC75CC" w14:paraId="6CC2AD06" w14:textId="77777777" w:rsidTr="00C75467">
        <w:trPr>
          <w:trHeight w:val="288"/>
          <w:tblHeader/>
          <w:jc w:val="center"/>
        </w:trPr>
        <w:tc>
          <w:tcPr>
            <w:tcW w:w="0" w:type="auto"/>
            <w:tcBorders>
              <w:top w:val="nil"/>
              <w:left w:val="nil"/>
              <w:bottom w:val="nil"/>
              <w:right w:val="nil"/>
            </w:tcBorders>
            <w:noWrap/>
            <w:vAlign w:val="bottom"/>
            <w:hideMark/>
          </w:tcPr>
          <w:p w14:paraId="2992450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6B6F5F7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GIUSEPPE PADRE SECONDO</w:t>
            </w:r>
          </w:p>
        </w:tc>
        <w:tc>
          <w:tcPr>
            <w:tcW w:w="0" w:type="auto"/>
            <w:tcBorders>
              <w:top w:val="nil"/>
              <w:left w:val="nil"/>
              <w:bottom w:val="nil"/>
              <w:right w:val="nil"/>
            </w:tcBorders>
            <w:noWrap/>
            <w:vAlign w:val="bottom"/>
            <w:hideMark/>
          </w:tcPr>
          <w:p w14:paraId="2AADE8A4"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ATEU0ITA00289</w:t>
            </w:r>
          </w:p>
        </w:tc>
      </w:tr>
      <w:tr w:rsidR="00C27D6A" w:rsidRPr="00DC75CC" w14:paraId="23571282" w14:textId="77777777" w:rsidTr="00C75467">
        <w:trPr>
          <w:trHeight w:val="288"/>
          <w:tblHeader/>
          <w:jc w:val="center"/>
        </w:trPr>
        <w:tc>
          <w:tcPr>
            <w:tcW w:w="0" w:type="auto"/>
            <w:tcBorders>
              <w:top w:val="nil"/>
              <w:left w:val="nil"/>
              <w:bottom w:val="nil"/>
              <w:right w:val="nil"/>
            </w:tcBorders>
            <w:noWrap/>
            <w:vAlign w:val="bottom"/>
            <w:hideMark/>
          </w:tcPr>
          <w:p w14:paraId="0374AA0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2DABA94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MADONNA DI FATIMA</w:t>
            </w:r>
          </w:p>
        </w:tc>
        <w:tc>
          <w:tcPr>
            <w:tcW w:w="0" w:type="auto"/>
            <w:tcBorders>
              <w:top w:val="nil"/>
              <w:left w:val="nil"/>
              <w:bottom w:val="nil"/>
              <w:right w:val="nil"/>
            </w:tcBorders>
            <w:noWrap/>
            <w:vAlign w:val="bottom"/>
            <w:hideMark/>
          </w:tcPr>
          <w:p w14:paraId="2D8A07B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ATEU0ITA00348</w:t>
            </w:r>
          </w:p>
        </w:tc>
      </w:tr>
      <w:tr w:rsidR="00C27D6A" w:rsidRPr="00DC75CC" w14:paraId="72491BAB" w14:textId="77777777" w:rsidTr="00C75467">
        <w:trPr>
          <w:trHeight w:val="288"/>
          <w:tblHeader/>
          <w:jc w:val="center"/>
        </w:trPr>
        <w:tc>
          <w:tcPr>
            <w:tcW w:w="0" w:type="auto"/>
            <w:tcBorders>
              <w:top w:val="nil"/>
              <w:left w:val="nil"/>
              <w:bottom w:val="nil"/>
              <w:right w:val="nil"/>
            </w:tcBorders>
            <w:noWrap/>
            <w:vAlign w:val="bottom"/>
            <w:hideMark/>
          </w:tcPr>
          <w:p w14:paraId="5E6DD7F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37024D2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MARIA ANTONIETTA</w:t>
            </w:r>
          </w:p>
        </w:tc>
        <w:tc>
          <w:tcPr>
            <w:tcW w:w="0" w:type="auto"/>
            <w:tcBorders>
              <w:top w:val="nil"/>
              <w:left w:val="nil"/>
              <w:bottom w:val="nil"/>
              <w:right w:val="nil"/>
            </w:tcBorders>
            <w:noWrap/>
            <w:vAlign w:val="bottom"/>
            <w:hideMark/>
          </w:tcPr>
          <w:p w14:paraId="6E55F29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ATEU0ITA00368</w:t>
            </w:r>
          </w:p>
        </w:tc>
      </w:tr>
      <w:tr w:rsidR="00C27D6A" w:rsidRPr="00DC75CC" w14:paraId="590E2712" w14:textId="77777777" w:rsidTr="00C75467">
        <w:trPr>
          <w:trHeight w:val="288"/>
          <w:tblHeader/>
          <w:jc w:val="center"/>
        </w:trPr>
        <w:tc>
          <w:tcPr>
            <w:tcW w:w="0" w:type="auto"/>
            <w:tcBorders>
              <w:top w:val="nil"/>
              <w:left w:val="nil"/>
              <w:bottom w:val="nil"/>
              <w:right w:val="nil"/>
            </w:tcBorders>
            <w:noWrap/>
            <w:vAlign w:val="bottom"/>
            <w:hideMark/>
          </w:tcPr>
          <w:p w14:paraId="79B7569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0981FF9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ONDA</w:t>
            </w:r>
          </w:p>
        </w:tc>
        <w:tc>
          <w:tcPr>
            <w:tcW w:w="0" w:type="auto"/>
            <w:tcBorders>
              <w:top w:val="nil"/>
              <w:left w:val="nil"/>
              <w:bottom w:val="nil"/>
              <w:right w:val="nil"/>
            </w:tcBorders>
            <w:noWrap/>
            <w:vAlign w:val="bottom"/>
            <w:hideMark/>
          </w:tcPr>
          <w:p w14:paraId="5B369C1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ATEU0ITA00459</w:t>
            </w:r>
          </w:p>
        </w:tc>
      </w:tr>
      <w:tr w:rsidR="00C27D6A" w:rsidRPr="00DC75CC" w14:paraId="671D06A6" w14:textId="77777777" w:rsidTr="00C75467">
        <w:trPr>
          <w:trHeight w:val="288"/>
          <w:tblHeader/>
          <w:jc w:val="center"/>
        </w:trPr>
        <w:tc>
          <w:tcPr>
            <w:tcW w:w="0" w:type="auto"/>
            <w:tcBorders>
              <w:top w:val="nil"/>
              <w:left w:val="nil"/>
              <w:bottom w:val="nil"/>
              <w:right w:val="nil"/>
            </w:tcBorders>
            <w:noWrap/>
            <w:vAlign w:val="bottom"/>
            <w:hideMark/>
          </w:tcPr>
          <w:p w14:paraId="0EFDB0C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3573E14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PADRE PIO P</w:t>
            </w:r>
          </w:p>
        </w:tc>
        <w:tc>
          <w:tcPr>
            <w:tcW w:w="0" w:type="auto"/>
            <w:tcBorders>
              <w:top w:val="nil"/>
              <w:left w:val="nil"/>
              <w:bottom w:val="nil"/>
              <w:right w:val="nil"/>
            </w:tcBorders>
            <w:noWrap/>
            <w:vAlign w:val="bottom"/>
            <w:hideMark/>
          </w:tcPr>
          <w:p w14:paraId="3996BEA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ATEU0ITA00470</w:t>
            </w:r>
          </w:p>
        </w:tc>
      </w:tr>
      <w:tr w:rsidR="00C27D6A" w:rsidRPr="00DC75CC" w14:paraId="4C73B634" w14:textId="77777777" w:rsidTr="00C75467">
        <w:trPr>
          <w:trHeight w:val="288"/>
          <w:tblHeader/>
          <w:jc w:val="center"/>
        </w:trPr>
        <w:tc>
          <w:tcPr>
            <w:tcW w:w="0" w:type="auto"/>
            <w:tcBorders>
              <w:top w:val="nil"/>
              <w:left w:val="nil"/>
              <w:bottom w:val="nil"/>
              <w:right w:val="nil"/>
            </w:tcBorders>
            <w:noWrap/>
            <w:vAlign w:val="bottom"/>
            <w:hideMark/>
          </w:tcPr>
          <w:p w14:paraId="5F95036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72B0F60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SPARVIERO UNO</w:t>
            </w:r>
          </w:p>
        </w:tc>
        <w:tc>
          <w:tcPr>
            <w:tcW w:w="0" w:type="auto"/>
            <w:tcBorders>
              <w:top w:val="nil"/>
              <w:left w:val="nil"/>
              <w:bottom w:val="nil"/>
              <w:right w:val="nil"/>
            </w:tcBorders>
            <w:noWrap/>
            <w:vAlign w:val="bottom"/>
            <w:hideMark/>
          </w:tcPr>
          <w:p w14:paraId="09DBB32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ATEU0ITA00565</w:t>
            </w:r>
          </w:p>
        </w:tc>
      </w:tr>
      <w:tr w:rsidR="00C27D6A" w:rsidRPr="00DC75CC" w14:paraId="65355AD1" w14:textId="77777777" w:rsidTr="00C75467">
        <w:trPr>
          <w:trHeight w:val="288"/>
          <w:tblHeader/>
          <w:jc w:val="center"/>
        </w:trPr>
        <w:tc>
          <w:tcPr>
            <w:tcW w:w="0" w:type="auto"/>
            <w:tcBorders>
              <w:top w:val="nil"/>
              <w:left w:val="nil"/>
              <w:bottom w:val="nil"/>
              <w:right w:val="nil"/>
            </w:tcBorders>
            <w:noWrap/>
            <w:vAlign w:val="bottom"/>
            <w:hideMark/>
          </w:tcPr>
          <w:p w14:paraId="0E21D21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4285971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VERGINE DE ROSARIO</w:t>
            </w:r>
          </w:p>
        </w:tc>
        <w:tc>
          <w:tcPr>
            <w:tcW w:w="0" w:type="auto"/>
            <w:tcBorders>
              <w:top w:val="nil"/>
              <w:left w:val="nil"/>
              <w:bottom w:val="nil"/>
              <w:right w:val="nil"/>
            </w:tcBorders>
            <w:noWrap/>
            <w:vAlign w:val="bottom"/>
            <w:hideMark/>
          </w:tcPr>
          <w:p w14:paraId="1A024C49" w14:textId="34241EA1"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ATEU0ITA00617</w:t>
            </w:r>
          </w:p>
        </w:tc>
      </w:tr>
      <w:tr w:rsidR="00C27D6A" w:rsidRPr="00DC75CC" w14:paraId="59DA54FB" w14:textId="77777777" w:rsidTr="00C75467">
        <w:trPr>
          <w:trHeight w:val="288"/>
          <w:tblHeader/>
          <w:jc w:val="center"/>
        </w:trPr>
        <w:tc>
          <w:tcPr>
            <w:tcW w:w="0" w:type="auto"/>
            <w:tcBorders>
              <w:top w:val="nil"/>
              <w:left w:val="nil"/>
              <w:bottom w:val="nil"/>
              <w:right w:val="nil"/>
            </w:tcBorders>
            <w:noWrap/>
            <w:vAlign w:val="bottom"/>
            <w:hideMark/>
          </w:tcPr>
          <w:p w14:paraId="4AE9FD0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0D9C23F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MATTEO NOVELLA</w:t>
            </w:r>
          </w:p>
        </w:tc>
        <w:tc>
          <w:tcPr>
            <w:tcW w:w="0" w:type="auto"/>
            <w:tcBorders>
              <w:top w:val="nil"/>
              <w:left w:val="nil"/>
              <w:bottom w:val="nil"/>
              <w:right w:val="nil"/>
            </w:tcBorders>
            <w:noWrap/>
            <w:vAlign w:val="bottom"/>
            <w:hideMark/>
          </w:tcPr>
          <w:p w14:paraId="3A1BDC2C"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ATEU0ITA00623</w:t>
            </w:r>
          </w:p>
        </w:tc>
      </w:tr>
      <w:tr w:rsidR="00C27D6A" w:rsidRPr="00DC75CC" w14:paraId="3517876B" w14:textId="77777777" w:rsidTr="00C75467">
        <w:trPr>
          <w:trHeight w:val="288"/>
          <w:tblHeader/>
          <w:jc w:val="center"/>
        </w:trPr>
        <w:tc>
          <w:tcPr>
            <w:tcW w:w="0" w:type="auto"/>
            <w:tcBorders>
              <w:top w:val="nil"/>
              <w:left w:val="nil"/>
              <w:bottom w:val="nil"/>
              <w:right w:val="nil"/>
            </w:tcBorders>
            <w:noWrap/>
            <w:vAlign w:val="bottom"/>
            <w:hideMark/>
          </w:tcPr>
          <w:p w14:paraId="27FB089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64852F7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ALTO MARE PRIMO</w:t>
            </w:r>
          </w:p>
        </w:tc>
        <w:tc>
          <w:tcPr>
            <w:tcW w:w="0" w:type="auto"/>
            <w:tcBorders>
              <w:top w:val="nil"/>
              <w:left w:val="nil"/>
              <w:bottom w:val="nil"/>
              <w:right w:val="nil"/>
            </w:tcBorders>
            <w:noWrap/>
            <w:vAlign w:val="bottom"/>
            <w:hideMark/>
          </w:tcPr>
          <w:p w14:paraId="6479F0C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ATEU0ITA00631</w:t>
            </w:r>
          </w:p>
        </w:tc>
      </w:tr>
      <w:tr w:rsidR="00C27D6A" w:rsidRPr="00DC75CC" w14:paraId="2012E1FB" w14:textId="77777777" w:rsidTr="00C75467">
        <w:trPr>
          <w:trHeight w:val="288"/>
          <w:tblHeader/>
          <w:jc w:val="center"/>
        </w:trPr>
        <w:tc>
          <w:tcPr>
            <w:tcW w:w="0" w:type="auto"/>
            <w:tcBorders>
              <w:top w:val="nil"/>
              <w:left w:val="nil"/>
              <w:bottom w:val="nil"/>
              <w:right w:val="nil"/>
            </w:tcBorders>
            <w:noWrap/>
            <w:vAlign w:val="bottom"/>
            <w:hideMark/>
          </w:tcPr>
          <w:p w14:paraId="62B2EE6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05700FA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ANGELA MADRE</w:t>
            </w:r>
          </w:p>
        </w:tc>
        <w:tc>
          <w:tcPr>
            <w:tcW w:w="0" w:type="auto"/>
            <w:tcBorders>
              <w:top w:val="nil"/>
              <w:left w:val="nil"/>
              <w:bottom w:val="nil"/>
              <w:right w:val="nil"/>
            </w:tcBorders>
            <w:noWrap/>
            <w:vAlign w:val="bottom"/>
            <w:hideMark/>
          </w:tcPr>
          <w:p w14:paraId="371447CA"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ATEU0ITA00635</w:t>
            </w:r>
          </w:p>
        </w:tc>
      </w:tr>
      <w:tr w:rsidR="00C27D6A" w:rsidRPr="00DC75CC" w14:paraId="4E85EBCB" w14:textId="77777777" w:rsidTr="00C75467">
        <w:trPr>
          <w:trHeight w:val="288"/>
          <w:tblHeader/>
          <w:jc w:val="center"/>
        </w:trPr>
        <w:tc>
          <w:tcPr>
            <w:tcW w:w="0" w:type="auto"/>
            <w:tcBorders>
              <w:top w:val="nil"/>
              <w:left w:val="nil"/>
              <w:bottom w:val="nil"/>
              <w:right w:val="nil"/>
            </w:tcBorders>
            <w:noWrap/>
            <w:vAlign w:val="bottom"/>
            <w:hideMark/>
          </w:tcPr>
          <w:p w14:paraId="0F742C9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76E008A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ANGELO CATANIA</w:t>
            </w:r>
          </w:p>
        </w:tc>
        <w:tc>
          <w:tcPr>
            <w:tcW w:w="0" w:type="auto"/>
            <w:tcBorders>
              <w:top w:val="nil"/>
              <w:left w:val="nil"/>
              <w:bottom w:val="nil"/>
              <w:right w:val="nil"/>
            </w:tcBorders>
            <w:noWrap/>
            <w:vAlign w:val="bottom"/>
            <w:hideMark/>
          </w:tcPr>
          <w:p w14:paraId="0BB8E06A"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ATEU0ITA00636</w:t>
            </w:r>
          </w:p>
        </w:tc>
      </w:tr>
      <w:tr w:rsidR="00C27D6A" w:rsidRPr="00DC75CC" w14:paraId="79B83240" w14:textId="77777777" w:rsidTr="00C75467">
        <w:trPr>
          <w:trHeight w:val="288"/>
          <w:tblHeader/>
          <w:jc w:val="center"/>
        </w:trPr>
        <w:tc>
          <w:tcPr>
            <w:tcW w:w="0" w:type="auto"/>
            <w:tcBorders>
              <w:top w:val="nil"/>
              <w:left w:val="nil"/>
              <w:bottom w:val="nil"/>
              <w:right w:val="nil"/>
            </w:tcBorders>
            <w:noWrap/>
            <w:vAlign w:val="bottom"/>
            <w:hideMark/>
          </w:tcPr>
          <w:p w14:paraId="02B3A7D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41397A9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ANGELA ARCELLA</w:t>
            </w:r>
          </w:p>
        </w:tc>
        <w:tc>
          <w:tcPr>
            <w:tcW w:w="0" w:type="auto"/>
            <w:tcBorders>
              <w:top w:val="nil"/>
              <w:left w:val="nil"/>
              <w:bottom w:val="nil"/>
              <w:right w:val="nil"/>
            </w:tcBorders>
            <w:noWrap/>
            <w:vAlign w:val="bottom"/>
            <w:hideMark/>
          </w:tcPr>
          <w:p w14:paraId="55214DF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ATEU0ITA00639</w:t>
            </w:r>
          </w:p>
        </w:tc>
      </w:tr>
      <w:tr w:rsidR="00C27D6A" w:rsidRPr="00DC75CC" w14:paraId="5041B393" w14:textId="77777777" w:rsidTr="00C75467">
        <w:trPr>
          <w:trHeight w:val="288"/>
          <w:tblHeader/>
          <w:jc w:val="center"/>
        </w:trPr>
        <w:tc>
          <w:tcPr>
            <w:tcW w:w="0" w:type="auto"/>
            <w:tcBorders>
              <w:top w:val="nil"/>
              <w:left w:val="nil"/>
              <w:bottom w:val="nil"/>
              <w:right w:val="nil"/>
            </w:tcBorders>
            <w:noWrap/>
            <w:vAlign w:val="bottom"/>
            <w:hideMark/>
          </w:tcPr>
          <w:p w14:paraId="2A6CAC5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261BB55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GENEVIEVE PRIMA</w:t>
            </w:r>
          </w:p>
        </w:tc>
        <w:tc>
          <w:tcPr>
            <w:tcW w:w="0" w:type="auto"/>
            <w:tcBorders>
              <w:top w:val="nil"/>
              <w:left w:val="nil"/>
              <w:bottom w:val="nil"/>
              <w:right w:val="nil"/>
            </w:tcBorders>
            <w:noWrap/>
            <w:vAlign w:val="bottom"/>
            <w:hideMark/>
          </w:tcPr>
          <w:p w14:paraId="10094FA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ATEU0ITA00654</w:t>
            </w:r>
          </w:p>
        </w:tc>
      </w:tr>
      <w:tr w:rsidR="00C27D6A" w:rsidRPr="00DC75CC" w14:paraId="7E5F1BC2" w14:textId="77777777" w:rsidTr="00C75467">
        <w:trPr>
          <w:trHeight w:val="288"/>
          <w:tblHeader/>
          <w:jc w:val="center"/>
        </w:trPr>
        <w:tc>
          <w:tcPr>
            <w:tcW w:w="0" w:type="auto"/>
            <w:tcBorders>
              <w:top w:val="nil"/>
              <w:left w:val="nil"/>
              <w:bottom w:val="nil"/>
              <w:right w:val="nil"/>
            </w:tcBorders>
            <w:noWrap/>
            <w:vAlign w:val="bottom"/>
            <w:hideMark/>
          </w:tcPr>
          <w:p w14:paraId="0392FC8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38EF612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LUCIA MADRE</w:t>
            </w:r>
          </w:p>
        </w:tc>
        <w:tc>
          <w:tcPr>
            <w:tcW w:w="0" w:type="auto"/>
            <w:tcBorders>
              <w:top w:val="nil"/>
              <w:left w:val="nil"/>
              <w:bottom w:val="nil"/>
              <w:right w:val="nil"/>
            </w:tcBorders>
            <w:noWrap/>
            <w:vAlign w:val="bottom"/>
            <w:hideMark/>
          </w:tcPr>
          <w:p w14:paraId="526EC3EC"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ATEU0ITA00664</w:t>
            </w:r>
          </w:p>
        </w:tc>
      </w:tr>
      <w:tr w:rsidR="00C27D6A" w:rsidRPr="00DC75CC" w14:paraId="59CD3E6F" w14:textId="77777777" w:rsidTr="00C75467">
        <w:trPr>
          <w:trHeight w:val="288"/>
          <w:tblHeader/>
          <w:jc w:val="center"/>
        </w:trPr>
        <w:tc>
          <w:tcPr>
            <w:tcW w:w="0" w:type="auto"/>
            <w:tcBorders>
              <w:top w:val="nil"/>
              <w:left w:val="nil"/>
              <w:bottom w:val="nil"/>
              <w:right w:val="nil"/>
            </w:tcBorders>
            <w:noWrap/>
            <w:vAlign w:val="bottom"/>
            <w:hideMark/>
          </w:tcPr>
          <w:p w14:paraId="21B8D85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4B4F523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MICHELANGELO</w:t>
            </w:r>
          </w:p>
        </w:tc>
        <w:tc>
          <w:tcPr>
            <w:tcW w:w="0" w:type="auto"/>
            <w:tcBorders>
              <w:top w:val="nil"/>
              <w:left w:val="nil"/>
              <w:bottom w:val="nil"/>
              <w:right w:val="nil"/>
            </w:tcBorders>
            <w:noWrap/>
            <w:vAlign w:val="bottom"/>
            <w:hideMark/>
          </w:tcPr>
          <w:p w14:paraId="3D113FE6"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ATEU0ITA00671</w:t>
            </w:r>
          </w:p>
        </w:tc>
      </w:tr>
      <w:tr w:rsidR="00C27D6A" w:rsidRPr="00DC75CC" w14:paraId="3041739A" w14:textId="77777777" w:rsidTr="00C75467">
        <w:trPr>
          <w:trHeight w:val="288"/>
          <w:tblHeader/>
          <w:jc w:val="center"/>
        </w:trPr>
        <w:tc>
          <w:tcPr>
            <w:tcW w:w="0" w:type="auto"/>
            <w:tcBorders>
              <w:top w:val="nil"/>
              <w:left w:val="nil"/>
              <w:bottom w:val="nil"/>
              <w:right w:val="nil"/>
            </w:tcBorders>
            <w:noWrap/>
            <w:vAlign w:val="bottom"/>
            <w:hideMark/>
          </w:tcPr>
          <w:p w14:paraId="31E1070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20D7AE8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GAETANO PADRE</w:t>
            </w:r>
          </w:p>
        </w:tc>
        <w:tc>
          <w:tcPr>
            <w:tcW w:w="0" w:type="auto"/>
            <w:tcBorders>
              <w:top w:val="nil"/>
              <w:left w:val="nil"/>
              <w:bottom w:val="nil"/>
              <w:right w:val="nil"/>
            </w:tcBorders>
            <w:noWrap/>
            <w:vAlign w:val="bottom"/>
            <w:hideMark/>
          </w:tcPr>
          <w:p w14:paraId="0D4F24BF"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ATEU0ITA00693</w:t>
            </w:r>
          </w:p>
        </w:tc>
      </w:tr>
      <w:tr w:rsidR="00C27D6A" w:rsidRPr="00DC75CC" w14:paraId="3F0B38DA" w14:textId="77777777" w:rsidTr="00C75467">
        <w:trPr>
          <w:trHeight w:val="288"/>
          <w:tblHeader/>
          <w:jc w:val="center"/>
        </w:trPr>
        <w:tc>
          <w:tcPr>
            <w:tcW w:w="0" w:type="auto"/>
            <w:tcBorders>
              <w:top w:val="nil"/>
              <w:left w:val="nil"/>
              <w:bottom w:val="nil"/>
              <w:right w:val="nil"/>
            </w:tcBorders>
            <w:noWrap/>
            <w:vAlign w:val="bottom"/>
            <w:hideMark/>
          </w:tcPr>
          <w:p w14:paraId="59FCA7F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0" w:type="auto"/>
            <w:tcBorders>
              <w:top w:val="nil"/>
              <w:left w:val="nil"/>
              <w:bottom w:val="nil"/>
              <w:right w:val="nil"/>
            </w:tcBorders>
            <w:noWrap/>
            <w:vAlign w:val="bottom"/>
            <w:hideMark/>
          </w:tcPr>
          <w:p w14:paraId="4CC4CAC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MARIA GRAZIA</w:t>
            </w:r>
          </w:p>
        </w:tc>
        <w:tc>
          <w:tcPr>
            <w:tcW w:w="0" w:type="auto"/>
            <w:tcBorders>
              <w:top w:val="nil"/>
              <w:left w:val="nil"/>
              <w:bottom w:val="nil"/>
              <w:right w:val="nil"/>
            </w:tcBorders>
            <w:noWrap/>
            <w:vAlign w:val="bottom"/>
            <w:hideMark/>
          </w:tcPr>
          <w:p w14:paraId="34A5286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ATEU0ITA00694</w:t>
            </w:r>
          </w:p>
        </w:tc>
      </w:tr>
      <w:tr w:rsidR="00C27D6A" w:rsidRPr="00DC75CC" w14:paraId="297C870C" w14:textId="77777777" w:rsidTr="00C75467">
        <w:trPr>
          <w:trHeight w:val="288"/>
          <w:tblHeader/>
          <w:jc w:val="center"/>
        </w:trPr>
        <w:tc>
          <w:tcPr>
            <w:tcW w:w="0" w:type="auto"/>
            <w:tcBorders>
              <w:top w:val="nil"/>
              <w:left w:val="nil"/>
              <w:bottom w:val="nil"/>
              <w:right w:val="nil"/>
            </w:tcBorders>
            <w:noWrap/>
            <w:vAlign w:val="bottom"/>
            <w:hideMark/>
          </w:tcPr>
          <w:p w14:paraId="2C90E9B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UE-Malta</w:t>
            </w:r>
          </w:p>
        </w:tc>
        <w:tc>
          <w:tcPr>
            <w:tcW w:w="0" w:type="auto"/>
            <w:tcBorders>
              <w:top w:val="nil"/>
              <w:left w:val="nil"/>
              <w:bottom w:val="nil"/>
              <w:right w:val="nil"/>
            </w:tcBorders>
            <w:noWrap/>
            <w:vAlign w:val="bottom"/>
            <w:hideMark/>
          </w:tcPr>
          <w:p w14:paraId="4E623E1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COSTABILE</w:t>
            </w:r>
          </w:p>
        </w:tc>
        <w:tc>
          <w:tcPr>
            <w:tcW w:w="0" w:type="auto"/>
            <w:tcBorders>
              <w:top w:val="nil"/>
              <w:left w:val="nil"/>
              <w:bottom w:val="nil"/>
              <w:right w:val="nil"/>
            </w:tcBorders>
            <w:noWrap/>
            <w:vAlign w:val="bottom"/>
            <w:hideMark/>
          </w:tcPr>
          <w:p w14:paraId="29F4A577"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ATEU0MLT01102</w:t>
            </w:r>
          </w:p>
        </w:tc>
      </w:tr>
      <w:tr w:rsidR="00C27D6A" w:rsidRPr="00DC75CC" w14:paraId="38E13E26" w14:textId="77777777" w:rsidTr="00C75467">
        <w:trPr>
          <w:trHeight w:val="288"/>
          <w:tblHeader/>
          <w:jc w:val="center"/>
        </w:trPr>
        <w:tc>
          <w:tcPr>
            <w:tcW w:w="0" w:type="auto"/>
            <w:tcBorders>
              <w:top w:val="nil"/>
              <w:left w:val="nil"/>
              <w:bottom w:val="nil"/>
              <w:right w:val="nil"/>
            </w:tcBorders>
            <w:noWrap/>
            <w:vAlign w:val="bottom"/>
            <w:hideMark/>
          </w:tcPr>
          <w:p w14:paraId="29558F6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UE-Malta</w:t>
            </w:r>
          </w:p>
        </w:tc>
        <w:tc>
          <w:tcPr>
            <w:tcW w:w="0" w:type="auto"/>
            <w:tcBorders>
              <w:top w:val="nil"/>
              <w:left w:val="nil"/>
              <w:bottom w:val="nil"/>
              <w:right w:val="nil"/>
            </w:tcBorders>
            <w:noWrap/>
            <w:vAlign w:val="bottom"/>
            <w:hideMark/>
          </w:tcPr>
          <w:p w14:paraId="526B5D8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MARIA MADRE</w:t>
            </w:r>
          </w:p>
        </w:tc>
        <w:tc>
          <w:tcPr>
            <w:tcW w:w="0" w:type="auto"/>
            <w:tcBorders>
              <w:top w:val="nil"/>
              <w:left w:val="nil"/>
              <w:bottom w:val="nil"/>
              <w:right w:val="nil"/>
            </w:tcBorders>
            <w:noWrap/>
            <w:vAlign w:val="bottom"/>
            <w:hideMark/>
          </w:tcPr>
          <w:p w14:paraId="7BEFC83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ATEU0MLT02619</w:t>
            </w:r>
          </w:p>
        </w:tc>
      </w:tr>
      <w:tr w:rsidR="00C27D6A" w:rsidRPr="00DC75CC" w14:paraId="3AD51F79" w14:textId="77777777" w:rsidTr="00C75467">
        <w:trPr>
          <w:trHeight w:val="288"/>
          <w:tblHeader/>
          <w:jc w:val="center"/>
        </w:trPr>
        <w:tc>
          <w:tcPr>
            <w:tcW w:w="0" w:type="auto"/>
            <w:tcBorders>
              <w:top w:val="nil"/>
              <w:left w:val="nil"/>
              <w:bottom w:val="nil"/>
              <w:right w:val="nil"/>
            </w:tcBorders>
            <w:noWrap/>
            <w:vAlign w:val="bottom"/>
            <w:hideMark/>
          </w:tcPr>
          <w:p w14:paraId="341A12F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Egipto</w:t>
            </w:r>
          </w:p>
        </w:tc>
        <w:tc>
          <w:tcPr>
            <w:tcW w:w="0" w:type="auto"/>
            <w:tcBorders>
              <w:top w:val="nil"/>
              <w:left w:val="nil"/>
              <w:bottom w:val="nil"/>
              <w:right w:val="nil"/>
            </w:tcBorders>
            <w:noWrap/>
            <w:vAlign w:val="bottom"/>
            <w:hideMark/>
          </w:tcPr>
          <w:p w14:paraId="6757764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SAFINAT NOOH</w:t>
            </w:r>
          </w:p>
        </w:tc>
        <w:tc>
          <w:tcPr>
            <w:tcW w:w="0" w:type="auto"/>
            <w:tcBorders>
              <w:top w:val="nil"/>
              <w:left w:val="nil"/>
              <w:bottom w:val="nil"/>
              <w:right w:val="nil"/>
            </w:tcBorders>
            <w:noWrap/>
            <w:vAlign w:val="bottom"/>
            <w:hideMark/>
          </w:tcPr>
          <w:p w14:paraId="2161AA7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AT000EGY00010</w:t>
            </w:r>
          </w:p>
        </w:tc>
      </w:tr>
      <w:tr w:rsidR="00C27D6A" w:rsidRPr="00DC75CC" w14:paraId="321FB38F" w14:textId="77777777" w:rsidTr="00C75467">
        <w:trPr>
          <w:trHeight w:val="288"/>
          <w:tblHeader/>
          <w:jc w:val="center"/>
        </w:trPr>
        <w:tc>
          <w:tcPr>
            <w:tcW w:w="0" w:type="auto"/>
            <w:tcBorders>
              <w:top w:val="nil"/>
              <w:left w:val="nil"/>
              <w:bottom w:val="nil"/>
              <w:right w:val="nil"/>
            </w:tcBorders>
            <w:noWrap/>
            <w:vAlign w:val="bottom"/>
            <w:hideMark/>
          </w:tcPr>
          <w:p w14:paraId="1D253E0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Egipto</w:t>
            </w:r>
          </w:p>
        </w:tc>
        <w:tc>
          <w:tcPr>
            <w:tcW w:w="0" w:type="auto"/>
            <w:tcBorders>
              <w:top w:val="nil"/>
              <w:left w:val="nil"/>
              <w:bottom w:val="nil"/>
              <w:right w:val="nil"/>
            </w:tcBorders>
            <w:noWrap/>
            <w:vAlign w:val="bottom"/>
            <w:hideMark/>
          </w:tcPr>
          <w:p w14:paraId="38CA2B1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GOLOVIK</w:t>
            </w:r>
          </w:p>
        </w:tc>
        <w:tc>
          <w:tcPr>
            <w:tcW w:w="0" w:type="auto"/>
            <w:tcBorders>
              <w:top w:val="nil"/>
              <w:left w:val="nil"/>
              <w:bottom w:val="nil"/>
              <w:right w:val="nil"/>
            </w:tcBorders>
            <w:noWrap/>
            <w:vAlign w:val="bottom"/>
            <w:hideMark/>
          </w:tcPr>
          <w:p w14:paraId="3EE35424"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AT000EGY00020</w:t>
            </w:r>
          </w:p>
        </w:tc>
      </w:tr>
      <w:tr w:rsidR="00C27D6A" w:rsidRPr="00DC75CC" w14:paraId="5FC286E8" w14:textId="77777777" w:rsidTr="00C75467">
        <w:trPr>
          <w:trHeight w:val="288"/>
          <w:tblHeader/>
          <w:jc w:val="center"/>
        </w:trPr>
        <w:tc>
          <w:tcPr>
            <w:tcW w:w="0" w:type="auto"/>
            <w:tcBorders>
              <w:top w:val="nil"/>
              <w:left w:val="nil"/>
              <w:bottom w:val="nil"/>
              <w:right w:val="nil"/>
            </w:tcBorders>
            <w:noWrap/>
            <w:vAlign w:val="bottom"/>
            <w:hideMark/>
          </w:tcPr>
          <w:p w14:paraId="05383D8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599E4AC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ELHADER 2</w:t>
            </w:r>
          </w:p>
        </w:tc>
        <w:tc>
          <w:tcPr>
            <w:tcW w:w="0" w:type="auto"/>
            <w:tcBorders>
              <w:top w:val="nil"/>
              <w:left w:val="nil"/>
              <w:bottom w:val="nil"/>
              <w:right w:val="nil"/>
            </w:tcBorders>
            <w:noWrap/>
            <w:vAlign w:val="bottom"/>
            <w:hideMark/>
          </w:tcPr>
          <w:p w14:paraId="28A868A0"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AT000LBY00037</w:t>
            </w:r>
          </w:p>
        </w:tc>
      </w:tr>
      <w:tr w:rsidR="00C27D6A" w:rsidRPr="00DC75CC" w14:paraId="76C99DA9" w14:textId="77777777" w:rsidTr="00C75467">
        <w:trPr>
          <w:trHeight w:val="288"/>
          <w:tblHeader/>
          <w:jc w:val="center"/>
        </w:trPr>
        <w:tc>
          <w:tcPr>
            <w:tcW w:w="0" w:type="auto"/>
            <w:tcBorders>
              <w:top w:val="nil"/>
              <w:left w:val="nil"/>
              <w:bottom w:val="nil"/>
              <w:right w:val="nil"/>
            </w:tcBorders>
            <w:noWrap/>
            <w:vAlign w:val="bottom"/>
            <w:hideMark/>
          </w:tcPr>
          <w:p w14:paraId="44BE68B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57C5218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AL KAPTAN</w:t>
            </w:r>
          </w:p>
        </w:tc>
        <w:tc>
          <w:tcPr>
            <w:tcW w:w="0" w:type="auto"/>
            <w:tcBorders>
              <w:top w:val="nil"/>
              <w:left w:val="nil"/>
              <w:bottom w:val="nil"/>
              <w:right w:val="nil"/>
            </w:tcBorders>
            <w:noWrap/>
            <w:vAlign w:val="bottom"/>
            <w:hideMark/>
          </w:tcPr>
          <w:p w14:paraId="40A4367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AT000LBY00091</w:t>
            </w:r>
          </w:p>
        </w:tc>
      </w:tr>
      <w:tr w:rsidR="00C27D6A" w:rsidRPr="00DC75CC" w14:paraId="2D346F77" w14:textId="77777777" w:rsidTr="00C75467">
        <w:trPr>
          <w:trHeight w:val="288"/>
          <w:tblHeader/>
          <w:jc w:val="center"/>
        </w:trPr>
        <w:tc>
          <w:tcPr>
            <w:tcW w:w="0" w:type="auto"/>
            <w:tcBorders>
              <w:top w:val="nil"/>
              <w:left w:val="nil"/>
              <w:bottom w:val="nil"/>
              <w:right w:val="nil"/>
            </w:tcBorders>
            <w:noWrap/>
            <w:vAlign w:val="bottom"/>
            <w:hideMark/>
          </w:tcPr>
          <w:p w14:paraId="2FB24BF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6619080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TAKNES</w:t>
            </w:r>
          </w:p>
        </w:tc>
        <w:tc>
          <w:tcPr>
            <w:tcW w:w="0" w:type="auto"/>
            <w:tcBorders>
              <w:top w:val="nil"/>
              <w:left w:val="nil"/>
              <w:bottom w:val="nil"/>
              <w:right w:val="nil"/>
            </w:tcBorders>
            <w:noWrap/>
            <w:vAlign w:val="bottom"/>
            <w:hideMark/>
          </w:tcPr>
          <w:p w14:paraId="6956422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AT000LBY00092</w:t>
            </w:r>
          </w:p>
        </w:tc>
      </w:tr>
      <w:tr w:rsidR="00C27D6A" w:rsidRPr="00DC75CC" w14:paraId="7F21C82E" w14:textId="77777777" w:rsidTr="00C75467">
        <w:trPr>
          <w:trHeight w:val="288"/>
          <w:tblHeader/>
          <w:jc w:val="center"/>
        </w:trPr>
        <w:tc>
          <w:tcPr>
            <w:tcW w:w="0" w:type="auto"/>
            <w:tcBorders>
              <w:top w:val="nil"/>
              <w:left w:val="nil"/>
              <w:bottom w:val="nil"/>
              <w:right w:val="nil"/>
            </w:tcBorders>
            <w:noWrap/>
            <w:vAlign w:val="bottom"/>
            <w:hideMark/>
          </w:tcPr>
          <w:p w14:paraId="4FA502E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086CDCC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NASEEP</w:t>
            </w:r>
          </w:p>
        </w:tc>
        <w:tc>
          <w:tcPr>
            <w:tcW w:w="0" w:type="auto"/>
            <w:tcBorders>
              <w:top w:val="nil"/>
              <w:left w:val="nil"/>
              <w:bottom w:val="nil"/>
              <w:right w:val="nil"/>
            </w:tcBorders>
            <w:noWrap/>
            <w:vAlign w:val="bottom"/>
            <w:hideMark/>
          </w:tcPr>
          <w:p w14:paraId="535F03C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AT000LBY00093</w:t>
            </w:r>
          </w:p>
        </w:tc>
      </w:tr>
      <w:tr w:rsidR="00C27D6A" w:rsidRPr="00DC75CC" w14:paraId="4F5628D1" w14:textId="77777777" w:rsidTr="00C75467">
        <w:trPr>
          <w:trHeight w:val="288"/>
          <w:tblHeader/>
          <w:jc w:val="center"/>
        </w:trPr>
        <w:tc>
          <w:tcPr>
            <w:tcW w:w="0" w:type="auto"/>
            <w:tcBorders>
              <w:top w:val="nil"/>
              <w:left w:val="nil"/>
              <w:bottom w:val="nil"/>
              <w:right w:val="nil"/>
            </w:tcBorders>
            <w:noWrap/>
            <w:vAlign w:val="bottom"/>
            <w:hideMark/>
          </w:tcPr>
          <w:p w14:paraId="4E097E7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5D44F7C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MEAJILLAN 1</w:t>
            </w:r>
          </w:p>
        </w:tc>
        <w:tc>
          <w:tcPr>
            <w:tcW w:w="0" w:type="auto"/>
            <w:tcBorders>
              <w:top w:val="nil"/>
              <w:left w:val="nil"/>
              <w:bottom w:val="nil"/>
              <w:right w:val="nil"/>
            </w:tcBorders>
            <w:noWrap/>
            <w:vAlign w:val="bottom"/>
            <w:hideMark/>
          </w:tcPr>
          <w:p w14:paraId="39E2DD7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AT000LBY00096</w:t>
            </w:r>
          </w:p>
        </w:tc>
      </w:tr>
      <w:tr w:rsidR="00C27D6A" w:rsidRPr="00DC75CC" w14:paraId="018D14C1" w14:textId="77777777" w:rsidTr="00C75467">
        <w:trPr>
          <w:trHeight w:val="288"/>
          <w:tblHeader/>
          <w:jc w:val="center"/>
        </w:trPr>
        <w:tc>
          <w:tcPr>
            <w:tcW w:w="0" w:type="auto"/>
            <w:tcBorders>
              <w:top w:val="nil"/>
              <w:left w:val="nil"/>
              <w:bottom w:val="nil"/>
              <w:right w:val="nil"/>
            </w:tcBorders>
            <w:noWrap/>
            <w:vAlign w:val="bottom"/>
            <w:hideMark/>
          </w:tcPr>
          <w:p w14:paraId="3768C1E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48E47F6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MALITA</w:t>
            </w:r>
          </w:p>
        </w:tc>
        <w:tc>
          <w:tcPr>
            <w:tcW w:w="0" w:type="auto"/>
            <w:tcBorders>
              <w:top w:val="nil"/>
              <w:left w:val="nil"/>
              <w:bottom w:val="nil"/>
              <w:right w:val="nil"/>
            </w:tcBorders>
            <w:noWrap/>
            <w:vAlign w:val="bottom"/>
            <w:hideMark/>
          </w:tcPr>
          <w:p w14:paraId="00F9931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AT000LBY00099</w:t>
            </w:r>
          </w:p>
        </w:tc>
      </w:tr>
      <w:tr w:rsidR="00C27D6A" w:rsidRPr="00DC75CC" w14:paraId="015918FD" w14:textId="77777777" w:rsidTr="00C75467">
        <w:trPr>
          <w:trHeight w:val="288"/>
          <w:tblHeader/>
          <w:jc w:val="center"/>
        </w:trPr>
        <w:tc>
          <w:tcPr>
            <w:tcW w:w="0" w:type="auto"/>
            <w:tcBorders>
              <w:top w:val="nil"/>
              <w:left w:val="nil"/>
              <w:bottom w:val="nil"/>
              <w:right w:val="nil"/>
            </w:tcBorders>
            <w:noWrap/>
            <w:vAlign w:val="bottom"/>
            <w:hideMark/>
          </w:tcPr>
          <w:p w14:paraId="1C61EE7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7405C24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SALAM</w:t>
            </w:r>
          </w:p>
        </w:tc>
        <w:tc>
          <w:tcPr>
            <w:tcW w:w="0" w:type="auto"/>
            <w:tcBorders>
              <w:top w:val="nil"/>
              <w:left w:val="nil"/>
              <w:bottom w:val="nil"/>
              <w:right w:val="nil"/>
            </w:tcBorders>
            <w:noWrap/>
            <w:vAlign w:val="bottom"/>
            <w:hideMark/>
          </w:tcPr>
          <w:p w14:paraId="1BFAD8BA"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AT000LBY00100</w:t>
            </w:r>
          </w:p>
        </w:tc>
      </w:tr>
      <w:tr w:rsidR="00C27D6A" w:rsidRPr="00DC75CC" w14:paraId="678C6E57" w14:textId="77777777" w:rsidTr="00C75467">
        <w:trPr>
          <w:trHeight w:val="288"/>
          <w:tblHeader/>
          <w:jc w:val="center"/>
        </w:trPr>
        <w:tc>
          <w:tcPr>
            <w:tcW w:w="0" w:type="auto"/>
            <w:tcBorders>
              <w:top w:val="nil"/>
              <w:left w:val="nil"/>
              <w:bottom w:val="nil"/>
              <w:right w:val="nil"/>
            </w:tcBorders>
            <w:noWrap/>
            <w:vAlign w:val="bottom"/>
            <w:hideMark/>
          </w:tcPr>
          <w:p w14:paraId="522044F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3B0304F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AL-FATAYEH</w:t>
            </w:r>
          </w:p>
        </w:tc>
        <w:tc>
          <w:tcPr>
            <w:tcW w:w="0" w:type="auto"/>
            <w:tcBorders>
              <w:top w:val="nil"/>
              <w:left w:val="nil"/>
              <w:bottom w:val="nil"/>
              <w:right w:val="nil"/>
            </w:tcBorders>
            <w:noWrap/>
            <w:vAlign w:val="bottom"/>
            <w:hideMark/>
          </w:tcPr>
          <w:p w14:paraId="7DE2240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AT000LBY00111</w:t>
            </w:r>
          </w:p>
        </w:tc>
      </w:tr>
      <w:tr w:rsidR="00C27D6A" w:rsidRPr="00DC75CC" w14:paraId="32BE6A76" w14:textId="77777777" w:rsidTr="00C75467">
        <w:trPr>
          <w:trHeight w:val="288"/>
          <w:tblHeader/>
          <w:jc w:val="center"/>
        </w:trPr>
        <w:tc>
          <w:tcPr>
            <w:tcW w:w="0" w:type="auto"/>
            <w:tcBorders>
              <w:top w:val="nil"/>
              <w:left w:val="nil"/>
              <w:bottom w:val="nil"/>
              <w:right w:val="nil"/>
            </w:tcBorders>
            <w:noWrap/>
            <w:vAlign w:val="bottom"/>
            <w:hideMark/>
          </w:tcPr>
          <w:p w14:paraId="1171E52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597027E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PARSIS</w:t>
            </w:r>
          </w:p>
        </w:tc>
        <w:tc>
          <w:tcPr>
            <w:tcW w:w="0" w:type="auto"/>
            <w:tcBorders>
              <w:top w:val="nil"/>
              <w:left w:val="nil"/>
              <w:bottom w:val="nil"/>
              <w:right w:val="nil"/>
            </w:tcBorders>
            <w:noWrap/>
            <w:vAlign w:val="bottom"/>
            <w:hideMark/>
          </w:tcPr>
          <w:p w14:paraId="3EB7F85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AT000LBY00117</w:t>
            </w:r>
          </w:p>
        </w:tc>
      </w:tr>
      <w:tr w:rsidR="00C27D6A" w:rsidRPr="00DC75CC" w14:paraId="22EE91D7" w14:textId="77777777" w:rsidTr="00C75467">
        <w:trPr>
          <w:trHeight w:val="288"/>
          <w:tblHeader/>
          <w:jc w:val="center"/>
        </w:trPr>
        <w:tc>
          <w:tcPr>
            <w:tcW w:w="0" w:type="auto"/>
            <w:tcBorders>
              <w:top w:val="nil"/>
              <w:left w:val="nil"/>
              <w:bottom w:val="nil"/>
              <w:right w:val="nil"/>
            </w:tcBorders>
            <w:noWrap/>
            <w:vAlign w:val="bottom"/>
            <w:hideMark/>
          </w:tcPr>
          <w:p w14:paraId="4E06F05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7B3EC0F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ALBAHR ELHADERER</w:t>
            </w:r>
          </w:p>
        </w:tc>
        <w:tc>
          <w:tcPr>
            <w:tcW w:w="0" w:type="auto"/>
            <w:tcBorders>
              <w:top w:val="nil"/>
              <w:left w:val="nil"/>
              <w:bottom w:val="nil"/>
              <w:right w:val="nil"/>
            </w:tcBorders>
            <w:noWrap/>
            <w:vAlign w:val="bottom"/>
            <w:hideMark/>
          </w:tcPr>
          <w:p w14:paraId="317CFC7A"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AT000LBY00077</w:t>
            </w:r>
          </w:p>
        </w:tc>
      </w:tr>
      <w:tr w:rsidR="00C27D6A" w:rsidRPr="00DC75CC" w14:paraId="1564FBB1" w14:textId="77777777" w:rsidTr="00C75467">
        <w:trPr>
          <w:trHeight w:val="288"/>
          <w:tblHeader/>
          <w:jc w:val="center"/>
        </w:trPr>
        <w:tc>
          <w:tcPr>
            <w:tcW w:w="0" w:type="auto"/>
            <w:tcBorders>
              <w:top w:val="nil"/>
              <w:left w:val="nil"/>
              <w:bottom w:val="nil"/>
              <w:right w:val="nil"/>
            </w:tcBorders>
            <w:noWrap/>
            <w:vAlign w:val="bottom"/>
            <w:hideMark/>
          </w:tcPr>
          <w:p w14:paraId="355D9D7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636E356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LATHRON</w:t>
            </w:r>
          </w:p>
        </w:tc>
        <w:tc>
          <w:tcPr>
            <w:tcW w:w="0" w:type="auto"/>
            <w:tcBorders>
              <w:top w:val="nil"/>
              <w:left w:val="nil"/>
              <w:bottom w:val="nil"/>
              <w:right w:val="nil"/>
            </w:tcBorders>
            <w:noWrap/>
            <w:vAlign w:val="bottom"/>
            <w:hideMark/>
          </w:tcPr>
          <w:p w14:paraId="16033DC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AT000LBY00025</w:t>
            </w:r>
          </w:p>
        </w:tc>
      </w:tr>
      <w:tr w:rsidR="00C27D6A" w:rsidRPr="00DC75CC" w14:paraId="532E94C7" w14:textId="77777777" w:rsidTr="00C75467">
        <w:trPr>
          <w:trHeight w:val="288"/>
          <w:tblHeader/>
          <w:jc w:val="center"/>
        </w:trPr>
        <w:tc>
          <w:tcPr>
            <w:tcW w:w="0" w:type="auto"/>
            <w:tcBorders>
              <w:top w:val="nil"/>
              <w:left w:val="nil"/>
              <w:bottom w:val="nil"/>
              <w:right w:val="nil"/>
            </w:tcBorders>
            <w:noWrap/>
            <w:vAlign w:val="bottom"/>
            <w:hideMark/>
          </w:tcPr>
          <w:p w14:paraId="5E18825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6D4C9FD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FATIMA</w:t>
            </w:r>
          </w:p>
        </w:tc>
        <w:tc>
          <w:tcPr>
            <w:tcW w:w="0" w:type="auto"/>
            <w:tcBorders>
              <w:top w:val="nil"/>
              <w:left w:val="nil"/>
              <w:bottom w:val="nil"/>
              <w:right w:val="nil"/>
            </w:tcBorders>
            <w:noWrap/>
            <w:vAlign w:val="bottom"/>
            <w:hideMark/>
          </w:tcPr>
          <w:p w14:paraId="2F9DC8D6"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AT000LBY00118</w:t>
            </w:r>
          </w:p>
        </w:tc>
      </w:tr>
      <w:tr w:rsidR="00C27D6A" w:rsidRPr="00DC75CC" w14:paraId="65E9343F" w14:textId="77777777" w:rsidTr="00C75467">
        <w:trPr>
          <w:trHeight w:val="288"/>
          <w:tblHeader/>
          <w:jc w:val="center"/>
        </w:trPr>
        <w:tc>
          <w:tcPr>
            <w:tcW w:w="0" w:type="auto"/>
            <w:tcBorders>
              <w:top w:val="nil"/>
              <w:left w:val="nil"/>
              <w:bottom w:val="nil"/>
              <w:right w:val="nil"/>
            </w:tcBorders>
            <w:noWrap/>
            <w:vAlign w:val="bottom"/>
            <w:hideMark/>
          </w:tcPr>
          <w:p w14:paraId="3D0E8AB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71ED0C1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ALSAMAKAH ALZARGA</w:t>
            </w:r>
          </w:p>
        </w:tc>
        <w:tc>
          <w:tcPr>
            <w:tcW w:w="0" w:type="auto"/>
            <w:tcBorders>
              <w:top w:val="nil"/>
              <w:left w:val="nil"/>
              <w:bottom w:val="nil"/>
              <w:right w:val="nil"/>
            </w:tcBorders>
            <w:noWrap/>
            <w:vAlign w:val="bottom"/>
            <w:hideMark/>
          </w:tcPr>
          <w:p w14:paraId="2DF688C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AT000LBY00104</w:t>
            </w:r>
          </w:p>
        </w:tc>
      </w:tr>
      <w:tr w:rsidR="00C27D6A" w:rsidRPr="00DC75CC" w14:paraId="6A76A9E5" w14:textId="77777777" w:rsidTr="00C75467">
        <w:trPr>
          <w:trHeight w:val="288"/>
          <w:tblHeader/>
          <w:jc w:val="center"/>
        </w:trPr>
        <w:tc>
          <w:tcPr>
            <w:tcW w:w="0" w:type="auto"/>
            <w:tcBorders>
              <w:top w:val="nil"/>
              <w:left w:val="nil"/>
              <w:bottom w:val="nil"/>
              <w:right w:val="nil"/>
            </w:tcBorders>
            <w:noWrap/>
            <w:vAlign w:val="bottom"/>
            <w:hideMark/>
          </w:tcPr>
          <w:p w14:paraId="3E86307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3CFD844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ALAMWAJE ALHADERE</w:t>
            </w:r>
          </w:p>
        </w:tc>
        <w:tc>
          <w:tcPr>
            <w:tcW w:w="0" w:type="auto"/>
            <w:tcBorders>
              <w:top w:val="nil"/>
              <w:left w:val="nil"/>
              <w:bottom w:val="nil"/>
              <w:right w:val="nil"/>
            </w:tcBorders>
            <w:noWrap/>
            <w:vAlign w:val="bottom"/>
            <w:hideMark/>
          </w:tcPr>
          <w:p w14:paraId="64C8126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AT000LBY00078</w:t>
            </w:r>
          </w:p>
        </w:tc>
      </w:tr>
      <w:tr w:rsidR="00C27D6A" w:rsidRPr="00DC75CC" w14:paraId="48C5F1E5" w14:textId="77777777" w:rsidTr="00C75467">
        <w:trPr>
          <w:trHeight w:val="288"/>
          <w:tblHeader/>
          <w:jc w:val="center"/>
        </w:trPr>
        <w:tc>
          <w:tcPr>
            <w:tcW w:w="0" w:type="auto"/>
            <w:tcBorders>
              <w:top w:val="nil"/>
              <w:left w:val="nil"/>
              <w:bottom w:val="nil"/>
              <w:right w:val="nil"/>
            </w:tcBorders>
            <w:noWrap/>
            <w:vAlign w:val="bottom"/>
            <w:hideMark/>
          </w:tcPr>
          <w:p w14:paraId="6560A40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Libia</w:t>
            </w:r>
          </w:p>
        </w:tc>
        <w:tc>
          <w:tcPr>
            <w:tcW w:w="0" w:type="auto"/>
            <w:tcBorders>
              <w:top w:val="nil"/>
              <w:left w:val="nil"/>
              <w:bottom w:val="nil"/>
              <w:right w:val="nil"/>
            </w:tcBorders>
            <w:noWrap/>
            <w:vAlign w:val="bottom"/>
            <w:hideMark/>
          </w:tcPr>
          <w:p w14:paraId="4781D20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AHAL ALBAHAR</w:t>
            </w:r>
          </w:p>
        </w:tc>
        <w:tc>
          <w:tcPr>
            <w:tcW w:w="0" w:type="auto"/>
            <w:tcBorders>
              <w:top w:val="nil"/>
              <w:left w:val="nil"/>
              <w:bottom w:val="nil"/>
              <w:right w:val="nil"/>
            </w:tcBorders>
            <w:noWrap/>
            <w:vAlign w:val="bottom"/>
            <w:hideMark/>
          </w:tcPr>
          <w:p w14:paraId="5A63FBF6"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AT000LBY00113</w:t>
            </w:r>
          </w:p>
        </w:tc>
      </w:tr>
      <w:tr w:rsidR="00C27D6A" w:rsidRPr="00DC75CC" w14:paraId="0CAAB068" w14:textId="77777777" w:rsidTr="00C75467">
        <w:trPr>
          <w:trHeight w:val="288"/>
          <w:tblHeader/>
          <w:jc w:val="center"/>
        </w:trPr>
        <w:tc>
          <w:tcPr>
            <w:tcW w:w="0" w:type="auto"/>
            <w:tcBorders>
              <w:top w:val="nil"/>
              <w:left w:val="nil"/>
              <w:bottom w:val="nil"/>
              <w:right w:val="nil"/>
            </w:tcBorders>
            <w:noWrap/>
            <w:vAlign w:val="bottom"/>
            <w:hideMark/>
          </w:tcPr>
          <w:p w14:paraId="6CDDBCC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0" w:type="auto"/>
            <w:tcBorders>
              <w:top w:val="nil"/>
              <w:left w:val="nil"/>
              <w:bottom w:val="nil"/>
              <w:right w:val="nil"/>
            </w:tcBorders>
            <w:noWrap/>
            <w:vAlign w:val="bottom"/>
            <w:hideMark/>
          </w:tcPr>
          <w:p w14:paraId="119EF46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AZROU 1</w:t>
            </w:r>
          </w:p>
        </w:tc>
        <w:tc>
          <w:tcPr>
            <w:tcW w:w="0" w:type="auto"/>
            <w:tcBorders>
              <w:top w:val="nil"/>
              <w:left w:val="nil"/>
              <w:bottom w:val="nil"/>
              <w:right w:val="nil"/>
            </w:tcBorders>
            <w:noWrap/>
            <w:vAlign w:val="bottom"/>
            <w:hideMark/>
          </w:tcPr>
          <w:p w14:paraId="1A14025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AT000MAR00081</w:t>
            </w:r>
          </w:p>
        </w:tc>
      </w:tr>
      <w:tr w:rsidR="00C27D6A" w:rsidRPr="00DC75CC" w14:paraId="412C8F33" w14:textId="77777777" w:rsidTr="00C75467">
        <w:trPr>
          <w:trHeight w:val="288"/>
          <w:tblHeader/>
          <w:jc w:val="center"/>
        </w:trPr>
        <w:tc>
          <w:tcPr>
            <w:tcW w:w="0" w:type="auto"/>
            <w:tcBorders>
              <w:top w:val="nil"/>
              <w:left w:val="nil"/>
              <w:bottom w:val="nil"/>
              <w:right w:val="nil"/>
            </w:tcBorders>
            <w:noWrap/>
            <w:vAlign w:val="bottom"/>
            <w:hideMark/>
          </w:tcPr>
          <w:p w14:paraId="0B3E2F5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0" w:type="auto"/>
            <w:tcBorders>
              <w:top w:val="nil"/>
              <w:left w:val="nil"/>
              <w:bottom w:val="nil"/>
              <w:right w:val="nil"/>
            </w:tcBorders>
            <w:noWrap/>
            <w:vAlign w:val="bottom"/>
            <w:hideMark/>
          </w:tcPr>
          <w:p w14:paraId="6BABFBB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MIMOUNA-1</w:t>
            </w:r>
          </w:p>
        </w:tc>
        <w:tc>
          <w:tcPr>
            <w:tcW w:w="0" w:type="auto"/>
            <w:tcBorders>
              <w:top w:val="nil"/>
              <w:left w:val="nil"/>
              <w:bottom w:val="nil"/>
              <w:right w:val="nil"/>
            </w:tcBorders>
            <w:noWrap/>
            <w:vAlign w:val="bottom"/>
            <w:hideMark/>
          </w:tcPr>
          <w:p w14:paraId="3FE4A220"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AT000MAR05031</w:t>
            </w:r>
          </w:p>
        </w:tc>
      </w:tr>
      <w:tr w:rsidR="00C27D6A" w:rsidRPr="00DC75CC" w14:paraId="7F41EB56" w14:textId="77777777" w:rsidTr="00C75467">
        <w:trPr>
          <w:trHeight w:val="288"/>
          <w:tblHeader/>
          <w:jc w:val="center"/>
        </w:trPr>
        <w:tc>
          <w:tcPr>
            <w:tcW w:w="0" w:type="auto"/>
            <w:tcBorders>
              <w:top w:val="nil"/>
              <w:left w:val="nil"/>
              <w:bottom w:val="nil"/>
              <w:right w:val="nil"/>
            </w:tcBorders>
            <w:noWrap/>
            <w:vAlign w:val="bottom"/>
            <w:hideMark/>
          </w:tcPr>
          <w:p w14:paraId="657E6EB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0" w:type="auto"/>
            <w:tcBorders>
              <w:top w:val="nil"/>
              <w:left w:val="nil"/>
              <w:bottom w:val="nil"/>
              <w:right w:val="nil"/>
            </w:tcBorders>
            <w:noWrap/>
            <w:vAlign w:val="bottom"/>
            <w:hideMark/>
          </w:tcPr>
          <w:p w14:paraId="3E6B595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SONS</w:t>
            </w:r>
          </w:p>
        </w:tc>
        <w:tc>
          <w:tcPr>
            <w:tcW w:w="0" w:type="auto"/>
            <w:tcBorders>
              <w:top w:val="nil"/>
              <w:left w:val="nil"/>
              <w:bottom w:val="nil"/>
              <w:right w:val="nil"/>
            </w:tcBorders>
            <w:noWrap/>
            <w:vAlign w:val="bottom"/>
            <w:hideMark/>
          </w:tcPr>
          <w:p w14:paraId="374F7B8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AT000MAR04760</w:t>
            </w:r>
          </w:p>
        </w:tc>
      </w:tr>
      <w:tr w:rsidR="00C27D6A" w:rsidRPr="00DC75CC" w14:paraId="2C26D7CF" w14:textId="77777777" w:rsidTr="00C75467">
        <w:trPr>
          <w:trHeight w:val="288"/>
          <w:tblHeader/>
          <w:jc w:val="center"/>
        </w:trPr>
        <w:tc>
          <w:tcPr>
            <w:tcW w:w="0" w:type="auto"/>
            <w:tcBorders>
              <w:top w:val="nil"/>
              <w:left w:val="nil"/>
              <w:bottom w:val="nil"/>
              <w:right w:val="nil"/>
            </w:tcBorders>
            <w:noWrap/>
            <w:vAlign w:val="bottom"/>
            <w:hideMark/>
          </w:tcPr>
          <w:p w14:paraId="1EEE3C8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0" w:type="auto"/>
            <w:tcBorders>
              <w:top w:val="nil"/>
              <w:left w:val="nil"/>
              <w:bottom w:val="nil"/>
              <w:right w:val="nil"/>
            </w:tcBorders>
            <w:noWrap/>
            <w:vAlign w:val="bottom"/>
            <w:hideMark/>
          </w:tcPr>
          <w:p w14:paraId="3494CB4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KHIR ALLAH-1</w:t>
            </w:r>
          </w:p>
        </w:tc>
        <w:tc>
          <w:tcPr>
            <w:tcW w:w="0" w:type="auto"/>
            <w:tcBorders>
              <w:top w:val="nil"/>
              <w:left w:val="nil"/>
              <w:bottom w:val="nil"/>
              <w:right w:val="nil"/>
            </w:tcBorders>
            <w:noWrap/>
            <w:vAlign w:val="bottom"/>
            <w:hideMark/>
          </w:tcPr>
          <w:p w14:paraId="4B48350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AT000MAR05047</w:t>
            </w:r>
          </w:p>
        </w:tc>
      </w:tr>
      <w:tr w:rsidR="00C27D6A" w:rsidRPr="00DC75CC" w14:paraId="3B2671D5" w14:textId="77777777" w:rsidTr="00C75467">
        <w:trPr>
          <w:trHeight w:val="288"/>
          <w:tblHeader/>
          <w:jc w:val="center"/>
        </w:trPr>
        <w:tc>
          <w:tcPr>
            <w:tcW w:w="0" w:type="auto"/>
            <w:tcBorders>
              <w:top w:val="nil"/>
              <w:left w:val="nil"/>
              <w:bottom w:val="nil"/>
              <w:right w:val="nil"/>
            </w:tcBorders>
            <w:noWrap/>
            <w:vAlign w:val="bottom"/>
            <w:hideMark/>
          </w:tcPr>
          <w:p w14:paraId="6931F59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0" w:type="auto"/>
            <w:tcBorders>
              <w:top w:val="nil"/>
              <w:left w:val="nil"/>
              <w:bottom w:val="nil"/>
              <w:right w:val="nil"/>
            </w:tcBorders>
            <w:noWrap/>
            <w:vAlign w:val="bottom"/>
            <w:hideMark/>
          </w:tcPr>
          <w:p w14:paraId="3CA88AE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MEDIOUNA</w:t>
            </w:r>
          </w:p>
        </w:tc>
        <w:tc>
          <w:tcPr>
            <w:tcW w:w="0" w:type="auto"/>
            <w:tcBorders>
              <w:top w:val="nil"/>
              <w:left w:val="nil"/>
              <w:bottom w:val="nil"/>
              <w:right w:val="nil"/>
            </w:tcBorders>
            <w:noWrap/>
            <w:vAlign w:val="bottom"/>
            <w:hideMark/>
          </w:tcPr>
          <w:p w14:paraId="28E6D92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AT000MAR01418</w:t>
            </w:r>
          </w:p>
        </w:tc>
      </w:tr>
      <w:tr w:rsidR="00C27D6A" w:rsidRPr="00DC75CC" w14:paraId="3995EBC4" w14:textId="77777777" w:rsidTr="00C75467">
        <w:trPr>
          <w:trHeight w:val="288"/>
          <w:tblHeader/>
          <w:jc w:val="center"/>
        </w:trPr>
        <w:tc>
          <w:tcPr>
            <w:tcW w:w="0" w:type="auto"/>
            <w:tcBorders>
              <w:top w:val="nil"/>
              <w:left w:val="nil"/>
              <w:bottom w:val="nil"/>
              <w:right w:val="nil"/>
            </w:tcBorders>
            <w:noWrap/>
            <w:vAlign w:val="bottom"/>
            <w:hideMark/>
          </w:tcPr>
          <w:p w14:paraId="4CE9D41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Noruega</w:t>
            </w:r>
          </w:p>
        </w:tc>
        <w:tc>
          <w:tcPr>
            <w:tcW w:w="0" w:type="auto"/>
            <w:tcBorders>
              <w:top w:val="nil"/>
              <w:left w:val="nil"/>
              <w:bottom w:val="nil"/>
              <w:right w:val="nil"/>
            </w:tcBorders>
            <w:noWrap/>
            <w:vAlign w:val="bottom"/>
            <w:hideMark/>
          </w:tcPr>
          <w:p w14:paraId="417A5CC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Vestbris</w:t>
            </w:r>
          </w:p>
        </w:tc>
        <w:tc>
          <w:tcPr>
            <w:tcW w:w="0" w:type="auto"/>
            <w:tcBorders>
              <w:top w:val="nil"/>
              <w:left w:val="nil"/>
              <w:bottom w:val="nil"/>
              <w:right w:val="nil"/>
            </w:tcBorders>
            <w:noWrap/>
            <w:vAlign w:val="bottom"/>
            <w:hideMark/>
          </w:tcPr>
          <w:p w14:paraId="0E464A1D"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AT000NOR00017</w:t>
            </w:r>
          </w:p>
        </w:tc>
      </w:tr>
      <w:tr w:rsidR="00C27D6A" w:rsidRPr="00DC75CC" w14:paraId="3985973A" w14:textId="77777777" w:rsidTr="00C75467">
        <w:trPr>
          <w:trHeight w:val="288"/>
          <w:tblHeader/>
          <w:jc w:val="center"/>
        </w:trPr>
        <w:tc>
          <w:tcPr>
            <w:tcW w:w="0" w:type="auto"/>
            <w:tcBorders>
              <w:top w:val="nil"/>
              <w:left w:val="nil"/>
              <w:bottom w:val="nil"/>
              <w:right w:val="nil"/>
            </w:tcBorders>
            <w:noWrap/>
            <w:vAlign w:val="bottom"/>
            <w:hideMark/>
          </w:tcPr>
          <w:p w14:paraId="47827EA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Noruega</w:t>
            </w:r>
          </w:p>
        </w:tc>
        <w:tc>
          <w:tcPr>
            <w:tcW w:w="0" w:type="auto"/>
            <w:tcBorders>
              <w:top w:val="nil"/>
              <w:left w:val="nil"/>
              <w:bottom w:val="nil"/>
              <w:right w:val="nil"/>
            </w:tcBorders>
            <w:noWrap/>
            <w:vAlign w:val="bottom"/>
            <w:hideMark/>
          </w:tcPr>
          <w:p w14:paraId="74413B8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Hillersøy</w:t>
            </w:r>
          </w:p>
        </w:tc>
        <w:tc>
          <w:tcPr>
            <w:tcW w:w="0" w:type="auto"/>
            <w:tcBorders>
              <w:top w:val="nil"/>
              <w:left w:val="nil"/>
              <w:bottom w:val="nil"/>
              <w:right w:val="nil"/>
            </w:tcBorders>
            <w:noWrap/>
            <w:vAlign w:val="bottom"/>
            <w:hideMark/>
          </w:tcPr>
          <w:p w14:paraId="0594D394"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AT000NOR00001</w:t>
            </w:r>
          </w:p>
        </w:tc>
      </w:tr>
      <w:tr w:rsidR="00C27D6A" w:rsidRPr="00DC75CC" w14:paraId="7491BD1C" w14:textId="77777777" w:rsidTr="00C75467">
        <w:trPr>
          <w:trHeight w:val="288"/>
          <w:tblHeader/>
          <w:jc w:val="center"/>
        </w:trPr>
        <w:tc>
          <w:tcPr>
            <w:tcW w:w="0" w:type="auto"/>
            <w:tcBorders>
              <w:top w:val="nil"/>
              <w:left w:val="nil"/>
              <w:bottom w:val="nil"/>
              <w:right w:val="nil"/>
            </w:tcBorders>
            <w:noWrap/>
            <w:vAlign w:val="bottom"/>
            <w:hideMark/>
          </w:tcPr>
          <w:p w14:paraId="55076A5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Noruega</w:t>
            </w:r>
          </w:p>
        </w:tc>
        <w:tc>
          <w:tcPr>
            <w:tcW w:w="0" w:type="auto"/>
            <w:tcBorders>
              <w:top w:val="nil"/>
              <w:left w:val="nil"/>
              <w:bottom w:val="nil"/>
              <w:right w:val="nil"/>
            </w:tcBorders>
            <w:noWrap/>
            <w:vAlign w:val="bottom"/>
            <w:hideMark/>
          </w:tcPr>
          <w:p w14:paraId="188705B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Orfjord</w:t>
            </w:r>
          </w:p>
        </w:tc>
        <w:tc>
          <w:tcPr>
            <w:tcW w:w="0" w:type="auto"/>
            <w:tcBorders>
              <w:top w:val="nil"/>
              <w:left w:val="nil"/>
              <w:bottom w:val="nil"/>
              <w:right w:val="nil"/>
            </w:tcBorders>
            <w:noWrap/>
            <w:vAlign w:val="bottom"/>
            <w:hideMark/>
          </w:tcPr>
          <w:p w14:paraId="0EF1FD5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AT000NOR00012</w:t>
            </w:r>
          </w:p>
        </w:tc>
      </w:tr>
      <w:tr w:rsidR="00C27D6A" w:rsidRPr="00DC75CC" w14:paraId="0AA81EC4" w14:textId="77777777" w:rsidTr="00C75467">
        <w:trPr>
          <w:trHeight w:val="288"/>
          <w:tblHeader/>
          <w:jc w:val="center"/>
        </w:trPr>
        <w:tc>
          <w:tcPr>
            <w:tcW w:w="0" w:type="auto"/>
            <w:tcBorders>
              <w:top w:val="nil"/>
              <w:left w:val="nil"/>
              <w:bottom w:val="nil"/>
              <w:right w:val="nil"/>
            </w:tcBorders>
            <w:noWrap/>
            <w:vAlign w:val="bottom"/>
            <w:hideMark/>
          </w:tcPr>
          <w:p w14:paraId="1610E3B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Noruega</w:t>
            </w:r>
          </w:p>
        </w:tc>
        <w:tc>
          <w:tcPr>
            <w:tcW w:w="0" w:type="auto"/>
            <w:tcBorders>
              <w:top w:val="nil"/>
              <w:left w:val="nil"/>
              <w:bottom w:val="nil"/>
              <w:right w:val="nil"/>
            </w:tcBorders>
            <w:noWrap/>
            <w:vAlign w:val="bottom"/>
            <w:hideMark/>
          </w:tcPr>
          <w:p w14:paraId="20FBD55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M/S Sjarmør</w:t>
            </w:r>
          </w:p>
        </w:tc>
        <w:tc>
          <w:tcPr>
            <w:tcW w:w="0" w:type="auto"/>
            <w:tcBorders>
              <w:top w:val="nil"/>
              <w:left w:val="nil"/>
              <w:bottom w:val="nil"/>
              <w:right w:val="nil"/>
            </w:tcBorders>
            <w:noWrap/>
            <w:vAlign w:val="bottom"/>
            <w:hideMark/>
          </w:tcPr>
          <w:p w14:paraId="783454DA"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AT000NOR00019</w:t>
            </w:r>
          </w:p>
        </w:tc>
      </w:tr>
      <w:tr w:rsidR="00C27D6A" w:rsidRPr="00DC75CC" w14:paraId="72469741" w14:textId="77777777" w:rsidTr="00C75467">
        <w:trPr>
          <w:trHeight w:val="288"/>
          <w:tblHeader/>
          <w:jc w:val="center"/>
        </w:trPr>
        <w:tc>
          <w:tcPr>
            <w:tcW w:w="0" w:type="auto"/>
            <w:tcBorders>
              <w:top w:val="nil"/>
              <w:left w:val="nil"/>
              <w:bottom w:val="nil"/>
              <w:right w:val="nil"/>
            </w:tcBorders>
            <w:noWrap/>
            <w:vAlign w:val="bottom"/>
            <w:hideMark/>
          </w:tcPr>
          <w:p w14:paraId="6EB10A8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Noruega</w:t>
            </w:r>
          </w:p>
        </w:tc>
        <w:tc>
          <w:tcPr>
            <w:tcW w:w="0" w:type="auto"/>
            <w:tcBorders>
              <w:top w:val="nil"/>
              <w:left w:val="nil"/>
              <w:bottom w:val="nil"/>
              <w:right w:val="nil"/>
            </w:tcBorders>
            <w:noWrap/>
            <w:vAlign w:val="bottom"/>
            <w:hideMark/>
          </w:tcPr>
          <w:p w14:paraId="18ED1E1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Spjæringen</w:t>
            </w:r>
          </w:p>
        </w:tc>
        <w:tc>
          <w:tcPr>
            <w:tcW w:w="0" w:type="auto"/>
            <w:tcBorders>
              <w:top w:val="nil"/>
              <w:left w:val="nil"/>
              <w:bottom w:val="nil"/>
              <w:right w:val="nil"/>
            </w:tcBorders>
            <w:noWrap/>
            <w:vAlign w:val="bottom"/>
            <w:hideMark/>
          </w:tcPr>
          <w:p w14:paraId="5BA8B57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AT000NOR00018</w:t>
            </w:r>
          </w:p>
        </w:tc>
      </w:tr>
      <w:tr w:rsidR="00C27D6A" w:rsidRPr="00DC75CC" w14:paraId="770B7344" w14:textId="77777777" w:rsidTr="00C75467">
        <w:trPr>
          <w:trHeight w:val="288"/>
          <w:tblHeader/>
          <w:jc w:val="center"/>
        </w:trPr>
        <w:tc>
          <w:tcPr>
            <w:tcW w:w="0" w:type="auto"/>
            <w:tcBorders>
              <w:top w:val="nil"/>
              <w:left w:val="nil"/>
              <w:bottom w:val="nil"/>
              <w:right w:val="nil"/>
            </w:tcBorders>
            <w:noWrap/>
            <w:vAlign w:val="bottom"/>
            <w:hideMark/>
          </w:tcPr>
          <w:p w14:paraId="1925909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512829E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Hassene</w:t>
            </w:r>
          </w:p>
        </w:tc>
        <w:tc>
          <w:tcPr>
            <w:tcW w:w="0" w:type="auto"/>
            <w:tcBorders>
              <w:top w:val="nil"/>
              <w:left w:val="nil"/>
              <w:bottom w:val="nil"/>
              <w:right w:val="nil"/>
            </w:tcBorders>
            <w:noWrap/>
            <w:vAlign w:val="bottom"/>
            <w:hideMark/>
          </w:tcPr>
          <w:p w14:paraId="0CDC35DF"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AT000TUN00008</w:t>
            </w:r>
          </w:p>
        </w:tc>
      </w:tr>
      <w:tr w:rsidR="00C27D6A" w:rsidRPr="00DC75CC" w14:paraId="7C937BF1" w14:textId="77777777" w:rsidTr="00C75467">
        <w:trPr>
          <w:trHeight w:val="288"/>
          <w:tblHeader/>
          <w:jc w:val="center"/>
        </w:trPr>
        <w:tc>
          <w:tcPr>
            <w:tcW w:w="0" w:type="auto"/>
            <w:tcBorders>
              <w:top w:val="nil"/>
              <w:left w:val="nil"/>
              <w:bottom w:val="nil"/>
              <w:right w:val="nil"/>
            </w:tcBorders>
            <w:noWrap/>
            <w:vAlign w:val="bottom"/>
            <w:hideMark/>
          </w:tcPr>
          <w:p w14:paraId="0D51EDF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1B22024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ELHORCHANI</w:t>
            </w:r>
          </w:p>
        </w:tc>
        <w:tc>
          <w:tcPr>
            <w:tcW w:w="0" w:type="auto"/>
            <w:tcBorders>
              <w:top w:val="nil"/>
              <w:left w:val="nil"/>
              <w:bottom w:val="nil"/>
              <w:right w:val="nil"/>
            </w:tcBorders>
            <w:noWrap/>
            <w:vAlign w:val="bottom"/>
            <w:hideMark/>
          </w:tcPr>
          <w:p w14:paraId="02BF365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AT000TUN00009</w:t>
            </w:r>
          </w:p>
        </w:tc>
      </w:tr>
      <w:tr w:rsidR="00C27D6A" w:rsidRPr="00DC75CC" w14:paraId="7CE62B4B" w14:textId="77777777" w:rsidTr="00C75467">
        <w:trPr>
          <w:trHeight w:val="288"/>
          <w:tblHeader/>
          <w:jc w:val="center"/>
        </w:trPr>
        <w:tc>
          <w:tcPr>
            <w:tcW w:w="0" w:type="auto"/>
            <w:tcBorders>
              <w:top w:val="nil"/>
              <w:left w:val="nil"/>
              <w:bottom w:val="nil"/>
              <w:right w:val="nil"/>
            </w:tcBorders>
            <w:noWrap/>
            <w:vAlign w:val="bottom"/>
            <w:hideMark/>
          </w:tcPr>
          <w:p w14:paraId="4106C77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3C1DDA0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Imen</w:t>
            </w:r>
          </w:p>
        </w:tc>
        <w:tc>
          <w:tcPr>
            <w:tcW w:w="0" w:type="auto"/>
            <w:tcBorders>
              <w:top w:val="nil"/>
              <w:left w:val="nil"/>
              <w:bottom w:val="nil"/>
              <w:right w:val="nil"/>
            </w:tcBorders>
            <w:noWrap/>
            <w:vAlign w:val="bottom"/>
            <w:hideMark/>
          </w:tcPr>
          <w:p w14:paraId="6042C756"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AT000TUN00010</w:t>
            </w:r>
          </w:p>
        </w:tc>
      </w:tr>
      <w:tr w:rsidR="00C27D6A" w:rsidRPr="00DC75CC" w14:paraId="55CCC245" w14:textId="77777777" w:rsidTr="00C75467">
        <w:trPr>
          <w:trHeight w:val="288"/>
          <w:tblHeader/>
          <w:jc w:val="center"/>
        </w:trPr>
        <w:tc>
          <w:tcPr>
            <w:tcW w:w="0" w:type="auto"/>
            <w:tcBorders>
              <w:top w:val="nil"/>
              <w:left w:val="nil"/>
              <w:bottom w:val="nil"/>
              <w:right w:val="nil"/>
            </w:tcBorders>
            <w:noWrap/>
            <w:vAlign w:val="bottom"/>
            <w:hideMark/>
          </w:tcPr>
          <w:p w14:paraId="2517E28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2059CEF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Jamel</w:t>
            </w:r>
          </w:p>
        </w:tc>
        <w:tc>
          <w:tcPr>
            <w:tcW w:w="0" w:type="auto"/>
            <w:tcBorders>
              <w:top w:val="nil"/>
              <w:left w:val="nil"/>
              <w:bottom w:val="nil"/>
              <w:right w:val="nil"/>
            </w:tcBorders>
            <w:noWrap/>
            <w:vAlign w:val="bottom"/>
            <w:hideMark/>
          </w:tcPr>
          <w:p w14:paraId="30660B50"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AT000TUN00011</w:t>
            </w:r>
          </w:p>
        </w:tc>
      </w:tr>
      <w:tr w:rsidR="00C27D6A" w:rsidRPr="00DC75CC" w14:paraId="2662769D" w14:textId="77777777" w:rsidTr="00C75467">
        <w:trPr>
          <w:trHeight w:val="288"/>
          <w:tblHeader/>
          <w:jc w:val="center"/>
        </w:trPr>
        <w:tc>
          <w:tcPr>
            <w:tcW w:w="0" w:type="auto"/>
            <w:tcBorders>
              <w:top w:val="nil"/>
              <w:left w:val="nil"/>
              <w:bottom w:val="nil"/>
              <w:right w:val="nil"/>
            </w:tcBorders>
            <w:noWrap/>
            <w:vAlign w:val="bottom"/>
            <w:hideMark/>
          </w:tcPr>
          <w:p w14:paraId="2B45B27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2BDCAAE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MOHAMED ADEM</w:t>
            </w:r>
          </w:p>
        </w:tc>
        <w:tc>
          <w:tcPr>
            <w:tcW w:w="0" w:type="auto"/>
            <w:tcBorders>
              <w:top w:val="nil"/>
              <w:left w:val="nil"/>
              <w:bottom w:val="nil"/>
              <w:right w:val="nil"/>
            </w:tcBorders>
            <w:noWrap/>
            <w:vAlign w:val="bottom"/>
            <w:hideMark/>
          </w:tcPr>
          <w:p w14:paraId="4B94CBFD"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AT000TUN00012</w:t>
            </w:r>
          </w:p>
        </w:tc>
      </w:tr>
      <w:tr w:rsidR="00C27D6A" w:rsidRPr="00DC75CC" w14:paraId="1F9403AC" w14:textId="77777777" w:rsidTr="00C75467">
        <w:trPr>
          <w:trHeight w:val="288"/>
          <w:tblHeader/>
          <w:jc w:val="center"/>
        </w:trPr>
        <w:tc>
          <w:tcPr>
            <w:tcW w:w="0" w:type="auto"/>
            <w:tcBorders>
              <w:top w:val="nil"/>
              <w:left w:val="nil"/>
              <w:bottom w:val="nil"/>
              <w:right w:val="nil"/>
            </w:tcBorders>
            <w:noWrap/>
            <w:vAlign w:val="bottom"/>
            <w:hideMark/>
          </w:tcPr>
          <w:p w14:paraId="2A6D266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3865F35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Mabrouk</w:t>
            </w:r>
          </w:p>
        </w:tc>
        <w:tc>
          <w:tcPr>
            <w:tcW w:w="0" w:type="auto"/>
            <w:tcBorders>
              <w:top w:val="nil"/>
              <w:left w:val="nil"/>
              <w:bottom w:val="nil"/>
              <w:right w:val="nil"/>
            </w:tcBorders>
            <w:noWrap/>
            <w:vAlign w:val="bottom"/>
            <w:hideMark/>
          </w:tcPr>
          <w:p w14:paraId="3A35088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AT000TUN00015</w:t>
            </w:r>
          </w:p>
        </w:tc>
      </w:tr>
      <w:tr w:rsidR="00C27D6A" w:rsidRPr="00DC75CC" w14:paraId="7A4793ED" w14:textId="77777777" w:rsidTr="00C75467">
        <w:trPr>
          <w:trHeight w:val="288"/>
          <w:tblHeader/>
          <w:jc w:val="center"/>
        </w:trPr>
        <w:tc>
          <w:tcPr>
            <w:tcW w:w="0" w:type="auto"/>
            <w:tcBorders>
              <w:top w:val="nil"/>
              <w:left w:val="nil"/>
              <w:bottom w:val="nil"/>
              <w:right w:val="nil"/>
            </w:tcBorders>
            <w:noWrap/>
            <w:vAlign w:val="bottom"/>
            <w:hideMark/>
          </w:tcPr>
          <w:p w14:paraId="0C5DA9E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004C33F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Sallem</w:t>
            </w:r>
          </w:p>
        </w:tc>
        <w:tc>
          <w:tcPr>
            <w:tcW w:w="0" w:type="auto"/>
            <w:tcBorders>
              <w:top w:val="nil"/>
              <w:left w:val="nil"/>
              <w:bottom w:val="nil"/>
              <w:right w:val="nil"/>
            </w:tcBorders>
            <w:noWrap/>
            <w:vAlign w:val="bottom"/>
            <w:hideMark/>
          </w:tcPr>
          <w:p w14:paraId="0672B99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AT000TUN00023</w:t>
            </w:r>
          </w:p>
        </w:tc>
      </w:tr>
      <w:tr w:rsidR="00C27D6A" w:rsidRPr="00DC75CC" w14:paraId="20DFFB18" w14:textId="77777777" w:rsidTr="00C75467">
        <w:trPr>
          <w:trHeight w:val="288"/>
          <w:tblHeader/>
          <w:jc w:val="center"/>
        </w:trPr>
        <w:tc>
          <w:tcPr>
            <w:tcW w:w="0" w:type="auto"/>
            <w:tcBorders>
              <w:top w:val="nil"/>
              <w:left w:val="nil"/>
              <w:bottom w:val="nil"/>
              <w:right w:val="nil"/>
            </w:tcBorders>
            <w:noWrap/>
            <w:vAlign w:val="bottom"/>
            <w:hideMark/>
          </w:tcPr>
          <w:p w14:paraId="2702D5C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32D035E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Tapsus</w:t>
            </w:r>
          </w:p>
        </w:tc>
        <w:tc>
          <w:tcPr>
            <w:tcW w:w="0" w:type="auto"/>
            <w:tcBorders>
              <w:top w:val="nil"/>
              <w:left w:val="nil"/>
              <w:bottom w:val="nil"/>
              <w:right w:val="nil"/>
            </w:tcBorders>
            <w:noWrap/>
            <w:vAlign w:val="bottom"/>
            <w:hideMark/>
          </w:tcPr>
          <w:p w14:paraId="78B05CA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AT000TUN00024</w:t>
            </w:r>
          </w:p>
        </w:tc>
      </w:tr>
      <w:tr w:rsidR="00C27D6A" w:rsidRPr="00DC75CC" w14:paraId="26DE94CC" w14:textId="77777777" w:rsidTr="00C75467">
        <w:trPr>
          <w:trHeight w:val="288"/>
          <w:tblHeader/>
          <w:jc w:val="center"/>
        </w:trPr>
        <w:tc>
          <w:tcPr>
            <w:tcW w:w="0" w:type="auto"/>
            <w:tcBorders>
              <w:top w:val="nil"/>
              <w:left w:val="nil"/>
              <w:bottom w:val="nil"/>
              <w:right w:val="nil"/>
            </w:tcBorders>
            <w:noWrap/>
            <w:vAlign w:val="bottom"/>
            <w:hideMark/>
          </w:tcPr>
          <w:p w14:paraId="4BB07BA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4C843E0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Hadj Mokhtar</w:t>
            </w:r>
          </w:p>
        </w:tc>
        <w:tc>
          <w:tcPr>
            <w:tcW w:w="0" w:type="auto"/>
            <w:tcBorders>
              <w:top w:val="nil"/>
              <w:left w:val="nil"/>
              <w:bottom w:val="nil"/>
              <w:right w:val="nil"/>
            </w:tcBorders>
            <w:noWrap/>
            <w:vAlign w:val="bottom"/>
            <w:hideMark/>
          </w:tcPr>
          <w:p w14:paraId="084DAC7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AT000TUN00025</w:t>
            </w:r>
          </w:p>
        </w:tc>
      </w:tr>
      <w:tr w:rsidR="00C27D6A" w:rsidRPr="00DC75CC" w14:paraId="62CCC40B" w14:textId="77777777" w:rsidTr="00C75467">
        <w:trPr>
          <w:trHeight w:val="288"/>
          <w:tblHeader/>
          <w:jc w:val="center"/>
        </w:trPr>
        <w:tc>
          <w:tcPr>
            <w:tcW w:w="0" w:type="auto"/>
            <w:tcBorders>
              <w:top w:val="nil"/>
              <w:left w:val="nil"/>
              <w:bottom w:val="nil"/>
              <w:right w:val="nil"/>
            </w:tcBorders>
            <w:noWrap/>
            <w:vAlign w:val="bottom"/>
            <w:hideMark/>
          </w:tcPr>
          <w:p w14:paraId="43FF0CB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2A984BB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Tijani</w:t>
            </w:r>
          </w:p>
        </w:tc>
        <w:tc>
          <w:tcPr>
            <w:tcW w:w="0" w:type="auto"/>
            <w:tcBorders>
              <w:top w:val="nil"/>
              <w:left w:val="nil"/>
              <w:bottom w:val="nil"/>
              <w:right w:val="nil"/>
            </w:tcBorders>
            <w:noWrap/>
            <w:vAlign w:val="bottom"/>
            <w:hideMark/>
          </w:tcPr>
          <w:p w14:paraId="2F9E310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AT000TUN00026</w:t>
            </w:r>
          </w:p>
        </w:tc>
      </w:tr>
      <w:tr w:rsidR="00C27D6A" w:rsidRPr="00DC75CC" w14:paraId="43639F7B" w14:textId="77777777" w:rsidTr="00C75467">
        <w:trPr>
          <w:trHeight w:val="288"/>
          <w:tblHeader/>
          <w:jc w:val="center"/>
        </w:trPr>
        <w:tc>
          <w:tcPr>
            <w:tcW w:w="0" w:type="auto"/>
            <w:tcBorders>
              <w:top w:val="nil"/>
              <w:left w:val="nil"/>
              <w:bottom w:val="nil"/>
              <w:right w:val="nil"/>
            </w:tcBorders>
            <w:noWrap/>
            <w:vAlign w:val="bottom"/>
            <w:hideMark/>
          </w:tcPr>
          <w:p w14:paraId="6489D1A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163CF6F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Ghedir El Gholla</w:t>
            </w:r>
          </w:p>
        </w:tc>
        <w:tc>
          <w:tcPr>
            <w:tcW w:w="0" w:type="auto"/>
            <w:tcBorders>
              <w:top w:val="nil"/>
              <w:left w:val="nil"/>
              <w:bottom w:val="nil"/>
              <w:right w:val="nil"/>
            </w:tcBorders>
            <w:noWrap/>
            <w:vAlign w:val="bottom"/>
            <w:hideMark/>
          </w:tcPr>
          <w:p w14:paraId="3BDA5E6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AT000TUN00030</w:t>
            </w:r>
          </w:p>
        </w:tc>
      </w:tr>
      <w:tr w:rsidR="00C27D6A" w:rsidRPr="00DC75CC" w14:paraId="7B19CF5A" w14:textId="77777777" w:rsidTr="00C75467">
        <w:trPr>
          <w:trHeight w:val="288"/>
          <w:tblHeader/>
          <w:jc w:val="center"/>
        </w:trPr>
        <w:tc>
          <w:tcPr>
            <w:tcW w:w="0" w:type="auto"/>
            <w:tcBorders>
              <w:top w:val="nil"/>
              <w:left w:val="nil"/>
              <w:bottom w:val="nil"/>
              <w:right w:val="nil"/>
            </w:tcBorders>
            <w:noWrap/>
            <w:vAlign w:val="bottom"/>
            <w:hideMark/>
          </w:tcPr>
          <w:p w14:paraId="5FEA0F4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31589EE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Ghali</w:t>
            </w:r>
          </w:p>
        </w:tc>
        <w:tc>
          <w:tcPr>
            <w:tcW w:w="0" w:type="auto"/>
            <w:tcBorders>
              <w:top w:val="nil"/>
              <w:left w:val="nil"/>
              <w:bottom w:val="nil"/>
              <w:right w:val="nil"/>
            </w:tcBorders>
            <w:noWrap/>
            <w:vAlign w:val="bottom"/>
            <w:hideMark/>
          </w:tcPr>
          <w:p w14:paraId="2FD4359F"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AT000TUN00036</w:t>
            </w:r>
          </w:p>
        </w:tc>
      </w:tr>
      <w:tr w:rsidR="00C27D6A" w:rsidRPr="00DC75CC" w14:paraId="4207A972" w14:textId="77777777" w:rsidTr="00C75467">
        <w:trPr>
          <w:trHeight w:val="288"/>
          <w:tblHeader/>
          <w:jc w:val="center"/>
        </w:trPr>
        <w:tc>
          <w:tcPr>
            <w:tcW w:w="0" w:type="auto"/>
            <w:tcBorders>
              <w:top w:val="nil"/>
              <w:left w:val="nil"/>
              <w:bottom w:val="nil"/>
              <w:right w:val="nil"/>
            </w:tcBorders>
            <w:noWrap/>
            <w:vAlign w:val="bottom"/>
            <w:hideMark/>
          </w:tcPr>
          <w:p w14:paraId="2834B18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088C197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Ibn Rachiq</w:t>
            </w:r>
          </w:p>
        </w:tc>
        <w:tc>
          <w:tcPr>
            <w:tcW w:w="0" w:type="auto"/>
            <w:tcBorders>
              <w:top w:val="nil"/>
              <w:left w:val="nil"/>
              <w:bottom w:val="nil"/>
              <w:right w:val="nil"/>
            </w:tcBorders>
            <w:noWrap/>
            <w:vAlign w:val="bottom"/>
            <w:hideMark/>
          </w:tcPr>
          <w:p w14:paraId="01B96FE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AT000TUN00037</w:t>
            </w:r>
          </w:p>
        </w:tc>
      </w:tr>
      <w:tr w:rsidR="00C27D6A" w:rsidRPr="00DC75CC" w14:paraId="5E692E3E" w14:textId="77777777" w:rsidTr="00C75467">
        <w:trPr>
          <w:trHeight w:val="288"/>
          <w:tblHeader/>
          <w:jc w:val="center"/>
        </w:trPr>
        <w:tc>
          <w:tcPr>
            <w:tcW w:w="0" w:type="auto"/>
            <w:tcBorders>
              <w:top w:val="nil"/>
              <w:left w:val="nil"/>
              <w:bottom w:val="nil"/>
              <w:right w:val="nil"/>
            </w:tcBorders>
            <w:noWrap/>
            <w:vAlign w:val="bottom"/>
            <w:hideMark/>
          </w:tcPr>
          <w:p w14:paraId="3AFC45C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7B0E633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YOUSRI</w:t>
            </w:r>
          </w:p>
        </w:tc>
        <w:tc>
          <w:tcPr>
            <w:tcW w:w="0" w:type="auto"/>
            <w:tcBorders>
              <w:top w:val="nil"/>
              <w:left w:val="nil"/>
              <w:bottom w:val="nil"/>
              <w:right w:val="nil"/>
            </w:tcBorders>
            <w:noWrap/>
            <w:vAlign w:val="bottom"/>
            <w:hideMark/>
          </w:tcPr>
          <w:p w14:paraId="7202544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AT000TUN00040</w:t>
            </w:r>
          </w:p>
        </w:tc>
      </w:tr>
      <w:tr w:rsidR="00C27D6A" w:rsidRPr="00DC75CC" w14:paraId="25215E92" w14:textId="77777777" w:rsidTr="00C75467">
        <w:trPr>
          <w:trHeight w:val="288"/>
          <w:tblHeader/>
          <w:jc w:val="center"/>
        </w:trPr>
        <w:tc>
          <w:tcPr>
            <w:tcW w:w="0" w:type="auto"/>
            <w:tcBorders>
              <w:top w:val="nil"/>
              <w:left w:val="nil"/>
              <w:bottom w:val="nil"/>
              <w:right w:val="nil"/>
            </w:tcBorders>
            <w:noWrap/>
            <w:vAlign w:val="bottom"/>
            <w:hideMark/>
          </w:tcPr>
          <w:p w14:paraId="041FEEB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5816D04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Jannet 2</w:t>
            </w:r>
          </w:p>
        </w:tc>
        <w:tc>
          <w:tcPr>
            <w:tcW w:w="0" w:type="auto"/>
            <w:tcBorders>
              <w:top w:val="nil"/>
              <w:left w:val="nil"/>
              <w:bottom w:val="nil"/>
              <w:right w:val="nil"/>
            </w:tcBorders>
            <w:noWrap/>
            <w:vAlign w:val="bottom"/>
            <w:hideMark/>
          </w:tcPr>
          <w:p w14:paraId="7E412B26"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AT000TUN00044</w:t>
            </w:r>
          </w:p>
        </w:tc>
      </w:tr>
      <w:tr w:rsidR="00C27D6A" w:rsidRPr="00DC75CC" w14:paraId="5917851E" w14:textId="77777777" w:rsidTr="00C75467">
        <w:trPr>
          <w:trHeight w:val="288"/>
          <w:tblHeader/>
          <w:jc w:val="center"/>
        </w:trPr>
        <w:tc>
          <w:tcPr>
            <w:tcW w:w="0" w:type="auto"/>
            <w:tcBorders>
              <w:top w:val="nil"/>
              <w:left w:val="nil"/>
              <w:bottom w:val="nil"/>
              <w:right w:val="nil"/>
            </w:tcBorders>
            <w:noWrap/>
            <w:vAlign w:val="bottom"/>
            <w:hideMark/>
          </w:tcPr>
          <w:p w14:paraId="0C35D3F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08127FA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Jawhar</w:t>
            </w:r>
          </w:p>
        </w:tc>
        <w:tc>
          <w:tcPr>
            <w:tcW w:w="0" w:type="auto"/>
            <w:tcBorders>
              <w:top w:val="nil"/>
              <w:left w:val="nil"/>
              <w:bottom w:val="nil"/>
              <w:right w:val="nil"/>
            </w:tcBorders>
            <w:noWrap/>
            <w:vAlign w:val="bottom"/>
            <w:hideMark/>
          </w:tcPr>
          <w:p w14:paraId="48B81557"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AT000TUN00046</w:t>
            </w:r>
          </w:p>
        </w:tc>
      </w:tr>
      <w:tr w:rsidR="00C27D6A" w:rsidRPr="00DC75CC" w14:paraId="05BE9FD6" w14:textId="77777777" w:rsidTr="00C75467">
        <w:trPr>
          <w:trHeight w:val="288"/>
          <w:tblHeader/>
          <w:jc w:val="center"/>
        </w:trPr>
        <w:tc>
          <w:tcPr>
            <w:tcW w:w="0" w:type="auto"/>
            <w:tcBorders>
              <w:top w:val="nil"/>
              <w:left w:val="nil"/>
              <w:bottom w:val="nil"/>
              <w:right w:val="nil"/>
            </w:tcBorders>
            <w:noWrap/>
            <w:vAlign w:val="bottom"/>
            <w:hideMark/>
          </w:tcPr>
          <w:p w14:paraId="765AB9E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119B6D6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 Houssain</w:t>
            </w:r>
          </w:p>
        </w:tc>
        <w:tc>
          <w:tcPr>
            <w:tcW w:w="0" w:type="auto"/>
            <w:tcBorders>
              <w:top w:val="nil"/>
              <w:left w:val="nil"/>
              <w:bottom w:val="nil"/>
              <w:right w:val="nil"/>
            </w:tcBorders>
            <w:noWrap/>
            <w:vAlign w:val="bottom"/>
            <w:hideMark/>
          </w:tcPr>
          <w:p w14:paraId="12C0B3C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AT000TUN00049</w:t>
            </w:r>
          </w:p>
        </w:tc>
      </w:tr>
      <w:tr w:rsidR="00C27D6A" w:rsidRPr="00DC75CC" w14:paraId="1347DA31" w14:textId="77777777" w:rsidTr="00C75467">
        <w:trPr>
          <w:trHeight w:val="288"/>
          <w:tblHeader/>
          <w:jc w:val="center"/>
        </w:trPr>
        <w:tc>
          <w:tcPr>
            <w:tcW w:w="0" w:type="auto"/>
            <w:tcBorders>
              <w:top w:val="nil"/>
              <w:left w:val="nil"/>
              <w:bottom w:val="nil"/>
              <w:right w:val="nil"/>
            </w:tcBorders>
            <w:noWrap/>
            <w:vAlign w:val="bottom"/>
            <w:hideMark/>
          </w:tcPr>
          <w:p w14:paraId="7D06787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7C48F92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Futuro 1</w:t>
            </w:r>
          </w:p>
        </w:tc>
        <w:tc>
          <w:tcPr>
            <w:tcW w:w="0" w:type="auto"/>
            <w:tcBorders>
              <w:top w:val="nil"/>
              <w:left w:val="nil"/>
              <w:bottom w:val="nil"/>
              <w:right w:val="nil"/>
            </w:tcBorders>
            <w:noWrap/>
            <w:vAlign w:val="bottom"/>
            <w:hideMark/>
          </w:tcPr>
          <w:p w14:paraId="168BFBC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AT000TUN00065</w:t>
            </w:r>
          </w:p>
        </w:tc>
      </w:tr>
      <w:tr w:rsidR="00C27D6A" w:rsidRPr="00DC75CC" w14:paraId="27479F85" w14:textId="77777777" w:rsidTr="00C75467">
        <w:trPr>
          <w:trHeight w:val="288"/>
          <w:tblHeader/>
          <w:jc w:val="center"/>
        </w:trPr>
        <w:tc>
          <w:tcPr>
            <w:tcW w:w="0" w:type="auto"/>
            <w:tcBorders>
              <w:top w:val="nil"/>
              <w:left w:val="nil"/>
              <w:bottom w:val="nil"/>
              <w:right w:val="nil"/>
            </w:tcBorders>
            <w:noWrap/>
            <w:vAlign w:val="bottom"/>
            <w:hideMark/>
          </w:tcPr>
          <w:p w14:paraId="468A40C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40E4B86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Hadj Ahmed</w:t>
            </w:r>
          </w:p>
        </w:tc>
        <w:tc>
          <w:tcPr>
            <w:tcW w:w="0" w:type="auto"/>
            <w:tcBorders>
              <w:top w:val="nil"/>
              <w:left w:val="nil"/>
              <w:bottom w:val="nil"/>
              <w:right w:val="nil"/>
            </w:tcBorders>
            <w:noWrap/>
            <w:vAlign w:val="bottom"/>
            <w:hideMark/>
          </w:tcPr>
          <w:p w14:paraId="2182857C"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AT000TUN00070</w:t>
            </w:r>
          </w:p>
        </w:tc>
      </w:tr>
      <w:tr w:rsidR="00C27D6A" w:rsidRPr="00DC75CC" w14:paraId="1690F39F" w14:textId="77777777" w:rsidTr="00C75467">
        <w:trPr>
          <w:trHeight w:val="288"/>
          <w:tblHeader/>
          <w:jc w:val="center"/>
        </w:trPr>
        <w:tc>
          <w:tcPr>
            <w:tcW w:w="0" w:type="auto"/>
            <w:tcBorders>
              <w:top w:val="nil"/>
              <w:left w:val="nil"/>
              <w:bottom w:val="nil"/>
              <w:right w:val="nil"/>
            </w:tcBorders>
            <w:noWrap/>
            <w:vAlign w:val="bottom"/>
            <w:hideMark/>
          </w:tcPr>
          <w:p w14:paraId="01BF710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285F1C5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RAFRAF II</w:t>
            </w:r>
          </w:p>
        </w:tc>
        <w:tc>
          <w:tcPr>
            <w:tcW w:w="0" w:type="auto"/>
            <w:tcBorders>
              <w:top w:val="nil"/>
              <w:left w:val="nil"/>
              <w:bottom w:val="nil"/>
              <w:right w:val="nil"/>
            </w:tcBorders>
            <w:noWrap/>
            <w:vAlign w:val="bottom"/>
            <w:hideMark/>
          </w:tcPr>
          <w:p w14:paraId="63CEFB70"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AT000TUN01165</w:t>
            </w:r>
          </w:p>
        </w:tc>
      </w:tr>
      <w:tr w:rsidR="00C27D6A" w:rsidRPr="00DC75CC" w14:paraId="351B77E2" w14:textId="77777777" w:rsidTr="00C75467">
        <w:trPr>
          <w:trHeight w:val="288"/>
          <w:tblHeader/>
          <w:jc w:val="center"/>
        </w:trPr>
        <w:tc>
          <w:tcPr>
            <w:tcW w:w="0" w:type="auto"/>
            <w:tcBorders>
              <w:top w:val="nil"/>
              <w:left w:val="nil"/>
              <w:bottom w:val="nil"/>
              <w:right w:val="nil"/>
            </w:tcBorders>
            <w:noWrap/>
            <w:vAlign w:val="bottom"/>
            <w:hideMark/>
          </w:tcPr>
          <w:p w14:paraId="51DEDED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6E18EF1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 xml:space="preserve">WASSIM </w:t>
            </w:r>
          </w:p>
        </w:tc>
        <w:tc>
          <w:tcPr>
            <w:tcW w:w="0" w:type="auto"/>
            <w:tcBorders>
              <w:top w:val="nil"/>
              <w:left w:val="nil"/>
              <w:bottom w:val="nil"/>
              <w:right w:val="nil"/>
            </w:tcBorders>
            <w:noWrap/>
            <w:vAlign w:val="bottom"/>
            <w:hideMark/>
          </w:tcPr>
          <w:p w14:paraId="4D9A577F"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AT000TUN01050</w:t>
            </w:r>
          </w:p>
        </w:tc>
      </w:tr>
      <w:tr w:rsidR="00C27D6A" w:rsidRPr="00DC75CC" w14:paraId="54979794" w14:textId="77777777" w:rsidTr="00C75467">
        <w:trPr>
          <w:trHeight w:val="288"/>
          <w:tblHeader/>
          <w:jc w:val="center"/>
        </w:trPr>
        <w:tc>
          <w:tcPr>
            <w:tcW w:w="0" w:type="auto"/>
            <w:tcBorders>
              <w:top w:val="nil"/>
              <w:left w:val="nil"/>
              <w:bottom w:val="nil"/>
              <w:right w:val="nil"/>
            </w:tcBorders>
            <w:noWrap/>
            <w:vAlign w:val="bottom"/>
            <w:hideMark/>
          </w:tcPr>
          <w:p w14:paraId="79D2DD4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29801E9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RIADH</w:t>
            </w:r>
          </w:p>
        </w:tc>
        <w:tc>
          <w:tcPr>
            <w:tcW w:w="0" w:type="auto"/>
            <w:tcBorders>
              <w:top w:val="nil"/>
              <w:left w:val="nil"/>
              <w:bottom w:val="nil"/>
              <w:right w:val="nil"/>
            </w:tcBorders>
            <w:noWrap/>
            <w:vAlign w:val="bottom"/>
            <w:hideMark/>
          </w:tcPr>
          <w:p w14:paraId="3322AEC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AT000TUN00495</w:t>
            </w:r>
          </w:p>
        </w:tc>
      </w:tr>
      <w:tr w:rsidR="00C27D6A" w:rsidRPr="00DC75CC" w14:paraId="0E6A864F" w14:textId="77777777" w:rsidTr="00C75467">
        <w:trPr>
          <w:trHeight w:val="288"/>
          <w:tblHeader/>
          <w:jc w:val="center"/>
        </w:trPr>
        <w:tc>
          <w:tcPr>
            <w:tcW w:w="0" w:type="auto"/>
            <w:tcBorders>
              <w:top w:val="nil"/>
              <w:left w:val="nil"/>
              <w:bottom w:val="nil"/>
              <w:right w:val="nil"/>
            </w:tcBorders>
            <w:noWrap/>
            <w:vAlign w:val="bottom"/>
            <w:hideMark/>
          </w:tcPr>
          <w:p w14:paraId="569EE4B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28B8A25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ZIED</w:t>
            </w:r>
          </w:p>
        </w:tc>
        <w:tc>
          <w:tcPr>
            <w:tcW w:w="0" w:type="auto"/>
            <w:tcBorders>
              <w:top w:val="nil"/>
              <w:left w:val="nil"/>
              <w:bottom w:val="nil"/>
              <w:right w:val="nil"/>
            </w:tcBorders>
            <w:noWrap/>
            <w:vAlign w:val="bottom"/>
            <w:hideMark/>
          </w:tcPr>
          <w:p w14:paraId="4E397C8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AT000TUN00496</w:t>
            </w:r>
          </w:p>
        </w:tc>
      </w:tr>
      <w:tr w:rsidR="00C27D6A" w:rsidRPr="00DC75CC" w14:paraId="531D82F7" w14:textId="77777777" w:rsidTr="00C75467">
        <w:trPr>
          <w:trHeight w:val="288"/>
          <w:tblHeader/>
          <w:jc w:val="center"/>
        </w:trPr>
        <w:tc>
          <w:tcPr>
            <w:tcW w:w="0" w:type="auto"/>
            <w:tcBorders>
              <w:top w:val="nil"/>
              <w:left w:val="nil"/>
              <w:bottom w:val="nil"/>
              <w:right w:val="nil"/>
            </w:tcBorders>
            <w:noWrap/>
            <w:vAlign w:val="bottom"/>
            <w:hideMark/>
          </w:tcPr>
          <w:p w14:paraId="27AF3A9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0866E3E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Fakhreddine Errazi II</w:t>
            </w:r>
          </w:p>
        </w:tc>
        <w:tc>
          <w:tcPr>
            <w:tcW w:w="0" w:type="auto"/>
            <w:tcBorders>
              <w:top w:val="nil"/>
              <w:left w:val="nil"/>
              <w:bottom w:val="nil"/>
              <w:right w:val="nil"/>
            </w:tcBorders>
            <w:noWrap/>
            <w:vAlign w:val="bottom"/>
            <w:hideMark/>
          </w:tcPr>
          <w:p w14:paraId="6E411DB4"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AT000TUN00975</w:t>
            </w:r>
          </w:p>
        </w:tc>
      </w:tr>
      <w:tr w:rsidR="00C27D6A" w:rsidRPr="00DC75CC" w14:paraId="5B1B49B6" w14:textId="77777777" w:rsidTr="00C75467">
        <w:trPr>
          <w:trHeight w:val="288"/>
          <w:tblHeader/>
          <w:jc w:val="center"/>
        </w:trPr>
        <w:tc>
          <w:tcPr>
            <w:tcW w:w="0" w:type="auto"/>
            <w:tcBorders>
              <w:top w:val="nil"/>
              <w:left w:val="nil"/>
              <w:bottom w:val="nil"/>
              <w:right w:val="nil"/>
            </w:tcBorders>
            <w:noWrap/>
            <w:vAlign w:val="bottom"/>
            <w:hideMark/>
          </w:tcPr>
          <w:p w14:paraId="2E36323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70325FA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 xml:space="preserve">MABROUKA </w:t>
            </w:r>
          </w:p>
        </w:tc>
        <w:tc>
          <w:tcPr>
            <w:tcW w:w="0" w:type="auto"/>
            <w:tcBorders>
              <w:top w:val="nil"/>
              <w:left w:val="nil"/>
              <w:bottom w:val="nil"/>
              <w:right w:val="nil"/>
            </w:tcBorders>
            <w:noWrap/>
            <w:vAlign w:val="bottom"/>
            <w:hideMark/>
          </w:tcPr>
          <w:p w14:paraId="578D199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AT000TUN00980</w:t>
            </w:r>
          </w:p>
        </w:tc>
      </w:tr>
      <w:tr w:rsidR="00C27D6A" w:rsidRPr="00DC75CC" w14:paraId="69137A60" w14:textId="77777777" w:rsidTr="00C75467">
        <w:trPr>
          <w:trHeight w:val="288"/>
          <w:tblHeader/>
          <w:jc w:val="center"/>
        </w:trPr>
        <w:tc>
          <w:tcPr>
            <w:tcW w:w="0" w:type="auto"/>
            <w:tcBorders>
              <w:top w:val="nil"/>
              <w:left w:val="nil"/>
              <w:bottom w:val="nil"/>
              <w:right w:val="nil"/>
            </w:tcBorders>
            <w:noWrap/>
            <w:vAlign w:val="bottom"/>
            <w:hideMark/>
          </w:tcPr>
          <w:p w14:paraId="40E7AA2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127673C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HAJ ISSAOUI</w:t>
            </w:r>
          </w:p>
        </w:tc>
        <w:tc>
          <w:tcPr>
            <w:tcW w:w="0" w:type="auto"/>
            <w:tcBorders>
              <w:top w:val="nil"/>
              <w:left w:val="nil"/>
              <w:bottom w:val="nil"/>
              <w:right w:val="nil"/>
            </w:tcBorders>
            <w:noWrap/>
            <w:vAlign w:val="bottom"/>
            <w:hideMark/>
          </w:tcPr>
          <w:p w14:paraId="65437CB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AT000TUN00987</w:t>
            </w:r>
          </w:p>
        </w:tc>
      </w:tr>
      <w:tr w:rsidR="00C27D6A" w:rsidRPr="00DC75CC" w14:paraId="1B91EC33" w14:textId="77777777" w:rsidTr="00C75467">
        <w:trPr>
          <w:trHeight w:val="288"/>
          <w:tblHeader/>
          <w:jc w:val="center"/>
        </w:trPr>
        <w:tc>
          <w:tcPr>
            <w:tcW w:w="0" w:type="auto"/>
            <w:tcBorders>
              <w:top w:val="nil"/>
              <w:left w:val="nil"/>
              <w:bottom w:val="nil"/>
              <w:right w:val="nil"/>
            </w:tcBorders>
            <w:noWrap/>
            <w:vAlign w:val="bottom"/>
            <w:hideMark/>
          </w:tcPr>
          <w:p w14:paraId="2B4A9A2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6809A05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HADJ ALI III</w:t>
            </w:r>
          </w:p>
        </w:tc>
        <w:tc>
          <w:tcPr>
            <w:tcW w:w="0" w:type="auto"/>
            <w:tcBorders>
              <w:top w:val="nil"/>
              <w:left w:val="nil"/>
              <w:bottom w:val="nil"/>
              <w:right w:val="nil"/>
            </w:tcBorders>
            <w:noWrap/>
            <w:vAlign w:val="bottom"/>
            <w:hideMark/>
          </w:tcPr>
          <w:p w14:paraId="5459FED4"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AT000TUN00988</w:t>
            </w:r>
          </w:p>
        </w:tc>
      </w:tr>
      <w:tr w:rsidR="00C27D6A" w:rsidRPr="00DC75CC" w14:paraId="6FF6B4CD" w14:textId="77777777" w:rsidTr="00C75467">
        <w:trPr>
          <w:trHeight w:val="288"/>
          <w:tblHeader/>
          <w:jc w:val="center"/>
        </w:trPr>
        <w:tc>
          <w:tcPr>
            <w:tcW w:w="0" w:type="auto"/>
            <w:tcBorders>
              <w:top w:val="nil"/>
              <w:left w:val="nil"/>
              <w:bottom w:val="nil"/>
              <w:right w:val="nil"/>
            </w:tcBorders>
            <w:noWrap/>
            <w:vAlign w:val="bottom"/>
            <w:hideMark/>
          </w:tcPr>
          <w:p w14:paraId="481F2A8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6EB0751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Rais Ezzi</w:t>
            </w:r>
          </w:p>
        </w:tc>
        <w:tc>
          <w:tcPr>
            <w:tcW w:w="0" w:type="auto"/>
            <w:tcBorders>
              <w:top w:val="nil"/>
              <w:left w:val="nil"/>
              <w:bottom w:val="nil"/>
              <w:right w:val="nil"/>
            </w:tcBorders>
            <w:noWrap/>
            <w:vAlign w:val="bottom"/>
            <w:hideMark/>
          </w:tcPr>
          <w:p w14:paraId="02897FC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AT000TUN01383</w:t>
            </w:r>
          </w:p>
        </w:tc>
      </w:tr>
      <w:tr w:rsidR="00C27D6A" w:rsidRPr="00DC75CC" w14:paraId="00908769" w14:textId="77777777" w:rsidTr="00C75467">
        <w:trPr>
          <w:trHeight w:val="288"/>
          <w:tblHeader/>
          <w:jc w:val="center"/>
        </w:trPr>
        <w:tc>
          <w:tcPr>
            <w:tcW w:w="0" w:type="auto"/>
            <w:tcBorders>
              <w:top w:val="nil"/>
              <w:left w:val="nil"/>
              <w:bottom w:val="nil"/>
              <w:right w:val="nil"/>
            </w:tcBorders>
            <w:noWrap/>
            <w:vAlign w:val="bottom"/>
            <w:hideMark/>
          </w:tcPr>
          <w:p w14:paraId="6683045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4B49CBA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Hadj Hedi</w:t>
            </w:r>
          </w:p>
        </w:tc>
        <w:tc>
          <w:tcPr>
            <w:tcW w:w="0" w:type="auto"/>
            <w:tcBorders>
              <w:top w:val="nil"/>
              <w:left w:val="nil"/>
              <w:bottom w:val="nil"/>
              <w:right w:val="nil"/>
            </w:tcBorders>
            <w:noWrap/>
            <w:vAlign w:val="bottom"/>
            <w:hideMark/>
          </w:tcPr>
          <w:p w14:paraId="6915B36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AT000TUN01384</w:t>
            </w:r>
          </w:p>
        </w:tc>
      </w:tr>
      <w:tr w:rsidR="00C27D6A" w:rsidRPr="00DC75CC" w14:paraId="0FD35E61" w14:textId="77777777" w:rsidTr="00C75467">
        <w:trPr>
          <w:trHeight w:val="288"/>
          <w:tblHeader/>
          <w:jc w:val="center"/>
        </w:trPr>
        <w:tc>
          <w:tcPr>
            <w:tcW w:w="0" w:type="auto"/>
            <w:tcBorders>
              <w:top w:val="nil"/>
              <w:left w:val="nil"/>
              <w:bottom w:val="nil"/>
              <w:right w:val="nil"/>
            </w:tcBorders>
            <w:noWrap/>
            <w:vAlign w:val="bottom"/>
            <w:hideMark/>
          </w:tcPr>
          <w:p w14:paraId="43A7667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0812BA3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SANGHO II</w:t>
            </w:r>
          </w:p>
        </w:tc>
        <w:tc>
          <w:tcPr>
            <w:tcW w:w="0" w:type="auto"/>
            <w:tcBorders>
              <w:top w:val="nil"/>
              <w:left w:val="nil"/>
              <w:bottom w:val="nil"/>
              <w:right w:val="nil"/>
            </w:tcBorders>
            <w:noWrap/>
            <w:vAlign w:val="bottom"/>
            <w:hideMark/>
          </w:tcPr>
          <w:p w14:paraId="517EFD97"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AT000TUN01432</w:t>
            </w:r>
          </w:p>
        </w:tc>
      </w:tr>
      <w:tr w:rsidR="00C27D6A" w:rsidRPr="00DC75CC" w14:paraId="41A995D2" w14:textId="77777777" w:rsidTr="00C75467">
        <w:trPr>
          <w:trHeight w:val="288"/>
          <w:tblHeader/>
          <w:jc w:val="center"/>
        </w:trPr>
        <w:tc>
          <w:tcPr>
            <w:tcW w:w="0" w:type="auto"/>
            <w:tcBorders>
              <w:top w:val="nil"/>
              <w:left w:val="nil"/>
              <w:bottom w:val="nil"/>
              <w:right w:val="nil"/>
            </w:tcBorders>
            <w:noWrap/>
            <w:vAlign w:val="bottom"/>
            <w:hideMark/>
          </w:tcPr>
          <w:p w14:paraId="3AD85E8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19AEDF6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Meimoun</w:t>
            </w:r>
          </w:p>
        </w:tc>
        <w:tc>
          <w:tcPr>
            <w:tcW w:w="0" w:type="auto"/>
            <w:tcBorders>
              <w:top w:val="nil"/>
              <w:left w:val="nil"/>
              <w:bottom w:val="nil"/>
              <w:right w:val="nil"/>
            </w:tcBorders>
            <w:noWrap/>
            <w:vAlign w:val="bottom"/>
            <w:hideMark/>
          </w:tcPr>
          <w:p w14:paraId="64BCFFA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AT000TUN00048</w:t>
            </w:r>
          </w:p>
        </w:tc>
      </w:tr>
      <w:tr w:rsidR="00C27D6A" w:rsidRPr="00DC75CC" w14:paraId="3338EBCD" w14:textId="77777777" w:rsidTr="00C75467">
        <w:trPr>
          <w:trHeight w:val="288"/>
          <w:tblHeader/>
          <w:jc w:val="center"/>
        </w:trPr>
        <w:tc>
          <w:tcPr>
            <w:tcW w:w="0" w:type="auto"/>
            <w:tcBorders>
              <w:top w:val="nil"/>
              <w:left w:val="nil"/>
              <w:bottom w:val="nil"/>
              <w:right w:val="nil"/>
            </w:tcBorders>
            <w:noWrap/>
            <w:vAlign w:val="bottom"/>
            <w:hideMark/>
          </w:tcPr>
          <w:p w14:paraId="21E56A7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793119A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 Habib</w:t>
            </w:r>
          </w:p>
        </w:tc>
        <w:tc>
          <w:tcPr>
            <w:tcW w:w="0" w:type="auto"/>
            <w:tcBorders>
              <w:top w:val="nil"/>
              <w:left w:val="nil"/>
              <w:bottom w:val="nil"/>
              <w:right w:val="nil"/>
            </w:tcBorders>
            <w:noWrap/>
            <w:vAlign w:val="bottom"/>
            <w:hideMark/>
          </w:tcPr>
          <w:p w14:paraId="6BB25377"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AT000TUN01430</w:t>
            </w:r>
          </w:p>
        </w:tc>
      </w:tr>
      <w:tr w:rsidR="00C27D6A" w:rsidRPr="00DC75CC" w14:paraId="509C9A9B" w14:textId="77777777" w:rsidTr="00C75467">
        <w:trPr>
          <w:trHeight w:val="288"/>
          <w:tblHeader/>
          <w:jc w:val="center"/>
        </w:trPr>
        <w:tc>
          <w:tcPr>
            <w:tcW w:w="0" w:type="auto"/>
            <w:tcBorders>
              <w:top w:val="nil"/>
              <w:left w:val="nil"/>
              <w:bottom w:val="nil"/>
              <w:right w:val="nil"/>
            </w:tcBorders>
            <w:noWrap/>
            <w:vAlign w:val="bottom"/>
            <w:hideMark/>
          </w:tcPr>
          <w:p w14:paraId="29BADCC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00B4BF2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Hadj Elhedi</w:t>
            </w:r>
          </w:p>
        </w:tc>
        <w:tc>
          <w:tcPr>
            <w:tcW w:w="0" w:type="auto"/>
            <w:tcBorders>
              <w:top w:val="nil"/>
              <w:left w:val="nil"/>
              <w:bottom w:val="nil"/>
              <w:right w:val="nil"/>
            </w:tcBorders>
            <w:noWrap/>
            <w:vAlign w:val="bottom"/>
            <w:hideMark/>
          </w:tcPr>
          <w:p w14:paraId="3116BEA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AT000TUN00007</w:t>
            </w:r>
          </w:p>
        </w:tc>
      </w:tr>
      <w:tr w:rsidR="00C27D6A" w:rsidRPr="00DC75CC" w14:paraId="095BE01D" w14:textId="77777777" w:rsidTr="00C75467">
        <w:trPr>
          <w:trHeight w:val="288"/>
          <w:tblHeader/>
          <w:jc w:val="center"/>
        </w:trPr>
        <w:tc>
          <w:tcPr>
            <w:tcW w:w="0" w:type="auto"/>
            <w:tcBorders>
              <w:top w:val="nil"/>
              <w:left w:val="nil"/>
              <w:bottom w:val="nil"/>
              <w:right w:val="nil"/>
            </w:tcBorders>
            <w:noWrap/>
            <w:vAlign w:val="bottom"/>
            <w:hideMark/>
          </w:tcPr>
          <w:p w14:paraId="22E4096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2149BBE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Mohamed essadok</w:t>
            </w:r>
          </w:p>
        </w:tc>
        <w:tc>
          <w:tcPr>
            <w:tcW w:w="0" w:type="auto"/>
            <w:tcBorders>
              <w:top w:val="nil"/>
              <w:left w:val="nil"/>
              <w:bottom w:val="nil"/>
              <w:right w:val="nil"/>
            </w:tcBorders>
            <w:noWrap/>
            <w:vAlign w:val="bottom"/>
            <w:hideMark/>
          </w:tcPr>
          <w:p w14:paraId="24B9DCE4"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AT000TUN00051</w:t>
            </w:r>
          </w:p>
        </w:tc>
      </w:tr>
      <w:tr w:rsidR="00C27D6A" w:rsidRPr="00DC75CC" w14:paraId="7C3EAAC0" w14:textId="77777777" w:rsidTr="00C75467">
        <w:trPr>
          <w:trHeight w:val="288"/>
          <w:tblHeader/>
          <w:jc w:val="center"/>
        </w:trPr>
        <w:tc>
          <w:tcPr>
            <w:tcW w:w="0" w:type="auto"/>
            <w:tcBorders>
              <w:top w:val="nil"/>
              <w:left w:val="nil"/>
              <w:bottom w:val="nil"/>
              <w:right w:val="nil"/>
            </w:tcBorders>
            <w:noWrap/>
            <w:vAlign w:val="bottom"/>
            <w:hideMark/>
          </w:tcPr>
          <w:p w14:paraId="24B15E6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437E584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Denphir 1</w:t>
            </w:r>
          </w:p>
        </w:tc>
        <w:tc>
          <w:tcPr>
            <w:tcW w:w="0" w:type="auto"/>
            <w:tcBorders>
              <w:top w:val="nil"/>
              <w:left w:val="nil"/>
              <w:bottom w:val="nil"/>
              <w:right w:val="nil"/>
            </w:tcBorders>
            <w:noWrap/>
            <w:vAlign w:val="bottom"/>
            <w:hideMark/>
          </w:tcPr>
          <w:p w14:paraId="610E4A20"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AT000TUN00479</w:t>
            </w:r>
          </w:p>
        </w:tc>
      </w:tr>
      <w:tr w:rsidR="00C27D6A" w:rsidRPr="00DC75CC" w14:paraId="2A74708A" w14:textId="77777777" w:rsidTr="00C75467">
        <w:trPr>
          <w:trHeight w:val="288"/>
          <w:tblHeader/>
          <w:jc w:val="center"/>
        </w:trPr>
        <w:tc>
          <w:tcPr>
            <w:tcW w:w="0" w:type="auto"/>
            <w:tcBorders>
              <w:top w:val="nil"/>
              <w:left w:val="nil"/>
              <w:bottom w:val="nil"/>
              <w:right w:val="nil"/>
            </w:tcBorders>
            <w:noWrap/>
            <w:vAlign w:val="bottom"/>
            <w:hideMark/>
          </w:tcPr>
          <w:p w14:paraId="0B2994F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554596E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Mohamed Ali</w:t>
            </w:r>
          </w:p>
        </w:tc>
        <w:tc>
          <w:tcPr>
            <w:tcW w:w="0" w:type="auto"/>
            <w:tcBorders>
              <w:top w:val="nil"/>
              <w:left w:val="nil"/>
              <w:bottom w:val="nil"/>
              <w:right w:val="nil"/>
            </w:tcBorders>
            <w:noWrap/>
            <w:vAlign w:val="bottom"/>
            <w:hideMark/>
          </w:tcPr>
          <w:p w14:paraId="69BA484C"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AT000TUN00973</w:t>
            </w:r>
          </w:p>
        </w:tc>
      </w:tr>
      <w:tr w:rsidR="00C27D6A" w:rsidRPr="00DC75CC" w14:paraId="2308E933" w14:textId="77777777" w:rsidTr="00C75467">
        <w:trPr>
          <w:trHeight w:val="288"/>
          <w:tblHeader/>
          <w:jc w:val="center"/>
        </w:trPr>
        <w:tc>
          <w:tcPr>
            <w:tcW w:w="0" w:type="auto"/>
            <w:tcBorders>
              <w:top w:val="nil"/>
              <w:left w:val="nil"/>
              <w:bottom w:val="nil"/>
              <w:right w:val="nil"/>
            </w:tcBorders>
            <w:noWrap/>
            <w:vAlign w:val="bottom"/>
            <w:hideMark/>
          </w:tcPr>
          <w:p w14:paraId="500E2B4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4AA052F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AWLED SAHBI</w:t>
            </w:r>
          </w:p>
        </w:tc>
        <w:tc>
          <w:tcPr>
            <w:tcW w:w="0" w:type="auto"/>
            <w:tcBorders>
              <w:top w:val="nil"/>
              <w:left w:val="nil"/>
              <w:bottom w:val="nil"/>
              <w:right w:val="nil"/>
            </w:tcBorders>
            <w:noWrap/>
            <w:vAlign w:val="bottom"/>
            <w:hideMark/>
          </w:tcPr>
          <w:p w14:paraId="039C6CDC"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AT000TUN00977</w:t>
            </w:r>
          </w:p>
        </w:tc>
      </w:tr>
      <w:tr w:rsidR="00C27D6A" w:rsidRPr="00DC75CC" w14:paraId="1E8773D4" w14:textId="77777777" w:rsidTr="00C75467">
        <w:trPr>
          <w:trHeight w:val="288"/>
          <w:tblHeader/>
          <w:jc w:val="center"/>
        </w:trPr>
        <w:tc>
          <w:tcPr>
            <w:tcW w:w="0" w:type="auto"/>
            <w:tcBorders>
              <w:top w:val="nil"/>
              <w:left w:val="nil"/>
              <w:bottom w:val="nil"/>
              <w:right w:val="nil"/>
            </w:tcBorders>
            <w:noWrap/>
            <w:vAlign w:val="bottom"/>
            <w:hideMark/>
          </w:tcPr>
          <w:p w14:paraId="27E702A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645C775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 KODS</w:t>
            </w:r>
          </w:p>
        </w:tc>
        <w:tc>
          <w:tcPr>
            <w:tcW w:w="0" w:type="auto"/>
            <w:tcBorders>
              <w:top w:val="nil"/>
              <w:left w:val="nil"/>
              <w:bottom w:val="nil"/>
              <w:right w:val="nil"/>
            </w:tcBorders>
            <w:noWrap/>
            <w:vAlign w:val="bottom"/>
            <w:hideMark/>
          </w:tcPr>
          <w:p w14:paraId="4A5AF57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AT000TUN00978</w:t>
            </w:r>
          </w:p>
        </w:tc>
      </w:tr>
      <w:tr w:rsidR="00C27D6A" w:rsidRPr="00DC75CC" w14:paraId="0F0DE6B9" w14:textId="77777777" w:rsidTr="00C75467">
        <w:trPr>
          <w:trHeight w:val="288"/>
          <w:tblHeader/>
          <w:jc w:val="center"/>
        </w:trPr>
        <w:tc>
          <w:tcPr>
            <w:tcW w:w="0" w:type="auto"/>
            <w:tcBorders>
              <w:top w:val="nil"/>
              <w:left w:val="nil"/>
              <w:bottom w:val="nil"/>
              <w:right w:val="nil"/>
            </w:tcBorders>
            <w:noWrap/>
            <w:vAlign w:val="bottom"/>
            <w:hideMark/>
          </w:tcPr>
          <w:p w14:paraId="4D735C3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5DA484E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 Hajj EL Hammali</w:t>
            </w:r>
          </w:p>
        </w:tc>
        <w:tc>
          <w:tcPr>
            <w:tcW w:w="0" w:type="auto"/>
            <w:tcBorders>
              <w:top w:val="nil"/>
              <w:left w:val="nil"/>
              <w:bottom w:val="nil"/>
              <w:right w:val="nil"/>
            </w:tcBorders>
            <w:noWrap/>
            <w:vAlign w:val="bottom"/>
            <w:hideMark/>
          </w:tcPr>
          <w:p w14:paraId="0B8BD8E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AT000TUN00979</w:t>
            </w:r>
          </w:p>
        </w:tc>
      </w:tr>
      <w:tr w:rsidR="00C27D6A" w:rsidRPr="00DC75CC" w14:paraId="7E6FFA49" w14:textId="77777777" w:rsidTr="00C75467">
        <w:trPr>
          <w:trHeight w:val="288"/>
          <w:tblHeader/>
          <w:jc w:val="center"/>
        </w:trPr>
        <w:tc>
          <w:tcPr>
            <w:tcW w:w="0" w:type="auto"/>
            <w:tcBorders>
              <w:top w:val="nil"/>
              <w:left w:val="nil"/>
              <w:bottom w:val="nil"/>
              <w:right w:val="nil"/>
            </w:tcBorders>
            <w:noWrap/>
            <w:vAlign w:val="bottom"/>
            <w:hideMark/>
          </w:tcPr>
          <w:p w14:paraId="23590CE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2A505DD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Mohamed Slim 2</w:t>
            </w:r>
          </w:p>
        </w:tc>
        <w:tc>
          <w:tcPr>
            <w:tcW w:w="0" w:type="auto"/>
            <w:tcBorders>
              <w:top w:val="nil"/>
              <w:left w:val="nil"/>
              <w:bottom w:val="nil"/>
              <w:right w:val="nil"/>
            </w:tcBorders>
            <w:noWrap/>
            <w:vAlign w:val="bottom"/>
            <w:hideMark/>
          </w:tcPr>
          <w:p w14:paraId="682C16B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AT000TUN00983</w:t>
            </w:r>
          </w:p>
        </w:tc>
      </w:tr>
      <w:tr w:rsidR="00C27D6A" w:rsidRPr="00DC75CC" w14:paraId="3086B702" w14:textId="77777777" w:rsidTr="00C75467">
        <w:trPr>
          <w:trHeight w:val="288"/>
          <w:tblHeader/>
          <w:jc w:val="center"/>
        </w:trPr>
        <w:tc>
          <w:tcPr>
            <w:tcW w:w="0" w:type="auto"/>
            <w:tcBorders>
              <w:top w:val="nil"/>
              <w:left w:val="nil"/>
              <w:bottom w:val="nil"/>
              <w:right w:val="nil"/>
            </w:tcBorders>
            <w:noWrap/>
            <w:vAlign w:val="bottom"/>
            <w:hideMark/>
          </w:tcPr>
          <w:p w14:paraId="28E1CF3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79D80F6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ABDERRAHIM</w:t>
            </w:r>
          </w:p>
        </w:tc>
        <w:tc>
          <w:tcPr>
            <w:tcW w:w="0" w:type="auto"/>
            <w:tcBorders>
              <w:top w:val="nil"/>
              <w:left w:val="nil"/>
              <w:bottom w:val="nil"/>
              <w:right w:val="nil"/>
            </w:tcBorders>
            <w:noWrap/>
            <w:vAlign w:val="bottom"/>
            <w:hideMark/>
          </w:tcPr>
          <w:p w14:paraId="70D4D89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AT000TUN01166</w:t>
            </w:r>
          </w:p>
        </w:tc>
      </w:tr>
      <w:tr w:rsidR="00C27D6A" w:rsidRPr="00DC75CC" w14:paraId="5AFD8B10" w14:textId="77777777" w:rsidTr="00C75467">
        <w:trPr>
          <w:trHeight w:val="288"/>
          <w:tblHeader/>
          <w:jc w:val="center"/>
        </w:trPr>
        <w:tc>
          <w:tcPr>
            <w:tcW w:w="0" w:type="auto"/>
            <w:tcBorders>
              <w:top w:val="nil"/>
              <w:left w:val="nil"/>
              <w:bottom w:val="nil"/>
              <w:right w:val="nil"/>
            </w:tcBorders>
            <w:noWrap/>
            <w:vAlign w:val="bottom"/>
            <w:hideMark/>
          </w:tcPr>
          <w:p w14:paraId="3B27959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78A21E0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Rachid Naceur</w:t>
            </w:r>
          </w:p>
        </w:tc>
        <w:tc>
          <w:tcPr>
            <w:tcW w:w="0" w:type="auto"/>
            <w:tcBorders>
              <w:top w:val="nil"/>
              <w:left w:val="nil"/>
              <w:bottom w:val="nil"/>
              <w:right w:val="nil"/>
            </w:tcBorders>
            <w:noWrap/>
            <w:vAlign w:val="bottom"/>
            <w:hideMark/>
          </w:tcPr>
          <w:p w14:paraId="7E674636"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AT000TUN01385</w:t>
            </w:r>
          </w:p>
        </w:tc>
      </w:tr>
      <w:tr w:rsidR="00C27D6A" w:rsidRPr="00DC75CC" w14:paraId="10AD412E" w14:textId="77777777" w:rsidTr="00C75467">
        <w:trPr>
          <w:trHeight w:val="288"/>
          <w:tblHeader/>
          <w:jc w:val="center"/>
        </w:trPr>
        <w:tc>
          <w:tcPr>
            <w:tcW w:w="0" w:type="auto"/>
            <w:tcBorders>
              <w:top w:val="nil"/>
              <w:left w:val="nil"/>
              <w:bottom w:val="nil"/>
              <w:right w:val="nil"/>
            </w:tcBorders>
            <w:noWrap/>
            <w:vAlign w:val="bottom"/>
            <w:hideMark/>
          </w:tcPr>
          <w:p w14:paraId="4BCCD1F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0BA07CF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 xml:space="preserve">DOUAA ALLAH </w:t>
            </w:r>
          </w:p>
        </w:tc>
        <w:tc>
          <w:tcPr>
            <w:tcW w:w="0" w:type="auto"/>
            <w:tcBorders>
              <w:top w:val="nil"/>
              <w:left w:val="nil"/>
              <w:bottom w:val="nil"/>
              <w:right w:val="nil"/>
            </w:tcBorders>
            <w:noWrap/>
            <w:vAlign w:val="bottom"/>
            <w:hideMark/>
          </w:tcPr>
          <w:p w14:paraId="26E740CA"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AT000TUN00976</w:t>
            </w:r>
          </w:p>
        </w:tc>
      </w:tr>
      <w:tr w:rsidR="00C27D6A" w:rsidRPr="00DC75CC" w14:paraId="78DDA043" w14:textId="77777777" w:rsidTr="00C75467">
        <w:trPr>
          <w:trHeight w:val="288"/>
          <w:tblHeader/>
          <w:jc w:val="center"/>
        </w:trPr>
        <w:tc>
          <w:tcPr>
            <w:tcW w:w="0" w:type="auto"/>
            <w:tcBorders>
              <w:top w:val="nil"/>
              <w:left w:val="nil"/>
              <w:bottom w:val="nil"/>
              <w:right w:val="nil"/>
            </w:tcBorders>
            <w:noWrap/>
            <w:vAlign w:val="bottom"/>
            <w:hideMark/>
          </w:tcPr>
          <w:p w14:paraId="61AA333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597C877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MOHAMED ZIED II</w:t>
            </w:r>
          </w:p>
        </w:tc>
        <w:tc>
          <w:tcPr>
            <w:tcW w:w="0" w:type="auto"/>
            <w:tcBorders>
              <w:top w:val="nil"/>
              <w:left w:val="nil"/>
              <w:bottom w:val="nil"/>
              <w:right w:val="nil"/>
            </w:tcBorders>
            <w:noWrap/>
            <w:vAlign w:val="bottom"/>
            <w:hideMark/>
          </w:tcPr>
          <w:p w14:paraId="1965FE6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AT000TUN01433</w:t>
            </w:r>
          </w:p>
        </w:tc>
      </w:tr>
      <w:tr w:rsidR="00C27D6A" w:rsidRPr="00DC75CC" w14:paraId="79FF343B" w14:textId="77777777" w:rsidTr="00C75467">
        <w:trPr>
          <w:trHeight w:val="288"/>
          <w:tblHeader/>
          <w:jc w:val="center"/>
        </w:trPr>
        <w:tc>
          <w:tcPr>
            <w:tcW w:w="0" w:type="auto"/>
            <w:tcBorders>
              <w:top w:val="nil"/>
              <w:left w:val="nil"/>
              <w:bottom w:val="nil"/>
              <w:right w:val="nil"/>
            </w:tcBorders>
            <w:noWrap/>
            <w:vAlign w:val="bottom"/>
            <w:hideMark/>
          </w:tcPr>
          <w:p w14:paraId="695A2B4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433BA6F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MOHAMED AZIZ</w:t>
            </w:r>
          </w:p>
        </w:tc>
        <w:tc>
          <w:tcPr>
            <w:tcW w:w="0" w:type="auto"/>
            <w:tcBorders>
              <w:top w:val="nil"/>
              <w:left w:val="nil"/>
              <w:bottom w:val="nil"/>
              <w:right w:val="nil"/>
            </w:tcBorders>
            <w:noWrap/>
            <w:vAlign w:val="bottom"/>
            <w:hideMark/>
          </w:tcPr>
          <w:p w14:paraId="628095C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AT000TUN01431</w:t>
            </w:r>
          </w:p>
        </w:tc>
      </w:tr>
      <w:tr w:rsidR="00C27D6A" w:rsidRPr="00DC75CC" w14:paraId="2034E4FA" w14:textId="77777777" w:rsidTr="00C75467">
        <w:trPr>
          <w:trHeight w:val="288"/>
          <w:tblHeader/>
          <w:jc w:val="center"/>
        </w:trPr>
        <w:tc>
          <w:tcPr>
            <w:tcW w:w="0" w:type="auto"/>
            <w:tcBorders>
              <w:top w:val="nil"/>
              <w:left w:val="nil"/>
              <w:bottom w:val="nil"/>
              <w:right w:val="nil"/>
            </w:tcBorders>
            <w:noWrap/>
            <w:vAlign w:val="bottom"/>
            <w:hideMark/>
          </w:tcPr>
          <w:p w14:paraId="4E83B11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2D2CE04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ABDERRAHMEN</w:t>
            </w:r>
          </w:p>
        </w:tc>
        <w:tc>
          <w:tcPr>
            <w:tcW w:w="0" w:type="auto"/>
            <w:tcBorders>
              <w:top w:val="nil"/>
              <w:left w:val="nil"/>
              <w:bottom w:val="nil"/>
              <w:right w:val="nil"/>
            </w:tcBorders>
            <w:noWrap/>
            <w:vAlign w:val="bottom"/>
            <w:hideMark/>
          </w:tcPr>
          <w:p w14:paraId="2DA4A40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AT000TUN00047</w:t>
            </w:r>
          </w:p>
        </w:tc>
      </w:tr>
      <w:tr w:rsidR="00C27D6A" w:rsidRPr="00DC75CC" w14:paraId="7CAD20ED" w14:textId="77777777" w:rsidTr="00C75467">
        <w:trPr>
          <w:trHeight w:val="288"/>
          <w:tblHeader/>
          <w:jc w:val="center"/>
        </w:trPr>
        <w:tc>
          <w:tcPr>
            <w:tcW w:w="0" w:type="auto"/>
            <w:tcBorders>
              <w:top w:val="nil"/>
              <w:left w:val="nil"/>
              <w:bottom w:val="nil"/>
              <w:right w:val="nil"/>
            </w:tcBorders>
            <w:noWrap/>
            <w:vAlign w:val="bottom"/>
            <w:hideMark/>
          </w:tcPr>
          <w:p w14:paraId="2841152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63D533D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ABOU CHAMMA</w:t>
            </w:r>
          </w:p>
        </w:tc>
        <w:tc>
          <w:tcPr>
            <w:tcW w:w="0" w:type="auto"/>
            <w:tcBorders>
              <w:top w:val="nil"/>
              <w:left w:val="nil"/>
              <w:bottom w:val="nil"/>
              <w:right w:val="nil"/>
            </w:tcBorders>
            <w:noWrap/>
            <w:vAlign w:val="bottom"/>
            <w:hideMark/>
          </w:tcPr>
          <w:p w14:paraId="05327B34"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AT000TUN00002</w:t>
            </w:r>
          </w:p>
        </w:tc>
      </w:tr>
      <w:tr w:rsidR="00C27D6A" w:rsidRPr="00DC75CC" w14:paraId="756B832F" w14:textId="77777777" w:rsidTr="00C75467">
        <w:trPr>
          <w:trHeight w:val="288"/>
          <w:tblHeader/>
          <w:jc w:val="center"/>
        </w:trPr>
        <w:tc>
          <w:tcPr>
            <w:tcW w:w="0" w:type="auto"/>
            <w:tcBorders>
              <w:top w:val="nil"/>
              <w:left w:val="nil"/>
              <w:bottom w:val="nil"/>
              <w:right w:val="nil"/>
            </w:tcBorders>
            <w:noWrap/>
            <w:vAlign w:val="bottom"/>
            <w:hideMark/>
          </w:tcPr>
          <w:p w14:paraId="18D5164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41C4E7D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AMIR</w:t>
            </w:r>
          </w:p>
        </w:tc>
        <w:tc>
          <w:tcPr>
            <w:tcW w:w="0" w:type="auto"/>
            <w:tcBorders>
              <w:top w:val="nil"/>
              <w:left w:val="nil"/>
              <w:bottom w:val="nil"/>
              <w:right w:val="nil"/>
            </w:tcBorders>
            <w:noWrap/>
            <w:vAlign w:val="bottom"/>
            <w:hideMark/>
          </w:tcPr>
          <w:p w14:paraId="39FE8CC7"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AT000TUN00506</w:t>
            </w:r>
          </w:p>
        </w:tc>
      </w:tr>
      <w:tr w:rsidR="00C27D6A" w:rsidRPr="00DC75CC" w14:paraId="50AC9A1A" w14:textId="77777777" w:rsidTr="00C75467">
        <w:trPr>
          <w:trHeight w:val="288"/>
          <w:tblHeader/>
          <w:jc w:val="center"/>
        </w:trPr>
        <w:tc>
          <w:tcPr>
            <w:tcW w:w="0" w:type="auto"/>
            <w:tcBorders>
              <w:top w:val="nil"/>
              <w:left w:val="nil"/>
              <w:bottom w:val="nil"/>
              <w:right w:val="nil"/>
            </w:tcBorders>
            <w:noWrap/>
            <w:vAlign w:val="bottom"/>
            <w:hideMark/>
          </w:tcPr>
          <w:p w14:paraId="38949A8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37FA3CC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AMOR HMIDA</w:t>
            </w:r>
          </w:p>
        </w:tc>
        <w:tc>
          <w:tcPr>
            <w:tcW w:w="0" w:type="auto"/>
            <w:tcBorders>
              <w:top w:val="nil"/>
              <w:left w:val="nil"/>
              <w:bottom w:val="nil"/>
              <w:right w:val="nil"/>
            </w:tcBorders>
            <w:noWrap/>
            <w:vAlign w:val="bottom"/>
            <w:hideMark/>
          </w:tcPr>
          <w:p w14:paraId="15FAC6E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AT000TUN01415</w:t>
            </w:r>
          </w:p>
        </w:tc>
      </w:tr>
      <w:tr w:rsidR="00C27D6A" w:rsidRPr="00DC75CC" w14:paraId="2B66D327" w14:textId="77777777" w:rsidTr="00C75467">
        <w:trPr>
          <w:trHeight w:val="288"/>
          <w:tblHeader/>
          <w:jc w:val="center"/>
        </w:trPr>
        <w:tc>
          <w:tcPr>
            <w:tcW w:w="0" w:type="auto"/>
            <w:tcBorders>
              <w:top w:val="nil"/>
              <w:left w:val="nil"/>
              <w:bottom w:val="nil"/>
              <w:right w:val="nil"/>
            </w:tcBorders>
            <w:noWrap/>
            <w:vAlign w:val="bottom"/>
            <w:hideMark/>
          </w:tcPr>
          <w:p w14:paraId="08A0B4A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183F696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MONASTIR 3</w:t>
            </w:r>
          </w:p>
        </w:tc>
        <w:tc>
          <w:tcPr>
            <w:tcW w:w="0" w:type="auto"/>
            <w:tcBorders>
              <w:top w:val="nil"/>
              <w:left w:val="nil"/>
              <w:bottom w:val="nil"/>
              <w:right w:val="nil"/>
            </w:tcBorders>
            <w:noWrap/>
            <w:vAlign w:val="bottom"/>
            <w:hideMark/>
          </w:tcPr>
          <w:p w14:paraId="53BA414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AT000TUN00041</w:t>
            </w:r>
          </w:p>
        </w:tc>
      </w:tr>
      <w:tr w:rsidR="00C27D6A" w:rsidRPr="00DC75CC" w14:paraId="2D15A4EF" w14:textId="77777777" w:rsidTr="00C75467">
        <w:trPr>
          <w:trHeight w:val="288"/>
          <w:tblHeader/>
          <w:jc w:val="center"/>
        </w:trPr>
        <w:tc>
          <w:tcPr>
            <w:tcW w:w="0" w:type="auto"/>
            <w:tcBorders>
              <w:top w:val="nil"/>
              <w:left w:val="nil"/>
              <w:bottom w:val="nil"/>
              <w:right w:val="nil"/>
            </w:tcBorders>
            <w:noWrap/>
            <w:vAlign w:val="bottom"/>
            <w:hideMark/>
          </w:tcPr>
          <w:p w14:paraId="22BF45E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1EE9746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ELKHALIJ</w:t>
            </w:r>
          </w:p>
        </w:tc>
        <w:tc>
          <w:tcPr>
            <w:tcW w:w="0" w:type="auto"/>
            <w:tcBorders>
              <w:top w:val="nil"/>
              <w:left w:val="nil"/>
              <w:bottom w:val="nil"/>
              <w:right w:val="nil"/>
            </w:tcBorders>
            <w:noWrap/>
            <w:vAlign w:val="bottom"/>
            <w:hideMark/>
          </w:tcPr>
          <w:p w14:paraId="7D226F5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AT000TUN00014</w:t>
            </w:r>
          </w:p>
        </w:tc>
      </w:tr>
      <w:tr w:rsidR="00C27D6A" w:rsidRPr="00DC75CC" w14:paraId="51C92975" w14:textId="77777777" w:rsidTr="00C75467">
        <w:trPr>
          <w:trHeight w:val="288"/>
          <w:tblHeader/>
          <w:jc w:val="center"/>
        </w:trPr>
        <w:tc>
          <w:tcPr>
            <w:tcW w:w="0" w:type="auto"/>
            <w:tcBorders>
              <w:top w:val="nil"/>
              <w:left w:val="nil"/>
              <w:bottom w:val="nil"/>
              <w:right w:val="nil"/>
            </w:tcBorders>
            <w:noWrap/>
            <w:vAlign w:val="bottom"/>
            <w:hideMark/>
          </w:tcPr>
          <w:p w14:paraId="3265405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71610E9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AWLED DEGLA</w:t>
            </w:r>
          </w:p>
        </w:tc>
        <w:tc>
          <w:tcPr>
            <w:tcW w:w="0" w:type="auto"/>
            <w:tcBorders>
              <w:top w:val="nil"/>
              <w:left w:val="nil"/>
              <w:bottom w:val="nil"/>
              <w:right w:val="nil"/>
            </w:tcBorders>
            <w:noWrap/>
            <w:vAlign w:val="bottom"/>
            <w:hideMark/>
          </w:tcPr>
          <w:p w14:paraId="33795BF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AT000TUN01434</w:t>
            </w:r>
          </w:p>
        </w:tc>
      </w:tr>
      <w:tr w:rsidR="00C27D6A" w:rsidRPr="00DC75CC" w14:paraId="438E7B07" w14:textId="77777777" w:rsidTr="00C75467">
        <w:trPr>
          <w:trHeight w:val="288"/>
          <w:tblHeader/>
          <w:jc w:val="center"/>
        </w:trPr>
        <w:tc>
          <w:tcPr>
            <w:tcW w:w="0" w:type="auto"/>
            <w:tcBorders>
              <w:top w:val="nil"/>
              <w:left w:val="nil"/>
              <w:bottom w:val="nil"/>
              <w:right w:val="nil"/>
            </w:tcBorders>
            <w:noWrap/>
            <w:vAlign w:val="bottom"/>
            <w:hideMark/>
          </w:tcPr>
          <w:p w14:paraId="2D483F7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47B7FA3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 BEHI</w:t>
            </w:r>
          </w:p>
        </w:tc>
        <w:tc>
          <w:tcPr>
            <w:tcW w:w="0" w:type="auto"/>
            <w:tcBorders>
              <w:top w:val="nil"/>
              <w:left w:val="nil"/>
              <w:bottom w:val="nil"/>
              <w:right w:val="nil"/>
            </w:tcBorders>
            <w:noWrap/>
            <w:vAlign w:val="bottom"/>
            <w:hideMark/>
          </w:tcPr>
          <w:p w14:paraId="78071A7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AT000TUN00985</w:t>
            </w:r>
          </w:p>
        </w:tc>
      </w:tr>
      <w:tr w:rsidR="00C27D6A" w:rsidRPr="00DC75CC" w14:paraId="5CC092E7" w14:textId="77777777" w:rsidTr="00C75467">
        <w:trPr>
          <w:trHeight w:val="288"/>
          <w:tblHeader/>
          <w:jc w:val="center"/>
        </w:trPr>
        <w:tc>
          <w:tcPr>
            <w:tcW w:w="0" w:type="auto"/>
            <w:tcBorders>
              <w:top w:val="nil"/>
              <w:left w:val="nil"/>
              <w:bottom w:val="nil"/>
              <w:right w:val="nil"/>
            </w:tcBorders>
            <w:noWrap/>
            <w:vAlign w:val="bottom"/>
            <w:hideMark/>
          </w:tcPr>
          <w:p w14:paraId="4C129FD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018C102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 xml:space="preserve">El Beji </w:t>
            </w:r>
          </w:p>
        </w:tc>
        <w:tc>
          <w:tcPr>
            <w:tcW w:w="0" w:type="auto"/>
            <w:tcBorders>
              <w:top w:val="nil"/>
              <w:left w:val="nil"/>
              <w:bottom w:val="nil"/>
              <w:right w:val="nil"/>
            </w:tcBorders>
            <w:noWrap/>
            <w:vAlign w:val="bottom"/>
            <w:hideMark/>
          </w:tcPr>
          <w:p w14:paraId="7555198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AT000TUN00984</w:t>
            </w:r>
          </w:p>
        </w:tc>
      </w:tr>
      <w:tr w:rsidR="00C27D6A" w:rsidRPr="00DC75CC" w14:paraId="3F0A7CFB" w14:textId="77777777" w:rsidTr="00C75467">
        <w:trPr>
          <w:trHeight w:val="288"/>
          <w:tblHeader/>
          <w:jc w:val="center"/>
        </w:trPr>
        <w:tc>
          <w:tcPr>
            <w:tcW w:w="0" w:type="auto"/>
            <w:tcBorders>
              <w:top w:val="nil"/>
              <w:left w:val="nil"/>
              <w:bottom w:val="nil"/>
              <w:right w:val="nil"/>
            </w:tcBorders>
            <w:noWrap/>
            <w:vAlign w:val="bottom"/>
            <w:hideMark/>
          </w:tcPr>
          <w:p w14:paraId="62D084E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74877BB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ASSIL</w:t>
            </w:r>
          </w:p>
        </w:tc>
        <w:tc>
          <w:tcPr>
            <w:tcW w:w="0" w:type="auto"/>
            <w:tcBorders>
              <w:top w:val="nil"/>
              <w:left w:val="nil"/>
              <w:bottom w:val="nil"/>
              <w:right w:val="nil"/>
            </w:tcBorders>
            <w:noWrap/>
            <w:vAlign w:val="bottom"/>
            <w:hideMark/>
          </w:tcPr>
          <w:p w14:paraId="0CA2079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AT000TUN01048</w:t>
            </w:r>
          </w:p>
        </w:tc>
      </w:tr>
      <w:tr w:rsidR="00C27D6A" w:rsidRPr="00DC75CC" w14:paraId="1748E676" w14:textId="77777777" w:rsidTr="00C75467">
        <w:trPr>
          <w:trHeight w:val="288"/>
          <w:tblHeader/>
          <w:jc w:val="center"/>
        </w:trPr>
        <w:tc>
          <w:tcPr>
            <w:tcW w:w="0" w:type="auto"/>
            <w:tcBorders>
              <w:top w:val="nil"/>
              <w:left w:val="nil"/>
              <w:bottom w:val="nil"/>
              <w:right w:val="nil"/>
            </w:tcBorders>
            <w:noWrap/>
            <w:vAlign w:val="bottom"/>
            <w:hideMark/>
          </w:tcPr>
          <w:p w14:paraId="1069817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3A97F19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HADJ SADOK</w:t>
            </w:r>
          </w:p>
        </w:tc>
        <w:tc>
          <w:tcPr>
            <w:tcW w:w="0" w:type="auto"/>
            <w:tcBorders>
              <w:top w:val="nil"/>
              <w:left w:val="nil"/>
              <w:bottom w:val="nil"/>
              <w:right w:val="nil"/>
            </w:tcBorders>
            <w:noWrap/>
            <w:vAlign w:val="bottom"/>
            <w:hideMark/>
          </w:tcPr>
          <w:p w14:paraId="721B2AE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AT000TUN01049</w:t>
            </w:r>
          </w:p>
        </w:tc>
      </w:tr>
      <w:tr w:rsidR="00C27D6A" w:rsidRPr="00DC75CC" w14:paraId="1609E7B8" w14:textId="77777777" w:rsidTr="00C75467">
        <w:trPr>
          <w:trHeight w:val="288"/>
          <w:tblHeader/>
          <w:jc w:val="center"/>
        </w:trPr>
        <w:tc>
          <w:tcPr>
            <w:tcW w:w="0" w:type="auto"/>
            <w:tcBorders>
              <w:top w:val="nil"/>
              <w:left w:val="nil"/>
              <w:bottom w:val="nil"/>
              <w:right w:val="nil"/>
            </w:tcBorders>
            <w:noWrap/>
            <w:vAlign w:val="bottom"/>
            <w:hideMark/>
          </w:tcPr>
          <w:p w14:paraId="62BE05E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2EF60C6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MONTAÇAR</w:t>
            </w:r>
          </w:p>
        </w:tc>
        <w:tc>
          <w:tcPr>
            <w:tcW w:w="0" w:type="auto"/>
            <w:tcBorders>
              <w:top w:val="nil"/>
              <w:left w:val="nil"/>
              <w:bottom w:val="nil"/>
              <w:right w:val="nil"/>
            </w:tcBorders>
            <w:noWrap/>
            <w:vAlign w:val="bottom"/>
            <w:hideMark/>
          </w:tcPr>
          <w:p w14:paraId="30465A7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AT000TUN00974</w:t>
            </w:r>
          </w:p>
        </w:tc>
      </w:tr>
      <w:tr w:rsidR="00C27D6A" w:rsidRPr="00DC75CC" w14:paraId="4652967A" w14:textId="77777777" w:rsidTr="00C75467">
        <w:trPr>
          <w:trHeight w:val="288"/>
          <w:tblHeader/>
          <w:jc w:val="center"/>
        </w:trPr>
        <w:tc>
          <w:tcPr>
            <w:tcW w:w="0" w:type="auto"/>
            <w:tcBorders>
              <w:top w:val="nil"/>
              <w:left w:val="nil"/>
              <w:bottom w:val="nil"/>
              <w:right w:val="nil"/>
            </w:tcBorders>
            <w:noWrap/>
            <w:vAlign w:val="bottom"/>
            <w:hideMark/>
          </w:tcPr>
          <w:p w14:paraId="150B38D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6A8F5B8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 HADJ ABDELWAHEB</w:t>
            </w:r>
          </w:p>
        </w:tc>
        <w:tc>
          <w:tcPr>
            <w:tcW w:w="0" w:type="auto"/>
            <w:tcBorders>
              <w:top w:val="nil"/>
              <w:left w:val="nil"/>
              <w:bottom w:val="nil"/>
              <w:right w:val="nil"/>
            </w:tcBorders>
            <w:noWrap/>
            <w:vAlign w:val="bottom"/>
            <w:hideMark/>
          </w:tcPr>
          <w:p w14:paraId="18B72D5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AT000TUN00050</w:t>
            </w:r>
          </w:p>
        </w:tc>
      </w:tr>
      <w:tr w:rsidR="00C27D6A" w:rsidRPr="00DC75CC" w14:paraId="25331372" w14:textId="77777777" w:rsidTr="00C75467">
        <w:trPr>
          <w:trHeight w:val="288"/>
          <w:tblHeader/>
          <w:jc w:val="center"/>
        </w:trPr>
        <w:tc>
          <w:tcPr>
            <w:tcW w:w="0" w:type="auto"/>
            <w:tcBorders>
              <w:top w:val="nil"/>
              <w:left w:val="nil"/>
              <w:bottom w:val="nil"/>
              <w:right w:val="nil"/>
            </w:tcBorders>
            <w:noWrap/>
            <w:vAlign w:val="bottom"/>
            <w:hideMark/>
          </w:tcPr>
          <w:p w14:paraId="6963B18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Túnez</w:t>
            </w:r>
          </w:p>
        </w:tc>
        <w:tc>
          <w:tcPr>
            <w:tcW w:w="0" w:type="auto"/>
            <w:tcBorders>
              <w:top w:val="nil"/>
              <w:left w:val="nil"/>
              <w:bottom w:val="nil"/>
              <w:right w:val="nil"/>
            </w:tcBorders>
            <w:noWrap/>
            <w:vAlign w:val="bottom"/>
            <w:hideMark/>
          </w:tcPr>
          <w:p w14:paraId="309EF89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EL Haj Salem</w:t>
            </w:r>
          </w:p>
        </w:tc>
        <w:tc>
          <w:tcPr>
            <w:tcW w:w="0" w:type="auto"/>
            <w:tcBorders>
              <w:top w:val="nil"/>
              <w:left w:val="nil"/>
              <w:bottom w:val="nil"/>
              <w:right w:val="nil"/>
            </w:tcBorders>
            <w:noWrap/>
            <w:vAlign w:val="bottom"/>
            <w:hideMark/>
          </w:tcPr>
          <w:p w14:paraId="5DB288B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AT000TUN01051</w:t>
            </w:r>
          </w:p>
        </w:tc>
      </w:tr>
      <w:tr w:rsidR="00C27D6A" w:rsidRPr="00DC75CC" w14:paraId="693DAE00" w14:textId="77777777" w:rsidTr="00C75467">
        <w:trPr>
          <w:trHeight w:val="288"/>
          <w:tblHeader/>
          <w:jc w:val="center"/>
        </w:trPr>
        <w:tc>
          <w:tcPr>
            <w:tcW w:w="0" w:type="auto"/>
            <w:tcBorders>
              <w:top w:val="nil"/>
              <w:left w:val="nil"/>
              <w:bottom w:val="nil"/>
              <w:right w:val="nil"/>
            </w:tcBorders>
            <w:noWrap/>
            <w:vAlign w:val="bottom"/>
            <w:hideMark/>
          </w:tcPr>
          <w:p w14:paraId="337DBCC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9BFF94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 xml:space="preserve">MEHMET KAPTAN BALIKÇILIK A </w:t>
            </w:r>
          </w:p>
        </w:tc>
        <w:tc>
          <w:tcPr>
            <w:tcW w:w="0" w:type="auto"/>
            <w:tcBorders>
              <w:top w:val="nil"/>
              <w:left w:val="nil"/>
              <w:bottom w:val="nil"/>
              <w:right w:val="nil"/>
            </w:tcBorders>
            <w:noWrap/>
            <w:vAlign w:val="bottom"/>
            <w:hideMark/>
          </w:tcPr>
          <w:p w14:paraId="54CA201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AT000TUR08124</w:t>
            </w:r>
          </w:p>
        </w:tc>
      </w:tr>
      <w:tr w:rsidR="00C27D6A" w:rsidRPr="00DC75CC" w14:paraId="47B2DD1F" w14:textId="77777777" w:rsidTr="00C75467">
        <w:trPr>
          <w:trHeight w:val="288"/>
          <w:tblHeader/>
          <w:jc w:val="center"/>
        </w:trPr>
        <w:tc>
          <w:tcPr>
            <w:tcW w:w="0" w:type="auto"/>
            <w:tcBorders>
              <w:top w:val="nil"/>
              <w:left w:val="nil"/>
              <w:bottom w:val="nil"/>
              <w:right w:val="nil"/>
            </w:tcBorders>
            <w:noWrap/>
            <w:vAlign w:val="bottom"/>
            <w:hideMark/>
          </w:tcPr>
          <w:p w14:paraId="7E49372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59D698E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AZİZLER - II</w:t>
            </w:r>
          </w:p>
        </w:tc>
        <w:tc>
          <w:tcPr>
            <w:tcW w:w="0" w:type="auto"/>
            <w:tcBorders>
              <w:top w:val="nil"/>
              <w:left w:val="nil"/>
              <w:bottom w:val="nil"/>
              <w:right w:val="nil"/>
            </w:tcBorders>
            <w:noWrap/>
            <w:vAlign w:val="bottom"/>
            <w:hideMark/>
          </w:tcPr>
          <w:p w14:paraId="18B3E05C"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AT000TUR00004</w:t>
            </w:r>
          </w:p>
        </w:tc>
      </w:tr>
      <w:tr w:rsidR="00C27D6A" w:rsidRPr="00DC75CC" w14:paraId="53DDB694" w14:textId="77777777" w:rsidTr="00C75467">
        <w:trPr>
          <w:trHeight w:val="288"/>
          <w:tblHeader/>
          <w:jc w:val="center"/>
        </w:trPr>
        <w:tc>
          <w:tcPr>
            <w:tcW w:w="0" w:type="auto"/>
            <w:tcBorders>
              <w:top w:val="nil"/>
              <w:left w:val="nil"/>
              <w:bottom w:val="nil"/>
              <w:right w:val="nil"/>
            </w:tcBorders>
            <w:noWrap/>
            <w:vAlign w:val="bottom"/>
            <w:hideMark/>
          </w:tcPr>
          <w:p w14:paraId="33D9D4D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46C7092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TUNCAY SAGUN-6</w:t>
            </w:r>
          </w:p>
        </w:tc>
        <w:tc>
          <w:tcPr>
            <w:tcW w:w="0" w:type="auto"/>
            <w:tcBorders>
              <w:top w:val="nil"/>
              <w:left w:val="nil"/>
              <w:bottom w:val="nil"/>
              <w:right w:val="nil"/>
            </w:tcBorders>
            <w:noWrap/>
            <w:vAlign w:val="bottom"/>
            <w:hideMark/>
          </w:tcPr>
          <w:p w14:paraId="5CB62CB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AT000TUR00040</w:t>
            </w:r>
          </w:p>
        </w:tc>
      </w:tr>
      <w:tr w:rsidR="00C27D6A" w:rsidRPr="00DC75CC" w14:paraId="5EF6728A" w14:textId="77777777" w:rsidTr="00C75467">
        <w:trPr>
          <w:trHeight w:val="288"/>
          <w:tblHeader/>
          <w:jc w:val="center"/>
        </w:trPr>
        <w:tc>
          <w:tcPr>
            <w:tcW w:w="0" w:type="auto"/>
            <w:tcBorders>
              <w:top w:val="nil"/>
              <w:left w:val="nil"/>
              <w:bottom w:val="nil"/>
              <w:right w:val="nil"/>
            </w:tcBorders>
            <w:noWrap/>
            <w:vAlign w:val="bottom"/>
            <w:hideMark/>
          </w:tcPr>
          <w:p w14:paraId="7BB226A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C81BB2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IŞIKLAR-3</w:t>
            </w:r>
          </w:p>
        </w:tc>
        <w:tc>
          <w:tcPr>
            <w:tcW w:w="0" w:type="auto"/>
            <w:tcBorders>
              <w:top w:val="nil"/>
              <w:left w:val="nil"/>
              <w:bottom w:val="nil"/>
              <w:right w:val="nil"/>
            </w:tcBorders>
            <w:noWrap/>
            <w:vAlign w:val="bottom"/>
            <w:hideMark/>
          </w:tcPr>
          <w:p w14:paraId="17F64D0C"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AT000TUR00224</w:t>
            </w:r>
          </w:p>
        </w:tc>
      </w:tr>
      <w:tr w:rsidR="00C27D6A" w:rsidRPr="00DC75CC" w14:paraId="3B24646B" w14:textId="77777777" w:rsidTr="00C75467">
        <w:trPr>
          <w:trHeight w:val="288"/>
          <w:tblHeader/>
          <w:jc w:val="center"/>
        </w:trPr>
        <w:tc>
          <w:tcPr>
            <w:tcW w:w="0" w:type="auto"/>
            <w:tcBorders>
              <w:top w:val="nil"/>
              <w:left w:val="nil"/>
              <w:bottom w:val="nil"/>
              <w:right w:val="nil"/>
            </w:tcBorders>
            <w:noWrap/>
            <w:vAlign w:val="bottom"/>
            <w:hideMark/>
          </w:tcPr>
          <w:p w14:paraId="2F95064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031EAC1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AKGÜN BALIKÇILIK-3</w:t>
            </w:r>
          </w:p>
        </w:tc>
        <w:tc>
          <w:tcPr>
            <w:tcW w:w="0" w:type="auto"/>
            <w:tcBorders>
              <w:top w:val="nil"/>
              <w:left w:val="nil"/>
              <w:bottom w:val="nil"/>
              <w:right w:val="nil"/>
            </w:tcBorders>
            <w:noWrap/>
            <w:vAlign w:val="bottom"/>
            <w:hideMark/>
          </w:tcPr>
          <w:p w14:paraId="4ABC76BF"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AT000TUR00296</w:t>
            </w:r>
          </w:p>
        </w:tc>
      </w:tr>
      <w:tr w:rsidR="00C27D6A" w:rsidRPr="00DC75CC" w14:paraId="7F701A3D" w14:textId="77777777" w:rsidTr="00C75467">
        <w:trPr>
          <w:trHeight w:val="288"/>
          <w:tblHeader/>
          <w:jc w:val="center"/>
        </w:trPr>
        <w:tc>
          <w:tcPr>
            <w:tcW w:w="0" w:type="auto"/>
            <w:tcBorders>
              <w:top w:val="nil"/>
              <w:left w:val="nil"/>
              <w:bottom w:val="nil"/>
              <w:right w:val="nil"/>
            </w:tcBorders>
            <w:noWrap/>
            <w:vAlign w:val="bottom"/>
            <w:hideMark/>
          </w:tcPr>
          <w:p w14:paraId="7E2D1DF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23E4207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TUNCAY SAGUN 12</w:t>
            </w:r>
          </w:p>
        </w:tc>
        <w:tc>
          <w:tcPr>
            <w:tcW w:w="0" w:type="auto"/>
            <w:tcBorders>
              <w:top w:val="nil"/>
              <w:left w:val="nil"/>
              <w:bottom w:val="nil"/>
              <w:right w:val="nil"/>
            </w:tcBorders>
            <w:noWrap/>
            <w:vAlign w:val="bottom"/>
            <w:hideMark/>
          </w:tcPr>
          <w:p w14:paraId="01BE5FDC"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AT000TUR00449</w:t>
            </w:r>
          </w:p>
        </w:tc>
      </w:tr>
      <w:tr w:rsidR="00C27D6A" w:rsidRPr="00DC75CC" w14:paraId="24C3E84C" w14:textId="77777777" w:rsidTr="00C75467">
        <w:trPr>
          <w:trHeight w:val="288"/>
          <w:tblHeader/>
          <w:jc w:val="center"/>
        </w:trPr>
        <w:tc>
          <w:tcPr>
            <w:tcW w:w="0" w:type="auto"/>
            <w:tcBorders>
              <w:top w:val="nil"/>
              <w:left w:val="nil"/>
              <w:bottom w:val="nil"/>
              <w:right w:val="nil"/>
            </w:tcBorders>
            <w:noWrap/>
            <w:vAlign w:val="bottom"/>
            <w:hideMark/>
          </w:tcPr>
          <w:p w14:paraId="0AAB938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3471B5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MUSTAFA REİS BALIKÇILIK</w:t>
            </w:r>
          </w:p>
        </w:tc>
        <w:tc>
          <w:tcPr>
            <w:tcW w:w="0" w:type="auto"/>
            <w:tcBorders>
              <w:top w:val="nil"/>
              <w:left w:val="nil"/>
              <w:bottom w:val="nil"/>
              <w:right w:val="nil"/>
            </w:tcBorders>
            <w:noWrap/>
            <w:vAlign w:val="bottom"/>
            <w:hideMark/>
          </w:tcPr>
          <w:p w14:paraId="09F2055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AT000TUR00451</w:t>
            </w:r>
          </w:p>
        </w:tc>
      </w:tr>
      <w:tr w:rsidR="00C27D6A" w:rsidRPr="00DC75CC" w14:paraId="43BAA91D" w14:textId="77777777" w:rsidTr="00C75467">
        <w:trPr>
          <w:trHeight w:val="288"/>
          <w:tblHeader/>
          <w:jc w:val="center"/>
        </w:trPr>
        <w:tc>
          <w:tcPr>
            <w:tcW w:w="0" w:type="auto"/>
            <w:tcBorders>
              <w:top w:val="nil"/>
              <w:left w:val="nil"/>
              <w:bottom w:val="nil"/>
              <w:right w:val="nil"/>
            </w:tcBorders>
            <w:noWrap/>
            <w:vAlign w:val="bottom"/>
            <w:hideMark/>
          </w:tcPr>
          <w:p w14:paraId="0AB3719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2119A0B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GEÇİCİLER BALIKÇILIK</w:t>
            </w:r>
          </w:p>
        </w:tc>
        <w:tc>
          <w:tcPr>
            <w:tcW w:w="0" w:type="auto"/>
            <w:tcBorders>
              <w:top w:val="nil"/>
              <w:left w:val="nil"/>
              <w:bottom w:val="nil"/>
              <w:right w:val="nil"/>
            </w:tcBorders>
            <w:noWrap/>
            <w:vAlign w:val="bottom"/>
            <w:hideMark/>
          </w:tcPr>
          <w:p w14:paraId="6F379E2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AT000TUR00496</w:t>
            </w:r>
          </w:p>
        </w:tc>
      </w:tr>
      <w:tr w:rsidR="00C27D6A" w:rsidRPr="00DC75CC" w14:paraId="1570AC2A" w14:textId="77777777" w:rsidTr="00C75467">
        <w:trPr>
          <w:trHeight w:val="288"/>
          <w:tblHeader/>
          <w:jc w:val="center"/>
        </w:trPr>
        <w:tc>
          <w:tcPr>
            <w:tcW w:w="0" w:type="auto"/>
            <w:tcBorders>
              <w:top w:val="nil"/>
              <w:left w:val="nil"/>
              <w:bottom w:val="nil"/>
              <w:right w:val="nil"/>
            </w:tcBorders>
            <w:noWrap/>
            <w:vAlign w:val="bottom"/>
            <w:hideMark/>
          </w:tcPr>
          <w:p w14:paraId="6AF695E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10E0922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HICAZ-5</w:t>
            </w:r>
          </w:p>
        </w:tc>
        <w:tc>
          <w:tcPr>
            <w:tcW w:w="0" w:type="auto"/>
            <w:tcBorders>
              <w:top w:val="nil"/>
              <w:left w:val="nil"/>
              <w:bottom w:val="nil"/>
              <w:right w:val="nil"/>
            </w:tcBorders>
            <w:noWrap/>
            <w:vAlign w:val="bottom"/>
            <w:hideMark/>
          </w:tcPr>
          <w:p w14:paraId="12530197"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AT000TUR00497</w:t>
            </w:r>
          </w:p>
        </w:tc>
      </w:tr>
      <w:tr w:rsidR="00C27D6A" w:rsidRPr="00DC75CC" w14:paraId="7C743BA1" w14:textId="77777777" w:rsidTr="00C75467">
        <w:trPr>
          <w:trHeight w:val="288"/>
          <w:tblHeader/>
          <w:jc w:val="center"/>
        </w:trPr>
        <w:tc>
          <w:tcPr>
            <w:tcW w:w="0" w:type="auto"/>
            <w:tcBorders>
              <w:top w:val="nil"/>
              <w:left w:val="nil"/>
              <w:bottom w:val="nil"/>
              <w:right w:val="nil"/>
            </w:tcBorders>
            <w:noWrap/>
            <w:vAlign w:val="bottom"/>
            <w:hideMark/>
          </w:tcPr>
          <w:p w14:paraId="1E89847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1CABFF2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TUNCAY SAGUN-7</w:t>
            </w:r>
          </w:p>
        </w:tc>
        <w:tc>
          <w:tcPr>
            <w:tcW w:w="0" w:type="auto"/>
            <w:tcBorders>
              <w:top w:val="nil"/>
              <w:left w:val="nil"/>
              <w:bottom w:val="nil"/>
              <w:right w:val="nil"/>
            </w:tcBorders>
            <w:noWrap/>
            <w:vAlign w:val="bottom"/>
            <w:hideMark/>
          </w:tcPr>
          <w:p w14:paraId="0D687C46"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AT000TUR07658</w:t>
            </w:r>
          </w:p>
        </w:tc>
      </w:tr>
      <w:tr w:rsidR="00C27D6A" w:rsidRPr="00DC75CC" w14:paraId="4E537CB9" w14:textId="77777777" w:rsidTr="00C75467">
        <w:trPr>
          <w:trHeight w:val="288"/>
          <w:tblHeader/>
          <w:jc w:val="center"/>
        </w:trPr>
        <w:tc>
          <w:tcPr>
            <w:tcW w:w="0" w:type="auto"/>
            <w:tcBorders>
              <w:top w:val="nil"/>
              <w:left w:val="nil"/>
              <w:bottom w:val="nil"/>
              <w:right w:val="nil"/>
            </w:tcBorders>
            <w:noWrap/>
            <w:vAlign w:val="bottom"/>
            <w:hideMark/>
          </w:tcPr>
          <w:p w14:paraId="1220842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047A9EF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MARGO MAHMUT</w:t>
            </w:r>
          </w:p>
        </w:tc>
        <w:tc>
          <w:tcPr>
            <w:tcW w:w="0" w:type="auto"/>
            <w:tcBorders>
              <w:top w:val="nil"/>
              <w:left w:val="nil"/>
              <w:bottom w:val="nil"/>
              <w:right w:val="nil"/>
            </w:tcBorders>
            <w:noWrap/>
            <w:vAlign w:val="bottom"/>
            <w:hideMark/>
          </w:tcPr>
          <w:p w14:paraId="6F31388D"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AT000TUR07659</w:t>
            </w:r>
          </w:p>
        </w:tc>
      </w:tr>
      <w:tr w:rsidR="00C27D6A" w:rsidRPr="00DC75CC" w14:paraId="6B6C5FDD" w14:textId="77777777" w:rsidTr="00C75467">
        <w:trPr>
          <w:trHeight w:val="288"/>
          <w:tblHeader/>
          <w:jc w:val="center"/>
        </w:trPr>
        <w:tc>
          <w:tcPr>
            <w:tcW w:w="0" w:type="auto"/>
            <w:tcBorders>
              <w:top w:val="nil"/>
              <w:left w:val="nil"/>
              <w:bottom w:val="nil"/>
              <w:right w:val="nil"/>
            </w:tcBorders>
            <w:noWrap/>
            <w:vAlign w:val="bottom"/>
            <w:hideMark/>
          </w:tcPr>
          <w:p w14:paraId="73E496A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23746F8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BOZOĞLU AHMET</w:t>
            </w:r>
          </w:p>
        </w:tc>
        <w:tc>
          <w:tcPr>
            <w:tcW w:w="0" w:type="auto"/>
            <w:tcBorders>
              <w:top w:val="nil"/>
              <w:left w:val="nil"/>
              <w:bottom w:val="nil"/>
              <w:right w:val="nil"/>
            </w:tcBorders>
            <w:noWrap/>
            <w:vAlign w:val="bottom"/>
            <w:hideMark/>
          </w:tcPr>
          <w:p w14:paraId="44E6F5B1"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AT000TUR07936</w:t>
            </w:r>
          </w:p>
        </w:tc>
      </w:tr>
      <w:tr w:rsidR="00C27D6A" w:rsidRPr="00DC75CC" w14:paraId="02FD35B6" w14:textId="77777777" w:rsidTr="00C75467">
        <w:trPr>
          <w:trHeight w:val="288"/>
          <w:tblHeader/>
          <w:jc w:val="center"/>
        </w:trPr>
        <w:tc>
          <w:tcPr>
            <w:tcW w:w="0" w:type="auto"/>
            <w:tcBorders>
              <w:top w:val="nil"/>
              <w:left w:val="nil"/>
              <w:bottom w:val="nil"/>
              <w:right w:val="nil"/>
            </w:tcBorders>
            <w:noWrap/>
            <w:vAlign w:val="bottom"/>
            <w:hideMark/>
          </w:tcPr>
          <w:p w14:paraId="37A695F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0CD35E1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ŞABAN KIYAK-1</w:t>
            </w:r>
          </w:p>
        </w:tc>
        <w:tc>
          <w:tcPr>
            <w:tcW w:w="0" w:type="auto"/>
            <w:tcBorders>
              <w:top w:val="nil"/>
              <w:left w:val="nil"/>
              <w:bottom w:val="nil"/>
              <w:right w:val="nil"/>
            </w:tcBorders>
            <w:noWrap/>
            <w:vAlign w:val="bottom"/>
            <w:hideMark/>
          </w:tcPr>
          <w:p w14:paraId="23CCCDB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AT000TUR08043</w:t>
            </w:r>
          </w:p>
        </w:tc>
      </w:tr>
      <w:tr w:rsidR="00C27D6A" w:rsidRPr="00DC75CC" w14:paraId="710A31F3" w14:textId="77777777" w:rsidTr="00C75467">
        <w:trPr>
          <w:trHeight w:val="288"/>
          <w:tblHeader/>
          <w:jc w:val="center"/>
        </w:trPr>
        <w:tc>
          <w:tcPr>
            <w:tcW w:w="0" w:type="auto"/>
            <w:tcBorders>
              <w:top w:val="nil"/>
              <w:left w:val="nil"/>
              <w:bottom w:val="nil"/>
              <w:right w:val="nil"/>
            </w:tcBorders>
            <w:noWrap/>
            <w:vAlign w:val="bottom"/>
            <w:hideMark/>
          </w:tcPr>
          <w:p w14:paraId="4702322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3A49D98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CALISKAN KARDESLER</w:t>
            </w:r>
          </w:p>
        </w:tc>
        <w:tc>
          <w:tcPr>
            <w:tcW w:w="0" w:type="auto"/>
            <w:tcBorders>
              <w:top w:val="nil"/>
              <w:left w:val="nil"/>
              <w:bottom w:val="nil"/>
              <w:right w:val="nil"/>
            </w:tcBorders>
            <w:noWrap/>
            <w:vAlign w:val="bottom"/>
            <w:hideMark/>
          </w:tcPr>
          <w:p w14:paraId="3E2A1F93"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AT000TUR08078</w:t>
            </w:r>
          </w:p>
        </w:tc>
      </w:tr>
      <w:tr w:rsidR="00C27D6A" w:rsidRPr="00DC75CC" w14:paraId="203135BC" w14:textId="77777777" w:rsidTr="00C75467">
        <w:trPr>
          <w:trHeight w:val="288"/>
          <w:tblHeader/>
          <w:jc w:val="center"/>
        </w:trPr>
        <w:tc>
          <w:tcPr>
            <w:tcW w:w="0" w:type="auto"/>
            <w:tcBorders>
              <w:top w:val="nil"/>
              <w:left w:val="nil"/>
              <w:bottom w:val="nil"/>
              <w:right w:val="nil"/>
            </w:tcBorders>
            <w:noWrap/>
            <w:vAlign w:val="bottom"/>
            <w:hideMark/>
          </w:tcPr>
          <w:p w14:paraId="2F2B388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2824799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KAZIM KOBYA</w:t>
            </w:r>
          </w:p>
        </w:tc>
        <w:tc>
          <w:tcPr>
            <w:tcW w:w="0" w:type="auto"/>
            <w:tcBorders>
              <w:top w:val="nil"/>
              <w:left w:val="nil"/>
              <w:bottom w:val="nil"/>
              <w:right w:val="nil"/>
            </w:tcBorders>
            <w:noWrap/>
            <w:vAlign w:val="bottom"/>
            <w:hideMark/>
          </w:tcPr>
          <w:p w14:paraId="1A5A95CA"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AT000TUR08123</w:t>
            </w:r>
          </w:p>
        </w:tc>
      </w:tr>
      <w:tr w:rsidR="00C27D6A" w:rsidRPr="00DC75CC" w14:paraId="150AE494" w14:textId="77777777" w:rsidTr="00C75467">
        <w:trPr>
          <w:trHeight w:val="288"/>
          <w:tblHeader/>
          <w:jc w:val="center"/>
        </w:trPr>
        <w:tc>
          <w:tcPr>
            <w:tcW w:w="0" w:type="auto"/>
            <w:tcBorders>
              <w:top w:val="nil"/>
              <w:left w:val="nil"/>
              <w:bottom w:val="nil"/>
              <w:right w:val="nil"/>
            </w:tcBorders>
            <w:noWrap/>
            <w:vAlign w:val="bottom"/>
            <w:hideMark/>
          </w:tcPr>
          <w:p w14:paraId="1AE72E7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31EF25F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ERGÜN KARDEŞLER BALIKÇILIK</w:t>
            </w:r>
          </w:p>
        </w:tc>
        <w:tc>
          <w:tcPr>
            <w:tcW w:w="0" w:type="auto"/>
            <w:tcBorders>
              <w:top w:val="nil"/>
              <w:left w:val="nil"/>
              <w:bottom w:val="nil"/>
              <w:right w:val="nil"/>
            </w:tcBorders>
            <w:noWrap/>
            <w:vAlign w:val="bottom"/>
            <w:hideMark/>
          </w:tcPr>
          <w:p w14:paraId="3E8F2854"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AT000TUR00149</w:t>
            </w:r>
          </w:p>
        </w:tc>
      </w:tr>
      <w:tr w:rsidR="00C27D6A" w:rsidRPr="00DC75CC" w14:paraId="23379494" w14:textId="77777777" w:rsidTr="00C75467">
        <w:trPr>
          <w:trHeight w:val="288"/>
          <w:tblHeader/>
          <w:jc w:val="center"/>
        </w:trPr>
        <w:tc>
          <w:tcPr>
            <w:tcW w:w="0" w:type="auto"/>
            <w:tcBorders>
              <w:top w:val="nil"/>
              <w:left w:val="nil"/>
              <w:bottom w:val="nil"/>
              <w:right w:val="nil"/>
            </w:tcBorders>
            <w:noWrap/>
            <w:vAlign w:val="bottom"/>
            <w:hideMark/>
          </w:tcPr>
          <w:p w14:paraId="5DEFAED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4F14883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MUHAMMET ŞABAN KIYAK</w:t>
            </w:r>
          </w:p>
        </w:tc>
        <w:tc>
          <w:tcPr>
            <w:tcW w:w="0" w:type="auto"/>
            <w:tcBorders>
              <w:top w:val="nil"/>
              <w:left w:val="nil"/>
              <w:bottom w:val="nil"/>
              <w:right w:val="nil"/>
            </w:tcBorders>
            <w:noWrap/>
            <w:vAlign w:val="bottom"/>
            <w:hideMark/>
          </w:tcPr>
          <w:p w14:paraId="61B977D8"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AT000TUR00050</w:t>
            </w:r>
          </w:p>
        </w:tc>
      </w:tr>
      <w:tr w:rsidR="00C27D6A" w:rsidRPr="00DC75CC" w14:paraId="2853C308" w14:textId="77777777" w:rsidTr="00C75467">
        <w:trPr>
          <w:trHeight w:val="288"/>
          <w:tblHeader/>
          <w:jc w:val="center"/>
        </w:trPr>
        <w:tc>
          <w:tcPr>
            <w:tcW w:w="0" w:type="auto"/>
            <w:tcBorders>
              <w:top w:val="nil"/>
              <w:left w:val="nil"/>
              <w:bottom w:val="nil"/>
              <w:right w:val="nil"/>
            </w:tcBorders>
            <w:noWrap/>
            <w:vAlign w:val="bottom"/>
            <w:hideMark/>
          </w:tcPr>
          <w:p w14:paraId="264BB5F4"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4190105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TUNCAY SAGUN-28</w:t>
            </w:r>
          </w:p>
        </w:tc>
        <w:tc>
          <w:tcPr>
            <w:tcW w:w="0" w:type="auto"/>
            <w:tcBorders>
              <w:top w:val="nil"/>
              <w:left w:val="nil"/>
              <w:bottom w:val="nil"/>
              <w:right w:val="nil"/>
            </w:tcBorders>
            <w:noWrap/>
            <w:vAlign w:val="bottom"/>
            <w:hideMark/>
          </w:tcPr>
          <w:p w14:paraId="4ED04E2C"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AT000TUR00046</w:t>
            </w:r>
          </w:p>
        </w:tc>
      </w:tr>
      <w:tr w:rsidR="00C27D6A" w:rsidRPr="00DC75CC" w14:paraId="45CA7F58" w14:textId="77777777" w:rsidTr="00C75467">
        <w:trPr>
          <w:trHeight w:val="288"/>
          <w:tblHeader/>
          <w:jc w:val="center"/>
        </w:trPr>
        <w:tc>
          <w:tcPr>
            <w:tcW w:w="0" w:type="auto"/>
            <w:tcBorders>
              <w:top w:val="nil"/>
              <w:left w:val="nil"/>
              <w:bottom w:val="nil"/>
              <w:right w:val="nil"/>
            </w:tcBorders>
            <w:noWrap/>
            <w:vAlign w:val="bottom"/>
            <w:hideMark/>
          </w:tcPr>
          <w:p w14:paraId="306DC39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DF5BF8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ARICIOĞULLARI BALIKÇILIK</w:t>
            </w:r>
          </w:p>
        </w:tc>
        <w:tc>
          <w:tcPr>
            <w:tcW w:w="0" w:type="auto"/>
            <w:tcBorders>
              <w:top w:val="nil"/>
              <w:left w:val="nil"/>
              <w:bottom w:val="nil"/>
              <w:right w:val="nil"/>
            </w:tcBorders>
            <w:noWrap/>
            <w:vAlign w:val="bottom"/>
            <w:hideMark/>
          </w:tcPr>
          <w:p w14:paraId="57C1EDB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AT000TUR08121</w:t>
            </w:r>
          </w:p>
        </w:tc>
      </w:tr>
      <w:tr w:rsidR="00C27D6A" w:rsidRPr="00DC75CC" w14:paraId="6977050F" w14:textId="77777777" w:rsidTr="00C75467">
        <w:trPr>
          <w:trHeight w:val="288"/>
          <w:tblHeader/>
          <w:jc w:val="center"/>
        </w:trPr>
        <w:tc>
          <w:tcPr>
            <w:tcW w:w="0" w:type="auto"/>
            <w:tcBorders>
              <w:top w:val="nil"/>
              <w:left w:val="nil"/>
              <w:bottom w:val="nil"/>
              <w:right w:val="nil"/>
            </w:tcBorders>
            <w:noWrap/>
            <w:vAlign w:val="bottom"/>
            <w:hideMark/>
          </w:tcPr>
          <w:p w14:paraId="04842D5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5DCBF1F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BOZOGLU KARDESLER -2</w:t>
            </w:r>
          </w:p>
        </w:tc>
        <w:tc>
          <w:tcPr>
            <w:tcW w:w="0" w:type="auto"/>
            <w:tcBorders>
              <w:top w:val="nil"/>
              <w:left w:val="nil"/>
              <w:bottom w:val="nil"/>
              <w:right w:val="nil"/>
            </w:tcBorders>
            <w:noWrap/>
            <w:vAlign w:val="bottom"/>
            <w:hideMark/>
          </w:tcPr>
          <w:p w14:paraId="740E73A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AT000TUR07941</w:t>
            </w:r>
          </w:p>
        </w:tc>
      </w:tr>
      <w:tr w:rsidR="00C27D6A" w:rsidRPr="00DC75CC" w14:paraId="21D5C60E" w14:textId="77777777" w:rsidTr="00C75467">
        <w:trPr>
          <w:trHeight w:val="288"/>
          <w:tblHeader/>
          <w:jc w:val="center"/>
        </w:trPr>
        <w:tc>
          <w:tcPr>
            <w:tcW w:w="0" w:type="auto"/>
            <w:tcBorders>
              <w:top w:val="nil"/>
              <w:left w:val="nil"/>
              <w:bottom w:val="nil"/>
              <w:right w:val="nil"/>
            </w:tcBorders>
            <w:noWrap/>
            <w:vAlign w:val="bottom"/>
            <w:hideMark/>
          </w:tcPr>
          <w:p w14:paraId="160A105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1B2228D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DURSUN ÇINAROĞLU</w:t>
            </w:r>
          </w:p>
        </w:tc>
        <w:tc>
          <w:tcPr>
            <w:tcW w:w="0" w:type="auto"/>
            <w:tcBorders>
              <w:top w:val="nil"/>
              <w:left w:val="nil"/>
              <w:bottom w:val="nil"/>
              <w:right w:val="nil"/>
            </w:tcBorders>
            <w:noWrap/>
            <w:vAlign w:val="bottom"/>
            <w:hideMark/>
          </w:tcPr>
          <w:p w14:paraId="08864370"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AT000TUR00131</w:t>
            </w:r>
          </w:p>
        </w:tc>
      </w:tr>
      <w:tr w:rsidR="00C27D6A" w:rsidRPr="00DC75CC" w14:paraId="2A28606A" w14:textId="77777777" w:rsidTr="00C75467">
        <w:trPr>
          <w:trHeight w:val="288"/>
          <w:tblHeader/>
          <w:jc w:val="center"/>
        </w:trPr>
        <w:tc>
          <w:tcPr>
            <w:tcW w:w="0" w:type="auto"/>
            <w:tcBorders>
              <w:top w:val="nil"/>
              <w:left w:val="nil"/>
              <w:bottom w:val="nil"/>
              <w:right w:val="nil"/>
            </w:tcBorders>
            <w:noWrap/>
            <w:vAlign w:val="bottom"/>
            <w:hideMark/>
          </w:tcPr>
          <w:p w14:paraId="211BBA9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3FD0F7F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KASIRGA-2</w:t>
            </w:r>
          </w:p>
        </w:tc>
        <w:tc>
          <w:tcPr>
            <w:tcW w:w="0" w:type="auto"/>
            <w:tcBorders>
              <w:top w:val="nil"/>
              <w:left w:val="nil"/>
              <w:bottom w:val="nil"/>
              <w:right w:val="nil"/>
            </w:tcBorders>
            <w:noWrap/>
            <w:vAlign w:val="bottom"/>
            <w:hideMark/>
          </w:tcPr>
          <w:p w14:paraId="4EC657F0"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AT000TUR07906</w:t>
            </w:r>
          </w:p>
        </w:tc>
      </w:tr>
      <w:tr w:rsidR="00C27D6A" w:rsidRPr="00DC75CC" w14:paraId="77C8EB37" w14:textId="77777777" w:rsidTr="00C75467">
        <w:trPr>
          <w:trHeight w:val="288"/>
          <w:tblHeader/>
          <w:jc w:val="center"/>
        </w:trPr>
        <w:tc>
          <w:tcPr>
            <w:tcW w:w="0" w:type="auto"/>
            <w:tcBorders>
              <w:top w:val="nil"/>
              <w:left w:val="nil"/>
              <w:bottom w:val="nil"/>
              <w:right w:val="nil"/>
            </w:tcBorders>
            <w:noWrap/>
            <w:vAlign w:val="bottom"/>
            <w:hideMark/>
          </w:tcPr>
          <w:p w14:paraId="6A078E42"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3EE96C5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KORKMAZLAR BALIKCILIK 1</w:t>
            </w:r>
          </w:p>
        </w:tc>
        <w:tc>
          <w:tcPr>
            <w:tcW w:w="0" w:type="auto"/>
            <w:tcBorders>
              <w:top w:val="nil"/>
              <w:left w:val="nil"/>
              <w:bottom w:val="nil"/>
              <w:right w:val="nil"/>
            </w:tcBorders>
            <w:noWrap/>
            <w:vAlign w:val="bottom"/>
            <w:hideMark/>
          </w:tcPr>
          <w:p w14:paraId="1BED4050"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AT000TUR08082</w:t>
            </w:r>
          </w:p>
        </w:tc>
      </w:tr>
      <w:tr w:rsidR="00C27D6A" w:rsidRPr="00DC75CC" w14:paraId="2215C3ED" w14:textId="77777777" w:rsidTr="00C75467">
        <w:trPr>
          <w:trHeight w:val="288"/>
          <w:tblHeader/>
          <w:jc w:val="center"/>
        </w:trPr>
        <w:tc>
          <w:tcPr>
            <w:tcW w:w="0" w:type="auto"/>
            <w:tcBorders>
              <w:top w:val="nil"/>
              <w:left w:val="nil"/>
              <w:bottom w:val="nil"/>
              <w:right w:val="nil"/>
            </w:tcBorders>
            <w:noWrap/>
            <w:vAlign w:val="bottom"/>
            <w:hideMark/>
          </w:tcPr>
          <w:p w14:paraId="71F498F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4F9DED10"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MUZAFFER KARDEŞLER-3</w:t>
            </w:r>
          </w:p>
        </w:tc>
        <w:tc>
          <w:tcPr>
            <w:tcW w:w="0" w:type="auto"/>
            <w:tcBorders>
              <w:top w:val="nil"/>
              <w:left w:val="nil"/>
              <w:bottom w:val="nil"/>
              <w:right w:val="nil"/>
            </w:tcBorders>
            <w:noWrap/>
            <w:vAlign w:val="bottom"/>
            <w:hideMark/>
          </w:tcPr>
          <w:p w14:paraId="789C5FD7"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AT000TUR00062</w:t>
            </w:r>
          </w:p>
        </w:tc>
      </w:tr>
      <w:tr w:rsidR="00C27D6A" w:rsidRPr="00DC75CC" w14:paraId="2CA8631C" w14:textId="77777777" w:rsidTr="00C75467">
        <w:trPr>
          <w:trHeight w:val="288"/>
          <w:tblHeader/>
          <w:jc w:val="center"/>
        </w:trPr>
        <w:tc>
          <w:tcPr>
            <w:tcW w:w="0" w:type="auto"/>
            <w:tcBorders>
              <w:top w:val="nil"/>
              <w:left w:val="nil"/>
              <w:bottom w:val="nil"/>
              <w:right w:val="nil"/>
            </w:tcBorders>
            <w:noWrap/>
            <w:vAlign w:val="bottom"/>
            <w:hideMark/>
          </w:tcPr>
          <w:p w14:paraId="380A28A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8C6421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SOYDEMIRLER</w:t>
            </w:r>
          </w:p>
        </w:tc>
        <w:tc>
          <w:tcPr>
            <w:tcW w:w="0" w:type="auto"/>
            <w:tcBorders>
              <w:top w:val="nil"/>
              <w:left w:val="nil"/>
              <w:bottom w:val="nil"/>
              <w:right w:val="nil"/>
            </w:tcBorders>
            <w:noWrap/>
            <w:vAlign w:val="bottom"/>
            <w:hideMark/>
          </w:tcPr>
          <w:p w14:paraId="68E1773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AT000TUR00043</w:t>
            </w:r>
          </w:p>
        </w:tc>
      </w:tr>
      <w:tr w:rsidR="00C27D6A" w:rsidRPr="00DC75CC" w14:paraId="71B2A512" w14:textId="77777777" w:rsidTr="00C75467">
        <w:trPr>
          <w:trHeight w:val="288"/>
          <w:tblHeader/>
          <w:jc w:val="center"/>
        </w:trPr>
        <w:tc>
          <w:tcPr>
            <w:tcW w:w="0" w:type="auto"/>
            <w:tcBorders>
              <w:top w:val="nil"/>
              <w:left w:val="nil"/>
              <w:bottom w:val="nil"/>
              <w:right w:val="nil"/>
            </w:tcBorders>
            <w:noWrap/>
            <w:vAlign w:val="bottom"/>
            <w:hideMark/>
          </w:tcPr>
          <w:p w14:paraId="52EEFDF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3592C46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COSKUN KARDESLER 1</w:t>
            </w:r>
          </w:p>
        </w:tc>
        <w:tc>
          <w:tcPr>
            <w:tcW w:w="0" w:type="auto"/>
            <w:tcBorders>
              <w:top w:val="nil"/>
              <w:left w:val="nil"/>
              <w:bottom w:val="nil"/>
              <w:right w:val="nil"/>
            </w:tcBorders>
            <w:noWrap/>
            <w:vAlign w:val="bottom"/>
            <w:hideMark/>
          </w:tcPr>
          <w:p w14:paraId="5A866A8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AT000TUR00015</w:t>
            </w:r>
          </w:p>
        </w:tc>
      </w:tr>
      <w:tr w:rsidR="00C27D6A" w:rsidRPr="00DC75CC" w14:paraId="40E1F7AD" w14:textId="77777777" w:rsidTr="00C75467">
        <w:trPr>
          <w:trHeight w:val="288"/>
          <w:tblHeader/>
          <w:jc w:val="center"/>
        </w:trPr>
        <w:tc>
          <w:tcPr>
            <w:tcW w:w="0" w:type="auto"/>
            <w:tcBorders>
              <w:top w:val="nil"/>
              <w:left w:val="nil"/>
              <w:bottom w:val="nil"/>
              <w:right w:val="nil"/>
            </w:tcBorders>
            <w:noWrap/>
            <w:vAlign w:val="bottom"/>
            <w:hideMark/>
          </w:tcPr>
          <w:p w14:paraId="6D739B6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071E700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DENIZER</w:t>
            </w:r>
          </w:p>
        </w:tc>
        <w:tc>
          <w:tcPr>
            <w:tcW w:w="0" w:type="auto"/>
            <w:tcBorders>
              <w:top w:val="nil"/>
              <w:left w:val="nil"/>
              <w:bottom w:val="nil"/>
              <w:right w:val="nil"/>
            </w:tcBorders>
            <w:noWrap/>
            <w:vAlign w:val="bottom"/>
            <w:hideMark/>
          </w:tcPr>
          <w:p w14:paraId="35BD7944"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AT000TUR00501</w:t>
            </w:r>
          </w:p>
        </w:tc>
      </w:tr>
      <w:tr w:rsidR="00C27D6A" w:rsidRPr="00DC75CC" w14:paraId="0D8E8670" w14:textId="77777777" w:rsidTr="00C75467">
        <w:trPr>
          <w:trHeight w:val="288"/>
          <w:tblHeader/>
          <w:jc w:val="center"/>
        </w:trPr>
        <w:tc>
          <w:tcPr>
            <w:tcW w:w="0" w:type="auto"/>
            <w:tcBorders>
              <w:top w:val="nil"/>
              <w:left w:val="nil"/>
              <w:bottom w:val="nil"/>
              <w:right w:val="nil"/>
            </w:tcBorders>
            <w:noWrap/>
            <w:vAlign w:val="bottom"/>
            <w:hideMark/>
          </w:tcPr>
          <w:p w14:paraId="37E776B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45C3617E"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EMINOGULLARI-4</w:t>
            </w:r>
          </w:p>
        </w:tc>
        <w:tc>
          <w:tcPr>
            <w:tcW w:w="0" w:type="auto"/>
            <w:tcBorders>
              <w:top w:val="nil"/>
              <w:left w:val="nil"/>
              <w:bottom w:val="nil"/>
              <w:right w:val="nil"/>
            </w:tcBorders>
            <w:noWrap/>
            <w:vAlign w:val="bottom"/>
            <w:hideMark/>
          </w:tcPr>
          <w:p w14:paraId="737FEC06"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AT000TUR00283</w:t>
            </w:r>
          </w:p>
        </w:tc>
      </w:tr>
      <w:tr w:rsidR="00C27D6A" w:rsidRPr="00DC75CC" w14:paraId="209B227A" w14:textId="77777777" w:rsidTr="00C75467">
        <w:trPr>
          <w:trHeight w:val="288"/>
          <w:tblHeader/>
          <w:jc w:val="center"/>
        </w:trPr>
        <w:tc>
          <w:tcPr>
            <w:tcW w:w="0" w:type="auto"/>
            <w:tcBorders>
              <w:top w:val="nil"/>
              <w:left w:val="nil"/>
              <w:bottom w:val="nil"/>
              <w:right w:val="nil"/>
            </w:tcBorders>
            <w:noWrap/>
            <w:vAlign w:val="bottom"/>
            <w:hideMark/>
          </w:tcPr>
          <w:p w14:paraId="2FC82BAA"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2D3FDC58"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EYUP DEDE</w:t>
            </w:r>
          </w:p>
        </w:tc>
        <w:tc>
          <w:tcPr>
            <w:tcW w:w="0" w:type="auto"/>
            <w:tcBorders>
              <w:top w:val="nil"/>
              <w:left w:val="nil"/>
              <w:bottom w:val="nil"/>
              <w:right w:val="nil"/>
            </w:tcBorders>
            <w:noWrap/>
            <w:vAlign w:val="bottom"/>
            <w:hideMark/>
          </w:tcPr>
          <w:p w14:paraId="05F4EFAB"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AT000TUR00019</w:t>
            </w:r>
          </w:p>
        </w:tc>
      </w:tr>
      <w:tr w:rsidR="00C27D6A" w:rsidRPr="00DC75CC" w14:paraId="369DDB0E" w14:textId="77777777" w:rsidTr="00C75467">
        <w:trPr>
          <w:trHeight w:val="288"/>
          <w:tblHeader/>
          <w:jc w:val="center"/>
        </w:trPr>
        <w:tc>
          <w:tcPr>
            <w:tcW w:w="0" w:type="auto"/>
            <w:tcBorders>
              <w:top w:val="nil"/>
              <w:left w:val="nil"/>
              <w:bottom w:val="nil"/>
              <w:right w:val="nil"/>
            </w:tcBorders>
            <w:noWrap/>
            <w:vAlign w:val="bottom"/>
            <w:hideMark/>
          </w:tcPr>
          <w:p w14:paraId="7A86745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132B1005"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MAMULI REIS-III</w:t>
            </w:r>
          </w:p>
        </w:tc>
        <w:tc>
          <w:tcPr>
            <w:tcW w:w="0" w:type="auto"/>
            <w:tcBorders>
              <w:top w:val="nil"/>
              <w:left w:val="nil"/>
              <w:bottom w:val="nil"/>
              <w:right w:val="nil"/>
            </w:tcBorders>
            <w:noWrap/>
            <w:vAlign w:val="bottom"/>
            <w:hideMark/>
          </w:tcPr>
          <w:p w14:paraId="76124995"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AT000TUR00033</w:t>
            </w:r>
          </w:p>
        </w:tc>
      </w:tr>
      <w:tr w:rsidR="00C27D6A" w:rsidRPr="00DC75CC" w14:paraId="25CFEA10" w14:textId="77777777" w:rsidTr="00C75467">
        <w:trPr>
          <w:trHeight w:val="288"/>
          <w:tblHeader/>
          <w:jc w:val="center"/>
        </w:trPr>
        <w:tc>
          <w:tcPr>
            <w:tcW w:w="0" w:type="auto"/>
            <w:tcBorders>
              <w:top w:val="nil"/>
              <w:left w:val="nil"/>
              <w:bottom w:val="nil"/>
              <w:right w:val="nil"/>
            </w:tcBorders>
            <w:noWrap/>
            <w:vAlign w:val="bottom"/>
            <w:hideMark/>
          </w:tcPr>
          <w:p w14:paraId="60E980B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8FC34D6"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CINAR IBRAHIM</w:t>
            </w:r>
          </w:p>
        </w:tc>
        <w:tc>
          <w:tcPr>
            <w:tcW w:w="0" w:type="auto"/>
            <w:tcBorders>
              <w:top w:val="nil"/>
              <w:left w:val="nil"/>
              <w:bottom w:val="nil"/>
              <w:right w:val="nil"/>
            </w:tcBorders>
            <w:noWrap/>
            <w:vAlign w:val="bottom"/>
            <w:hideMark/>
          </w:tcPr>
          <w:p w14:paraId="7E83EAB4"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AT000TUR00014</w:t>
            </w:r>
          </w:p>
        </w:tc>
      </w:tr>
      <w:tr w:rsidR="00C27D6A" w:rsidRPr="00DC75CC" w14:paraId="20A251BA" w14:textId="77777777" w:rsidTr="00C75467">
        <w:trPr>
          <w:trHeight w:val="288"/>
          <w:tblHeader/>
          <w:jc w:val="center"/>
        </w:trPr>
        <w:tc>
          <w:tcPr>
            <w:tcW w:w="0" w:type="auto"/>
            <w:tcBorders>
              <w:top w:val="nil"/>
              <w:left w:val="nil"/>
              <w:bottom w:val="nil"/>
              <w:right w:val="nil"/>
            </w:tcBorders>
            <w:noWrap/>
            <w:vAlign w:val="bottom"/>
            <w:hideMark/>
          </w:tcPr>
          <w:p w14:paraId="3453263B"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4EE64AC"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FAT BALIKCILIK</w:t>
            </w:r>
          </w:p>
        </w:tc>
        <w:tc>
          <w:tcPr>
            <w:tcW w:w="0" w:type="auto"/>
            <w:tcBorders>
              <w:top w:val="nil"/>
              <w:left w:val="nil"/>
              <w:bottom w:val="nil"/>
              <w:right w:val="nil"/>
            </w:tcBorders>
            <w:noWrap/>
            <w:vAlign w:val="bottom"/>
            <w:hideMark/>
          </w:tcPr>
          <w:p w14:paraId="78990002"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AT000TUR00020</w:t>
            </w:r>
          </w:p>
        </w:tc>
      </w:tr>
      <w:tr w:rsidR="00C27D6A" w:rsidRPr="00DC75CC" w14:paraId="220B06D3" w14:textId="77777777" w:rsidTr="00C75467">
        <w:trPr>
          <w:trHeight w:val="288"/>
          <w:tblHeader/>
          <w:jc w:val="center"/>
        </w:trPr>
        <w:tc>
          <w:tcPr>
            <w:tcW w:w="0" w:type="auto"/>
            <w:tcBorders>
              <w:top w:val="nil"/>
              <w:left w:val="nil"/>
              <w:bottom w:val="nil"/>
              <w:right w:val="nil"/>
            </w:tcBorders>
            <w:noWrap/>
            <w:vAlign w:val="bottom"/>
            <w:hideMark/>
          </w:tcPr>
          <w:p w14:paraId="0E260FEF"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653E029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HABIBIN ENVER</w:t>
            </w:r>
          </w:p>
        </w:tc>
        <w:tc>
          <w:tcPr>
            <w:tcW w:w="0" w:type="auto"/>
            <w:tcBorders>
              <w:top w:val="nil"/>
              <w:left w:val="nil"/>
              <w:bottom w:val="nil"/>
              <w:right w:val="nil"/>
            </w:tcBorders>
            <w:noWrap/>
            <w:vAlign w:val="bottom"/>
            <w:hideMark/>
          </w:tcPr>
          <w:p w14:paraId="16F7231E"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AT000TUR00022</w:t>
            </w:r>
          </w:p>
        </w:tc>
      </w:tr>
      <w:tr w:rsidR="00C27D6A" w:rsidRPr="00DC75CC" w14:paraId="580D1616" w14:textId="77777777" w:rsidTr="00C75467">
        <w:trPr>
          <w:trHeight w:val="288"/>
          <w:tblHeader/>
          <w:jc w:val="center"/>
        </w:trPr>
        <w:tc>
          <w:tcPr>
            <w:tcW w:w="0" w:type="auto"/>
            <w:tcBorders>
              <w:top w:val="nil"/>
              <w:left w:val="nil"/>
              <w:bottom w:val="nil"/>
              <w:right w:val="nil"/>
            </w:tcBorders>
            <w:noWrap/>
            <w:vAlign w:val="bottom"/>
            <w:hideMark/>
          </w:tcPr>
          <w:p w14:paraId="1C1186B9"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nil"/>
              <w:right w:val="nil"/>
            </w:tcBorders>
            <w:noWrap/>
            <w:vAlign w:val="bottom"/>
            <w:hideMark/>
          </w:tcPr>
          <w:p w14:paraId="676A3847"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HACI MUSTAFA KULOGLU</w:t>
            </w:r>
          </w:p>
        </w:tc>
        <w:tc>
          <w:tcPr>
            <w:tcW w:w="0" w:type="auto"/>
            <w:tcBorders>
              <w:top w:val="nil"/>
              <w:left w:val="nil"/>
              <w:bottom w:val="nil"/>
              <w:right w:val="nil"/>
            </w:tcBorders>
            <w:noWrap/>
            <w:vAlign w:val="bottom"/>
            <w:hideMark/>
          </w:tcPr>
          <w:p w14:paraId="70FDEA29"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AT000TUR00024</w:t>
            </w:r>
          </w:p>
        </w:tc>
      </w:tr>
      <w:tr w:rsidR="00C27D6A" w:rsidRPr="00DC75CC" w14:paraId="34CD5059" w14:textId="77777777" w:rsidTr="00C75467">
        <w:trPr>
          <w:trHeight w:val="288"/>
          <w:tblHeader/>
          <w:jc w:val="center"/>
        </w:trPr>
        <w:tc>
          <w:tcPr>
            <w:tcW w:w="0" w:type="auto"/>
            <w:tcBorders>
              <w:top w:val="nil"/>
              <w:left w:val="nil"/>
              <w:right w:val="nil"/>
            </w:tcBorders>
            <w:noWrap/>
            <w:vAlign w:val="bottom"/>
            <w:hideMark/>
          </w:tcPr>
          <w:p w14:paraId="0915391D"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right w:val="nil"/>
            </w:tcBorders>
            <w:noWrap/>
            <w:vAlign w:val="bottom"/>
            <w:hideMark/>
          </w:tcPr>
          <w:p w14:paraId="0E3CCF5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SURSAN 1</w:t>
            </w:r>
          </w:p>
        </w:tc>
        <w:tc>
          <w:tcPr>
            <w:tcW w:w="0" w:type="auto"/>
            <w:tcBorders>
              <w:top w:val="nil"/>
              <w:left w:val="nil"/>
              <w:right w:val="nil"/>
            </w:tcBorders>
            <w:noWrap/>
            <w:vAlign w:val="bottom"/>
            <w:hideMark/>
          </w:tcPr>
          <w:p w14:paraId="4DEA690F"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AT000TUR00407</w:t>
            </w:r>
          </w:p>
        </w:tc>
      </w:tr>
      <w:tr w:rsidR="00C27D6A" w:rsidRPr="00DC75CC" w14:paraId="6B9EAF0A" w14:textId="77777777" w:rsidTr="00C75467">
        <w:trPr>
          <w:trHeight w:val="288"/>
          <w:tblHeader/>
          <w:jc w:val="center"/>
        </w:trPr>
        <w:tc>
          <w:tcPr>
            <w:tcW w:w="0" w:type="auto"/>
            <w:tcBorders>
              <w:top w:val="nil"/>
              <w:left w:val="nil"/>
              <w:bottom w:val="single" w:sz="4" w:space="0" w:color="auto"/>
              <w:right w:val="nil"/>
            </w:tcBorders>
            <w:noWrap/>
            <w:vAlign w:val="bottom"/>
            <w:hideMark/>
          </w:tcPr>
          <w:p w14:paraId="43902F63"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0" w:type="auto"/>
            <w:tcBorders>
              <w:top w:val="nil"/>
              <w:left w:val="nil"/>
              <w:bottom w:val="single" w:sz="4" w:space="0" w:color="auto"/>
              <w:right w:val="nil"/>
            </w:tcBorders>
            <w:noWrap/>
            <w:vAlign w:val="bottom"/>
            <w:hideMark/>
          </w:tcPr>
          <w:p w14:paraId="0D76C6A1" w14:textId="77777777" w:rsidR="00C27D6A" w:rsidRPr="00DC75CC" w:rsidRDefault="00C27D6A" w:rsidP="00F36743">
            <w:pPr>
              <w:rPr>
                <w:rFonts w:asciiTheme="majorHAnsi" w:hAnsiTheme="majorHAnsi"/>
                <w:color w:val="000000"/>
                <w:sz w:val="20"/>
                <w:szCs w:val="20"/>
              </w:rPr>
            </w:pPr>
            <w:r w:rsidRPr="00DC75CC">
              <w:rPr>
                <w:rFonts w:asciiTheme="majorHAnsi" w:hAnsiTheme="majorHAnsi"/>
                <w:color w:val="000000"/>
                <w:sz w:val="20"/>
              </w:rPr>
              <w:t>SURSAN 34</w:t>
            </w:r>
          </w:p>
        </w:tc>
        <w:tc>
          <w:tcPr>
            <w:tcW w:w="0" w:type="auto"/>
            <w:tcBorders>
              <w:top w:val="nil"/>
              <w:left w:val="nil"/>
              <w:bottom w:val="single" w:sz="4" w:space="0" w:color="auto"/>
              <w:right w:val="nil"/>
            </w:tcBorders>
            <w:noWrap/>
            <w:vAlign w:val="bottom"/>
            <w:hideMark/>
          </w:tcPr>
          <w:p w14:paraId="20AEC3EA" w14:textId="77777777" w:rsidR="00C27D6A" w:rsidRPr="00DC75CC" w:rsidRDefault="00C27D6A" w:rsidP="00F36743">
            <w:pPr>
              <w:jc w:val="center"/>
              <w:rPr>
                <w:rFonts w:asciiTheme="majorHAnsi" w:hAnsiTheme="majorHAnsi"/>
                <w:color w:val="000000"/>
                <w:sz w:val="20"/>
                <w:szCs w:val="20"/>
              </w:rPr>
            </w:pPr>
            <w:r w:rsidRPr="00DC75CC">
              <w:rPr>
                <w:rFonts w:asciiTheme="majorHAnsi" w:hAnsiTheme="majorHAnsi"/>
                <w:color w:val="000000"/>
                <w:sz w:val="20"/>
              </w:rPr>
              <w:t>AT000TUR08122</w:t>
            </w:r>
          </w:p>
        </w:tc>
      </w:tr>
    </w:tbl>
    <w:p w14:paraId="567A979F" w14:textId="7EF850F1" w:rsidR="00405708" w:rsidRPr="00DC75CC" w:rsidRDefault="00405708" w:rsidP="00F36743">
      <w:pPr>
        <w:rPr>
          <w:rFonts w:asciiTheme="majorHAnsi" w:hAnsiTheme="majorHAnsi"/>
          <w:b/>
          <w:sz w:val="20"/>
          <w:szCs w:val="20"/>
          <w:lang w:val="en-GB"/>
        </w:rPr>
      </w:pPr>
    </w:p>
    <w:p w14:paraId="78FA4695" w14:textId="77777777" w:rsidR="00553A93" w:rsidRPr="00DC75CC" w:rsidRDefault="00553A93" w:rsidP="00F36743">
      <w:pPr>
        <w:rPr>
          <w:rFonts w:asciiTheme="majorHAnsi" w:hAnsiTheme="majorHAnsi"/>
          <w:b/>
          <w:sz w:val="20"/>
          <w:szCs w:val="20"/>
          <w:lang w:val="en-GB"/>
        </w:rPr>
      </w:pPr>
    </w:p>
    <w:p w14:paraId="7289350E" w14:textId="77777777" w:rsidR="00553A93" w:rsidRPr="00DC75CC" w:rsidRDefault="00553A93" w:rsidP="00F36743">
      <w:pPr>
        <w:rPr>
          <w:rFonts w:asciiTheme="majorHAnsi" w:hAnsiTheme="majorHAnsi"/>
          <w:b/>
          <w:sz w:val="20"/>
          <w:szCs w:val="20"/>
          <w:lang w:val="en-GB"/>
        </w:rPr>
      </w:pPr>
    </w:p>
    <w:p w14:paraId="6E62A5E0" w14:textId="77777777" w:rsidR="00553A93" w:rsidRPr="00DC75CC" w:rsidRDefault="00553A93" w:rsidP="00F36743">
      <w:pPr>
        <w:rPr>
          <w:rFonts w:asciiTheme="majorHAnsi" w:hAnsiTheme="majorHAnsi"/>
          <w:b/>
          <w:sz w:val="20"/>
          <w:szCs w:val="20"/>
          <w:lang w:val="en-GB"/>
        </w:rPr>
      </w:pPr>
    </w:p>
    <w:p w14:paraId="2372F28F" w14:textId="77777777" w:rsidR="00C2774B" w:rsidRPr="00DC75CC" w:rsidRDefault="00C2774B" w:rsidP="00F36743">
      <w:pPr>
        <w:rPr>
          <w:rFonts w:asciiTheme="majorHAnsi" w:hAnsiTheme="majorHAnsi"/>
          <w:b/>
          <w:sz w:val="20"/>
          <w:szCs w:val="20"/>
          <w:lang w:val="en-GB"/>
        </w:rPr>
      </w:pPr>
    </w:p>
    <w:p w14:paraId="499D8BE3" w14:textId="77777777" w:rsidR="00C2774B" w:rsidRPr="00DC75CC" w:rsidRDefault="00C2774B" w:rsidP="00F36743">
      <w:pPr>
        <w:rPr>
          <w:rFonts w:asciiTheme="majorHAnsi" w:hAnsiTheme="majorHAnsi"/>
          <w:b/>
          <w:sz w:val="20"/>
          <w:szCs w:val="20"/>
          <w:lang w:val="en-GB"/>
        </w:rPr>
      </w:pPr>
    </w:p>
    <w:p w14:paraId="2FD86232" w14:textId="77777777" w:rsidR="00D3469D" w:rsidRPr="00DC75CC" w:rsidRDefault="00D3469D" w:rsidP="00F36743">
      <w:pPr>
        <w:rPr>
          <w:rFonts w:asciiTheme="majorHAnsi" w:hAnsiTheme="majorHAnsi"/>
          <w:b/>
          <w:sz w:val="20"/>
          <w:szCs w:val="20"/>
          <w:lang w:val="en-GB"/>
        </w:rPr>
      </w:pPr>
    </w:p>
    <w:p w14:paraId="7D837DDB" w14:textId="77777777" w:rsidR="00D3469D" w:rsidRPr="00DC75CC" w:rsidRDefault="00D3469D" w:rsidP="00F36743">
      <w:pPr>
        <w:rPr>
          <w:rFonts w:asciiTheme="majorHAnsi" w:hAnsiTheme="majorHAnsi"/>
          <w:b/>
          <w:sz w:val="20"/>
          <w:szCs w:val="20"/>
          <w:lang w:val="en-GB"/>
        </w:rPr>
      </w:pPr>
    </w:p>
    <w:p w14:paraId="3F8C4B57" w14:textId="77777777" w:rsidR="00D3469D" w:rsidRPr="00DC75CC" w:rsidRDefault="00D3469D" w:rsidP="00F36743">
      <w:pPr>
        <w:rPr>
          <w:rFonts w:asciiTheme="majorHAnsi" w:hAnsiTheme="majorHAnsi"/>
          <w:b/>
          <w:sz w:val="20"/>
          <w:szCs w:val="20"/>
          <w:lang w:val="en-GB"/>
        </w:rPr>
      </w:pPr>
    </w:p>
    <w:p w14:paraId="140C4E89" w14:textId="77777777" w:rsidR="00D3469D" w:rsidRPr="00DC75CC" w:rsidRDefault="00D3469D" w:rsidP="00F36743">
      <w:pPr>
        <w:rPr>
          <w:rFonts w:asciiTheme="majorHAnsi" w:hAnsiTheme="majorHAnsi"/>
          <w:b/>
          <w:sz w:val="20"/>
          <w:szCs w:val="20"/>
          <w:lang w:val="en-GB"/>
        </w:rPr>
      </w:pPr>
    </w:p>
    <w:p w14:paraId="67B174A9" w14:textId="77777777" w:rsidR="00D3469D" w:rsidRPr="00DC75CC" w:rsidRDefault="00D3469D" w:rsidP="00F36743">
      <w:pPr>
        <w:rPr>
          <w:rFonts w:asciiTheme="majorHAnsi" w:hAnsiTheme="majorHAnsi"/>
          <w:b/>
          <w:sz w:val="20"/>
          <w:szCs w:val="20"/>
          <w:lang w:val="en-GB"/>
        </w:rPr>
      </w:pPr>
    </w:p>
    <w:p w14:paraId="60AE0926" w14:textId="77777777" w:rsidR="00D3469D" w:rsidRPr="00DC75CC" w:rsidRDefault="00D3469D" w:rsidP="00F36743">
      <w:pPr>
        <w:rPr>
          <w:rFonts w:asciiTheme="majorHAnsi" w:hAnsiTheme="majorHAnsi"/>
          <w:b/>
          <w:sz w:val="20"/>
          <w:szCs w:val="20"/>
          <w:lang w:val="en-GB"/>
        </w:rPr>
      </w:pPr>
    </w:p>
    <w:p w14:paraId="09DA032B" w14:textId="77777777" w:rsidR="00D3469D" w:rsidRPr="00DC75CC" w:rsidRDefault="00D3469D" w:rsidP="00F36743">
      <w:pPr>
        <w:rPr>
          <w:rFonts w:asciiTheme="majorHAnsi" w:hAnsiTheme="majorHAnsi"/>
          <w:b/>
          <w:sz w:val="20"/>
          <w:szCs w:val="20"/>
          <w:lang w:val="en-GB"/>
        </w:rPr>
      </w:pPr>
    </w:p>
    <w:p w14:paraId="7F618D4D" w14:textId="77777777" w:rsidR="00D3469D" w:rsidRPr="00DC75CC" w:rsidRDefault="00D3469D" w:rsidP="00F36743">
      <w:pPr>
        <w:rPr>
          <w:rFonts w:asciiTheme="majorHAnsi" w:hAnsiTheme="majorHAnsi"/>
          <w:b/>
          <w:sz w:val="20"/>
          <w:szCs w:val="20"/>
          <w:lang w:val="en-GB"/>
        </w:rPr>
      </w:pPr>
    </w:p>
    <w:p w14:paraId="605ECAA6" w14:textId="77777777" w:rsidR="00D3469D" w:rsidRPr="00DC75CC" w:rsidRDefault="00D3469D" w:rsidP="00F36743">
      <w:pPr>
        <w:rPr>
          <w:rFonts w:asciiTheme="majorHAnsi" w:hAnsiTheme="majorHAnsi"/>
          <w:b/>
          <w:sz w:val="20"/>
          <w:szCs w:val="20"/>
          <w:lang w:val="en-GB"/>
        </w:rPr>
      </w:pPr>
    </w:p>
    <w:p w14:paraId="2275D2A2" w14:textId="77777777" w:rsidR="00D3469D" w:rsidRPr="00DC75CC" w:rsidRDefault="00D3469D" w:rsidP="00F36743">
      <w:pPr>
        <w:rPr>
          <w:rFonts w:asciiTheme="majorHAnsi" w:hAnsiTheme="majorHAnsi"/>
          <w:b/>
          <w:sz w:val="20"/>
          <w:szCs w:val="20"/>
          <w:lang w:val="en-GB"/>
        </w:rPr>
      </w:pPr>
    </w:p>
    <w:p w14:paraId="22F4A785" w14:textId="77777777" w:rsidR="00D3469D" w:rsidRPr="00DC75CC" w:rsidRDefault="00D3469D" w:rsidP="00F36743">
      <w:pPr>
        <w:rPr>
          <w:rFonts w:asciiTheme="majorHAnsi" w:hAnsiTheme="majorHAnsi"/>
          <w:b/>
          <w:sz w:val="20"/>
          <w:szCs w:val="20"/>
          <w:lang w:val="en-GB"/>
        </w:rPr>
      </w:pPr>
    </w:p>
    <w:p w14:paraId="0D6E78B1" w14:textId="77777777" w:rsidR="00D3469D" w:rsidRPr="00DC75CC" w:rsidRDefault="00D3469D" w:rsidP="00F36743">
      <w:pPr>
        <w:rPr>
          <w:rFonts w:asciiTheme="majorHAnsi" w:hAnsiTheme="majorHAnsi"/>
          <w:b/>
          <w:sz w:val="20"/>
          <w:szCs w:val="20"/>
          <w:lang w:val="en-GB"/>
        </w:rPr>
      </w:pPr>
    </w:p>
    <w:p w14:paraId="3E02B64B" w14:textId="77777777" w:rsidR="00D3469D" w:rsidRPr="00DC75CC" w:rsidRDefault="00D3469D" w:rsidP="00F36743">
      <w:pPr>
        <w:rPr>
          <w:rFonts w:asciiTheme="majorHAnsi" w:hAnsiTheme="majorHAnsi"/>
          <w:b/>
          <w:sz w:val="20"/>
          <w:szCs w:val="20"/>
          <w:lang w:val="en-GB"/>
        </w:rPr>
      </w:pPr>
    </w:p>
    <w:p w14:paraId="688CBE1D" w14:textId="77777777" w:rsidR="00D3469D" w:rsidRPr="00DC75CC" w:rsidRDefault="00D3469D" w:rsidP="00F36743">
      <w:pPr>
        <w:rPr>
          <w:rFonts w:asciiTheme="majorHAnsi" w:hAnsiTheme="majorHAnsi"/>
          <w:b/>
          <w:sz w:val="20"/>
          <w:szCs w:val="20"/>
          <w:lang w:val="en-GB"/>
        </w:rPr>
      </w:pPr>
    </w:p>
    <w:p w14:paraId="01AA462C" w14:textId="77777777" w:rsidR="00D3469D" w:rsidRPr="00DC75CC" w:rsidRDefault="00D3469D" w:rsidP="00F36743">
      <w:pPr>
        <w:rPr>
          <w:rFonts w:asciiTheme="majorHAnsi" w:hAnsiTheme="majorHAnsi"/>
          <w:b/>
          <w:sz w:val="20"/>
          <w:szCs w:val="20"/>
          <w:lang w:val="en-GB"/>
        </w:rPr>
      </w:pPr>
    </w:p>
    <w:p w14:paraId="1FD761FF" w14:textId="77777777" w:rsidR="00D3469D" w:rsidRPr="00DC75CC" w:rsidRDefault="00D3469D" w:rsidP="00F36743">
      <w:pPr>
        <w:rPr>
          <w:rFonts w:asciiTheme="majorHAnsi" w:hAnsiTheme="majorHAnsi"/>
          <w:b/>
          <w:sz w:val="20"/>
          <w:szCs w:val="20"/>
          <w:lang w:val="en-GB"/>
        </w:rPr>
      </w:pPr>
    </w:p>
    <w:p w14:paraId="7EB2DB44" w14:textId="77777777" w:rsidR="00553A93" w:rsidRPr="00DC75CC" w:rsidRDefault="00553A93" w:rsidP="00F36743">
      <w:pPr>
        <w:rPr>
          <w:rFonts w:asciiTheme="majorHAnsi" w:hAnsiTheme="majorHAnsi"/>
          <w:b/>
          <w:sz w:val="20"/>
          <w:szCs w:val="20"/>
          <w:lang w:val="en-GB"/>
        </w:rPr>
      </w:pPr>
    </w:p>
    <w:p w14:paraId="4D6629C9" w14:textId="77777777" w:rsidR="00553A93" w:rsidRPr="00DC75CC" w:rsidRDefault="00553A93" w:rsidP="00F36743">
      <w:pPr>
        <w:rPr>
          <w:rFonts w:asciiTheme="majorHAnsi" w:hAnsiTheme="majorHAnsi"/>
          <w:b/>
          <w:sz w:val="20"/>
          <w:szCs w:val="20"/>
          <w:lang w:val="en-GB"/>
        </w:rPr>
      </w:pPr>
    </w:p>
    <w:p w14:paraId="2448A4C2" w14:textId="77777777" w:rsidR="00553A93" w:rsidRPr="00DC75CC" w:rsidRDefault="00553A93" w:rsidP="00F36743">
      <w:pPr>
        <w:rPr>
          <w:rFonts w:asciiTheme="majorHAnsi" w:hAnsiTheme="majorHAnsi"/>
          <w:b/>
          <w:sz w:val="20"/>
          <w:szCs w:val="20"/>
          <w:lang w:val="en-GB"/>
        </w:rPr>
      </w:pPr>
    </w:p>
    <w:p w14:paraId="298FF698" w14:textId="77777777" w:rsidR="00553A93" w:rsidRPr="00DC75CC" w:rsidRDefault="00553A93" w:rsidP="00F36743">
      <w:pPr>
        <w:rPr>
          <w:rFonts w:asciiTheme="majorHAnsi" w:hAnsiTheme="majorHAnsi"/>
          <w:b/>
          <w:sz w:val="20"/>
          <w:szCs w:val="20"/>
          <w:lang w:val="en-GB"/>
        </w:rPr>
      </w:pPr>
    </w:p>
    <w:p w14:paraId="1A007A12" w14:textId="325E808B" w:rsidR="009D3D7F" w:rsidRPr="00DC75CC" w:rsidRDefault="00B61AF9" w:rsidP="00F36743">
      <w:pPr>
        <w:jc w:val="both"/>
        <w:rPr>
          <w:rFonts w:asciiTheme="majorHAnsi" w:hAnsiTheme="majorHAnsi"/>
          <w:sz w:val="20"/>
          <w:szCs w:val="20"/>
        </w:rPr>
      </w:pPr>
      <w:r w:rsidRPr="00DC75CC">
        <w:rPr>
          <w:rFonts w:asciiTheme="majorHAnsi" w:hAnsiTheme="majorHAnsi"/>
          <w:b/>
          <w:sz w:val="20"/>
        </w:rPr>
        <w:t xml:space="preserve">Tabla 2. </w:t>
      </w:r>
      <w:r w:rsidRPr="00DC75CC">
        <w:rPr>
          <w:rFonts w:asciiTheme="majorHAnsi" w:hAnsiTheme="majorHAnsi"/>
          <w:sz w:val="20"/>
        </w:rPr>
        <w:t>Número de asignaciones en granjas/almadrabas por año.*</w:t>
      </w:r>
    </w:p>
    <w:p w14:paraId="546B9E69" w14:textId="1AC775F9" w:rsidR="00013B36" w:rsidRPr="00DC75CC" w:rsidRDefault="00013B36" w:rsidP="00F36743">
      <w:pPr>
        <w:rPr>
          <w:rFonts w:asciiTheme="majorHAnsi" w:hAnsiTheme="majorHAnsi"/>
          <w:b/>
          <w:bCs/>
          <w:color w:val="000000"/>
          <w:sz w:val="20"/>
          <w:szCs w:val="20"/>
        </w:rPr>
      </w:pPr>
    </w:p>
    <w:p w14:paraId="6F74D61E" w14:textId="58622233" w:rsidR="00D25DC8" w:rsidRPr="00DC75CC" w:rsidRDefault="00D25DC8" w:rsidP="00F36743">
      <w:pPr>
        <w:rPr>
          <w:rFonts w:asciiTheme="majorHAnsi" w:hAnsiTheme="majorHAnsi"/>
          <w:b/>
          <w:bCs/>
          <w:color w:val="000000"/>
          <w:sz w:val="20"/>
          <w:szCs w:val="20"/>
        </w:rPr>
      </w:pPr>
    </w:p>
    <w:tbl>
      <w:tblPr>
        <w:tblW w:w="4820" w:type="dxa"/>
        <w:jc w:val="center"/>
        <w:tblLook w:val="04A0" w:firstRow="1" w:lastRow="0" w:firstColumn="1" w:lastColumn="0" w:noHBand="0" w:noVBand="1"/>
      </w:tblPr>
      <w:tblGrid>
        <w:gridCol w:w="1276"/>
        <w:gridCol w:w="1843"/>
        <w:gridCol w:w="1701"/>
      </w:tblGrid>
      <w:tr w:rsidR="00D3469D" w:rsidRPr="00DC75CC" w14:paraId="0B32565E" w14:textId="77777777" w:rsidTr="00C75467">
        <w:trPr>
          <w:trHeight w:val="288"/>
          <w:jc w:val="center"/>
        </w:trPr>
        <w:tc>
          <w:tcPr>
            <w:tcW w:w="1276" w:type="dxa"/>
            <w:tcBorders>
              <w:top w:val="single" w:sz="4" w:space="0" w:color="auto"/>
              <w:left w:val="nil"/>
              <w:bottom w:val="single" w:sz="4" w:space="0" w:color="auto"/>
              <w:right w:val="nil"/>
            </w:tcBorders>
            <w:noWrap/>
            <w:vAlign w:val="center"/>
            <w:hideMark/>
          </w:tcPr>
          <w:p w14:paraId="7047262C" w14:textId="77777777" w:rsidR="00D25DC8" w:rsidRPr="00DC75CC" w:rsidRDefault="00D25DC8" w:rsidP="00F36743">
            <w:pPr>
              <w:jc w:val="center"/>
              <w:rPr>
                <w:rFonts w:asciiTheme="majorHAnsi" w:hAnsiTheme="majorHAnsi"/>
                <w:b/>
                <w:bCs/>
                <w:i/>
                <w:iCs/>
                <w:color w:val="000000"/>
                <w:sz w:val="20"/>
                <w:szCs w:val="20"/>
              </w:rPr>
            </w:pPr>
            <w:r w:rsidRPr="00DC75CC">
              <w:rPr>
                <w:rFonts w:asciiTheme="majorHAnsi" w:hAnsiTheme="majorHAnsi"/>
                <w:b/>
                <w:i/>
                <w:color w:val="000000"/>
                <w:sz w:val="20"/>
              </w:rPr>
              <w:t>Año</w:t>
            </w:r>
          </w:p>
        </w:tc>
        <w:tc>
          <w:tcPr>
            <w:tcW w:w="1843" w:type="dxa"/>
            <w:tcBorders>
              <w:top w:val="single" w:sz="4" w:space="0" w:color="auto"/>
              <w:left w:val="nil"/>
              <w:bottom w:val="single" w:sz="4" w:space="0" w:color="auto"/>
              <w:right w:val="nil"/>
            </w:tcBorders>
            <w:noWrap/>
            <w:vAlign w:val="center"/>
            <w:hideMark/>
          </w:tcPr>
          <w:p w14:paraId="749047C3" w14:textId="77777777" w:rsidR="00D25DC8" w:rsidRPr="00DC75CC" w:rsidRDefault="00D25DC8" w:rsidP="00F36743">
            <w:pPr>
              <w:jc w:val="center"/>
              <w:rPr>
                <w:rFonts w:asciiTheme="majorHAnsi" w:hAnsiTheme="majorHAnsi"/>
                <w:b/>
                <w:bCs/>
                <w:i/>
                <w:iCs/>
                <w:color w:val="000000"/>
                <w:sz w:val="20"/>
                <w:szCs w:val="20"/>
              </w:rPr>
            </w:pPr>
            <w:r w:rsidRPr="00DC75CC">
              <w:rPr>
                <w:rFonts w:asciiTheme="majorHAnsi" w:hAnsiTheme="majorHAnsi"/>
                <w:b/>
                <w:i/>
                <w:color w:val="000000"/>
                <w:sz w:val="20"/>
              </w:rPr>
              <w:t>Número de asignaciones en granjas</w:t>
            </w:r>
          </w:p>
        </w:tc>
        <w:tc>
          <w:tcPr>
            <w:tcW w:w="1701" w:type="dxa"/>
            <w:tcBorders>
              <w:top w:val="single" w:sz="4" w:space="0" w:color="auto"/>
              <w:left w:val="nil"/>
              <w:bottom w:val="single" w:sz="4" w:space="0" w:color="auto"/>
              <w:right w:val="nil"/>
            </w:tcBorders>
            <w:noWrap/>
            <w:vAlign w:val="center"/>
            <w:hideMark/>
          </w:tcPr>
          <w:p w14:paraId="5E1E05B0" w14:textId="77777777" w:rsidR="00D25DC8" w:rsidRPr="00DC75CC" w:rsidRDefault="00D25DC8" w:rsidP="00F36743">
            <w:pPr>
              <w:jc w:val="center"/>
              <w:rPr>
                <w:rFonts w:asciiTheme="majorHAnsi" w:hAnsiTheme="majorHAnsi"/>
                <w:b/>
                <w:bCs/>
                <w:i/>
                <w:iCs/>
                <w:color w:val="000000"/>
                <w:sz w:val="20"/>
                <w:szCs w:val="20"/>
              </w:rPr>
            </w:pPr>
            <w:r w:rsidRPr="00DC75CC">
              <w:rPr>
                <w:rFonts w:asciiTheme="majorHAnsi" w:hAnsiTheme="majorHAnsi"/>
                <w:b/>
                <w:i/>
                <w:color w:val="000000"/>
                <w:sz w:val="20"/>
              </w:rPr>
              <w:t>Número de asignaciones en almadrabas</w:t>
            </w:r>
          </w:p>
        </w:tc>
      </w:tr>
      <w:tr w:rsidR="00D25DC8" w:rsidRPr="00DC75CC" w14:paraId="54025E7F" w14:textId="77777777" w:rsidTr="00C75467">
        <w:trPr>
          <w:trHeight w:val="288"/>
          <w:jc w:val="center"/>
        </w:trPr>
        <w:tc>
          <w:tcPr>
            <w:tcW w:w="1276" w:type="dxa"/>
            <w:tcBorders>
              <w:top w:val="single" w:sz="4" w:space="0" w:color="auto"/>
              <w:left w:val="nil"/>
              <w:bottom w:val="nil"/>
              <w:right w:val="nil"/>
            </w:tcBorders>
            <w:noWrap/>
            <w:vAlign w:val="bottom"/>
            <w:hideMark/>
          </w:tcPr>
          <w:p w14:paraId="19A6D1FA"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2009</w:t>
            </w:r>
          </w:p>
        </w:tc>
        <w:tc>
          <w:tcPr>
            <w:tcW w:w="1843" w:type="dxa"/>
            <w:tcBorders>
              <w:top w:val="single" w:sz="4" w:space="0" w:color="auto"/>
              <w:left w:val="nil"/>
              <w:bottom w:val="nil"/>
              <w:right w:val="nil"/>
            </w:tcBorders>
            <w:noWrap/>
            <w:vAlign w:val="bottom"/>
            <w:hideMark/>
          </w:tcPr>
          <w:p w14:paraId="2FD2362B"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3</w:t>
            </w:r>
          </w:p>
        </w:tc>
        <w:tc>
          <w:tcPr>
            <w:tcW w:w="1701" w:type="dxa"/>
            <w:tcBorders>
              <w:top w:val="single" w:sz="4" w:space="0" w:color="auto"/>
              <w:left w:val="nil"/>
              <w:bottom w:val="nil"/>
              <w:right w:val="nil"/>
            </w:tcBorders>
            <w:noWrap/>
            <w:vAlign w:val="bottom"/>
            <w:hideMark/>
          </w:tcPr>
          <w:p w14:paraId="2E74DB00" w14:textId="77777777" w:rsidR="00D25DC8" w:rsidRPr="00DC75CC" w:rsidRDefault="00D25DC8" w:rsidP="00F36743">
            <w:pPr>
              <w:jc w:val="center"/>
              <w:rPr>
                <w:rFonts w:asciiTheme="majorHAnsi" w:hAnsiTheme="majorHAnsi"/>
                <w:color w:val="000000"/>
                <w:sz w:val="20"/>
                <w:szCs w:val="20"/>
              </w:rPr>
            </w:pPr>
          </w:p>
        </w:tc>
      </w:tr>
      <w:tr w:rsidR="00D25DC8" w:rsidRPr="00DC75CC" w14:paraId="4A292E2D" w14:textId="77777777" w:rsidTr="00C75467">
        <w:trPr>
          <w:trHeight w:val="288"/>
          <w:jc w:val="center"/>
        </w:trPr>
        <w:tc>
          <w:tcPr>
            <w:tcW w:w="1276" w:type="dxa"/>
            <w:tcBorders>
              <w:top w:val="nil"/>
              <w:left w:val="nil"/>
              <w:bottom w:val="nil"/>
              <w:right w:val="nil"/>
            </w:tcBorders>
            <w:noWrap/>
            <w:vAlign w:val="bottom"/>
            <w:hideMark/>
          </w:tcPr>
          <w:p w14:paraId="79F0239F"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2010</w:t>
            </w:r>
          </w:p>
        </w:tc>
        <w:tc>
          <w:tcPr>
            <w:tcW w:w="1843" w:type="dxa"/>
            <w:tcBorders>
              <w:top w:val="nil"/>
              <w:left w:val="nil"/>
              <w:bottom w:val="nil"/>
              <w:right w:val="nil"/>
            </w:tcBorders>
            <w:noWrap/>
            <w:vAlign w:val="bottom"/>
            <w:hideMark/>
          </w:tcPr>
          <w:p w14:paraId="0C9383C6"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41</w:t>
            </w:r>
          </w:p>
        </w:tc>
        <w:tc>
          <w:tcPr>
            <w:tcW w:w="1701" w:type="dxa"/>
            <w:tcBorders>
              <w:top w:val="nil"/>
              <w:left w:val="nil"/>
              <w:bottom w:val="nil"/>
              <w:right w:val="nil"/>
            </w:tcBorders>
            <w:noWrap/>
            <w:vAlign w:val="bottom"/>
            <w:hideMark/>
          </w:tcPr>
          <w:p w14:paraId="123303E5" w14:textId="77777777" w:rsidR="00D25DC8" w:rsidRPr="00DC75CC" w:rsidRDefault="00D25DC8" w:rsidP="00F36743">
            <w:pPr>
              <w:jc w:val="center"/>
              <w:rPr>
                <w:rFonts w:asciiTheme="majorHAnsi" w:hAnsiTheme="majorHAnsi"/>
                <w:color w:val="000000"/>
                <w:sz w:val="20"/>
                <w:szCs w:val="20"/>
              </w:rPr>
            </w:pPr>
          </w:p>
        </w:tc>
      </w:tr>
      <w:tr w:rsidR="00D25DC8" w:rsidRPr="00DC75CC" w14:paraId="6E157E71" w14:textId="77777777" w:rsidTr="00C75467">
        <w:trPr>
          <w:trHeight w:val="288"/>
          <w:jc w:val="center"/>
        </w:trPr>
        <w:tc>
          <w:tcPr>
            <w:tcW w:w="1276" w:type="dxa"/>
            <w:tcBorders>
              <w:top w:val="nil"/>
              <w:left w:val="nil"/>
              <w:bottom w:val="nil"/>
              <w:right w:val="nil"/>
            </w:tcBorders>
            <w:noWrap/>
            <w:vAlign w:val="bottom"/>
            <w:hideMark/>
          </w:tcPr>
          <w:p w14:paraId="28DD40DA"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2011</w:t>
            </w:r>
          </w:p>
        </w:tc>
        <w:tc>
          <w:tcPr>
            <w:tcW w:w="1843" w:type="dxa"/>
            <w:tcBorders>
              <w:top w:val="nil"/>
              <w:left w:val="nil"/>
              <w:bottom w:val="nil"/>
              <w:right w:val="nil"/>
            </w:tcBorders>
            <w:noWrap/>
            <w:vAlign w:val="bottom"/>
            <w:hideMark/>
          </w:tcPr>
          <w:p w14:paraId="4B0DB021"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53</w:t>
            </w:r>
          </w:p>
        </w:tc>
        <w:tc>
          <w:tcPr>
            <w:tcW w:w="1701" w:type="dxa"/>
            <w:tcBorders>
              <w:top w:val="nil"/>
              <w:left w:val="nil"/>
              <w:bottom w:val="nil"/>
              <w:right w:val="nil"/>
            </w:tcBorders>
            <w:noWrap/>
            <w:vAlign w:val="bottom"/>
            <w:hideMark/>
          </w:tcPr>
          <w:p w14:paraId="672AC005" w14:textId="77777777" w:rsidR="00D25DC8" w:rsidRPr="00DC75CC" w:rsidRDefault="00D25DC8" w:rsidP="00F36743">
            <w:pPr>
              <w:jc w:val="center"/>
              <w:rPr>
                <w:rFonts w:asciiTheme="majorHAnsi" w:hAnsiTheme="majorHAnsi"/>
                <w:color w:val="000000"/>
                <w:sz w:val="20"/>
                <w:szCs w:val="20"/>
              </w:rPr>
            </w:pPr>
          </w:p>
        </w:tc>
      </w:tr>
      <w:tr w:rsidR="00D25DC8" w:rsidRPr="00DC75CC" w14:paraId="049894ED" w14:textId="77777777" w:rsidTr="00C75467">
        <w:trPr>
          <w:trHeight w:val="288"/>
          <w:jc w:val="center"/>
        </w:trPr>
        <w:tc>
          <w:tcPr>
            <w:tcW w:w="1276" w:type="dxa"/>
            <w:tcBorders>
              <w:top w:val="nil"/>
              <w:left w:val="nil"/>
              <w:bottom w:val="nil"/>
              <w:right w:val="nil"/>
            </w:tcBorders>
            <w:noWrap/>
            <w:vAlign w:val="bottom"/>
            <w:hideMark/>
          </w:tcPr>
          <w:p w14:paraId="49A0B434"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2012</w:t>
            </w:r>
          </w:p>
        </w:tc>
        <w:tc>
          <w:tcPr>
            <w:tcW w:w="1843" w:type="dxa"/>
            <w:tcBorders>
              <w:top w:val="nil"/>
              <w:left w:val="nil"/>
              <w:bottom w:val="nil"/>
              <w:right w:val="nil"/>
            </w:tcBorders>
            <w:noWrap/>
            <w:vAlign w:val="bottom"/>
            <w:hideMark/>
          </w:tcPr>
          <w:p w14:paraId="352E122C"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51</w:t>
            </w:r>
          </w:p>
        </w:tc>
        <w:tc>
          <w:tcPr>
            <w:tcW w:w="1701" w:type="dxa"/>
            <w:tcBorders>
              <w:top w:val="nil"/>
              <w:left w:val="nil"/>
              <w:bottom w:val="nil"/>
              <w:right w:val="nil"/>
            </w:tcBorders>
            <w:noWrap/>
            <w:vAlign w:val="bottom"/>
            <w:hideMark/>
          </w:tcPr>
          <w:p w14:paraId="437BEF4F" w14:textId="77777777" w:rsidR="00D25DC8" w:rsidRPr="00DC75CC" w:rsidRDefault="00D25DC8" w:rsidP="00F36743">
            <w:pPr>
              <w:jc w:val="center"/>
              <w:rPr>
                <w:rFonts w:asciiTheme="majorHAnsi" w:hAnsiTheme="majorHAnsi"/>
                <w:color w:val="000000"/>
                <w:sz w:val="20"/>
                <w:szCs w:val="20"/>
              </w:rPr>
            </w:pPr>
          </w:p>
        </w:tc>
      </w:tr>
      <w:tr w:rsidR="00D25DC8" w:rsidRPr="00DC75CC" w14:paraId="65CA45D6" w14:textId="77777777" w:rsidTr="00C75467">
        <w:trPr>
          <w:trHeight w:val="288"/>
          <w:jc w:val="center"/>
        </w:trPr>
        <w:tc>
          <w:tcPr>
            <w:tcW w:w="1276" w:type="dxa"/>
            <w:tcBorders>
              <w:top w:val="nil"/>
              <w:left w:val="nil"/>
              <w:bottom w:val="nil"/>
              <w:right w:val="nil"/>
            </w:tcBorders>
            <w:noWrap/>
            <w:vAlign w:val="bottom"/>
            <w:hideMark/>
          </w:tcPr>
          <w:p w14:paraId="6C95F8CC"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2013</w:t>
            </w:r>
          </w:p>
        </w:tc>
        <w:tc>
          <w:tcPr>
            <w:tcW w:w="1843" w:type="dxa"/>
            <w:tcBorders>
              <w:top w:val="nil"/>
              <w:left w:val="nil"/>
              <w:bottom w:val="nil"/>
              <w:right w:val="nil"/>
            </w:tcBorders>
            <w:noWrap/>
            <w:vAlign w:val="bottom"/>
            <w:hideMark/>
          </w:tcPr>
          <w:p w14:paraId="5076ACDC"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50</w:t>
            </w:r>
          </w:p>
        </w:tc>
        <w:tc>
          <w:tcPr>
            <w:tcW w:w="1701" w:type="dxa"/>
            <w:tcBorders>
              <w:top w:val="nil"/>
              <w:left w:val="nil"/>
              <w:bottom w:val="nil"/>
              <w:right w:val="nil"/>
            </w:tcBorders>
            <w:noWrap/>
            <w:vAlign w:val="bottom"/>
            <w:hideMark/>
          </w:tcPr>
          <w:p w14:paraId="73D24C69"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w:t>
            </w:r>
          </w:p>
        </w:tc>
      </w:tr>
      <w:tr w:rsidR="00D25DC8" w:rsidRPr="00DC75CC" w14:paraId="4E827237" w14:textId="77777777" w:rsidTr="00C75467">
        <w:trPr>
          <w:trHeight w:val="288"/>
          <w:jc w:val="center"/>
        </w:trPr>
        <w:tc>
          <w:tcPr>
            <w:tcW w:w="1276" w:type="dxa"/>
            <w:tcBorders>
              <w:top w:val="nil"/>
              <w:left w:val="nil"/>
              <w:bottom w:val="nil"/>
              <w:right w:val="nil"/>
            </w:tcBorders>
            <w:noWrap/>
            <w:vAlign w:val="bottom"/>
            <w:hideMark/>
          </w:tcPr>
          <w:p w14:paraId="1BE61FF3"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2014</w:t>
            </w:r>
          </w:p>
        </w:tc>
        <w:tc>
          <w:tcPr>
            <w:tcW w:w="1843" w:type="dxa"/>
            <w:tcBorders>
              <w:top w:val="nil"/>
              <w:left w:val="nil"/>
              <w:bottom w:val="nil"/>
              <w:right w:val="nil"/>
            </w:tcBorders>
            <w:noWrap/>
            <w:vAlign w:val="bottom"/>
            <w:hideMark/>
          </w:tcPr>
          <w:p w14:paraId="666474C2"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45</w:t>
            </w:r>
          </w:p>
        </w:tc>
        <w:tc>
          <w:tcPr>
            <w:tcW w:w="1701" w:type="dxa"/>
            <w:tcBorders>
              <w:top w:val="nil"/>
              <w:left w:val="nil"/>
              <w:bottom w:val="nil"/>
              <w:right w:val="nil"/>
            </w:tcBorders>
            <w:noWrap/>
            <w:vAlign w:val="bottom"/>
            <w:hideMark/>
          </w:tcPr>
          <w:p w14:paraId="36E01B42"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3</w:t>
            </w:r>
          </w:p>
        </w:tc>
      </w:tr>
      <w:tr w:rsidR="00D25DC8" w:rsidRPr="00DC75CC" w14:paraId="292C7414" w14:textId="77777777" w:rsidTr="00C75467">
        <w:trPr>
          <w:trHeight w:val="288"/>
          <w:jc w:val="center"/>
        </w:trPr>
        <w:tc>
          <w:tcPr>
            <w:tcW w:w="1276" w:type="dxa"/>
            <w:tcBorders>
              <w:top w:val="nil"/>
              <w:left w:val="nil"/>
              <w:bottom w:val="nil"/>
              <w:right w:val="nil"/>
            </w:tcBorders>
            <w:noWrap/>
            <w:vAlign w:val="bottom"/>
            <w:hideMark/>
          </w:tcPr>
          <w:p w14:paraId="7D648D81"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2015</w:t>
            </w:r>
          </w:p>
        </w:tc>
        <w:tc>
          <w:tcPr>
            <w:tcW w:w="1843" w:type="dxa"/>
            <w:tcBorders>
              <w:top w:val="nil"/>
              <w:left w:val="nil"/>
              <w:bottom w:val="nil"/>
              <w:right w:val="nil"/>
            </w:tcBorders>
            <w:noWrap/>
            <w:vAlign w:val="bottom"/>
            <w:hideMark/>
          </w:tcPr>
          <w:p w14:paraId="159592CA"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52</w:t>
            </w:r>
          </w:p>
        </w:tc>
        <w:tc>
          <w:tcPr>
            <w:tcW w:w="1701" w:type="dxa"/>
            <w:tcBorders>
              <w:top w:val="nil"/>
              <w:left w:val="nil"/>
              <w:bottom w:val="nil"/>
              <w:right w:val="nil"/>
            </w:tcBorders>
            <w:noWrap/>
            <w:vAlign w:val="bottom"/>
            <w:hideMark/>
          </w:tcPr>
          <w:p w14:paraId="262D0BDA"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3</w:t>
            </w:r>
          </w:p>
        </w:tc>
      </w:tr>
      <w:tr w:rsidR="00D25DC8" w:rsidRPr="00DC75CC" w14:paraId="00988787" w14:textId="77777777" w:rsidTr="00C75467">
        <w:trPr>
          <w:trHeight w:val="288"/>
          <w:jc w:val="center"/>
        </w:trPr>
        <w:tc>
          <w:tcPr>
            <w:tcW w:w="1276" w:type="dxa"/>
            <w:tcBorders>
              <w:top w:val="nil"/>
              <w:left w:val="nil"/>
              <w:bottom w:val="nil"/>
              <w:right w:val="nil"/>
            </w:tcBorders>
            <w:noWrap/>
            <w:vAlign w:val="bottom"/>
            <w:hideMark/>
          </w:tcPr>
          <w:p w14:paraId="296DDA7D"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2016</w:t>
            </w:r>
          </w:p>
        </w:tc>
        <w:tc>
          <w:tcPr>
            <w:tcW w:w="1843" w:type="dxa"/>
            <w:tcBorders>
              <w:top w:val="nil"/>
              <w:left w:val="nil"/>
              <w:bottom w:val="nil"/>
              <w:right w:val="nil"/>
            </w:tcBorders>
            <w:noWrap/>
            <w:vAlign w:val="bottom"/>
            <w:hideMark/>
          </w:tcPr>
          <w:p w14:paraId="7663C23A"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53</w:t>
            </w:r>
          </w:p>
        </w:tc>
        <w:tc>
          <w:tcPr>
            <w:tcW w:w="1701" w:type="dxa"/>
            <w:tcBorders>
              <w:top w:val="nil"/>
              <w:left w:val="nil"/>
              <w:bottom w:val="nil"/>
              <w:right w:val="nil"/>
            </w:tcBorders>
            <w:noWrap/>
            <w:vAlign w:val="bottom"/>
            <w:hideMark/>
          </w:tcPr>
          <w:p w14:paraId="6C1F1C96"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w:t>
            </w:r>
          </w:p>
        </w:tc>
      </w:tr>
      <w:tr w:rsidR="00D25DC8" w:rsidRPr="00DC75CC" w14:paraId="26EF06CE" w14:textId="77777777" w:rsidTr="00C75467">
        <w:trPr>
          <w:trHeight w:val="288"/>
          <w:jc w:val="center"/>
        </w:trPr>
        <w:tc>
          <w:tcPr>
            <w:tcW w:w="1276" w:type="dxa"/>
            <w:tcBorders>
              <w:top w:val="nil"/>
              <w:left w:val="nil"/>
              <w:bottom w:val="nil"/>
              <w:right w:val="nil"/>
            </w:tcBorders>
            <w:noWrap/>
            <w:vAlign w:val="bottom"/>
            <w:hideMark/>
          </w:tcPr>
          <w:p w14:paraId="76940235"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2017</w:t>
            </w:r>
          </w:p>
        </w:tc>
        <w:tc>
          <w:tcPr>
            <w:tcW w:w="1843" w:type="dxa"/>
            <w:tcBorders>
              <w:top w:val="nil"/>
              <w:left w:val="nil"/>
              <w:bottom w:val="nil"/>
              <w:right w:val="nil"/>
            </w:tcBorders>
            <w:noWrap/>
            <w:vAlign w:val="bottom"/>
            <w:hideMark/>
          </w:tcPr>
          <w:p w14:paraId="2725A5FD"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49</w:t>
            </w:r>
          </w:p>
        </w:tc>
        <w:tc>
          <w:tcPr>
            <w:tcW w:w="1701" w:type="dxa"/>
            <w:tcBorders>
              <w:top w:val="nil"/>
              <w:left w:val="nil"/>
              <w:bottom w:val="nil"/>
              <w:right w:val="nil"/>
            </w:tcBorders>
            <w:noWrap/>
            <w:vAlign w:val="bottom"/>
            <w:hideMark/>
          </w:tcPr>
          <w:p w14:paraId="6A5DAE27"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w:t>
            </w:r>
          </w:p>
        </w:tc>
      </w:tr>
      <w:tr w:rsidR="00D25DC8" w:rsidRPr="00DC75CC" w14:paraId="5E324B10" w14:textId="77777777" w:rsidTr="00C75467">
        <w:trPr>
          <w:trHeight w:val="288"/>
          <w:jc w:val="center"/>
        </w:trPr>
        <w:tc>
          <w:tcPr>
            <w:tcW w:w="1276" w:type="dxa"/>
            <w:tcBorders>
              <w:top w:val="nil"/>
              <w:left w:val="nil"/>
              <w:bottom w:val="nil"/>
              <w:right w:val="nil"/>
            </w:tcBorders>
            <w:noWrap/>
            <w:vAlign w:val="bottom"/>
            <w:hideMark/>
          </w:tcPr>
          <w:p w14:paraId="3AE4D13F"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2018</w:t>
            </w:r>
          </w:p>
        </w:tc>
        <w:tc>
          <w:tcPr>
            <w:tcW w:w="1843" w:type="dxa"/>
            <w:tcBorders>
              <w:top w:val="nil"/>
              <w:left w:val="nil"/>
              <w:bottom w:val="nil"/>
              <w:right w:val="nil"/>
            </w:tcBorders>
            <w:noWrap/>
            <w:vAlign w:val="bottom"/>
            <w:hideMark/>
          </w:tcPr>
          <w:p w14:paraId="773C3181"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56</w:t>
            </w:r>
          </w:p>
        </w:tc>
        <w:tc>
          <w:tcPr>
            <w:tcW w:w="1701" w:type="dxa"/>
            <w:tcBorders>
              <w:top w:val="nil"/>
              <w:left w:val="nil"/>
              <w:bottom w:val="nil"/>
              <w:right w:val="nil"/>
            </w:tcBorders>
            <w:noWrap/>
            <w:vAlign w:val="bottom"/>
            <w:hideMark/>
          </w:tcPr>
          <w:p w14:paraId="5B4416FA"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4</w:t>
            </w:r>
          </w:p>
        </w:tc>
      </w:tr>
      <w:tr w:rsidR="00D25DC8" w:rsidRPr="00DC75CC" w14:paraId="088423F6" w14:textId="77777777" w:rsidTr="00C75467">
        <w:trPr>
          <w:trHeight w:val="288"/>
          <w:jc w:val="center"/>
        </w:trPr>
        <w:tc>
          <w:tcPr>
            <w:tcW w:w="1276" w:type="dxa"/>
            <w:tcBorders>
              <w:top w:val="nil"/>
              <w:left w:val="nil"/>
              <w:bottom w:val="nil"/>
              <w:right w:val="nil"/>
            </w:tcBorders>
            <w:noWrap/>
            <w:vAlign w:val="bottom"/>
            <w:hideMark/>
          </w:tcPr>
          <w:p w14:paraId="4A768146"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2019</w:t>
            </w:r>
          </w:p>
        </w:tc>
        <w:tc>
          <w:tcPr>
            <w:tcW w:w="1843" w:type="dxa"/>
            <w:tcBorders>
              <w:top w:val="nil"/>
              <w:left w:val="nil"/>
              <w:bottom w:val="nil"/>
              <w:right w:val="nil"/>
            </w:tcBorders>
            <w:noWrap/>
            <w:vAlign w:val="bottom"/>
            <w:hideMark/>
          </w:tcPr>
          <w:p w14:paraId="3F4A39D0"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69</w:t>
            </w:r>
          </w:p>
        </w:tc>
        <w:tc>
          <w:tcPr>
            <w:tcW w:w="1701" w:type="dxa"/>
            <w:tcBorders>
              <w:top w:val="nil"/>
              <w:left w:val="nil"/>
              <w:bottom w:val="nil"/>
              <w:right w:val="nil"/>
            </w:tcBorders>
            <w:noWrap/>
            <w:vAlign w:val="bottom"/>
            <w:hideMark/>
          </w:tcPr>
          <w:p w14:paraId="1D98C32C"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4</w:t>
            </w:r>
          </w:p>
        </w:tc>
      </w:tr>
      <w:tr w:rsidR="00D25DC8" w:rsidRPr="00DC75CC" w14:paraId="5C62BE6A" w14:textId="77777777" w:rsidTr="00C75467">
        <w:trPr>
          <w:trHeight w:val="288"/>
          <w:jc w:val="center"/>
        </w:trPr>
        <w:tc>
          <w:tcPr>
            <w:tcW w:w="1276" w:type="dxa"/>
            <w:tcBorders>
              <w:top w:val="nil"/>
              <w:left w:val="nil"/>
              <w:bottom w:val="nil"/>
              <w:right w:val="nil"/>
            </w:tcBorders>
            <w:noWrap/>
            <w:vAlign w:val="bottom"/>
            <w:hideMark/>
          </w:tcPr>
          <w:p w14:paraId="506457F4"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2020</w:t>
            </w:r>
          </w:p>
        </w:tc>
        <w:tc>
          <w:tcPr>
            <w:tcW w:w="1843" w:type="dxa"/>
            <w:tcBorders>
              <w:top w:val="nil"/>
              <w:left w:val="nil"/>
              <w:bottom w:val="nil"/>
              <w:right w:val="nil"/>
            </w:tcBorders>
            <w:noWrap/>
            <w:vAlign w:val="bottom"/>
            <w:hideMark/>
          </w:tcPr>
          <w:p w14:paraId="348EFF56"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67</w:t>
            </w:r>
          </w:p>
        </w:tc>
        <w:tc>
          <w:tcPr>
            <w:tcW w:w="1701" w:type="dxa"/>
            <w:tcBorders>
              <w:top w:val="nil"/>
              <w:left w:val="nil"/>
              <w:bottom w:val="nil"/>
              <w:right w:val="nil"/>
            </w:tcBorders>
            <w:noWrap/>
            <w:vAlign w:val="bottom"/>
            <w:hideMark/>
          </w:tcPr>
          <w:p w14:paraId="6CE65BF5"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3</w:t>
            </w:r>
          </w:p>
        </w:tc>
      </w:tr>
      <w:tr w:rsidR="00D25DC8" w:rsidRPr="00DC75CC" w14:paraId="75CC44CB" w14:textId="77777777" w:rsidTr="00C75467">
        <w:trPr>
          <w:trHeight w:val="288"/>
          <w:jc w:val="center"/>
        </w:trPr>
        <w:tc>
          <w:tcPr>
            <w:tcW w:w="1276" w:type="dxa"/>
            <w:tcBorders>
              <w:top w:val="nil"/>
              <w:left w:val="nil"/>
              <w:bottom w:val="nil"/>
              <w:right w:val="nil"/>
            </w:tcBorders>
            <w:noWrap/>
            <w:vAlign w:val="bottom"/>
            <w:hideMark/>
          </w:tcPr>
          <w:p w14:paraId="532FBE73"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2021</w:t>
            </w:r>
          </w:p>
        </w:tc>
        <w:tc>
          <w:tcPr>
            <w:tcW w:w="1843" w:type="dxa"/>
            <w:tcBorders>
              <w:top w:val="nil"/>
              <w:left w:val="nil"/>
              <w:bottom w:val="nil"/>
              <w:right w:val="nil"/>
            </w:tcBorders>
            <w:noWrap/>
            <w:vAlign w:val="bottom"/>
            <w:hideMark/>
          </w:tcPr>
          <w:p w14:paraId="69AA28BA"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61</w:t>
            </w:r>
          </w:p>
        </w:tc>
        <w:tc>
          <w:tcPr>
            <w:tcW w:w="1701" w:type="dxa"/>
            <w:tcBorders>
              <w:top w:val="nil"/>
              <w:left w:val="nil"/>
              <w:bottom w:val="nil"/>
              <w:right w:val="nil"/>
            </w:tcBorders>
            <w:noWrap/>
            <w:vAlign w:val="bottom"/>
            <w:hideMark/>
          </w:tcPr>
          <w:p w14:paraId="3FE95770"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1</w:t>
            </w:r>
          </w:p>
        </w:tc>
      </w:tr>
      <w:tr w:rsidR="00D25DC8" w:rsidRPr="00DC75CC" w14:paraId="066BDFC0" w14:textId="77777777" w:rsidTr="00C75467">
        <w:trPr>
          <w:trHeight w:val="288"/>
          <w:jc w:val="center"/>
        </w:trPr>
        <w:tc>
          <w:tcPr>
            <w:tcW w:w="1276" w:type="dxa"/>
            <w:tcBorders>
              <w:top w:val="nil"/>
              <w:left w:val="nil"/>
              <w:bottom w:val="nil"/>
              <w:right w:val="nil"/>
            </w:tcBorders>
            <w:noWrap/>
            <w:vAlign w:val="bottom"/>
            <w:hideMark/>
          </w:tcPr>
          <w:p w14:paraId="3878092C"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2022</w:t>
            </w:r>
          </w:p>
        </w:tc>
        <w:tc>
          <w:tcPr>
            <w:tcW w:w="1843" w:type="dxa"/>
            <w:tcBorders>
              <w:top w:val="nil"/>
              <w:left w:val="nil"/>
              <w:bottom w:val="nil"/>
              <w:right w:val="nil"/>
            </w:tcBorders>
            <w:noWrap/>
            <w:vAlign w:val="bottom"/>
            <w:hideMark/>
          </w:tcPr>
          <w:p w14:paraId="7004A656"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81</w:t>
            </w:r>
          </w:p>
        </w:tc>
        <w:tc>
          <w:tcPr>
            <w:tcW w:w="1701" w:type="dxa"/>
            <w:tcBorders>
              <w:top w:val="nil"/>
              <w:left w:val="nil"/>
              <w:bottom w:val="nil"/>
              <w:right w:val="nil"/>
            </w:tcBorders>
            <w:noWrap/>
            <w:vAlign w:val="bottom"/>
            <w:hideMark/>
          </w:tcPr>
          <w:p w14:paraId="7D6E2AC6"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3</w:t>
            </w:r>
          </w:p>
        </w:tc>
      </w:tr>
      <w:tr w:rsidR="00D25DC8" w:rsidRPr="00DC75CC" w14:paraId="5B31EF8D" w14:textId="77777777" w:rsidTr="00C75467">
        <w:trPr>
          <w:trHeight w:val="288"/>
          <w:jc w:val="center"/>
        </w:trPr>
        <w:tc>
          <w:tcPr>
            <w:tcW w:w="1276" w:type="dxa"/>
            <w:tcBorders>
              <w:top w:val="nil"/>
              <w:left w:val="nil"/>
              <w:bottom w:val="nil"/>
              <w:right w:val="nil"/>
            </w:tcBorders>
            <w:noWrap/>
            <w:vAlign w:val="bottom"/>
            <w:hideMark/>
          </w:tcPr>
          <w:p w14:paraId="737378ED"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2023</w:t>
            </w:r>
          </w:p>
        </w:tc>
        <w:tc>
          <w:tcPr>
            <w:tcW w:w="1843" w:type="dxa"/>
            <w:tcBorders>
              <w:top w:val="nil"/>
              <w:left w:val="nil"/>
              <w:bottom w:val="nil"/>
              <w:right w:val="nil"/>
            </w:tcBorders>
            <w:noWrap/>
            <w:vAlign w:val="bottom"/>
            <w:hideMark/>
          </w:tcPr>
          <w:p w14:paraId="2FF3146F"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66</w:t>
            </w:r>
          </w:p>
        </w:tc>
        <w:tc>
          <w:tcPr>
            <w:tcW w:w="1701" w:type="dxa"/>
            <w:tcBorders>
              <w:top w:val="nil"/>
              <w:left w:val="nil"/>
              <w:bottom w:val="nil"/>
              <w:right w:val="nil"/>
            </w:tcBorders>
            <w:noWrap/>
            <w:vAlign w:val="bottom"/>
            <w:hideMark/>
          </w:tcPr>
          <w:p w14:paraId="1B63B560"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w:t>
            </w:r>
          </w:p>
        </w:tc>
      </w:tr>
      <w:tr w:rsidR="00D25DC8" w:rsidRPr="00DC75CC" w14:paraId="06DA115D" w14:textId="77777777" w:rsidTr="00C75467">
        <w:trPr>
          <w:trHeight w:val="288"/>
          <w:jc w:val="center"/>
        </w:trPr>
        <w:tc>
          <w:tcPr>
            <w:tcW w:w="1276" w:type="dxa"/>
            <w:tcBorders>
              <w:top w:val="nil"/>
              <w:left w:val="nil"/>
              <w:bottom w:val="nil"/>
              <w:right w:val="nil"/>
            </w:tcBorders>
            <w:noWrap/>
            <w:vAlign w:val="bottom"/>
            <w:hideMark/>
          </w:tcPr>
          <w:p w14:paraId="25BFDF99"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2024</w:t>
            </w:r>
          </w:p>
        </w:tc>
        <w:tc>
          <w:tcPr>
            <w:tcW w:w="1843" w:type="dxa"/>
            <w:tcBorders>
              <w:top w:val="nil"/>
              <w:left w:val="nil"/>
              <w:bottom w:val="nil"/>
              <w:right w:val="nil"/>
            </w:tcBorders>
            <w:noWrap/>
            <w:vAlign w:val="bottom"/>
            <w:hideMark/>
          </w:tcPr>
          <w:p w14:paraId="4CF1AF39"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72</w:t>
            </w:r>
          </w:p>
        </w:tc>
        <w:tc>
          <w:tcPr>
            <w:tcW w:w="1701" w:type="dxa"/>
            <w:tcBorders>
              <w:top w:val="nil"/>
              <w:left w:val="nil"/>
              <w:bottom w:val="nil"/>
              <w:right w:val="nil"/>
            </w:tcBorders>
            <w:noWrap/>
            <w:vAlign w:val="bottom"/>
            <w:hideMark/>
          </w:tcPr>
          <w:p w14:paraId="6EDBF1D9"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w:t>
            </w:r>
          </w:p>
        </w:tc>
      </w:tr>
      <w:tr w:rsidR="00D25DC8" w:rsidRPr="00DC75CC" w14:paraId="5E3574F2" w14:textId="77777777" w:rsidTr="00C75467">
        <w:trPr>
          <w:trHeight w:val="288"/>
          <w:jc w:val="center"/>
        </w:trPr>
        <w:tc>
          <w:tcPr>
            <w:tcW w:w="1276" w:type="dxa"/>
            <w:tcBorders>
              <w:top w:val="nil"/>
              <w:left w:val="nil"/>
              <w:bottom w:val="single" w:sz="4" w:space="0" w:color="auto"/>
              <w:right w:val="nil"/>
            </w:tcBorders>
            <w:noWrap/>
            <w:vAlign w:val="bottom"/>
            <w:hideMark/>
          </w:tcPr>
          <w:p w14:paraId="76D8D641"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2025</w:t>
            </w:r>
          </w:p>
        </w:tc>
        <w:tc>
          <w:tcPr>
            <w:tcW w:w="1843" w:type="dxa"/>
            <w:tcBorders>
              <w:top w:val="nil"/>
              <w:left w:val="nil"/>
              <w:bottom w:val="single" w:sz="4" w:space="0" w:color="auto"/>
              <w:right w:val="nil"/>
            </w:tcBorders>
            <w:noWrap/>
            <w:vAlign w:val="bottom"/>
            <w:hideMark/>
          </w:tcPr>
          <w:p w14:paraId="77A061AA"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71</w:t>
            </w:r>
          </w:p>
        </w:tc>
        <w:tc>
          <w:tcPr>
            <w:tcW w:w="1701" w:type="dxa"/>
            <w:tcBorders>
              <w:top w:val="nil"/>
              <w:left w:val="nil"/>
              <w:bottom w:val="single" w:sz="4" w:space="0" w:color="auto"/>
              <w:right w:val="nil"/>
            </w:tcBorders>
            <w:noWrap/>
            <w:vAlign w:val="bottom"/>
            <w:hideMark/>
          </w:tcPr>
          <w:p w14:paraId="5ECF9FE1" w14:textId="77777777" w:rsidR="00D25DC8" w:rsidRPr="00DC75CC" w:rsidRDefault="00D25DC8" w:rsidP="00F36743">
            <w:pPr>
              <w:jc w:val="center"/>
              <w:rPr>
                <w:rFonts w:asciiTheme="majorHAnsi" w:hAnsiTheme="majorHAnsi"/>
                <w:color w:val="000000"/>
                <w:sz w:val="20"/>
                <w:szCs w:val="20"/>
              </w:rPr>
            </w:pPr>
            <w:r w:rsidRPr="00DC75CC">
              <w:rPr>
                <w:rFonts w:asciiTheme="majorHAnsi" w:hAnsiTheme="majorHAnsi"/>
                <w:color w:val="000000"/>
                <w:sz w:val="20"/>
              </w:rPr>
              <w:t>0</w:t>
            </w:r>
          </w:p>
        </w:tc>
      </w:tr>
      <w:tr w:rsidR="00BF307D" w:rsidRPr="00DC75CC" w14:paraId="450E4D2B" w14:textId="77777777" w:rsidTr="00C75467">
        <w:trPr>
          <w:trHeight w:val="288"/>
          <w:jc w:val="center"/>
        </w:trPr>
        <w:tc>
          <w:tcPr>
            <w:tcW w:w="4820" w:type="dxa"/>
            <w:gridSpan w:val="3"/>
            <w:tcBorders>
              <w:top w:val="single" w:sz="4" w:space="0" w:color="auto"/>
              <w:left w:val="nil"/>
              <w:bottom w:val="nil"/>
            </w:tcBorders>
            <w:noWrap/>
            <w:vAlign w:val="bottom"/>
          </w:tcPr>
          <w:p w14:paraId="3220FFC4" w14:textId="77777777" w:rsidR="00BF307D" w:rsidRPr="00DC75CC" w:rsidRDefault="00BF307D" w:rsidP="00F36743">
            <w:pPr>
              <w:rPr>
                <w:rFonts w:asciiTheme="majorHAnsi" w:hAnsiTheme="majorHAnsi"/>
                <w:color w:val="000000"/>
                <w:sz w:val="16"/>
                <w:szCs w:val="16"/>
              </w:rPr>
            </w:pPr>
            <w:r w:rsidRPr="00DC75CC">
              <w:rPr>
                <w:rFonts w:asciiTheme="majorHAnsi" w:hAnsiTheme="majorHAnsi"/>
                <w:color w:val="000000"/>
                <w:sz w:val="16"/>
                <w:szCs w:val="16"/>
              </w:rPr>
              <w:t>* A 17 de octubre de 2025.</w:t>
            </w:r>
          </w:p>
          <w:p w14:paraId="6B26A82A" w14:textId="77777777" w:rsidR="00BF307D" w:rsidRPr="00DC75CC" w:rsidRDefault="00BF307D" w:rsidP="00F36743">
            <w:pPr>
              <w:jc w:val="center"/>
              <w:rPr>
                <w:rFonts w:asciiTheme="majorHAnsi" w:hAnsiTheme="majorHAnsi"/>
                <w:color w:val="000000"/>
                <w:sz w:val="16"/>
                <w:szCs w:val="16"/>
              </w:rPr>
            </w:pPr>
          </w:p>
        </w:tc>
      </w:tr>
      <w:tr w:rsidR="00D25DC8" w:rsidRPr="00DC75CC" w14:paraId="0E0EDA17" w14:textId="77777777" w:rsidTr="00C75467">
        <w:trPr>
          <w:trHeight w:val="288"/>
          <w:jc w:val="center"/>
        </w:trPr>
        <w:tc>
          <w:tcPr>
            <w:tcW w:w="3119" w:type="dxa"/>
            <w:gridSpan w:val="2"/>
            <w:tcBorders>
              <w:top w:val="nil"/>
              <w:left w:val="nil"/>
              <w:bottom w:val="nil"/>
              <w:right w:val="nil"/>
            </w:tcBorders>
            <w:noWrap/>
            <w:vAlign w:val="bottom"/>
            <w:hideMark/>
          </w:tcPr>
          <w:p w14:paraId="43D44B92" w14:textId="47C6F464" w:rsidR="00D25DC8" w:rsidRPr="00DC75CC" w:rsidRDefault="00D25DC8" w:rsidP="00F36743">
            <w:pPr>
              <w:jc w:val="center"/>
              <w:rPr>
                <w:rFonts w:asciiTheme="majorHAnsi" w:hAnsiTheme="majorHAnsi"/>
                <w:color w:val="000000"/>
                <w:sz w:val="20"/>
                <w:szCs w:val="20"/>
              </w:rPr>
            </w:pPr>
          </w:p>
        </w:tc>
        <w:tc>
          <w:tcPr>
            <w:tcW w:w="1701" w:type="dxa"/>
            <w:tcBorders>
              <w:top w:val="nil"/>
              <w:left w:val="nil"/>
              <w:bottom w:val="nil"/>
              <w:right w:val="nil"/>
            </w:tcBorders>
            <w:noWrap/>
            <w:vAlign w:val="bottom"/>
            <w:hideMark/>
          </w:tcPr>
          <w:p w14:paraId="4263E9D8" w14:textId="77777777" w:rsidR="00D25DC8" w:rsidRPr="00DC75CC" w:rsidRDefault="00D25DC8" w:rsidP="00F36743">
            <w:pPr>
              <w:rPr>
                <w:rFonts w:asciiTheme="majorHAnsi" w:hAnsiTheme="majorHAnsi"/>
                <w:color w:val="000000"/>
                <w:sz w:val="20"/>
                <w:szCs w:val="20"/>
              </w:rPr>
            </w:pPr>
          </w:p>
        </w:tc>
      </w:tr>
    </w:tbl>
    <w:p w14:paraId="0B7DFFA9" w14:textId="77777777" w:rsidR="009E60C4" w:rsidRPr="00DC75CC" w:rsidRDefault="009E60C4" w:rsidP="00F36743">
      <w:pPr>
        <w:rPr>
          <w:rFonts w:asciiTheme="majorHAnsi" w:hAnsiTheme="majorHAnsi"/>
          <w:b/>
          <w:bCs/>
          <w:color w:val="000000"/>
          <w:sz w:val="20"/>
          <w:szCs w:val="20"/>
          <w:lang w:val="en-GB"/>
        </w:rPr>
      </w:pPr>
    </w:p>
    <w:p w14:paraId="6B6E4686" w14:textId="77777777" w:rsidR="009E60C4" w:rsidRPr="00DC75CC" w:rsidRDefault="009E60C4">
      <w:pPr>
        <w:rPr>
          <w:rFonts w:asciiTheme="majorHAnsi" w:hAnsiTheme="majorHAnsi"/>
          <w:b/>
          <w:bCs/>
          <w:color w:val="000000"/>
          <w:sz w:val="20"/>
          <w:szCs w:val="20"/>
        </w:rPr>
      </w:pPr>
      <w:r w:rsidRPr="00DC75CC">
        <w:rPr>
          <w:rFonts w:asciiTheme="majorHAnsi" w:hAnsiTheme="majorHAnsi"/>
        </w:rPr>
        <w:br w:type="page"/>
      </w:r>
    </w:p>
    <w:p w14:paraId="5901D8AA" w14:textId="7BC5B99A" w:rsidR="00195E29" w:rsidRPr="00DC75CC" w:rsidRDefault="00195E29" w:rsidP="00F36743">
      <w:pPr>
        <w:rPr>
          <w:rFonts w:asciiTheme="majorHAnsi" w:hAnsiTheme="majorHAnsi"/>
          <w:bCs/>
          <w:color w:val="000000"/>
          <w:sz w:val="20"/>
          <w:szCs w:val="20"/>
        </w:rPr>
      </w:pPr>
      <w:r w:rsidRPr="00DC75CC">
        <w:rPr>
          <w:rFonts w:asciiTheme="majorHAnsi" w:hAnsiTheme="majorHAnsi"/>
          <w:b/>
          <w:color w:val="000000"/>
          <w:sz w:val="20"/>
        </w:rPr>
        <w:t xml:space="preserve">Tabla 3.  </w:t>
      </w:r>
      <w:r w:rsidRPr="00DC75CC">
        <w:rPr>
          <w:rFonts w:asciiTheme="majorHAnsi" w:hAnsiTheme="majorHAnsi"/>
          <w:color w:val="000000"/>
          <w:sz w:val="20"/>
        </w:rPr>
        <w:t>Granjas a las que se asignaron organizaciones regionales de ICCAT de 2023 a 2025.</w:t>
      </w:r>
    </w:p>
    <w:tbl>
      <w:tblPr>
        <w:tblW w:w="5000" w:type="pct"/>
        <w:tblLook w:val="04A0" w:firstRow="1" w:lastRow="0" w:firstColumn="1" w:lastColumn="0" w:noHBand="0" w:noVBand="1"/>
      </w:tblPr>
      <w:tblGrid>
        <w:gridCol w:w="2492"/>
        <w:gridCol w:w="2295"/>
        <w:gridCol w:w="2141"/>
        <w:gridCol w:w="2142"/>
      </w:tblGrid>
      <w:tr w:rsidR="00337865" w:rsidRPr="00DC75CC" w14:paraId="2D4DBC3C" w14:textId="77777777" w:rsidTr="009E60C4">
        <w:trPr>
          <w:trHeight w:val="288"/>
        </w:trPr>
        <w:tc>
          <w:tcPr>
            <w:tcW w:w="1374" w:type="pct"/>
            <w:tcBorders>
              <w:top w:val="single" w:sz="4" w:space="0" w:color="auto"/>
              <w:bottom w:val="single" w:sz="4" w:space="0" w:color="auto"/>
            </w:tcBorders>
            <w:noWrap/>
            <w:vAlign w:val="center"/>
            <w:hideMark/>
          </w:tcPr>
          <w:p w14:paraId="5F179933" w14:textId="77777777" w:rsidR="00337865" w:rsidRPr="00DC75CC" w:rsidRDefault="00337865" w:rsidP="00F36743">
            <w:pPr>
              <w:rPr>
                <w:rFonts w:asciiTheme="majorHAnsi" w:hAnsiTheme="majorHAnsi"/>
                <w:b/>
                <w:bCs/>
                <w:i/>
                <w:iCs/>
                <w:color w:val="000000"/>
                <w:sz w:val="20"/>
                <w:szCs w:val="20"/>
              </w:rPr>
            </w:pPr>
            <w:r w:rsidRPr="00DC75CC">
              <w:rPr>
                <w:rFonts w:asciiTheme="majorHAnsi" w:hAnsiTheme="majorHAnsi"/>
                <w:b/>
                <w:i/>
                <w:color w:val="000000"/>
                <w:sz w:val="20"/>
              </w:rPr>
              <w:t>CPC</w:t>
            </w:r>
          </w:p>
        </w:tc>
        <w:tc>
          <w:tcPr>
            <w:tcW w:w="1265" w:type="pct"/>
            <w:tcBorders>
              <w:top w:val="single" w:sz="4" w:space="0" w:color="auto"/>
              <w:bottom w:val="single" w:sz="4" w:space="0" w:color="auto"/>
            </w:tcBorders>
            <w:vAlign w:val="center"/>
            <w:hideMark/>
          </w:tcPr>
          <w:p w14:paraId="275D134B" w14:textId="77777777" w:rsidR="00337865" w:rsidRPr="00DC75CC" w:rsidRDefault="00337865" w:rsidP="00F36743">
            <w:pPr>
              <w:jc w:val="center"/>
              <w:rPr>
                <w:rFonts w:asciiTheme="majorHAnsi" w:hAnsiTheme="majorHAnsi"/>
                <w:b/>
                <w:bCs/>
                <w:i/>
                <w:iCs/>
                <w:color w:val="000000"/>
                <w:sz w:val="20"/>
                <w:szCs w:val="20"/>
              </w:rPr>
            </w:pPr>
            <w:r w:rsidRPr="00DC75CC">
              <w:rPr>
                <w:rFonts w:asciiTheme="majorHAnsi" w:hAnsiTheme="majorHAnsi"/>
                <w:b/>
                <w:i/>
                <w:color w:val="000000"/>
                <w:sz w:val="20"/>
              </w:rPr>
              <w:t>2023</w:t>
            </w:r>
          </w:p>
        </w:tc>
        <w:tc>
          <w:tcPr>
            <w:tcW w:w="1180" w:type="pct"/>
            <w:tcBorders>
              <w:top w:val="single" w:sz="4" w:space="0" w:color="auto"/>
              <w:bottom w:val="single" w:sz="4" w:space="0" w:color="auto"/>
            </w:tcBorders>
            <w:vAlign w:val="center"/>
            <w:hideMark/>
          </w:tcPr>
          <w:p w14:paraId="38B9EEF3" w14:textId="77777777" w:rsidR="00337865" w:rsidRPr="00DC75CC" w:rsidRDefault="00337865" w:rsidP="00F36743">
            <w:pPr>
              <w:jc w:val="center"/>
              <w:rPr>
                <w:rFonts w:asciiTheme="majorHAnsi" w:hAnsiTheme="majorHAnsi"/>
                <w:b/>
                <w:bCs/>
                <w:i/>
                <w:iCs/>
                <w:color w:val="000000"/>
                <w:sz w:val="20"/>
                <w:szCs w:val="20"/>
              </w:rPr>
            </w:pPr>
            <w:r w:rsidRPr="00DC75CC">
              <w:rPr>
                <w:rFonts w:asciiTheme="majorHAnsi" w:hAnsiTheme="majorHAnsi"/>
                <w:b/>
                <w:i/>
                <w:color w:val="000000"/>
                <w:sz w:val="20"/>
              </w:rPr>
              <w:t>2024</w:t>
            </w:r>
          </w:p>
        </w:tc>
        <w:tc>
          <w:tcPr>
            <w:tcW w:w="1181" w:type="pct"/>
            <w:tcBorders>
              <w:top w:val="single" w:sz="4" w:space="0" w:color="auto"/>
              <w:bottom w:val="single" w:sz="4" w:space="0" w:color="auto"/>
            </w:tcBorders>
            <w:vAlign w:val="center"/>
            <w:hideMark/>
          </w:tcPr>
          <w:p w14:paraId="5010BDCA" w14:textId="77777777" w:rsidR="00337865" w:rsidRPr="00DC75CC" w:rsidRDefault="00337865" w:rsidP="00F36743">
            <w:pPr>
              <w:jc w:val="center"/>
              <w:rPr>
                <w:rFonts w:asciiTheme="majorHAnsi" w:hAnsiTheme="majorHAnsi"/>
                <w:b/>
                <w:bCs/>
                <w:i/>
                <w:iCs/>
                <w:color w:val="000000"/>
                <w:sz w:val="20"/>
                <w:szCs w:val="20"/>
              </w:rPr>
            </w:pPr>
            <w:r w:rsidRPr="00DC75CC">
              <w:rPr>
                <w:rFonts w:asciiTheme="majorHAnsi" w:hAnsiTheme="majorHAnsi"/>
                <w:b/>
                <w:i/>
                <w:color w:val="000000"/>
                <w:sz w:val="20"/>
              </w:rPr>
              <w:t>2025</w:t>
            </w:r>
          </w:p>
        </w:tc>
      </w:tr>
      <w:tr w:rsidR="00337865" w:rsidRPr="00DC75CC" w14:paraId="3D3C5CBF" w14:textId="77777777" w:rsidTr="009E60C4">
        <w:trPr>
          <w:trHeight w:val="240"/>
        </w:trPr>
        <w:tc>
          <w:tcPr>
            <w:tcW w:w="1374" w:type="pct"/>
            <w:tcBorders>
              <w:top w:val="single" w:sz="4" w:space="0" w:color="auto"/>
              <w:left w:val="nil"/>
              <w:bottom w:val="nil"/>
              <w:right w:val="nil"/>
            </w:tcBorders>
            <w:noWrap/>
            <w:vAlign w:val="bottom"/>
            <w:hideMark/>
          </w:tcPr>
          <w:p w14:paraId="1A3B1913"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Albania</w:t>
            </w:r>
          </w:p>
        </w:tc>
        <w:tc>
          <w:tcPr>
            <w:tcW w:w="1265" w:type="pct"/>
            <w:tcBorders>
              <w:top w:val="single" w:sz="4" w:space="0" w:color="auto"/>
              <w:left w:val="nil"/>
              <w:bottom w:val="nil"/>
              <w:right w:val="nil"/>
            </w:tcBorders>
            <w:noWrap/>
            <w:vAlign w:val="bottom"/>
            <w:hideMark/>
          </w:tcPr>
          <w:p w14:paraId="683DA81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AT001ALB00001</w:t>
            </w:r>
          </w:p>
        </w:tc>
        <w:tc>
          <w:tcPr>
            <w:tcW w:w="1180" w:type="pct"/>
            <w:tcBorders>
              <w:top w:val="single" w:sz="4" w:space="0" w:color="auto"/>
              <w:left w:val="nil"/>
              <w:bottom w:val="nil"/>
              <w:right w:val="nil"/>
            </w:tcBorders>
            <w:noWrap/>
            <w:vAlign w:val="bottom"/>
            <w:hideMark/>
          </w:tcPr>
          <w:p w14:paraId="20678C46"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AT001ALB00001</w:t>
            </w:r>
          </w:p>
        </w:tc>
        <w:tc>
          <w:tcPr>
            <w:tcW w:w="1181" w:type="pct"/>
            <w:tcBorders>
              <w:top w:val="single" w:sz="4" w:space="0" w:color="auto"/>
              <w:left w:val="nil"/>
              <w:bottom w:val="nil"/>
              <w:right w:val="nil"/>
            </w:tcBorders>
            <w:noWrap/>
            <w:vAlign w:val="bottom"/>
            <w:hideMark/>
          </w:tcPr>
          <w:p w14:paraId="3F7D1932"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AT001ALB00001</w:t>
            </w:r>
          </w:p>
        </w:tc>
      </w:tr>
      <w:tr w:rsidR="00337865" w:rsidRPr="00DC75CC" w14:paraId="6758E43B" w14:textId="77777777" w:rsidTr="009E60C4">
        <w:trPr>
          <w:trHeight w:val="240"/>
        </w:trPr>
        <w:tc>
          <w:tcPr>
            <w:tcW w:w="1374" w:type="pct"/>
            <w:tcBorders>
              <w:top w:val="nil"/>
              <w:left w:val="nil"/>
              <w:bottom w:val="nil"/>
              <w:right w:val="nil"/>
            </w:tcBorders>
            <w:noWrap/>
            <w:vAlign w:val="bottom"/>
            <w:hideMark/>
          </w:tcPr>
          <w:p w14:paraId="4FBECD19"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UE-Croacia</w:t>
            </w:r>
          </w:p>
        </w:tc>
        <w:tc>
          <w:tcPr>
            <w:tcW w:w="1265" w:type="pct"/>
            <w:tcBorders>
              <w:top w:val="nil"/>
              <w:left w:val="nil"/>
              <w:bottom w:val="nil"/>
              <w:right w:val="nil"/>
            </w:tcBorders>
            <w:noWrap/>
            <w:vAlign w:val="bottom"/>
            <w:hideMark/>
          </w:tcPr>
          <w:p w14:paraId="65CF1D62"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ATEU1HRV00006</w:t>
            </w:r>
          </w:p>
        </w:tc>
        <w:tc>
          <w:tcPr>
            <w:tcW w:w="1180" w:type="pct"/>
            <w:tcBorders>
              <w:top w:val="nil"/>
              <w:left w:val="nil"/>
              <w:bottom w:val="nil"/>
              <w:right w:val="nil"/>
            </w:tcBorders>
            <w:noWrap/>
            <w:vAlign w:val="bottom"/>
            <w:hideMark/>
          </w:tcPr>
          <w:p w14:paraId="55A7289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ATEU1HRV00006</w:t>
            </w:r>
          </w:p>
        </w:tc>
        <w:tc>
          <w:tcPr>
            <w:tcW w:w="1181" w:type="pct"/>
            <w:tcBorders>
              <w:top w:val="nil"/>
              <w:left w:val="nil"/>
              <w:bottom w:val="nil"/>
              <w:right w:val="nil"/>
            </w:tcBorders>
            <w:noWrap/>
            <w:vAlign w:val="bottom"/>
            <w:hideMark/>
          </w:tcPr>
          <w:p w14:paraId="08CE2472"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ATEU1HRV00006</w:t>
            </w:r>
          </w:p>
        </w:tc>
      </w:tr>
      <w:tr w:rsidR="00337865" w:rsidRPr="00DC75CC" w14:paraId="0AF580EB" w14:textId="77777777" w:rsidTr="009E60C4">
        <w:trPr>
          <w:trHeight w:val="240"/>
        </w:trPr>
        <w:tc>
          <w:tcPr>
            <w:tcW w:w="1374" w:type="pct"/>
            <w:tcBorders>
              <w:top w:val="nil"/>
              <w:left w:val="nil"/>
              <w:bottom w:val="nil"/>
              <w:right w:val="nil"/>
            </w:tcBorders>
            <w:noWrap/>
            <w:vAlign w:val="bottom"/>
            <w:hideMark/>
          </w:tcPr>
          <w:p w14:paraId="58389BD3"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UE-Croacia</w:t>
            </w:r>
          </w:p>
        </w:tc>
        <w:tc>
          <w:tcPr>
            <w:tcW w:w="1265" w:type="pct"/>
            <w:tcBorders>
              <w:top w:val="nil"/>
              <w:left w:val="nil"/>
              <w:bottom w:val="nil"/>
              <w:right w:val="nil"/>
            </w:tcBorders>
            <w:noWrap/>
            <w:vAlign w:val="bottom"/>
            <w:hideMark/>
          </w:tcPr>
          <w:p w14:paraId="0EBED92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ATEU1HRV00008</w:t>
            </w:r>
          </w:p>
        </w:tc>
        <w:tc>
          <w:tcPr>
            <w:tcW w:w="1180" w:type="pct"/>
            <w:tcBorders>
              <w:top w:val="nil"/>
              <w:left w:val="nil"/>
              <w:bottom w:val="nil"/>
              <w:right w:val="nil"/>
            </w:tcBorders>
            <w:noWrap/>
            <w:vAlign w:val="bottom"/>
            <w:hideMark/>
          </w:tcPr>
          <w:p w14:paraId="4A9E5FE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ATEU1HRV00008</w:t>
            </w:r>
          </w:p>
        </w:tc>
        <w:tc>
          <w:tcPr>
            <w:tcW w:w="1181" w:type="pct"/>
            <w:tcBorders>
              <w:top w:val="nil"/>
              <w:left w:val="nil"/>
              <w:bottom w:val="nil"/>
              <w:right w:val="nil"/>
            </w:tcBorders>
            <w:noWrap/>
            <w:vAlign w:val="bottom"/>
            <w:hideMark/>
          </w:tcPr>
          <w:p w14:paraId="38D2D30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ATEU1HRV00008</w:t>
            </w:r>
          </w:p>
        </w:tc>
      </w:tr>
      <w:tr w:rsidR="00337865" w:rsidRPr="00DC75CC" w14:paraId="3ECD42D3" w14:textId="77777777" w:rsidTr="009E60C4">
        <w:trPr>
          <w:trHeight w:val="240"/>
        </w:trPr>
        <w:tc>
          <w:tcPr>
            <w:tcW w:w="1374" w:type="pct"/>
            <w:tcBorders>
              <w:top w:val="nil"/>
              <w:left w:val="nil"/>
              <w:bottom w:val="nil"/>
              <w:right w:val="nil"/>
            </w:tcBorders>
            <w:noWrap/>
            <w:vAlign w:val="bottom"/>
            <w:hideMark/>
          </w:tcPr>
          <w:p w14:paraId="075F69A7"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UE-Croacia</w:t>
            </w:r>
          </w:p>
        </w:tc>
        <w:tc>
          <w:tcPr>
            <w:tcW w:w="1265" w:type="pct"/>
            <w:tcBorders>
              <w:top w:val="nil"/>
              <w:left w:val="nil"/>
              <w:bottom w:val="nil"/>
              <w:right w:val="nil"/>
            </w:tcBorders>
            <w:noWrap/>
            <w:vAlign w:val="bottom"/>
            <w:hideMark/>
          </w:tcPr>
          <w:p w14:paraId="7264DA92"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ATEU1HRV00011</w:t>
            </w:r>
          </w:p>
        </w:tc>
        <w:tc>
          <w:tcPr>
            <w:tcW w:w="1180" w:type="pct"/>
            <w:tcBorders>
              <w:top w:val="nil"/>
              <w:left w:val="nil"/>
              <w:bottom w:val="nil"/>
              <w:right w:val="nil"/>
            </w:tcBorders>
            <w:noWrap/>
            <w:vAlign w:val="bottom"/>
            <w:hideMark/>
          </w:tcPr>
          <w:p w14:paraId="22220801"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ATEU1HRV00011</w:t>
            </w:r>
          </w:p>
        </w:tc>
        <w:tc>
          <w:tcPr>
            <w:tcW w:w="1181" w:type="pct"/>
            <w:tcBorders>
              <w:top w:val="nil"/>
              <w:left w:val="nil"/>
              <w:bottom w:val="nil"/>
              <w:right w:val="nil"/>
            </w:tcBorders>
            <w:noWrap/>
            <w:vAlign w:val="bottom"/>
            <w:hideMark/>
          </w:tcPr>
          <w:p w14:paraId="0E99D6AC"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ATEU1HRV00011</w:t>
            </w:r>
          </w:p>
        </w:tc>
      </w:tr>
      <w:tr w:rsidR="00337865" w:rsidRPr="00DC75CC" w14:paraId="3791512E" w14:textId="77777777" w:rsidTr="009E60C4">
        <w:trPr>
          <w:trHeight w:val="240"/>
        </w:trPr>
        <w:tc>
          <w:tcPr>
            <w:tcW w:w="1374" w:type="pct"/>
            <w:tcBorders>
              <w:top w:val="nil"/>
              <w:left w:val="nil"/>
              <w:bottom w:val="nil"/>
              <w:right w:val="nil"/>
            </w:tcBorders>
            <w:noWrap/>
            <w:vAlign w:val="bottom"/>
            <w:hideMark/>
          </w:tcPr>
          <w:p w14:paraId="63897749"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UE-Croacia</w:t>
            </w:r>
          </w:p>
        </w:tc>
        <w:tc>
          <w:tcPr>
            <w:tcW w:w="1265" w:type="pct"/>
            <w:tcBorders>
              <w:top w:val="nil"/>
              <w:left w:val="nil"/>
              <w:bottom w:val="nil"/>
              <w:right w:val="nil"/>
            </w:tcBorders>
            <w:noWrap/>
            <w:vAlign w:val="bottom"/>
            <w:hideMark/>
          </w:tcPr>
          <w:p w14:paraId="2BB2152C"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ATEU1HRV00012</w:t>
            </w:r>
          </w:p>
        </w:tc>
        <w:tc>
          <w:tcPr>
            <w:tcW w:w="1180" w:type="pct"/>
            <w:tcBorders>
              <w:top w:val="nil"/>
              <w:left w:val="nil"/>
              <w:bottom w:val="nil"/>
              <w:right w:val="nil"/>
            </w:tcBorders>
            <w:noWrap/>
            <w:vAlign w:val="bottom"/>
            <w:hideMark/>
          </w:tcPr>
          <w:p w14:paraId="69E2F0C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ATEU1HRV00012</w:t>
            </w:r>
          </w:p>
        </w:tc>
        <w:tc>
          <w:tcPr>
            <w:tcW w:w="1181" w:type="pct"/>
            <w:tcBorders>
              <w:top w:val="nil"/>
              <w:left w:val="nil"/>
              <w:bottom w:val="nil"/>
              <w:right w:val="nil"/>
            </w:tcBorders>
            <w:noWrap/>
            <w:vAlign w:val="bottom"/>
            <w:hideMark/>
          </w:tcPr>
          <w:p w14:paraId="423CF50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ATEU1HRV00012</w:t>
            </w:r>
          </w:p>
        </w:tc>
      </w:tr>
      <w:tr w:rsidR="00337865" w:rsidRPr="00DC75CC" w14:paraId="33132AA0" w14:textId="77777777" w:rsidTr="009E60C4">
        <w:trPr>
          <w:trHeight w:val="240"/>
        </w:trPr>
        <w:tc>
          <w:tcPr>
            <w:tcW w:w="1374" w:type="pct"/>
            <w:tcBorders>
              <w:top w:val="nil"/>
              <w:left w:val="nil"/>
              <w:bottom w:val="nil"/>
              <w:right w:val="nil"/>
            </w:tcBorders>
            <w:noWrap/>
            <w:vAlign w:val="bottom"/>
            <w:hideMark/>
          </w:tcPr>
          <w:p w14:paraId="5CE435AA"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1265" w:type="pct"/>
            <w:tcBorders>
              <w:top w:val="nil"/>
              <w:left w:val="nil"/>
              <w:bottom w:val="nil"/>
              <w:right w:val="nil"/>
            </w:tcBorders>
            <w:noWrap/>
            <w:vAlign w:val="bottom"/>
            <w:hideMark/>
          </w:tcPr>
          <w:p w14:paraId="39EBA07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ATEU1ITA00015</w:t>
            </w:r>
          </w:p>
        </w:tc>
        <w:tc>
          <w:tcPr>
            <w:tcW w:w="1180" w:type="pct"/>
            <w:tcBorders>
              <w:top w:val="nil"/>
              <w:left w:val="nil"/>
              <w:bottom w:val="nil"/>
              <w:right w:val="nil"/>
            </w:tcBorders>
            <w:noWrap/>
            <w:vAlign w:val="bottom"/>
            <w:hideMark/>
          </w:tcPr>
          <w:p w14:paraId="1F76AED3" w14:textId="77777777" w:rsidR="00337865" w:rsidRPr="00DC75CC" w:rsidRDefault="00337865" w:rsidP="00F36743">
            <w:pPr>
              <w:jc w:val="center"/>
              <w:rPr>
                <w:rFonts w:asciiTheme="majorHAnsi" w:hAnsiTheme="majorHAnsi"/>
                <w:color w:val="000000"/>
                <w:sz w:val="20"/>
                <w:szCs w:val="20"/>
              </w:rPr>
            </w:pPr>
          </w:p>
        </w:tc>
        <w:tc>
          <w:tcPr>
            <w:tcW w:w="1181" w:type="pct"/>
            <w:tcBorders>
              <w:top w:val="nil"/>
              <w:left w:val="nil"/>
              <w:bottom w:val="nil"/>
              <w:right w:val="nil"/>
            </w:tcBorders>
            <w:noWrap/>
            <w:vAlign w:val="bottom"/>
            <w:hideMark/>
          </w:tcPr>
          <w:p w14:paraId="271D88BB" w14:textId="77777777" w:rsidR="00337865" w:rsidRPr="00DC75CC" w:rsidRDefault="00337865" w:rsidP="00F36743">
            <w:pPr>
              <w:jc w:val="center"/>
              <w:rPr>
                <w:rFonts w:asciiTheme="majorHAnsi" w:hAnsiTheme="majorHAnsi"/>
                <w:sz w:val="20"/>
                <w:szCs w:val="20"/>
              </w:rPr>
            </w:pPr>
          </w:p>
        </w:tc>
      </w:tr>
      <w:tr w:rsidR="00337865" w:rsidRPr="00DC75CC" w14:paraId="5BD432E2" w14:textId="77777777" w:rsidTr="009E60C4">
        <w:trPr>
          <w:trHeight w:val="240"/>
        </w:trPr>
        <w:tc>
          <w:tcPr>
            <w:tcW w:w="1374" w:type="pct"/>
            <w:tcBorders>
              <w:top w:val="nil"/>
              <w:left w:val="nil"/>
              <w:bottom w:val="nil"/>
              <w:right w:val="nil"/>
            </w:tcBorders>
            <w:noWrap/>
            <w:vAlign w:val="bottom"/>
            <w:hideMark/>
          </w:tcPr>
          <w:p w14:paraId="01571AEA"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UE-Malta</w:t>
            </w:r>
          </w:p>
        </w:tc>
        <w:tc>
          <w:tcPr>
            <w:tcW w:w="1265" w:type="pct"/>
            <w:tcBorders>
              <w:top w:val="nil"/>
              <w:left w:val="nil"/>
              <w:bottom w:val="nil"/>
              <w:right w:val="nil"/>
            </w:tcBorders>
            <w:noWrap/>
            <w:vAlign w:val="bottom"/>
            <w:hideMark/>
          </w:tcPr>
          <w:p w14:paraId="05B02DD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ATEU1MLT00001</w:t>
            </w:r>
          </w:p>
        </w:tc>
        <w:tc>
          <w:tcPr>
            <w:tcW w:w="1180" w:type="pct"/>
            <w:tcBorders>
              <w:top w:val="nil"/>
              <w:left w:val="nil"/>
              <w:bottom w:val="nil"/>
              <w:right w:val="nil"/>
            </w:tcBorders>
            <w:noWrap/>
            <w:vAlign w:val="bottom"/>
            <w:hideMark/>
          </w:tcPr>
          <w:p w14:paraId="52DC7397"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ATEU1MLT00001</w:t>
            </w:r>
          </w:p>
        </w:tc>
        <w:tc>
          <w:tcPr>
            <w:tcW w:w="1181" w:type="pct"/>
            <w:tcBorders>
              <w:top w:val="nil"/>
              <w:left w:val="nil"/>
              <w:bottom w:val="nil"/>
              <w:right w:val="nil"/>
            </w:tcBorders>
            <w:noWrap/>
            <w:vAlign w:val="bottom"/>
            <w:hideMark/>
          </w:tcPr>
          <w:p w14:paraId="6E4B5A4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ATEU1MLT00001</w:t>
            </w:r>
          </w:p>
        </w:tc>
      </w:tr>
      <w:tr w:rsidR="00337865" w:rsidRPr="00DC75CC" w14:paraId="6246D95C" w14:textId="77777777" w:rsidTr="009E60C4">
        <w:trPr>
          <w:trHeight w:val="240"/>
        </w:trPr>
        <w:tc>
          <w:tcPr>
            <w:tcW w:w="1374" w:type="pct"/>
            <w:tcBorders>
              <w:top w:val="nil"/>
              <w:left w:val="nil"/>
              <w:bottom w:val="nil"/>
              <w:right w:val="nil"/>
            </w:tcBorders>
            <w:noWrap/>
            <w:vAlign w:val="bottom"/>
            <w:hideMark/>
          </w:tcPr>
          <w:p w14:paraId="76B0EC21"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UE-Malta</w:t>
            </w:r>
          </w:p>
        </w:tc>
        <w:tc>
          <w:tcPr>
            <w:tcW w:w="1265" w:type="pct"/>
            <w:tcBorders>
              <w:top w:val="nil"/>
              <w:left w:val="nil"/>
              <w:bottom w:val="nil"/>
              <w:right w:val="nil"/>
            </w:tcBorders>
            <w:noWrap/>
            <w:vAlign w:val="bottom"/>
            <w:hideMark/>
          </w:tcPr>
          <w:p w14:paraId="7C5F9AA2"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ATEU1MLT00002</w:t>
            </w:r>
          </w:p>
        </w:tc>
        <w:tc>
          <w:tcPr>
            <w:tcW w:w="1180" w:type="pct"/>
            <w:tcBorders>
              <w:top w:val="nil"/>
              <w:left w:val="nil"/>
              <w:bottom w:val="nil"/>
              <w:right w:val="nil"/>
            </w:tcBorders>
            <w:noWrap/>
            <w:vAlign w:val="bottom"/>
            <w:hideMark/>
          </w:tcPr>
          <w:p w14:paraId="7ABC216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ATEU1MLT00002</w:t>
            </w:r>
          </w:p>
        </w:tc>
        <w:tc>
          <w:tcPr>
            <w:tcW w:w="1181" w:type="pct"/>
            <w:tcBorders>
              <w:top w:val="nil"/>
              <w:left w:val="nil"/>
              <w:bottom w:val="nil"/>
              <w:right w:val="nil"/>
            </w:tcBorders>
            <w:noWrap/>
            <w:vAlign w:val="bottom"/>
            <w:hideMark/>
          </w:tcPr>
          <w:p w14:paraId="1E5948B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ATEU1MLT00002</w:t>
            </w:r>
          </w:p>
        </w:tc>
      </w:tr>
      <w:tr w:rsidR="00337865" w:rsidRPr="00DC75CC" w14:paraId="621DBCEA" w14:textId="77777777" w:rsidTr="009E60C4">
        <w:trPr>
          <w:trHeight w:val="240"/>
        </w:trPr>
        <w:tc>
          <w:tcPr>
            <w:tcW w:w="1374" w:type="pct"/>
            <w:tcBorders>
              <w:top w:val="nil"/>
              <w:left w:val="nil"/>
              <w:bottom w:val="nil"/>
              <w:right w:val="nil"/>
            </w:tcBorders>
            <w:noWrap/>
            <w:vAlign w:val="bottom"/>
            <w:hideMark/>
          </w:tcPr>
          <w:p w14:paraId="530D928F"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UE-Malta</w:t>
            </w:r>
          </w:p>
        </w:tc>
        <w:tc>
          <w:tcPr>
            <w:tcW w:w="1265" w:type="pct"/>
            <w:tcBorders>
              <w:top w:val="nil"/>
              <w:left w:val="nil"/>
              <w:bottom w:val="nil"/>
              <w:right w:val="nil"/>
            </w:tcBorders>
            <w:noWrap/>
            <w:vAlign w:val="bottom"/>
            <w:hideMark/>
          </w:tcPr>
          <w:p w14:paraId="4ABC669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ATEU1MLT00003</w:t>
            </w:r>
          </w:p>
        </w:tc>
        <w:tc>
          <w:tcPr>
            <w:tcW w:w="1180" w:type="pct"/>
            <w:tcBorders>
              <w:top w:val="nil"/>
              <w:left w:val="nil"/>
              <w:bottom w:val="nil"/>
              <w:right w:val="nil"/>
            </w:tcBorders>
            <w:noWrap/>
            <w:vAlign w:val="bottom"/>
            <w:hideMark/>
          </w:tcPr>
          <w:p w14:paraId="38B9A01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ATEU1MLT00003</w:t>
            </w:r>
          </w:p>
        </w:tc>
        <w:tc>
          <w:tcPr>
            <w:tcW w:w="1181" w:type="pct"/>
            <w:tcBorders>
              <w:top w:val="nil"/>
              <w:left w:val="nil"/>
              <w:bottom w:val="nil"/>
              <w:right w:val="nil"/>
            </w:tcBorders>
            <w:noWrap/>
            <w:vAlign w:val="bottom"/>
            <w:hideMark/>
          </w:tcPr>
          <w:p w14:paraId="443FE41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ATEU1MLT00003</w:t>
            </w:r>
          </w:p>
        </w:tc>
      </w:tr>
      <w:tr w:rsidR="00337865" w:rsidRPr="00DC75CC" w14:paraId="2D983043" w14:textId="77777777" w:rsidTr="009E60C4">
        <w:trPr>
          <w:trHeight w:val="240"/>
        </w:trPr>
        <w:tc>
          <w:tcPr>
            <w:tcW w:w="1374" w:type="pct"/>
            <w:tcBorders>
              <w:top w:val="nil"/>
              <w:left w:val="nil"/>
              <w:bottom w:val="nil"/>
              <w:right w:val="nil"/>
            </w:tcBorders>
            <w:noWrap/>
            <w:vAlign w:val="bottom"/>
            <w:hideMark/>
          </w:tcPr>
          <w:p w14:paraId="29E53B32"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UE-Malta</w:t>
            </w:r>
          </w:p>
        </w:tc>
        <w:tc>
          <w:tcPr>
            <w:tcW w:w="1265" w:type="pct"/>
            <w:tcBorders>
              <w:top w:val="nil"/>
              <w:left w:val="nil"/>
              <w:bottom w:val="nil"/>
              <w:right w:val="nil"/>
            </w:tcBorders>
            <w:noWrap/>
            <w:vAlign w:val="bottom"/>
            <w:hideMark/>
          </w:tcPr>
          <w:p w14:paraId="5A1CAD0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ATEU1MLT00004</w:t>
            </w:r>
          </w:p>
        </w:tc>
        <w:tc>
          <w:tcPr>
            <w:tcW w:w="1180" w:type="pct"/>
            <w:tcBorders>
              <w:top w:val="nil"/>
              <w:left w:val="nil"/>
              <w:bottom w:val="nil"/>
              <w:right w:val="nil"/>
            </w:tcBorders>
            <w:noWrap/>
            <w:vAlign w:val="bottom"/>
            <w:hideMark/>
          </w:tcPr>
          <w:p w14:paraId="1925CFE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ATEU1MLT00004</w:t>
            </w:r>
          </w:p>
        </w:tc>
        <w:tc>
          <w:tcPr>
            <w:tcW w:w="1181" w:type="pct"/>
            <w:tcBorders>
              <w:top w:val="nil"/>
              <w:left w:val="nil"/>
              <w:bottom w:val="nil"/>
              <w:right w:val="nil"/>
            </w:tcBorders>
            <w:noWrap/>
            <w:vAlign w:val="bottom"/>
            <w:hideMark/>
          </w:tcPr>
          <w:p w14:paraId="5AA60199"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ATEU1MLT00004</w:t>
            </w:r>
          </w:p>
        </w:tc>
      </w:tr>
      <w:tr w:rsidR="00337865" w:rsidRPr="00DC75CC" w14:paraId="2A7A4835" w14:textId="77777777" w:rsidTr="009E60C4">
        <w:trPr>
          <w:trHeight w:val="240"/>
        </w:trPr>
        <w:tc>
          <w:tcPr>
            <w:tcW w:w="1374" w:type="pct"/>
            <w:tcBorders>
              <w:top w:val="nil"/>
              <w:left w:val="nil"/>
              <w:bottom w:val="nil"/>
              <w:right w:val="nil"/>
            </w:tcBorders>
            <w:noWrap/>
            <w:vAlign w:val="bottom"/>
            <w:hideMark/>
          </w:tcPr>
          <w:p w14:paraId="42804079"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UE-Malta</w:t>
            </w:r>
          </w:p>
        </w:tc>
        <w:tc>
          <w:tcPr>
            <w:tcW w:w="1265" w:type="pct"/>
            <w:tcBorders>
              <w:top w:val="nil"/>
              <w:left w:val="nil"/>
              <w:bottom w:val="nil"/>
              <w:right w:val="nil"/>
            </w:tcBorders>
            <w:noWrap/>
            <w:vAlign w:val="bottom"/>
            <w:hideMark/>
          </w:tcPr>
          <w:p w14:paraId="4D363C65"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ATEU1MLT00007</w:t>
            </w:r>
          </w:p>
        </w:tc>
        <w:tc>
          <w:tcPr>
            <w:tcW w:w="1180" w:type="pct"/>
            <w:tcBorders>
              <w:top w:val="nil"/>
              <w:left w:val="nil"/>
              <w:bottom w:val="nil"/>
              <w:right w:val="nil"/>
            </w:tcBorders>
            <w:noWrap/>
            <w:vAlign w:val="bottom"/>
            <w:hideMark/>
          </w:tcPr>
          <w:p w14:paraId="34B7D1B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ATEU1MLT00007</w:t>
            </w:r>
          </w:p>
        </w:tc>
        <w:tc>
          <w:tcPr>
            <w:tcW w:w="1181" w:type="pct"/>
            <w:tcBorders>
              <w:top w:val="nil"/>
              <w:left w:val="nil"/>
              <w:bottom w:val="nil"/>
              <w:right w:val="nil"/>
            </w:tcBorders>
            <w:noWrap/>
            <w:vAlign w:val="bottom"/>
            <w:hideMark/>
          </w:tcPr>
          <w:p w14:paraId="0AF66B2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ATEU1MLT00007</w:t>
            </w:r>
          </w:p>
        </w:tc>
      </w:tr>
      <w:tr w:rsidR="00337865" w:rsidRPr="00DC75CC" w14:paraId="006DAE1C" w14:textId="77777777" w:rsidTr="009E60C4">
        <w:trPr>
          <w:trHeight w:val="240"/>
        </w:trPr>
        <w:tc>
          <w:tcPr>
            <w:tcW w:w="1374" w:type="pct"/>
            <w:tcBorders>
              <w:top w:val="nil"/>
              <w:left w:val="nil"/>
              <w:bottom w:val="nil"/>
              <w:right w:val="nil"/>
            </w:tcBorders>
            <w:noWrap/>
            <w:vAlign w:val="bottom"/>
            <w:hideMark/>
          </w:tcPr>
          <w:p w14:paraId="3030EF33"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UE-Malta</w:t>
            </w:r>
          </w:p>
        </w:tc>
        <w:tc>
          <w:tcPr>
            <w:tcW w:w="1265" w:type="pct"/>
            <w:tcBorders>
              <w:top w:val="nil"/>
              <w:left w:val="nil"/>
              <w:bottom w:val="nil"/>
              <w:right w:val="nil"/>
            </w:tcBorders>
            <w:noWrap/>
            <w:vAlign w:val="bottom"/>
            <w:hideMark/>
          </w:tcPr>
          <w:p w14:paraId="6055381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ATEU1MLT00008</w:t>
            </w:r>
          </w:p>
        </w:tc>
        <w:tc>
          <w:tcPr>
            <w:tcW w:w="1180" w:type="pct"/>
            <w:tcBorders>
              <w:top w:val="nil"/>
              <w:left w:val="nil"/>
              <w:bottom w:val="nil"/>
              <w:right w:val="nil"/>
            </w:tcBorders>
            <w:noWrap/>
            <w:vAlign w:val="bottom"/>
            <w:hideMark/>
          </w:tcPr>
          <w:p w14:paraId="4056A067"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ATEU1MLT00008</w:t>
            </w:r>
          </w:p>
        </w:tc>
        <w:tc>
          <w:tcPr>
            <w:tcW w:w="1181" w:type="pct"/>
            <w:tcBorders>
              <w:top w:val="nil"/>
              <w:left w:val="nil"/>
              <w:bottom w:val="nil"/>
              <w:right w:val="nil"/>
            </w:tcBorders>
            <w:noWrap/>
            <w:vAlign w:val="bottom"/>
            <w:hideMark/>
          </w:tcPr>
          <w:p w14:paraId="56547086"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ATEU1MLT00008</w:t>
            </w:r>
          </w:p>
        </w:tc>
      </w:tr>
      <w:tr w:rsidR="00337865" w:rsidRPr="00DC75CC" w14:paraId="38F63CE4" w14:textId="77777777" w:rsidTr="009E60C4">
        <w:trPr>
          <w:trHeight w:val="240"/>
        </w:trPr>
        <w:tc>
          <w:tcPr>
            <w:tcW w:w="1374" w:type="pct"/>
            <w:tcBorders>
              <w:top w:val="nil"/>
              <w:left w:val="nil"/>
              <w:bottom w:val="nil"/>
              <w:right w:val="nil"/>
            </w:tcBorders>
            <w:noWrap/>
            <w:vAlign w:val="bottom"/>
            <w:hideMark/>
          </w:tcPr>
          <w:p w14:paraId="0ABD0B18"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UE-Portugal</w:t>
            </w:r>
          </w:p>
        </w:tc>
        <w:tc>
          <w:tcPr>
            <w:tcW w:w="1265" w:type="pct"/>
            <w:tcBorders>
              <w:top w:val="nil"/>
              <w:left w:val="nil"/>
              <w:bottom w:val="nil"/>
              <w:right w:val="nil"/>
            </w:tcBorders>
            <w:noWrap/>
            <w:vAlign w:val="bottom"/>
            <w:hideMark/>
          </w:tcPr>
          <w:p w14:paraId="115F3D9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ATEU1PRT00002</w:t>
            </w:r>
          </w:p>
        </w:tc>
        <w:tc>
          <w:tcPr>
            <w:tcW w:w="1180" w:type="pct"/>
            <w:tcBorders>
              <w:top w:val="nil"/>
              <w:left w:val="nil"/>
              <w:bottom w:val="nil"/>
              <w:right w:val="nil"/>
            </w:tcBorders>
            <w:noWrap/>
            <w:vAlign w:val="bottom"/>
            <w:hideMark/>
          </w:tcPr>
          <w:p w14:paraId="0DC971E1"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ATEU1PRT00002</w:t>
            </w:r>
          </w:p>
        </w:tc>
        <w:tc>
          <w:tcPr>
            <w:tcW w:w="1181" w:type="pct"/>
            <w:tcBorders>
              <w:top w:val="nil"/>
              <w:left w:val="nil"/>
              <w:bottom w:val="nil"/>
              <w:right w:val="nil"/>
            </w:tcBorders>
            <w:noWrap/>
            <w:vAlign w:val="bottom"/>
            <w:hideMark/>
          </w:tcPr>
          <w:p w14:paraId="0422752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ATEU1PRT00002</w:t>
            </w:r>
          </w:p>
        </w:tc>
      </w:tr>
      <w:tr w:rsidR="00337865" w:rsidRPr="00DC75CC" w14:paraId="264E3777" w14:textId="77777777" w:rsidTr="009E60C4">
        <w:trPr>
          <w:trHeight w:val="240"/>
        </w:trPr>
        <w:tc>
          <w:tcPr>
            <w:tcW w:w="1374" w:type="pct"/>
            <w:tcBorders>
              <w:top w:val="nil"/>
              <w:left w:val="nil"/>
              <w:bottom w:val="nil"/>
              <w:right w:val="nil"/>
            </w:tcBorders>
            <w:noWrap/>
            <w:vAlign w:val="bottom"/>
            <w:hideMark/>
          </w:tcPr>
          <w:p w14:paraId="598ACA7C"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UE-Portugal</w:t>
            </w:r>
          </w:p>
        </w:tc>
        <w:tc>
          <w:tcPr>
            <w:tcW w:w="1265" w:type="pct"/>
            <w:tcBorders>
              <w:top w:val="nil"/>
              <w:left w:val="nil"/>
              <w:bottom w:val="nil"/>
              <w:right w:val="nil"/>
            </w:tcBorders>
            <w:noWrap/>
            <w:vAlign w:val="bottom"/>
            <w:hideMark/>
          </w:tcPr>
          <w:p w14:paraId="3C86DC8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ATEU1PRT00003</w:t>
            </w:r>
          </w:p>
        </w:tc>
        <w:tc>
          <w:tcPr>
            <w:tcW w:w="1180" w:type="pct"/>
            <w:tcBorders>
              <w:top w:val="nil"/>
              <w:left w:val="nil"/>
              <w:bottom w:val="nil"/>
              <w:right w:val="nil"/>
            </w:tcBorders>
            <w:noWrap/>
            <w:vAlign w:val="bottom"/>
            <w:hideMark/>
          </w:tcPr>
          <w:p w14:paraId="1CC5F218"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ATEU1PRT00003</w:t>
            </w:r>
          </w:p>
        </w:tc>
        <w:tc>
          <w:tcPr>
            <w:tcW w:w="1181" w:type="pct"/>
            <w:tcBorders>
              <w:top w:val="nil"/>
              <w:left w:val="nil"/>
              <w:bottom w:val="nil"/>
              <w:right w:val="nil"/>
            </w:tcBorders>
            <w:noWrap/>
            <w:vAlign w:val="bottom"/>
            <w:hideMark/>
          </w:tcPr>
          <w:p w14:paraId="70E54328"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ATEU1PRT00003</w:t>
            </w:r>
          </w:p>
        </w:tc>
      </w:tr>
      <w:tr w:rsidR="00337865" w:rsidRPr="00DC75CC" w14:paraId="21DEA538" w14:textId="77777777" w:rsidTr="009E60C4">
        <w:trPr>
          <w:trHeight w:val="240"/>
        </w:trPr>
        <w:tc>
          <w:tcPr>
            <w:tcW w:w="1374" w:type="pct"/>
            <w:tcBorders>
              <w:top w:val="nil"/>
              <w:left w:val="nil"/>
              <w:bottom w:val="nil"/>
              <w:right w:val="nil"/>
            </w:tcBorders>
            <w:noWrap/>
            <w:vAlign w:val="bottom"/>
            <w:hideMark/>
          </w:tcPr>
          <w:p w14:paraId="21B2934B"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1265" w:type="pct"/>
            <w:tcBorders>
              <w:top w:val="nil"/>
              <w:left w:val="nil"/>
              <w:bottom w:val="nil"/>
              <w:right w:val="nil"/>
            </w:tcBorders>
            <w:noWrap/>
            <w:vAlign w:val="bottom"/>
            <w:hideMark/>
          </w:tcPr>
          <w:p w14:paraId="5AC96D86"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ATEU1ESP00001</w:t>
            </w:r>
          </w:p>
        </w:tc>
        <w:tc>
          <w:tcPr>
            <w:tcW w:w="1180" w:type="pct"/>
            <w:tcBorders>
              <w:top w:val="nil"/>
              <w:left w:val="nil"/>
              <w:bottom w:val="nil"/>
              <w:right w:val="nil"/>
            </w:tcBorders>
            <w:noWrap/>
            <w:vAlign w:val="bottom"/>
            <w:hideMark/>
          </w:tcPr>
          <w:p w14:paraId="7C7BA03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ATEU1ESP00001</w:t>
            </w:r>
          </w:p>
        </w:tc>
        <w:tc>
          <w:tcPr>
            <w:tcW w:w="1181" w:type="pct"/>
            <w:tcBorders>
              <w:top w:val="nil"/>
              <w:left w:val="nil"/>
              <w:bottom w:val="nil"/>
              <w:right w:val="nil"/>
            </w:tcBorders>
            <w:noWrap/>
            <w:vAlign w:val="bottom"/>
            <w:hideMark/>
          </w:tcPr>
          <w:p w14:paraId="2DBF605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ATEU1ESP00001</w:t>
            </w:r>
          </w:p>
        </w:tc>
      </w:tr>
      <w:tr w:rsidR="00337865" w:rsidRPr="00DC75CC" w14:paraId="6EDFA8D4" w14:textId="77777777" w:rsidTr="009E60C4">
        <w:trPr>
          <w:trHeight w:val="240"/>
        </w:trPr>
        <w:tc>
          <w:tcPr>
            <w:tcW w:w="1374" w:type="pct"/>
            <w:tcBorders>
              <w:top w:val="nil"/>
              <w:left w:val="nil"/>
              <w:bottom w:val="nil"/>
              <w:right w:val="nil"/>
            </w:tcBorders>
            <w:noWrap/>
            <w:vAlign w:val="bottom"/>
            <w:hideMark/>
          </w:tcPr>
          <w:p w14:paraId="75752C1C"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1265" w:type="pct"/>
            <w:tcBorders>
              <w:top w:val="nil"/>
              <w:left w:val="nil"/>
              <w:bottom w:val="nil"/>
              <w:right w:val="nil"/>
            </w:tcBorders>
            <w:noWrap/>
            <w:vAlign w:val="bottom"/>
            <w:hideMark/>
          </w:tcPr>
          <w:p w14:paraId="2B2A150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ATEU1ESP00003</w:t>
            </w:r>
          </w:p>
        </w:tc>
        <w:tc>
          <w:tcPr>
            <w:tcW w:w="1180" w:type="pct"/>
            <w:tcBorders>
              <w:top w:val="nil"/>
              <w:left w:val="nil"/>
              <w:bottom w:val="nil"/>
              <w:right w:val="nil"/>
            </w:tcBorders>
            <w:noWrap/>
            <w:vAlign w:val="bottom"/>
            <w:hideMark/>
          </w:tcPr>
          <w:p w14:paraId="08765656"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ATEU1ESP00003</w:t>
            </w:r>
          </w:p>
        </w:tc>
        <w:tc>
          <w:tcPr>
            <w:tcW w:w="1181" w:type="pct"/>
            <w:tcBorders>
              <w:top w:val="nil"/>
              <w:left w:val="nil"/>
              <w:bottom w:val="nil"/>
              <w:right w:val="nil"/>
            </w:tcBorders>
            <w:noWrap/>
            <w:vAlign w:val="bottom"/>
            <w:hideMark/>
          </w:tcPr>
          <w:p w14:paraId="3EDAE713"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ATEU1ESP00003</w:t>
            </w:r>
          </w:p>
        </w:tc>
      </w:tr>
      <w:tr w:rsidR="00337865" w:rsidRPr="00DC75CC" w14:paraId="1113D477" w14:textId="77777777" w:rsidTr="009E60C4">
        <w:trPr>
          <w:trHeight w:val="240"/>
        </w:trPr>
        <w:tc>
          <w:tcPr>
            <w:tcW w:w="1374" w:type="pct"/>
            <w:tcBorders>
              <w:top w:val="nil"/>
              <w:left w:val="nil"/>
              <w:bottom w:val="nil"/>
              <w:right w:val="nil"/>
            </w:tcBorders>
            <w:noWrap/>
            <w:vAlign w:val="bottom"/>
            <w:hideMark/>
          </w:tcPr>
          <w:p w14:paraId="155CC08F"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1265" w:type="pct"/>
            <w:tcBorders>
              <w:top w:val="nil"/>
              <w:left w:val="nil"/>
              <w:bottom w:val="nil"/>
              <w:right w:val="nil"/>
            </w:tcBorders>
            <w:noWrap/>
            <w:vAlign w:val="bottom"/>
            <w:hideMark/>
          </w:tcPr>
          <w:p w14:paraId="2253E506"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ATEU1ESP00004</w:t>
            </w:r>
          </w:p>
        </w:tc>
        <w:tc>
          <w:tcPr>
            <w:tcW w:w="1180" w:type="pct"/>
            <w:tcBorders>
              <w:top w:val="nil"/>
              <w:left w:val="nil"/>
              <w:bottom w:val="nil"/>
              <w:right w:val="nil"/>
            </w:tcBorders>
            <w:noWrap/>
            <w:vAlign w:val="bottom"/>
            <w:hideMark/>
          </w:tcPr>
          <w:p w14:paraId="0785DE11"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ATEU1ESP00004</w:t>
            </w:r>
          </w:p>
        </w:tc>
        <w:tc>
          <w:tcPr>
            <w:tcW w:w="1181" w:type="pct"/>
            <w:tcBorders>
              <w:top w:val="nil"/>
              <w:left w:val="nil"/>
              <w:bottom w:val="nil"/>
              <w:right w:val="nil"/>
            </w:tcBorders>
            <w:noWrap/>
            <w:vAlign w:val="bottom"/>
            <w:hideMark/>
          </w:tcPr>
          <w:p w14:paraId="35A4DF35"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ATEU1ESP00004</w:t>
            </w:r>
          </w:p>
        </w:tc>
      </w:tr>
      <w:tr w:rsidR="00337865" w:rsidRPr="00DC75CC" w14:paraId="6E4F9845" w14:textId="77777777" w:rsidTr="009E60C4">
        <w:trPr>
          <w:trHeight w:val="240"/>
        </w:trPr>
        <w:tc>
          <w:tcPr>
            <w:tcW w:w="1374" w:type="pct"/>
            <w:tcBorders>
              <w:top w:val="nil"/>
              <w:left w:val="nil"/>
              <w:bottom w:val="nil"/>
              <w:right w:val="nil"/>
            </w:tcBorders>
            <w:noWrap/>
            <w:vAlign w:val="bottom"/>
            <w:hideMark/>
          </w:tcPr>
          <w:p w14:paraId="40CA9566"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1265" w:type="pct"/>
            <w:tcBorders>
              <w:top w:val="nil"/>
              <w:left w:val="nil"/>
              <w:bottom w:val="nil"/>
              <w:right w:val="nil"/>
            </w:tcBorders>
            <w:noWrap/>
            <w:vAlign w:val="bottom"/>
            <w:hideMark/>
          </w:tcPr>
          <w:p w14:paraId="36D23E6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ATEU1ESP00005</w:t>
            </w:r>
          </w:p>
        </w:tc>
        <w:tc>
          <w:tcPr>
            <w:tcW w:w="1180" w:type="pct"/>
            <w:tcBorders>
              <w:top w:val="nil"/>
              <w:left w:val="nil"/>
              <w:bottom w:val="nil"/>
              <w:right w:val="nil"/>
            </w:tcBorders>
            <w:noWrap/>
            <w:vAlign w:val="bottom"/>
            <w:hideMark/>
          </w:tcPr>
          <w:p w14:paraId="3AB1A34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ATEU1ESP00005</w:t>
            </w:r>
          </w:p>
        </w:tc>
        <w:tc>
          <w:tcPr>
            <w:tcW w:w="1181" w:type="pct"/>
            <w:tcBorders>
              <w:top w:val="nil"/>
              <w:left w:val="nil"/>
              <w:bottom w:val="nil"/>
              <w:right w:val="nil"/>
            </w:tcBorders>
            <w:noWrap/>
            <w:vAlign w:val="bottom"/>
            <w:hideMark/>
          </w:tcPr>
          <w:p w14:paraId="4BD2BAA8"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ATEU1ESP00005</w:t>
            </w:r>
          </w:p>
        </w:tc>
      </w:tr>
      <w:tr w:rsidR="00337865" w:rsidRPr="00DC75CC" w14:paraId="298F3280" w14:textId="77777777" w:rsidTr="009E60C4">
        <w:trPr>
          <w:trHeight w:val="240"/>
        </w:trPr>
        <w:tc>
          <w:tcPr>
            <w:tcW w:w="1374" w:type="pct"/>
            <w:tcBorders>
              <w:top w:val="nil"/>
              <w:left w:val="nil"/>
              <w:bottom w:val="nil"/>
              <w:right w:val="nil"/>
            </w:tcBorders>
            <w:noWrap/>
            <w:vAlign w:val="bottom"/>
            <w:hideMark/>
          </w:tcPr>
          <w:p w14:paraId="7E9175B7"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1265" w:type="pct"/>
            <w:tcBorders>
              <w:top w:val="nil"/>
              <w:left w:val="nil"/>
              <w:bottom w:val="nil"/>
              <w:right w:val="nil"/>
            </w:tcBorders>
            <w:noWrap/>
            <w:vAlign w:val="bottom"/>
            <w:hideMark/>
          </w:tcPr>
          <w:p w14:paraId="2D5DE7FD" w14:textId="77777777" w:rsidR="00337865" w:rsidRPr="00DC75CC" w:rsidRDefault="00337865" w:rsidP="00F36743">
            <w:pPr>
              <w:jc w:val="center"/>
              <w:rPr>
                <w:rFonts w:asciiTheme="majorHAnsi" w:hAnsiTheme="majorHAnsi"/>
                <w:color w:val="000000"/>
                <w:sz w:val="20"/>
                <w:szCs w:val="20"/>
              </w:rPr>
            </w:pPr>
          </w:p>
        </w:tc>
        <w:tc>
          <w:tcPr>
            <w:tcW w:w="1180" w:type="pct"/>
            <w:tcBorders>
              <w:top w:val="nil"/>
              <w:left w:val="nil"/>
              <w:bottom w:val="nil"/>
              <w:right w:val="nil"/>
            </w:tcBorders>
            <w:noWrap/>
            <w:vAlign w:val="bottom"/>
            <w:hideMark/>
          </w:tcPr>
          <w:p w14:paraId="0699AE27"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ATEU1ESP00011</w:t>
            </w:r>
          </w:p>
        </w:tc>
        <w:tc>
          <w:tcPr>
            <w:tcW w:w="1181" w:type="pct"/>
            <w:tcBorders>
              <w:top w:val="nil"/>
              <w:left w:val="nil"/>
              <w:bottom w:val="nil"/>
              <w:right w:val="nil"/>
            </w:tcBorders>
            <w:noWrap/>
            <w:vAlign w:val="bottom"/>
            <w:hideMark/>
          </w:tcPr>
          <w:p w14:paraId="50BACE75"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ATEU1ESP00011</w:t>
            </w:r>
          </w:p>
        </w:tc>
      </w:tr>
      <w:tr w:rsidR="00337865" w:rsidRPr="00DC75CC" w14:paraId="0741C5AA" w14:textId="77777777" w:rsidTr="009E60C4">
        <w:trPr>
          <w:trHeight w:val="240"/>
        </w:trPr>
        <w:tc>
          <w:tcPr>
            <w:tcW w:w="1374" w:type="pct"/>
            <w:tcBorders>
              <w:top w:val="nil"/>
              <w:left w:val="nil"/>
              <w:bottom w:val="nil"/>
              <w:right w:val="nil"/>
            </w:tcBorders>
            <w:noWrap/>
            <w:vAlign w:val="bottom"/>
            <w:hideMark/>
          </w:tcPr>
          <w:p w14:paraId="759123BA"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1265" w:type="pct"/>
            <w:tcBorders>
              <w:top w:val="nil"/>
              <w:left w:val="nil"/>
              <w:bottom w:val="nil"/>
              <w:right w:val="nil"/>
            </w:tcBorders>
            <w:noWrap/>
            <w:vAlign w:val="bottom"/>
            <w:hideMark/>
          </w:tcPr>
          <w:p w14:paraId="5C147E7F" w14:textId="77777777" w:rsidR="00337865" w:rsidRPr="00DC75CC" w:rsidRDefault="00337865" w:rsidP="00F36743">
            <w:pPr>
              <w:jc w:val="center"/>
              <w:rPr>
                <w:rFonts w:asciiTheme="majorHAnsi" w:hAnsiTheme="majorHAnsi"/>
                <w:color w:val="000000"/>
                <w:sz w:val="20"/>
                <w:szCs w:val="20"/>
              </w:rPr>
            </w:pPr>
          </w:p>
        </w:tc>
        <w:tc>
          <w:tcPr>
            <w:tcW w:w="1180" w:type="pct"/>
            <w:tcBorders>
              <w:top w:val="nil"/>
              <w:left w:val="nil"/>
              <w:bottom w:val="nil"/>
              <w:right w:val="nil"/>
            </w:tcBorders>
            <w:noWrap/>
            <w:vAlign w:val="bottom"/>
            <w:hideMark/>
          </w:tcPr>
          <w:p w14:paraId="1945A595"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ATEU1ESP00014</w:t>
            </w:r>
          </w:p>
        </w:tc>
        <w:tc>
          <w:tcPr>
            <w:tcW w:w="1181" w:type="pct"/>
            <w:tcBorders>
              <w:top w:val="nil"/>
              <w:left w:val="nil"/>
              <w:bottom w:val="nil"/>
              <w:right w:val="nil"/>
            </w:tcBorders>
            <w:noWrap/>
            <w:vAlign w:val="bottom"/>
            <w:hideMark/>
          </w:tcPr>
          <w:p w14:paraId="1FEDF7A2"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ATEU1ESP00014</w:t>
            </w:r>
          </w:p>
        </w:tc>
      </w:tr>
      <w:tr w:rsidR="00337865" w:rsidRPr="00DC75CC" w14:paraId="123F4997" w14:textId="77777777" w:rsidTr="009E60C4">
        <w:trPr>
          <w:trHeight w:val="240"/>
        </w:trPr>
        <w:tc>
          <w:tcPr>
            <w:tcW w:w="1374" w:type="pct"/>
            <w:tcBorders>
              <w:top w:val="nil"/>
              <w:left w:val="nil"/>
              <w:bottom w:val="nil"/>
              <w:right w:val="nil"/>
            </w:tcBorders>
            <w:noWrap/>
            <w:vAlign w:val="bottom"/>
            <w:hideMark/>
          </w:tcPr>
          <w:p w14:paraId="0148CD00"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UE-España</w:t>
            </w:r>
          </w:p>
        </w:tc>
        <w:tc>
          <w:tcPr>
            <w:tcW w:w="1265" w:type="pct"/>
            <w:tcBorders>
              <w:top w:val="nil"/>
              <w:left w:val="nil"/>
              <w:bottom w:val="nil"/>
              <w:right w:val="nil"/>
            </w:tcBorders>
            <w:noWrap/>
            <w:vAlign w:val="bottom"/>
            <w:hideMark/>
          </w:tcPr>
          <w:p w14:paraId="60ED1BFD" w14:textId="77777777" w:rsidR="00337865" w:rsidRPr="00DC75CC" w:rsidRDefault="00337865" w:rsidP="00F36743">
            <w:pPr>
              <w:jc w:val="center"/>
              <w:rPr>
                <w:rFonts w:asciiTheme="majorHAnsi" w:hAnsiTheme="majorHAnsi"/>
                <w:color w:val="000000"/>
                <w:sz w:val="20"/>
                <w:szCs w:val="20"/>
              </w:rPr>
            </w:pPr>
          </w:p>
        </w:tc>
        <w:tc>
          <w:tcPr>
            <w:tcW w:w="1180" w:type="pct"/>
            <w:tcBorders>
              <w:top w:val="nil"/>
              <w:left w:val="nil"/>
              <w:bottom w:val="nil"/>
              <w:right w:val="nil"/>
            </w:tcBorders>
            <w:noWrap/>
            <w:vAlign w:val="bottom"/>
            <w:hideMark/>
          </w:tcPr>
          <w:p w14:paraId="0357B273" w14:textId="77777777" w:rsidR="00337865" w:rsidRPr="00DC75CC" w:rsidRDefault="00337865" w:rsidP="00F36743">
            <w:pPr>
              <w:jc w:val="center"/>
              <w:rPr>
                <w:rFonts w:asciiTheme="majorHAnsi" w:hAnsiTheme="majorHAnsi"/>
                <w:sz w:val="20"/>
                <w:szCs w:val="20"/>
              </w:rPr>
            </w:pPr>
          </w:p>
        </w:tc>
        <w:tc>
          <w:tcPr>
            <w:tcW w:w="1181" w:type="pct"/>
            <w:tcBorders>
              <w:top w:val="nil"/>
              <w:left w:val="nil"/>
              <w:bottom w:val="nil"/>
              <w:right w:val="nil"/>
            </w:tcBorders>
            <w:noWrap/>
            <w:vAlign w:val="bottom"/>
            <w:hideMark/>
          </w:tcPr>
          <w:p w14:paraId="5665962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ATEU1ESP00018</w:t>
            </w:r>
          </w:p>
        </w:tc>
      </w:tr>
      <w:tr w:rsidR="00337865" w:rsidRPr="00DC75CC" w14:paraId="5CB60942" w14:textId="77777777" w:rsidTr="009E60C4">
        <w:trPr>
          <w:trHeight w:val="240"/>
        </w:trPr>
        <w:tc>
          <w:tcPr>
            <w:tcW w:w="1374" w:type="pct"/>
            <w:tcBorders>
              <w:top w:val="nil"/>
              <w:left w:val="nil"/>
              <w:bottom w:val="nil"/>
              <w:right w:val="nil"/>
            </w:tcBorders>
            <w:noWrap/>
            <w:vAlign w:val="bottom"/>
            <w:hideMark/>
          </w:tcPr>
          <w:p w14:paraId="20F6E865"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5" w:type="pct"/>
            <w:tcBorders>
              <w:top w:val="nil"/>
              <w:left w:val="nil"/>
              <w:bottom w:val="nil"/>
              <w:right w:val="nil"/>
            </w:tcBorders>
            <w:noWrap/>
            <w:vAlign w:val="bottom"/>
            <w:hideMark/>
          </w:tcPr>
          <w:p w14:paraId="3B3E298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AT001MAR00002</w:t>
            </w:r>
          </w:p>
        </w:tc>
        <w:tc>
          <w:tcPr>
            <w:tcW w:w="1180" w:type="pct"/>
            <w:tcBorders>
              <w:top w:val="nil"/>
              <w:left w:val="nil"/>
              <w:bottom w:val="nil"/>
              <w:right w:val="nil"/>
            </w:tcBorders>
            <w:noWrap/>
            <w:vAlign w:val="bottom"/>
            <w:hideMark/>
          </w:tcPr>
          <w:p w14:paraId="5ACD15A2"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AT001MAR00002</w:t>
            </w:r>
          </w:p>
        </w:tc>
        <w:tc>
          <w:tcPr>
            <w:tcW w:w="1181" w:type="pct"/>
            <w:tcBorders>
              <w:top w:val="nil"/>
              <w:left w:val="nil"/>
              <w:bottom w:val="nil"/>
              <w:right w:val="nil"/>
            </w:tcBorders>
            <w:noWrap/>
            <w:vAlign w:val="bottom"/>
            <w:hideMark/>
          </w:tcPr>
          <w:p w14:paraId="08C3DB05"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AT001MAR00002</w:t>
            </w:r>
          </w:p>
        </w:tc>
      </w:tr>
      <w:tr w:rsidR="00337865" w:rsidRPr="00DC75CC" w14:paraId="42AB76BD" w14:textId="77777777" w:rsidTr="009E60C4">
        <w:trPr>
          <w:trHeight w:val="240"/>
        </w:trPr>
        <w:tc>
          <w:tcPr>
            <w:tcW w:w="1374" w:type="pct"/>
            <w:tcBorders>
              <w:top w:val="nil"/>
              <w:left w:val="nil"/>
              <w:bottom w:val="nil"/>
              <w:right w:val="nil"/>
            </w:tcBorders>
            <w:noWrap/>
            <w:vAlign w:val="bottom"/>
            <w:hideMark/>
          </w:tcPr>
          <w:p w14:paraId="4E8E1CE4"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5" w:type="pct"/>
            <w:tcBorders>
              <w:top w:val="nil"/>
              <w:left w:val="nil"/>
              <w:bottom w:val="nil"/>
              <w:right w:val="nil"/>
            </w:tcBorders>
            <w:noWrap/>
            <w:vAlign w:val="bottom"/>
            <w:hideMark/>
          </w:tcPr>
          <w:p w14:paraId="3CF73098"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AT001MAR00003</w:t>
            </w:r>
          </w:p>
        </w:tc>
        <w:tc>
          <w:tcPr>
            <w:tcW w:w="1180" w:type="pct"/>
            <w:tcBorders>
              <w:top w:val="nil"/>
              <w:left w:val="nil"/>
              <w:bottom w:val="nil"/>
              <w:right w:val="nil"/>
            </w:tcBorders>
            <w:noWrap/>
            <w:vAlign w:val="bottom"/>
            <w:hideMark/>
          </w:tcPr>
          <w:p w14:paraId="721001EB"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AT001MAR00003</w:t>
            </w:r>
          </w:p>
        </w:tc>
        <w:tc>
          <w:tcPr>
            <w:tcW w:w="1181" w:type="pct"/>
            <w:tcBorders>
              <w:top w:val="nil"/>
              <w:left w:val="nil"/>
              <w:bottom w:val="nil"/>
              <w:right w:val="nil"/>
            </w:tcBorders>
            <w:noWrap/>
            <w:vAlign w:val="bottom"/>
            <w:hideMark/>
          </w:tcPr>
          <w:p w14:paraId="6B26983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AT001MAR00003</w:t>
            </w:r>
          </w:p>
        </w:tc>
      </w:tr>
      <w:tr w:rsidR="00337865" w:rsidRPr="00DC75CC" w14:paraId="65479989" w14:textId="77777777" w:rsidTr="009E60C4">
        <w:trPr>
          <w:trHeight w:val="240"/>
        </w:trPr>
        <w:tc>
          <w:tcPr>
            <w:tcW w:w="1374" w:type="pct"/>
            <w:tcBorders>
              <w:top w:val="nil"/>
              <w:left w:val="nil"/>
              <w:bottom w:val="nil"/>
              <w:right w:val="nil"/>
            </w:tcBorders>
            <w:noWrap/>
            <w:vAlign w:val="bottom"/>
            <w:hideMark/>
          </w:tcPr>
          <w:p w14:paraId="46F70002"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5" w:type="pct"/>
            <w:tcBorders>
              <w:top w:val="nil"/>
              <w:left w:val="nil"/>
              <w:bottom w:val="nil"/>
              <w:right w:val="nil"/>
            </w:tcBorders>
            <w:noWrap/>
            <w:vAlign w:val="bottom"/>
            <w:hideMark/>
          </w:tcPr>
          <w:p w14:paraId="0CC83448"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AT001MAR00004</w:t>
            </w:r>
          </w:p>
        </w:tc>
        <w:tc>
          <w:tcPr>
            <w:tcW w:w="1180" w:type="pct"/>
            <w:tcBorders>
              <w:top w:val="nil"/>
              <w:left w:val="nil"/>
              <w:bottom w:val="nil"/>
              <w:right w:val="nil"/>
            </w:tcBorders>
            <w:noWrap/>
            <w:vAlign w:val="bottom"/>
            <w:hideMark/>
          </w:tcPr>
          <w:p w14:paraId="778A62A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AT001MAR00004</w:t>
            </w:r>
          </w:p>
        </w:tc>
        <w:tc>
          <w:tcPr>
            <w:tcW w:w="1181" w:type="pct"/>
            <w:tcBorders>
              <w:top w:val="nil"/>
              <w:left w:val="nil"/>
              <w:bottom w:val="nil"/>
              <w:right w:val="nil"/>
            </w:tcBorders>
            <w:noWrap/>
            <w:vAlign w:val="bottom"/>
            <w:hideMark/>
          </w:tcPr>
          <w:p w14:paraId="12F893B7"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AT001MAR00004</w:t>
            </w:r>
          </w:p>
        </w:tc>
      </w:tr>
      <w:tr w:rsidR="00337865" w:rsidRPr="00DC75CC" w14:paraId="3A46A29E" w14:textId="77777777" w:rsidTr="009E60C4">
        <w:trPr>
          <w:trHeight w:val="240"/>
        </w:trPr>
        <w:tc>
          <w:tcPr>
            <w:tcW w:w="1374" w:type="pct"/>
            <w:tcBorders>
              <w:top w:val="nil"/>
              <w:left w:val="nil"/>
              <w:bottom w:val="nil"/>
              <w:right w:val="nil"/>
            </w:tcBorders>
            <w:noWrap/>
            <w:vAlign w:val="bottom"/>
            <w:hideMark/>
          </w:tcPr>
          <w:p w14:paraId="06DA169B"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5" w:type="pct"/>
            <w:tcBorders>
              <w:top w:val="nil"/>
              <w:left w:val="nil"/>
              <w:bottom w:val="nil"/>
              <w:right w:val="nil"/>
            </w:tcBorders>
            <w:noWrap/>
            <w:vAlign w:val="bottom"/>
            <w:hideMark/>
          </w:tcPr>
          <w:p w14:paraId="77A1F91E" w14:textId="77777777" w:rsidR="00337865" w:rsidRPr="00DC75CC" w:rsidRDefault="00337865" w:rsidP="00F36743">
            <w:pPr>
              <w:jc w:val="center"/>
              <w:rPr>
                <w:rFonts w:asciiTheme="majorHAnsi" w:hAnsiTheme="majorHAnsi"/>
                <w:color w:val="000000"/>
                <w:sz w:val="20"/>
                <w:szCs w:val="20"/>
              </w:rPr>
            </w:pPr>
          </w:p>
        </w:tc>
        <w:tc>
          <w:tcPr>
            <w:tcW w:w="1180" w:type="pct"/>
            <w:tcBorders>
              <w:top w:val="nil"/>
              <w:left w:val="nil"/>
              <w:bottom w:val="nil"/>
              <w:right w:val="nil"/>
            </w:tcBorders>
            <w:noWrap/>
            <w:vAlign w:val="bottom"/>
            <w:hideMark/>
          </w:tcPr>
          <w:p w14:paraId="1BDEF8A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AT001MAR00005</w:t>
            </w:r>
          </w:p>
        </w:tc>
        <w:tc>
          <w:tcPr>
            <w:tcW w:w="1181" w:type="pct"/>
            <w:tcBorders>
              <w:top w:val="nil"/>
              <w:left w:val="nil"/>
              <w:bottom w:val="nil"/>
              <w:right w:val="nil"/>
            </w:tcBorders>
            <w:noWrap/>
            <w:vAlign w:val="bottom"/>
            <w:hideMark/>
          </w:tcPr>
          <w:p w14:paraId="53F6B33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AT001MAR00005</w:t>
            </w:r>
          </w:p>
        </w:tc>
      </w:tr>
      <w:tr w:rsidR="00337865" w:rsidRPr="00DC75CC" w14:paraId="0A4A6DDA" w14:textId="77777777" w:rsidTr="009E60C4">
        <w:trPr>
          <w:trHeight w:val="240"/>
        </w:trPr>
        <w:tc>
          <w:tcPr>
            <w:tcW w:w="1374" w:type="pct"/>
            <w:tcBorders>
              <w:top w:val="nil"/>
              <w:left w:val="nil"/>
              <w:bottom w:val="nil"/>
              <w:right w:val="nil"/>
            </w:tcBorders>
            <w:noWrap/>
            <w:vAlign w:val="bottom"/>
            <w:hideMark/>
          </w:tcPr>
          <w:p w14:paraId="42D96C7A"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Túnez</w:t>
            </w:r>
          </w:p>
        </w:tc>
        <w:tc>
          <w:tcPr>
            <w:tcW w:w="1265" w:type="pct"/>
            <w:tcBorders>
              <w:top w:val="nil"/>
              <w:left w:val="nil"/>
              <w:bottom w:val="nil"/>
              <w:right w:val="nil"/>
            </w:tcBorders>
            <w:noWrap/>
            <w:vAlign w:val="bottom"/>
            <w:hideMark/>
          </w:tcPr>
          <w:p w14:paraId="2A235F6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AT001TUN00001</w:t>
            </w:r>
          </w:p>
        </w:tc>
        <w:tc>
          <w:tcPr>
            <w:tcW w:w="1180" w:type="pct"/>
            <w:tcBorders>
              <w:top w:val="nil"/>
              <w:left w:val="nil"/>
              <w:bottom w:val="nil"/>
              <w:right w:val="nil"/>
            </w:tcBorders>
            <w:noWrap/>
            <w:vAlign w:val="bottom"/>
            <w:hideMark/>
          </w:tcPr>
          <w:p w14:paraId="2A10FA5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AT001TUN00001</w:t>
            </w:r>
          </w:p>
        </w:tc>
        <w:tc>
          <w:tcPr>
            <w:tcW w:w="1181" w:type="pct"/>
            <w:tcBorders>
              <w:top w:val="nil"/>
              <w:left w:val="nil"/>
              <w:bottom w:val="nil"/>
              <w:right w:val="nil"/>
            </w:tcBorders>
            <w:noWrap/>
            <w:vAlign w:val="bottom"/>
            <w:hideMark/>
          </w:tcPr>
          <w:p w14:paraId="6861C83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AT001TUN00001</w:t>
            </w:r>
          </w:p>
        </w:tc>
      </w:tr>
      <w:tr w:rsidR="00337865" w:rsidRPr="00DC75CC" w14:paraId="1727D6C6" w14:textId="77777777" w:rsidTr="009E60C4">
        <w:trPr>
          <w:trHeight w:val="240"/>
        </w:trPr>
        <w:tc>
          <w:tcPr>
            <w:tcW w:w="1374" w:type="pct"/>
            <w:tcBorders>
              <w:top w:val="nil"/>
              <w:left w:val="nil"/>
              <w:bottom w:val="nil"/>
              <w:right w:val="nil"/>
            </w:tcBorders>
            <w:noWrap/>
            <w:vAlign w:val="bottom"/>
            <w:hideMark/>
          </w:tcPr>
          <w:p w14:paraId="6464FA71"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Túnez</w:t>
            </w:r>
          </w:p>
        </w:tc>
        <w:tc>
          <w:tcPr>
            <w:tcW w:w="1265" w:type="pct"/>
            <w:tcBorders>
              <w:top w:val="nil"/>
              <w:left w:val="nil"/>
              <w:bottom w:val="nil"/>
              <w:right w:val="nil"/>
            </w:tcBorders>
            <w:noWrap/>
            <w:vAlign w:val="bottom"/>
            <w:hideMark/>
          </w:tcPr>
          <w:p w14:paraId="10E8AE6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AT001TUN00002</w:t>
            </w:r>
          </w:p>
        </w:tc>
        <w:tc>
          <w:tcPr>
            <w:tcW w:w="1180" w:type="pct"/>
            <w:tcBorders>
              <w:top w:val="nil"/>
              <w:left w:val="nil"/>
              <w:bottom w:val="nil"/>
              <w:right w:val="nil"/>
            </w:tcBorders>
            <w:noWrap/>
            <w:vAlign w:val="bottom"/>
            <w:hideMark/>
          </w:tcPr>
          <w:p w14:paraId="49764CE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AT001TUN00002</w:t>
            </w:r>
          </w:p>
        </w:tc>
        <w:tc>
          <w:tcPr>
            <w:tcW w:w="1181" w:type="pct"/>
            <w:tcBorders>
              <w:top w:val="nil"/>
              <w:left w:val="nil"/>
              <w:bottom w:val="nil"/>
              <w:right w:val="nil"/>
            </w:tcBorders>
            <w:noWrap/>
            <w:vAlign w:val="bottom"/>
            <w:hideMark/>
          </w:tcPr>
          <w:p w14:paraId="5A700976"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AT001TUN00002</w:t>
            </w:r>
          </w:p>
        </w:tc>
      </w:tr>
      <w:tr w:rsidR="00337865" w:rsidRPr="00DC75CC" w14:paraId="632EC52E" w14:textId="77777777" w:rsidTr="009E60C4">
        <w:trPr>
          <w:trHeight w:val="240"/>
        </w:trPr>
        <w:tc>
          <w:tcPr>
            <w:tcW w:w="1374" w:type="pct"/>
            <w:tcBorders>
              <w:top w:val="nil"/>
              <w:left w:val="nil"/>
              <w:bottom w:val="nil"/>
              <w:right w:val="nil"/>
            </w:tcBorders>
            <w:noWrap/>
            <w:vAlign w:val="bottom"/>
            <w:hideMark/>
          </w:tcPr>
          <w:p w14:paraId="6E673AC6"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Túnez</w:t>
            </w:r>
          </w:p>
        </w:tc>
        <w:tc>
          <w:tcPr>
            <w:tcW w:w="1265" w:type="pct"/>
            <w:tcBorders>
              <w:top w:val="nil"/>
              <w:left w:val="nil"/>
              <w:bottom w:val="nil"/>
              <w:right w:val="nil"/>
            </w:tcBorders>
            <w:noWrap/>
            <w:vAlign w:val="bottom"/>
            <w:hideMark/>
          </w:tcPr>
          <w:p w14:paraId="0946BDC3" w14:textId="77777777" w:rsidR="00337865" w:rsidRPr="00DC75CC" w:rsidRDefault="00337865" w:rsidP="00F36743">
            <w:pPr>
              <w:jc w:val="center"/>
              <w:rPr>
                <w:rFonts w:asciiTheme="majorHAnsi" w:hAnsiTheme="majorHAnsi"/>
                <w:color w:val="000000"/>
                <w:sz w:val="20"/>
                <w:szCs w:val="20"/>
              </w:rPr>
            </w:pPr>
          </w:p>
        </w:tc>
        <w:tc>
          <w:tcPr>
            <w:tcW w:w="1180" w:type="pct"/>
            <w:tcBorders>
              <w:top w:val="nil"/>
              <w:left w:val="nil"/>
              <w:bottom w:val="nil"/>
              <w:right w:val="nil"/>
            </w:tcBorders>
            <w:noWrap/>
            <w:vAlign w:val="bottom"/>
            <w:hideMark/>
          </w:tcPr>
          <w:p w14:paraId="79EA90D1"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AT001TUN00003</w:t>
            </w:r>
          </w:p>
        </w:tc>
        <w:tc>
          <w:tcPr>
            <w:tcW w:w="1181" w:type="pct"/>
            <w:tcBorders>
              <w:top w:val="nil"/>
              <w:left w:val="nil"/>
              <w:bottom w:val="nil"/>
              <w:right w:val="nil"/>
            </w:tcBorders>
            <w:noWrap/>
            <w:vAlign w:val="bottom"/>
            <w:hideMark/>
          </w:tcPr>
          <w:p w14:paraId="36C29DDC"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AT001TUN00003</w:t>
            </w:r>
          </w:p>
        </w:tc>
      </w:tr>
      <w:tr w:rsidR="00337865" w:rsidRPr="00DC75CC" w14:paraId="58E26A7A" w14:textId="77777777" w:rsidTr="009E60C4">
        <w:trPr>
          <w:trHeight w:val="240"/>
        </w:trPr>
        <w:tc>
          <w:tcPr>
            <w:tcW w:w="1374" w:type="pct"/>
            <w:tcBorders>
              <w:top w:val="nil"/>
              <w:left w:val="nil"/>
              <w:bottom w:val="nil"/>
              <w:right w:val="nil"/>
            </w:tcBorders>
            <w:noWrap/>
            <w:vAlign w:val="bottom"/>
            <w:hideMark/>
          </w:tcPr>
          <w:p w14:paraId="144F61C3"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Túnez</w:t>
            </w:r>
          </w:p>
        </w:tc>
        <w:tc>
          <w:tcPr>
            <w:tcW w:w="1265" w:type="pct"/>
            <w:tcBorders>
              <w:top w:val="nil"/>
              <w:left w:val="nil"/>
              <w:bottom w:val="nil"/>
              <w:right w:val="nil"/>
            </w:tcBorders>
            <w:noWrap/>
            <w:vAlign w:val="bottom"/>
            <w:hideMark/>
          </w:tcPr>
          <w:p w14:paraId="44662678" w14:textId="77777777" w:rsidR="00337865" w:rsidRPr="00DC75CC" w:rsidRDefault="00337865" w:rsidP="00F36743">
            <w:pPr>
              <w:jc w:val="center"/>
              <w:rPr>
                <w:rFonts w:asciiTheme="majorHAnsi" w:hAnsiTheme="majorHAnsi"/>
                <w:color w:val="000000"/>
                <w:sz w:val="20"/>
                <w:szCs w:val="20"/>
              </w:rPr>
            </w:pPr>
          </w:p>
        </w:tc>
        <w:tc>
          <w:tcPr>
            <w:tcW w:w="1180" w:type="pct"/>
            <w:tcBorders>
              <w:top w:val="nil"/>
              <w:left w:val="nil"/>
              <w:bottom w:val="nil"/>
              <w:right w:val="nil"/>
            </w:tcBorders>
            <w:noWrap/>
            <w:vAlign w:val="bottom"/>
            <w:hideMark/>
          </w:tcPr>
          <w:p w14:paraId="1DDE9F0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AT001TUN00004</w:t>
            </w:r>
          </w:p>
        </w:tc>
        <w:tc>
          <w:tcPr>
            <w:tcW w:w="1181" w:type="pct"/>
            <w:tcBorders>
              <w:top w:val="nil"/>
              <w:left w:val="nil"/>
              <w:bottom w:val="nil"/>
              <w:right w:val="nil"/>
            </w:tcBorders>
            <w:noWrap/>
            <w:vAlign w:val="bottom"/>
            <w:hideMark/>
          </w:tcPr>
          <w:p w14:paraId="008712A1"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AT001TUN00004</w:t>
            </w:r>
          </w:p>
        </w:tc>
      </w:tr>
      <w:tr w:rsidR="00337865" w:rsidRPr="00DC75CC" w14:paraId="2DDB2739" w14:textId="77777777" w:rsidTr="009E60C4">
        <w:trPr>
          <w:trHeight w:val="240"/>
        </w:trPr>
        <w:tc>
          <w:tcPr>
            <w:tcW w:w="1374" w:type="pct"/>
            <w:tcBorders>
              <w:top w:val="nil"/>
              <w:left w:val="nil"/>
              <w:bottom w:val="nil"/>
              <w:right w:val="nil"/>
            </w:tcBorders>
            <w:noWrap/>
            <w:vAlign w:val="bottom"/>
            <w:hideMark/>
          </w:tcPr>
          <w:p w14:paraId="011BA8CF"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1265" w:type="pct"/>
            <w:tcBorders>
              <w:top w:val="nil"/>
              <w:left w:val="nil"/>
              <w:bottom w:val="nil"/>
              <w:right w:val="nil"/>
            </w:tcBorders>
            <w:noWrap/>
            <w:vAlign w:val="bottom"/>
            <w:hideMark/>
          </w:tcPr>
          <w:p w14:paraId="1D27CE0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AT001TUR00004*</w:t>
            </w:r>
          </w:p>
        </w:tc>
        <w:tc>
          <w:tcPr>
            <w:tcW w:w="1180" w:type="pct"/>
            <w:tcBorders>
              <w:top w:val="nil"/>
              <w:left w:val="nil"/>
              <w:bottom w:val="nil"/>
              <w:right w:val="nil"/>
            </w:tcBorders>
            <w:noWrap/>
            <w:vAlign w:val="bottom"/>
            <w:hideMark/>
          </w:tcPr>
          <w:p w14:paraId="1B172781"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AT001TUR00004*</w:t>
            </w:r>
          </w:p>
        </w:tc>
        <w:tc>
          <w:tcPr>
            <w:tcW w:w="1181" w:type="pct"/>
            <w:tcBorders>
              <w:top w:val="nil"/>
              <w:left w:val="nil"/>
              <w:bottom w:val="nil"/>
              <w:right w:val="nil"/>
            </w:tcBorders>
            <w:noWrap/>
            <w:vAlign w:val="bottom"/>
            <w:hideMark/>
          </w:tcPr>
          <w:p w14:paraId="625339B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AT001TUR00004*</w:t>
            </w:r>
          </w:p>
        </w:tc>
      </w:tr>
      <w:tr w:rsidR="00337865" w:rsidRPr="00DC75CC" w14:paraId="77FA88C3" w14:textId="77777777" w:rsidTr="009E60C4">
        <w:trPr>
          <w:trHeight w:val="240"/>
        </w:trPr>
        <w:tc>
          <w:tcPr>
            <w:tcW w:w="1374" w:type="pct"/>
            <w:tcBorders>
              <w:top w:val="nil"/>
              <w:left w:val="nil"/>
              <w:bottom w:val="nil"/>
              <w:right w:val="nil"/>
            </w:tcBorders>
            <w:noWrap/>
            <w:vAlign w:val="bottom"/>
            <w:hideMark/>
          </w:tcPr>
          <w:p w14:paraId="4B7C74CC"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1265" w:type="pct"/>
            <w:tcBorders>
              <w:top w:val="nil"/>
              <w:left w:val="nil"/>
              <w:bottom w:val="nil"/>
              <w:right w:val="nil"/>
            </w:tcBorders>
            <w:noWrap/>
            <w:vAlign w:val="bottom"/>
            <w:hideMark/>
          </w:tcPr>
          <w:p w14:paraId="00998DB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AT001TUR00005*</w:t>
            </w:r>
          </w:p>
        </w:tc>
        <w:tc>
          <w:tcPr>
            <w:tcW w:w="1180" w:type="pct"/>
            <w:tcBorders>
              <w:top w:val="nil"/>
              <w:left w:val="nil"/>
              <w:bottom w:val="nil"/>
              <w:right w:val="nil"/>
            </w:tcBorders>
            <w:noWrap/>
            <w:vAlign w:val="bottom"/>
            <w:hideMark/>
          </w:tcPr>
          <w:p w14:paraId="1DDDF2D5"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AT001TUR00005*</w:t>
            </w:r>
          </w:p>
        </w:tc>
        <w:tc>
          <w:tcPr>
            <w:tcW w:w="1181" w:type="pct"/>
            <w:tcBorders>
              <w:top w:val="nil"/>
              <w:left w:val="nil"/>
              <w:bottom w:val="nil"/>
              <w:right w:val="nil"/>
            </w:tcBorders>
            <w:noWrap/>
            <w:vAlign w:val="bottom"/>
            <w:hideMark/>
          </w:tcPr>
          <w:p w14:paraId="66B990F2"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AT001TUR00005*</w:t>
            </w:r>
          </w:p>
        </w:tc>
      </w:tr>
      <w:tr w:rsidR="00337865" w:rsidRPr="00DC75CC" w14:paraId="63AC18C4" w14:textId="77777777" w:rsidTr="009E60C4">
        <w:trPr>
          <w:trHeight w:val="240"/>
        </w:trPr>
        <w:tc>
          <w:tcPr>
            <w:tcW w:w="1374" w:type="pct"/>
            <w:tcBorders>
              <w:top w:val="nil"/>
              <w:left w:val="nil"/>
              <w:bottom w:val="nil"/>
              <w:right w:val="nil"/>
            </w:tcBorders>
            <w:noWrap/>
            <w:vAlign w:val="bottom"/>
            <w:hideMark/>
          </w:tcPr>
          <w:p w14:paraId="615D9820"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1265" w:type="pct"/>
            <w:tcBorders>
              <w:top w:val="nil"/>
              <w:left w:val="nil"/>
              <w:bottom w:val="nil"/>
              <w:right w:val="nil"/>
            </w:tcBorders>
            <w:noWrap/>
            <w:vAlign w:val="bottom"/>
            <w:hideMark/>
          </w:tcPr>
          <w:p w14:paraId="5EA1E40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AT001TUR00010</w:t>
            </w:r>
          </w:p>
        </w:tc>
        <w:tc>
          <w:tcPr>
            <w:tcW w:w="1180" w:type="pct"/>
            <w:tcBorders>
              <w:top w:val="nil"/>
              <w:left w:val="nil"/>
              <w:bottom w:val="nil"/>
              <w:right w:val="nil"/>
            </w:tcBorders>
            <w:noWrap/>
            <w:vAlign w:val="bottom"/>
            <w:hideMark/>
          </w:tcPr>
          <w:p w14:paraId="03B6E487"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AT001TUR00010</w:t>
            </w:r>
          </w:p>
        </w:tc>
        <w:tc>
          <w:tcPr>
            <w:tcW w:w="1181" w:type="pct"/>
            <w:tcBorders>
              <w:top w:val="nil"/>
              <w:left w:val="nil"/>
              <w:bottom w:val="nil"/>
              <w:right w:val="nil"/>
            </w:tcBorders>
            <w:noWrap/>
            <w:vAlign w:val="bottom"/>
            <w:hideMark/>
          </w:tcPr>
          <w:p w14:paraId="1A69B0B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AT001TUR00010</w:t>
            </w:r>
          </w:p>
        </w:tc>
      </w:tr>
      <w:tr w:rsidR="00337865" w:rsidRPr="00DC75CC" w14:paraId="4C045258" w14:textId="77777777" w:rsidTr="009E60C4">
        <w:trPr>
          <w:trHeight w:val="240"/>
        </w:trPr>
        <w:tc>
          <w:tcPr>
            <w:tcW w:w="1374" w:type="pct"/>
            <w:tcBorders>
              <w:top w:val="nil"/>
              <w:left w:val="nil"/>
              <w:bottom w:val="nil"/>
              <w:right w:val="nil"/>
            </w:tcBorders>
            <w:noWrap/>
            <w:vAlign w:val="bottom"/>
            <w:hideMark/>
          </w:tcPr>
          <w:p w14:paraId="5C3F0652"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1265" w:type="pct"/>
            <w:tcBorders>
              <w:top w:val="nil"/>
              <w:left w:val="nil"/>
              <w:bottom w:val="nil"/>
              <w:right w:val="nil"/>
            </w:tcBorders>
            <w:noWrap/>
            <w:vAlign w:val="bottom"/>
            <w:hideMark/>
          </w:tcPr>
          <w:p w14:paraId="78E25FF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AT001TUR00011</w:t>
            </w:r>
          </w:p>
        </w:tc>
        <w:tc>
          <w:tcPr>
            <w:tcW w:w="1180" w:type="pct"/>
            <w:tcBorders>
              <w:top w:val="nil"/>
              <w:left w:val="nil"/>
              <w:bottom w:val="nil"/>
              <w:right w:val="nil"/>
            </w:tcBorders>
            <w:noWrap/>
            <w:vAlign w:val="bottom"/>
            <w:hideMark/>
          </w:tcPr>
          <w:p w14:paraId="1F876676"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AT001TUR00011</w:t>
            </w:r>
          </w:p>
        </w:tc>
        <w:tc>
          <w:tcPr>
            <w:tcW w:w="1181" w:type="pct"/>
            <w:tcBorders>
              <w:top w:val="nil"/>
              <w:left w:val="nil"/>
              <w:bottom w:val="nil"/>
              <w:right w:val="nil"/>
            </w:tcBorders>
            <w:noWrap/>
            <w:vAlign w:val="bottom"/>
            <w:hideMark/>
          </w:tcPr>
          <w:p w14:paraId="2872827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AT001TUR00011</w:t>
            </w:r>
          </w:p>
        </w:tc>
      </w:tr>
      <w:tr w:rsidR="00337865" w:rsidRPr="00DC75CC" w14:paraId="719D2637" w14:textId="77777777" w:rsidTr="009E60C4">
        <w:trPr>
          <w:trHeight w:val="240"/>
        </w:trPr>
        <w:tc>
          <w:tcPr>
            <w:tcW w:w="1374" w:type="pct"/>
            <w:tcBorders>
              <w:top w:val="nil"/>
              <w:left w:val="nil"/>
              <w:right w:val="nil"/>
            </w:tcBorders>
            <w:noWrap/>
            <w:vAlign w:val="bottom"/>
            <w:hideMark/>
          </w:tcPr>
          <w:p w14:paraId="5CD7D382"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1265" w:type="pct"/>
            <w:tcBorders>
              <w:top w:val="nil"/>
              <w:left w:val="nil"/>
              <w:right w:val="nil"/>
            </w:tcBorders>
            <w:noWrap/>
            <w:vAlign w:val="bottom"/>
            <w:hideMark/>
          </w:tcPr>
          <w:p w14:paraId="5ED9FE63"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AT001TUR00013*</w:t>
            </w:r>
          </w:p>
        </w:tc>
        <w:tc>
          <w:tcPr>
            <w:tcW w:w="1180" w:type="pct"/>
            <w:tcBorders>
              <w:top w:val="nil"/>
              <w:left w:val="nil"/>
              <w:right w:val="nil"/>
            </w:tcBorders>
            <w:noWrap/>
            <w:vAlign w:val="bottom"/>
            <w:hideMark/>
          </w:tcPr>
          <w:p w14:paraId="6C0105D6"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AT001TUR00013*</w:t>
            </w:r>
          </w:p>
        </w:tc>
        <w:tc>
          <w:tcPr>
            <w:tcW w:w="1181" w:type="pct"/>
            <w:tcBorders>
              <w:top w:val="nil"/>
              <w:left w:val="nil"/>
              <w:right w:val="nil"/>
            </w:tcBorders>
            <w:noWrap/>
            <w:vAlign w:val="bottom"/>
            <w:hideMark/>
          </w:tcPr>
          <w:p w14:paraId="7E49D5D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AT001TUR00013*</w:t>
            </w:r>
          </w:p>
        </w:tc>
      </w:tr>
      <w:tr w:rsidR="00337865" w:rsidRPr="00DC75CC" w14:paraId="2FE69E6C" w14:textId="77777777" w:rsidTr="009E60C4">
        <w:trPr>
          <w:trHeight w:val="240"/>
        </w:trPr>
        <w:tc>
          <w:tcPr>
            <w:tcW w:w="1374" w:type="pct"/>
            <w:tcBorders>
              <w:top w:val="nil"/>
              <w:left w:val="nil"/>
              <w:bottom w:val="single" w:sz="4" w:space="0" w:color="auto"/>
              <w:right w:val="nil"/>
            </w:tcBorders>
            <w:noWrap/>
            <w:vAlign w:val="bottom"/>
            <w:hideMark/>
          </w:tcPr>
          <w:p w14:paraId="34D00417"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Türkiye</w:t>
            </w:r>
          </w:p>
        </w:tc>
        <w:tc>
          <w:tcPr>
            <w:tcW w:w="1265" w:type="pct"/>
            <w:tcBorders>
              <w:top w:val="nil"/>
              <w:left w:val="nil"/>
              <w:bottom w:val="single" w:sz="4" w:space="0" w:color="auto"/>
              <w:right w:val="nil"/>
            </w:tcBorders>
            <w:noWrap/>
            <w:vAlign w:val="bottom"/>
            <w:hideMark/>
          </w:tcPr>
          <w:p w14:paraId="2B39C6C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AT001TUR00014</w:t>
            </w:r>
          </w:p>
        </w:tc>
        <w:tc>
          <w:tcPr>
            <w:tcW w:w="1180" w:type="pct"/>
            <w:tcBorders>
              <w:top w:val="nil"/>
              <w:left w:val="nil"/>
              <w:bottom w:val="single" w:sz="4" w:space="0" w:color="auto"/>
              <w:right w:val="nil"/>
            </w:tcBorders>
            <w:noWrap/>
            <w:vAlign w:val="bottom"/>
            <w:hideMark/>
          </w:tcPr>
          <w:p w14:paraId="628C047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AT001TUR00014</w:t>
            </w:r>
          </w:p>
        </w:tc>
        <w:tc>
          <w:tcPr>
            <w:tcW w:w="1181" w:type="pct"/>
            <w:tcBorders>
              <w:top w:val="nil"/>
              <w:left w:val="nil"/>
              <w:bottom w:val="single" w:sz="4" w:space="0" w:color="auto"/>
              <w:right w:val="nil"/>
            </w:tcBorders>
            <w:noWrap/>
            <w:vAlign w:val="bottom"/>
            <w:hideMark/>
          </w:tcPr>
          <w:p w14:paraId="3093C483"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AT001TUR00014</w:t>
            </w:r>
          </w:p>
        </w:tc>
      </w:tr>
      <w:tr w:rsidR="00D3469D" w:rsidRPr="00DC75CC" w14:paraId="4B2143D3" w14:textId="77777777" w:rsidTr="00C75467">
        <w:trPr>
          <w:trHeight w:val="288"/>
        </w:trPr>
        <w:tc>
          <w:tcPr>
            <w:tcW w:w="5000" w:type="pct"/>
            <w:gridSpan w:val="4"/>
            <w:tcBorders>
              <w:top w:val="single" w:sz="4" w:space="0" w:color="auto"/>
              <w:left w:val="nil"/>
              <w:bottom w:val="nil"/>
              <w:right w:val="nil"/>
            </w:tcBorders>
            <w:noWrap/>
            <w:vAlign w:val="bottom"/>
            <w:hideMark/>
          </w:tcPr>
          <w:p w14:paraId="5B8652BF" w14:textId="585EF2AA" w:rsidR="00D3469D" w:rsidRPr="00DC75CC" w:rsidRDefault="00D3469D" w:rsidP="00F36743">
            <w:pPr>
              <w:rPr>
                <w:rFonts w:asciiTheme="majorHAnsi" w:hAnsiTheme="majorHAnsi"/>
                <w:sz w:val="16"/>
                <w:szCs w:val="16"/>
              </w:rPr>
            </w:pPr>
            <w:r w:rsidRPr="00DC75CC">
              <w:rPr>
                <w:rFonts w:asciiTheme="majorHAnsi" w:hAnsiTheme="majorHAnsi"/>
                <w:color w:val="000000"/>
                <w:sz w:val="16"/>
                <w:szCs w:val="16"/>
              </w:rPr>
              <w:t>*Estas constituyen una granja con tres licencias.</w:t>
            </w:r>
          </w:p>
        </w:tc>
      </w:tr>
    </w:tbl>
    <w:p w14:paraId="54783A72" w14:textId="4D904550" w:rsidR="00013B36" w:rsidRPr="00DC75CC" w:rsidRDefault="00013B36" w:rsidP="00F36743">
      <w:pPr>
        <w:rPr>
          <w:rFonts w:asciiTheme="majorHAnsi" w:hAnsiTheme="majorHAnsi"/>
          <w:b/>
          <w:bCs/>
          <w:color w:val="000000"/>
          <w:sz w:val="20"/>
          <w:szCs w:val="20"/>
        </w:rPr>
      </w:pPr>
    </w:p>
    <w:p w14:paraId="7FD7788B" w14:textId="77777777" w:rsidR="00D3469D" w:rsidRPr="00DC75CC" w:rsidRDefault="00D3469D" w:rsidP="00F36743">
      <w:pPr>
        <w:rPr>
          <w:rFonts w:asciiTheme="majorHAnsi" w:hAnsiTheme="majorHAnsi"/>
          <w:b/>
          <w:bCs/>
          <w:color w:val="000000"/>
          <w:sz w:val="20"/>
          <w:szCs w:val="20"/>
        </w:rPr>
      </w:pPr>
    </w:p>
    <w:p w14:paraId="087F0EE6" w14:textId="77777777" w:rsidR="00D3469D" w:rsidRPr="00DC75CC" w:rsidRDefault="00D3469D" w:rsidP="00F36743">
      <w:pPr>
        <w:rPr>
          <w:rFonts w:asciiTheme="majorHAnsi" w:hAnsiTheme="majorHAnsi"/>
          <w:b/>
          <w:bCs/>
          <w:color w:val="000000"/>
          <w:sz w:val="20"/>
          <w:szCs w:val="20"/>
        </w:rPr>
      </w:pPr>
    </w:p>
    <w:p w14:paraId="0DC80D2C" w14:textId="77777777" w:rsidR="009E60C4" w:rsidRPr="00DC75CC" w:rsidRDefault="009E60C4">
      <w:pPr>
        <w:rPr>
          <w:rFonts w:asciiTheme="majorHAnsi" w:hAnsiTheme="majorHAnsi"/>
          <w:b/>
          <w:bCs/>
          <w:color w:val="000000"/>
          <w:sz w:val="20"/>
          <w:szCs w:val="20"/>
        </w:rPr>
      </w:pPr>
      <w:r w:rsidRPr="00DC75CC">
        <w:rPr>
          <w:rFonts w:asciiTheme="majorHAnsi" w:hAnsiTheme="majorHAnsi"/>
        </w:rPr>
        <w:br w:type="page"/>
      </w:r>
    </w:p>
    <w:p w14:paraId="5C7B2048" w14:textId="1DDBA14F" w:rsidR="007B29C8" w:rsidRPr="00DC75CC" w:rsidRDefault="007B29C8" w:rsidP="00F36743">
      <w:pPr>
        <w:rPr>
          <w:rFonts w:asciiTheme="majorHAnsi" w:hAnsiTheme="majorHAnsi"/>
          <w:bCs/>
          <w:color w:val="000000"/>
          <w:sz w:val="20"/>
          <w:szCs w:val="20"/>
        </w:rPr>
      </w:pPr>
      <w:r w:rsidRPr="00DC75CC">
        <w:rPr>
          <w:rFonts w:asciiTheme="majorHAnsi" w:hAnsiTheme="majorHAnsi"/>
          <w:b/>
          <w:color w:val="000000"/>
          <w:sz w:val="20"/>
        </w:rPr>
        <w:t xml:space="preserve">Tabla 4.  </w:t>
      </w:r>
      <w:r w:rsidRPr="00DC75CC">
        <w:rPr>
          <w:rFonts w:asciiTheme="majorHAnsi" w:hAnsiTheme="majorHAnsi"/>
          <w:color w:val="000000"/>
          <w:sz w:val="20"/>
        </w:rPr>
        <w:t>Almadrabas observadas en el marco del Programa regional de observadores de ICCAT de 2023 a 2025.</w:t>
      </w:r>
    </w:p>
    <w:p w14:paraId="7A924318" w14:textId="77777777" w:rsidR="00E178BD" w:rsidRPr="00DC75CC" w:rsidRDefault="00E178BD" w:rsidP="00F36743">
      <w:pPr>
        <w:rPr>
          <w:rFonts w:asciiTheme="majorHAnsi" w:hAnsiTheme="majorHAnsi"/>
          <w:bCs/>
          <w:color w:val="000000"/>
          <w:sz w:val="20"/>
          <w:szCs w:val="20"/>
        </w:rPr>
      </w:pPr>
    </w:p>
    <w:tbl>
      <w:tblPr>
        <w:tblW w:w="5000" w:type="pct"/>
        <w:tblLook w:val="04A0" w:firstRow="1" w:lastRow="0" w:firstColumn="1" w:lastColumn="0" w:noHBand="0" w:noVBand="1"/>
      </w:tblPr>
      <w:tblGrid>
        <w:gridCol w:w="1711"/>
        <w:gridCol w:w="2298"/>
        <w:gridCol w:w="2298"/>
        <w:gridCol w:w="2763"/>
      </w:tblGrid>
      <w:tr w:rsidR="00337865" w:rsidRPr="00DC75CC" w14:paraId="442533D2" w14:textId="77777777" w:rsidTr="00C75467">
        <w:trPr>
          <w:trHeight w:val="288"/>
        </w:trPr>
        <w:tc>
          <w:tcPr>
            <w:tcW w:w="943" w:type="pct"/>
            <w:tcBorders>
              <w:top w:val="single" w:sz="4" w:space="0" w:color="auto"/>
              <w:bottom w:val="single" w:sz="4" w:space="0" w:color="auto"/>
            </w:tcBorders>
            <w:noWrap/>
            <w:vAlign w:val="center"/>
            <w:hideMark/>
          </w:tcPr>
          <w:p w14:paraId="3E6860AB" w14:textId="77777777" w:rsidR="00337865" w:rsidRPr="00DC75CC" w:rsidRDefault="00337865" w:rsidP="00F36743">
            <w:pPr>
              <w:rPr>
                <w:rFonts w:asciiTheme="majorHAnsi" w:hAnsiTheme="majorHAnsi"/>
                <w:b/>
                <w:bCs/>
                <w:i/>
                <w:iCs/>
                <w:color w:val="000000"/>
                <w:sz w:val="20"/>
                <w:szCs w:val="20"/>
              </w:rPr>
            </w:pPr>
            <w:r w:rsidRPr="00DC75CC">
              <w:rPr>
                <w:rFonts w:asciiTheme="majorHAnsi" w:hAnsiTheme="majorHAnsi"/>
                <w:b/>
                <w:i/>
                <w:color w:val="000000"/>
                <w:sz w:val="20"/>
              </w:rPr>
              <w:t>CPC</w:t>
            </w:r>
          </w:p>
        </w:tc>
        <w:tc>
          <w:tcPr>
            <w:tcW w:w="1267" w:type="pct"/>
            <w:tcBorders>
              <w:top w:val="single" w:sz="4" w:space="0" w:color="auto"/>
              <w:bottom w:val="single" w:sz="4" w:space="0" w:color="auto"/>
            </w:tcBorders>
            <w:noWrap/>
            <w:vAlign w:val="center"/>
            <w:hideMark/>
          </w:tcPr>
          <w:p w14:paraId="455144AE" w14:textId="77777777" w:rsidR="00337865" w:rsidRPr="00DC75CC" w:rsidRDefault="00337865" w:rsidP="00F36743">
            <w:pPr>
              <w:jc w:val="center"/>
              <w:rPr>
                <w:rFonts w:asciiTheme="majorHAnsi" w:hAnsiTheme="majorHAnsi"/>
                <w:b/>
                <w:bCs/>
                <w:i/>
                <w:iCs/>
                <w:color w:val="000000"/>
                <w:sz w:val="20"/>
                <w:szCs w:val="20"/>
              </w:rPr>
            </w:pPr>
            <w:r w:rsidRPr="00DC75CC">
              <w:rPr>
                <w:rFonts w:asciiTheme="majorHAnsi" w:hAnsiTheme="majorHAnsi"/>
                <w:b/>
                <w:i/>
                <w:color w:val="000000"/>
                <w:sz w:val="20"/>
              </w:rPr>
              <w:t>2023</w:t>
            </w:r>
          </w:p>
        </w:tc>
        <w:tc>
          <w:tcPr>
            <w:tcW w:w="1267" w:type="pct"/>
            <w:tcBorders>
              <w:top w:val="single" w:sz="4" w:space="0" w:color="auto"/>
              <w:bottom w:val="single" w:sz="4" w:space="0" w:color="auto"/>
            </w:tcBorders>
            <w:noWrap/>
            <w:vAlign w:val="center"/>
            <w:hideMark/>
          </w:tcPr>
          <w:p w14:paraId="59C4A8C4" w14:textId="77777777" w:rsidR="00337865" w:rsidRPr="00DC75CC" w:rsidRDefault="00337865" w:rsidP="00F36743">
            <w:pPr>
              <w:jc w:val="center"/>
              <w:rPr>
                <w:rFonts w:asciiTheme="majorHAnsi" w:hAnsiTheme="majorHAnsi"/>
                <w:b/>
                <w:bCs/>
                <w:i/>
                <w:iCs/>
                <w:color w:val="000000"/>
                <w:sz w:val="20"/>
                <w:szCs w:val="20"/>
              </w:rPr>
            </w:pPr>
            <w:r w:rsidRPr="00DC75CC">
              <w:rPr>
                <w:rFonts w:asciiTheme="majorHAnsi" w:hAnsiTheme="majorHAnsi"/>
                <w:b/>
                <w:i/>
                <w:color w:val="000000"/>
                <w:sz w:val="20"/>
              </w:rPr>
              <w:t>2024</w:t>
            </w:r>
          </w:p>
        </w:tc>
        <w:tc>
          <w:tcPr>
            <w:tcW w:w="1523" w:type="pct"/>
            <w:tcBorders>
              <w:top w:val="single" w:sz="4" w:space="0" w:color="auto"/>
              <w:bottom w:val="single" w:sz="4" w:space="0" w:color="auto"/>
            </w:tcBorders>
            <w:noWrap/>
            <w:vAlign w:val="center"/>
            <w:hideMark/>
          </w:tcPr>
          <w:p w14:paraId="688B5412" w14:textId="77777777" w:rsidR="00337865" w:rsidRPr="00DC75CC" w:rsidRDefault="00337865" w:rsidP="00F36743">
            <w:pPr>
              <w:jc w:val="center"/>
              <w:rPr>
                <w:rFonts w:asciiTheme="majorHAnsi" w:hAnsiTheme="majorHAnsi"/>
                <w:b/>
                <w:bCs/>
                <w:i/>
                <w:iCs/>
                <w:color w:val="000000"/>
                <w:sz w:val="20"/>
                <w:szCs w:val="20"/>
              </w:rPr>
            </w:pPr>
            <w:r w:rsidRPr="00DC75CC">
              <w:rPr>
                <w:rFonts w:asciiTheme="majorHAnsi" w:hAnsiTheme="majorHAnsi"/>
                <w:b/>
                <w:i/>
                <w:color w:val="000000"/>
                <w:sz w:val="20"/>
              </w:rPr>
              <w:t>2025</w:t>
            </w:r>
          </w:p>
        </w:tc>
      </w:tr>
      <w:tr w:rsidR="00337865" w:rsidRPr="00DC75CC" w14:paraId="3392F98E" w14:textId="77777777" w:rsidTr="00C75467">
        <w:trPr>
          <w:trHeight w:val="288"/>
        </w:trPr>
        <w:tc>
          <w:tcPr>
            <w:tcW w:w="943" w:type="pct"/>
            <w:tcBorders>
              <w:top w:val="single" w:sz="4" w:space="0" w:color="auto"/>
            </w:tcBorders>
            <w:noWrap/>
            <w:vAlign w:val="bottom"/>
            <w:hideMark/>
          </w:tcPr>
          <w:p w14:paraId="6241CDBD"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1267" w:type="pct"/>
            <w:tcBorders>
              <w:top w:val="single" w:sz="4" w:space="0" w:color="auto"/>
            </w:tcBorders>
            <w:noWrap/>
            <w:vAlign w:val="bottom"/>
            <w:hideMark/>
          </w:tcPr>
          <w:p w14:paraId="117EAC52"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ATEU2ITA00003</w:t>
            </w:r>
          </w:p>
        </w:tc>
        <w:tc>
          <w:tcPr>
            <w:tcW w:w="1267" w:type="pct"/>
            <w:tcBorders>
              <w:top w:val="single" w:sz="4" w:space="0" w:color="auto"/>
            </w:tcBorders>
            <w:noWrap/>
            <w:vAlign w:val="bottom"/>
            <w:hideMark/>
          </w:tcPr>
          <w:p w14:paraId="43A58567"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ATEU2ITA00003</w:t>
            </w:r>
          </w:p>
        </w:tc>
        <w:tc>
          <w:tcPr>
            <w:tcW w:w="1523" w:type="pct"/>
            <w:tcBorders>
              <w:top w:val="single" w:sz="4" w:space="0" w:color="auto"/>
            </w:tcBorders>
            <w:noWrap/>
            <w:vAlign w:val="bottom"/>
            <w:hideMark/>
          </w:tcPr>
          <w:p w14:paraId="3FFBA26D" w14:textId="13C3ADD1" w:rsidR="00337865" w:rsidRPr="00DC75CC" w:rsidRDefault="00337865" w:rsidP="00F36743">
            <w:pPr>
              <w:jc w:val="center"/>
              <w:rPr>
                <w:rFonts w:asciiTheme="majorHAnsi" w:hAnsiTheme="majorHAnsi"/>
                <w:color w:val="000000"/>
                <w:sz w:val="20"/>
                <w:szCs w:val="20"/>
              </w:rPr>
            </w:pPr>
          </w:p>
        </w:tc>
      </w:tr>
      <w:tr w:rsidR="00337865" w:rsidRPr="00DC75CC" w14:paraId="7CDA8986" w14:textId="77777777" w:rsidTr="00C75467">
        <w:trPr>
          <w:trHeight w:val="288"/>
        </w:trPr>
        <w:tc>
          <w:tcPr>
            <w:tcW w:w="943" w:type="pct"/>
            <w:noWrap/>
            <w:vAlign w:val="bottom"/>
            <w:hideMark/>
          </w:tcPr>
          <w:p w14:paraId="287C7AC7"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1267" w:type="pct"/>
            <w:noWrap/>
            <w:vAlign w:val="bottom"/>
            <w:hideMark/>
          </w:tcPr>
          <w:p w14:paraId="4A7EF4F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ATEU2ITA00008</w:t>
            </w:r>
          </w:p>
        </w:tc>
        <w:tc>
          <w:tcPr>
            <w:tcW w:w="1267" w:type="pct"/>
            <w:noWrap/>
            <w:vAlign w:val="bottom"/>
            <w:hideMark/>
          </w:tcPr>
          <w:p w14:paraId="03897FCE" w14:textId="54EFF9D3" w:rsidR="00337865" w:rsidRPr="00DC75CC" w:rsidRDefault="00337865" w:rsidP="00F36743">
            <w:pPr>
              <w:jc w:val="center"/>
              <w:rPr>
                <w:rFonts w:asciiTheme="majorHAnsi" w:hAnsiTheme="majorHAnsi"/>
                <w:color w:val="000000"/>
                <w:sz w:val="20"/>
                <w:szCs w:val="20"/>
              </w:rPr>
            </w:pPr>
          </w:p>
        </w:tc>
        <w:tc>
          <w:tcPr>
            <w:tcW w:w="1523" w:type="pct"/>
            <w:noWrap/>
            <w:vAlign w:val="bottom"/>
            <w:hideMark/>
          </w:tcPr>
          <w:p w14:paraId="4CF8B8E8" w14:textId="154FF7C2" w:rsidR="00337865" w:rsidRPr="00DC75CC" w:rsidRDefault="00337865" w:rsidP="00F36743">
            <w:pPr>
              <w:jc w:val="center"/>
              <w:rPr>
                <w:rFonts w:asciiTheme="majorHAnsi" w:hAnsiTheme="majorHAnsi"/>
                <w:color w:val="000000"/>
                <w:sz w:val="20"/>
                <w:szCs w:val="20"/>
              </w:rPr>
            </w:pPr>
          </w:p>
        </w:tc>
      </w:tr>
      <w:tr w:rsidR="00337865" w:rsidRPr="00DC75CC" w14:paraId="4D2E14AD" w14:textId="77777777" w:rsidTr="00C75467">
        <w:trPr>
          <w:trHeight w:val="288"/>
        </w:trPr>
        <w:tc>
          <w:tcPr>
            <w:tcW w:w="943" w:type="pct"/>
            <w:noWrap/>
            <w:vAlign w:val="bottom"/>
            <w:hideMark/>
          </w:tcPr>
          <w:p w14:paraId="66DAD370"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UE-Italia</w:t>
            </w:r>
          </w:p>
        </w:tc>
        <w:tc>
          <w:tcPr>
            <w:tcW w:w="1267" w:type="pct"/>
            <w:noWrap/>
            <w:vAlign w:val="bottom"/>
            <w:hideMark/>
          </w:tcPr>
          <w:p w14:paraId="73EE4FF8"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ATEU2ITA00009</w:t>
            </w:r>
          </w:p>
        </w:tc>
        <w:tc>
          <w:tcPr>
            <w:tcW w:w="1267" w:type="pct"/>
            <w:noWrap/>
            <w:vAlign w:val="bottom"/>
            <w:hideMark/>
          </w:tcPr>
          <w:p w14:paraId="187EC698"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ATEU2ITA00009</w:t>
            </w:r>
          </w:p>
        </w:tc>
        <w:tc>
          <w:tcPr>
            <w:tcW w:w="1523" w:type="pct"/>
            <w:noWrap/>
            <w:vAlign w:val="bottom"/>
            <w:hideMark/>
          </w:tcPr>
          <w:p w14:paraId="52958577" w14:textId="37E09ABA" w:rsidR="00337865" w:rsidRPr="00DC75CC" w:rsidRDefault="00337865" w:rsidP="00F36743">
            <w:pPr>
              <w:jc w:val="center"/>
              <w:rPr>
                <w:rFonts w:asciiTheme="majorHAnsi" w:hAnsiTheme="majorHAnsi"/>
                <w:color w:val="000000"/>
                <w:sz w:val="20"/>
                <w:szCs w:val="20"/>
              </w:rPr>
            </w:pPr>
          </w:p>
        </w:tc>
      </w:tr>
      <w:tr w:rsidR="00337865" w:rsidRPr="00DC75CC" w14:paraId="7D151CF0" w14:textId="77777777" w:rsidTr="00C75467">
        <w:trPr>
          <w:trHeight w:val="288"/>
        </w:trPr>
        <w:tc>
          <w:tcPr>
            <w:tcW w:w="943" w:type="pct"/>
            <w:noWrap/>
            <w:vAlign w:val="bottom"/>
            <w:hideMark/>
          </w:tcPr>
          <w:p w14:paraId="7BDC00A5"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UE-Portugal</w:t>
            </w:r>
          </w:p>
        </w:tc>
        <w:tc>
          <w:tcPr>
            <w:tcW w:w="1267" w:type="pct"/>
            <w:noWrap/>
            <w:vAlign w:val="bottom"/>
            <w:hideMark/>
          </w:tcPr>
          <w:p w14:paraId="4211A4F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ATEU2PRT00001</w:t>
            </w:r>
          </w:p>
        </w:tc>
        <w:tc>
          <w:tcPr>
            <w:tcW w:w="1267" w:type="pct"/>
            <w:noWrap/>
            <w:vAlign w:val="bottom"/>
            <w:hideMark/>
          </w:tcPr>
          <w:p w14:paraId="39F173B7"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ATEU2PRT00001</w:t>
            </w:r>
          </w:p>
        </w:tc>
        <w:tc>
          <w:tcPr>
            <w:tcW w:w="1523" w:type="pct"/>
            <w:noWrap/>
            <w:vAlign w:val="bottom"/>
            <w:hideMark/>
          </w:tcPr>
          <w:p w14:paraId="7EF0F5D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ATEU2PRT00001</w:t>
            </w:r>
          </w:p>
        </w:tc>
      </w:tr>
      <w:tr w:rsidR="00337865" w:rsidRPr="00DC75CC" w14:paraId="3D582C7B" w14:textId="77777777" w:rsidTr="00C75467">
        <w:trPr>
          <w:trHeight w:val="288"/>
        </w:trPr>
        <w:tc>
          <w:tcPr>
            <w:tcW w:w="943" w:type="pct"/>
            <w:noWrap/>
            <w:vAlign w:val="bottom"/>
            <w:hideMark/>
          </w:tcPr>
          <w:p w14:paraId="2E04148E"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UE-Portugal</w:t>
            </w:r>
          </w:p>
        </w:tc>
        <w:tc>
          <w:tcPr>
            <w:tcW w:w="1267" w:type="pct"/>
            <w:noWrap/>
            <w:vAlign w:val="bottom"/>
            <w:hideMark/>
          </w:tcPr>
          <w:p w14:paraId="6D955EA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ATEU2PRT00002</w:t>
            </w:r>
          </w:p>
        </w:tc>
        <w:tc>
          <w:tcPr>
            <w:tcW w:w="1267" w:type="pct"/>
            <w:noWrap/>
            <w:vAlign w:val="bottom"/>
            <w:hideMark/>
          </w:tcPr>
          <w:p w14:paraId="165E23E9"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ATEU2PRT00002</w:t>
            </w:r>
          </w:p>
        </w:tc>
        <w:tc>
          <w:tcPr>
            <w:tcW w:w="1523" w:type="pct"/>
            <w:noWrap/>
            <w:vAlign w:val="bottom"/>
            <w:hideMark/>
          </w:tcPr>
          <w:p w14:paraId="34946E4C"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ATEU2PRT00002</w:t>
            </w:r>
          </w:p>
        </w:tc>
      </w:tr>
      <w:tr w:rsidR="00337865" w:rsidRPr="00DC75CC" w14:paraId="4BCFBC2C" w14:textId="77777777" w:rsidTr="00C75467">
        <w:trPr>
          <w:trHeight w:val="288"/>
        </w:trPr>
        <w:tc>
          <w:tcPr>
            <w:tcW w:w="943" w:type="pct"/>
            <w:noWrap/>
            <w:vAlign w:val="bottom"/>
            <w:hideMark/>
          </w:tcPr>
          <w:p w14:paraId="7AAF4079"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30496156"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AT002MAR00001</w:t>
            </w:r>
          </w:p>
        </w:tc>
        <w:tc>
          <w:tcPr>
            <w:tcW w:w="1267" w:type="pct"/>
            <w:noWrap/>
            <w:vAlign w:val="bottom"/>
            <w:hideMark/>
          </w:tcPr>
          <w:p w14:paraId="0A27F1F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AT002MAR00001</w:t>
            </w:r>
          </w:p>
        </w:tc>
        <w:tc>
          <w:tcPr>
            <w:tcW w:w="1523" w:type="pct"/>
            <w:noWrap/>
            <w:vAlign w:val="bottom"/>
            <w:hideMark/>
          </w:tcPr>
          <w:p w14:paraId="397B5745"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AT002MAR00001</w:t>
            </w:r>
          </w:p>
        </w:tc>
      </w:tr>
      <w:tr w:rsidR="00337865" w:rsidRPr="00DC75CC" w14:paraId="30908232" w14:textId="77777777" w:rsidTr="00C75467">
        <w:trPr>
          <w:trHeight w:val="288"/>
        </w:trPr>
        <w:tc>
          <w:tcPr>
            <w:tcW w:w="943" w:type="pct"/>
            <w:noWrap/>
            <w:vAlign w:val="bottom"/>
            <w:hideMark/>
          </w:tcPr>
          <w:p w14:paraId="7B72B01C"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79DB10F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AT002MAR00002</w:t>
            </w:r>
          </w:p>
        </w:tc>
        <w:tc>
          <w:tcPr>
            <w:tcW w:w="1267" w:type="pct"/>
            <w:noWrap/>
            <w:vAlign w:val="bottom"/>
            <w:hideMark/>
          </w:tcPr>
          <w:p w14:paraId="6427ACA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AT002MAR00002</w:t>
            </w:r>
          </w:p>
        </w:tc>
        <w:tc>
          <w:tcPr>
            <w:tcW w:w="1523" w:type="pct"/>
            <w:noWrap/>
            <w:vAlign w:val="bottom"/>
            <w:hideMark/>
          </w:tcPr>
          <w:p w14:paraId="6116538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AT002MAR00002</w:t>
            </w:r>
          </w:p>
        </w:tc>
      </w:tr>
      <w:tr w:rsidR="00337865" w:rsidRPr="00DC75CC" w14:paraId="3B308EC8" w14:textId="77777777" w:rsidTr="00C75467">
        <w:trPr>
          <w:trHeight w:val="288"/>
        </w:trPr>
        <w:tc>
          <w:tcPr>
            <w:tcW w:w="943" w:type="pct"/>
            <w:noWrap/>
            <w:vAlign w:val="bottom"/>
            <w:hideMark/>
          </w:tcPr>
          <w:p w14:paraId="32DF8B8F"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44F9CD28"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AT002MAR00003</w:t>
            </w:r>
          </w:p>
        </w:tc>
        <w:tc>
          <w:tcPr>
            <w:tcW w:w="1267" w:type="pct"/>
            <w:noWrap/>
            <w:vAlign w:val="bottom"/>
            <w:hideMark/>
          </w:tcPr>
          <w:p w14:paraId="3E405A1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AT002MAR00003</w:t>
            </w:r>
          </w:p>
        </w:tc>
        <w:tc>
          <w:tcPr>
            <w:tcW w:w="1523" w:type="pct"/>
            <w:noWrap/>
            <w:vAlign w:val="bottom"/>
            <w:hideMark/>
          </w:tcPr>
          <w:p w14:paraId="45CBEC2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AT002MAR00003</w:t>
            </w:r>
          </w:p>
        </w:tc>
      </w:tr>
      <w:tr w:rsidR="00337865" w:rsidRPr="00DC75CC" w14:paraId="37ED865B" w14:textId="77777777" w:rsidTr="00C75467">
        <w:trPr>
          <w:trHeight w:val="288"/>
        </w:trPr>
        <w:tc>
          <w:tcPr>
            <w:tcW w:w="943" w:type="pct"/>
            <w:noWrap/>
            <w:vAlign w:val="bottom"/>
            <w:hideMark/>
          </w:tcPr>
          <w:p w14:paraId="50E261FA"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17D58D10" w14:textId="3E9CB5D3" w:rsidR="00337865" w:rsidRPr="00DC75CC" w:rsidRDefault="00337865" w:rsidP="00F36743">
            <w:pPr>
              <w:jc w:val="center"/>
              <w:rPr>
                <w:rFonts w:asciiTheme="majorHAnsi" w:hAnsiTheme="majorHAnsi"/>
                <w:color w:val="000000"/>
                <w:sz w:val="20"/>
                <w:szCs w:val="20"/>
              </w:rPr>
            </w:pPr>
          </w:p>
        </w:tc>
        <w:tc>
          <w:tcPr>
            <w:tcW w:w="1267" w:type="pct"/>
            <w:noWrap/>
            <w:vAlign w:val="bottom"/>
            <w:hideMark/>
          </w:tcPr>
          <w:p w14:paraId="76915F19"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AT002MAR00004</w:t>
            </w:r>
          </w:p>
        </w:tc>
        <w:tc>
          <w:tcPr>
            <w:tcW w:w="1523" w:type="pct"/>
            <w:noWrap/>
            <w:vAlign w:val="bottom"/>
            <w:hideMark/>
          </w:tcPr>
          <w:p w14:paraId="41FA3C71"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AT002MAR00004</w:t>
            </w:r>
          </w:p>
        </w:tc>
      </w:tr>
      <w:tr w:rsidR="00337865" w:rsidRPr="00DC75CC" w14:paraId="571F884F" w14:textId="77777777" w:rsidTr="00C75467">
        <w:trPr>
          <w:trHeight w:val="288"/>
        </w:trPr>
        <w:tc>
          <w:tcPr>
            <w:tcW w:w="943" w:type="pct"/>
            <w:noWrap/>
            <w:vAlign w:val="bottom"/>
            <w:hideMark/>
          </w:tcPr>
          <w:p w14:paraId="2E481997"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1F0A891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AT002MAR00005</w:t>
            </w:r>
          </w:p>
        </w:tc>
        <w:tc>
          <w:tcPr>
            <w:tcW w:w="1267" w:type="pct"/>
            <w:noWrap/>
            <w:vAlign w:val="bottom"/>
            <w:hideMark/>
          </w:tcPr>
          <w:p w14:paraId="723A7CB7"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AT002MAR00005</w:t>
            </w:r>
          </w:p>
        </w:tc>
        <w:tc>
          <w:tcPr>
            <w:tcW w:w="1523" w:type="pct"/>
            <w:noWrap/>
            <w:vAlign w:val="bottom"/>
            <w:hideMark/>
          </w:tcPr>
          <w:p w14:paraId="48CF6341"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AT002MAR00005</w:t>
            </w:r>
          </w:p>
        </w:tc>
      </w:tr>
      <w:tr w:rsidR="00337865" w:rsidRPr="00DC75CC" w14:paraId="368D021C" w14:textId="77777777" w:rsidTr="00C75467">
        <w:trPr>
          <w:trHeight w:val="288"/>
        </w:trPr>
        <w:tc>
          <w:tcPr>
            <w:tcW w:w="943" w:type="pct"/>
            <w:noWrap/>
            <w:vAlign w:val="bottom"/>
            <w:hideMark/>
          </w:tcPr>
          <w:p w14:paraId="6FBD146A"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43C51EEB"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AT002MAR00006</w:t>
            </w:r>
          </w:p>
        </w:tc>
        <w:tc>
          <w:tcPr>
            <w:tcW w:w="1267" w:type="pct"/>
            <w:noWrap/>
            <w:vAlign w:val="bottom"/>
            <w:hideMark/>
          </w:tcPr>
          <w:p w14:paraId="7C3FF34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AT002MAR00006</w:t>
            </w:r>
          </w:p>
        </w:tc>
        <w:tc>
          <w:tcPr>
            <w:tcW w:w="1523" w:type="pct"/>
            <w:noWrap/>
            <w:vAlign w:val="bottom"/>
            <w:hideMark/>
          </w:tcPr>
          <w:p w14:paraId="3C662B0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AT002MAR00006</w:t>
            </w:r>
          </w:p>
        </w:tc>
      </w:tr>
      <w:tr w:rsidR="00337865" w:rsidRPr="00DC75CC" w14:paraId="5B1684B8" w14:textId="77777777" w:rsidTr="00C75467">
        <w:trPr>
          <w:trHeight w:val="288"/>
        </w:trPr>
        <w:tc>
          <w:tcPr>
            <w:tcW w:w="943" w:type="pct"/>
            <w:noWrap/>
            <w:vAlign w:val="bottom"/>
            <w:hideMark/>
          </w:tcPr>
          <w:p w14:paraId="5A96B4DA"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62A4F06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AT002MAR00007</w:t>
            </w:r>
          </w:p>
        </w:tc>
        <w:tc>
          <w:tcPr>
            <w:tcW w:w="1267" w:type="pct"/>
            <w:noWrap/>
            <w:vAlign w:val="bottom"/>
            <w:hideMark/>
          </w:tcPr>
          <w:p w14:paraId="6CA6834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AT002MAR00007</w:t>
            </w:r>
          </w:p>
        </w:tc>
        <w:tc>
          <w:tcPr>
            <w:tcW w:w="1523" w:type="pct"/>
            <w:noWrap/>
            <w:vAlign w:val="bottom"/>
            <w:hideMark/>
          </w:tcPr>
          <w:p w14:paraId="4B06B33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AT002MAR00007</w:t>
            </w:r>
          </w:p>
        </w:tc>
      </w:tr>
      <w:tr w:rsidR="00337865" w:rsidRPr="00DC75CC" w14:paraId="5378262D" w14:textId="77777777" w:rsidTr="00C75467">
        <w:trPr>
          <w:trHeight w:val="288"/>
        </w:trPr>
        <w:tc>
          <w:tcPr>
            <w:tcW w:w="943" w:type="pct"/>
            <w:noWrap/>
            <w:vAlign w:val="bottom"/>
            <w:hideMark/>
          </w:tcPr>
          <w:p w14:paraId="09EE8015"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1DB4551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AT002MAR00008</w:t>
            </w:r>
          </w:p>
        </w:tc>
        <w:tc>
          <w:tcPr>
            <w:tcW w:w="1267" w:type="pct"/>
            <w:noWrap/>
            <w:vAlign w:val="bottom"/>
            <w:hideMark/>
          </w:tcPr>
          <w:p w14:paraId="2A2FF977"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AT002MAR00008</w:t>
            </w:r>
          </w:p>
        </w:tc>
        <w:tc>
          <w:tcPr>
            <w:tcW w:w="1523" w:type="pct"/>
            <w:noWrap/>
            <w:vAlign w:val="bottom"/>
            <w:hideMark/>
          </w:tcPr>
          <w:p w14:paraId="0D821BFB"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AT002MAR00008</w:t>
            </w:r>
          </w:p>
        </w:tc>
      </w:tr>
      <w:tr w:rsidR="00337865" w:rsidRPr="00DC75CC" w14:paraId="6372FD44" w14:textId="77777777" w:rsidTr="00C75467">
        <w:trPr>
          <w:trHeight w:val="288"/>
        </w:trPr>
        <w:tc>
          <w:tcPr>
            <w:tcW w:w="943" w:type="pct"/>
            <w:noWrap/>
            <w:vAlign w:val="bottom"/>
            <w:hideMark/>
          </w:tcPr>
          <w:p w14:paraId="435D7CD1"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748A2A0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AT002MAR00009</w:t>
            </w:r>
          </w:p>
        </w:tc>
        <w:tc>
          <w:tcPr>
            <w:tcW w:w="1267" w:type="pct"/>
            <w:noWrap/>
            <w:vAlign w:val="bottom"/>
            <w:hideMark/>
          </w:tcPr>
          <w:p w14:paraId="737C238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AT002MAR00009</w:t>
            </w:r>
          </w:p>
        </w:tc>
        <w:tc>
          <w:tcPr>
            <w:tcW w:w="1523" w:type="pct"/>
            <w:noWrap/>
            <w:vAlign w:val="bottom"/>
            <w:hideMark/>
          </w:tcPr>
          <w:p w14:paraId="7C6C57D8"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AT002MAR00009</w:t>
            </w:r>
          </w:p>
        </w:tc>
      </w:tr>
      <w:tr w:rsidR="00337865" w:rsidRPr="00DC75CC" w14:paraId="56DCCC1E" w14:textId="77777777" w:rsidTr="00C75467">
        <w:trPr>
          <w:trHeight w:val="288"/>
        </w:trPr>
        <w:tc>
          <w:tcPr>
            <w:tcW w:w="943" w:type="pct"/>
            <w:noWrap/>
            <w:vAlign w:val="bottom"/>
            <w:hideMark/>
          </w:tcPr>
          <w:p w14:paraId="4D6B0706"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1DF94B8C"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AT002MAR00010</w:t>
            </w:r>
          </w:p>
        </w:tc>
        <w:tc>
          <w:tcPr>
            <w:tcW w:w="1267" w:type="pct"/>
            <w:noWrap/>
            <w:vAlign w:val="bottom"/>
            <w:hideMark/>
          </w:tcPr>
          <w:p w14:paraId="7FD3EF9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AT002MAR00010</w:t>
            </w:r>
          </w:p>
        </w:tc>
        <w:tc>
          <w:tcPr>
            <w:tcW w:w="1523" w:type="pct"/>
            <w:noWrap/>
            <w:vAlign w:val="bottom"/>
            <w:hideMark/>
          </w:tcPr>
          <w:p w14:paraId="009B0A0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AT002MAR00010</w:t>
            </w:r>
          </w:p>
        </w:tc>
      </w:tr>
      <w:tr w:rsidR="00337865" w:rsidRPr="00DC75CC" w14:paraId="4E9215E7" w14:textId="77777777" w:rsidTr="00C75467">
        <w:trPr>
          <w:trHeight w:val="288"/>
        </w:trPr>
        <w:tc>
          <w:tcPr>
            <w:tcW w:w="943" w:type="pct"/>
            <w:noWrap/>
            <w:vAlign w:val="bottom"/>
            <w:hideMark/>
          </w:tcPr>
          <w:p w14:paraId="6F8F745D"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6D6FF471"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AT002MAR00011</w:t>
            </w:r>
          </w:p>
        </w:tc>
        <w:tc>
          <w:tcPr>
            <w:tcW w:w="1267" w:type="pct"/>
            <w:noWrap/>
            <w:vAlign w:val="bottom"/>
            <w:hideMark/>
          </w:tcPr>
          <w:p w14:paraId="7B01792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AT002MAR00011</w:t>
            </w:r>
          </w:p>
        </w:tc>
        <w:tc>
          <w:tcPr>
            <w:tcW w:w="1523" w:type="pct"/>
            <w:noWrap/>
            <w:vAlign w:val="bottom"/>
            <w:hideMark/>
          </w:tcPr>
          <w:p w14:paraId="0292A35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AT002MAR00011</w:t>
            </w:r>
          </w:p>
        </w:tc>
      </w:tr>
      <w:tr w:rsidR="00337865" w:rsidRPr="00DC75CC" w14:paraId="25B270CF" w14:textId="77777777" w:rsidTr="00C75467">
        <w:trPr>
          <w:trHeight w:val="288"/>
        </w:trPr>
        <w:tc>
          <w:tcPr>
            <w:tcW w:w="943" w:type="pct"/>
            <w:noWrap/>
            <w:vAlign w:val="bottom"/>
            <w:hideMark/>
          </w:tcPr>
          <w:p w14:paraId="555F2712"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3E6ABA73"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AT002MAR00012</w:t>
            </w:r>
          </w:p>
        </w:tc>
        <w:tc>
          <w:tcPr>
            <w:tcW w:w="1267" w:type="pct"/>
            <w:noWrap/>
            <w:vAlign w:val="bottom"/>
            <w:hideMark/>
          </w:tcPr>
          <w:p w14:paraId="1F7FB09C"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AT002MAR00012</w:t>
            </w:r>
          </w:p>
        </w:tc>
        <w:tc>
          <w:tcPr>
            <w:tcW w:w="1523" w:type="pct"/>
            <w:noWrap/>
            <w:vAlign w:val="bottom"/>
            <w:hideMark/>
          </w:tcPr>
          <w:p w14:paraId="00A71A8E"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AT002MAR00012</w:t>
            </w:r>
          </w:p>
        </w:tc>
      </w:tr>
      <w:tr w:rsidR="00337865" w:rsidRPr="00DC75CC" w14:paraId="11E10A36" w14:textId="77777777" w:rsidTr="00C75467">
        <w:trPr>
          <w:trHeight w:val="288"/>
        </w:trPr>
        <w:tc>
          <w:tcPr>
            <w:tcW w:w="943" w:type="pct"/>
            <w:noWrap/>
            <w:vAlign w:val="bottom"/>
            <w:hideMark/>
          </w:tcPr>
          <w:p w14:paraId="499E8A05"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6221B878"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AT002MAR00013</w:t>
            </w:r>
          </w:p>
        </w:tc>
        <w:tc>
          <w:tcPr>
            <w:tcW w:w="1267" w:type="pct"/>
            <w:noWrap/>
            <w:vAlign w:val="bottom"/>
            <w:hideMark/>
          </w:tcPr>
          <w:p w14:paraId="42AEC33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AT002MAR00013</w:t>
            </w:r>
          </w:p>
        </w:tc>
        <w:tc>
          <w:tcPr>
            <w:tcW w:w="1523" w:type="pct"/>
            <w:noWrap/>
            <w:vAlign w:val="bottom"/>
            <w:hideMark/>
          </w:tcPr>
          <w:p w14:paraId="4584C75D"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AT002MAR00013</w:t>
            </w:r>
          </w:p>
        </w:tc>
      </w:tr>
      <w:tr w:rsidR="00337865" w:rsidRPr="00DC75CC" w14:paraId="0CD47540" w14:textId="77777777" w:rsidTr="00C75467">
        <w:trPr>
          <w:trHeight w:val="288"/>
        </w:trPr>
        <w:tc>
          <w:tcPr>
            <w:tcW w:w="943" w:type="pct"/>
            <w:noWrap/>
            <w:vAlign w:val="bottom"/>
            <w:hideMark/>
          </w:tcPr>
          <w:p w14:paraId="015181C7"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2EEC5FB3"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AT002MAR00014</w:t>
            </w:r>
          </w:p>
        </w:tc>
        <w:tc>
          <w:tcPr>
            <w:tcW w:w="1267" w:type="pct"/>
            <w:noWrap/>
            <w:vAlign w:val="bottom"/>
            <w:hideMark/>
          </w:tcPr>
          <w:p w14:paraId="3D20168B"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AT002MAR00014</w:t>
            </w:r>
          </w:p>
        </w:tc>
        <w:tc>
          <w:tcPr>
            <w:tcW w:w="1523" w:type="pct"/>
            <w:noWrap/>
            <w:vAlign w:val="bottom"/>
            <w:hideMark/>
          </w:tcPr>
          <w:p w14:paraId="130DA089"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AT002MAR00014</w:t>
            </w:r>
          </w:p>
        </w:tc>
      </w:tr>
      <w:tr w:rsidR="00337865" w:rsidRPr="00DC75CC" w14:paraId="576842BC" w14:textId="77777777" w:rsidTr="00C75467">
        <w:trPr>
          <w:trHeight w:val="288"/>
        </w:trPr>
        <w:tc>
          <w:tcPr>
            <w:tcW w:w="943" w:type="pct"/>
            <w:noWrap/>
            <w:vAlign w:val="bottom"/>
            <w:hideMark/>
          </w:tcPr>
          <w:p w14:paraId="4DA2C4AF"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78603C65"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AT002MAR00015</w:t>
            </w:r>
          </w:p>
        </w:tc>
        <w:tc>
          <w:tcPr>
            <w:tcW w:w="1267" w:type="pct"/>
            <w:noWrap/>
            <w:vAlign w:val="bottom"/>
            <w:hideMark/>
          </w:tcPr>
          <w:p w14:paraId="1EF9F231"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AT002MAR00015</w:t>
            </w:r>
          </w:p>
        </w:tc>
        <w:tc>
          <w:tcPr>
            <w:tcW w:w="1523" w:type="pct"/>
            <w:noWrap/>
            <w:vAlign w:val="bottom"/>
            <w:hideMark/>
          </w:tcPr>
          <w:p w14:paraId="75CD133F"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AT002MAR00015</w:t>
            </w:r>
          </w:p>
        </w:tc>
      </w:tr>
      <w:tr w:rsidR="00337865" w:rsidRPr="00DC75CC" w14:paraId="13B198B4" w14:textId="77777777" w:rsidTr="00C75467">
        <w:trPr>
          <w:trHeight w:val="288"/>
        </w:trPr>
        <w:tc>
          <w:tcPr>
            <w:tcW w:w="943" w:type="pct"/>
            <w:noWrap/>
            <w:vAlign w:val="bottom"/>
            <w:hideMark/>
          </w:tcPr>
          <w:p w14:paraId="55D50109"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67958ED5"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AT002MAR00016</w:t>
            </w:r>
          </w:p>
        </w:tc>
        <w:tc>
          <w:tcPr>
            <w:tcW w:w="1267" w:type="pct"/>
            <w:noWrap/>
            <w:vAlign w:val="bottom"/>
            <w:hideMark/>
          </w:tcPr>
          <w:p w14:paraId="6F95760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AT002MAR00016</w:t>
            </w:r>
          </w:p>
        </w:tc>
        <w:tc>
          <w:tcPr>
            <w:tcW w:w="1523" w:type="pct"/>
            <w:noWrap/>
            <w:vAlign w:val="bottom"/>
            <w:hideMark/>
          </w:tcPr>
          <w:p w14:paraId="53DE56B7"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AT002MAR00016</w:t>
            </w:r>
          </w:p>
        </w:tc>
      </w:tr>
      <w:tr w:rsidR="00337865" w:rsidRPr="00DC75CC" w14:paraId="2442C379" w14:textId="77777777" w:rsidTr="00C75467">
        <w:trPr>
          <w:trHeight w:val="288"/>
        </w:trPr>
        <w:tc>
          <w:tcPr>
            <w:tcW w:w="943" w:type="pct"/>
            <w:noWrap/>
            <w:vAlign w:val="bottom"/>
            <w:hideMark/>
          </w:tcPr>
          <w:p w14:paraId="1F3BEC49"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noWrap/>
            <w:vAlign w:val="bottom"/>
            <w:hideMark/>
          </w:tcPr>
          <w:p w14:paraId="58E47D84"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AT002MAR00017</w:t>
            </w:r>
          </w:p>
        </w:tc>
        <w:tc>
          <w:tcPr>
            <w:tcW w:w="1267" w:type="pct"/>
            <w:noWrap/>
            <w:vAlign w:val="bottom"/>
            <w:hideMark/>
          </w:tcPr>
          <w:p w14:paraId="50B0185A"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AT002MAR00017</w:t>
            </w:r>
          </w:p>
        </w:tc>
        <w:tc>
          <w:tcPr>
            <w:tcW w:w="1523" w:type="pct"/>
            <w:noWrap/>
            <w:vAlign w:val="bottom"/>
            <w:hideMark/>
          </w:tcPr>
          <w:p w14:paraId="0EA32803"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AT002MAR00017</w:t>
            </w:r>
          </w:p>
        </w:tc>
      </w:tr>
      <w:tr w:rsidR="00337865" w:rsidRPr="00DC75CC" w14:paraId="464AF824" w14:textId="77777777" w:rsidTr="00C75467">
        <w:trPr>
          <w:trHeight w:val="288"/>
        </w:trPr>
        <w:tc>
          <w:tcPr>
            <w:tcW w:w="943" w:type="pct"/>
            <w:tcBorders>
              <w:bottom w:val="single" w:sz="4" w:space="0" w:color="auto"/>
            </w:tcBorders>
            <w:noWrap/>
            <w:vAlign w:val="bottom"/>
            <w:hideMark/>
          </w:tcPr>
          <w:p w14:paraId="3051BE44" w14:textId="77777777" w:rsidR="00337865" w:rsidRPr="00DC75CC" w:rsidRDefault="00337865" w:rsidP="00F36743">
            <w:pPr>
              <w:rPr>
                <w:rFonts w:asciiTheme="majorHAnsi" w:hAnsiTheme="majorHAnsi"/>
                <w:color w:val="000000"/>
                <w:sz w:val="20"/>
                <w:szCs w:val="20"/>
              </w:rPr>
            </w:pPr>
            <w:r w:rsidRPr="00DC75CC">
              <w:rPr>
                <w:rFonts w:asciiTheme="majorHAnsi" w:hAnsiTheme="majorHAnsi"/>
                <w:color w:val="000000"/>
                <w:sz w:val="20"/>
              </w:rPr>
              <w:t>Marruecos</w:t>
            </w:r>
          </w:p>
        </w:tc>
        <w:tc>
          <w:tcPr>
            <w:tcW w:w="1267" w:type="pct"/>
            <w:tcBorders>
              <w:bottom w:val="single" w:sz="4" w:space="0" w:color="auto"/>
            </w:tcBorders>
            <w:noWrap/>
            <w:vAlign w:val="bottom"/>
            <w:hideMark/>
          </w:tcPr>
          <w:p w14:paraId="4AFD1137"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AT002MAR00018</w:t>
            </w:r>
          </w:p>
        </w:tc>
        <w:tc>
          <w:tcPr>
            <w:tcW w:w="1267" w:type="pct"/>
            <w:tcBorders>
              <w:bottom w:val="single" w:sz="4" w:space="0" w:color="auto"/>
            </w:tcBorders>
            <w:noWrap/>
            <w:vAlign w:val="bottom"/>
            <w:hideMark/>
          </w:tcPr>
          <w:p w14:paraId="698A5500"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AT002MAR00018</w:t>
            </w:r>
          </w:p>
        </w:tc>
        <w:tc>
          <w:tcPr>
            <w:tcW w:w="1523" w:type="pct"/>
            <w:tcBorders>
              <w:bottom w:val="single" w:sz="4" w:space="0" w:color="auto"/>
            </w:tcBorders>
            <w:noWrap/>
            <w:vAlign w:val="bottom"/>
            <w:hideMark/>
          </w:tcPr>
          <w:p w14:paraId="7AEBE206" w14:textId="77777777" w:rsidR="00337865" w:rsidRPr="00DC75CC" w:rsidRDefault="00337865" w:rsidP="00F36743">
            <w:pPr>
              <w:jc w:val="center"/>
              <w:rPr>
                <w:rFonts w:asciiTheme="majorHAnsi" w:hAnsiTheme="majorHAnsi"/>
                <w:color w:val="000000"/>
                <w:sz w:val="20"/>
                <w:szCs w:val="20"/>
              </w:rPr>
            </w:pPr>
            <w:r w:rsidRPr="00DC75CC">
              <w:rPr>
                <w:rFonts w:asciiTheme="majorHAnsi" w:hAnsiTheme="majorHAnsi"/>
                <w:color w:val="000000"/>
                <w:sz w:val="20"/>
              </w:rPr>
              <w:t>AT002MAR00018</w:t>
            </w:r>
          </w:p>
        </w:tc>
      </w:tr>
    </w:tbl>
    <w:p w14:paraId="15C0333F" w14:textId="77777777" w:rsidR="00876E7F" w:rsidRPr="00DC75CC" w:rsidRDefault="00876E7F" w:rsidP="00F36743">
      <w:pPr>
        <w:jc w:val="both"/>
        <w:rPr>
          <w:rFonts w:asciiTheme="majorHAnsi" w:hAnsiTheme="majorHAnsi"/>
          <w:sz w:val="20"/>
          <w:szCs w:val="20"/>
        </w:rPr>
      </w:pPr>
    </w:p>
    <w:p w14:paraId="6DC8BE7A" w14:textId="258453A3" w:rsidR="00C1114A" w:rsidRPr="00DC75CC" w:rsidRDefault="00C1114A" w:rsidP="00F36743">
      <w:pPr>
        <w:rPr>
          <w:rFonts w:asciiTheme="majorHAnsi" w:hAnsiTheme="majorHAnsi"/>
          <w:bCs/>
          <w:sz w:val="20"/>
          <w:szCs w:val="20"/>
        </w:rPr>
      </w:pPr>
      <w:r w:rsidRPr="00DC75CC">
        <w:rPr>
          <w:rFonts w:asciiTheme="majorHAnsi" w:hAnsiTheme="majorHAnsi"/>
        </w:rPr>
        <w:br w:type="page"/>
      </w:r>
    </w:p>
    <w:p w14:paraId="680DF7CB" w14:textId="75A805A3" w:rsidR="00C1114A" w:rsidRPr="00DC75CC" w:rsidRDefault="00C1114A" w:rsidP="00F36743">
      <w:pPr>
        <w:jc w:val="right"/>
        <w:rPr>
          <w:rFonts w:asciiTheme="majorHAnsi" w:hAnsiTheme="majorHAnsi"/>
          <w:b/>
          <w:sz w:val="20"/>
          <w:szCs w:val="20"/>
        </w:rPr>
      </w:pPr>
      <w:r w:rsidRPr="00DC75CC">
        <w:rPr>
          <w:rFonts w:asciiTheme="majorHAnsi" w:hAnsiTheme="majorHAnsi"/>
          <w:b/>
          <w:sz w:val="20"/>
        </w:rPr>
        <w:t>Apéndice 1</w:t>
      </w:r>
    </w:p>
    <w:p w14:paraId="334B6208" w14:textId="77777777" w:rsidR="00C1114A" w:rsidRPr="00DC75CC" w:rsidRDefault="00C1114A" w:rsidP="00F36743">
      <w:pPr>
        <w:jc w:val="center"/>
        <w:rPr>
          <w:rFonts w:asciiTheme="majorHAnsi" w:hAnsiTheme="majorHAnsi"/>
          <w:b/>
          <w:sz w:val="20"/>
          <w:szCs w:val="20"/>
          <w:lang w:val="en-GB"/>
        </w:rPr>
      </w:pPr>
    </w:p>
    <w:p w14:paraId="0EF492F1" w14:textId="7AE80D19" w:rsidR="00C1114A" w:rsidRPr="00DC75CC" w:rsidRDefault="00C1114A" w:rsidP="00F36743">
      <w:pPr>
        <w:jc w:val="center"/>
        <w:rPr>
          <w:rFonts w:asciiTheme="majorHAnsi" w:hAnsiTheme="majorHAnsi"/>
          <w:b/>
          <w:sz w:val="20"/>
          <w:szCs w:val="20"/>
        </w:rPr>
      </w:pPr>
      <w:r w:rsidRPr="00DC75CC">
        <w:rPr>
          <w:rFonts w:asciiTheme="majorHAnsi" w:hAnsiTheme="majorHAnsi"/>
          <w:b/>
          <w:sz w:val="20"/>
        </w:rPr>
        <w:t>Informe del consorcio sobre la implementación del ROP-BFT</w:t>
      </w:r>
    </w:p>
    <w:p w14:paraId="57B5CE4A" w14:textId="77777777" w:rsidR="00C1114A" w:rsidRPr="00DC75CC" w:rsidRDefault="00C1114A" w:rsidP="00F36743">
      <w:pPr>
        <w:jc w:val="center"/>
        <w:rPr>
          <w:rFonts w:asciiTheme="majorHAnsi" w:hAnsiTheme="majorHAnsi"/>
          <w:b/>
          <w:sz w:val="20"/>
          <w:szCs w:val="20"/>
        </w:rPr>
      </w:pPr>
    </w:p>
    <w:p w14:paraId="74B7C333" w14:textId="1467D12C" w:rsidR="00C1114A" w:rsidRPr="00DC75CC" w:rsidRDefault="00DC75CC" w:rsidP="00F36743">
      <w:pPr>
        <w:jc w:val="center"/>
        <w:rPr>
          <w:rFonts w:asciiTheme="majorHAnsi" w:hAnsiTheme="majorHAnsi"/>
          <w:i/>
          <w:sz w:val="20"/>
          <w:szCs w:val="20"/>
        </w:rPr>
      </w:pPr>
      <w:r>
        <w:rPr>
          <w:rFonts w:asciiTheme="majorHAnsi" w:hAnsiTheme="majorHAnsi"/>
          <w:i/>
          <w:sz w:val="20"/>
        </w:rPr>
        <w:t>(</w:t>
      </w:r>
      <w:r w:rsidR="00C1114A" w:rsidRPr="00DC75CC">
        <w:rPr>
          <w:rFonts w:asciiTheme="majorHAnsi" w:hAnsiTheme="majorHAnsi"/>
          <w:i/>
          <w:sz w:val="20"/>
        </w:rPr>
        <w:t xml:space="preserve">Resumen </w:t>
      </w:r>
      <w:r>
        <w:rPr>
          <w:rFonts w:asciiTheme="majorHAnsi" w:hAnsiTheme="majorHAnsi"/>
          <w:i/>
          <w:sz w:val="20"/>
        </w:rPr>
        <w:t>e</w:t>
      </w:r>
      <w:r w:rsidR="00C1114A" w:rsidRPr="00DC75CC">
        <w:rPr>
          <w:rFonts w:asciiTheme="majorHAnsi" w:hAnsiTheme="majorHAnsi"/>
          <w:i/>
          <w:sz w:val="20"/>
        </w:rPr>
        <w:t>jecutivo</w:t>
      </w:r>
      <w:r>
        <w:rPr>
          <w:rFonts w:asciiTheme="majorHAnsi" w:hAnsiTheme="majorHAnsi"/>
          <w:i/>
          <w:sz w:val="20"/>
        </w:rPr>
        <w:t>)</w:t>
      </w:r>
    </w:p>
    <w:p w14:paraId="25D5F43A" w14:textId="77777777" w:rsidR="00C1114A" w:rsidRPr="00DC75CC" w:rsidRDefault="00C1114A" w:rsidP="00F36743">
      <w:pPr>
        <w:jc w:val="center"/>
        <w:rPr>
          <w:rFonts w:asciiTheme="majorHAnsi" w:hAnsiTheme="majorHAnsi"/>
          <w:i/>
          <w:sz w:val="20"/>
          <w:szCs w:val="20"/>
        </w:rPr>
      </w:pPr>
    </w:p>
    <w:p w14:paraId="2E7A391B" w14:textId="34B5BD89" w:rsidR="007711A6" w:rsidRPr="00DC75CC" w:rsidRDefault="007711A6" w:rsidP="00F36743">
      <w:pPr>
        <w:jc w:val="both"/>
        <w:rPr>
          <w:rFonts w:asciiTheme="majorHAnsi" w:hAnsiTheme="majorHAnsi"/>
          <w:sz w:val="20"/>
          <w:szCs w:val="20"/>
        </w:rPr>
      </w:pPr>
      <w:r w:rsidRPr="00DC75CC">
        <w:rPr>
          <w:rFonts w:asciiTheme="majorHAnsi" w:hAnsiTheme="majorHAnsi"/>
          <w:sz w:val="20"/>
          <w:szCs w:val="20"/>
        </w:rPr>
        <w:t>El prestatario de servicios para implementar el decimosexto año (abril de 2025/marzo de 2026) del ROP-BFT de ICCAT (en lo sucesivo denominado el Programa) está formado por un Consorcio dirigido por MRAG Ltd. (en lo sucesivo denominado MRAG), con base en Londres (Reino Unido), y por COFREPECHE, con base en París (Francia). El Consorcio cuenta con la ayuda de socios regionales (Sur-Koop en Türkiye y Oceanis en Italia y Malta), así como de centros regionales gestionados por personal asociado en Portugal, España, Croacia y Argelia (en adelante, el Consorcio) (</w:t>
      </w:r>
      <w:r w:rsidRPr="00DC75CC">
        <w:rPr>
          <w:rFonts w:asciiTheme="majorHAnsi" w:hAnsiTheme="majorHAnsi"/>
          <w:b/>
          <w:sz w:val="20"/>
          <w:szCs w:val="20"/>
        </w:rPr>
        <w:fldChar w:fldCharType="begin"/>
      </w:r>
      <w:r w:rsidRPr="00DC75CC">
        <w:rPr>
          <w:rFonts w:asciiTheme="majorHAnsi" w:hAnsiTheme="majorHAnsi"/>
          <w:b/>
          <w:sz w:val="20"/>
          <w:szCs w:val="20"/>
        </w:rPr>
        <w:instrText xml:space="preserve"> REF _Ref119687945 \h  \* MERGEFORMAT </w:instrText>
      </w:r>
      <w:r w:rsidRPr="00DC75CC">
        <w:rPr>
          <w:rFonts w:asciiTheme="majorHAnsi" w:hAnsiTheme="majorHAnsi"/>
          <w:b/>
          <w:sz w:val="20"/>
          <w:szCs w:val="20"/>
        </w:rPr>
      </w:r>
      <w:r w:rsidRPr="00DC75CC">
        <w:rPr>
          <w:rFonts w:asciiTheme="majorHAnsi" w:hAnsiTheme="majorHAnsi"/>
          <w:b/>
          <w:sz w:val="20"/>
          <w:szCs w:val="20"/>
        </w:rPr>
        <w:fldChar w:fldCharType="separate"/>
      </w:r>
      <w:r w:rsidRPr="00DC75CC">
        <w:rPr>
          <w:rFonts w:asciiTheme="majorHAnsi" w:hAnsiTheme="majorHAnsi"/>
          <w:b/>
          <w:sz w:val="20"/>
          <w:szCs w:val="20"/>
        </w:rPr>
        <w:t>Tabl</w:t>
      </w:r>
      <w:r w:rsidR="00DC75CC" w:rsidRPr="00DC75CC">
        <w:rPr>
          <w:rFonts w:asciiTheme="majorHAnsi" w:hAnsiTheme="majorHAnsi"/>
          <w:b/>
          <w:sz w:val="20"/>
          <w:szCs w:val="20"/>
        </w:rPr>
        <w:t>a </w:t>
      </w:r>
      <w:r w:rsidRPr="00DC75CC">
        <w:rPr>
          <w:rFonts w:asciiTheme="majorHAnsi" w:hAnsiTheme="majorHAnsi"/>
          <w:b/>
          <w:sz w:val="20"/>
          <w:szCs w:val="20"/>
        </w:rPr>
        <w:t>1</w:t>
      </w:r>
      <w:r w:rsidRPr="00DC75CC">
        <w:rPr>
          <w:rFonts w:asciiTheme="majorHAnsi" w:hAnsiTheme="majorHAnsi"/>
          <w:b/>
          <w:sz w:val="20"/>
          <w:szCs w:val="20"/>
        </w:rPr>
        <w:fldChar w:fldCharType="end"/>
      </w:r>
      <w:r w:rsidRPr="00DC75CC">
        <w:rPr>
          <w:rFonts w:asciiTheme="majorHAnsi" w:hAnsiTheme="majorHAnsi"/>
          <w:sz w:val="20"/>
          <w:szCs w:val="20"/>
        </w:rPr>
        <w:t>).</w:t>
      </w:r>
    </w:p>
    <w:p w14:paraId="3AEF55F2" w14:textId="77777777" w:rsidR="001A6516" w:rsidRPr="00DC75CC" w:rsidRDefault="001A6516" w:rsidP="00F36743">
      <w:pPr>
        <w:jc w:val="both"/>
        <w:rPr>
          <w:rFonts w:asciiTheme="majorHAnsi" w:hAnsiTheme="majorHAnsi"/>
          <w:sz w:val="20"/>
          <w:szCs w:val="20"/>
        </w:rPr>
      </w:pPr>
    </w:p>
    <w:p w14:paraId="21ED9EC5" w14:textId="64977F29" w:rsidR="007711A6" w:rsidRPr="00DC75CC" w:rsidRDefault="007711A6" w:rsidP="00F36743">
      <w:pPr>
        <w:pStyle w:val="Caption"/>
        <w:spacing w:after="0"/>
        <w:rPr>
          <w:rFonts w:asciiTheme="majorHAnsi" w:hAnsiTheme="majorHAnsi"/>
          <w:sz w:val="20"/>
        </w:rPr>
      </w:pPr>
      <w:bookmarkStart w:id="1" w:name="_Toc211441984"/>
      <w:r w:rsidRPr="00DC75CC">
        <w:rPr>
          <w:rFonts w:asciiTheme="majorHAnsi" w:hAnsiTheme="majorHAnsi"/>
          <w:sz w:val="20"/>
        </w:rPr>
        <w:t>Tabla </w:t>
      </w:r>
      <w:r w:rsidRPr="00DC75CC">
        <w:rPr>
          <w:rFonts w:asciiTheme="majorHAnsi" w:hAnsiTheme="majorHAnsi"/>
          <w:sz w:val="20"/>
        </w:rPr>
        <w:fldChar w:fldCharType="begin"/>
      </w:r>
      <w:r w:rsidRPr="00DC75CC">
        <w:rPr>
          <w:rFonts w:asciiTheme="majorHAnsi" w:hAnsiTheme="majorHAnsi"/>
          <w:sz w:val="20"/>
        </w:rPr>
        <w:instrText xml:space="preserve"> SEQ Table \* ARABIC </w:instrText>
      </w:r>
      <w:r w:rsidRPr="00DC75CC">
        <w:rPr>
          <w:rFonts w:asciiTheme="majorHAnsi" w:hAnsiTheme="majorHAnsi"/>
          <w:sz w:val="20"/>
        </w:rPr>
        <w:fldChar w:fldCharType="separate"/>
      </w:r>
      <w:r w:rsidRPr="00DC75CC">
        <w:rPr>
          <w:rFonts w:asciiTheme="majorHAnsi" w:hAnsiTheme="majorHAnsi"/>
          <w:sz w:val="20"/>
        </w:rPr>
        <w:t>1</w:t>
      </w:r>
      <w:r w:rsidRPr="00DC75CC">
        <w:rPr>
          <w:rFonts w:asciiTheme="majorHAnsi" w:hAnsiTheme="majorHAnsi"/>
          <w:sz w:val="20"/>
        </w:rPr>
        <w:fldChar w:fldCharType="end"/>
      </w:r>
      <w:r w:rsidRPr="00DC75CC">
        <w:rPr>
          <w:rFonts w:asciiTheme="majorHAnsi" w:hAnsiTheme="majorHAnsi"/>
          <w:sz w:val="20"/>
        </w:rPr>
        <w:t xml:space="preserve">. </w:t>
      </w:r>
      <w:r w:rsidRPr="00DC75CC">
        <w:rPr>
          <w:rFonts w:asciiTheme="majorHAnsi" w:hAnsiTheme="majorHAnsi"/>
          <w:b w:val="0"/>
          <w:sz w:val="20"/>
        </w:rPr>
        <w:t>Lista de socios y centro regionales</w:t>
      </w:r>
      <w:bookmarkEnd w:id="1"/>
      <w:r w:rsidRPr="00DC75CC">
        <w:rPr>
          <w:rFonts w:asciiTheme="majorHAnsi" w:hAnsiTheme="majorHAnsi"/>
          <w:b w:val="0"/>
          <w:sz w:val="20"/>
        </w:rPr>
        <w:t>.</w:t>
      </w:r>
    </w:p>
    <w:tbl>
      <w:tblPr>
        <w:tblStyle w:val="TableGrid"/>
        <w:tblW w:w="0" w:type="auto"/>
        <w:tblLook w:val="04A0" w:firstRow="1" w:lastRow="0" w:firstColumn="1" w:lastColumn="0" w:noHBand="0" w:noVBand="1"/>
      </w:tblPr>
      <w:tblGrid>
        <w:gridCol w:w="2830"/>
        <w:gridCol w:w="2835"/>
        <w:gridCol w:w="3351"/>
      </w:tblGrid>
      <w:tr w:rsidR="007711A6" w:rsidRPr="00DC75CC" w14:paraId="10D69F85" w14:textId="77777777" w:rsidTr="00C10A61">
        <w:trPr>
          <w:trHeight w:val="523"/>
        </w:trPr>
        <w:tc>
          <w:tcPr>
            <w:tcW w:w="2830" w:type="dxa"/>
            <w:shd w:val="clear" w:color="auto" w:fill="DBE5F1" w:themeFill="accent1" w:themeFillTint="33"/>
            <w:vAlign w:val="center"/>
          </w:tcPr>
          <w:p w14:paraId="33F0BCDD" w14:textId="77777777" w:rsidR="007711A6" w:rsidRPr="00DC75CC" w:rsidRDefault="007711A6" w:rsidP="00F36743">
            <w:pPr>
              <w:pStyle w:val="TableTitleRow"/>
              <w:jc w:val="both"/>
              <w:rPr>
                <w:rFonts w:asciiTheme="majorHAnsi" w:hAnsiTheme="majorHAnsi"/>
                <w:i/>
                <w:iCs/>
              </w:rPr>
            </w:pPr>
            <w:r w:rsidRPr="00DC75CC">
              <w:rPr>
                <w:rFonts w:asciiTheme="majorHAnsi" w:hAnsiTheme="majorHAnsi"/>
                <w:i/>
              </w:rPr>
              <w:t>Región</w:t>
            </w:r>
          </w:p>
        </w:tc>
        <w:tc>
          <w:tcPr>
            <w:tcW w:w="2835" w:type="dxa"/>
            <w:shd w:val="clear" w:color="auto" w:fill="DBE5F1" w:themeFill="accent1" w:themeFillTint="33"/>
            <w:vAlign w:val="center"/>
          </w:tcPr>
          <w:p w14:paraId="358A4732" w14:textId="77777777" w:rsidR="007711A6" w:rsidRPr="00DC75CC" w:rsidRDefault="007711A6" w:rsidP="00F36743">
            <w:pPr>
              <w:pStyle w:val="TableTitleRow"/>
              <w:jc w:val="both"/>
              <w:rPr>
                <w:rFonts w:asciiTheme="majorHAnsi" w:hAnsiTheme="majorHAnsi"/>
                <w:i/>
                <w:iCs/>
              </w:rPr>
            </w:pPr>
            <w:r w:rsidRPr="00DC75CC">
              <w:rPr>
                <w:rFonts w:asciiTheme="majorHAnsi" w:hAnsiTheme="majorHAnsi"/>
                <w:i/>
              </w:rPr>
              <w:t>Cobertura de las CPC</w:t>
            </w:r>
          </w:p>
        </w:tc>
        <w:tc>
          <w:tcPr>
            <w:tcW w:w="3351" w:type="dxa"/>
            <w:shd w:val="clear" w:color="auto" w:fill="DBE5F1" w:themeFill="accent1" w:themeFillTint="33"/>
            <w:vAlign w:val="center"/>
          </w:tcPr>
          <w:p w14:paraId="14DA2BFF" w14:textId="77777777" w:rsidR="007711A6" w:rsidRPr="00DC75CC" w:rsidRDefault="007711A6" w:rsidP="00F36743">
            <w:pPr>
              <w:pStyle w:val="TableTitleRow"/>
              <w:jc w:val="both"/>
              <w:rPr>
                <w:rFonts w:asciiTheme="majorHAnsi" w:hAnsiTheme="majorHAnsi"/>
                <w:i/>
                <w:iCs/>
              </w:rPr>
            </w:pPr>
            <w:r w:rsidRPr="00DC75CC">
              <w:rPr>
                <w:rFonts w:asciiTheme="majorHAnsi" w:hAnsiTheme="majorHAnsi"/>
                <w:i/>
              </w:rPr>
              <w:t>Cobertura del consorcio y sus asociados</w:t>
            </w:r>
          </w:p>
        </w:tc>
      </w:tr>
      <w:tr w:rsidR="007711A6" w:rsidRPr="00DC75CC" w14:paraId="2B352B93" w14:textId="77777777" w:rsidTr="00C10A61">
        <w:trPr>
          <w:trHeight w:val="828"/>
        </w:trPr>
        <w:tc>
          <w:tcPr>
            <w:tcW w:w="2830" w:type="dxa"/>
            <w:vAlign w:val="center"/>
          </w:tcPr>
          <w:p w14:paraId="14B2688B" w14:textId="77777777" w:rsidR="007711A6" w:rsidRPr="00DC75CC" w:rsidRDefault="007711A6" w:rsidP="00F36743">
            <w:pPr>
              <w:jc w:val="both"/>
              <w:rPr>
                <w:rFonts w:asciiTheme="majorHAnsi" w:hAnsiTheme="majorHAnsi"/>
                <w:sz w:val="20"/>
                <w:szCs w:val="20"/>
              </w:rPr>
            </w:pPr>
            <w:r w:rsidRPr="00DC75CC">
              <w:rPr>
                <w:rFonts w:asciiTheme="majorHAnsi" w:hAnsiTheme="majorHAnsi"/>
                <w:sz w:val="20"/>
                <w:szCs w:val="20"/>
              </w:rPr>
              <w:t>Mediterráneo oriental y mar Adriático</w:t>
            </w:r>
          </w:p>
        </w:tc>
        <w:tc>
          <w:tcPr>
            <w:tcW w:w="2835" w:type="dxa"/>
            <w:vAlign w:val="center"/>
          </w:tcPr>
          <w:p w14:paraId="1B614AF4"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UE-Croacia</w:t>
            </w:r>
          </w:p>
          <w:p w14:paraId="7E853DCA"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Türkiye</w:t>
            </w:r>
          </w:p>
        </w:tc>
        <w:tc>
          <w:tcPr>
            <w:tcW w:w="3351" w:type="dxa"/>
            <w:vAlign w:val="center"/>
          </w:tcPr>
          <w:p w14:paraId="58A075B4"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MRAG (Reino Unido)</w:t>
            </w:r>
          </w:p>
          <w:p w14:paraId="1ED05608"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Sür-Koop (Türkiye)</w:t>
            </w:r>
          </w:p>
          <w:p w14:paraId="39812A01"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Personal asociado con MRAG (Croacia)</w:t>
            </w:r>
          </w:p>
        </w:tc>
      </w:tr>
      <w:tr w:rsidR="007711A6" w:rsidRPr="00DC75CC" w14:paraId="1EFB9AE3" w14:textId="77777777" w:rsidTr="00C10A61">
        <w:trPr>
          <w:trHeight w:val="828"/>
        </w:trPr>
        <w:tc>
          <w:tcPr>
            <w:tcW w:w="2830" w:type="dxa"/>
            <w:vAlign w:val="center"/>
          </w:tcPr>
          <w:p w14:paraId="31D57D9F" w14:textId="77777777" w:rsidR="007711A6" w:rsidRPr="00DC75CC" w:rsidRDefault="007711A6" w:rsidP="00F36743">
            <w:pPr>
              <w:jc w:val="both"/>
              <w:rPr>
                <w:rFonts w:asciiTheme="majorHAnsi" w:hAnsiTheme="majorHAnsi"/>
                <w:sz w:val="20"/>
                <w:szCs w:val="20"/>
              </w:rPr>
            </w:pPr>
            <w:r w:rsidRPr="00DC75CC">
              <w:rPr>
                <w:rFonts w:asciiTheme="majorHAnsi" w:hAnsiTheme="majorHAnsi"/>
                <w:sz w:val="20"/>
                <w:szCs w:val="20"/>
              </w:rPr>
              <w:t>Mediterráneo central y meridional</w:t>
            </w:r>
          </w:p>
        </w:tc>
        <w:tc>
          <w:tcPr>
            <w:tcW w:w="2835" w:type="dxa"/>
            <w:vAlign w:val="center"/>
          </w:tcPr>
          <w:p w14:paraId="664100B8"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Albania</w:t>
            </w:r>
          </w:p>
          <w:p w14:paraId="66C58961"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Argelia</w:t>
            </w:r>
          </w:p>
          <w:p w14:paraId="433435B7"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UE-Chipre</w:t>
            </w:r>
          </w:p>
          <w:p w14:paraId="44FD8166"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UE-Malta</w:t>
            </w:r>
          </w:p>
          <w:p w14:paraId="4C5A10AD"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UE-Italia</w:t>
            </w:r>
          </w:p>
          <w:p w14:paraId="363EA8E5"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Libia</w:t>
            </w:r>
          </w:p>
          <w:p w14:paraId="1CE23030"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Marruecos</w:t>
            </w:r>
          </w:p>
          <w:p w14:paraId="2C5F507E"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Túnez</w:t>
            </w:r>
          </w:p>
          <w:p w14:paraId="5F9FCE4F"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Türkiye</w:t>
            </w:r>
          </w:p>
        </w:tc>
        <w:tc>
          <w:tcPr>
            <w:tcW w:w="3351" w:type="dxa"/>
            <w:vAlign w:val="center"/>
          </w:tcPr>
          <w:p w14:paraId="10BA930E"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MRAG (Reino Unido)</w:t>
            </w:r>
          </w:p>
          <w:p w14:paraId="60A83835"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Personal asociado con MRAG (Croacia)</w:t>
            </w:r>
          </w:p>
          <w:p w14:paraId="308124F8"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Personal asociado con MRAG (España)</w:t>
            </w:r>
          </w:p>
          <w:p w14:paraId="6573FE28"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Cofrepêche (Francia)</w:t>
            </w:r>
          </w:p>
          <w:p w14:paraId="2DEA29FC"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Personal asociado con Cofrepeche (Argelia y Túnez)</w:t>
            </w:r>
          </w:p>
          <w:p w14:paraId="0B598024" w14:textId="77777777" w:rsidR="007711A6" w:rsidRPr="00DC75CC" w:rsidRDefault="007711A6" w:rsidP="00F36743">
            <w:pPr>
              <w:keepNext/>
              <w:jc w:val="both"/>
              <w:rPr>
                <w:rFonts w:asciiTheme="majorHAnsi" w:hAnsiTheme="majorHAnsi"/>
                <w:sz w:val="20"/>
                <w:szCs w:val="20"/>
                <w:lang w:val="en-US"/>
              </w:rPr>
            </w:pPr>
            <w:r w:rsidRPr="00DC75CC">
              <w:rPr>
                <w:rFonts w:asciiTheme="majorHAnsi" w:hAnsiTheme="majorHAnsi"/>
                <w:sz w:val="20"/>
                <w:szCs w:val="20"/>
                <w:lang w:val="en-US"/>
              </w:rPr>
              <w:t>Sür-Koop (Türkiye)</w:t>
            </w:r>
          </w:p>
          <w:p w14:paraId="0395A585" w14:textId="77777777" w:rsidR="007711A6" w:rsidRPr="00DC75CC" w:rsidRDefault="007711A6" w:rsidP="00F36743">
            <w:pPr>
              <w:keepNext/>
              <w:jc w:val="both"/>
              <w:rPr>
                <w:rFonts w:asciiTheme="majorHAnsi" w:hAnsiTheme="majorHAnsi"/>
                <w:sz w:val="20"/>
                <w:szCs w:val="20"/>
                <w:lang w:val="en-US"/>
              </w:rPr>
            </w:pPr>
            <w:r w:rsidRPr="00DC75CC">
              <w:rPr>
                <w:rFonts w:asciiTheme="majorHAnsi" w:hAnsiTheme="majorHAnsi"/>
                <w:sz w:val="20"/>
                <w:szCs w:val="20"/>
                <w:lang w:val="en-US"/>
              </w:rPr>
              <w:t>Oceanis (Italia)</w:t>
            </w:r>
          </w:p>
        </w:tc>
      </w:tr>
      <w:tr w:rsidR="007711A6" w:rsidRPr="00DC75CC" w14:paraId="0D2EB9F5" w14:textId="77777777" w:rsidTr="00C10A61">
        <w:trPr>
          <w:trHeight w:val="828"/>
        </w:trPr>
        <w:tc>
          <w:tcPr>
            <w:tcW w:w="2830" w:type="dxa"/>
            <w:vAlign w:val="center"/>
          </w:tcPr>
          <w:p w14:paraId="3571B974" w14:textId="77777777" w:rsidR="007711A6" w:rsidRPr="00DC75CC" w:rsidRDefault="007711A6" w:rsidP="00F36743">
            <w:pPr>
              <w:jc w:val="both"/>
              <w:rPr>
                <w:rFonts w:asciiTheme="majorHAnsi" w:hAnsiTheme="majorHAnsi"/>
                <w:sz w:val="20"/>
                <w:szCs w:val="20"/>
              </w:rPr>
            </w:pPr>
            <w:r w:rsidRPr="00DC75CC">
              <w:rPr>
                <w:rFonts w:asciiTheme="majorHAnsi" w:hAnsiTheme="majorHAnsi"/>
                <w:sz w:val="20"/>
                <w:szCs w:val="20"/>
              </w:rPr>
              <w:t>Mediterráneo occidental</w:t>
            </w:r>
          </w:p>
        </w:tc>
        <w:tc>
          <w:tcPr>
            <w:tcW w:w="2835" w:type="dxa"/>
            <w:vAlign w:val="center"/>
          </w:tcPr>
          <w:p w14:paraId="66E45973"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UE-Francia</w:t>
            </w:r>
          </w:p>
          <w:p w14:paraId="61488776"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UE-Italia</w:t>
            </w:r>
          </w:p>
          <w:p w14:paraId="3681AF48"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UE-Portugal</w:t>
            </w:r>
          </w:p>
          <w:p w14:paraId="282E28D6"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UE-España</w:t>
            </w:r>
          </w:p>
        </w:tc>
        <w:tc>
          <w:tcPr>
            <w:tcW w:w="3351" w:type="dxa"/>
            <w:vAlign w:val="center"/>
          </w:tcPr>
          <w:p w14:paraId="0DE15EC1"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MRAG (Reino Unido)</w:t>
            </w:r>
          </w:p>
          <w:p w14:paraId="19FCD0C2"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Cofrepêche (Francia)</w:t>
            </w:r>
          </w:p>
          <w:p w14:paraId="12E15043"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Personal asociado con MRAG (España)</w:t>
            </w:r>
          </w:p>
          <w:p w14:paraId="68D0CD24"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Personal asociado con MRAG (Portugal)</w:t>
            </w:r>
          </w:p>
          <w:p w14:paraId="2D5ABDC3"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Oceanis (Italia)</w:t>
            </w:r>
          </w:p>
        </w:tc>
      </w:tr>
      <w:tr w:rsidR="007711A6" w:rsidRPr="00DC75CC" w14:paraId="354B3044" w14:textId="77777777" w:rsidTr="00C10A61">
        <w:trPr>
          <w:trHeight w:val="828"/>
        </w:trPr>
        <w:tc>
          <w:tcPr>
            <w:tcW w:w="2830" w:type="dxa"/>
            <w:vAlign w:val="center"/>
          </w:tcPr>
          <w:p w14:paraId="54A0B6DB" w14:textId="77777777" w:rsidR="007711A6" w:rsidRPr="00DC75CC" w:rsidRDefault="007711A6" w:rsidP="00F36743">
            <w:pPr>
              <w:jc w:val="both"/>
              <w:rPr>
                <w:rFonts w:asciiTheme="majorHAnsi" w:hAnsiTheme="majorHAnsi"/>
                <w:sz w:val="20"/>
                <w:szCs w:val="20"/>
              </w:rPr>
            </w:pPr>
            <w:r w:rsidRPr="00DC75CC">
              <w:rPr>
                <w:rFonts w:asciiTheme="majorHAnsi" w:hAnsiTheme="majorHAnsi"/>
                <w:sz w:val="20"/>
                <w:szCs w:val="20"/>
              </w:rPr>
              <w:t>Mar Cantábrico</w:t>
            </w:r>
          </w:p>
        </w:tc>
        <w:tc>
          <w:tcPr>
            <w:tcW w:w="2835" w:type="dxa"/>
            <w:vAlign w:val="center"/>
          </w:tcPr>
          <w:p w14:paraId="3493DB02" w14:textId="77777777" w:rsidR="007711A6" w:rsidRPr="00DC75CC" w:rsidDel="006478F8"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UE-España</w:t>
            </w:r>
          </w:p>
        </w:tc>
        <w:tc>
          <w:tcPr>
            <w:tcW w:w="3351" w:type="dxa"/>
            <w:vAlign w:val="center"/>
          </w:tcPr>
          <w:p w14:paraId="2745A156"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Personal asociado con MRAG (España)</w:t>
            </w:r>
          </w:p>
        </w:tc>
      </w:tr>
      <w:tr w:rsidR="007711A6" w:rsidRPr="00DC75CC" w14:paraId="6CA7700F" w14:textId="77777777" w:rsidTr="00C10A61">
        <w:trPr>
          <w:trHeight w:val="465"/>
        </w:trPr>
        <w:tc>
          <w:tcPr>
            <w:tcW w:w="2830" w:type="dxa"/>
            <w:vAlign w:val="center"/>
          </w:tcPr>
          <w:p w14:paraId="20877A3F" w14:textId="77777777" w:rsidR="007711A6" w:rsidRPr="00DC75CC" w:rsidRDefault="007711A6" w:rsidP="00F36743">
            <w:pPr>
              <w:jc w:val="both"/>
              <w:rPr>
                <w:rFonts w:asciiTheme="majorHAnsi" w:hAnsiTheme="majorHAnsi"/>
                <w:sz w:val="20"/>
                <w:szCs w:val="20"/>
              </w:rPr>
            </w:pPr>
            <w:r w:rsidRPr="00DC75CC">
              <w:rPr>
                <w:rFonts w:asciiTheme="majorHAnsi" w:hAnsiTheme="majorHAnsi"/>
                <w:sz w:val="20"/>
                <w:szCs w:val="20"/>
              </w:rPr>
              <w:t>Noruega</w:t>
            </w:r>
          </w:p>
        </w:tc>
        <w:tc>
          <w:tcPr>
            <w:tcW w:w="2835" w:type="dxa"/>
            <w:vAlign w:val="center"/>
          </w:tcPr>
          <w:p w14:paraId="086978B0" w14:textId="77777777" w:rsidR="007711A6" w:rsidRPr="00DC75CC" w:rsidRDefault="007711A6" w:rsidP="00F36743">
            <w:pPr>
              <w:keepNext/>
              <w:ind w:firstLine="131"/>
              <w:jc w:val="both"/>
              <w:rPr>
                <w:rFonts w:asciiTheme="majorHAnsi" w:hAnsiTheme="majorHAnsi"/>
                <w:sz w:val="20"/>
                <w:szCs w:val="20"/>
              </w:rPr>
            </w:pPr>
            <w:r w:rsidRPr="00DC75CC">
              <w:rPr>
                <w:rFonts w:asciiTheme="majorHAnsi" w:hAnsiTheme="majorHAnsi"/>
                <w:sz w:val="20"/>
                <w:szCs w:val="20"/>
              </w:rPr>
              <w:t>Noruega</w:t>
            </w:r>
          </w:p>
        </w:tc>
        <w:tc>
          <w:tcPr>
            <w:tcW w:w="3351" w:type="dxa"/>
            <w:vAlign w:val="center"/>
          </w:tcPr>
          <w:p w14:paraId="5147BB72"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MRAG (Reino Unido)</w:t>
            </w:r>
          </w:p>
          <w:p w14:paraId="47EEF781"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Personal asociado con MRAG (España)</w:t>
            </w:r>
          </w:p>
          <w:p w14:paraId="3599E9B4" w14:textId="77777777" w:rsidR="007711A6" w:rsidRPr="00DC75CC" w:rsidRDefault="007711A6" w:rsidP="00F36743">
            <w:pPr>
              <w:keepNext/>
              <w:jc w:val="both"/>
              <w:rPr>
                <w:rFonts w:asciiTheme="majorHAnsi" w:hAnsiTheme="majorHAnsi"/>
                <w:sz w:val="20"/>
                <w:szCs w:val="20"/>
              </w:rPr>
            </w:pPr>
            <w:r w:rsidRPr="00DC75CC">
              <w:rPr>
                <w:rFonts w:asciiTheme="majorHAnsi" w:hAnsiTheme="majorHAnsi"/>
                <w:sz w:val="20"/>
                <w:szCs w:val="20"/>
              </w:rPr>
              <w:t>Personal asociado con MRAG (Croacia)</w:t>
            </w:r>
          </w:p>
        </w:tc>
      </w:tr>
    </w:tbl>
    <w:p w14:paraId="2EFFABBA" w14:textId="77777777" w:rsidR="001A6516" w:rsidRPr="00DC75CC" w:rsidRDefault="001A6516" w:rsidP="00F36743">
      <w:pPr>
        <w:jc w:val="both"/>
        <w:rPr>
          <w:rFonts w:asciiTheme="majorHAnsi" w:hAnsiTheme="majorHAnsi"/>
          <w:sz w:val="20"/>
          <w:szCs w:val="20"/>
        </w:rPr>
      </w:pPr>
    </w:p>
    <w:p w14:paraId="6E82EF33" w14:textId="4701E6CA" w:rsidR="007711A6" w:rsidRPr="00DC75CC" w:rsidRDefault="007711A6" w:rsidP="00F36743">
      <w:pPr>
        <w:jc w:val="both"/>
        <w:rPr>
          <w:rFonts w:asciiTheme="majorHAnsi" w:hAnsiTheme="majorHAnsi"/>
          <w:sz w:val="20"/>
          <w:szCs w:val="20"/>
        </w:rPr>
      </w:pPr>
      <w:r w:rsidRPr="00DC75CC">
        <w:rPr>
          <w:rFonts w:asciiTheme="majorHAnsi" w:hAnsiTheme="majorHAnsi"/>
          <w:sz w:val="20"/>
          <w:szCs w:val="20"/>
        </w:rPr>
        <w:t xml:space="preserve">El programa permite a ICCAT evaluar el cumplimiento del marco reglamentario. Este informe resumen un total de 212 asignaciones en cerqueros autorizadas durante la temporada de pesca de 2025, así como las 38 asignaciones en granjas realizadas hasta la fecha desde el inicio del contrato actual. Además, se incluyen 29 asignaciones  en granjas de la temporada anterior a la presentación del último informe anual y el inicio del actual contrato de servicios. </w:t>
      </w:r>
    </w:p>
    <w:p w14:paraId="72F69EA8" w14:textId="77777777" w:rsidR="001A6516" w:rsidRPr="00DC75CC" w:rsidRDefault="001A6516" w:rsidP="00F36743">
      <w:pPr>
        <w:jc w:val="both"/>
        <w:rPr>
          <w:rFonts w:asciiTheme="majorHAnsi" w:hAnsiTheme="majorHAnsi"/>
          <w:sz w:val="20"/>
          <w:szCs w:val="20"/>
        </w:rPr>
      </w:pPr>
    </w:p>
    <w:p w14:paraId="301F6C31" w14:textId="77777777" w:rsidR="007711A6" w:rsidRPr="00DC75CC" w:rsidRDefault="007711A6" w:rsidP="00F36743">
      <w:pPr>
        <w:jc w:val="both"/>
        <w:rPr>
          <w:rFonts w:asciiTheme="majorHAnsi" w:hAnsiTheme="majorHAnsi"/>
          <w:sz w:val="20"/>
          <w:szCs w:val="20"/>
        </w:rPr>
      </w:pPr>
      <w:r w:rsidRPr="00DC75CC">
        <w:rPr>
          <w:rFonts w:asciiTheme="majorHAnsi" w:hAnsiTheme="majorHAnsi"/>
          <w:sz w:val="20"/>
          <w:szCs w:val="20"/>
        </w:rPr>
        <w:t>Se ha logrado un porcentaje de cobertura del cien por cien en las granjas, almadrabas y cerqueros Todos autorizados dentro del programa, lo que incluye el seguimiento de las actividades de pesca, transferencia, introducción en jaulas, liberación y sacrificio.</w:t>
      </w:r>
    </w:p>
    <w:p w14:paraId="7D284AEC" w14:textId="77777777" w:rsidR="001A6516" w:rsidRPr="00DC75CC" w:rsidRDefault="001A6516" w:rsidP="00F36743">
      <w:pPr>
        <w:jc w:val="both"/>
        <w:rPr>
          <w:rFonts w:asciiTheme="majorHAnsi" w:hAnsiTheme="majorHAnsi"/>
          <w:sz w:val="20"/>
          <w:szCs w:val="20"/>
        </w:rPr>
      </w:pPr>
    </w:p>
    <w:p w14:paraId="40866699" w14:textId="77777777" w:rsidR="007711A6" w:rsidRPr="00DC75CC" w:rsidRDefault="007711A6" w:rsidP="00F36743">
      <w:pPr>
        <w:jc w:val="both"/>
        <w:rPr>
          <w:rFonts w:asciiTheme="majorHAnsi" w:hAnsiTheme="majorHAnsi"/>
          <w:sz w:val="20"/>
          <w:szCs w:val="20"/>
        </w:rPr>
      </w:pPr>
      <w:r w:rsidRPr="00DC75CC">
        <w:rPr>
          <w:rFonts w:asciiTheme="majorHAnsi" w:hAnsiTheme="majorHAnsi"/>
          <w:sz w:val="20"/>
          <w:szCs w:val="20"/>
        </w:rPr>
        <w:t>Este informe describe los principales problemas que se han planteado a la hora de evaluar el cumplimiento del marco reglamentario durante la implementación del decimoquinto año del ROP-BFT. Se han dividido en categorías técnicas y operativas y se centra en temas que afectan al papel que desempeñan los observadores durante las asignaciones. Se ha revisado la capacidad de los observadores para estimar el número de atunes rojos y las comparaciones con las estimaciones oficiales durante las operaciones de introducción en jaula y transferencia. Se resumen los casos de posibles incumplimientos (PNC) consignados por los observadores, lo que incluye los comunicados para las operaciones de transferencia e introducción en jaulas, así como para casos generales.</w:t>
      </w:r>
    </w:p>
    <w:p w14:paraId="57E4F1BE" w14:textId="77777777" w:rsidR="00C1114A" w:rsidRPr="00DC75CC" w:rsidRDefault="00C1114A" w:rsidP="00F36743">
      <w:pPr>
        <w:jc w:val="center"/>
        <w:rPr>
          <w:rFonts w:asciiTheme="majorHAnsi" w:hAnsiTheme="majorHAnsi"/>
          <w:i/>
          <w:sz w:val="20"/>
          <w:szCs w:val="20"/>
        </w:rPr>
      </w:pPr>
    </w:p>
    <w:sectPr w:rsidR="00C1114A" w:rsidRPr="00DC75CC" w:rsidSect="006C243B">
      <w:headerReference w:type="default" r:id="rId13"/>
      <w:footerReference w:type="default" r:id="rId14"/>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BEA2" w14:textId="77777777" w:rsidR="004761C1" w:rsidRDefault="004761C1">
      <w:r>
        <w:separator/>
      </w:r>
    </w:p>
  </w:endnote>
  <w:endnote w:type="continuationSeparator" w:id="0">
    <w:p w14:paraId="3ACD58AB" w14:textId="77777777" w:rsidR="004761C1" w:rsidRDefault="0047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E131" w14:textId="79E3161F" w:rsidR="00035802" w:rsidRPr="00797CFD" w:rsidRDefault="004803DD" w:rsidP="00797CF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97CFD" w:rsidRPr="00713AD4">
          <w:rPr>
            <w:rFonts w:ascii="Cambria" w:eastAsia="Calibri" w:hAnsi="Cambria" w:cs="Calibri"/>
            <w:sz w:val="20"/>
          </w:rPr>
          <w:fldChar w:fldCharType="begin"/>
        </w:r>
        <w:r w:rsidR="00797CFD" w:rsidRPr="00713AD4">
          <w:rPr>
            <w:rFonts w:ascii="Cambria" w:eastAsia="Calibri" w:hAnsi="Cambria" w:cs="Calibri"/>
            <w:sz w:val="20"/>
          </w:rPr>
          <w:instrText xml:space="preserve"> PAGE </w:instrText>
        </w:r>
        <w:r w:rsidR="00797CFD" w:rsidRPr="00713AD4">
          <w:rPr>
            <w:rFonts w:ascii="Cambria" w:eastAsia="Calibri" w:hAnsi="Cambria" w:cs="Calibri"/>
            <w:sz w:val="20"/>
          </w:rPr>
          <w:fldChar w:fldCharType="separate"/>
        </w:r>
        <w:r w:rsidR="00797CFD">
          <w:rPr>
            <w:rFonts w:ascii="Cambria" w:eastAsia="Calibri" w:hAnsi="Cambria" w:cs="Calibri"/>
            <w:sz w:val="20"/>
          </w:rPr>
          <w:t>1</w:t>
        </w:r>
        <w:r w:rsidR="00797CFD" w:rsidRPr="00713AD4">
          <w:rPr>
            <w:rFonts w:ascii="Cambria" w:eastAsia="Calibri" w:hAnsi="Cambria" w:cs="Calibri"/>
            <w:sz w:val="20"/>
          </w:rPr>
          <w:fldChar w:fldCharType="end"/>
        </w:r>
        <w:r w:rsidR="00870115">
          <w:rPr>
            <w:rFonts w:ascii="Cambria" w:hAnsi="Cambria"/>
            <w:sz w:val="20"/>
          </w:rPr>
          <w:t xml:space="preserve"> / </w:t>
        </w:r>
        <w:r w:rsidR="00797CFD" w:rsidRPr="00713AD4">
          <w:rPr>
            <w:rFonts w:ascii="Cambria" w:eastAsia="Calibri" w:hAnsi="Cambria" w:cs="Calibri"/>
            <w:sz w:val="20"/>
          </w:rPr>
          <w:fldChar w:fldCharType="begin"/>
        </w:r>
        <w:r w:rsidR="00797CFD" w:rsidRPr="00713AD4">
          <w:rPr>
            <w:rFonts w:ascii="Cambria" w:eastAsia="Calibri" w:hAnsi="Cambria" w:cs="Calibri"/>
            <w:sz w:val="20"/>
          </w:rPr>
          <w:instrText xml:space="preserve"> NUMPAGES  </w:instrText>
        </w:r>
        <w:r w:rsidR="00797CFD" w:rsidRPr="00713AD4">
          <w:rPr>
            <w:rFonts w:ascii="Cambria" w:eastAsia="Calibri" w:hAnsi="Cambria" w:cs="Calibri"/>
            <w:sz w:val="20"/>
          </w:rPr>
          <w:fldChar w:fldCharType="separate"/>
        </w:r>
        <w:r w:rsidR="00797CFD">
          <w:rPr>
            <w:rFonts w:ascii="Cambria" w:eastAsia="Calibri" w:hAnsi="Cambria" w:cs="Calibri"/>
            <w:sz w:val="20"/>
          </w:rPr>
          <w:t>1</w:t>
        </w:r>
        <w:r w:rsidR="00797CFD"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C199" w14:textId="77777777" w:rsidR="004761C1" w:rsidRDefault="004761C1">
      <w:r>
        <w:separator/>
      </w:r>
    </w:p>
  </w:footnote>
  <w:footnote w:type="continuationSeparator" w:id="0">
    <w:p w14:paraId="311E5CB9" w14:textId="77777777" w:rsidR="004761C1" w:rsidRDefault="004761C1">
      <w:r>
        <w:continuationSeparator/>
      </w:r>
    </w:p>
  </w:footnote>
  <w:footnote w:id="1">
    <w:p w14:paraId="08BE0484" w14:textId="643EB179" w:rsidR="00035802" w:rsidRPr="00F476C9" w:rsidRDefault="00035802" w:rsidP="00F476C9">
      <w:pPr>
        <w:pStyle w:val="FootnoteText"/>
        <w:jc w:val="both"/>
        <w:rPr>
          <w:rFonts w:ascii="Cambria" w:hAnsi="Cambria"/>
          <w:sz w:val="16"/>
          <w:szCs w:val="16"/>
        </w:rPr>
      </w:pPr>
      <w:r>
        <w:rPr>
          <w:rStyle w:val="FootnoteReference"/>
          <w:rFonts w:ascii="Cambria" w:hAnsi="Cambria"/>
          <w:sz w:val="16"/>
          <w:szCs w:val="16"/>
        </w:rPr>
        <w:footnoteRef/>
      </w:r>
      <w:r>
        <w:rPr>
          <w:rFonts w:ascii="Cambria" w:hAnsi="Cambria"/>
          <w:sz w:val="16"/>
        </w:rPr>
        <w:t xml:space="preserve"> A 17 de octubre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3137" w14:textId="3A210CE6" w:rsidR="00797CFD" w:rsidRPr="00793F38" w:rsidRDefault="009C30F8" w:rsidP="00797CFD">
    <w:pPr>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PA2_601/2025</w:t>
    </w:r>
  </w:p>
  <w:p w14:paraId="1FF46B88" w14:textId="319E9400" w:rsidR="00035802" w:rsidRPr="00500541" w:rsidRDefault="00797CFD" w:rsidP="00797CFD">
    <w:pPr>
      <w:spacing w:line="240" w:lineRule="exac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DC75CC">
      <w:rPr>
        <w:rFonts w:ascii="Cambria" w:hAnsi="Cambria"/>
        <w:b/>
        <w:noProof/>
        <w:sz w:val="16"/>
      </w:rPr>
      <w:t>15/11/2025 16:54</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 w15:restartNumberingAfterBreak="0">
    <w:nsid w:val="0FD762B4"/>
    <w:multiLevelType w:val="multilevel"/>
    <w:tmpl w:val="9A706B4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16834BF0"/>
    <w:multiLevelType w:val="hybridMultilevel"/>
    <w:tmpl w:val="77E29956"/>
    <w:lvl w:ilvl="0" w:tplc="B6E4C42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9072AF"/>
    <w:multiLevelType w:val="multilevel"/>
    <w:tmpl w:val="E4EE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375AE"/>
    <w:multiLevelType w:val="hybridMultilevel"/>
    <w:tmpl w:val="149CEC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6" w15:restartNumberingAfterBreak="0">
    <w:nsid w:val="3DD846C9"/>
    <w:multiLevelType w:val="hybridMultilevel"/>
    <w:tmpl w:val="5852C18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9"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68664D7D"/>
    <w:multiLevelType w:val="multilevel"/>
    <w:tmpl w:val="E81CF80E"/>
    <w:lvl w:ilvl="0">
      <w:start w:val="1"/>
      <w:numFmt w:val="decimal"/>
      <w:lvlText w:val="%1"/>
      <w:lvlJc w:val="left"/>
      <w:pPr>
        <w:ind w:left="3312" w:hanging="432"/>
      </w:pPr>
    </w:lvl>
    <w:lvl w:ilvl="1">
      <w:start w:val="1"/>
      <w:numFmt w:val="decimal"/>
      <w:lvlText w:val="%1.%2"/>
      <w:lvlJc w:val="left"/>
      <w:pPr>
        <w:ind w:left="3456" w:hanging="576"/>
      </w:pPr>
    </w:lvl>
    <w:lvl w:ilvl="2">
      <w:start w:val="1"/>
      <w:numFmt w:val="decimal"/>
      <w:lvlText w:val="%1.%2.%3"/>
      <w:lvlJc w:val="left"/>
      <w:pPr>
        <w:ind w:left="3600" w:hanging="720"/>
      </w:pPr>
    </w:lvl>
    <w:lvl w:ilvl="3">
      <w:start w:val="1"/>
      <w:numFmt w:val="decimal"/>
      <w:lvlText w:val="%1.%2.%3.%4"/>
      <w:lvlJc w:val="left"/>
      <w:pPr>
        <w:ind w:left="3744" w:hanging="8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888" w:hanging="1008"/>
      </w:pPr>
    </w:lvl>
    <w:lvl w:ilvl="5">
      <w:start w:val="1"/>
      <w:numFmt w:val="decimal"/>
      <w:lvlText w:val="%1.%2.%3.%4.%5.%6"/>
      <w:lvlJc w:val="left"/>
      <w:pPr>
        <w:ind w:left="4032" w:hanging="1152"/>
      </w:pPr>
    </w:lvl>
    <w:lvl w:ilvl="6">
      <w:start w:val="1"/>
      <w:numFmt w:val="decimal"/>
      <w:lvlText w:val="%1.%2.%3.%4.%5.%6.%7"/>
      <w:lvlJc w:val="left"/>
      <w:pPr>
        <w:ind w:left="4176" w:hanging="1296"/>
      </w:pPr>
    </w:lvl>
    <w:lvl w:ilvl="7">
      <w:start w:val="1"/>
      <w:numFmt w:val="decimal"/>
      <w:lvlText w:val="%1.%2.%3.%4.%5.%6.%7.%8"/>
      <w:lvlJc w:val="left"/>
      <w:pPr>
        <w:ind w:left="4320" w:hanging="1440"/>
      </w:pPr>
    </w:lvl>
    <w:lvl w:ilvl="8">
      <w:start w:val="1"/>
      <w:numFmt w:val="decimal"/>
      <w:lvlText w:val="%1.%2.%3.%4.%5.%6.%7.%8.%9"/>
      <w:lvlJc w:val="left"/>
      <w:pPr>
        <w:ind w:left="4464" w:hanging="1584"/>
      </w:pPr>
    </w:lvl>
  </w:abstractNum>
  <w:abstractNum w:abstractNumId="12"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9522397">
    <w:abstractNumId w:val="0"/>
  </w:num>
  <w:num w:numId="2" w16cid:durableId="2116437017">
    <w:abstractNumId w:val="8"/>
  </w:num>
  <w:num w:numId="3" w16cid:durableId="1505170708">
    <w:abstractNumId w:val="5"/>
  </w:num>
  <w:num w:numId="4" w16cid:durableId="1565678240">
    <w:abstractNumId w:val="10"/>
  </w:num>
  <w:num w:numId="5" w16cid:durableId="123088331">
    <w:abstractNumId w:val="12"/>
  </w:num>
  <w:num w:numId="6" w16cid:durableId="1636518567">
    <w:abstractNumId w:val="13"/>
  </w:num>
  <w:num w:numId="7" w16cid:durableId="998338853">
    <w:abstractNumId w:val="9"/>
  </w:num>
  <w:num w:numId="8" w16cid:durableId="1481269680">
    <w:abstractNumId w:val="7"/>
  </w:num>
  <w:num w:numId="9" w16cid:durableId="1666936537">
    <w:abstractNumId w:val="3"/>
  </w:num>
  <w:num w:numId="10" w16cid:durableId="1217352033">
    <w:abstractNumId w:val="1"/>
  </w:num>
  <w:num w:numId="11" w16cid:durableId="1673142053">
    <w:abstractNumId w:val="2"/>
  </w:num>
  <w:num w:numId="12" w16cid:durableId="2019579462">
    <w:abstractNumId w:val="4"/>
  </w:num>
  <w:num w:numId="13" w16cid:durableId="670987012">
    <w:abstractNumId w:val="11"/>
  </w:num>
  <w:num w:numId="14" w16cid:durableId="1530676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0865"/>
    <w:rsid w:val="00013B36"/>
    <w:rsid w:val="000217D6"/>
    <w:rsid w:val="000233BB"/>
    <w:rsid w:val="000279EF"/>
    <w:rsid w:val="000327F9"/>
    <w:rsid w:val="000345A2"/>
    <w:rsid w:val="00035802"/>
    <w:rsid w:val="000361DC"/>
    <w:rsid w:val="0004012A"/>
    <w:rsid w:val="000431C6"/>
    <w:rsid w:val="000434A7"/>
    <w:rsid w:val="00047F55"/>
    <w:rsid w:val="00050080"/>
    <w:rsid w:val="00055471"/>
    <w:rsid w:val="00056C0F"/>
    <w:rsid w:val="000620AB"/>
    <w:rsid w:val="00063486"/>
    <w:rsid w:val="00065FB7"/>
    <w:rsid w:val="00070180"/>
    <w:rsid w:val="00082D58"/>
    <w:rsid w:val="000839C3"/>
    <w:rsid w:val="00086BF9"/>
    <w:rsid w:val="000900D2"/>
    <w:rsid w:val="00090FA8"/>
    <w:rsid w:val="00091D6E"/>
    <w:rsid w:val="000946E2"/>
    <w:rsid w:val="00094A80"/>
    <w:rsid w:val="000A6A5C"/>
    <w:rsid w:val="000A7C53"/>
    <w:rsid w:val="000B49D4"/>
    <w:rsid w:val="000B72FD"/>
    <w:rsid w:val="000B75DD"/>
    <w:rsid w:val="000B7E6F"/>
    <w:rsid w:val="000C04E5"/>
    <w:rsid w:val="000C1222"/>
    <w:rsid w:val="000C24C8"/>
    <w:rsid w:val="000C5352"/>
    <w:rsid w:val="000C6C3C"/>
    <w:rsid w:val="000D2A61"/>
    <w:rsid w:val="000E00F4"/>
    <w:rsid w:val="000E57D0"/>
    <w:rsid w:val="000F7C6C"/>
    <w:rsid w:val="00100385"/>
    <w:rsid w:val="00104F54"/>
    <w:rsid w:val="0010635A"/>
    <w:rsid w:val="00110427"/>
    <w:rsid w:val="001104F4"/>
    <w:rsid w:val="00110CE8"/>
    <w:rsid w:val="00111504"/>
    <w:rsid w:val="00113EFF"/>
    <w:rsid w:val="0012489E"/>
    <w:rsid w:val="00126DBB"/>
    <w:rsid w:val="001363C4"/>
    <w:rsid w:val="001422A4"/>
    <w:rsid w:val="00143F2E"/>
    <w:rsid w:val="001465EC"/>
    <w:rsid w:val="00156229"/>
    <w:rsid w:val="00162032"/>
    <w:rsid w:val="0016366B"/>
    <w:rsid w:val="00165BE7"/>
    <w:rsid w:val="001774E0"/>
    <w:rsid w:val="00180FE5"/>
    <w:rsid w:val="0018733C"/>
    <w:rsid w:val="0018794A"/>
    <w:rsid w:val="001943C4"/>
    <w:rsid w:val="001954FD"/>
    <w:rsid w:val="001958EE"/>
    <w:rsid w:val="00195E29"/>
    <w:rsid w:val="001960F2"/>
    <w:rsid w:val="001A01E0"/>
    <w:rsid w:val="001A1C8D"/>
    <w:rsid w:val="001A6516"/>
    <w:rsid w:val="001A6E7F"/>
    <w:rsid w:val="001A7EEE"/>
    <w:rsid w:val="001B1FFA"/>
    <w:rsid w:val="001B2B2E"/>
    <w:rsid w:val="001B501A"/>
    <w:rsid w:val="001C4DD5"/>
    <w:rsid w:val="001D271A"/>
    <w:rsid w:val="001D37E6"/>
    <w:rsid w:val="001D76CE"/>
    <w:rsid w:val="001E21FE"/>
    <w:rsid w:val="001E5CA0"/>
    <w:rsid w:val="001E7AD9"/>
    <w:rsid w:val="001F295A"/>
    <w:rsid w:val="001F39CB"/>
    <w:rsid w:val="00200BF7"/>
    <w:rsid w:val="00202AC4"/>
    <w:rsid w:val="00203884"/>
    <w:rsid w:val="00207877"/>
    <w:rsid w:val="002100A3"/>
    <w:rsid w:val="00211570"/>
    <w:rsid w:val="002119C6"/>
    <w:rsid w:val="0022239F"/>
    <w:rsid w:val="002244D0"/>
    <w:rsid w:val="00225506"/>
    <w:rsid w:val="00230F1C"/>
    <w:rsid w:val="0023589D"/>
    <w:rsid w:val="00236B44"/>
    <w:rsid w:val="00240351"/>
    <w:rsid w:val="0024145E"/>
    <w:rsid w:val="00241CF3"/>
    <w:rsid w:val="002507F5"/>
    <w:rsid w:val="00251B35"/>
    <w:rsid w:val="00257A11"/>
    <w:rsid w:val="002607C5"/>
    <w:rsid w:val="002636A1"/>
    <w:rsid w:val="00265435"/>
    <w:rsid w:val="00266C90"/>
    <w:rsid w:val="00266F44"/>
    <w:rsid w:val="00271B3B"/>
    <w:rsid w:val="00274BA3"/>
    <w:rsid w:val="002762C0"/>
    <w:rsid w:val="00277637"/>
    <w:rsid w:val="0028201F"/>
    <w:rsid w:val="002838EF"/>
    <w:rsid w:val="0028448A"/>
    <w:rsid w:val="002847E5"/>
    <w:rsid w:val="00292308"/>
    <w:rsid w:val="002966F7"/>
    <w:rsid w:val="002A0F51"/>
    <w:rsid w:val="002A6797"/>
    <w:rsid w:val="002B1AC3"/>
    <w:rsid w:val="002B242C"/>
    <w:rsid w:val="002B52F2"/>
    <w:rsid w:val="002B67DA"/>
    <w:rsid w:val="002B6843"/>
    <w:rsid w:val="002B7A24"/>
    <w:rsid w:val="002C0E98"/>
    <w:rsid w:val="002C0FBC"/>
    <w:rsid w:val="002C2422"/>
    <w:rsid w:val="002C42CB"/>
    <w:rsid w:val="002D4C84"/>
    <w:rsid w:val="002E10C8"/>
    <w:rsid w:val="002E16D2"/>
    <w:rsid w:val="002E1C4A"/>
    <w:rsid w:val="002E58C9"/>
    <w:rsid w:val="002F10E0"/>
    <w:rsid w:val="002F1B7B"/>
    <w:rsid w:val="00301742"/>
    <w:rsid w:val="003036B6"/>
    <w:rsid w:val="003041CF"/>
    <w:rsid w:val="003043AB"/>
    <w:rsid w:val="00311FD3"/>
    <w:rsid w:val="0031554E"/>
    <w:rsid w:val="003168FC"/>
    <w:rsid w:val="00316DB7"/>
    <w:rsid w:val="00317467"/>
    <w:rsid w:val="003209E2"/>
    <w:rsid w:val="0032211A"/>
    <w:rsid w:val="00323003"/>
    <w:rsid w:val="003254C7"/>
    <w:rsid w:val="00331116"/>
    <w:rsid w:val="00337865"/>
    <w:rsid w:val="0034322B"/>
    <w:rsid w:val="003432A2"/>
    <w:rsid w:val="003453C5"/>
    <w:rsid w:val="00345559"/>
    <w:rsid w:val="003464A5"/>
    <w:rsid w:val="0035024F"/>
    <w:rsid w:val="003509DE"/>
    <w:rsid w:val="00351341"/>
    <w:rsid w:val="003537A6"/>
    <w:rsid w:val="00357522"/>
    <w:rsid w:val="00371B6E"/>
    <w:rsid w:val="00372159"/>
    <w:rsid w:val="003729A4"/>
    <w:rsid w:val="00375557"/>
    <w:rsid w:val="00375E61"/>
    <w:rsid w:val="003828BB"/>
    <w:rsid w:val="00382B71"/>
    <w:rsid w:val="0038792F"/>
    <w:rsid w:val="00387B81"/>
    <w:rsid w:val="00390A08"/>
    <w:rsid w:val="00393F3A"/>
    <w:rsid w:val="00395E0B"/>
    <w:rsid w:val="0039710E"/>
    <w:rsid w:val="003A1035"/>
    <w:rsid w:val="003C030B"/>
    <w:rsid w:val="003C2783"/>
    <w:rsid w:val="003C5F5D"/>
    <w:rsid w:val="003C7410"/>
    <w:rsid w:val="003D009B"/>
    <w:rsid w:val="003D22C4"/>
    <w:rsid w:val="003D2D06"/>
    <w:rsid w:val="003D4DCC"/>
    <w:rsid w:val="003E06AF"/>
    <w:rsid w:val="003E2D93"/>
    <w:rsid w:val="003E4481"/>
    <w:rsid w:val="003E4829"/>
    <w:rsid w:val="003E7923"/>
    <w:rsid w:val="003F214C"/>
    <w:rsid w:val="003F43BC"/>
    <w:rsid w:val="004014CF"/>
    <w:rsid w:val="00405708"/>
    <w:rsid w:val="00413F16"/>
    <w:rsid w:val="00417BCC"/>
    <w:rsid w:val="0043194D"/>
    <w:rsid w:val="0043195B"/>
    <w:rsid w:val="00444C34"/>
    <w:rsid w:val="00450698"/>
    <w:rsid w:val="00453900"/>
    <w:rsid w:val="00455F09"/>
    <w:rsid w:val="00465D35"/>
    <w:rsid w:val="00471200"/>
    <w:rsid w:val="00471815"/>
    <w:rsid w:val="00473073"/>
    <w:rsid w:val="004761C1"/>
    <w:rsid w:val="00477DF7"/>
    <w:rsid w:val="004803DD"/>
    <w:rsid w:val="0048149F"/>
    <w:rsid w:val="00483DAE"/>
    <w:rsid w:val="00483DB3"/>
    <w:rsid w:val="00486E54"/>
    <w:rsid w:val="00490505"/>
    <w:rsid w:val="00494E89"/>
    <w:rsid w:val="004A3205"/>
    <w:rsid w:val="004D29B8"/>
    <w:rsid w:val="004D4640"/>
    <w:rsid w:val="004D5C45"/>
    <w:rsid w:val="004D6176"/>
    <w:rsid w:val="004E0B56"/>
    <w:rsid w:val="004E1D1B"/>
    <w:rsid w:val="004F39BB"/>
    <w:rsid w:val="004F4788"/>
    <w:rsid w:val="004F6E56"/>
    <w:rsid w:val="00503DCC"/>
    <w:rsid w:val="00504007"/>
    <w:rsid w:val="005049CF"/>
    <w:rsid w:val="00514D0E"/>
    <w:rsid w:val="00515891"/>
    <w:rsid w:val="005160FB"/>
    <w:rsid w:val="00521AC0"/>
    <w:rsid w:val="00522BF4"/>
    <w:rsid w:val="005252A2"/>
    <w:rsid w:val="00530373"/>
    <w:rsid w:val="00530C06"/>
    <w:rsid w:val="005328D7"/>
    <w:rsid w:val="00533C52"/>
    <w:rsid w:val="00535519"/>
    <w:rsid w:val="00544A57"/>
    <w:rsid w:val="0054663A"/>
    <w:rsid w:val="005535AF"/>
    <w:rsid w:val="00553A93"/>
    <w:rsid w:val="00560416"/>
    <w:rsid w:val="00562209"/>
    <w:rsid w:val="00565395"/>
    <w:rsid w:val="00567654"/>
    <w:rsid w:val="00570E1B"/>
    <w:rsid w:val="00571A67"/>
    <w:rsid w:val="00572062"/>
    <w:rsid w:val="0057550D"/>
    <w:rsid w:val="0057791A"/>
    <w:rsid w:val="00582D31"/>
    <w:rsid w:val="0058443D"/>
    <w:rsid w:val="005862EE"/>
    <w:rsid w:val="005869FB"/>
    <w:rsid w:val="005955B6"/>
    <w:rsid w:val="005A2B44"/>
    <w:rsid w:val="005A525C"/>
    <w:rsid w:val="005B1135"/>
    <w:rsid w:val="005B1846"/>
    <w:rsid w:val="005C03C9"/>
    <w:rsid w:val="005C15A8"/>
    <w:rsid w:val="005C2E77"/>
    <w:rsid w:val="005C3615"/>
    <w:rsid w:val="005D6109"/>
    <w:rsid w:val="005D6884"/>
    <w:rsid w:val="005E19FA"/>
    <w:rsid w:val="005E3E2F"/>
    <w:rsid w:val="005E4981"/>
    <w:rsid w:val="005F1DB0"/>
    <w:rsid w:val="005F3541"/>
    <w:rsid w:val="005F6224"/>
    <w:rsid w:val="00602CB5"/>
    <w:rsid w:val="00603814"/>
    <w:rsid w:val="00613E0F"/>
    <w:rsid w:val="00614F34"/>
    <w:rsid w:val="0061655F"/>
    <w:rsid w:val="00616FDC"/>
    <w:rsid w:val="00623E01"/>
    <w:rsid w:val="00624A90"/>
    <w:rsid w:val="00624BE1"/>
    <w:rsid w:val="00625B0E"/>
    <w:rsid w:val="00630AB7"/>
    <w:rsid w:val="006339F0"/>
    <w:rsid w:val="00645659"/>
    <w:rsid w:val="00650884"/>
    <w:rsid w:val="00655A6C"/>
    <w:rsid w:val="00662867"/>
    <w:rsid w:val="0066296B"/>
    <w:rsid w:val="00664A1A"/>
    <w:rsid w:val="00667C03"/>
    <w:rsid w:val="00670385"/>
    <w:rsid w:val="00671060"/>
    <w:rsid w:val="006724E5"/>
    <w:rsid w:val="00675EFE"/>
    <w:rsid w:val="006768DE"/>
    <w:rsid w:val="00680FDF"/>
    <w:rsid w:val="00683214"/>
    <w:rsid w:val="00684C04"/>
    <w:rsid w:val="00687A29"/>
    <w:rsid w:val="00690F96"/>
    <w:rsid w:val="006953CF"/>
    <w:rsid w:val="006A3998"/>
    <w:rsid w:val="006A3BFF"/>
    <w:rsid w:val="006A5E8E"/>
    <w:rsid w:val="006A69C7"/>
    <w:rsid w:val="006A7B00"/>
    <w:rsid w:val="006C130C"/>
    <w:rsid w:val="006C243B"/>
    <w:rsid w:val="006C6999"/>
    <w:rsid w:val="006D1F41"/>
    <w:rsid w:val="006D569A"/>
    <w:rsid w:val="006D5DA3"/>
    <w:rsid w:val="006E64D8"/>
    <w:rsid w:val="006F0367"/>
    <w:rsid w:val="006F65F9"/>
    <w:rsid w:val="007009E7"/>
    <w:rsid w:val="00703BC7"/>
    <w:rsid w:val="0070561F"/>
    <w:rsid w:val="007101AB"/>
    <w:rsid w:val="00714CE7"/>
    <w:rsid w:val="00715469"/>
    <w:rsid w:val="00715545"/>
    <w:rsid w:val="007160E0"/>
    <w:rsid w:val="0071684F"/>
    <w:rsid w:val="00726123"/>
    <w:rsid w:val="00727D60"/>
    <w:rsid w:val="0073483A"/>
    <w:rsid w:val="0073708D"/>
    <w:rsid w:val="00741284"/>
    <w:rsid w:val="007430AA"/>
    <w:rsid w:val="007463E4"/>
    <w:rsid w:val="007467FE"/>
    <w:rsid w:val="007468AC"/>
    <w:rsid w:val="007578E5"/>
    <w:rsid w:val="00761ED3"/>
    <w:rsid w:val="0076211F"/>
    <w:rsid w:val="007639DA"/>
    <w:rsid w:val="007647A5"/>
    <w:rsid w:val="007705CB"/>
    <w:rsid w:val="007711A6"/>
    <w:rsid w:val="0077362E"/>
    <w:rsid w:val="00780795"/>
    <w:rsid w:val="00785274"/>
    <w:rsid w:val="00790387"/>
    <w:rsid w:val="0079518A"/>
    <w:rsid w:val="00796B6F"/>
    <w:rsid w:val="00797CFD"/>
    <w:rsid w:val="007A1E29"/>
    <w:rsid w:val="007A6FF4"/>
    <w:rsid w:val="007B27D7"/>
    <w:rsid w:val="007B27DF"/>
    <w:rsid w:val="007B29C8"/>
    <w:rsid w:val="007B53AF"/>
    <w:rsid w:val="007B5F2B"/>
    <w:rsid w:val="007B78B1"/>
    <w:rsid w:val="007C3949"/>
    <w:rsid w:val="007C6B2F"/>
    <w:rsid w:val="007C7313"/>
    <w:rsid w:val="007D0C9A"/>
    <w:rsid w:val="007D354D"/>
    <w:rsid w:val="007D4192"/>
    <w:rsid w:val="007E3547"/>
    <w:rsid w:val="007E3699"/>
    <w:rsid w:val="00800003"/>
    <w:rsid w:val="00804604"/>
    <w:rsid w:val="00805353"/>
    <w:rsid w:val="008065B2"/>
    <w:rsid w:val="00810955"/>
    <w:rsid w:val="0081134B"/>
    <w:rsid w:val="00824A69"/>
    <w:rsid w:val="00824D9B"/>
    <w:rsid w:val="00830E46"/>
    <w:rsid w:val="0083325D"/>
    <w:rsid w:val="00834EB5"/>
    <w:rsid w:val="008354FB"/>
    <w:rsid w:val="0083644F"/>
    <w:rsid w:val="00845FE0"/>
    <w:rsid w:val="00851B21"/>
    <w:rsid w:val="00851B68"/>
    <w:rsid w:val="00854BCC"/>
    <w:rsid w:val="008639C3"/>
    <w:rsid w:val="00870115"/>
    <w:rsid w:val="00873141"/>
    <w:rsid w:val="00876E7F"/>
    <w:rsid w:val="00880282"/>
    <w:rsid w:val="00881C73"/>
    <w:rsid w:val="0088393E"/>
    <w:rsid w:val="00883F71"/>
    <w:rsid w:val="008876E0"/>
    <w:rsid w:val="00891553"/>
    <w:rsid w:val="00894E45"/>
    <w:rsid w:val="008A1AF8"/>
    <w:rsid w:val="008A5665"/>
    <w:rsid w:val="008A69FE"/>
    <w:rsid w:val="008B10B1"/>
    <w:rsid w:val="008B3507"/>
    <w:rsid w:val="008B7D7A"/>
    <w:rsid w:val="008C1EAA"/>
    <w:rsid w:val="008C2F74"/>
    <w:rsid w:val="008C45E4"/>
    <w:rsid w:val="008C4755"/>
    <w:rsid w:val="008C511F"/>
    <w:rsid w:val="008C51C6"/>
    <w:rsid w:val="008D1AC0"/>
    <w:rsid w:val="008D5E10"/>
    <w:rsid w:val="008D67E7"/>
    <w:rsid w:val="008E05F4"/>
    <w:rsid w:val="008E12A6"/>
    <w:rsid w:val="008E2F7A"/>
    <w:rsid w:val="008E5924"/>
    <w:rsid w:val="008F13A2"/>
    <w:rsid w:val="008F2D9E"/>
    <w:rsid w:val="008F2F63"/>
    <w:rsid w:val="009202E7"/>
    <w:rsid w:val="009208D7"/>
    <w:rsid w:val="0092115B"/>
    <w:rsid w:val="00924EE7"/>
    <w:rsid w:val="00925C45"/>
    <w:rsid w:val="00930BDC"/>
    <w:rsid w:val="00930F7D"/>
    <w:rsid w:val="00931B6F"/>
    <w:rsid w:val="00936448"/>
    <w:rsid w:val="00940A87"/>
    <w:rsid w:val="00943B38"/>
    <w:rsid w:val="00946D6B"/>
    <w:rsid w:val="00962CE4"/>
    <w:rsid w:val="00964DFC"/>
    <w:rsid w:val="00964EB6"/>
    <w:rsid w:val="00967495"/>
    <w:rsid w:val="00970592"/>
    <w:rsid w:val="00971263"/>
    <w:rsid w:val="00977AB3"/>
    <w:rsid w:val="00982B16"/>
    <w:rsid w:val="00982BE9"/>
    <w:rsid w:val="0098447F"/>
    <w:rsid w:val="0098494E"/>
    <w:rsid w:val="00985407"/>
    <w:rsid w:val="00987FBD"/>
    <w:rsid w:val="00991CF7"/>
    <w:rsid w:val="00992E06"/>
    <w:rsid w:val="009A2C7E"/>
    <w:rsid w:val="009A4ACB"/>
    <w:rsid w:val="009A5D82"/>
    <w:rsid w:val="009B3E13"/>
    <w:rsid w:val="009C1254"/>
    <w:rsid w:val="009C2475"/>
    <w:rsid w:val="009C2935"/>
    <w:rsid w:val="009C30F8"/>
    <w:rsid w:val="009C51B6"/>
    <w:rsid w:val="009C7F23"/>
    <w:rsid w:val="009D1F61"/>
    <w:rsid w:val="009D2245"/>
    <w:rsid w:val="009D3D7F"/>
    <w:rsid w:val="009D3EBF"/>
    <w:rsid w:val="009D6D96"/>
    <w:rsid w:val="009D7EA2"/>
    <w:rsid w:val="009E014C"/>
    <w:rsid w:val="009E60C4"/>
    <w:rsid w:val="009F0062"/>
    <w:rsid w:val="009F7932"/>
    <w:rsid w:val="00A00258"/>
    <w:rsid w:val="00A076B6"/>
    <w:rsid w:val="00A13EE9"/>
    <w:rsid w:val="00A150C0"/>
    <w:rsid w:val="00A30C7E"/>
    <w:rsid w:val="00A321F4"/>
    <w:rsid w:val="00A407F5"/>
    <w:rsid w:val="00A432E2"/>
    <w:rsid w:val="00A45242"/>
    <w:rsid w:val="00A46BC8"/>
    <w:rsid w:val="00A670FA"/>
    <w:rsid w:val="00A71BA7"/>
    <w:rsid w:val="00A730EF"/>
    <w:rsid w:val="00A87649"/>
    <w:rsid w:val="00A90BCB"/>
    <w:rsid w:val="00A94EBE"/>
    <w:rsid w:val="00A96A68"/>
    <w:rsid w:val="00AA082C"/>
    <w:rsid w:val="00AA281E"/>
    <w:rsid w:val="00AA3C75"/>
    <w:rsid w:val="00AA7767"/>
    <w:rsid w:val="00AA7F82"/>
    <w:rsid w:val="00AB26D5"/>
    <w:rsid w:val="00AC0F61"/>
    <w:rsid w:val="00AD386D"/>
    <w:rsid w:val="00AE0113"/>
    <w:rsid w:val="00AE1CF2"/>
    <w:rsid w:val="00AE33C1"/>
    <w:rsid w:val="00AF2A84"/>
    <w:rsid w:val="00AF5590"/>
    <w:rsid w:val="00AF5E07"/>
    <w:rsid w:val="00AF6B09"/>
    <w:rsid w:val="00AF7E40"/>
    <w:rsid w:val="00B017DA"/>
    <w:rsid w:val="00B01901"/>
    <w:rsid w:val="00B03B27"/>
    <w:rsid w:val="00B050BB"/>
    <w:rsid w:val="00B1260E"/>
    <w:rsid w:val="00B135FD"/>
    <w:rsid w:val="00B1734B"/>
    <w:rsid w:val="00B20DB0"/>
    <w:rsid w:val="00B219EE"/>
    <w:rsid w:val="00B260A3"/>
    <w:rsid w:val="00B2668E"/>
    <w:rsid w:val="00B27EDF"/>
    <w:rsid w:val="00B334B0"/>
    <w:rsid w:val="00B34868"/>
    <w:rsid w:val="00B34A71"/>
    <w:rsid w:val="00B37F3D"/>
    <w:rsid w:val="00B46E55"/>
    <w:rsid w:val="00B46F4F"/>
    <w:rsid w:val="00B47FC4"/>
    <w:rsid w:val="00B527DF"/>
    <w:rsid w:val="00B605B2"/>
    <w:rsid w:val="00B61AF9"/>
    <w:rsid w:val="00B61D5A"/>
    <w:rsid w:val="00B6231A"/>
    <w:rsid w:val="00B6420A"/>
    <w:rsid w:val="00B672A0"/>
    <w:rsid w:val="00B74906"/>
    <w:rsid w:val="00B8038B"/>
    <w:rsid w:val="00B81625"/>
    <w:rsid w:val="00B81C07"/>
    <w:rsid w:val="00B829B8"/>
    <w:rsid w:val="00B830CB"/>
    <w:rsid w:val="00B83486"/>
    <w:rsid w:val="00B8388F"/>
    <w:rsid w:val="00B8717B"/>
    <w:rsid w:val="00B93D4B"/>
    <w:rsid w:val="00B9407A"/>
    <w:rsid w:val="00B94230"/>
    <w:rsid w:val="00B973A4"/>
    <w:rsid w:val="00BA6DE8"/>
    <w:rsid w:val="00BB2928"/>
    <w:rsid w:val="00BB4983"/>
    <w:rsid w:val="00BB569C"/>
    <w:rsid w:val="00BB587C"/>
    <w:rsid w:val="00BB5A61"/>
    <w:rsid w:val="00BB64D7"/>
    <w:rsid w:val="00BB70E0"/>
    <w:rsid w:val="00BC2361"/>
    <w:rsid w:val="00BC2FCF"/>
    <w:rsid w:val="00BC6110"/>
    <w:rsid w:val="00BD3433"/>
    <w:rsid w:val="00BE0E17"/>
    <w:rsid w:val="00BE38AF"/>
    <w:rsid w:val="00BE3FE5"/>
    <w:rsid w:val="00BE49E8"/>
    <w:rsid w:val="00BE586E"/>
    <w:rsid w:val="00BF0F38"/>
    <w:rsid w:val="00BF1321"/>
    <w:rsid w:val="00BF307D"/>
    <w:rsid w:val="00BF67D5"/>
    <w:rsid w:val="00BF6959"/>
    <w:rsid w:val="00BF6CC5"/>
    <w:rsid w:val="00BF6E90"/>
    <w:rsid w:val="00C02195"/>
    <w:rsid w:val="00C02495"/>
    <w:rsid w:val="00C03872"/>
    <w:rsid w:val="00C051C5"/>
    <w:rsid w:val="00C1114A"/>
    <w:rsid w:val="00C14AE2"/>
    <w:rsid w:val="00C16C63"/>
    <w:rsid w:val="00C20D9E"/>
    <w:rsid w:val="00C2774B"/>
    <w:rsid w:val="00C27D6A"/>
    <w:rsid w:val="00C31926"/>
    <w:rsid w:val="00C32F23"/>
    <w:rsid w:val="00C41D72"/>
    <w:rsid w:val="00C505C9"/>
    <w:rsid w:val="00C50D25"/>
    <w:rsid w:val="00C52554"/>
    <w:rsid w:val="00C56CDC"/>
    <w:rsid w:val="00C618FA"/>
    <w:rsid w:val="00C644CC"/>
    <w:rsid w:val="00C64EE4"/>
    <w:rsid w:val="00C64F91"/>
    <w:rsid w:val="00C6581F"/>
    <w:rsid w:val="00C70E12"/>
    <w:rsid w:val="00C71247"/>
    <w:rsid w:val="00C75467"/>
    <w:rsid w:val="00C81836"/>
    <w:rsid w:val="00C84024"/>
    <w:rsid w:val="00C87ABE"/>
    <w:rsid w:val="00C9446F"/>
    <w:rsid w:val="00C96552"/>
    <w:rsid w:val="00CA22F5"/>
    <w:rsid w:val="00CA5A6D"/>
    <w:rsid w:val="00CC2BFD"/>
    <w:rsid w:val="00CC2DA0"/>
    <w:rsid w:val="00CC4F88"/>
    <w:rsid w:val="00CD06B8"/>
    <w:rsid w:val="00CD104E"/>
    <w:rsid w:val="00CE0AB9"/>
    <w:rsid w:val="00CE45D6"/>
    <w:rsid w:val="00CF1528"/>
    <w:rsid w:val="00CF1BD8"/>
    <w:rsid w:val="00D06E7F"/>
    <w:rsid w:val="00D07FB9"/>
    <w:rsid w:val="00D1429F"/>
    <w:rsid w:val="00D15906"/>
    <w:rsid w:val="00D23708"/>
    <w:rsid w:val="00D25DC8"/>
    <w:rsid w:val="00D32508"/>
    <w:rsid w:val="00D3323C"/>
    <w:rsid w:val="00D3469D"/>
    <w:rsid w:val="00D37708"/>
    <w:rsid w:val="00D43015"/>
    <w:rsid w:val="00D437D1"/>
    <w:rsid w:val="00D43EF8"/>
    <w:rsid w:val="00D45F00"/>
    <w:rsid w:val="00D468F8"/>
    <w:rsid w:val="00D50C2E"/>
    <w:rsid w:val="00D53AEB"/>
    <w:rsid w:val="00D548B6"/>
    <w:rsid w:val="00D56066"/>
    <w:rsid w:val="00D6188B"/>
    <w:rsid w:val="00D62F1D"/>
    <w:rsid w:val="00D70580"/>
    <w:rsid w:val="00D72A62"/>
    <w:rsid w:val="00D7477E"/>
    <w:rsid w:val="00D75685"/>
    <w:rsid w:val="00D81630"/>
    <w:rsid w:val="00D81E33"/>
    <w:rsid w:val="00D907E8"/>
    <w:rsid w:val="00D91A2E"/>
    <w:rsid w:val="00D94791"/>
    <w:rsid w:val="00D94AE4"/>
    <w:rsid w:val="00D96FBE"/>
    <w:rsid w:val="00D974DF"/>
    <w:rsid w:val="00DA190F"/>
    <w:rsid w:val="00DA2AD4"/>
    <w:rsid w:val="00DA6D30"/>
    <w:rsid w:val="00DA6DBE"/>
    <w:rsid w:val="00DA7638"/>
    <w:rsid w:val="00DB09C5"/>
    <w:rsid w:val="00DB0B92"/>
    <w:rsid w:val="00DB5F06"/>
    <w:rsid w:val="00DB6BDD"/>
    <w:rsid w:val="00DC272F"/>
    <w:rsid w:val="00DC3101"/>
    <w:rsid w:val="00DC51C0"/>
    <w:rsid w:val="00DC75CC"/>
    <w:rsid w:val="00DD2150"/>
    <w:rsid w:val="00DD47CA"/>
    <w:rsid w:val="00DE2976"/>
    <w:rsid w:val="00DE5EA6"/>
    <w:rsid w:val="00DE6E3E"/>
    <w:rsid w:val="00DF013B"/>
    <w:rsid w:val="00DF7BEA"/>
    <w:rsid w:val="00E011B6"/>
    <w:rsid w:val="00E02FDE"/>
    <w:rsid w:val="00E033C7"/>
    <w:rsid w:val="00E0511A"/>
    <w:rsid w:val="00E063A4"/>
    <w:rsid w:val="00E074F1"/>
    <w:rsid w:val="00E12D30"/>
    <w:rsid w:val="00E178BD"/>
    <w:rsid w:val="00E36970"/>
    <w:rsid w:val="00E37B82"/>
    <w:rsid w:val="00E432A9"/>
    <w:rsid w:val="00E4337D"/>
    <w:rsid w:val="00E4411D"/>
    <w:rsid w:val="00E45E4D"/>
    <w:rsid w:val="00E5413E"/>
    <w:rsid w:val="00E5507E"/>
    <w:rsid w:val="00E56A99"/>
    <w:rsid w:val="00E61E50"/>
    <w:rsid w:val="00E62203"/>
    <w:rsid w:val="00E63B67"/>
    <w:rsid w:val="00E650FD"/>
    <w:rsid w:val="00E65154"/>
    <w:rsid w:val="00E66A5B"/>
    <w:rsid w:val="00E70793"/>
    <w:rsid w:val="00E81C8D"/>
    <w:rsid w:val="00E828F5"/>
    <w:rsid w:val="00E82E69"/>
    <w:rsid w:val="00E870AB"/>
    <w:rsid w:val="00EA5600"/>
    <w:rsid w:val="00EA6C30"/>
    <w:rsid w:val="00EB021D"/>
    <w:rsid w:val="00EB190A"/>
    <w:rsid w:val="00EB5A49"/>
    <w:rsid w:val="00EC5D7D"/>
    <w:rsid w:val="00ED050B"/>
    <w:rsid w:val="00ED3C96"/>
    <w:rsid w:val="00ED5C1F"/>
    <w:rsid w:val="00EE108A"/>
    <w:rsid w:val="00EE1723"/>
    <w:rsid w:val="00EE430E"/>
    <w:rsid w:val="00EE574B"/>
    <w:rsid w:val="00EE73F0"/>
    <w:rsid w:val="00EF3E91"/>
    <w:rsid w:val="00EF5ED1"/>
    <w:rsid w:val="00EF67B8"/>
    <w:rsid w:val="00F00083"/>
    <w:rsid w:val="00F02D38"/>
    <w:rsid w:val="00F077A4"/>
    <w:rsid w:val="00F07F80"/>
    <w:rsid w:val="00F101EB"/>
    <w:rsid w:val="00F13907"/>
    <w:rsid w:val="00F22306"/>
    <w:rsid w:val="00F25173"/>
    <w:rsid w:val="00F27928"/>
    <w:rsid w:val="00F27A0A"/>
    <w:rsid w:val="00F32471"/>
    <w:rsid w:val="00F326FA"/>
    <w:rsid w:val="00F36743"/>
    <w:rsid w:val="00F4232F"/>
    <w:rsid w:val="00F430CD"/>
    <w:rsid w:val="00F476C9"/>
    <w:rsid w:val="00F52718"/>
    <w:rsid w:val="00F56D47"/>
    <w:rsid w:val="00F64814"/>
    <w:rsid w:val="00F746AA"/>
    <w:rsid w:val="00F763B6"/>
    <w:rsid w:val="00F777BA"/>
    <w:rsid w:val="00F80FD4"/>
    <w:rsid w:val="00F81DDF"/>
    <w:rsid w:val="00F82ABA"/>
    <w:rsid w:val="00F8442D"/>
    <w:rsid w:val="00F939F5"/>
    <w:rsid w:val="00FA1031"/>
    <w:rsid w:val="00FA227F"/>
    <w:rsid w:val="00FA27EF"/>
    <w:rsid w:val="00FA3E00"/>
    <w:rsid w:val="00FA5628"/>
    <w:rsid w:val="00FA5D56"/>
    <w:rsid w:val="00FB0ADA"/>
    <w:rsid w:val="00FB0F3F"/>
    <w:rsid w:val="00FC1427"/>
    <w:rsid w:val="00FC3246"/>
    <w:rsid w:val="00FE27BB"/>
    <w:rsid w:val="00FE41FF"/>
    <w:rsid w:val="00FE7B60"/>
    <w:rsid w:val="00FE7FC2"/>
    <w:rsid w:val="00FF01B6"/>
    <w:rsid w:val="00FF3E6B"/>
    <w:rsid w:val="00FF3F57"/>
    <w:rsid w:val="00FF50DF"/>
    <w:rsid w:val="00FF74B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B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paragraph" w:styleId="Heading1">
    <w:name w:val="heading 1"/>
    <w:basedOn w:val="Normal"/>
    <w:next w:val="Normal"/>
    <w:link w:val="Heading1Char"/>
    <w:uiPriority w:val="99"/>
    <w:qFormat/>
    <w:rsid w:val="003F43BC"/>
    <w:pPr>
      <w:keepNext/>
      <w:keepLines/>
      <w:numPr>
        <w:numId w:val="10"/>
      </w:numPr>
      <w:spacing w:before="480"/>
      <w:jc w:val="both"/>
      <w:outlineLvl w:val="0"/>
    </w:pPr>
    <w:rPr>
      <w:rFonts w:ascii="Arial" w:hAnsi="Arial"/>
      <w:b/>
      <w:bCs/>
      <w:color w:val="000000"/>
      <w:sz w:val="28"/>
      <w:szCs w:val="28"/>
    </w:rPr>
  </w:style>
  <w:style w:type="paragraph" w:styleId="Heading2">
    <w:name w:val="heading 2"/>
    <w:basedOn w:val="Normal"/>
    <w:next w:val="Normal"/>
    <w:link w:val="Heading2Char"/>
    <w:autoRedefine/>
    <w:uiPriority w:val="99"/>
    <w:qFormat/>
    <w:rsid w:val="003F43BC"/>
    <w:pPr>
      <w:widowControl w:val="0"/>
      <w:numPr>
        <w:ilvl w:val="1"/>
        <w:numId w:val="10"/>
      </w:numPr>
      <w:spacing w:before="200"/>
      <w:jc w:val="both"/>
      <w:outlineLvl w:val="1"/>
    </w:pPr>
    <w:rPr>
      <w:rFonts w:ascii="Arial" w:hAnsi="Arial"/>
      <w:b/>
      <w:bCs/>
      <w:color w:val="000000"/>
      <w:sz w:val="26"/>
      <w:szCs w:val="26"/>
    </w:rPr>
  </w:style>
  <w:style w:type="paragraph" w:styleId="Heading3">
    <w:name w:val="heading 3"/>
    <w:basedOn w:val="Normal"/>
    <w:next w:val="Normal"/>
    <w:link w:val="Heading3Char"/>
    <w:uiPriority w:val="99"/>
    <w:qFormat/>
    <w:rsid w:val="003F43BC"/>
    <w:pPr>
      <w:keepNext/>
      <w:keepLines/>
      <w:numPr>
        <w:ilvl w:val="2"/>
        <w:numId w:val="10"/>
      </w:numPr>
      <w:spacing w:before="200"/>
      <w:jc w:val="both"/>
      <w:outlineLvl w:val="2"/>
    </w:pPr>
    <w:rPr>
      <w:rFonts w:ascii="Arial" w:hAnsi="Arial"/>
      <w:b/>
      <w:bCs/>
      <w:sz w:val="22"/>
      <w:szCs w:val="22"/>
    </w:rPr>
  </w:style>
  <w:style w:type="paragraph" w:styleId="Heading4">
    <w:name w:val="heading 4"/>
    <w:basedOn w:val="Normal"/>
    <w:next w:val="Normal"/>
    <w:link w:val="Heading4Char"/>
    <w:uiPriority w:val="99"/>
    <w:qFormat/>
    <w:rsid w:val="003F43BC"/>
    <w:pPr>
      <w:keepNext/>
      <w:keepLines/>
      <w:numPr>
        <w:ilvl w:val="3"/>
        <w:numId w:val="10"/>
      </w:numPr>
      <w:spacing w:before="200"/>
      <w:jc w:val="both"/>
      <w:outlineLvl w:val="3"/>
    </w:pPr>
    <w:rPr>
      <w:rFonts w:ascii="Arial" w:hAnsi="Arial"/>
      <w:b/>
      <w:bCs/>
      <w:iCs/>
      <w:sz w:val="22"/>
      <w:szCs w:val="22"/>
    </w:rPr>
  </w:style>
  <w:style w:type="paragraph" w:styleId="Heading5">
    <w:name w:val="heading 5"/>
    <w:basedOn w:val="Normal"/>
    <w:next w:val="Normal"/>
    <w:link w:val="Heading5Char"/>
    <w:autoRedefine/>
    <w:uiPriority w:val="99"/>
    <w:qFormat/>
    <w:rsid w:val="003F43BC"/>
    <w:pPr>
      <w:keepNext/>
      <w:keepLines/>
      <w:numPr>
        <w:ilvl w:val="4"/>
        <w:numId w:val="10"/>
      </w:numPr>
      <w:spacing w:before="200"/>
      <w:jc w:val="both"/>
      <w:outlineLvl w:val="4"/>
    </w:pPr>
    <w:rPr>
      <w:rFonts w:ascii="Arial" w:hAnsi="Arial"/>
      <w:sz w:val="22"/>
      <w:szCs w:val="22"/>
    </w:rPr>
  </w:style>
  <w:style w:type="paragraph" w:styleId="Heading6">
    <w:name w:val="heading 6"/>
    <w:basedOn w:val="Normal"/>
    <w:next w:val="Normal"/>
    <w:link w:val="Heading6Char"/>
    <w:uiPriority w:val="9"/>
    <w:unhideWhenUsed/>
    <w:qFormat/>
    <w:rsid w:val="00533C52"/>
    <w:pPr>
      <w:spacing w:line="271" w:lineRule="auto"/>
      <w:ind w:left="1152" w:hanging="1152"/>
      <w:jc w:val="both"/>
      <w:outlineLvl w:val="5"/>
    </w:pPr>
    <w:rPr>
      <w:rFonts w:ascii="Cambria" w:hAnsi="Cambria"/>
      <w:b/>
      <w:bCs/>
      <w:i/>
      <w:iCs/>
      <w:color w:val="7F7F7F"/>
      <w:sz w:val="20"/>
      <w:szCs w:val="20"/>
    </w:rPr>
  </w:style>
  <w:style w:type="paragraph" w:styleId="Heading7">
    <w:name w:val="heading 7"/>
    <w:basedOn w:val="Normal"/>
    <w:next w:val="Normal"/>
    <w:link w:val="Heading7Char"/>
    <w:uiPriority w:val="9"/>
    <w:unhideWhenUsed/>
    <w:qFormat/>
    <w:rsid w:val="00533C52"/>
    <w:pPr>
      <w:ind w:left="1296" w:hanging="1296"/>
      <w:jc w:val="both"/>
      <w:outlineLvl w:val="6"/>
    </w:pPr>
    <w:rPr>
      <w:rFonts w:ascii="Cambria" w:hAnsi="Cambria"/>
      <w:i/>
      <w:iCs/>
      <w:sz w:val="20"/>
      <w:szCs w:val="20"/>
    </w:rPr>
  </w:style>
  <w:style w:type="paragraph" w:styleId="Heading8">
    <w:name w:val="heading 8"/>
    <w:basedOn w:val="Normal"/>
    <w:next w:val="Normal"/>
    <w:link w:val="Heading8Char"/>
    <w:uiPriority w:val="9"/>
    <w:unhideWhenUsed/>
    <w:qFormat/>
    <w:rsid w:val="00533C52"/>
    <w:pPr>
      <w:ind w:left="4320" w:hanging="1440"/>
      <w:jc w:val="both"/>
      <w:outlineLvl w:val="7"/>
    </w:pPr>
    <w:rPr>
      <w:rFonts w:ascii="Cambria" w:hAnsi="Cambria"/>
      <w:sz w:val="20"/>
      <w:szCs w:val="20"/>
    </w:rPr>
  </w:style>
  <w:style w:type="paragraph" w:styleId="Heading9">
    <w:name w:val="heading 9"/>
    <w:basedOn w:val="Normal"/>
    <w:next w:val="Normal"/>
    <w:link w:val="Heading9Char"/>
    <w:uiPriority w:val="9"/>
    <w:unhideWhenUsed/>
    <w:qFormat/>
    <w:rsid w:val="00533C52"/>
    <w:pPr>
      <w:ind w:left="4464" w:hanging="1584"/>
      <w:jc w:val="both"/>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s-ES" w:eastAsia="ja-JP"/>
    </w:rPr>
  </w:style>
  <w:style w:type="character" w:styleId="CommentReference">
    <w:name w:val="annotation reference"/>
    <w:basedOn w:val="DefaultParagraphFont"/>
    <w:rsid w:val="00851B21"/>
    <w:rPr>
      <w:sz w:val="16"/>
      <w:szCs w:val="16"/>
    </w:rPr>
  </w:style>
  <w:style w:type="paragraph" w:styleId="CommentText">
    <w:name w:val="annotation text"/>
    <w:basedOn w:val="Normal"/>
    <w:link w:val="CommentTextChar"/>
    <w:rsid w:val="00851B21"/>
    <w:rPr>
      <w:sz w:val="20"/>
      <w:szCs w:val="20"/>
    </w:rPr>
  </w:style>
  <w:style w:type="character" w:customStyle="1" w:styleId="CommentTextChar">
    <w:name w:val="Comment Text Char"/>
    <w:basedOn w:val="DefaultParagraphFont"/>
    <w:link w:val="CommentText"/>
    <w:rsid w:val="00851B21"/>
    <w:rPr>
      <w:lang w:val="es-ES" w:eastAsia="en-US"/>
    </w:rPr>
  </w:style>
  <w:style w:type="paragraph" w:styleId="CommentSubject">
    <w:name w:val="annotation subject"/>
    <w:basedOn w:val="CommentText"/>
    <w:next w:val="CommentText"/>
    <w:link w:val="CommentSubjectChar"/>
    <w:rsid w:val="00851B21"/>
    <w:rPr>
      <w:b/>
      <w:bCs/>
    </w:rPr>
  </w:style>
  <w:style w:type="character" w:customStyle="1" w:styleId="CommentSubjectChar">
    <w:name w:val="Comment Subject Char"/>
    <w:basedOn w:val="CommentTextChar"/>
    <w:link w:val="CommentSubject"/>
    <w:rsid w:val="00851B21"/>
    <w:rPr>
      <w:b/>
      <w:bCs/>
      <w:lang w:val="es-ES" w:eastAsia="en-US"/>
    </w:rPr>
  </w:style>
  <w:style w:type="paragraph" w:styleId="FootnoteText">
    <w:name w:val="footnote text"/>
    <w:basedOn w:val="Normal"/>
    <w:link w:val="FootnoteTextChar"/>
    <w:rsid w:val="00104F54"/>
    <w:rPr>
      <w:sz w:val="20"/>
      <w:szCs w:val="20"/>
    </w:rPr>
  </w:style>
  <w:style w:type="character" w:customStyle="1" w:styleId="FootnoteTextChar">
    <w:name w:val="Footnote Text Char"/>
    <w:basedOn w:val="DefaultParagraphFont"/>
    <w:link w:val="FootnoteText"/>
    <w:rsid w:val="00104F54"/>
    <w:rPr>
      <w:lang w:val="es-ES" w:eastAsia="en-US"/>
    </w:rPr>
  </w:style>
  <w:style w:type="character" w:styleId="FootnoteReference">
    <w:name w:val="footnote reference"/>
    <w:basedOn w:val="DefaultParagraphFont"/>
    <w:rsid w:val="00104F54"/>
    <w:rPr>
      <w:vertAlign w:val="superscript"/>
    </w:rPr>
  </w:style>
  <w:style w:type="character" w:customStyle="1" w:styleId="HeaderChar">
    <w:name w:val="Header Char"/>
    <w:basedOn w:val="DefaultParagraphFont"/>
    <w:link w:val="Header"/>
    <w:uiPriority w:val="99"/>
    <w:rsid w:val="00471200"/>
    <w:rPr>
      <w:sz w:val="24"/>
      <w:szCs w:val="24"/>
      <w:lang w:val="es-ES" w:eastAsia="es-ES"/>
    </w:rPr>
  </w:style>
  <w:style w:type="paragraph" w:styleId="NormalWeb">
    <w:name w:val="Normal (Web)"/>
    <w:basedOn w:val="Normal"/>
    <w:uiPriority w:val="99"/>
    <w:unhideWhenUsed/>
    <w:rsid w:val="00203884"/>
    <w:pPr>
      <w:spacing w:before="240" w:after="240"/>
    </w:pPr>
  </w:style>
  <w:style w:type="character" w:customStyle="1" w:styleId="FooterChar">
    <w:name w:val="Footer Char"/>
    <w:basedOn w:val="DefaultParagraphFont"/>
    <w:link w:val="Footer"/>
    <w:uiPriority w:val="99"/>
    <w:rsid w:val="003464A5"/>
    <w:rPr>
      <w:szCs w:val="24"/>
      <w:lang w:val="es-ES" w:eastAsia="en-US"/>
    </w:rPr>
  </w:style>
  <w:style w:type="character" w:customStyle="1" w:styleId="BodyTextChar">
    <w:name w:val="Body Text Char"/>
    <w:basedOn w:val="DefaultParagraphFont"/>
    <w:link w:val="BodyText"/>
    <w:rsid w:val="00B83486"/>
    <w:rPr>
      <w:b/>
      <w:bCs/>
      <w:sz w:val="24"/>
      <w:szCs w:val="24"/>
      <w:lang w:val="es-ES" w:eastAsia="es-ES"/>
    </w:rPr>
  </w:style>
  <w:style w:type="character" w:customStyle="1" w:styleId="Heading1Char">
    <w:name w:val="Heading 1 Char"/>
    <w:basedOn w:val="DefaultParagraphFont"/>
    <w:link w:val="Heading1"/>
    <w:uiPriority w:val="99"/>
    <w:rsid w:val="003F43BC"/>
    <w:rPr>
      <w:rFonts w:ascii="Arial" w:hAnsi="Arial"/>
      <w:b/>
      <w:bCs/>
      <w:color w:val="000000"/>
      <w:sz w:val="28"/>
      <w:szCs w:val="28"/>
      <w:lang w:eastAsia="en-US"/>
    </w:rPr>
  </w:style>
  <w:style w:type="character" w:customStyle="1" w:styleId="Heading2Char">
    <w:name w:val="Heading 2 Char"/>
    <w:basedOn w:val="DefaultParagraphFont"/>
    <w:link w:val="Heading2"/>
    <w:uiPriority w:val="99"/>
    <w:rsid w:val="003F43BC"/>
    <w:rPr>
      <w:rFonts w:ascii="Arial" w:hAnsi="Arial"/>
      <w:b/>
      <w:bCs/>
      <w:color w:val="000000"/>
      <w:sz w:val="26"/>
      <w:szCs w:val="26"/>
      <w:lang w:eastAsia="en-US"/>
    </w:rPr>
  </w:style>
  <w:style w:type="character" w:customStyle="1" w:styleId="Heading3Char">
    <w:name w:val="Heading 3 Char"/>
    <w:basedOn w:val="DefaultParagraphFont"/>
    <w:link w:val="Heading3"/>
    <w:uiPriority w:val="99"/>
    <w:rsid w:val="003F43BC"/>
    <w:rPr>
      <w:rFonts w:ascii="Arial" w:hAnsi="Arial"/>
      <w:b/>
      <w:bCs/>
      <w:sz w:val="22"/>
      <w:szCs w:val="22"/>
      <w:lang w:eastAsia="en-US"/>
    </w:rPr>
  </w:style>
  <w:style w:type="character" w:customStyle="1" w:styleId="Heading4Char">
    <w:name w:val="Heading 4 Char"/>
    <w:basedOn w:val="DefaultParagraphFont"/>
    <w:link w:val="Heading4"/>
    <w:uiPriority w:val="99"/>
    <w:rsid w:val="003F43BC"/>
    <w:rPr>
      <w:rFonts w:ascii="Arial" w:hAnsi="Arial"/>
      <w:b/>
      <w:bCs/>
      <w:iCs/>
      <w:sz w:val="22"/>
      <w:szCs w:val="22"/>
      <w:lang w:eastAsia="en-US"/>
    </w:rPr>
  </w:style>
  <w:style w:type="character" w:customStyle="1" w:styleId="Heading5Char">
    <w:name w:val="Heading 5 Char"/>
    <w:basedOn w:val="DefaultParagraphFont"/>
    <w:link w:val="Heading5"/>
    <w:uiPriority w:val="99"/>
    <w:rsid w:val="003F43BC"/>
    <w:rPr>
      <w:rFonts w:ascii="Arial" w:hAnsi="Arial"/>
      <w:sz w:val="22"/>
      <w:szCs w:val="22"/>
      <w:lang w:eastAsia="en-US"/>
    </w:rPr>
  </w:style>
  <w:style w:type="paragraph" w:styleId="ListParagraph">
    <w:name w:val="List Paragraph"/>
    <w:basedOn w:val="Normal"/>
    <w:uiPriority w:val="34"/>
    <w:qFormat/>
    <w:rsid w:val="00F077A4"/>
    <w:pPr>
      <w:ind w:left="720"/>
      <w:contextualSpacing/>
    </w:pPr>
  </w:style>
  <w:style w:type="table" w:styleId="TableGrid">
    <w:name w:val="Table Grid"/>
    <w:aliases w:val="MRAG Table Style"/>
    <w:basedOn w:val="TableNormal"/>
    <w:uiPriority w:val="39"/>
    <w:rsid w:val="00A4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AE1CF2"/>
    <w:rPr>
      <w:vertAlign w:val="superscript"/>
    </w:rPr>
  </w:style>
  <w:style w:type="character" w:customStyle="1" w:styleId="Heading6Char">
    <w:name w:val="Heading 6 Char"/>
    <w:basedOn w:val="DefaultParagraphFont"/>
    <w:link w:val="Heading6"/>
    <w:uiPriority w:val="9"/>
    <w:rsid w:val="00533C52"/>
    <w:rPr>
      <w:rFonts w:ascii="Cambria" w:hAnsi="Cambria"/>
      <w:b/>
      <w:bCs/>
      <w:i/>
      <w:iCs/>
      <w:color w:val="7F7F7F"/>
      <w:lang w:eastAsia="en-US"/>
    </w:rPr>
  </w:style>
  <w:style w:type="character" w:customStyle="1" w:styleId="Heading7Char">
    <w:name w:val="Heading 7 Char"/>
    <w:basedOn w:val="DefaultParagraphFont"/>
    <w:link w:val="Heading7"/>
    <w:uiPriority w:val="9"/>
    <w:rsid w:val="00533C52"/>
    <w:rPr>
      <w:rFonts w:ascii="Cambria" w:hAnsi="Cambria"/>
      <w:i/>
      <w:iCs/>
      <w:lang w:eastAsia="en-US"/>
    </w:rPr>
  </w:style>
  <w:style w:type="character" w:customStyle="1" w:styleId="Heading8Char">
    <w:name w:val="Heading 8 Char"/>
    <w:basedOn w:val="DefaultParagraphFont"/>
    <w:link w:val="Heading8"/>
    <w:uiPriority w:val="9"/>
    <w:rsid w:val="00533C52"/>
    <w:rPr>
      <w:rFonts w:ascii="Cambria" w:hAnsi="Cambria"/>
      <w:lang w:eastAsia="en-US"/>
    </w:rPr>
  </w:style>
  <w:style w:type="character" w:customStyle="1" w:styleId="Heading9Char">
    <w:name w:val="Heading 9 Char"/>
    <w:basedOn w:val="DefaultParagraphFont"/>
    <w:link w:val="Heading9"/>
    <w:uiPriority w:val="9"/>
    <w:rsid w:val="00533C52"/>
    <w:rPr>
      <w:rFonts w:ascii="Cambria" w:hAnsi="Cambria"/>
      <w:i/>
      <w:iCs/>
      <w:spacing w:val="5"/>
      <w:lang w:eastAsia="en-US"/>
    </w:rPr>
  </w:style>
  <w:style w:type="character" w:styleId="Hyperlink">
    <w:name w:val="Hyperlink"/>
    <w:basedOn w:val="DefaultParagraphFont"/>
    <w:uiPriority w:val="99"/>
    <w:unhideWhenUsed/>
    <w:rsid w:val="00047F55"/>
    <w:rPr>
      <w:color w:val="0000FF"/>
      <w:u w:val="single"/>
    </w:rPr>
  </w:style>
  <w:style w:type="character" w:styleId="FollowedHyperlink">
    <w:name w:val="FollowedHyperlink"/>
    <w:basedOn w:val="DefaultParagraphFont"/>
    <w:uiPriority w:val="99"/>
    <w:semiHidden/>
    <w:unhideWhenUsed/>
    <w:rsid w:val="004F6E56"/>
    <w:rPr>
      <w:color w:val="800080" w:themeColor="followedHyperlink"/>
      <w:u w:val="single"/>
    </w:rPr>
  </w:style>
  <w:style w:type="character" w:styleId="UnresolvedMention">
    <w:name w:val="Unresolved Mention"/>
    <w:basedOn w:val="DefaultParagraphFont"/>
    <w:uiPriority w:val="99"/>
    <w:semiHidden/>
    <w:unhideWhenUsed/>
    <w:rsid w:val="000434A7"/>
    <w:rPr>
      <w:color w:val="605E5C"/>
      <w:shd w:val="clear" w:color="auto" w:fill="E1DFDD"/>
    </w:rPr>
  </w:style>
  <w:style w:type="paragraph" w:styleId="Caption">
    <w:name w:val="caption"/>
    <w:basedOn w:val="Normal"/>
    <w:next w:val="Normal"/>
    <w:link w:val="CaptionChar"/>
    <w:uiPriority w:val="35"/>
    <w:unhideWhenUsed/>
    <w:qFormat/>
    <w:rsid w:val="00C1114A"/>
    <w:pPr>
      <w:spacing w:after="200"/>
      <w:jc w:val="both"/>
    </w:pPr>
    <w:rPr>
      <w:rFonts w:ascii="Arial" w:hAnsi="Arial"/>
      <w:b/>
      <w:bCs/>
      <w:sz w:val="22"/>
      <w:szCs w:val="20"/>
      <w:lang w:bidi="en-US"/>
    </w:rPr>
  </w:style>
  <w:style w:type="paragraph" w:customStyle="1" w:styleId="TableTitleRow">
    <w:name w:val="Table Title Row"/>
    <w:basedOn w:val="Normal"/>
    <w:qFormat/>
    <w:rsid w:val="00C1114A"/>
    <w:rPr>
      <w:rFonts w:ascii="Arial" w:hAnsi="Arial"/>
      <w:b/>
      <w:sz w:val="20"/>
      <w:szCs w:val="20"/>
      <w:lang w:bidi="en-US"/>
    </w:rPr>
  </w:style>
  <w:style w:type="character" w:customStyle="1" w:styleId="CaptionChar">
    <w:name w:val="Caption Char"/>
    <w:basedOn w:val="DefaultParagraphFont"/>
    <w:link w:val="Caption"/>
    <w:uiPriority w:val="35"/>
    <w:rsid w:val="00C1114A"/>
    <w:rPr>
      <w:rFonts w:ascii="Arial" w:hAnsi="Arial"/>
      <w:b/>
      <w:bCs/>
      <w:sz w:val="22"/>
      <w:lang w:eastAsia="en-US" w:bidi="en-US"/>
    </w:rPr>
  </w:style>
  <w:style w:type="paragraph" w:styleId="Revision">
    <w:name w:val="Revision"/>
    <w:hidden/>
    <w:uiPriority w:val="99"/>
    <w:semiHidden/>
    <w:rsid w:val="00230F1C"/>
    <w:rPr>
      <w:sz w:val="24"/>
      <w:szCs w:val="24"/>
      <w:lang w:eastAsia="en-US"/>
    </w:rPr>
  </w:style>
  <w:style w:type="paragraph" w:customStyle="1" w:styleId="msonormal0">
    <w:name w:val="msonormal"/>
    <w:basedOn w:val="Normal"/>
    <w:rsid w:val="00C27D6A"/>
    <w:pPr>
      <w:spacing w:before="100" w:beforeAutospacing="1" w:after="100" w:afterAutospacing="1"/>
    </w:pPr>
    <w:rPr>
      <w:lang w:eastAsia="en-GB"/>
    </w:rPr>
  </w:style>
  <w:style w:type="paragraph" w:customStyle="1" w:styleId="xl65">
    <w:name w:val="xl65"/>
    <w:basedOn w:val="Normal"/>
    <w:rsid w:val="00C27D6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106">
      <w:bodyDiv w:val="1"/>
      <w:marLeft w:val="0"/>
      <w:marRight w:val="0"/>
      <w:marTop w:val="0"/>
      <w:marBottom w:val="0"/>
      <w:divBdr>
        <w:top w:val="none" w:sz="0" w:space="0" w:color="auto"/>
        <w:left w:val="none" w:sz="0" w:space="0" w:color="auto"/>
        <w:bottom w:val="none" w:sz="0" w:space="0" w:color="auto"/>
        <w:right w:val="none" w:sz="0" w:space="0" w:color="auto"/>
      </w:divBdr>
    </w:div>
    <w:div w:id="14163609">
      <w:bodyDiv w:val="1"/>
      <w:marLeft w:val="0"/>
      <w:marRight w:val="0"/>
      <w:marTop w:val="0"/>
      <w:marBottom w:val="0"/>
      <w:divBdr>
        <w:top w:val="none" w:sz="0" w:space="0" w:color="auto"/>
        <w:left w:val="none" w:sz="0" w:space="0" w:color="auto"/>
        <w:bottom w:val="none" w:sz="0" w:space="0" w:color="auto"/>
        <w:right w:val="none" w:sz="0" w:space="0" w:color="auto"/>
      </w:divBdr>
    </w:div>
    <w:div w:id="146242184">
      <w:bodyDiv w:val="1"/>
      <w:marLeft w:val="0"/>
      <w:marRight w:val="0"/>
      <w:marTop w:val="0"/>
      <w:marBottom w:val="0"/>
      <w:divBdr>
        <w:top w:val="none" w:sz="0" w:space="0" w:color="auto"/>
        <w:left w:val="none" w:sz="0" w:space="0" w:color="auto"/>
        <w:bottom w:val="none" w:sz="0" w:space="0" w:color="auto"/>
        <w:right w:val="none" w:sz="0" w:space="0" w:color="auto"/>
      </w:divBdr>
    </w:div>
    <w:div w:id="235090324">
      <w:bodyDiv w:val="1"/>
      <w:marLeft w:val="0"/>
      <w:marRight w:val="0"/>
      <w:marTop w:val="0"/>
      <w:marBottom w:val="0"/>
      <w:divBdr>
        <w:top w:val="none" w:sz="0" w:space="0" w:color="auto"/>
        <w:left w:val="none" w:sz="0" w:space="0" w:color="auto"/>
        <w:bottom w:val="none" w:sz="0" w:space="0" w:color="auto"/>
        <w:right w:val="none" w:sz="0" w:space="0" w:color="auto"/>
      </w:divBdr>
    </w:div>
    <w:div w:id="274756724">
      <w:bodyDiv w:val="1"/>
      <w:marLeft w:val="0"/>
      <w:marRight w:val="0"/>
      <w:marTop w:val="0"/>
      <w:marBottom w:val="0"/>
      <w:divBdr>
        <w:top w:val="none" w:sz="0" w:space="0" w:color="auto"/>
        <w:left w:val="none" w:sz="0" w:space="0" w:color="auto"/>
        <w:bottom w:val="none" w:sz="0" w:space="0" w:color="auto"/>
        <w:right w:val="none" w:sz="0" w:space="0" w:color="auto"/>
      </w:divBdr>
    </w:div>
    <w:div w:id="322852494">
      <w:bodyDiv w:val="1"/>
      <w:marLeft w:val="0"/>
      <w:marRight w:val="0"/>
      <w:marTop w:val="0"/>
      <w:marBottom w:val="0"/>
      <w:divBdr>
        <w:top w:val="none" w:sz="0" w:space="0" w:color="auto"/>
        <w:left w:val="none" w:sz="0" w:space="0" w:color="auto"/>
        <w:bottom w:val="none" w:sz="0" w:space="0" w:color="auto"/>
        <w:right w:val="none" w:sz="0" w:space="0" w:color="auto"/>
      </w:divBdr>
    </w:div>
    <w:div w:id="395277956">
      <w:bodyDiv w:val="1"/>
      <w:marLeft w:val="0"/>
      <w:marRight w:val="0"/>
      <w:marTop w:val="0"/>
      <w:marBottom w:val="0"/>
      <w:divBdr>
        <w:top w:val="none" w:sz="0" w:space="0" w:color="auto"/>
        <w:left w:val="none" w:sz="0" w:space="0" w:color="auto"/>
        <w:bottom w:val="none" w:sz="0" w:space="0" w:color="auto"/>
        <w:right w:val="none" w:sz="0" w:space="0" w:color="auto"/>
      </w:divBdr>
    </w:div>
    <w:div w:id="397942876">
      <w:bodyDiv w:val="1"/>
      <w:marLeft w:val="0"/>
      <w:marRight w:val="0"/>
      <w:marTop w:val="0"/>
      <w:marBottom w:val="0"/>
      <w:divBdr>
        <w:top w:val="none" w:sz="0" w:space="0" w:color="auto"/>
        <w:left w:val="none" w:sz="0" w:space="0" w:color="auto"/>
        <w:bottom w:val="none" w:sz="0" w:space="0" w:color="auto"/>
        <w:right w:val="none" w:sz="0" w:space="0" w:color="auto"/>
      </w:divBdr>
    </w:div>
    <w:div w:id="448167684">
      <w:bodyDiv w:val="1"/>
      <w:marLeft w:val="0"/>
      <w:marRight w:val="0"/>
      <w:marTop w:val="0"/>
      <w:marBottom w:val="0"/>
      <w:divBdr>
        <w:top w:val="none" w:sz="0" w:space="0" w:color="auto"/>
        <w:left w:val="none" w:sz="0" w:space="0" w:color="auto"/>
        <w:bottom w:val="none" w:sz="0" w:space="0" w:color="auto"/>
        <w:right w:val="none" w:sz="0" w:space="0" w:color="auto"/>
      </w:divBdr>
    </w:div>
    <w:div w:id="456608236">
      <w:bodyDiv w:val="1"/>
      <w:marLeft w:val="0"/>
      <w:marRight w:val="0"/>
      <w:marTop w:val="0"/>
      <w:marBottom w:val="0"/>
      <w:divBdr>
        <w:top w:val="none" w:sz="0" w:space="0" w:color="auto"/>
        <w:left w:val="none" w:sz="0" w:space="0" w:color="auto"/>
        <w:bottom w:val="none" w:sz="0" w:space="0" w:color="auto"/>
        <w:right w:val="none" w:sz="0" w:space="0" w:color="auto"/>
      </w:divBdr>
    </w:div>
    <w:div w:id="466975264">
      <w:bodyDiv w:val="1"/>
      <w:marLeft w:val="0"/>
      <w:marRight w:val="0"/>
      <w:marTop w:val="0"/>
      <w:marBottom w:val="0"/>
      <w:divBdr>
        <w:top w:val="none" w:sz="0" w:space="0" w:color="auto"/>
        <w:left w:val="none" w:sz="0" w:space="0" w:color="auto"/>
        <w:bottom w:val="none" w:sz="0" w:space="0" w:color="auto"/>
        <w:right w:val="none" w:sz="0" w:space="0" w:color="auto"/>
      </w:divBdr>
    </w:div>
    <w:div w:id="473986063">
      <w:bodyDiv w:val="1"/>
      <w:marLeft w:val="0"/>
      <w:marRight w:val="0"/>
      <w:marTop w:val="0"/>
      <w:marBottom w:val="0"/>
      <w:divBdr>
        <w:top w:val="none" w:sz="0" w:space="0" w:color="auto"/>
        <w:left w:val="none" w:sz="0" w:space="0" w:color="auto"/>
        <w:bottom w:val="none" w:sz="0" w:space="0" w:color="auto"/>
        <w:right w:val="none" w:sz="0" w:space="0" w:color="auto"/>
      </w:divBdr>
    </w:div>
    <w:div w:id="525946817">
      <w:bodyDiv w:val="1"/>
      <w:marLeft w:val="0"/>
      <w:marRight w:val="0"/>
      <w:marTop w:val="0"/>
      <w:marBottom w:val="0"/>
      <w:divBdr>
        <w:top w:val="none" w:sz="0" w:space="0" w:color="auto"/>
        <w:left w:val="none" w:sz="0" w:space="0" w:color="auto"/>
        <w:bottom w:val="none" w:sz="0" w:space="0" w:color="auto"/>
        <w:right w:val="none" w:sz="0" w:space="0" w:color="auto"/>
      </w:divBdr>
    </w:div>
    <w:div w:id="545482926">
      <w:bodyDiv w:val="1"/>
      <w:marLeft w:val="0"/>
      <w:marRight w:val="0"/>
      <w:marTop w:val="0"/>
      <w:marBottom w:val="0"/>
      <w:divBdr>
        <w:top w:val="none" w:sz="0" w:space="0" w:color="auto"/>
        <w:left w:val="none" w:sz="0" w:space="0" w:color="auto"/>
        <w:bottom w:val="none" w:sz="0" w:space="0" w:color="auto"/>
        <w:right w:val="none" w:sz="0" w:space="0" w:color="auto"/>
      </w:divBdr>
    </w:div>
    <w:div w:id="652416141">
      <w:bodyDiv w:val="1"/>
      <w:marLeft w:val="0"/>
      <w:marRight w:val="0"/>
      <w:marTop w:val="0"/>
      <w:marBottom w:val="0"/>
      <w:divBdr>
        <w:top w:val="none" w:sz="0" w:space="0" w:color="auto"/>
        <w:left w:val="none" w:sz="0" w:space="0" w:color="auto"/>
        <w:bottom w:val="none" w:sz="0" w:space="0" w:color="auto"/>
        <w:right w:val="none" w:sz="0" w:space="0" w:color="auto"/>
      </w:divBdr>
    </w:div>
    <w:div w:id="829902816">
      <w:bodyDiv w:val="1"/>
      <w:marLeft w:val="0"/>
      <w:marRight w:val="0"/>
      <w:marTop w:val="0"/>
      <w:marBottom w:val="0"/>
      <w:divBdr>
        <w:top w:val="none" w:sz="0" w:space="0" w:color="auto"/>
        <w:left w:val="none" w:sz="0" w:space="0" w:color="auto"/>
        <w:bottom w:val="none" w:sz="0" w:space="0" w:color="auto"/>
        <w:right w:val="none" w:sz="0" w:space="0" w:color="auto"/>
      </w:divBdr>
    </w:div>
    <w:div w:id="883716659">
      <w:bodyDiv w:val="1"/>
      <w:marLeft w:val="0"/>
      <w:marRight w:val="0"/>
      <w:marTop w:val="0"/>
      <w:marBottom w:val="0"/>
      <w:divBdr>
        <w:top w:val="none" w:sz="0" w:space="0" w:color="auto"/>
        <w:left w:val="none" w:sz="0" w:space="0" w:color="auto"/>
        <w:bottom w:val="none" w:sz="0" w:space="0" w:color="auto"/>
        <w:right w:val="none" w:sz="0" w:space="0" w:color="auto"/>
      </w:divBdr>
    </w:div>
    <w:div w:id="920069500">
      <w:bodyDiv w:val="1"/>
      <w:marLeft w:val="0"/>
      <w:marRight w:val="0"/>
      <w:marTop w:val="0"/>
      <w:marBottom w:val="0"/>
      <w:divBdr>
        <w:top w:val="none" w:sz="0" w:space="0" w:color="auto"/>
        <w:left w:val="none" w:sz="0" w:space="0" w:color="auto"/>
        <w:bottom w:val="none" w:sz="0" w:space="0" w:color="auto"/>
        <w:right w:val="none" w:sz="0" w:space="0" w:color="auto"/>
      </w:divBdr>
    </w:div>
    <w:div w:id="928662971">
      <w:bodyDiv w:val="1"/>
      <w:marLeft w:val="0"/>
      <w:marRight w:val="0"/>
      <w:marTop w:val="0"/>
      <w:marBottom w:val="0"/>
      <w:divBdr>
        <w:top w:val="none" w:sz="0" w:space="0" w:color="auto"/>
        <w:left w:val="none" w:sz="0" w:space="0" w:color="auto"/>
        <w:bottom w:val="none" w:sz="0" w:space="0" w:color="auto"/>
        <w:right w:val="none" w:sz="0" w:space="0" w:color="auto"/>
      </w:divBdr>
    </w:div>
    <w:div w:id="929118690">
      <w:bodyDiv w:val="1"/>
      <w:marLeft w:val="0"/>
      <w:marRight w:val="0"/>
      <w:marTop w:val="0"/>
      <w:marBottom w:val="0"/>
      <w:divBdr>
        <w:top w:val="none" w:sz="0" w:space="0" w:color="auto"/>
        <w:left w:val="none" w:sz="0" w:space="0" w:color="auto"/>
        <w:bottom w:val="none" w:sz="0" w:space="0" w:color="auto"/>
        <w:right w:val="none" w:sz="0" w:space="0" w:color="auto"/>
      </w:divBdr>
    </w:div>
    <w:div w:id="1129469010">
      <w:bodyDiv w:val="1"/>
      <w:marLeft w:val="0"/>
      <w:marRight w:val="0"/>
      <w:marTop w:val="0"/>
      <w:marBottom w:val="0"/>
      <w:divBdr>
        <w:top w:val="none" w:sz="0" w:space="0" w:color="auto"/>
        <w:left w:val="none" w:sz="0" w:space="0" w:color="auto"/>
        <w:bottom w:val="none" w:sz="0" w:space="0" w:color="auto"/>
        <w:right w:val="none" w:sz="0" w:space="0" w:color="auto"/>
      </w:divBdr>
    </w:div>
    <w:div w:id="1163203135">
      <w:bodyDiv w:val="1"/>
      <w:marLeft w:val="0"/>
      <w:marRight w:val="0"/>
      <w:marTop w:val="0"/>
      <w:marBottom w:val="0"/>
      <w:divBdr>
        <w:top w:val="none" w:sz="0" w:space="0" w:color="auto"/>
        <w:left w:val="none" w:sz="0" w:space="0" w:color="auto"/>
        <w:bottom w:val="none" w:sz="0" w:space="0" w:color="auto"/>
        <w:right w:val="none" w:sz="0" w:space="0" w:color="auto"/>
      </w:divBdr>
    </w:div>
    <w:div w:id="1191870383">
      <w:bodyDiv w:val="1"/>
      <w:marLeft w:val="0"/>
      <w:marRight w:val="0"/>
      <w:marTop w:val="0"/>
      <w:marBottom w:val="0"/>
      <w:divBdr>
        <w:top w:val="none" w:sz="0" w:space="0" w:color="auto"/>
        <w:left w:val="none" w:sz="0" w:space="0" w:color="auto"/>
        <w:bottom w:val="none" w:sz="0" w:space="0" w:color="auto"/>
        <w:right w:val="none" w:sz="0" w:space="0" w:color="auto"/>
      </w:divBdr>
    </w:div>
    <w:div w:id="1256401094">
      <w:bodyDiv w:val="1"/>
      <w:marLeft w:val="0"/>
      <w:marRight w:val="0"/>
      <w:marTop w:val="0"/>
      <w:marBottom w:val="0"/>
      <w:divBdr>
        <w:top w:val="none" w:sz="0" w:space="0" w:color="auto"/>
        <w:left w:val="none" w:sz="0" w:space="0" w:color="auto"/>
        <w:bottom w:val="none" w:sz="0" w:space="0" w:color="auto"/>
        <w:right w:val="none" w:sz="0" w:space="0" w:color="auto"/>
      </w:divBdr>
      <w:divsChild>
        <w:div w:id="1883513680">
          <w:marLeft w:val="0"/>
          <w:marRight w:val="0"/>
          <w:marTop w:val="0"/>
          <w:marBottom w:val="0"/>
          <w:divBdr>
            <w:top w:val="none" w:sz="0" w:space="0" w:color="auto"/>
            <w:left w:val="none" w:sz="0" w:space="0" w:color="auto"/>
            <w:bottom w:val="none" w:sz="0" w:space="0" w:color="auto"/>
            <w:right w:val="none" w:sz="0" w:space="0" w:color="auto"/>
          </w:divBdr>
          <w:divsChild>
            <w:div w:id="234055186">
              <w:marLeft w:val="0"/>
              <w:marRight w:val="0"/>
              <w:marTop w:val="0"/>
              <w:marBottom w:val="0"/>
              <w:divBdr>
                <w:top w:val="none" w:sz="0" w:space="0" w:color="auto"/>
                <w:left w:val="none" w:sz="0" w:space="0" w:color="auto"/>
                <w:bottom w:val="none" w:sz="0" w:space="0" w:color="auto"/>
                <w:right w:val="none" w:sz="0" w:space="0" w:color="auto"/>
              </w:divBdr>
              <w:divsChild>
                <w:div w:id="102505261">
                  <w:marLeft w:val="-8"/>
                  <w:marRight w:val="0"/>
                  <w:marTop w:val="0"/>
                  <w:marBottom w:val="0"/>
                  <w:divBdr>
                    <w:top w:val="none" w:sz="0" w:space="0" w:color="auto"/>
                    <w:left w:val="none" w:sz="0" w:space="0" w:color="auto"/>
                    <w:bottom w:val="none" w:sz="0" w:space="0" w:color="auto"/>
                    <w:right w:val="none" w:sz="0" w:space="0" w:color="auto"/>
                  </w:divBdr>
                  <w:divsChild>
                    <w:div w:id="884022084">
                      <w:marLeft w:val="0"/>
                      <w:marRight w:val="0"/>
                      <w:marTop w:val="0"/>
                      <w:marBottom w:val="0"/>
                      <w:divBdr>
                        <w:top w:val="none" w:sz="0" w:space="0" w:color="auto"/>
                        <w:left w:val="none" w:sz="0" w:space="0" w:color="auto"/>
                        <w:bottom w:val="none" w:sz="0" w:space="0" w:color="auto"/>
                        <w:right w:val="none" w:sz="0" w:space="0" w:color="auto"/>
                      </w:divBdr>
                      <w:divsChild>
                        <w:div w:id="1707290799">
                          <w:marLeft w:val="0"/>
                          <w:marRight w:val="-8"/>
                          <w:marTop w:val="0"/>
                          <w:marBottom w:val="0"/>
                          <w:divBdr>
                            <w:top w:val="none" w:sz="0" w:space="0" w:color="auto"/>
                            <w:left w:val="none" w:sz="0" w:space="0" w:color="auto"/>
                            <w:bottom w:val="none" w:sz="0" w:space="0" w:color="auto"/>
                            <w:right w:val="none" w:sz="0" w:space="0" w:color="auto"/>
                          </w:divBdr>
                          <w:divsChild>
                            <w:div w:id="1230654041">
                              <w:marLeft w:val="0"/>
                              <w:marRight w:val="0"/>
                              <w:marTop w:val="0"/>
                              <w:marBottom w:val="0"/>
                              <w:divBdr>
                                <w:top w:val="none" w:sz="0" w:space="0" w:color="auto"/>
                                <w:left w:val="none" w:sz="0" w:space="0" w:color="auto"/>
                                <w:bottom w:val="none" w:sz="0" w:space="0" w:color="auto"/>
                                <w:right w:val="none" w:sz="0" w:space="0" w:color="auto"/>
                              </w:divBdr>
                              <w:divsChild>
                                <w:div w:id="2074808330">
                                  <w:marLeft w:val="0"/>
                                  <w:marRight w:val="0"/>
                                  <w:marTop w:val="0"/>
                                  <w:marBottom w:val="0"/>
                                  <w:divBdr>
                                    <w:top w:val="none" w:sz="0" w:space="0" w:color="auto"/>
                                    <w:left w:val="none" w:sz="0" w:space="0" w:color="auto"/>
                                    <w:bottom w:val="none" w:sz="0" w:space="0" w:color="auto"/>
                                    <w:right w:val="none" w:sz="0" w:space="0" w:color="auto"/>
                                  </w:divBdr>
                                  <w:divsChild>
                                    <w:div w:id="289823233">
                                      <w:marLeft w:val="0"/>
                                      <w:marRight w:val="0"/>
                                      <w:marTop w:val="0"/>
                                      <w:marBottom w:val="0"/>
                                      <w:divBdr>
                                        <w:top w:val="none" w:sz="0" w:space="0" w:color="auto"/>
                                        <w:left w:val="none" w:sz="0" w:space="0" w:color="auto"/>
                                        <w:bottom w:val="none" w:sz="0" w:space="0" w:color="auto"/>
                                        <w:right w:val="none" w:sz="0" w:space="0" w:color="auto"/>
                                      </w:divBdr>
                                      <w:divsChild>
                                        <w:div w:id="164901568">
                                          <w:marLeft w:val="0"/>
                                          <w:marRight w:val="0"/>
                                          <w:marTop w:val="0"/>
                                          <w:marBottom w:val="0"/>
                                          <w:divBdr>
                                            <w:top w:val="none" w:sz="0" w:space="0" w:color="auto"/>
                                            <w:left w:val="none" w:sz="0" w:space="0" w:color="auto"/>
                                            <w:bottom w:val="none" w:sz="0" w:space="0" w:color="auto"/>
                                            <w:right w:val="none" w:sz="0" w:space="0" w:color="auto"/>
                                          </w:divBdr>
                                          <w:divsChild>
                                            <w:div w:id="1368608116">
                                              <w:marLeft w:val="0"/>
                                              <w:marRight w:val="0"/>
                                              <w:marTop w:val="0"/>
                                              <w:marBottom w:val="0"/>
                                              <w:divBdr>
                                                <w:top w:val="none" w:sz="0" w:space="0" w:color="auto"/>
                                                <w:left w:val="none" w:sz="0" w:space="0" w:color="auto"/>
                                                <w:bottom w:val="none" w:sz="0" w:space="0" w:color="auto"/>
                                                <w:right w:val="none" w:sz="0" w:space="0" w:color="auto"/>
                                              </w:divBdr>
                                              <w:divsChild>
                                                <w:div w:id="1837647519">
                                                  <w:marLeft w:val="0"/>
                                                  <w:marRight w:val="0"/>
                                                  <w:marTop w:val="0"/>
                                                  <w:marBottom w:val="0"/>
                                                  <w:divBdr>
                                                    <w:top w:val="none" w:sz="0" w:space="0" w:color="auto"/>
                                                    <w:left w:val="none" w:sz="0" w:space="0" w:color="auto"/>
                                                    <w:bottom w:val="none" w:sz="0" w:space="0" w:color="auto"/>
                                                    <w:right w:val="none" w:sz="0" w:space="0" w:color="auto"/>
                                                  </w:divBdr>
                                                  <w:divsChild>
                                                    <w:div w:id="1373115503">
                                                      <w:marLeft w:val="0"/>
                                                      <w:marRight w:val="0"/>
                                                      <w:marTop w:val="0"/>
                                                      <w:marBottom w:val="75"/>
                                                      <w:divBdr>
                                                        <w:top w:val="none" w:sz="0" w:space="0" w:color="auto"/>
                                                        <w:left w:val="none" w:sz="0" w:space="0" w:color="auto"/>
                                                        <w:bottom w:val="none" w:sz="0" w:space="0" w:color="auto"/>
                                                        <w:right w:val="none" w:sz="0" w:space="0" w:color="auto"/>
                                                      </w:divBdr>
                                                      <w:divsChild>
                                                        <w:div w:id="1801412857">
                                                          <w:marLeft w:val="0"/>
                                                          <w:marRight w:val="0"/>
                                                          <w:marTop w:val="0"/>
                                                          <w:marBottom w:val="0"/>
                                                          <w:divBdr>
                                                            <w:top w:val="none" w:sz="0" w:space="0" w:color="auto"/>
                                                            <w:left w:val="none" w:sz="0" w:space="0" w:color="auto"/>
                                                            <w:bottom w:val="none" w:sz="0" w:space="0" w:color="auto"/>
                                                            <w:right w:val="none" w:sz="0" w:space="0" w:color="auto"/>
                                                          </w:divBdr>
                                                          <w:divsChild>
                                                            <w:div w:id="159195885">
                                                              <w:marLeft w:val="0"/>
                                                              <w:marRight w:val="0"/>
                                                              <w:marTop w:val="0"/>
                                                              <w:marBottom w:val="0"/>
                                                              <w:divBdr>
                                                                <w:top w:val="none" w:sz="0" w:space="0" w:color="auto"/>
                                                                <w:left w:val="none" w:sz="0" w:space="0" w:color="auto"/>
                                                                <w:bottom w:val="none" w:sz="0" w:space="0" w:color="auto"/>
                                                                <w:right w:val="none" w:sz="0" w:space="0" w:color="auto"/>
                                                              </w:divBdr>
                                                              <w:divsChild>
                                                                <w:div w:id="387338219">
                                                                  <w:marLeft w:val="0"/>
                                                                  <w:marRight w:val="0"/>
                                                                  <w:marTop w:val="0"/>
                                                                  <w:marBottom w:val="0"/>
                                                                  <w:divBdr>
                                                                    <w:top w:val="none" w:sz="0" w:space="0" w:color="auto"/>
                                                                    <w:left w:val="none" w:sz="0" w:space="0" w:color="auto"/>
                                                                    <w:bottom w:val="none" w:sz="0" w:space="0" w:color="auto"/>
                                                                    <w:right w:val="none" w:sz="0" w:space="0" w:color="auto"/>
                                                                  </w:divBdr>
                                                                  <w:divsChild>
                                                                    <w:div w:id="1370109252">
                                                                      <w:marLeft w:val="0"/>
                                                                      <w:marRight w:val="0"/>
                                                                      <w:marTop w:val="0"/>
                                                                      <w:marBottom w:val="0"/>
                                                                      <w:divBdr>
                                                                        <w:top w:val="none" w:sz="0" w:space="0" w:color="auto"/>
                                                                        <w:left w:val="none" w:sz="0" w:space="0" w:color="auto"/>
                                                                        <w:bottom w:val="none" w:sz="0" w:space="0" w:color="auto"/>
                                                                        <w:right w:val="none" w:sz="0" w:space="0" w:color="auto"/>
                                                                      </w:divBdr>
                                                                      <w:divsChild>
                                                                        <w:div w:id="789738246">
                                                                          <w:marLeft w:val="0"/>
                                                                          <w:marRight w:val="0"/>
                                                                          <w:marTop w:val="0"/>
                                                                          <w:marBottom w:val="0"/>
                                                                          <w:divBdr>
                                                                            <w:top w:val="none" w:sz="0" w:space="0" w:color="auto"/>
                                                                            <w:left w:val="none" w:sz="0" w:space="0" w:color="auto"/>
                                                                            <w:bottom w:val="none" w:sz="0" w:space="0" w:color="auto"/>
                                                                            <w:right w:val="none" w:sz="0" w:space="0" w:color="auto"/>
                                                                          </w:divBdr>
                                                                          <w:divsChild>
                                                                            <w:div w:id="18177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564254">
      <w:bodyDiv w:val="1"/>
      <w:marLeft w:val="0"/>
      <w:marRight w:val="0"/>
      <w:marTop w:val="0"/>
      <w:marBottom w:val="0"/>
      <w:divBdr>
        <w:top w:val="none" w:sz="0" w:space="0" w:color="auto"/>
        <w:left w:val="none" w:sz="0" w:space="0" w:color="auto"/>
        <w:bottom w:val="none" w:sz="0" w:space="0" w:color="auto"/>
        <w:right w:val="none" w:sz="0" w:space="0" w:color="auto"/>
      </w:divBdr>
    </w:div>
    <w:div w:id="1310473426">
      <w:bodyDiv w:val="1"/>
      <w:marLeft w:val="0"/>
      <w:marRight w:val="0"/>
      <w:marTop w:val="0"/>
      <w:marBottom w:val="0"/>
      <w:divBdr>
        <w:top w:val="none" w:sz="0" w:space="0" w:color="auto"/>
        <w:left w:val="none" w:sz="0" w:space="0" w:color="auto"/>
        <w:bottom w:val="none" w:sz="0" w:space="0" w:color="auto"/>
        <w:right w:val="none" w:sz="0" w:space="0" w:color="auto"/>
      </w:divBdr>
    </w:div>
    <w:div w:id="1365980448">
      <w:bodyDiv w:val="1"/>
      <w:marLeft w:val="0"/>
      <w:marRight w:val="0"/>
      <w:marTop w:val="0"/>
      <w:marBottom w:val="0"/>
      <w:divBdr>
        <w:top w:val="none" w:sz="0" w:space="0" w:color="auto"/>
        <w:left w:val="none" w:sz="0" w:space="0" w:color="auto"/>
        <w:bottom w:val="none" w:sz="0" w:space="0" w:color="auto"/>
        <w:right w:val="none" w:sz="0" w:space="0" w:color="auto"/>
      </w:divBdr>
    </w:div>
    <w:div w:id="1479764596">
      <w:bodyDiv w:val="1"/>
      <w:marLeft w:val="0"/>
      <w:marRight w:val="0"/>
      <w:marTop w:val="0"/>
      <w:marBottom w:val="0"/>
      <w:divBdr>
        <w:top w:val="none" w:sz="0" w:space="0" w:color="auto"/>
        <w:left w:val="none" w:sz="0" w:space="0" w:color="auto"/>
        <w:bottom w:val="none" w:sz="0" w:space="0" w:color="auto"/>
        <w:right w:val="none" w:sz="0" w:space="0" w:color="auto"/>
      </w:divBdr>
    </w:div>
    <w:div w:id="1510557110">
      <w:bodyDiv w:val="1"/>
      <w:marLeft w:val="0"/>
      <w:marRight w:val="0"/>
      <w:marTop w:val="0"/>
      <w:marBottom w:val="0"/>
      <w:divBdr>
        <w:top w:val="none" w:sz="0" w:space="0" w:color="auto"/>
        <w:left w:val="none" w:sz="0" w:space="0" w:color="auto"/>
        <w:bottom w:val="none" w:sz="0" w:space="0" w:color="auto"/>
        <w:right w:val="none" w:sz="0" w:space="0" w:color="auto"/>
      </w:divBdr>
    </w:div>
    <w:div w:id="1520002199">
      <w:bodyDiv w:val="1"/>
      <w:marLeft w:val="0"/>
      <w:marRight w:val="0"/>
      <w:marTop w:val="0"/>
      <w:marBottom w:val="0"/>
      <w:divBdr>
        <w:top w:val="none" w:sz="0" w:space="0" w:color="auto"/>
        <w:left w:val="none" w:sz="0" w:space="0" w:color="auto"/>
        <w:bottom w:val="none" w:sz="0" w:space="0" w:color="auto"/>
        <w:right w:val="none" w:sz="0" w:space="0" w:color="auto"/>
      </w:divBdr>
    </w:div>
    <w:div w:id="1564831686">
      <w:bodyDiv w:val="1"/>
      <w:marLeft w:val="0"/>
      <w:marRight w:val="0"/>
      <w:marTop w:val="0"/>
      <w:marBottom w:val="0"/>
      <w:divBdr>
        <w:top w:val="none" w:sz="0" w:space="0" w:color="auto"/>
        <w:left w:val="none" w:sz="0" w:space="0" w:color="auto"/>
        <w:bottom w:val="none" w:sz="0" w:space="0" w:color="auto"/>
        <w:right w:val="none" w:sz="0" w:space="0" w:color="auto"/>
      </w:divBdr>
    </w:div>
    <w:div w:id="1589727151">
      <w:bodyDiv w:val="1"/>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0"/>
          <w:marBottom w:val="0"/>
          <w:divBdr>
            <w:top w:val="none" w:sz="0" w:space="0" w:color="auto"/>
            <w:left w:val="none" w:sz="0" w:space="0" w:color="auto"/>
            <w:bottom w:val="none" w:sz="0" w:space="0" w:color="auto"/>
            <w:right w:val="none" w:sz="0" w:space="0" w:color="auto"/>
          </w:divBdr>
          <w:divsChild>
            <w:div w:id="1091270397">
              <w:marLeft w:val="0"/>
              <w:marRight w:val="0"/>
              <w:marTop w:val="0"/>
              <w:marBottom w:val="0"/>
              <w:divBdr>
                <w:top w:val="none" w:sz="0" w:space="0" w:color="auto"/>
                <w:left w:val="none" w:sz="0" w:space="0" w:color="auto"/>
                <w:bottom w:val="none" w:sz="0" w:space="0" w:color="auto"/>
                <w:right w:val="none" w:sz="0" w:space="0" w:color="auto"/>
              </w:divBdr>
              <w:divsChild>
                <w:div w:id="1695963060">
                  <w:marLeft w:val="-8"/>
                  <w:marRight w:val="0"/>
                  <w:marTop w:val="0"/>
                  <w:marBottom w:val="0"/>
                  <w:divBdr>
                    <w:top w:val="none" w:sz="0" w:space="0" w:color="auto"/>
                    <w:left w:val="none" w:sz="0" w:space="0" w:color="auto"/>
                    <w:bottom w:val="none" w:sz="0" w:space="0" w:color="auto"/>
                    <w:right w:val="none" w:sz="0" w:space="0" w:color="auto"/>
                  </w:divBdr>
                  <w:divsChild>
                    <w:div w:id="323360842">
                      <w:marLeft w:val="0"/>
                      <w:marRight w:val="0"/>
                      <w:marTop w:val="0"/>
                      <w:marBottom w:val="0"/>
                      <w:divBdr>
                        <w:top w:val="none" w:sz="0" w:space="0" w:color="auto"/>
                        <w:left w:val="none" w:sz="0" w:space="0" w:color="auto"/>
                        <w:bottom w:val="none" w:sz="0" w:space="0" w:color="auto"/>
                        <w:right w:val="none" w:sz="0" w:space="0" w:color="auto"/>
                      </w:divBdr>
                      <w:divsChild>
                        <w:div w:id="49816746">
                          <w:marLeft w:val="0"/>
                          <w:marRight w:val="-8"/>
                          <w:marTop w:val="0"/>
                          <w:marBottom w:val="0"/>
                          <w:divBdr>
                            <w:top w:val="none" w:sz="0" w:space="0" w:color="auto"/>
                            <w:left w:val="none" w:sz="0" w:space="0" w:color="auto"/>
                            <w:bottom w:val="none" w:sz="0" w:space="0" w:color="auto"/>
                            <w:right w:val="none" w:sz="0" w:space="0" w:color="auto"/>
                          </w:divBdr>
                          <w:divsChild>
                            <w:div w:id="1750690046">
                              <w:marLeft w:val="0"/>
                              <w:marRight w:val="0"/>
                              <w:marTop w:val="0"/>
                              <w:marBottom w:val="0"/>
                              <w:divBdr>
                                <w:top w:val="none" w:sz="0" w:space="0" w:color="auto"/>
                                <w:left w:val="none" w:sz="0" w:space="0" w:color="auto"/>
                                <w:bottom w:val="none" w:sz="0" w:space="0" w:color="auto"/>
                                <w:right w:val="none" w:sz="0" w:space="0" w:color="auto"/>
                              </w:divBdr>
                              <w:divsChild>
                                <w:div w:id="395053042">
                                  <w:marLeft w:val="0"/>
                                  <w:marRight w:val="0"/>
                                  <w:marTop w:val="0"/>
                                  <w:marBottom w:val="0"/>
                                  <w:divBdr>
                                    <w:top w:val="none" w:sz="0" w:space="0" w:color="auto"/>
                                    <w:left w:val="none" w:sz="0" w:space="0" w:color="auto"/>
                                    <w:bottom w:val="none" w:sz="0" w:space="0" w:color="auto"/>
                                    <w:right w:val="none" w:sz="0" w:space="0" w:color="auto"/>
                                  </w:divBdr>
                                  <w:divsChild>
                                    <w:div w:id="1702703698">
                                      <w:marLeft w:val="0"/>
                                      <w:marRight w:val="0"/>
                                      <w:marTop w:val="0"/>
                                      <w:marBottom w:val="0"/>
                                      <w:divBdr>
                                        <w:top w:val="none" w:sz="0" w:space="0" w:color="auto"/>
                                        <w:left w:val="none" w:sz="0" w:space="0" w:color="auto"/>
                                        <w:bottom w:val="none" w:sz="0" w:space="0" w:color="auto"/>
                                        <w:right w:val="none" w:sz="0" w:space="0" w:color="auto"/>
                                      </w:divBdr>
                                      <w:divsChild>
                                        <w:div w:id="354114946">
                                          <w:marLeft w:val="0"/>
                                          <w:marRight w:val="0"/>
                                          <w:marTop w:val="0"/>
                                          <w:marBottom w:val="0"/>
                                          <w:divBdr>
                                            <w:top w:val="none" w:sz="0" w:space="0" w:color="auto"/>
                                            <w:left w:val="none" w:sz="0" w:space="0" w:color="auto"/>
                                            <w:bottom w:val="none" w:sz="0" w:space="0" w:color="auto"/>
                                            <w:right w:val="none" w:sz="0" w:space="0" w:color="auto"/>
                                          </w:divBdr>
                                          <w:divsChild>
                                            <w:div w:id="909343433">
                                              <w:marLeft w:val="0"/>
                                              <w:marRight w:val="0"/>
                                              <w:marTop w:val="0"/>
                                              <w:marBottom w:val="0"/>
                                              <w:divBdr>
                                                <w:top w:val="none" w:sz="0" w:space="0" w:color="auto"/>
                                                <w:left w:val="none" w:sz="0" w:space="0" w:color="auto"/>
                                                <w:bottom w:val="none" w:sz="0" w:space="0" w:color="auto"/>
                                                <w:right w:val="none" w:sz="0" w:space="0" w:color="auto"/>
                                              </w:divBdr>
                                              <w:divsChild>
                                                <w:div w:id="1337540447">
                                                  <w:marLeft w:val="0"/>
                                                  <w:marRight w:val="0"/>
                                                  <w:marTop w:val="0"/>
                                                  <w:marBottom w:val="0"/>
                                                  <w:divBdr>
                                                    <w:top w:val="none" w:sz="0" w:space="0" w:color="auto"/>
                                                    <w:left w:val="none" w:sz="0" w:space="0" w:color="auto"/>
                                                    <w:bottom w:val="none" w:sz="0" w:space="0" w:color="auto"/>
                                                    <w:right w:val="none" w:sz="0" w:space="0" w:color="auto"/>
                                                  </w:divBdr>
                                                  <w:divsChild>
                                                    <w:div w:id="1832868552">
                                                      <w:marLeft w:val="0"/>
                                                      <w:marRight w:val="0"/>
                                                      <w:marTop w:val="0"/>
                                                      <w:marBottom w:val="75"/>
                                                      <w:divBdr>
                                                        <w:top w:val="none" w:sz="0" w:space="0" w:color="auto"/>
                                                        <w:left w:val="none" w:sz="0" w:space="0" w:color="auto"/>
                                                        <w:bottom w:val="none" w:sz="0" w:space="0" w:color="auto"/>
                                                        <w:right w:val="none" w:sz="0" w:space="0" w:color="auto"/>
                                                      </w:divBdr>
                                                      <w:divsChild>
                                                        <w:div w:id="1074593998">
                                                          <w:marLeft w:val="0"/>
                                                          <w:marRight w:val="0"/>
                                                          <w:marTop w:val="0"/>
                                                          <w:marBottom w:val="0"/>
                                                          <w:divBdr>
                                                            <w:top w:val="none" w:sz="0" w:space="0" w:color="auto"/>
                                                            <w:left w:val="none" w:sz="0" w:space="0" w:color="auto"/>
                                                            <w:bottom w:val="none" w:sz="0" w:space="0" w:color="auto"/>
                                                            <w:right w:val="none" w:sz="0" w:space="0" w:color="auto"/>
                                                          </w:divBdr>
                                                          <w:divsChild>
                                                            <w:div w:id="2027948288">
                                                              <w:marLeft w:val="0"/>
                                                              <w:marRight w:val="0"/>
                                                              <w:marTop w:val="0"/>
                                                              <w:marBottom w:val="0"/>
                                                              <w:divBdr>
                                                                <w:top w:val="none" w:sz="0" w:space="0" w:color="auto"/>
                                                                <w:left w:val="none" w:sz="0" w:space="0" w:color="auto"/>
                                                                <w:bottom w:val="none" w:sz="0" w:space="0" w:color="auto"/>
                                                                <w:right w:val="none" w:sz="0" w:space="0" w:color="auto"/>
                                                              </w:divBdr>
                                                              <w:divsChild>
                                                                <w:div w:id="2075353878">
                                                                  <w:marLeft w:val="0"/>
                                                                  <w:marRight w:val="0"/>
                                                                  <w:marTop w:val="0"/>
                                                                  <w:marBottom w:val="0"/>
                                                                  <w:divBdr>
                                                                    <w:top w:val="none" w:sz="0" w:space="0" w:color="auto"/>
                                                                    <w:left w:val="none" w:sz="0" w:space="0" w:color="auto"/>
                                                                    <w:bottom w:val="none" w:sz="0" w:space="0" w:color="auto"/>
                                                                    <w:right w:val="none" w:sz="0" w:space="0" w:color="auto"/>
                                                                  </w:divBdr>
                                                                  <w:divsChild>
                                                                    <w:div w:id="1283457254">
                                                                      <w:marLeft w:val="0"/>
                                                                      <w:marRight w:val="0"/>
                                                                      <w:marTop w:val="0"/>
                                                                      <w:marBottom w:val="0"/>
                                                                      <w:divBdr>
                                                                        <w:top w:val="none" w:sz="0" w:space="0" w:color="auto"/>
                                                                        <w:left w:val="none" w:sz="0" w:space="0" w:color="auto"/>
                                                                        <w:bottom w:val="none" w:sz="0" w:space="0" w:color="auto"/>
                                                                        <w:right w:val="none" w:sz="0" w:space="0" w:color="auto"/>
                                                                      </w:divBdr>
                                                                      <w:divsChild>
                                                                        <w:div w:id="608052949">
                                                                          <w:marLeft w:val="0"/>
                                                                          <w:marRight w:val="0"/>
                                                                          <w:marTop w:val="0"/>
                                                                          <w:marBottom w:val="0"/>
                                                                          <w:divBdr>
                                                                            <w:top w:val="none" w:sz="0" w:space="0" w:color="auto"/>
                                                                            <w:left w:val="none" w:sz="0" w:space="0" w:color="auto"/>
                                                                            <w:bottom w:val="none" w:sz="0" w:space="0" w:color="auto"/>
                                                                            <w:right w:val="none" w:sz="0" w:space="0" w:color="auto"/>
                                                                          </w:divBdr>
                                                                          <w:divsChild>
                                                                            <w:div w:id="974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880872">
      <w:bodyDiv w:val="1"/>
      <w:marLeft w:val="0"/>
      <w:marRight w:val="0"/>
      <w:marTop w:val="0"/>
      <w:marBottom w:val="0"/>
      <w:divBdr>
        <w:top w:val="none" w:sz="0" w:space="0" w:color="auto"/>
        <w:left w:val="none" w:sz="0" w:space="0" w:color="auto"/>
        <w:bottom w:val="none" w:sz="0" w:space="0" w:color="auto"/>
        <w:right w:val="none" w:sz="0" w:space="0" w:color="auto"/>
      </w:divBdr>
    </w:div>
    <w:div w:id="1792553392">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900893707">
      <w:bodyDiv w:val="1"/>
      <w:marLeft w:val="0"/>
      <w:marRight w:val="0"/>
      <w:marTop w:val="0"/>
      <w:marBottom w:val="0"/>
      <w:divBdr>
        <w:top w:val="none" w:sz="0" w:space="0" w:color="auto"/>
        <w:left w:val="none" w:sz="0" w:space="0" w:color="auto"/>
        <w:bottom w:val="none" w:sz="0" w:space="0" w:color="auto"/>
        <w:right w:val="none" w:sz="0" w:space="0" w:color="auto"/>
      </w:divBdr>
    </w:div>
    <w:div w:id="1945726070">
      <w:bodyDiv w:val="1"/>
      <w:marLeft w:val="0"/>
      <w:marRight w:val="0"/>
      <w:marTop w:val="0"/>
      <w:marBottom w:val="0"/>
      <w:divBdr>
        <w:top w:val="none" w:sz="0" w:space="0" w:color="auto"/>
        <w:left w:val="none" w:sz="0" w:space="0" w:color="auto"/>
        <w:bottom w:val="none" w:sz="0" w:space="0" w:color="auto"/>
        <w:right w:val="none" w:sz="0" w:space="0" w:color="auto"/>
      </w:divBdr>
    </w:div>
    <w:div w:id="1976174332">
      <w:bodyDiv w:val="1"/>
      <w:marLeft w:val="0"/>
      <w:marRight w:val="0"/>
      <w:marTop w:val="0"/>
      <w:marBottom w:val="0"/>
      <w:divBdr>
        <w:top w:val="none" w:sz="0" w:space="0" w:color="auto"/>
        <w:left w:val="none" w:sz="0" w:space="0" w:color="auto"/>
        <w:bottom w:val="none" w:sz="0" w:space="0" w:color="auto"/>
        <w:right w:val="none" w:sz="0" w:space="0" w:color="auto"/>
      </w:divBdr>
    </w:div>
    <w:div w:id="20835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24-05-s.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s/2024-05-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s/2023-06-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ccat.int/Documents/Recs/compendiopdf-s/2023-06-s.pdf" TargetMode="External"/><Relationship Id="rId4" Type="http://schemas.openxmlformats.org/officeDocument/2006/relationships/settings" Target="settings.xml"/><Relationship Id="rId9" Type="http://schemas.openxmlformats.org/officeDocument/2006/relationships/hyperlink" Target="https://www.iccat.int/Documents/Recs/compendiopdf-s/2022-08-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A63E-EB29-44E0-9930-5685EA25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2453</Words>
  <Characters>17480</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2025-11-15T10:50:00Z</dcterms:created>
  <dcterms:modified xsi:type="dcterms:W3CDTF">2025-11-15T15:59:00Z</dcterms:modified>
</cp:coreProperties>
</file>