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FA8E5" w14:textId="77777777" w:rsidR="00471200" w:rsidRPr="00F36743" w:rsidRDefault="00471200" w:rsidP="00F36743">
      <w:pPr>
        <w:jc w:val="right"/>
        <w:rPr>
          <w:rFonts w:ascii="Cambria" w:hAnsi="Cambria"/>
          <w:b/>
          <w:bCs/>
          <w:sz w:val="20"/>
          <w:szCs w:val="20"/>
        </w:rPr>
      </w:pPr>
      <w:r>
        <w:rPr>
          <w:rFonts w:ascii="Cambria" w:hAnsi="Cambria"/>
          <w:b/>
          <w:bCs/>
          <w:sz w:val="20"/>
        </w:rPr>
        <w:t>Original :</w:t>
      </w:r>
      <w:r>
        <w:rPr>
          <w:rFonts w:ascii="Cambria" w:hAnsi="Cambria"/>
          <w:b/>
          <w:sz w:val="20"/>
        </w:rPr>
        <w:t xml:space="preserve">  </w:t>
      </w:r>
      <w:r>
        <w:rPr>
          <w:rFonts w:ascii="Cambria" w:hAnsi="Cambria"/>
          <w:b/>
          <w:bCs/>
          <w:sz w:val="20"/>
        </w:rPr>
        <w:t>anglais</w:t>
      </w:r>
    </w:p>
    <w:p w14:paraId="478F4337" w14:textId="77777777" w:rsidR="003464A5" w:rsidRPr="000E7778" w:rsidRDefault="003464A5" w:rsidP="00F36743">
      <w:pPr>
        <w:jc w:val="both"/>
        <w:rPr>
          <w:rFonts w:ascii="Cambria" w:hAnsi="Cambria"/>
          <w:b/>
          <w:sz w:val="20"/>
          <w:szCs w:val="20"/>
        </w:rPr>
      </w:pPr>
    </w:p>
    <w:p w14:paraId="6ED4C41D" w14:textId="77777777" w:rsidR="00274BA3" w:rsidRPr="00D15906" w:rsidRDefault="00274BA3" w:rsidP="00F36743">
      <w:pPr>
        <w:jc w:val="center"/>
        <w:rPr>
          <w:rFonts w:ascii="Cambria" w:hAnsi="Cambria"/>
          <w:b/>
          <w:sz w:val="20"/>
          <w:szCs w:val="20"/>
        </w:rPr>
      </w:pPr>
      <w:r>
        <w:rPr>
          <w:rFonts w:ascii="Cambria" w:hAnsi="Cambria"/>
          <w:b/>
          <w:sz w:val="20"/>
        </w:rPr>
        <w:t xml:space="preserve">Rapport sur la mise en œuvre du Programme </w:t>
      </w:r>
    </w:p>
    <w:p w14:paraId="737488FD" w14:textId="53520D38" w:rsidR="00274BA3" w:rsidRPr="00D15906" w:rsidRDefault="00274BA3" w:rsidP="00F36743">
      <w:pPr>
        <w:jc w:val="center"/>
        <w:rPr>
          <w:rFonts w:ascii="Cambria" w:hAnsi="Cambria"/>
          <w:b/>
          <w:sz w:val="20"/>
          <w:szCs w:val="20"/>
        </w:rPr>
      </w:pPr>
      <w:r>
        <w:rPr>
          <w:rFonts w:ascii="Cambria" w:hAnsi="Cambria"/>
          <w:b/>
          <w:sz w:val="20"/>
        </w:rPr>
        <w:t>régional d’observateurs de l’ICCAT pour le thon rouge de l’Atlantique Est et de la Méditerranée</w:t>
      </w:r>
    </w:p>
    <w:p w14:paraId="53D3268E" w14:textId="77777777" w:rsidR="006A5E8E" w:rsidRPr="000E7778" w:rsidRDefault="006A5E8E" w:rsidP="00F36743">
      <w:pPr>
        <w:jc w:val="center"/>
        <w:rPr>
          <w:rFonts w:ascii="Cambria" w:hAnsi="Cambria"/>
          <w:i/>
          <w:sz w:val="20"/>
          <w:szCs w:val="20"/>
        </w:rPr>
      </w:pPr>
    </w:p>
    <w:p w14:paraId="667AE7EE" w14:textId="7F6D31C0" w:rsidR="003464A5" w:rsidRPr="00D15906" w:rsidRDefault="00562209" w:rsidP="00F36743">
      <w:pPr>
        <w:jc w:val="center"/>
        <w:rPr>
          <w:rFonts w:ascii="Cambria" w:hAnsi="Cambria"/>
          <w:i/>
          <w:sz w:val="20"/>
          <w:szCs w:val="20"/>
        </w:rPr>
      </w:pPr>
      <w:r>
        <w:rPr>
          <w:rFonts w:ascii="Cambria" w:hAnsi="Cambria"/>
          <w:i/>
          <w:sz w:val="20"/>
        </w:rPr>
        <w:t>(Secrétariat de l’ICCAT)</w:t>
      </w:r>
    </w:p>
    <w:p w14:paraId="14208735" w14:textId="77777777" w:rsidR="003464A5" w:rsidRPr="000E7778" w:rsidRDefault="003464A5" w:rsidP="00F36743">
      <w:pPr>
        <w:jc w:val="both"/>
        <w:rPr>
          <w:rFonts w:ascii="Cambria" w:hAnsi="Cambria"/>
          <w:bCs/>
          <w:sz w:val="20"/>
          <w:szCs w:val="20"/>
        </w:rPr>
      </w:pPr>
    </w:p>
    <w:p w14:paraId="511BA00E" w14:textId="726BA4AD" w:rsidR="00EB190A" w:rsidRPr="00B212FD" w:rsidRDefault="003464A5" w:rsidP="00F36743">
      <w:pPr>
        <w:jc w:val="both"/>
        <w:rPr>
          <w:rStyle w:val="Hyperlink"/>
          <w:rFonts w:asciiTheme="majorHAnsi" w:hAnsiTheme="majorHAnsi"/>
          <w:bCs/>
          <w:sz w:val="20"/>
          <w:szCs w:val="20"/>
          <w:u w:val="none"/>
        </w:rPr>
      </w:pPr>
      <w:r w:rsidRPr="00B212FD">
        <w:rPr>
          <w:rFonts w:asciiTheme="majorHAnsi" w:hAnsiTheme="majorHAnsi"/>
          <w:sz w:val="20"/>
          <w:szCs w:val="20"/>
        </w:rPr>
        <w:t xml:space="preserve">Le Programme régional d’observateurs pour le thon rouge de l’Atlantique Est et de la Méditerranée (ROP-BFT) a été mis en </w:t>
      </w:r>
      <w:r w:rsidR="000E7778" w:rsidRPr="00B212FD">
        <w:rPr>
          <w:rFonts w:asciiTheme="majorHAnsi" w:hAnsiTheme="majorHAnsi"/>
          <w:sz w:val="20"/>
          <w:szCs w:val="20"/>
        </w:rPr>
        <w:t>œuvre</w:t>
      </w:r>
      <w:r w:rsidRPr="00B212FD">
        <w:rPr>
          <w:rFonts w:asciiTheme="majorHAnsi" w:hAnsiTheme="majorHAnsi"/>
          <w:sz w:val="20"/>
          <w:szCs w:val="20"/>
        </w:rPr>
        <w:t xml:space="preserve"> conformément aux dispositions de la </w:t>
      </w:r>
      <w:hyperlink r:id="rId8" w:history="1">
        <w:r w:rsidRPr="00B212FD">
          <w:rPr>
            <w:rStyle w:val="Hyperlink"/>
            <w:rFonts w:asciiTheme="majorHAnsi" w:hAnsiTheme="majorHAnsi"/>
            <w:i/>
            <w:sz w:val="20"/>
            <w:szCs w:val="20"/>
            <w:u w:val="none"/>
          </w:rPr>
          <w:t>Recommandation de l’ICCAT amendant la Recommandation 22-08 établissant un plan pluriannuel de gestion du thon rouge dans l’Atlantique Est et la Méditerranée</w:t>
        </w:r>
      </w:hyperlink>
      <w:r w:rsidR="00B212FD" w:rsidRPr="00B212FD">
        <w:rPr>
          <w:rFonts w:asciiTheme="majorHAnsi" w:hAnsiTheme="majorHAnsi"/>
          <w:i/>
          <w:sz w:val="20"/>
          <w:szCs w:val="20"/>
        </w:rPr>
        <w:t xml:space="preserve"> </w:t>
      </w:r>
      <w:hyperlink r:id="rId9" w:history="1">
        <w:r w:rsidRPr="00B212FD">
          <w:rPr>
            <w:rStyle w:val="Hyperlink"/>
            <w:rFonts w:asciiTheme="majorHAnsi" w:hAnsiTheme="majorHAnsi"/>
            <w:sz w:val="20"/>
            <w:szCs w:val="20"/>
            <w:u w:val="none"/>
          </w:rPr>
          <w:t>(Rec. 24-05</w:t>
        </w:r>
        <w:r w:rsidRPr="00B212FD">
          <w:rPr>
            <w:rStyle w:val="Hyperlink"/>
            <w:rFonts w:asciiTheme="majorHAnsi" w:hAnsiTheme="majorHAnsi"/>
            <w:sz w:val="20"/>
            <w:szCs w:val="20"/>
            <w:u w:val="none"/>
          </w:rPr>
          <w:t>)</w:t>
        </w:r>
      </w:hyperlink>
      <w:r w:rsidRPr="00B212FD">
        <w:rPr>
          <w:rFonts w:asciiTheme="majorHAnsi" w:hAnsiTheme="majorHAnsi"/>
          <w:i/>
          <w:sz w:val="20"/>
          <w:szCs w:val="20"/>
        </w:rPr>
        <w:t>.</w:t>
      </w:r>
      <w:r w:rsidRPr="00B212FD">
        <w:rPr>
          <w:rFonts w:asciiTheme="majorHAnsi" w:hAnsiTheme="majorHAnsi"/>
          <w:sz w:val="20"/>
          <w:szCs w:val="20"/>
        </w:rPr>
        <w:t xml:space="preserve"> Cette Recommandation, adoptée le 16 juin 2025, amendée et remplacée par la </w:t>
      </w:r>
      <w:hyperlink r:id="rId10" w:history="1">
        <w:r w:rsidRPr="00B212FD">
          <w:rPr>
            <w:rStyle w:val="Hyperlink"/>
            <w:rFonts w:asciiTheme="majorHAnsi" w:hAnsiTheme="majorHAnsi"/>
            <w:i/>
            <w:iCs/>
            <w:sz w:val="20"/>
            <w:szCs w:val="20"/>
            <w:u w:val="none"/>
          </w:rPr>
          <w:t>Recommandation de l’ICCAT amendant la Recommandation 21-08 établissant un plan pluriannuel de gestion du thon rouge dans l’Atlantique Est et la Méditerranée</w:t>
        </w:r>
        <w:r w:rsidRPr="00B212FD">
          <w:rPr>
            <w:rStyle w:val="Hyperlink"/>
            <w:rFonts w:asciiTheme="majorHAnsi" w:hAnsiTheme="majorHAnsi"/>
            <w:sz w:val="20"/>
            <w:szCs w:val="20"/>
            <w:u w:val="none"/>
          </w:rPr>
          <w:t xml:space="preserve"> (Rec. 22-08)</w:t>
        </w:r>
      </w:hyperlink>
      <w:r w:rsidRPr="00B212FD">
        <w:rPr>
          <w:rFonts w:asciiTheme="majorHAnsi" w:hAnsiTheme="majorHAnsi"/>
          <w:sz w:val="20"/>
          <w:szCs w:val="20"/>
        </w:rPr>
        <w:t xml:space="preserve"> et la </w:t>
      </w:r>
      <w:hyperlink r:id="rId11" w:tgtFrame="_blank" w:history="1">
        <w:r w:rsidRPr="00B212FD">
          <w:rPr>
            <w:rStyle w:val="Hyperlink"/>
            <w:rFonts w:asciiTheme="majorHAnsi" w:hAnsiTheme="majorHAnsi"/>
            <w:i/>
            <w:sz w:val="20"/>
            <w:szCs w:val="20"/>
            <w:u w:val="none"/>
          </w:rPr>
          <w:t>Recommandation de l’ICCAT amendant la Recommandation 22-08 établissant un plan pluriannuel de gestion pour le thon rouge dans l’Atlantique Est et la Méditerranée</w:t>
        </w:r>
      </w:hyperlink>
      <w:r w:rsidRPr="00B212FD">
        <w:rPr>
          <w:rStyle w:val="Hyperlink"/>
          <w:rFonts w:asciiTheme="majorHAnsi" w:hAnsiTheme="majorHAnsi"/>
          <w:i/>
          <w:sz w:val="20"/>
          <w:szCs w:val="20"/>
          <w:u w:val="none"/>
        </w:rPr>
        <w:t xml:space="preserve"> </w:t>
      </w:r>
      <w:hyperlink r:id="rId12" w:history="1">
        <w:r w:rsidRPr="00B212FD">
          <w:rPr>
            <w:rStyle w:val="Hyperlink"/>
            <w:rFonts w:asciiTheme="majorHAnsi" w:hAnsiTheme="majorHAnsi"/>
            <w:sz w:val="20"/>
            <w:szCs w:val="20"/>
            <w:u w:val="none"/>
          </w:rPr>
          <w:t>(Rec. 23-06)</w:t>
        </w:r>
      </w:hyperlink>
      <w:r w:rsidRPr="00B212FD">
        <w:rPr>
          <w:rStyle w:val="Hyperlink"/>
          <w:rFonts w:asciiTheme="majorHAnsi" w:hAnsiTheme="majorHAnsi"/>
          <w:sz w:val="20"/>
          <w:szCs w:val="20"/>
          <w:u w:val="none"/>
        </w:rPr>
        <w:t>.</w:t>
      </w:r>
    </w:p>
    <w:p w14:paraId="6284BF67" w14:textId="77777777" w:rsidR="00F36743" w:rsidRPr="000E7778" w:rsidRDefault="00F36743" w:rsidP="00F36743">
      <w:pPr>
        <w:jc w:val="both"/>
        <w:rPr>
          <w:rFonts w:ascii="Cambria" w:hAnsi="Cambria"/>
          <w:bCs/>
          <w:sz w:val="20"/>
          <w:szCs w:val="20"/>
        </w:rPr>
      </w:pPr>
    </w:p>
    <w:p w14:paraId="3EEFA564" w14:textId="749D498D" w:rsidR="003464A5" w:rsidRPr="00D15906" w:rsidRDefault="003464A5" w:rsidP="00F36743">
      <w:pPr>
        <w:autoSpaceDE w:val="0"/>
        <w:autoSpaceDN w:val="0"/>
        <w:adjustRightInd w:val="0"/>
        <w:jc w:val="both"/>
        <w:rPr>
          <w:rFonts w:ascii="Cambria" w:hAnsi="Cambria"/>
          <w:sz w:val="20"/>
          <w:szCs w:val="20"/>
        </w:rPr>
      </w:pPr>
      <w:r>
        <w:rPr>
          <w:rFonts w:ascii="Cambria" w:hAnsi="Cambria"/>
          <w:sz w:val="20"/>
        </w:rPr>
        <w:t>Les dispositions de ces Recommandations stipulent que le Secrétariat doit placer des observateurs afin d’assurer une couverture d'observation de 100% des senneurs pendant toute la saison de pêche annuelle. À cet égard, un observateur doit être présent pendant l’opération de pêche, pendant tout le transfert du thon rouge dans les cages et toute la mise à mort du poisson dans la cage, et pendant tous les transferts de thon rouge des madragues vers les cages de transport.</w:t>
      </w:r>
    </w:p>
    <w:p w14:paraId="0AA8BC75" w14:textId="77777777" w:rsidR="00311FD3" w:rsidRPr="000E7778" w:rsidRDefault="00311FD3" w:rsidP="00F36743">
      <w:pPr>
        <w:autoSpaceDE w:val="0"/>
        <w:autoSpaceDN w:val="0"/>
        <w:adjustRightInd w:val="0"/>
        <w:jc w:val="both"/>
        <w:rPr>
          <w:rFonts w:ascii="Cambria" w:hAnsi="Cambria"/>
          <w:sz w:val="20"/>
          <w:szCs w:val="20"/>
        </w:rPr>
      </w:pPr>
    </w:p>
    <w:p w14:paraId="5FE9A71D" w14:textId="1016B455" w:rsidR="003509DE" w:rsidRPr="00D15906" w:rsidRDefault="00FE7FC2" w:rsidP="00F36743">
      <w:pPr>
        <w:autoSpaceDE w:val="0"/>
        <w:autoSpaceDN w:val="0"/>
        <w:adjustRightInd w:val="0"/>
        <w:jc w:val="both"/>
        <w:rPr>
          <w:rFonts w:ascii="Cambria" w:hAnsi="Cambria"/>
          <w:b/>
          <w:sz w:val="20"/>
          <w:szCs w:val="20"/>
        </w:rPr>
      </w:pPr>
      <w:r>
        <w:rPr>
          <w:rFonts w:ascii="Cambria" w:hAnsi="Cambria"/>
          <w:b/>
          <w:sz w:val="20"/>
        </w:rPr>
        <w:t>Mise en œuvre en 2025</w:t>
      </w:r>
    </w:p>
    <w:p w14:paraId="6F8418D3" w14:textId="3F5BADD1" w:rsidR="003509DE" w:rsidRPr="00D15906" w:rsidRDefault="003509DE" w:rsidP="00F36743">
      <w:pPr>
        <w:autoSpaceDE w:val="0"/>
        <w:autoSpaceDN w:val="0"/>
        <w:adjustRightInd w:val="0"/>
        <w:jc w:val="both"/>
        <w:rPr>
          <w:rFonts w:ascii="Cambria" w:hAnsi="Cambria"/>
          <w:bCs/>
          <w:sz w:val="20"/>
          <w:szCs w:val="20"/>
        </w:rPr>
      </w:pPr>
      <w:bookmarkStart w:id="0" w:name="_Hlk52868922"/>
    </w:p>
    <w:bookmarkEnd w:id="0"/>
    <w:p w14:paraId="2E3A5010" w14:textId="69B843DA" w:rsidR="008B10B1" w:rsidRPr="00D15906" w:rsidRDefault="00EA6C30" w:rsidP="00F36743">
      <w:pPr>
        <w:jc w:val="both"/>
        <w:rPr>
          <w:rFonts w:ascii="Cambria" w:hAnsi="Cambria"/>
          <w:sz w:val="20"/>
          <w:szCs w:val="20"/>
        </w:rPr>
      </w:pPr>
      <w:r>
        <w:rPr>
          <w:rFonts w:ascii="Cambria" w:hAnsi="Cambria"/>
          <w:sz w:val="20"/>
        </w:rPr>
        <w:t xml:space="preserve">Le Secrétariat a le plaisir d’informer que des observateurs régionaux de l'ICCAT ont été embarqués à bord de tous les navires (216), pour lesquels une demande de déploiement d’observateur avait été reçue et confirmée.  Pour cette raison, le Secrétariat n’a pas diffusé de rapports préliminaires pendant la saison car les procédures spéciales convenues par la Commission en 2020 n’ont pas été invoquées. </w:t>
      </w:r>
    </w:p>
    <w:p w14:paraId="3B9AAE93" w14:textId="77777777" w:rsidR="008B10B1" w:rsidRPr="000E7778" w:rsidRDefault="008B10B1" w:rsidP="00F36743">
      <w:pPr>
        <w:jc w:val="both"/>
        <w:rPr>
          <w:rFonts w:ascii="Cambria" w:hAnsi="Cambria"/>
          <w:sz w:val="20"/>
          <w:szCs w:val="20"/>
        </w:rPr>
      </w:pPr>
    </w:p>
    <w:p w14:paraId="2348CEC6" w14:textId="5A5027D9" w:rsidR="00453900" w:rsidRPr="00D15906" w:rsidRDefault="00FA27EF" w:rsidP="00F36743">
      <w:pPr>
        <w:jc w:val="both"/>
        <w:rPr>
          <w:rFonts w:ascii="Cambria" w:hAnsi="Cambria"/>
          <w:sz w:val="20"/>
          <w:szCs w:val="20"/>
        </w:rPr>
      </w:pPr>
      <w:r>
        <w:rPr>
          <w:rFonts w:ascii="Cambria" w:hAnsi="Cambria"/>
          <w:sz w:val="20"/>
        </w:rPr>
        <w:t>Les seuls observateurs de même nationalité déployés sur des navires l'étaient sur des navires turcs, en raison de la barrière linguistique. Par ailleurs, des observateurs turcs ont été utilisés dans les fermes turques.</w:t>
      </w:r>
    </w:p>
    <w:p w14:paraId="50E6F614" w14:textId="477B3741" w:rsidR="00CF1528" w:rsidRPr="000E7778" w:rsidRDefault="00CF1528" w:rsidP="00F36743">
      <w:pPr>
        <w:jc w:val="both"/>
        <w:rPr>
          <w:rFonts w:ascii="Cambria" w:hAnsi="Cambria"/>
          <w:sz w:val="20"/>
          <w:szCs w:val="20"/>
        </w:rPr>
      </w:pPr>
    </w:p>
    <w:p w14:paraId="5D039838" w14:textId="26DBAAFE" w:rsidR="00CF1528" w:rsidRPr="00D15906" w:rsidRDefault="00EF67B8" w:rsidP="00F36743">
      <w:pPr>
        <w:jc w:val="both"/>
        <w:rPr>
          <w:rFonts w:ascii="Cambria" w:hAnsi="Cambria"/>
          <w:sz w:val="20"/>
          <w:szCs w:val="20"/>
        </w:rPr>
      </w:pPr>
      <w:r>
        <w:rPr>
          <w:rFonts w:ascii="Cambria" w:hAnsi="Cambria"/>
          <w:sz w:val="20"/>
        </w:rPr>
        <w:t>Sous l’autorité des CPC concernées, des observateurs pour des opérations de mise en cage et de mise à mort ont été partagés par l’UE-Espagne, l’UE-Croatie, l’UE-Malte, la Tunisie et la Türkiye (qui a une ferme avec trois licences, et donc trois numéros ICCAT, mais qui opère comme une seule ferme au même endroit, comme cela a été le cas depuis le lancement du programme).</w:t>
      </w:r>
    </w:p>
    <w:p w14:paraId="5800149E" w14:textId="77777777" w:rsidR="00EA6C30" w:rsidRPr="000E7778" w:rsidRDefault="00EA6C30" w:rsidP="00F36743">
      <w:pPr>
        <w:jc w:val="both"/>
        <w:rPr>
          <w:rFonts w:ascii="Cambria" w:hAnsi="Cambria"/>
          <w:sz w:val="20"/>
          <w:szCs w:val="20"/>
        </w:rPr>
      </w:pPr>
    </w:p>
    <w:p w14:paraId="06FA8C32" w14:textId="7E2D333D" w:rsidR="008D5E10" w:rsidRPr="00D15906" w:rsidRDefault="003464A5" w:rsidP="00F36743">
      <w:pPr>
        <w:jc w:val="both"/>
        <w:rPr>
          <w:rFonts w:ascii="Cambria" w:hAnsi="Cambria"/>
          <w:sz w:val="20"/>
          <w:szCs w:val="20"/>
        </w:rPr>
      </w:pPr>
      <w:r>
        <w:rPr>
          <w:rFonts w:ascii="Cambria" w:hAnsi="Cambria"/>
          <w:sz w:val="20"/>
        </w:rPr>
        <w:t xml:space="preserve">La liste des navires sous pavillon des sept CPC participant au programme figure au </w:t>
      </w:r>
      <w:r>
        <w:rPr>
          <w:rFonts w:ascii="Cambria" w:hAnsi="Cambria"/>
          <w:b/>
          <w:sz w:val="20"/>
        </w:rPr>
        <w:t>tableau 1</w:t>
      </w:r>
      <w:r>
        <w:rPr>
          <w:rFonts w:ascii="Cambria" w:hAnsi="Cambria"/>
          <w:sz w:val="20"/>
        </w:rPr>
        <w:t xml:space="preserve">. </w:t>
      </w:r>
    </w:p>
    <w:p w14:paraId="54E1155B" w14:textId="77777777" w:rsidR="008D5E10" w:rsidRPr="000E7778" w:rsidRDefault="008D5E10" w:rsidP="00F36743">
      <w:pPr>
        <w:jc w:val="both"/>
        <w:rPr>
          <w:rFonts w:ascii="Cambria" w:hAnsi="Cambria"/>
          <w:sz w:val="20"/>
          <w:szCs w:val="20"/>
        </w:rPr>
      </w:pPr>
    </w:p>
    <w:p w14:paraId="59FD30EE" w14:textId="59AA0057" w:rsidR="008D5E10" w:rsidRPr="00D15906" w:rsidRDefault="008D5E10" w:rsidP="00F36743">
      <w:pPr>
        <w:jc w:val="both"/>
        <w:rPr>
          <w:rFonts w:ascii="Cambria" w:hAnsi="Cambria"/>
          <w:sz w:val="20"/>
          <w:szCs w:val="20"/>
        </w:rPr>
      </w:pPr>
      <w:r>
        <w:rPr>
          <w:rFonts w:ascii="Cambria" w:hAnsi="Cambria"/>
          <w:sz w:val="20"/>
        </w:rPr>
        <w:t>Depuis 2009, 940</w:t>
      </w:r>
      <w:r w:rsidRPr="00D15906">
        <w:rPr>
          <w:rStyle w:val="FootnoteReference"/>
          <w:rFonts w:ascii="Cambria" w:hAnsi="Cambria"/>
          <w:sz w:val="20"/>
          <w:szCs w:val="20"/>
          <w:lang w:val="en-GB"/>
        </w:rPr>
        <w:footnoteReference w:id="1"/>
      </w:r>
      <w:r>
        <w:rPr>
          <w:rFonts w:ascii="Cambria" w:hAnsi="Cambria"/>
          <w:sz w:val="20"/>
        </w:rPr>
        <w:t xml:space="preserve"> déploiements dans des fermes et 29 déploiements sur des madragues ont été demandés, comme indiqué au </w:t>
      </w:r>
      <w:r>
        <w:rPr>
          <w:rFonts w:ascii="Cambria" w:hAnsi="Cambria"/>
          <w:b/>
          <w:sz w:val="20"/>
        </w:rPr>
        <w:t xml:space="preserve">tableau 2. </w:t>
      </w:r>
      <w:r>
        <w:rPr>
          <w:rFonts w:ascii="Cambria" w:hAnsi="Cambria"/>
          <w:sz w:val="20"/>
        </w:rPr>
        <w:t xml:space="preserve">La liste des fermes participant au programme figure au </w:t>
      </w:r>
      <w:r w:rsidRPr="005A05FD">
        <w:rPr>
          <w:rFonts w:ascii="Cambria" w:hAnsi="Cambria"/>
          <w:b/>
          <w:bCs/>
          <w:sz w:val="20"/>
        </w:rPr>
        <w:t>tableau 3</w:t>
      </w:r>
      <w:r>
        <w:rPr>
          <w:rFonts w:ascii="Cambria" w:hAnsi="Cambria"/>
          <w:sz w:val="20"/>
        </w:rPr>
        <w:t xml:space="preserve">, et une liste des madragues qui ont été observées par des observateurs régionaux est incluse au </w:t>
      </w:r>
      <w:r w:rsidRPr="005A05FD">
        <w:rPr>
          <w:rFonts w:ascii="Cambria" w:hAnsi="Cambria"/>
          <w:b/>
          <w:bCs/>
          <w:sz w:val="20"/>
        </w:rPr>
        <w:t>tableau 4</w:t>
      </w:r>
      <w:r>
        <w:rPr>
          <w:rFonts w:ascii="Cambria" w:hAnsi="Cambria"/>
          <w:sz w:val="20"/>
        </w:rPr>
        <w:t xml:space="preserve">. </w:t>
      </w:r>
    </w:p>
    <w:p w14:paraId="614AF160" w14:textId="77777777" w:rsidR="008D5E10" w:rsidRPr="000E7778" w:rsidRDefault="008D5E10" w:rsidP="00F36743">
      <w:pPr>
        <w:jc w:val="both"/>
        <w:rPr>
          <w:rFonts w:ascii="Cambria" w:hAnsi="Cambria"/>
          <w:sz w:val="20"/>
          <w:szCs w:val="20"/>
        </w:rPr>
      </w:pPr>
    </w:p>
    <w:p w14:paraId="3EB9F7EB" w14:textId="4C286A3B" w:rsidR="00FA27EF" w:rsidRPr="00D15906" w:rsidRDefault="008D5E10" w:rsidP="00F36743">
      <w:pPr>
        <w:jc w:val="both"/>
        <w:rPr>
          <w:rFonts w:ascii="Cambria" w:hAnsi="Cambria"/>
          <w:sz w:val="20"/>
          <w:szCs w:val="20"/>
        </w:rPr>
      </w:pPr>
      <w:r>
        <w:rPr>
          <w:rFonts w:ascii="Cambria" w:hAnsi="Cambria"/>
          <w:sz w:val="20"/>
        </w:rPr>
        <w:t>Tous les rapports des observate</w:t>
      </w:r>
      <w:r w:rsidRPr="00A4772E">
        <w:rPr>
          <w:rFonts w:ascii="Cambria" w:hAnsi="Cambria"/>
          <w:sz w:val="20"/>
        </w:rPr>
        <w:t>urs ont été mis à la disposition des CPC en tant qu’annexe 1 et 2 « Questions de non-application potentielle découlant des Programmes d'observateurs régionaux de l'ICCAT et réponses apportées » [COC_305/2025].</w:t>
      </w:r>
      <w:r w:rsidRPr="00A4772E">
        <w:rPr>
          <w:rFonts w:ascii="Cambria" w:hAnsi="Cambria"/>
          <w:b/>
          <w:sz w:val="20"/>
        </w:rPr>
        <w:t xml:space="preserve"> </w:t>
      </w:r>
      <w:r w:rsidRPr="00A4772E">
        <w:rPr>
          <w:rFonts w:ascii="Cambria" w:hAnsi="Cambria"/>
          <w:sz w:val="20"/>
        </w:rPr>
        <w:t>Les listes des cas de non-application potentielles détectées par les observateurs à bord des navires, ain</w:t>
      </w:r>
      <w:r>
        <w:rPr>
          <w:rFonts w:ascii="Cambria" w:hAnsi="Cambria"/>
          <w:sz w:val="20"/>
        </w:rPr>
        <w:t xml:space="preserve">si que dans les fermes et les madragues sont incluses dans les appendices 2 et 3 du document COC-305/2025, conjointement avec les réponses reçues. </w:t>
      </w:r>
    </w:p>
    <w:p w14:paraId="16219F9D" w14:textId="4C60D914" w:rsidR="002847E5" w:rsidRPr="000E7778" w:rsidRDefault="002847E5" w:rsidP="00F36743">
      <w:pPr>
        <w:jc w:val="both"/>
        <w:rPr>
          <w:rFonts w:ascii="Cambria" w:hAnsi="Cambria"/>
          <w:sz w:val="20"/>
          <w:szCs w:val="20"/>
        </w:rPr>
      </w:pPr>
    </w:p>
    <w:p w14:paraId="76FECE57" w14:textId="51432BE3" w:rsidR="002847E5" w:rsidRPr="00D15906" w:rsidRDefault="002847E5" w:rsidP="00F36743">
      <w:pPr>
        <w:jc w:val="both"/>
        <w:rPr>
          <w:rFonts w:ascii="Cambria" w:hAnsi="Cambria"/>
          <w:sz w:val="20"/>
          <w:szCs w:val="20"/>
        </w:rPr>
      </w:pPr>
      <w:r>
        <w:rPr>
          <w:rFonts w:ascii="Cambria" w:hAnsi="Cambria"/>
          <w:sz w:val="20"/>
        </w:rPr>
        <w:t>Le consortium MRAG/COFREPECHE continue à mettre en œuvre le Programme. Le rapport du Consortium, disponible à l'annexe 1, accompagné de son résumé exécutif joint à l'appendice 1, fournit de plus amples détails sur la mise en œuvre du programme.</w:t>
      </w:r>
    </w:p>
    <w:p w14:paraId="51D2E8A2" w14:textId="77777777" w:rsidR="000E7778" w:rsidRDefault="000E7778">
      <w:pPr>
        <w:rPr>
          <w:rFonts w:ascii="Cambria" w:hAnsi="Cambria"/>
          <w:sz w:val="20"/>
        </w:rPr>
      </w:pPr>
      <w:r>
        <w:rPr>
          <w:rFonts w:ascii="Cambria" w:hAnsi="Cambria"/>
          <w:sz w:val="20"/>
        </w:rPr>
        <w:br w:type="page"/>
      </w:r>
    </w:p>
    <w:p w14:paraId="18582FBD" w14:textId="2AE5ED72" w:rsidR="008D5E10" w:rsidRPr="00D15906" w:rsidRDefault="008639C3" w:rsidP="00F36743">
      <w:pPr>
        <w:jc w:val="both"/>
        <w:rPr>
          <w:rFonts w:ascii="Cambria" w:hAnsi="Cambria"/>
          <w:sz w:val="20"/>
          <w:szCs w:val="20"/>
        </w:rPr>
      </w:pPr>
      <w:r>
        <w:rPr>
          <w:rFonts w:ascii="Cambria" w:hAnsi="Cambria"/>
          <w:sz w:val="20"/>
        </w:rPr>
        <w:lastRenderedPageBreak/>
        <w:t xml:space="preserve">Le non-respect des procédures de demande de déploiements dans les fermes ou de prolongement des déploiements approuvés continue à poser des difficultés dans la mise en œuvre, par exemple : demandes après 96 heures ou demandes de déploiements d’observateurs non accompagnées de justification de paiement. Il est à noter que le Secrétariat ne peut pas traiter toute demande pour laquelle le paiement n’a pas été effectué. En outre, certaines demandes de déploiements sur des navires sont envoyées à l’avance mais annulées ultérieurement, ce qui pose des problèmes de logistique étant donné que le port d’embarquement est souvent inconnu (ou est modifié) très près de temps avant le début de la campagne. </w:t>
      </w:r>
    </w:p>
    <w:p w14:paraId="62538FF3" w14:textId="3AC63E63" w:rsidR="003537A6" w:rsidRPr="000E7778" w:rsidRDefault="003537A6" w:rsidP="00F36743">
      <w:pPr>
        <w:jc w:val="both"/>
        <w:rPr>
          <w:rFonts w:ascii="Cambria" w:hAnsi="Cambria"/>
          <w:sz w:val="20"/>
          <w:szCs w:val="20"/>
        </w:rPr>
      </w:pPr>
    </w:p>
    <w:p w14:paraId="27A02300" w14:textId="604F51C5" w:rsidR="00630AB7" w:rsidRPr="000E7778" w:rsidRDefault="00804604" w:rsidP="00F36743">
      <w:pPr>
        <w:jc w:val="both"/>
        <w:rPr>
          <w:rFonts w:asciiTheme="majorHAnsi" w:hAnsiTheme="majorHAnsi"/>
          <w:sz w:val="20"/>
          <w:szCs w:val="20"/>
        </w:rPr>
      </w:pPr>
      <w:r w:rsidRPr="000E7778">
        <w:rPr>
          <w:rFonts w:asciiTheme="majorHAnsi" w:hAnsiTheme="majorHAnsi"/>
          <w:sz w:val="20"/>
          <w:szCs w:val="20"/>
        </w:rPr>
        <w:t>En 2025, il n'était pas nécessaire de fournir au Cons</w:t>
      </w:r>
      <w:r w:rsidRPr="00C921A1">
        <w:rPr>
          <w:rFonts w:asciiTheme="majorHAnsi" w:hAnsiTheme="majorHAnsi"/>
          <w:sz w:val="20"/>
          <w:szCs w:val="20"/>
        </w:rPr>
        <w:t xml:space="preserve">ortium des scellés ICCAT supplémentaires destinés à être utilisés par les observateurs régionaux sur les cages de transport dans les cas où les transferts volontaires n'étaient pas d'une qualité suffisante pour permettre un comptage correct des poissons, conformément au paragraphe 128 de la </w:t>
      </w:r>
      <w:hyperlink r:id="rId13" w:history="1">
        <w:r w:rsidRPr="00C921A1">
          <w:rPr>
            <w:rStyle w:val="Hyperlink"/>
            <w:rFonts w:asciiTheme="majorHAnsi" w:hAnsiTheme="majorHAnsi"/>
            <w:sz w:val="20"/>
            <w:szCs w:val="20"/>
            <w:u w:val="none"/>
          </w:rPr>
          <w:t>Rec. 24-05</w:t>
        </w:r>
      </w:hyperlink>
      <w:r w:rsidRPr="00C921A1">
        <w:rPr>
          <w:rFonts w:asciiTheme="majorHAnsi" w:hAnsiTheme="majorHAnsi"/>
          <w:sz w:val="20"/>
          <w:szCs w:val="20"/>
        </w:rPr>
        <w:t>, car ils disposaient encore d'une quantité suffisante de scellés pour mener à bien ces opérations lorsque cela était néces</w:t>
      </w:r>
      <w:r w:rsidRPr="000E7778">
        <w:rPr>
          <w:rFonts w:asciiTheme="majorHAnsi" w:hAnsiTheme="majorHAnsi"/>
          <w:sz w:val="20"/>
          <w:szCs w:val="20"/>
        </w:rPr>
        <w:t>saire.</w:t>
      </w:r>
    </w:p>
    <w:p w14:paraId="187E407A" w14:textId="77777777" w:rsidR="008B10B1" w:rsidRPr="000E7778" w:rsidRDefault="008B10B1" w:rsidP="00F36743">
      <w:pPr>
        <w:jc w:val="both"/>
        <w:rPr>
          <w:rFonts w:ascii="Cambria" w:hAnsi="Cambria"/>
          <w:sz w:val="20"/>
          <w:szCs w:val="20"/>
        </w:rPr>
      </w:pPr>
    </w:p>
    <w:p w14:paraId="59685E67" w14:textId="77777777" w:rsidR="00311FD3" w:rsidRPr="00D15906" w:rsidRDefault="00311FD3" w:rsidP="00F36743">
      <w:pPr>
        <w:jc w:val="both"/>
        <w:rPr>
          <w:rFonts w:ascii="Cambria" w:hAnsi="Cambria"/>
          <w:sz w:val="20"/>
          <w:szCs w:val="20"/>
        </w:rPr>
      </w:pPr>
      <w:r>
        <w:rPr>
          <w:rFonts w:ascii="Cambria" w:hAnsi="Cambria"/>
          <w:b/>
          <w:sz w:val="20"/>
        </w:rPr>
        <w:t xml:space="preserve">Mise en œuvre future </w:t>
      </w:r>
    </w:p>
    <w:p w14:paraId="13FA7674" w14:textId="77777777" w:rsidR="00311FD3" w:rsidRPr="000E7778" w:rsidRDefault="00311FD3" w:rsidP="00F36743">
      <w:pPr>
        <w:autoSpaceDE w:val="0"/>
        <w:autoSpaceDN w:val="0"/>
        <w:adjustRightInd w:val="0"/>
        <w:jc w:val="both"/>
        <w:rPr>
          <w:rFonts w:ascii="Cambria" w:hAnsi="Cambria"/>
          <w:sz w:val="20"/>
          <w:szCs w:val="20"/>
        </w:rPr>
      </w:pPr>
    </w:p>
    <w:p w14:paraId="69010B5A" w14:textId="4AFCD5BF" w:rsidR="00F777BA" w:rsidRDefault="00F777BA" w:rsidP="00F36743">
      <w:pPr>
        <w:jc w:val="both"/>
        <w:rPr>
          <w:rFonts w:ascii="Cambria" w:hAnsi="Cambria"/>
          <w:sz w:val="20"/>
          <w:szCs w:val="20"/>
        </w:rPr>
      </w:pPr>
      <w:r>
        <w:rPr>
          <w:rFonts w:ascii="Cambria" w:hAnsi="Cambria"/>
          <w:sz w:val="20"/>
        </w:rPr>
        <w:t xml:space="preserve">Actuellement, aucun changement significatif n’est envisagé dans la mise en œuvre du ROP-BFT, à moins qu’il ne soit requis par de nouvelles mesures adoptées par la Commission. À court terme, les demandes anticipées de déploiements faciliteront le déploiement en temps opportun. </w:t>
      </w:r>
    </w:p>
    <w:p w14:paraId="54D3CA8E" w14:textId="77777777" w:rsidR="00BF307D" w:rsidRPr="000E7778" w:rsidRDefault="00BF307D" w:rsidP="00F36743">
      <w:pPr>
        <w:jc w:val="both"/>
        <w:rPr>
          <w:rFonts w:ascii="Cambria" w:hAnsi="Cambria"/>
          <w:bCs/>
          <w:sz w:val="20"/>
          <w:szCs w:val="20"/>
        </w:rPr>
      </w:pPr>
    </w:p>
    <w:p w14:paraId="681D7501" w14:textId="53B3CF81" w:rsidR="00013B36" w:rsidRPr="000E7778" w:rsidRDefault="00013B36" w:rsidP="00F36743">
      <w:pPr>
        <w:rPr>
          <w:rFonts w:ascii="Cambria" w:hAnsi="Cambria"/>
          <w:bCs/>
          <w:sz w:val="20"/>
          <w:szCs w:val="20"/>
        </w:rPr>
      </w:pPr>
    </w:p>
    <w:tbl>
      <w:tblPr>
        <w:tblW w:w="5000" w:type="pct"/>
        <w:jc w:val="center"/>
        <w:tblLook w:val="04A0" w:firstRow="1" w:lastRow="0" w:firstColumn="1" w:lastColumn="0" w:noHBand="0" w:noVBand="1"/>
      </w:tblPr>
      <w:tblGrid>
        <w:gridCol w:w="1772"/>
        <w:gridCol w:w="4514"/>
        <w:gridCol w:w="2784"/>
      </w:tblGrid>
      <w:tr w:rsidR="00A076B6" w:rsidRPr="00D25DC8" w14:paraId="6A034295" w14:textId="77777777" w:rsidTr="00A076B6">
        <w:trPr>
          <w:trHeight w:val="288"/>
          <w:tblHeader/>
          <w:jc w:val="center"/>
        </w:trPr>
        <w:tc>
          <w:tcPr>
            <w:tcW w:w="0" w:type="auto"/>
            <w:gridSpan w:val="3"/>
            <w:tcBorders>
              <w:bottom w:val="single" w:sz="4" w:space="0" w:color="auto"/>
            </w:tcBorders>
            <w:noWrap/>
            <w:vAlign w:val="bottom"/>
          </w:tcPr>
          <w:p w14:paraId="5AEA4FC6" w14:textId="3A63EBF6" w:rsidR="00A076B6" w:rsidRPr="00A076B6" w:rsidRDefault="00A076B6" w:rsidP="00A076B6">
            <w:pPr>
              <w:widowControl w:val="0"/>
              <w:rPr>
                <w:rFonts w:asciiTheme="majorHAnsi" w:hAnsiTheme="majorHAnsi"/>
                <w:color w:val="000000"/>
                <w:sz w:val="20"/>
                <w:szCs w:val="20"/>
              </w:rPr>
            </w:pPr>
            <w:r>
              <w:rPr>
                <w:rFonts w:asciiTheme="majorHAnsi" w:hAnsiTheme="majorHAnsi"/>
                <w:b/>
                <w:color w:val="000000"/>
                <w:sz w:val="20"/>
              </w:rPr>
              <w:lastRenderedPageBreak/>
              <w:t>Tableau 1</w:t>
            </w:r>
            <w:r>
              <w:rPr>
                <w:rFonts w:asciiTheme="majorHAnsi" w:hAnsiTheme="majorHAnsi"/>
                <w:color w:val="000000"/>
                <w:sz w:val="20"/>
              </w:rPr>
              <w:t>. Liste des senneurs ayant opéré en 2025.</w:t>
            </w:r>
          </w:p>
        </w:tc>
      </w:tr>
      <w:tr w:rsidR="00D3469D" w:rsidRPr="00D25DC8" w14:paraId="21E93A27" w14:textId="77777777" w:rsidTr="00C75467">
        <w:trPr>
          <w:trHeight w:val="288"/>
          <w:tblHeader/>
          <w:jc w:val="center"/>
        </w:trPr>
        <w:tc>
          <w:tcPr>
            <w:tcW w:w="0" w:type="auto"/>
            <w:tcBorders>
              <w:top w:val="single" w:sz="4" w:space="0" w:color="auto"/>
              <w:bottom w:val="single" w:sz="4" w:space="0" w:color="auto"/>
            </w:tcBorders>
            <w:noWrap/>
            <w:vAlign w:val="bottom"/>
            <w:hideMark/>
          </w:tcPr>
          <w:p w14:paraId="102D05AE" w14:textId="77777777" w:rsidR="00BF307D" w:rsidRPr="00C75467" w:rsidRDefault="00BF307D" w:rsidP="0073483A">
            <w:pPr>
              <w:widowControl w:val="0"/>
              <w:rPr>
                <w:rFonts w:asciiTheme="majorHAnsi" w:hAnsiTheme="majorHAnsi"/>
                <w:b/>
                <w:bCs/>
                <w:i/>
                <w:iCs/>
                <w:color w:val="000000"/>
                <w:sz w:val="20"/>
                <w:szCs w:val="20"/>
              </w:rPr>
            </w:pPr>
            <w:r>
              <w:rPr>
                <w:rFonts w:asciiTheme="majorHAnsi" w:hAnsiTheme="majorHAnsi"/>
                <w:b/>
                <w:i/>
                <w:color w:val="000000"/>
                <w:sz w:val="20"/>
              </w:rPr>
              <w:t>CPC</w:t>
            </w:r>
          </w:p>
        </w:tc>
        <w:tc>
          <w:tcPr>
            <w:tcW w:w="0" w:type="auto"/>
            <w:tcBorders>
              <w:top w:val="single" w:sz="4" w:space="0" w:color="auto"/>
              <w:bottom w:val="single" w:sz="4" w:space="0" w:color="auto"/>
            </w:tcBorders>
            <w:noWrap/>
            <w:vAlign w:val="bottom"/>
            <w:hideMark/>
          </w:tcPr>
          <w:p w14:paraId="2A3F9AAF" w14:textId="77777777" w:rsidR="00BF307D" w:rsidRPr="00C75467" w:rsidRDefault="00BF307D" w:rsidP="0073483A">
            <w:pPr>
              <w:widowControl w:val="0"/>
              <w:rPr>
                <w:rFonts w:asciiTheme="majorHAnsi" w:hAnsiTheme="majorHAnsi"/>
                <w:b/>
                <w:bCs/>
                <w:i/>
                <w:iCs/>
                <w:color w:val="000000"/>
                <w:sz w:val="20"/>
                <w:szCs w:val="20"/>
              </w:rPr>
            </w:pPr>
            <w:r>
              <w:rPr>
                <w:rFonts w:asciiTheme="majorHAnsi" w:hAnsiTheme="majorHAnsi"/>
                <w:b/>
                <w:i/>
                <w:color w:val="000000"/>
                <w:sz w:val="20"/>
              </w:rPr>
              <w:t>Information sur le navire</w:t>
            </w:r>
          </w:p>
        </w:tc>
        <w:tc>
          <w:tcPr>
            <w:tcW w:w="0" w:type="auto"/>
            <w:tcBorders>
              <w:top w:val="single" w:sz="4" w:space="0" w:color="auto"/>
              <w:bottom w:val="single" w:sz="4" w:space="0" w:color="auto"/>
            </w:tcBorders>
            <w:noWrap/>
            <w:vAlign w:val="bottom"/>
            <w:hideMark/>
          </w:tcPr>
          <w:p w14:paraId="4C1021B0" w14:textId="60C2C557" w:rsidR="00BF307D" w:rsidRPr="00C75467" w:rsidRDefault="00BF307D" w:rsidP="0073483A">
            <w:pPr>
              <w:widowControl w:val="0"/>
              <w:jc w:val="center"/>
              <w:rPr>
                <w:rFonts w:asciiTheme="majorHAnsi" w:hAnsiTheme="majorHAnsi"/>
                <w:b/>
                <w:bCs/>
                <w:i/>
                <w:iCs/>
                <w:color w:val="000000"/>
                <w:sz w:val="20"/>
                <w:szCs w:val="20"/>
              </w:rPr>
            </w:pPr>
            <w:r>
              <w:rPr>
                <w:rFonts w:asciiTheme="majorHAnsi" w:hAnsiTheme="majorHAnsi"/>
                <w:b/>
                <w:i/>
                <w:color w:val="000000"/>
                <w:sz w:val="20"/>
              </w:rPr>
              <w:t>Numéro de registre</w:t>
            </w:r>
          </w:p>
        </w:tc>
      </w:tr>
      <w:tr w:rsidR="00D3469D" w:rsidRPr="00D25DC8" w14:paraId="2650B83B" w14:textId="77777777" w:rsidTr="00D3469D">
        <w:trPr>
          <w:trHeight w:val="288"/>
          <w:tblHeader/>
          <w:jc w:val="center"/>
        </w:trPr>
        <w:tc>
          <w:tcPr>
            <w:tcW w:w="0" w:type="auto"/>
            <w:tcBorders>
              <w:top w:val="single" w:sz="4" w:space="0" w:color="auto"/>
              <w:left w:val="nil"/>
              <w:bottom w:val="nil"/>
              <w:right w:val="nil"/>
            </w:tcBorders>
            <w:noWrap/>
            <w:vAlign w:val="bottom"/>
            <w:hideMark/>
          </w:tcPr>
          <w:p w14:paraId="0B689C26"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Albanie</w:t>
            </w:r>
          </w:p>
        </w:tc>
        <w:tc>
          <w:tcPr>
            <w:tcW w:w="0" w:type="auto"/>
            <w:tcBorders>
              <w:top w:val="single" w:sz="4" w:space="0" w:color="auto"/>
              <w:left w:val="nil"/>
              <w:bottom w:val="nil"/>
              <w:right w:val="nil"/>
            </w:tcBorders>
            <w:noWrap/>
            <w:vAlign w:val="bottom"/>
            <w:hideMark/>
          </w:tcPr>
          <w:p w14:paraId="473B1733" w14:textId="77777777" w:rsidR="00C27D6A" w:rsidRPr="00C75467" w:rsidRDefault="00C27D6A" w:rsidP="0073483A">
            <w:pPr>
              <w:widowControl w:val="0"/>
              <w:rPr>
                <w:rFonts w:asciiTheme="majorHAnsi" w:hAnsiTheme="majorHAnsi"/>
                <w:color w:val="000000"/>
                <w:sz w:val="20"/>
                <w:szCs w:val="20"/>
              </w:rPr>
            </w:pPr>
            <w:proofErr w:type="spellStart"/>
            <w:r>
              <w:rPr>
                <w:rFonts w:asciiTheme="majorHAnsi" w:hAnsiTheme="majorHAnsi"/>
                <w:color w:val="000000"/>
                <w:sz w:val="20"/>
              </w:rPr>
              <w:t>Rozafa</w:t>
            </w:r>
            <w:proofErr w:type="spellEnd"/>
            <w:r>
              <w:rPr>
                <w:rFonts w:asciiTheme="majorHAnsi" w:hAnsiTheme="majorHAnsi"/>
                <w:color w:val="000000"/>
                <w:sz w:val="20"/>
              </w:rPr>
              <w:t xml:space="preserve"> 15</w:t>
            </w:r>
          </w:p>
        </w:tc>
        <w:tc>
          <w:tcPr>
            <w:tcW w:w="0" w:type="auto"/>
            <w:tcBorders>
              <w:top w:val="single" w:sz="4" w:space="0" w:color="auto"/>
              <w:left w:val="nil"/>
              <w:bottom w:val="nil"/>
              <w:right w:val="nil"/>
            </w:tcBorders>
            <w:noWrap/>
            <w:vAlign w:val="bottom"/>
            <w:hideMark/>
          </w:tcPr>
          <w:p w14:paraId="40F5DE9D" w14:textId="77777777" w:rsidR="00C27D6A" w:rsidRPr="00C75467" w:rsidRDefault="00C27D6A" w:rsidP="0073483A">
            <w:pPr>
              <w:widowControl w:val="0"/>
              <w:jc w:val="center"/>
              <w:rPr>
                <w:rFonts w:asciiTheme="majorHAnsi" w:hAnsiTheme="majorHAnsi"/>
                <w:color w:val="000000"/>
                <w:sz w:val="20"/>
                <w:szCs w:val="20"/>
              </w:rPr>
            </w:pPr>
            <w:r>
              <w:rPr>
                <w:rFonts w:asciiTheme="majorHAnsi" w:hAnsiTheme="majorHAnsi"/>
                <w:color w:val="000000"/>
                <w:sz w:val="20"/>
              </w:rPr>
              <w:t>AT000ALB00010</w:t>
            </w:r>
          </w:p>
        </w:tc>
      </w:tr>
      <w:tr w:rsidR="00C27D6A" w:rsidRPr="00D25DC8" w14:paraId="74719B7B" w14:textId="77777777" w:rsidTr="00C75467">
        <w:trPr>
          <w:trHeight w:val="288"/>
          <w:tblHeader/>
          <w:jc w:val="center"/>
        </w:trPr>
        <w:tc>
          <w:tcPr>
            <w:tcW w:w="0" w:type="auto"/>
            <w:tcBorders>
              <w:top w:val="nil"/>
              <w:left w:val="nil"/>
              <w:bottom w:val="nil"/>
              <w:right w:val="nil"/>
            </w:tcBorders>
            <w:noWrap/>
            <w:vAlign w:val="bottom"/>
            <w:hideMark/>
          </w:tcPr>
          <w:p w14:paraId="02B99207"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Albanie</w:t>
            </w:r>
          </w:p>
        </w:tc>
        <w:tc>
          <w:tcPr>
            <w:tcW w:w="0" w:type="auto"/>
            <w:tcBorders>
              <w:top w:val="nil"/>
              <w:left w:val="nil"/>
              <w:bottom w:val="nil"/>
              <w:right w:val="nil"/>
            </w:tcBorders>
            <w:noWrap/>
            <w:vAlign w:val="bottom"/>
            <w:hideMark/>
          </w:tcPr>
          <w:p w14:paraId="2423D8A2" w14:textId="77777777" w:rsidR="00C27D6A" w:rsidRPr="00C75467" w:rsidRDefault="00C27D6A" w:rsidP="0073483A">
            <w:pPr>
              <w:widowControl w:val="0"/>
              <w:rPr>
                <w:rFonts w:asciiTheme="majorHAnsi" w:hAnsiTheme="majorHAnsi"/>
                <w:color w:val="000000"/>
                <w:sz w:val="20"/>
                <w:szCs w:val="20"/>
              </w:rPr>
            </w:pPr>
            <w:proofErr w:type="spellStart"/>
            <w:r>
              <w:rPr>
                <w:rFonts w:asciiTheme="majorHAnsi" w:hAnsiTheme="majorHAnsi"/>
                <w:color w:val="000000"/>
                <w:sz w:val="20"/>
              </w:rPr>
              <w:t>Rozafa</w:t>
            </w:r>
            <w:proofErr w:type="spellEnd"/>
            <w:r>
              <w:rPr>
                <w:rFonts w:asciiTheme="majorHAnsi" w:hAnsiTheme="majorHAnsi"/>
                <w:color w:val="000000"/>
                <w:sz w:val="20"/>
              </w:rPr>
              <w:t xml:space="preserve"> 23</w:t>
            </w:r>
          </w:p>
        </w:tc>
        <w:tc>
          <w:tcPr>
            <w:tcW w:w="0" w:type="auto"/>
            <w:tcBorders>
              <w:top w:val="nil"/>
              <w:left w:val="nil"/>
              <w:bottom w:val="nil"/>
              <w:right w:val="nil"/>
            </w:tcBorders>
            <w:noWrap/>
            <w:vAlign w:val="bottom"/>
            <w:hideMark/>
          </w:tcPr>
          <w:p w14:paraId="0E3A7A47" w14:textId="77777777" w:rsidR="00C27D6A" w:rsidRPr="00C75467" w:rsidRDefault="00C27D6A" w:rsidP="0073483A">
            <w:pPr>
              <w:widowControl w:val="0"/>
              <w:jc w:val="center"/>
              <w:rPr>
                <w:rFonts w:asciiTheme="majorHAnsi" w:hAnsiTheme="majorHAnsi"/>
                <w:color w:val="000000"/>
                <w:sz w:val="20"/>
                <w:szCs w:val="20"/>
              </w:rPr>
            </w:pPr>
            <w:r>
              <w:rPr>
                <w:rFonts w:asciiTheme="majorHAnsi" w:hAnsiTheme="majorHAnsi"/>
                <w:color w:val="000000"/>
                <w:sz w:val="20"/>
              </w:rPr>
              <w:t>AT000ALB00011</w:t>
            </w:r>
          </w:p>
        </w:tc>
      </w:tr>
      <w:tr w:rsidR="00C27D6A" w:rsidRPr="00D25DC8" w14:paraId="484C4AEA" w14:textId="77777777" w:rsidTr="00C75467">
        <w:trPr>
          <w:trHeight w:val="288"/>
          <w:tblHeader/>
          <w:jc w:val="center"/>
        </w:trPr>
        <w:tc>
          <w:tcPr>
            <w:tcW w:w="0" w:type="auto"/>
            <w:tcBorders>
              <w:top w:val="nil"/>
              <w:left w:val="nil"/>
              <w:bottom w:val="nil"/>
              <w:right w:val="nil"/>
            </w:tcBorders>
            <w:noWrap/>
            <w:vAlign w:val="bottom"/>
            <w:hideMark/>
          </w:tcPr>
          <w:p w14:paraId="4566A589"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0DE94952"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SIDI SLIMANE</w:t>
            </w:r>
          </w:p>
        </w:tc>
        <w:tc>
          <w:tcPr>
            <w:tcW w:w="0" w:type="auto"/>
            <w:tcBorders>
              <w:top w:val="nil"/>
              <w:left w:val="nil"/>
              <w:bottom w:val="nil"/>
              <w:right w:val="nil"/>
            </w:tcBorders>
            <w:noWrap/>
            <w:vAlign w:val="bottom"/>
            <w:hideMark/>
          </w:tcPr>
          <w:p w14:paraId="49AE8C61" w14:textId="77777777" w:rsidR="00C27D6A" w:rsidRPr="00C75467" w:rsidRDefault="00C27D6A" w:rsidP="0073483A">
            <w:pPr>
              <w:widowControl w:val="0"/>
              <w:jc w:val="center"/>
              <w:rPr>
                <w:rFonts w:asciiTheme="majorHAnsi" w:hAnsiTheme="majorHAnsi"/>
                <w:color w:val="000000"/>
                <w:sz w:val="20"/>
                <w:szCs w:val="20"/>
              </w:rPr>
            </w:pPr>
            <w:r>
              <w:rPr>
                <w:rFonts w:asciiTheme="majorHAnsi" w:hAnsiTheme="majorHAnsi"/>
                <w:color w:val="000000"/>
                <w:sz w:val="20"/>
              </w:rPr>
              <w:t>AT000DZA00001</w:t>
            </w:r>
          </w:p>
        </w:tc>
      </w:tr>
      <w:tr w:rsidR="00C27D6A" w:rsidRPr="00D25DC8" w14:paraId="37B9C654" w14:textId="77777777" w:rsidTr="00C75467">
        <w:trPr>
          <w:trHeight w:val="288"/>
          <w:tblHeader/>
          <w:jc w:val="center"/>
        </w:trPr>
        <w:tc>
          <w:tcPr>
            <w:tcW w:w="0" w:type="auto"/>
            <w:tcBorders>
              <w:top w:val="nil"/>
              <w:left w:val="nil"/>
              <w:bottom w:val="nil"/>
              <w:right w:val="nil"/>
            </w:tcBorders>
            <w:noWrap/>
            <w:vAlign w:val="bottom"/>
            <w:hideMark/>
          </w:tcPr>
          <w:p w14:paraId="31E2DF81"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67A5324D"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NEPTUNE VI</w:t>
            </w:r>
          </w:p>
        </w:tc>
        <w:tc>
          <w:tcPr>
            <w:tcW w:w="0" w:type="auto"/>
            <w:tcBorders>
              <w:top w:val="nil"/>
              <w:left w:val="nil"/>
              <w:bottom w:val="nil"/>
              <w:right w:val="nil"/>
            </w:tcBorders>
            <w:noWrap/>
            <w:vAlign w:val="bottom"/>
            <w:hideMark/>
          </w:tcPr>
          <w:p w14:paraId="47879707" w14:textId="77777777" w:rsidR="00C27D6A" w:rsidRPr="00C75467" w:rsidRDefault="00C27D6A" w:rsidP="0073483A">
            <w:pPr>
              <w:widowControl w:val="0"/>
              <w:jc w:val="center"/>
              <w:rPr>
                <w:rFonts w:asciiTheme="majorHAnsi" w:hAnsiTheme="majorHAnsi"/>
                <w:color w:val="000000"/>
                <w:sz w:val="20"/>
                <w:szCs w:val="20"/>
              </w:rPr>
            </w:pPr>
            <w:r>
              <w:rPr>
                <w:rFonts w:asciiTheme="majorHAnsi" w:hAnsiTheme="majorHAnsi"/>
                <w:color w:val="000000"/>
                <w:sz w:val="20"/>
              </w:rPr>
              <w:t>AT000DZA00006</w:t>
            </w:r>
          </w:p>
        </w:tc>
      </w:tr>
      <w:tr w:rsidR="00C27D6A" w:rsidRPr="00D25DC8" w14:paraId="1E8403EF" w14:textId="77777777" w:rsidTr="00C75467">
        <w:trPr>
          <w:trHeight w:val="288"/>
          <w:tblHeader/>
          <w:jc w:val="center"/>
        </w:trPr>
        <w:tc>
          <w:tcPr>
            <w:tcW w:w="0" w:type="auto"/>
            <w:tcBorders>
              <w:top w:val="nil"/>
              <w:left w:val="nil"/>
              <w:bottom w:val="nil"/>
              <w:right w:val="nil"/>
            </w:tcBorders>
            <w:noWrap/>
            <w:vAlign w:val="bottom"/>
            <w:hideMark/>
          </w:tcPr>
          <w:p w14:paraId="6CFA55BC"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5AB8099A"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YOUNES I</w:t>
            </w:r>
          </w:p>
        </w:tc>
        <w:tc>
          <w:tcPr>
            <w:tcW w:w="0" w:type="auto"/>
            <w:tcBorders>
              <w:top w:val="nil"/>
              <w:left w:val="nil"/>
              <w:bottom w:val="nil"/>
              <w:right w:val="nil"/>
            </w:tcBorders>
            <w:noWrap/>
            <w:vAlign w:val="bottom"/>
            <w:hideMark/>
          </w:tcPr>
          <w:p w14:paraId="61553FF8" w14:textId="77777777" w:rsidR="00C27D6A" w:rsidRPr="00C75467" w:rsidRDefault="00C27D6A" w:rsidP="0073483A">
            <w:pPr>
              <w:widowControl w:val="0"/>
              <w:jc w:val="center"/>
              <w:rPr>
                <w:rFonts w:asciiTheme="majorHAnsi" w:hAnsiTheme="majorHAnsi"/>
                <w:color w:val="000000"/>
                <w:sz w:val="20"/>
                <w:szCs w:val="20"/>
              </w:rPr>
            </w:pPr>
            <w:r>
              <w:rPr>
                <w:rFonts w:asciiTheme="majorHAnsi" w:hAnsiTheme="majorHAnsi"/>
                <w:color w:val="000000"/>
                <w:sz w:val="20"/>
              </w:rPr>
              <w:t>AT000DZA00007</w:t>
            </w:r>
          </w:p>
        </w:tc>
      </w:tr>
      <w:tr w:rsidR="00C27D6A" w:rsidRPr="00D25DC8" w14:paraId="5E73949E" w14:textId="77777777" w:rsidTr="00C75467">
        <w:trPr>
          <w:trHeight w:val="288"/>
          <w:tblHeader/>
          <w:jc w:val="center"/>
        </w:trPr>
        <w:tc>
          <w:tcPr>
            <w:tcW w:w="0" w:type="auto"/>
            <w:tcBorders>
              <w:top w:val="nil"/>
              <w:left w:val="nil"/>
              <w:bottom w:val="nil"/>
              <w:right w:val="nil"/>
            </w:tcBorders>
            <w:noWrap/>
            <w:vAlign w:val="bottom"/>
            <w:hideMark/>
          </w:tcPr>
          <w:p w14:paraId="49979E72"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58A66536"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CHAHID HASNI SAIDI</w:t>
            </w:r>
          </w:p>
        </w:tc>
        <w:tc>
          <w:tcPr>
            <w:tcW w:w="0" w:type="auto"/>
            <w:tcBorders>
              <w:top w:val="nil"/>
              <w:left w:val="nil"/>
              <w:bottom w:val="nil"/>
              <w:right w:val="nil"/>
            </w:tcBorders>
            <w:noWrap/>
            <w:vAlign w:val="bottom"/>
            <w:hideMark/>
          </w:tcPr>
          <w:p w14:paraId="0285B4BE" w14:textId="77777777" w:rsidR="00C27D6A" w:rsidRPr="00C75467" w:rsidRDefault="00C27D6A" w:rsidP="0073483A">
            <w:pPr>
              <w:widowControl w:val="0"/>
              <w:jc w:val="center"/>
              <w:rPr>
                <w:rFonts w:asciiTheme="majorHAnsi" w:hAnsiTheme="majorHAnsi"/>
                <w:color w:val="000000"/>
                <w:sz w:val="20"/>
                <w:szCs w:val="20"/>
              </w:rPr>
            </w:pPr>
            <w:r>
              <w:rPr>
                <w:rFonts w:asciiTheme="majorHAnsi" w:hAnsiTheme="majorHAnsi"/>
                <w:color w:val="000000"/>
                <w:sz w:val="20"/>
              </w:rPr>
              <w:t>AT000DZA00009</w:t>
            </w:r>
          </w:p>
        </w:tc>
      </w:tr>
      <w:tr w:rsidR="00C27D6A" w:rsidRPr="00D25DC8" w14:paraId="36D008ED" w14:textId="77777777" w:rsidTr="00C75467">
        <w:trPr>
          <w:trHeight w:val="288"/>
          <w:tblHeader/>
          <w:jc w:val="center"/>
        </w:trPr>
        <w:tc>
          <w:tcPr>
            <w:tcW w:w="0" w:type="auto"/>
            <w:tcBorders>
              <w:top w:val="nil"/>
              <w:left w:val="nil"/>
              <w:bottom w:val="nil"/>
              <w:right w:val="nil"/>
            </w:tcBorders>
            <w:noWrap/>
            <w:vAlign w:val="bottom"/>
            <w:hideMark/>
          </w:tcPr>
          <w:p w14:paraId="13196910"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50E0585D"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BRAHAM</w:t>
            </w:r>
          </w:p>
        </w:tc>
        <w:tc>
          <w:tcPr>
            <w:tcW w:w="0" w:type="auto"/>
            <w:tcBorders>
              <w:top w:val="nil"/>
              <w:left w:val="nil"/>
              <w:bottom w:val="nil"/>
              <w:right w:val="nil"/>
            </w:tcBorders>
            <w:noWrap/>
            <w:vAlign w:val="bottom"/>
            <w:hideMark/>
          </w:tcPr>
          <w:p w14:paraId="49AAC18D" w14:textId="77777777" w:rsidR="00C27D6A" w:rsidRPr="00C75467" w:rsidRDefault="00C27D6A" w:rsidP="0073483A">
            <w:pPr>
              <w:widowControl w:val="0"/>
              <w:jc w:val="center"/>
              <w:rPr>
                <w:rFonts w:asciiTheme="majorHAnsi" w:hAnsiTheme="majorHAnsi"/>
                <w:color w:val="000000"/>
                <w:sz w:val="20"/>
                <w:szCs w:val="20"/>
              </w:rPr>
            </w:pPr>
            <w:r>
              <w:rPr>
                <w:rFonts w:asciiTheme="majorHAnsi" w:hAnsiTheme="majorHAnsi"/>
                <w:color w:val="000000"/>
                <w:sz w:val="20"/>
              </w:rPr>
              <w:t>AT000DZA00014</w:t>
            </w:r>
          </w:p>
        </w:tc>
      </w:tr>
      <w:tr w:rsidR="00C27D6A" w:rsidRPr="00D25DC8" w14:paraId="68FC7339" w14:textId="77777777" w:rsidTr="00C75467">
        <w:trPr>
          <w:trHeight w:val="288"/>
          <w:tblHeader/>
          <w:jc w:val="center"/>
        </w:trPr>
        <w:tc>
          <w:tcPr>
            <w:tcW w:w="0" w:type="auto"/>
            <w:tcBorders>
              <w:top w:val="nil"/>
              <w:left w:val="nil"/>
              <w:bottom w:val="nil"/>
              <w:right w:val="nil"/>
            </w:tcBorders>
            <w:noWrap/>
            <w:vAlign w:val="bottom"/>
            <w:hideMark/>
          </w:tcPr>
          <w:p w14:paraId="65F3499B"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415BB386"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BENI LOUMA</w:t>
            </w:r>
          </w:p>
        </w:tc>
        <w:tc>
          <w:tcPr>
            <w:tcW w:w="0" w:type="auto"/>
            <w:tcBorders>
              <w:top w:val="nil"/>
              <w:left w:val="nil"/>
              <w:bottom w:val="nil"/>
              <w:right w:val="nil"/>
            </w:tcBorders>
            <w:noWrap/>
            <w:vAlign w:val="bottom"/>
            <w:hideMark/>
          </w:tcPr>
          <w:p w14:paraId="7602EAF3" w14:textId="77777777" w:rsidR="00C27D6A" w:rsidRPr="00C75467" w:rsidRDefault="00C27D6A" w:rsidP="0073483A">
            <w:pPr>
              <w:widowControl w:val="0"/>
              <w:jc w:val="center"/>
              <w:rPr>
                <w:rFonts w:asciiTheme="majorHAnsi" w:hAnsiTheme="majorHAnsi"/>
                <w:color w:val="000000"/>
                <w:sz w:val="20"/>
                <w:szCs w:val="20"/>
              </w:rPr>
            </w:pPr>
            <w:r>
              <w:rPr>
                <w:rFonts w:asciiTheme="majorHAnsi" w:hAnsiTheme="majorHAnsi"/>
                <w:color w:val="000000"/>
                <w:sz w:val="20"/>
              </w:rPr>
              <w:t>AT000DZA00015</w:t>
            </w:r>
          </w:p>
        </w:tc>
      </w:tr>
      <w:tr w:rsidR="00C27D6A" w:rsidRPr="00D25DC8" w14:paraId="12C66388" w14:textId="77777777" w:rsidTr="00C75467">
        <w:trPr>
          <w:trHeight w:val="288"/>
          <w:tblHeader/>
          <w:jc w:val="center"/>
        </w:trPr>
        <w:tc>
          <w:tcPr>
            <w:tcW w:w="0" w:type="auto"/>
            <w:tcBorders>
              <w:top w:val="nil"/>
              <w:left w:val="nil"/>
              <w:bottom w:val="nil"/>
              <w:right w:val="nil"/>
            </w:tcBorders>
            <w:noWrap/>
            <w:vAlign w:val="bottom"/>
            <w:hideMark/>
          </w:tcPr>
          <w:p w14:paraId="37DD30CB"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3BA5A27B"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HABIB ALLAH I</w:t>
            </w:r>
          </w:p>
        </w:tc>
        <w:tc>
          <w:tcPr>
            <w:tcW w:w="0" w:type="auto"/>
            <w:tcBorders>
              <w:top w:val="nil"/>
              <w:left w:val="nil"/>
              <w:bottom w:val="nil"/>
              <w:right w:val="nil"/>
            </w:tcBorders>
            <w:noWrap/>
            <w:vAlign w:val="bottom"/>
            <w:hideMark/>
          </w:tcPr>
          <w:p w14:paraId="5C570E24" w14:textId="77777777" w:rsidR="00C27D6A" w:rsidRPr="00C75467" w:rsidRDefault="00C27D6A" w:rsidP="0073483A">
            <w:pPr>
              <w:widowControl w:val="0"/>
              <w:jc w:val="center"/>
              <w:rPr>
                <w:rFonts w:asciiTheme="majorHAnsi" w:hAnsiTheme="majorHAnsi"/>
                <w:color w:val="000000"/>
                <w:sz w:val="20"/>
                <w:szCs w:val="20"/>
              </w:rPr>
            </w:pPr>
            <w:r>
              <w:rPr>
                <w:rFonts w:asciiTheme="majorHAnsi" w:hAnsiTheme="majorHAnsi"/>
                <w:color w:val="000000"/>
                <w:sz w:val="20"/>
              </w:rPr>
              <w:t>AT000DZA00818</w:t>
            </w:r>
          </w:p>
        </w:tc>
      </w:tr>
      <w:tr w:rsidR="00C27D6A" w:rsidRPr="00D25DC8" w14:paraId="67CE3C95" w14:textId="77777777" w:rsidTr="00C75467">
        <w:trPr>
          <w:trHeight w:val="288"/>
          <w:tblHeader/>
          <w:jc w:val="center"/>
        </w:trPr>
        <w:tc>
          <w:tcPr>
            <w:tcW w:w="0" w:type="auto"/>
            <w:tcBorders>
              <w:top w:val="nil"/>
              <w:left w:val="nil"/>
              <w:bottom w:val="nil"/>
              <w:right w:val="nil"/>
            </w:tcBorders>
            <w:noWrap/>
            <w:vAlign w:val="bottom"/>
            <w:hideMark/>
          </w:tcPr>
          <w:p w14:paraId="5FE513D3"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72366110"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Sid Ahmed</w:t>
            </w:r>
          </w:p>
        </w:tc>
        <w:tc>
          <w:tcPr>
            <w:tcW w:w="0" w:type="auto"/>
            <w:tcBorders>
              <w:top w:val="nil"/>
              <w:left w:val="nil"/>
              <w:bottom w:val="nil"/>
              <w:right w:val="nil"/>
            </w:tcBorders>
            <w:noWrap/>
            <w:vAlign w:val="bottom"/>
            <w:hideMark/>
          </w:tcPr>
          <w:p w14:paraId="2B3693BB" w14:textId="77777777" w:rsidR="00C27D6A" w:rsidRPr="00C75467" w:rsidRDefault="00C27D6A" w:rsidP="0073483A">
            <w:pPr>
              <w:widowControl w:val="0"/>
              <w:jc w:val="center"/>
              <w:rPr>
                <w:rFonts w:asciiTheme="majorHAnsi" w:hAnsiTheme="majorHAnsi"/>
                <w:color w:val="000000"/>
                <w:sz w:val="20"/>
                <w:szCs w:val="20"/>
              </w:rPr>
            </w:pPr>
            <w:r>
              <w:rPr>
                <w:rFonts w:asciiTheme="majorHAnsi" w:hAnsiTheme="majorHAnsi"/>
                <w:color w:val="000000"/>
                <w:sz w:val="20"/>
              </w:rPr>
              <w:t>AT000DZA00549</w:t>
            </w:r>
          </w:p>
        </w:tc>
      </w:tr>
      <w:tr w:rsidR="00C27D6A" w:rsidRPr="00D25DC8" w14:paraId="24863609" w14:textId="77777777" w:rsidTr="00C75467">
        <w:trPr>
          <w:trHeight w:val="288"/>
          <w:tblHeader/>
          <w:jc w:val="center"/>
        </w:trPr>
        <w:tc>
          <w:tcPr>
            <w:tcW w:w="0" w:type="auto"/>
            <w:tcBorders>
              <w:top w:val="nil"/>
              <w:left w:val="nil"/>
              <w:bottom w:val="nil"/>
              <w:right w:val="nil"/>
            </w:tcBorders>
            <w:noWrap/>
            <w:vAlign w:val="bottom"/>
            <w:hideMark/>
          </w:tcPr>
          <w:p w14:paraId="6DF6FD30"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375C0B35"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SIDI SLIMANE II</w:t>
            </w:r>
          </w:p>
        </w:tc>
        <w:tc>
          <w:tcPr>
            <w:tcW w:w="0" w:type="auto"/>
            <w:tcBorders>
              <w:top w:val="nil"/>
              <w:left w:val="nil"/>
              <w:bottom w:val="nil"/>
              <w:right w:val="nil"/>
            </w:tcBorders>
            <w:noWrap/>
            <w:vAlign w:val="bottom"/>
            <w:hideMark/>
          </w:tcPr>
          <w:p w14:paraId="6126B1F7" w14:textId="77777777" w:rsidR="00C27D6A" w:rsidRPr="00C75467" w:rsidRDefault="00C27D6A" w:rsidP="0073483A">
            <w:pPr>
              <w:widowControl w:val="0"/>
              <w:jc w:val="center"/>
              <w:rPr>
                <w:rFonts w:asciiTheme="majorHAnsi" w:hAnsiTheme="majorHAnsi"/>
                <w:color w:val="000000"/>
                <w:sz w:val="20"/>
                <w:szCs w:val="20"/>
              </w:rPr>
            </w:pPr>
            <w:r>
              <w:rPr>
                <w:rFonts w:asciiTheme="majorHAnsi" w:hAnsiTheme="majorHAnsi"/>
                <w:color w:val="000000"/>
                <w:sz w:val="20"/>
              </w:rPr>
              <w:t>AT000DZA00792</w:t>
            </w:r>
          </w:p>
        </w:tc>
      </w:tr>
      <w:tr w:rsidR="00C27D6A" w:rsidRPr="00D25DC8" w14:paraId="2E5E855A" w14:textId="77777777" w:rsidTr="00C75467">
        <w:trPr>
          <w:trHeight w:val="288"/>
          <w:tblHeader/>
          <w:jc w:val="center"/>
        </w:trPr>
        <w:tc>
          <w:tcPr>
            <w:tcW w:w="0" w:type="auto"/>
            <w:tcBorders>
              <w:top w:val="nil"/>
              <w:left w:val="nil"/>
              <w:bottom w:val="nil"/>
              <w:right w:val="nil"/>
            </w:tcBorders>
            <w:noWrap/>
            <w:vAlign w:val="bottom"/>
            <w:hideMark/>
          </w:tcPr>
          <w:p w14:paraId="4BD3C0EC"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159D0CC8"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 xml:space="preserve">Lalla </w:t>
            </w:r>
            <w:proofErr w:type="spellStart"/>
            <w:r>
              <w:rPr>
                <w:rFonts w:asciiTheme="majorHAnsi" w:hAnsiTheme="majorHAnsi"/>
                <w:color w:val="000000"/>
                <w:sz w:val="20"/>
              </w:rPr>
              <w:t>Mennoune</w:t>
            </w:r>
            <w:proofErr w:type="spellEnd"/>
          </w:p>
        </w:tc>
        <w:tc>
          <w:tcPr>
            <w:tcW w:w="0" w:type="auto"/>
            <w:tcBorders>
              <w:top w:val="nil"/>
              <w:left w:val="nil"/>
              <w:bottom w:val="nil"/>
              <w:right w:val="nil"/>
            </w:tcBorders>
            <w:noWrap/>
            <w:vAlign w:val="bottom"/>
            <w:hideMark/>
          </w:tcPr>
          <w:p w14:paraId="45000F7A" w14:textId="77777777" w:rsidR="00C27D6A" w:rsidRPr="00C75467" w:rsidRDefault="00C27D6A" w:rsidP="0073483A">
            <w:pPr>
              <w:widowControl w:val="0"/>
              <w:jc w:val="center"/>
              <w:rPr>
                <w:rFonts w:asciiTheme="majorHAnsi" w:hAnsiTheme="majorHAnsi"/>
                <w:color w:val="000000"/>
                <w:sz w:val="20"/>
                <w:szCs w:val="20"/>
              </w:rPr>
            </w:pPr>
            <w:r>
              <w:rPr>
                <w:rFonts w:asciiTheme="majorHAnsi" w:hAnsiTheme="majorHAnsi"/>
                <w:color w:val="000000"/>
                <w:sz w:val="20"/>
              </w:rPr>
              <w:t>AT000DZA00817</w:t>
            </w:r>
          </w:p>
        </w:tc>
      </w:tr>
      <w:tr w:rsidR="00C27D6A" w:rsidRPr="00D25DC8" w14:paraId="24A3D10E" w14:textId="77777777" w:rsidTr="00C75467">
        <w:trPr>
          <w:trHeight w:val="288"/>
          <w:tblHeader/>
          <w:jc w:val="center"/>
        </w:trPr>
        <w:tc>
          <w:tcPr>
            <w:tcW w:w="0" w:type="auto"/>
            <w:tcBorders>
              <w:top w:val="nil"/>
              <w:left w:val="nil"/>
              <w:bottom w:val="nil"/>
              <w:right w:val="nil"/>
            </w:tcBorders>
            <w:noWrap/>
            <w:vAlign w:val="bottom"/>
            <w:hideMark/>
          </w:tcPr>
          <w:p w14:paraId="7B2E92DA"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44C4A823" w14:textId="77777777" w:rsidR="00C27D6A" w:rsidRPr="00C75467" w:rsidRDefault="00C27D6A" w:rsidP="0073483A">
            <w:pPr>
              <w:widowControl w:val="0"/>
              <w:rPr>
                <w:rFonts w:asciiTheme="majorHAnsi" w:hAnsiTheme="majorHAnsi"/>
                <w:color w:val="000000"/>
                <w:sz w:val="20"/>
                <w:szCs w:val="20"/>
              </w:rPr>
            </w:pPr>
            <w:proofErr w:type="spellStart"/>
            <w:r>
              <w:rPr>
                <w:rFonts w:asciiTheme="majorHAnsi" w:hAnsiTheme="majorHAnsi"/>
                <w:color w:val="000000"/>
                <w:sz w:val="20"/>
              </w:rPr>
              <w:t>Fel</w:t>
            </w:r>
            <w:proofErr w:type="spellEnd"/>
            <w:r>
              <w:rPr>
                <w:rFonts w:asciiTheme="majorHAnsi" w:hAnsiTheme="majorHAnsi"/>
                <w:color w:val="000000"/>
                <w:sz w:val="20"/>
              </w:rPr>
              <w:t xml:space="preserve"> Abdelkader</w:t>
            </w:r>
          </w:p>
        </w:tc>
        <w:tc>
          <w:tcPr>
            <w:tcW w:w="0" w:type="auto"/>
            <w:tcBorders>
              <w:top w:val="nil"/>
              <w:left w:val="nil"/>
              <w:bottom w:val="nil"/>
              <w:right w:val="nil"/>
            </w:tcBorders>
            <w:noWrap/>
            <w:vAlign w:val="bottom"/>
            <w:hideMark/>
          </w:tcPr>
          <w:p w14:paraId="477312C4" w14:textId="77777777" w:rsidR="00C27D6A" w:rsidRPr="00C75467" w:rsidRDefault="00C27D6A" w:rsidP="0073483A">
            <w:pPr>
              <w:widowControl w:val="0"/>
              <w:jc w:val="center"/>
              <w:rPr>
                <w:rFonts w:asciiTheme="majorHAnsi" w:hAnsiTheme="majorHAnsi"/>
                <w:color w:val="000000"/>
                <w:sz w:val="20"/>
                <w:szCs w:val="20"/>
              </w:rPr>
            </w:pPr>
            <w:r>
              <w:rPr>
                <w:rFonts w:asciiTheme="majorHAnsi" w:hAnsiTheme="majorHAnsi"/>
                <w:color w:val="000000"/>
                <w:sz w:val="20"/>
              </w:rPr>
              <w:t>AT000DZA00819</w:t>
            </w:r>
          </w:p>
        </w:tc>
      </w:tr>
      <w:tr w:rsidR="00C27D6A" w:rsidRPr="00D25DC8" w14:paraId="33DD49AE" w14:textId="77777777" w:rsidTr="00C75467">
        <w:trPr>
          <w:trHeight w:val="288"/>
          <w:tblHeader/>
          <w:jc w:val="center"/>
        </w:trPr>
        <w:tc>
          <w:tcPr>
            <w:tcW w:w="0" w:type="auto"/>
            <w:tcBorders>
              <w:top w:val="nil"/>
              <w:left w:val="nil"/>
              <w:bottom w:val="nil"/>
              <w:right w:val="nil"/>
            </w:tcBorders>
            <w:noWrap/>
            <w:vAlign w:val="bottom"/>
            <w:hideMark/>
          </w:tcPr>
          <w:p w14:paraId="3B97D67C"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4B0C2910"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SERAJ</w:t>
            </w:r>
          </w:p>
        </w:tc>
        <w:tc>
          <w:tcPr>
            <w:tcW w:w="0" w:type="auto"/>
            <w:tcBorders>
              <w:top w:val="nil"/>
              <w:left w:val="nil"/>
              <w:bottom w:val="nil"/>
              <w:right w:val="nil"/>
            </w:tcBorders>
            <w:noWrap/>
            <w:vAlign w:val="bottom"/>
            <w:hideMark/>
          </w:tcPr>
          <w:p w14:paraId="2C9038BC" w14:textId="77777777" w:rsidR="00C27D6A" w:rsidRPr="00C75467" w:rsidRDefault="00C27D6A" w:rsidP="0073483A">
            <w:pPr>
              <w:widowControl w:val="0"/>
              <w:jc w:val="center"/>
              <w:rPr>
                <w:rFonts w:asciiTheme="majorHAnsi" w:hAnsiTheme="majorHAnsi"/>
                <w:color w:val="000000"/>
                <w:sz w:val="20"/>
                <w:szCs w:val="20"/>
              </w:rPr>
            </w:pPr>
            <w:r>
              <w:rPr>
                <w:rFonts w:asciiTheme="majorHAnsi" w:hAnsiTheme="majorHAnsi"/>
                <w:color w:val="000000"/>
                <w:sz w:val="20"/>
              </w:rPr>
              <w:t>AT000DZA00977</w:t>
            </w:r>
          </w:p>
        </w:tc>
      </w:tr>
      <w:tr w:rsidR="00C27D6A" w:rsidRPr="00D25DC8" w14:paraId="1548928A" w14:textId="77777777" w:rsidTr="00C75467">
        <w:trPr>
          <w:trHeight w:val="288"/>
          <w:tblHeader/>
          <w:jc w:val="center"/>
        </w:trPr>
        <w:tc>
          <w:tcPr>
            <w:tcW w:w="0" w:type="auto"/>
            <w:tcBorders>
              <w:top w:val="nil"/>
              <w:left w:val="nil"/>
              <w:bottom w:val="nil"/>
              <w:right w:val="nil"/>
            </w:tcBorders>
            <w:noWrap/>
            <w:vAlign w:val="bottom"/>
            <w:hideMark/>
          </w:tcPr>
          <w:p w14:paraId="4B6079B1"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4F296134"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HADJ SAID</w:t>
            </w:r>
          </w:p>
        </w:tc>
        <w:tc>
          <w:tcPr>
            <w:tcW w:w="0" w:type="auto"/>
            <w:tcBorders>
              <w:top w:val="nil"/>
              <w:left w:val="nil"/>
              <w:bottom w:val="nil"/>
              <w:right w:val="nil"/>
            </w:tcBorders>
            <w:noWrap/>
            <w:vAlign w:val="bottom"/>
            <w:hideMark/>
          </w:tcPr>
          <w:p w14:paraId="0182E2EF" w14:textId="77777777" w:rsidR="00C27D6A" w:rsidRPr="00C75467" w:rsidRDefault="00C27D6A" w:rsidP="0073483A">
            <w:pPr>
              <w:widowControl w:val="0"/>
              <w:jc w:val="center"/>
              <w:rPr>
                <w:rFonts w:asciiTheme="majorHAnsi" w:hAnsiTheme="majorHAnsi"/>
                <w:color w:val="000000"/>
                <w:sz w:val="20"/>
                <w:szCs w:val="20"/>
              </w:rPr>
            </w:pPr>
            <w:r>
              <w:rPr>
                <w:rFonts w:asciiTheme="majorHAnsi" w:hAnsiTheme="majorHAnsi"/>
                <w:color w:val="000000"/>
                <w:sz w:val="20"/>
              </w:rPr>
              <w:t>AT000DZA00978</w:t>
            </w:r>
          </w:p>
        </w:tc>
      </w:tr>
      <w:tr w:rsidR="00C27D6A" w:rsidRPr="00D25DC8" w14:paraId="6F02EFD8" w14:textId="77777777" w:rsidTr="00C75467">
        <w:trPr>
          <w:trHeight w:val="288"/>
          <w:tblHeader/>
          <w:jc w:val="center"/>
        </w:trPr>
        <w:tc>
          <w:tcPr>
            <w:tcW w:w="0" w:type="auto"/>
            <w:tcBorders>
              <w:top w:val="nil"/>
              <w:left w:val="nil"/>
              <w:bottom w:val="nil"/>
              <w:right w:val="nil"/>
            </w:tcBorders>
            <w:noWrap/>
            <w:vAlign w:val="bottom"/>
            <w:hideMark/>
          </w:tcPr>
          <w:p w14:paraId="1C2A75F4"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23FBCB00" w14:textId="77777777" w:rsidR="00C27D6A" w:rsidRPr="00C75467" w:rsidRDefault="00C27D6A" w:rsidP="0073483A">
            <w:pPr>
              <w:widowControl w:val="0"/>
              <w:rPr>
                <w:rFonts w:asciiTheme="majorHAnsi" w:hAnsiTheme="majorHAnsi"/>
                <w:color w:val="000000"/>
                <w:sz w:val="20"/>
                <w:szCs w:val="20"/>
              </w:rPr>
            </w:pPr>
            <w:proofErr w:type="spellStart"/>
            <w:r>
              <w:rPr>
                <w:rFonts w:asciiTheme="majorHAnsi" w:hAnsiTheme="majorHAnsi"/>
                <w:color w:val="000000"/>
                <w:sz w:val="20"/>
              </w:rPr>
              <w:t>Meftahi</w:t>
            </w:r>
            <w:proofErr w:type="spellEnd"/>
          </w:p>
        </w:tc>
        <w:tc>
          <w:tcPr>
            <w:tcW w:w="0" w:type="auto"/>
            <w:tcBorders>
              <w:top w:val="nil"/>
              <w:left w:val="nil"/>
              <w:bottom w:val="nil"/>
              <w:right w:val="nil"/>
            </w:tcBorders>
            <w:noWrap/>
            <w:vAlign w:val="bottom"/>
            <w:hideMark/>
          </w:tcPr>
          <w:p w14:paraId="0DA7876C" w14:textId="77777777" w:rsidR="00C27D6A" w:rsidRPr="00C75467" w:rsidRDefault="00C27D6A" w:rsidP="0073483A">
            <w:pPr>
              <w:widowControl w:val="0"/>
              <w:jc w:val="center"/>
              <w:rPr>
                <w:rFonts w:asciiTheme="majorHAnsi" w:hAnsiTheme="majorHAnsi"/>
                <w:color w:val="000000"/>
                <w:sz w:val="20"/>
                <w:szCs w:val="20"/>
              </w:rPr>
            </w:pPr>
            <w:r>
              <w:rPr>
                <w:rFonts w:asciiTheme="majorHAnsi" w:hAnsiTheme="majorHAnsi"/>
                <w:color w:val="000000"/>
                <w:sz w:val="20"/>
              </w:rPr>
              <w:t>AT000DZA00996</w:t>
            </w:r>
          </w:p>
        </w:tc>
      </w:tr>
      <w:tr w:rsidR="00C27D6A" w:rsidRPr="00D25DC8" w14:paraId="736E3322" w14:textId="77777777" w:rsidTr="00C75467">
        <w:trPr>
          <w:trHeight w:val="288"/>
          <w:tblHeader/>
          <w:jc w:val="center"/>
        </w:trPr>
        <w:tc>
          <w:tcPr>
            <w:tcW w:w="0" w:type="auto"/>
            <w:tcBorders>
              <w:top w:val="nil"/>
              <w:left w:val="nil"/>
              <w:bottom w:val="nil"/>
              <w:right w:val="nil"/>
            </w:tcBorders>
            <w:noWrap/>
            <w:vAlign w:val="bottom"/>
            <w:hideMark/>
          </w:tcPr>
          <w:p w14:paraId="5EB81D1A"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584158C4"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EL-Bachir</w:t>
            </w:r>
          </w:p>
        </w:tc>
        <w:tc>
          <w:tcPr>
            <w:tcW w:w="0" w:type="auto"/>
            <w:tcBorders>
              <w:top w:val="nil"/>
              <w:left w:val="nil"/>
              <w:bottom w:val="nil"/>
              <w:right w:val="nil"/>
            </w:tcBorders>
            <w:noWrap/>
            <w:vAlign w:val="bottom"/>
            <w:hideMark/>
          </w:tcPr>
          <w:p w14:paraId="5DF74DBD" w14:textId="77777777" w:rsidR="00C27D6A" w:rsidRPr="00C75467" w:rsidRDefault="00C27D6A" w:rsidP="0073483A">
            <w:pPr>
              <w:widowControl w:val="0"/>
              <w:jc w:val="center"/>
              <w:rPr>
                <w:rFonts w:asciiTheme="majorHAnsi" w:hAnsiTheme="majorHAnsi"/>
                <w:color w:val="000000"/>
                <w:sz w:val="20"/>
                <w:szCs w:val="20"/>
              </w:rPr>
            </w:pPr>
            <w:r>
              <w:rPr>
                <w:rFonts w:asciiTheme="majorHAnsi" w:hAnsiTheme="majorHAnsi"/>
                <w:color w:val="000000"/>
                <w:sz w:val="20"/>
              </w:rPr>
              <w:t>AT000DZA00997</w:t>
            </w:r>
          </w:p>
        </w:tc>
      </w:tr>
      <w:tr w:rsidR="00C27D6A" w:rsidRPr="00D25DC8" w14:paraId="54B0895B" w14:textId="77777777" w:rsidTr="00C75467">
        <w:trPr>
          <w:trHeight w:val="288"/>
          <w:tblHeader/>
          <w:jc w:val="center"/>
        </w:trPr>
        <w:tc>
          <w:tcPr>
            <w:tcW w:w="0" w:type="auto"/>
            <w:tcBorders>
              <w:top w:val="nil"/>
              <w:left w:val="nil"/>
              <w:bottom w:val="nil"/>
              <w:right w:val="nil"/>
            </w:tcBorders>
            <w:noWrap/>
            <w:vAlign w:val="bottom"/>
            <w:hideMark/>
          </w:tcPr>
          <w:p w14:paraId="65AC99A2"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298EC67A"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El Hadj Omar</w:t>
            </w:r>
          </w:p>
        </w:tc>
        <w:tc>
          <w:tcPr>
            <w:tcW w:w="0" w:type="auto"/>
            <w:tcBorders>
              <w:top w:val="nil"/>
              <w:left w:val="nil"/>
              <w:bottom w:val="nil"/>
              <w:right w:val="nil"/>
            </w:tcBorders>
            <w:noWrap/>
            <w:vAlign w:val="bottom"/>
            <w:hideMark/>
          </w:tcPr>
          <w:p w14:paraId="6560FC00" w14:textId="77777777" w:rsidR="00C27D6A" w:rsidRPr="00C75467" w:rsidRDefault="00C27D6A" w:rsidP="0073483A">
            <w:pPr>
              <w:widowControl w:val="0"/>
              <w:jc w:val="center"/>
              <w:rPr>
                <w:rFonts w:asciiTheme="majorHAnsi" w:hAnsiTheme="majorHAnsi"/>
                <w:color w:val="000000"/>
                <w:sz w:val="20"/>
                <w:szCs w:val="20"/>
              </w:rPr>
            </w:pPr>
            <w:r>
              <w:rPr>
                <w:rFonts w:asciiTheme="majorHAnsi" w:hAnsiTheme="majorHAnsi"/>
                <w:color w:val="000000"/>
                <w:sz w:val="20"/>
              </w:rPr>
              <w:t>AT000DZA00998</w:t>
            </w:r>
          </w:p>
        </w:tc>
      </w:tr>
      <w:tr w:rsidR="00C27D6A" w:rsidRPr="00D25DC8" w14:paraId="517FB947" w14:textId="77777777" w:rsidTr="00C75467">
        <w:trPr>
          <w:trHeight w:val="288"/>
          <w:tblHeader/>
          <w:jc w:val="center"/>
        </w:trPr>
        <w:tc>
          <w:tcPr>
            <w:tcW w:w="0" w:type="auto"/>
            <w:tcBorders>
              <w:top w:val="nil"/>
              <w:left w:val="nil"/>
              <w:bottom w:val="nil"/>
              <w:right w:val="nil"/>
            </w:tcBorders>
            <w:noWrap/>
            <w:vAlign w:val="bottom"/>
            <w:hideMark/>
          </w:tcPr>
          <w:p w14:paraId="13923D7B"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6C4D4DDB"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LES FRERES BENAMANE</w:t>
            </w:r>
          </w:p>
        </w:tc>
        <w:tc>
          <w:tcPr>
            <w:tcW w:w="0" w:type="auto"/>
            <w:tcBorders>
              <w:top w:val="nil"/>
              <w:left w:val="nil"/>
              <w:bottom w:val="nil"/>
              <w:right w:val="nil"/>
            </w:tcBorders>
            <w:noWrap/>
            <w:vAlign w:val="bottom"/>
            <w:hideMark/>
          </w:tcPr>
          <w:p w14:paraId="6CB0B0E9" w14:textId="77777777" w:rsidR="00C27D6A" w:rsidRPr="00C75467" w:rsidRDefault="00C27D6A" w:rsidP="0073483A">
            <w:pPr>
              <w:widowControl w:val="0"/>
              <w:jc w:val="center"/>
              <w:rPr>
                <w:rFonts w:asciiTheme="majorHAnsi" w:hAnsiTheme="majorHAnsi"/>
                <w:color w:val="000000"/>
                <w:sz w:val="20"/>
                <w:szCs w:val="20"/>
              </w:rPr>
            </w:pPr>
            <w:r>
              <w:rPr>
                <w:rFonts w:asciiTheme="majorHAnsi" w:hAnsiTheme="majorHAnsi"/>
                <w:color w:val="000000"/>
                <w:sz w:val="20"/>
              </w:rPr>
              <w:t>AT000DZA00999</w:t>
            </w:r>
          </w:p>
        </w:tc>
      </w:tr>
      <w:tr w:rsidR="00C27D6A" w:rsidRPr="00D25DC8" w14:paraId="2436B3C1" w14:textId="77777777" w:rsidTr="00C75467">
        <w:trPr>
          <w:trHeight w:val="288"/>
          <w:tblHeader/>
          <w:jc w:val="center"/>
        </w:trPr>
        <w:tc>
          <w:tcPr>
            <w:tcW w:w="0" w:type="auto"/>
            <w:tcBorders>
              <w:top w:val="nil"/>
              <w:left w:val="nil"/>
              <w:bottom w:val="nil"/>
              <w:right w:val="nil"/>
            </w:tcBorders>
            <w:noWrap/>
            <w:vAlign w:val="bottom"/>
            <w:hideMark/>
          </w:tcPr>
          <w:p w14:paraId="2BF3C285"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417A271B"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 xml:space="preserve">El </w:t>
            </w:r>
            <w:proofErr w:type="spellStart"/>
            <w:r>
              <w:rPr>
                <w:rFonts w:asciiTheme="majorHAnsi" w:hAnsiTheme="majorHAnsi"/>
                <w:color w:val="000000"/>
                <w:sz w:val="20"/>
              </w:rPr>
              <w:t>Chourouk</w:t>
            </w:r>
            <w:proofErr w:type="spellEnd"/>
          </w:p>
        </w:tc>
        <w:tc>
          <w:tcPr>
            <w:tcW w:w="0" w:type="auto"/>
            <w:tcBorders>
              <w:top w:val="nil"/>
              <w:left w:val="nil"/>
              <w:bottom w:val="nil"/>
              <w:right w:val="nil"/>
            </w:tcBorders>
            <w:noWrap/>
            <w:vAlign w:val="bottom"/>
            <w:hideMark/>
          </w:tcPr>
          <w:p w14:paraId="063B18E5" w14:textId="77777777" w:rsidR="00C27D6A" w:rsidRPr="00C75467" w:rsidRDefault="00C27D6A" w:rsidP="0073483A">
            <w:pPr>
              <w:widowControl w:val="0"/>
              <w:jc w:val="center"/>
              <w:rPr>
                <w:rFonts w:asciiTheme="majorHAnsi" w:hAnsiTheme="majorHAnsi"/>
                <w:color w:val="000000"/>
                <w:sz w:val="20"/>
                <w:szCs w:val="20"/>
              </w:rPr>
            </w:pPr>
            <w:r>
              <w:rPr>
                <w:rFonts w:asciiTheme="majorHAnsi" w:hAnsiTheme="majorHAnsi"/>
                <w:color w:val="000000"/>
                <w:sz w:val="20"/>
              </w:rPr>
              <w:t>AT000DZA00820</w:t>
            </w:r>
          </w:p>
        </w:tc>
      </w:tr>
      <w:tr w:rsidR="00C27D6A" w:rsidRPr="00D25DC8" w14:paraId="15090665" w14:textId="77777777" w:rsidTr="00C75467">
        <w:trPr>
          <w:trHeight w:val="288"/>
          <w:tblHeader/>
          <w:jc w:val="center"/>
        </w:trPr>
        <w:tc>
          <w:tcPr>
            <w:tcW w:w="0" w:type="auto"/>
            <w:tcBorders>
              <w:top w:val="nil"/>
              <w:left w:val="nil"/>
              <w:bottom w:val="nil"/>
              <w:right w:val="nil"/>
            </w:tcBorders>
            <w:noWrap/>
            <w:vAlign w:val="bottom"/>
            <w:hideMark/>
          </w:tcPr>
          <w:p w14:paraId="619AAD2E"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05F2B527"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 xml:space="preserve">Al </w:t>
            </w:r>
            <w:proofErr w:type="spellStart"/>
            <w:r>
              <w:rPr>
                <w:rFonts w:asciiTheme="majorHAnsi" w:hAnsiTheme="majorHAnsi"/>
                <w:color w:val="000000"/>
                <w:sz w:val="20"/>
              </w:rPr>
              <w:t>Majed</w:t>
            </w:r>
            <w:proofErr w:type="spellEnd"/>
          </w:p>
        </w:tc>
        <w:tc>
          <w:tcPr>
            <w:tcW w:w="0" w:type="auto"/>
            <w:tcBorders>
              <w:top w:val="nil"/>
              <w:left w:val="nil"/>
              <w:bottom w:val="nil"/>
              <w:right w:val="nil"/>
            </w:tcBorders>
            <w:noWrap/>
            <w:vAlign w:val="bottom"/>
            <w:hideMark/>
          </w:tcPr>
          <w:p w14:paraId="4B1C3ACF" w14:textId="77777777" w:rsidR="00C27D6A" w:rsidRPr="00C75467" w:rsidRDefault="00C27D6A" w:rsidP="0073483A">
            <w:pPr>
              <w:widowControl w:val="0"/>
              <w:jc w:val="center"/>
              <w:rPr>
                <w:rFonts w:asciiTheme="majorHAnsi" w:hAnsiTheme="majorHAnsi"/>
                <w:color w:val="000000"/>
                <w:sz w:val="20"/>
                <w:szCs w:val="20"/>
              </w:rPr>
            </w:pPr>
            <w:r>
              <w:rPr>
                <w:rFonts w:asciiTheme="majorHAnsi" w:hAnsiTheme="majorHAnsi"/>
                <w:color w:val="000000"/>
                <w:sz w:val="20"/>
              </w:rPr>
              <w:t>AT000DZA00011</w:t>
            </w:r>
          </w:p>
        </w:tc>
      </w:tr>
      <w:tr w:rsidR="00C27D6A" w:rsidRPr="00D25DC8" w14:paraId="5CEBE206" w14:textId="77777777" w:rsidTr="00C75467">
        <w:trPr>
          <w:trHeight w:val="288"/>
          <w:tblHeader/>
          <w:jc w:val="center"/>
        </w:trPr>
        <w:tc>
          <w:tcPr>
            <w:tcW w:w="0" w:type="auto"/>
            <w:tcBorders>
              <w:top w:val="nil"/>
              <w:left w:val="nil"/>
              <w:bottom w:val="nil"/>
              <w:right w:val="nil"/>
            </w:tcBorders>
            <w:noWrap/>
            <w:vAlign w:val="bottom"/>
            <w:hideMark/>
          </w:tcPr>
          <w:p w14:paraId="16471973"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40A81291"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El Kader</w:t>
            </w:r>
          </w:p>
        </w:tc>
        <w:tc>
          <w:tcPr>
            <w:tcW w:w="0" w:type="auto"/>
            <w:tcBorders>
              <w:top w:val="nil"/>
              <w:left w:val="nil"/>
              <w:bottom w:val="nil"/>
              <w:right w:val="nil"/>
            </w:tcBorders>
            <w:noWrap/>
            <w:vAlign w:val="bottom"/>
            <w:hideMark/>
          </w:tcPr>
          <w:p w14:paraId="0ADD0A96" w14:textId="77777777" w:rsidR="00C27D6A" w:rsidRPr="00C75467" w:rsidRDefault="00C27D6A" w:rsidP="0073483A">
            <w:pPr>
              <w:widowControl w:val="0"/>
              <w:jc w:val="center"/>
              <w:rPr>
                <w:rFonts w:asciiTheme="majorHAnsi" w:hAnsiTheme="majorHAnsi"/>
                <w:color w:val="000000"/>
                <w:sz w:val="20"/>
                <w:szCs w:val="20"/>
              </w:rPr>
            </w:pPr>
            <w:r>
              <w:rPr>
                <w:rFonts w:asciiTheme="majorHAnsi" w:hAnsiTheme="majorHAnsi"/>
                <w:color w:val="000000"/>
                <w:sz w:val="20"/>
              </w:rPr>
              <w:t>AT000DZA00012</w:t>
            </w:r>
          </w:p>
        </w:tc>
      </w:tr>
      <w:tr w:rsidR="00C27D6A" w:rsidRPr="00D25DC8" w14:paraId="55F0A018" w14:textId="77777777" w:rsidTr="00C75467">
        <w:trPr>
          <w:trHeight w:val="288"/>
          <w:tblHeader/>
          <w:jc w:val="center"/>
        </w:trPr>
        <w:tc>
          <w:tcPr>
            <w:tcW w:w="0" w:type="auto"/>
            <w:tcBorders>
              <w:top w:val="nil"/>
              <w:left w:val="nil"/>
              <w:bottom w:val="nil"/>
              <w:right w:val="nil"/>
            </w:tcBorders>
            <w:noWrap/>
            <w:vAlign w:val="bottom"/>
            <w:hideMark/>
          </w:tcPr>
          <w:p w14:paraId="604AEF99" w14:textId="77777777" w:rsidR="00C27D6A" w:rsidRPr="00C75467" w:rsidRDefault="00C27D6A" w:rsidP="0073483A">
            <w:pPr>
              <w:widowControl w:val="0"/>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35D69E3E" w14:textId="77777777" w:rsidR="00C27D6A" w:rsidRPr="00C75467" w:rsidRDefault="00C27D6A" w:rsidP="0073483A">
            <w:pPr>
              <w:widowControl w:val="0"/>
              <w:rPr>
                <w:rFonts w:asciiTheme="majorHAnsi" w:hAnsiTheme="majorHAnsi"/>
                <w:color w:val="000000"/>
                <w:sz w:val="20"/>
                <w:szCs w:val="20"/>
              </w:rPr>
            </w:pPr>
            <w:proofErr w:type="spellStart"/>
            <w:r>
              <w:rPr>
                <w:rFonts w:asciiTheme="majorHAnsi" w:hAnsiTheme="majorHAnsi"/>
                <w:color w:val="000000"/>
                <w:sz w:val="20"/>
              </w:rPr>
              <w:t>Borhane</w:t>
            </w:r>
            <w:proofErr w:type="spellEnd"/>
            <w:r>
              <w:rPr>
                <w:rFonts w:asciiTheme="majorHAnsi" w:hAnsiTheme="majorHAnsi"/>
                <w:color w:val="000000"/>
                <w:sz w:val="20"/>
              </w:rPr>
              <w:t xml:space="preserve"> I</w:t>
            </w:r>
          </w:p>
        </w:tc>
        <w:tc>
          <w:tcPr>
            <w:tcW w:w="0" w:type="auto"/>
            <w:tcBorders>
              <w:top w:val="nil"/>
              <w:left w:val="nil"/>
              <w:bottom w:val="nil"/>
              <w:right w:val="nil"/>
            </w:tcBorders>
            <w:noWrap/>
            <w:vAlign w:val="bottom"/>
            <w:hideMark/>
          </w:tcPr>
          <w:p w14:paraId="05818C51" w14:textId="77777777" w:rsidR="00C27D6A" w:rsidRPr="00C75467" w:rsidRDefault="00C27D6A" w:rsidP="0073483A">
            <w:pPr>
              <w:widowControl w:val="0"/>
              <w:jc w:val="center"/>
              <w:rPr>
                <w:rFonts w:asciiTheme="majorHAnsi" w:hAnsiTheme="majorHAnsi"/>
                <w:color w:val="000000"/>
                <w:sz w:val="20"/>
                <w:szCs w:val="20"/>
              </w:rPr>
            </w:pPr>
            <w:r>
              <w:rPr>
                <w:rFonts w:asciiTheme="majorHAnsi" w:hAnsiTheme="majorHAnsi"/>
                <w:color w:val="000000"/>
                <w:sz w:val="20"/>
              </w:rPr>
              <w:t>AT000DZA00384</w:t>
            </w:r>
          </w:p>
        </w:tc>
      </w:tr>
      <w:tr w:rsidR="00C27D6A" w:rsidRPr="00D25DC8" w14:paraId="1A7E24AC" w14:textId="77777777" w:rsidTr="00C75467">
        <w:trPr>
          <w:trHeight w:val="288"/>
          <w:tblHeader/>
          <w:jc w:val="center"/>
        </w:trPr>
        <w:tc>
          <w:tcPr>
            <w:tcW w:w="0" w:type="auto"/>
            <w:tcBorders>
              <w:top w:val="nil"/>
              <w:left w:val="nil"/>
              <w:bottom w:val="nil"/>
              <w:right w:val="nil"/>
            </w:tcBorders>
            <w:noWrap/>
            <w:vAlign w:val="bottom"/>
            <w:hideMark/>
          </w:tcPr>
          <w:p w14:paraId="0B3A9A0E"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6234BCB0"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Marwa 1</w:t>
            </w:r>
          </w:p>
        </w:tc>
        <w:tc>
          <w:tcPr>
            <w:tcW w:w="0" w:type="auto"/>
            <w:tcBorders>
              <w:top w:val="nil"/>
              <w:left w:val="nil"/>
              <w:bottom w:val="nil"/>
              <w:right w:val="nil"/>
            </w:tcBorders>
            <w:noWrap/>
            <w:vAlign w:val="bottom"/>
            <w:hideMark/>
          </w:tcPr>
          <w:p w14:paraId="1C378F38"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AT000DZA01000</w:t>
            </w:r>
          </w:p>
        </w:tc>
      </w:tr>
      <w:tr w:rsidR="00C27D6A" w:rsidRPr="00D25DC8" w14:paraId="599DA043" w14:textId="77777777" w:rsidTr="00C75467">
        <w:trPr>
          <w:trHeight w:val="288"/>
          <w:tblHeader/>
          <w:jc w:val="center"/>
        </w:trPr>
        <w:tc>
          <w:tcPr>
            <w:tcW w:w="0" w:type="auto"/>
            <w:tcBorders>
              <w:top w:val="nil"/>
              <w:left w:val="nil"/>
              <w:bottom w:val="nil"/>
              <w:right w:val="nil"/>
            </w:tcBorders>
            <w:noWrap/>
            <w:vAlign w:val="bottom"/>
            <w:hideMark/>
          </w:tcPr>
          <w:p w14:paraId="74519F57"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7A5ACA08"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WAFID ZINE EDDINE</w:t>
            </w:r>
          </w:p>
        </w:tc>
        <w:tc>
          <w:tcPr>
            <w:tcW w:w="0" w:type="auto"/>
            <w:tcBorders>
              <w:top w:val="nil"/>
              <w:left w:val="nil"/>
              <w:bottom w:val="nil"/>
              <w:right w:val="nil"/>
            </w:tcBorders>
            <w:noWrap/>
            <w:vAlign w:val="bottom"/>
            <w:hideMark/>
          </w:tcPr>
          <w:p w14:paraId="080597CF"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AT000DZA01001</w:t>
            </w:r>
          </w:p>
        </w:tc>
      </w:tr>
      <w:tr w:rsidR="00C27D6A" w:rsidRPr="00D25DC8" w14:paraId="0E11CFEE" w14:textId="77777777" w:rsidTr="00C75467">
        <w:trPr>
          <w:trHeight w:val="288"/>
          <w:tblHeader/>
          <w:jc w:val="center"/>
        </w:trPr>
        <w:tc>
          <w:tcPr>
            <w:tcW w:w="0" w:type="auto"/>
            <w:tcBorders>
              <w:top w:val="nil"/>
              <w:left w:val="nil"/>
              <w:bottom w:val="nil"/>
              <w:right w:val="nil"/>
            </w:tcBorders>
            <w:noWrap/>
            <w:vAlign w:val="bottom"/>
            <w:hideMark/>
          </w:tcPr>
          <w:p w14:paraId="0F1A0FCC"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75DCB656"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AHMED SALIM</w:t>
            </w:r>
          </w:p>
        </w:tc>
        <w:tc>
          <w:tcPr>
            <w:tcW w:w="0" w:type="auto"/>
            <w:tcBorders>
              <w:top w:val="nil"/>
              <w:left w:val="nil"/>
              <w:bottom w:val="nil"/>
              <w:right w:val="nil"/>
            </w:tcBorders>
            <w:noWrap/>
            <w:vAlign w:val="bottom"/>
            <w:hideMark/>
          </w:tcPr>
          <w:p w14:paraId="2F4BE80C"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AT000DZA01002</w:t>
            </w:r>
          </w:p>
        </w:tc>
      </w:tr>
      <w:tr w:rsidR="00C27D6A" w:rsidRPr="00D25DC8" w14:paraId="05DA6A44" w14:textId="77777777" w:rsidTr="00C75467">
        <w:trPr>
          <w:trHeight w:val="288"/>
          <w:tblHeader/>
          <w:jc w:val="center"/>
        </w:trPr>
        <w:tc>
          <w:tcPr>
            <w:tcW w:w="0" w:type="auto"/>
            <w:tcBorders>
              <w:top w:val="nil"/>
              <w:left w:val="nil"/>
              <w:bottom w:val="nil"/>
              <w:right w:val="nil"/>
            </w:tcBorders>
            <w:noWrap/>
            <w:vAlign w:val="bottom"/>
            <w:hideMark/>
          </w:tcPr>
          <w:p w14:paraId="5C62A072"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4EB21E17"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EL MAJDE</w:t>
            </w:r>
          </w:p>
        </w:tc>
        <w:tc>
          <w:tcPr>
            <w:tcW w:w="0" w:type="auto"/>
            <w:tcBorders>
              <w:top w:val="nil"/>
              <w:left w:val="nil"/>
              <w:bottom w:val="nil"/>
              <w:right w:val="nil"/>
            </w:tcBorders>
            <w:noWrap/>
            <w:vAlign w:val="bottom"/>
            <w:hideMark/>
          </w:tcPr>
          <w:p w14:paraId="223928AE"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AT000DZA00332</w:t>
            </w:r>
          </w:p>
        </w:tc>
      </w:tr>
      <w:tr w:rsidR="00C27D6A" w:rsidRPr="00D25DC8" w14:paraId="726CF42C" w14:textId="77777777" w:rsidTr="00C75467">
        <w:trPr>
          <w:trHeight w:val="288"/>
          <w:tblHeader/>
          <w:jc w:val="center"/>
        </w:trPr>
        <w:tc>
          <w:tcPr>
            <w:tcW w:w="0" w:type="auto"/>
            <w:tcBorders>
              <w:top w:val="nil"/>
              <w:left w:val="nil"/>
              <w:bottom w:val="nil"/>
              <w:right w:val="nil"/>
            </w:tcBorders>
            <w:noWrap/>
            <w:vAlign w:val="bottom"/>
            <w:hideMark/>
          </w:tcPr>
          <w:p w14:paraId="272B5805"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44DC7CD3"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HADJ SOUFI MOHAMED</w:t>
            </w:r>
          </w:p>
        </w:tc>
        <w:tc>
          <w:tcPr>
            <w:tcW w:w="0" w:type="auto"/>
            <w:tcBorders>
              <w:top w:val="nil"/>
              <w:left w:val="nil"/>
              <w:bottom w:val="nil"/>
              <w:right w:val="nil"/>
            </w:tcBorders>
            <w:noWrap/>
            <w:vAlign w:val="bottom"/>
            <w:hideMark/>
          </w:tcPr>
          <w:p w14:paraId="59AD8FA8"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AT000DZA01003</w:t>
            </w:r>
          </w:p>
        </w:tc>
      </w:tr>
      <w:tr w:rsidR="00C27D6A" w:rsidRPr="00D25DC8" w14:paraId="5C01EA7E" w14:textId="77777777" w:rsidTr="00C75467">
        <w:trPr>
          <w:trHeight w:val="288"/>
          <w:tblHeader/>
          <w:jc w:val="center"/>
        </w:trPr>
        <w:tc>
          <w:tcPr>
            <w:tcW w:w="0" w:type="auto"/>
            <w:tcBorders>
              <w:top w:val="nil"/>
              <w:left w:val="nil"/>
              <w:bottom w:val="nil"/>
              <w:right w:val="nil"/>
            </w:tcBorders>
            <w:noWrap/>
            <w:vAlign w:val="bottom"/>
            <w:hideMark/>
          </w:tcPr>
          <w:p w14:paraId="58E03B83"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2D57F06D"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SIDI MAAMAR</w:t>
            </w:r>
          </w:p>
        </w:tc>
        <w:tc>
          <w:tcPr>
            <w:tcW w:w="0" w:type="auto"/>
            <w:tcBorders>
              <w:top w:val="nil"/>
              <w:left w:val="nil"/>
              <w:bottom w:val="nil"/>
              <w:right w:val="nil"/>
            </w:tcBorders>
            <w:noWrap/>
            <w:vAlign w:val="bottom"/>
            <w:hideMark/>
          </w:tcPr>
          <w:p w14:paraId="21AF454A"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AT000DZA00018</w:t>
            </w:r>
          </w:p>
        </w:tc>
      </w:tr>
      <w:tr w:rsidR="00C27D6A" w:rsidRPr="00D25DC8" w14:paraId="7184597E" w14:textId="77777777" w:rsidTr="00C75467">
        <w:trPr>
          <w:trHeight w:val="288"/>
          <w:tblHeader/>
          <w:jc w:val="center"/>
        </w:trPr>
        <w:tc>
          <w:tcPr>
            <w:tcW w:w="0" w:type="auto"/>
            <w:tcBorders>
              <w:top w:val="nil"/>
              <w:left w:val="nil"/>
              <w:bottom w:val="nil"/>
              <w:right w:val="nil"/>
            </w:tcBorders>
            <w:noWrap/>
            <w:vAlign w:val="bottom"/>
            <w:hideMark/>
          </w:tcPr>
          <w:p w14:paraId="508DCFF8"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6B704205"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AHMED ROBAINE</w:t>
            </w:r>
          </w:p>
        </w:tc>
        <w:tc>
          <w:tcPr>
            <w:tcW w:w="0" w:type="auto"/>
            <w:tcBorders>
              <w:top w:val="nil"/>
              <w:left w:val="nil"/>
              <w:bottom w:val="nil"/>
              <w:right w:val="nil"/>
            </w:tcBorders>
            <w:noWrap/>
            <w:vAlign w:val="bottom"/>
            <w:hideMark/>
          </w:tcPr>
          <w:p w14:paraId="4CA1AD5B"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AT000DZA00816</w:t>
            </w:r>
          </w:p>
        </w:tc>
      </w:tr>
      <w:tr w:rsidR="00C27D6A" w:rsidRPr="00D25DC8" w14:paraId="66660EE8" w14:textId="77777777" w:rsidTr="00C75467">
        <w:trPr>
          <w:trHeight w:val="288"/>
          <w:tblHeader/>
          <w:jc w:val="center"/>
        </w:trPr>
        <w:tc>
          <w:tcPr>
            <w:tcW w:w="0" w:type="auto"/>
            <w:tcBorders>
              <w:top w:val="nil"/>
              <w:left w:val="nil"/>
              <w:bottom w:val="nil"/>
              <w:right w:val="nil"/>
            </w:tcBorders>
            <w:noWrap/>
            <w:vAlign w:val="bottom"/>
            <w:hideMark/>
          </w:tcPr>
          <w:p w14:paraId="7D6A2404"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6BF4A75C"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AHMED ROBAINE II</w:t>
            </w:r>
          </w:p>
        </w:tc>
        <w:tc>
          <w:tcPr>
            <w:tcW w:w="0" w:type="auto"/>
            <w:tcBorders>
              <w:top w:val="nil"/>
              <w:left w:val="nil"/>
              <w:bottom w:val="nil"/>
              <w:right w:val="nil"/>
            </w:tcBorders>
            <w:noWrap/>
            <w:vAlign w:val="bottom"/>
            <w:hideMark/>
          </w:tcPr>
          <w:p w14:paraId="23C562A5"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AT000DZA00976</w:t>
            </w:r>
          </w:p>
        </w:tc>
      </w:tr>
      <w:tr w:rsidR="00C27D6A" w:rsidRPr="00D25DC8" w14:paraId="08536AD4" w14:textId="77777777" w:rsidTr="00C75467">
        <w:trPr>
          <w:trHeight w:val="288"/>
          <w:tblHeader/>
          <w:jc w:val="center"/>
        </w:trPr>
        <w:tc>
          <w:tcPr>
            <w:tcW w:w="0" w:type="auto"/>
            <w:tcBorders>
              <w:top w:val="nil"/>
              <w:left w:val="nil"/>
              <w:bottom w:val="nil"/>
              <w:right w:val="nil"/>
            </w:tcBorders>
            <w:noWrap/>
            <w:vAlign w:val="bottom"/>
            <w:hideMark/>
          </w:tcPr>
          <w:p w14:paraId="7456D89C"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42C0BBF4"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ECHAHID MOSTEFA BENBOULAID</w:t>
            </w:r>
          </w:p>
        </w:tc>
        <w:tc>
          <w:tcPr>
            <w:tcW w:w="0" w:type="auto"/>
            <w:tcBorders>
              <w:top w:val="nil"/>
              <w:left w:val="nil"/>
              <w:bottom w:val="nil"/>
              <w:right w:val="nil"/>
            </w:tcBorders>
            <w:noWrap/>
            <w:vAlign w:val="bottom"/>
            <w:hideMark/>
          </w:tcPr>
          <w:p w14:paraId="76F74D0A"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AT000DZA00017</w:t>
            </w:r>
          </w:p>
        </w:tc>
      </w:tr>
      <w:tr w:rsidR="00C27D6A" w:rsidRPr="00D25DC8" w14:paraId="405AD469" w14:textId="77777777" w:rsidTr="00C75467">
        <w:trPr>
          <w:trHeight w:val="288"/>
          <w:tblHeader/>
          <w:jc w:val="center"/>
        </w:trPr>
        <w:tc>
          <w:tcPr>
            <w:tcW w:w="0" w:type="auto"/>
            <w:tcBorders>
              <w:top w:val="nil"/>
              <w:left w:val="nil"/>
              <w:bottom w:val="nil"/>
              <w:right w:val="nil"/>
            </w:tcBorders>
            <w:noWrap/>
            <w:vAlign w:val="bottom"/>
            <w:hideMark/>
          </w:tcPr>
          <w:p w14:paraId="0335F39A"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47CF1158"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Neptune V</w:t>
            </w:r>
          </w:p>
        </w:tc>
        <w:tc>
          <w:tcPr>
            <w:tcW w:w="0" w:type="auto"/>
            <w:tcBorders>
              <w:top w:val="nil"/>
              <w:left w:val="nil"/>
              <w:bottom w:val="nil"/>
              <w:right w:val="nil"/>
            </w:tcBorders>
            <w:noWrap/>
            <w:vAlign w:val="bottom"/>
            <w:hideMark/>
          </w:tcPr>
          <w:p w14:paraId="6DD931DD"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AT000DZA00005</w:t>
            </w:r>
          </w:p>
        </w:tc>
      </w:tr>
      <w:tr w:rsidR="00C27D6A" w:rsidRPr="00D25DC8" w14:paraId="2F3CCD1E" w14:textId="77777777" w:rsidTr="00C75467">
        <w:trPr>
          <w:trHeight w:val="288"/>
          <w:tblHeader/>
          <w:jc w:val="center"/>
        </w:trPr>
        <w:tc>
          <w:tcPr>
            <w:tcW w:w="0" w:type="auto"/>
            <w:tcBorders>
              <w:top w:val="nil"/>
              <w:left w:val="nil"/>
              <w:bottom w:val="nil"/>
              <w:right w:val="nil"/>
            </w:tcBorders>
            <w:noWrap/>
            <w:vAlign w:val="bottom"/>
            <w:hideMark/>
          </w:tcPr>
          <w:p w14:paraId="779393FC"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73A13490"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Riadh</w:t>
            </w:r>
          </w:p>
        </w:tc>
        <w:tc>
          <w:tcPr>
            <w:tcW w:w="0" w:type="auto"/>
            <w:tcBorders>
              <w:top w:val="nil"/>
              <w:left w:val="nil"/>
              <w:bottom w:val="nil"/>
              <w:right w:val="nil"/>
            </w:tcBorders>
            <w:noWrap/>
            <w:vAlign w:val="bottom"/>
            <w:hideMark/>
          </w:tcPr>
          <w:p w14:paraId="0A6A68A2"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AT000DZA00995</w:t>
            </w:r>
          </w:p>
        </w:tc>
      </w:tr>
      <w:tr w:rsidR="00C27D6A" w:rsidRPr="00D25DC8" w14:paraId="3217E66A" w14:textId="77777777" w:rsidTr="00C75467">
        <w:trPr>
          <w:trHeight w:val="288"/>
          <w:tblHeader/>
          <w:jc w:val="center"/>
        </w:trPr>
        <w:tc>
          <w:tcPr>
            <w:tcW w:w="0" w:type="auto"/>
            <w:tcBorders>
              <w:top w:val="nil"/>
              <w:left w:val="nil"/>
              <w:bottom w:val="nil"/>
              <w:right w:val="nil"/>
            </w:tcBorders>
            <w:noWrap/>
            <w:vAlign w:val="bottom"/>
            <w:hideMark/>
          </w:tcPr>
          <w:p w14:paraId="4A95CF90"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7048B514"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RAIS AMARI</w:t>
            </w:r>
          </w:p>
        </w:tc>
        <w:tc>
          <w:tcPr>
            <w:tcW w:w="0" w:type="auto"/>
            <w:tcBorders>
              <w:top w:val="nil"/>
              <w:left w:val="nil"/>
              <w:bottom w:val="nil"/>
              <w:right w:val="nil"/>
            </w:tcBorders>
            <w:noWrap/>
            <w:vAlign w:val="bottom"/>
            <w:hideMark/>
          </w:tcPr>
          <w:p w14:paraId="3057C471"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AT000DZA01028</w:t>
            </w:r>
          </w:p>
        </w:tc>
      </w:tr>
      <w:tr w:rsidR="00C27D6A" w:rsidRPr="00D25DC8" w14:paraId="56AD1E24" w14:textId="77777777" w:rsidTr="00C75467">
        <w:trPr>
          <w:trHeight w:val="288"/>
          <w:tblHeader/>
          <w:jc w:val="center"/>
        </w:trPr>
        <w:tc>
          <w:tcPr>
            <w:tcW w:w="0" w:type="auto"/>
            <w:tcBorders>
              <w:top w:val="nil"/>
              <w:left w:val="nil"/>
              <w:bottom w:val="nil"/>
              <w:right w:val="nil"/>
            </w:tcBorders>
            <w:noWrap/>
            <w:vAlign w:val="bottom"/>
            <w:hideMark/>
          </w:tcPr>
          <w:p w14:paraId="59EF2F4C"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47F658B1"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 xml:space="preserve">Oum El </w:t>
            </w:r>
            <w:proofErr w:type="spellStart"/>
            <w:r>
              <w:rPr>
                <w:rFonts w:asciiTheme="majorHAnsi" w:hAnsiTheme="majorHAnsi"/>
                <w:color w:val="000000"/>
                <w:sz w:val="20"/>
              </w:rPr>
              <w:t>Kheir</w:t>
            </w:r>
            <w:proofErr w:type="spellEnd"/>
          </w:p>
        </w:tc>
        <w:tc>
          <w:tcPr>
            <w:tcW w:w="0" w:type="auto"/>
            <w:tcBorders>
              <w:top w:val="nil"/>
              <w:left w:val="nil"/>
              <w:bottom w:val="nil"/>
              <w:right w:val="nil"/>
            </w:tcBorders>
            <w:noWrap/>
            <w:vAlign w:val="bottom"/>
            <w:hideMark/>
          </w:tcPr>
          <w:p w14:paraId="50B54F39"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AT000DZA01029</w:t>
            </w:r>
          </w:p>
        </w:tc>
      </w:tr>
      <w:tr w:rsidR="00C27D6A" w:rsidRPr="00D25DC8" w14:paraId="26E7E478" w14:textId="77777777" w:rsidTr="00C75467">
        <w:trPr>
          <w:trHeight w:val="288"/>
          <w:tblHeader/>
          <w:jc w:val="center"/>
        </w:trPr>
        <w:tc>
          <w:tcPr>
            <w:tcW w:w="0" w:type="auto"/>
            <w:tcBorders>
              <w:top w:val="nil"/>
              <w:left w:val="nil"/>
              <w:bottom w:val="nil"/>
              <w:right w:val="nil"/>
            </w:tcBorders>
            <w:noWrap/>
            <w:vAlign w:val="bottom"/>
            <w:hideMark/>
          </w:tcPr>
          <w:p w14:paraId="4A6A1C26"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63C6CC2C" w14:textId="77777777" w:rsidR="00C27D6A" w:rsidRPr="00C75467" w:rsidRDefault="00C27D6A" w:rsidP="00F36743">
            <w:pPr>
              <w:rPr>
                <w:rFonts w:asciiTheme="majorHAnsi" w:hAnsiTheme="majorHAnsi"/>
                <w:color w:val="000000"/>
                <w:sz w:val="20"/>
                <w:szCs w:val="20"/>
              </w:rPr>
            </w:pPr>
            <w:proofErr w:type="spellStart"/>
            <w:r>
              <w:rPr>
                <w:rFonts w:asciiTheme="majorHAnsi" w:hAnsiTheme="majorHAnsi"/>
                <w:color w:val="000000"/>
                <w:sz w:val="20"/>
              </w:rPr>
              <w:t>Madinet</w:t>
            </w:r>
            <w:proofErr w:type="spellEnd"/>
            <w:r>
              <w:rPr>
                <w:rFonts w:asciiTheme="majorHAnsi" w:hAnsiTheme="majorHAnsi"/>
                <w:color w:val="000000"/>
                <w:sz w:val="20"/>
              </w:rPr>
              <w:t xml:space="preserve"> Béni-</w:t>
            </w:r>
            <w:proofErr w:type="spellStart"/>
            <w:r>
              <w:rPr>
                <w:rFonts w:asciiTheme="majorHAnsi" w:hAnsiTheme="majorHAnsi"/>
                <w:color w:val="000000"/>
                <w:sz w:val="20"/>
              </w:rPr>
              <w:t>Saf</w:t>
            </w:r>
            <w:proofErr w:type="spellEnd"/>
          </w:p>
        </w:tc>
        <w:tc>
          <w:tcPr>
            <w:tcW w:w="0" w:type="auto"/>
            <w:tcBorders>
              <w:top w:val="nil"/>
              <w:left w:val="nil"/>
              <w:bottom w:val="nil"/>
              <w:right w:val="nil"/>
            </w:tcBorders>
            <w:noWrap/>
            <w:vAlign w:val="bottom"/>
            <w:hideMark/>
          </w:tcPr>
          <w:p w14:paraId="5C93A32D"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AT000DZA01034</w:t>
            </w:r>
          </w:p>
        </w:tc>
      </w:tr>
      <w:tr w:rsidR="00C27D6A" w:rsidRPr="00D25DC8" w14:paraId="005FB1AF" w14:textId="77777777" w:rsidTr="00C75467">
        <w:trPr>
          <w:trHeight w:val="288"/>
          <w:tblHeader/>
          <w:jc w:val="center"/>
        </w:trPr>
        <w:tc>
          <w:tcPr>
            <w:tcW w:w="0" w:type="auto"/>
            <w:tcBorders>
              <w:top w:val="nil"/>
              <w:left w:val="nil"/>
              <w:bottom w:val="nil"/>
              <w:right w:val="nil"/>
            </w:tcBorders>
            <w:noWrap/>
            <w:vAlign w:val="bottom"/>
            <w:hideMark/>
          </w:tcPr>
          <w:p w14:paraId="29349162"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60BA2282"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ZMALET ELAMIR ABDELKADER</w:t>
            </w:r>
          </w:p>
        </w:tc>
        <w:tc>
          <w:tcPr>
            <w:tcW w:w="0" w:type="auto"/>
            <w:tcBorders>
              <w:top w:val="nil"/>
              <w:left w:val="nil"/>
              <w:bottom w:val="nil"/>
              <w:right w:val="nil"/>
            </w:tcBorders>
            <w:noWrap/>
            <w:vAlign w:val="bottom"/>
            <w:hideMark/>
          </w:tcPr>
          <w:p w14:paraId="5FCAC11F"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AT000DZA01035</w:t>
            </w:r>
          </w:p>
        </w:tc>
      </w:tr>
      <w:tr w:rsidR="00C27D6A" w:rsidRPr="00D25DC8" w14:paraId="5D8E473C" w14:textId="77777777" w:rsidTr="00C75467">
        <w:trPr>
          <w:trHeight w:val="288"/>
          <w:tblHeader/>
          <w:jc w:val="center"/>
        </w:trPr>
        <w:tc>
          <w:tcPr>
            <w:tcW w:w="0" w:type="auto"/>
            <w:tcBorders>
              <w:top w:val="nil"/>
              <w:left w:val="nil"/>
              <w:bottom w:val="nil"/>
              <w:right w:val="nil"/>
            </w:tcBorders>
            <w:noWrap/>
            <w:vAlign w:val="bottom"/>
            <w:hideMark/>
          </w:tcPr>
          <w:p w14:paraId="72303DDE"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3FC26FCD" w14:textId="77777777" w:rsidR="00C27D6A" w:rsidRPr="00C75467" w:rsidRDefault="00C27D6A" w:rsidP="00F36743">
            <w:pPr>
              <w:rPr>
                <w:rFonts w:asciiTheme="majorHAnsi" w:hAnsiTheme="majorHAnsi"/>
                <w:color w:val="000000"/>
                <w:sz w:val="20"/>
                <w:szCs w:val="20"/>
              </w:rPr>
            </w:pPr>
            <w:proofErr w:type="spellStart"/>
            <w:r>
              <w:rPr>
                <w:rFonts w:asciiTheme="majorHAnsi" w:hAnsiTheme="majorHAnsi"/>
                <w:color w:val="000000"/>
                <w:sz w:val="20"/>
              </w:rPr>
              <w:t>Echahid</w:t>
            </w:r>
            <w:proofErr w:type="spellEnd"/>
            <w:r>
              <w:rPr>
                <w:rFonts w:asciiTheme="majorHAnsi" w:hAnsiTheme="majorHAnsi"/>
                <w:color w:val="000000"/>
                <w:sz w:val="20"/>
              </w:rPr>
              <w:t xml:space="preserve"> </w:t>
            </w:r>
            <w:proofErr w:type="spellStart"/>
            <w:r>
              <w:rPr>
                <w:rFonts w:asciiTheme="majorHAnsi" w:hAnsiTheme="majorHAnsi"/>
                <w:color w:val="000000"/>
                <w:sz w:val="20"/>
              </w:rPr>
              <w:t>Abane</w:t>
            </w:r>
            <w:proofErr w:type="spellEnd"/>
            <w:r>
              <w:rPr>
                <w:rFonts w:asciiTheme="majorHAnsi" w:hAnsiTheme="majorHAnsi"/>
                <w:color w:val="000000"/>
                <w:sz w:val="20"/>
              </w:rPr>
              <w:t xml:space="preserve"> </w:t>
            </w:r>
            <w:proofErr w:type="spellStart"/>
            <w:r>
              <w:rPr>
                <w:rFonts w:asciiTheme="majorHAnsi" w:hAnsiTheme="majorHAnsi"/>
                <w:color w:val="000000"/>
                <w:sz w:val="20"/>
              </w:rPr>
              <w:t>Ramdane</w:t>
            </w:r>
            <w:proofErr w:type="spellEnd"/>
          </w:p>
        </w:tc>
        <w:tc>
          <w:tcPr>
            <w:tcW w:w="0" w:type="auto"/>
            <w:tcBorders>
              <w:top w:val="nil"/>
              <w:left w:val="nil"/>
              <w:bottom w:val="nil"/>
              <w:right w:val="nil"/>
            </w:tcBorders>
            <w:noWrap/>
            <w:vAlign w:val="bottom"/>
            <w:hideMark/>
          </w:tcPr>
          <w:p w14:paraId="2147E0F8"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AT000DZA01032</w:t>
            </w:r>
          </w:p>
        </w:tc>
      </w:tr>
      <w:tr w:rsidR="00C27D6A" w:rsidRPr="00D25DC8" w14:paraId="3E86D77E" w14:textId="77777777" w:rsidTr="00C75467">
        <w:trPr>
          <w:trHeight w:val="288"/>
          <w:tblHeader/>
          <w:jc w:val="center"/>
        </w:trPr>
        <w:tc>
          <w:tcPr>
            <w:tcW w:w="0" w:type="auto"/>
            <w:tcBorders>
              <w:top w:val="nil"/>
              <w:left w:val="nil"/>
              <w:bottom w:val="nil"/>
              <w:right w:val="nil"/>
            </w:tcBorders>
            <w:noWrap/>
            <w:vAlign w:val="bottom"/>
            <w:hideMark/>
          </w:tcPr>
          <w:p w14:paraId="364FAB07"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29610A67"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EL MOUDJAHID TIZA AMAR</w:t>
            </w:r>
          </w:p>
        </w:tc>
        <w:tc>
          <w:tcPr>
            <w:tcW w:w="0" w:type="auto"/>
            <w:tcBorders>
              <w:top w:val="nil"/>
              <w:left w:val="nil"/>
              <w:bottom w:val="nil"/>
              <w:right w:val="nil"/>
            </w:tcBorders>
            <w:noWrap/>
            <w:vAlign w:val="bottom"/>
            <w:hideMark/>
          </w:tcPr>
          <w:p w14:paraId="0AD8E99D"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AT000DZA01036</w:t>
            </w:r>
          </w:p>
        </w:tc>
      </w:tr>
      <w:tr w:rsidR="00C27D6A" w:rsidRPr="00D25DC8" w14:paraId="2504792B" w14:textId="77777777" w:rsidTr="00C75467">
        <w:trPr>
          <w:trHeight w:val="288"/>
          <w:tblHeader/>
          <w:jc w:val="center"/>
        </w:trPr>
        <w:tc>
          <w:tcPr>
            <w:tcW w:w="0" w:type="auto"/>
            <w:tcBorders>
              <w:top w:val="nil"/>
              <w:left w:val="nil"/>
              <w:bottom w:val="nil"/>
              <w:right w:val="nil"/>
            </w:tcBorders>
            <w:noWrap/>
            <w:vAlign w:val="bottom"/>
            <w:hideMark/>
          </w:tcPr>
          <w:p w14:paraId="5605E419"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Algérie</w:t>
            </w:r>
          </w:p>
        </w:tc>
        <w:tc>
          <w:tcPr>
            <w:tcW w:w="0" w:type="auto"/>
            <w:tcBorders>
              <w:top w:val="nil"/>
              <w:left w:val="nil"/>
              <w:bottom w:val="nil"/>
              <w:right w:val="nil"/>
            </w:tcBorders>
            <w:noWrap/>
            <w:vAlign w:val="bottom"/>
            <w:hideMark/>
          </w:tcPr>
          <w:p w14:paraId="3B0C7F6E" w14:textId="77777777" w:rsidR="00C27D6A" w:rsidRPr="00C75467" w:rsidRDefault="00C27D6A" w:rsidP="00F36743">
            <w:pPr>
              <w:rPr>
                <w:rFonts w:asciiTheme="majorHAnsi" w:hAnsiTheme="majorHAnsi"/>
                <w:color w:val="000000"/>
                <w:sz w:val="20"/>
                <w:szCs w:val="20"/>
              </w:rPr>
            </w:pPr>
            <w:proofErr w:type="spellStart"/>
            <w:r>
              <w:rPr>
                <w:rFonts w:asciiTheme="majorHAnsi" w:hAnsiTheme="majorHAnsi"/>
                <w:color w:val="000000"/>
                <w:sz w:val="20"/>
              </w:rPr>
              <w:t>Ouald</w:t>
            </w:r>
            <w:proofErr w:type="spellEnd"/>
            <w:r>
              <w:rPr>
                <w:rFonts w:asciiTheme="majorHAnsi" w:hAnsiTheme="majorHAnsi"/>
                <w:color w:val="000000"/>
                <w:sz w:val="20"/>
              </w:rPr>
              <w:t xml:space="preserve"> El </w:t>
            </w:r>
            <w:proofErr w:type="spellStart"/>
            <w:r>
              <w:rPr>
                <w:rFonts w:asciiTheme="majorHAnsi" w:hAnsiTheme="majorHAnsi"/>
                <w:color w:val="000000"/>
                <w:sz w:val="20"/>
              </w:rPr>
              <w:t>Khechai</w:t>
            </w:r>
            <w:proofErr w:type="spellEnd"/>
          </w:p>
        </w:tc>
        <w:tc>
          <w:tcPr>
            <w:tcW w:w="0" w:type="auto"/>
            <w:tcBorders>
              <w:top w:val="nil"/>
              <w:left w:val="nil"/>
              <w:bottom w:val="nil"/>
              <w:right w:val="nil"/>
            </w:tcBorders>
            <w:noWrap/>
            <w:vAlign w:val="bottom"/>
            <w:hideMark/>
          </w:tcPr>
          <w:p w14:paraId="69816B76"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AT000DZA01033</w:t>
            </w:r>
          </w:p>
        </w:tc>
      </w:tr>
      <w:tr w:rsidR="00C27D6A" w:rsidRPr="00D25DC8" w14:paraId="702AD184" w14:textId="77777777" w:rsidTr="00C75467">
        <w:trPr>
          <w:trHeight w:val="288"/>
          <w:tblHeader/>
          <w:jc w:val="center"/>
        </w:trPr>
        <w:tc>
          <w:tcPr>
            <w:tcW w:w="0" w:type="auto"/>
            <w:tcBorders>
              <w:top w:val="nil"/>
              <w:left w:val="nil"/>
              <w:bottom w:val="nil"/>
              <w:right w:val="nil"/>
            </w:tcBorders>
            <w:noWrap/>
            <w:vAlign w:val="bottom"/>
            <w:hideMark/>
          </w:tcPr>
          <w:p w14:paraId="37A91E4B"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UE-Espagne</w:t>
            </w:r>
          </w:p>
        </w:tc>
        <w:tc>
          <w:tcPr>
            <w:tcW w:w="0" w:type="auto"/>
            <w:tcBorders>
              <w:top w:val="nil"/>
              <w:left w:val="nil"/>
              <w:bottom w:val="nil"/>
              <w:right w:val="nil"/>
            </w:tcBorders>
            <w:noWrap/>
            <w:vAlign w:val="bottom"/>
            <w:hideMark/>
          </w:tcPr>
          <w:p w14:paraId="6DFBFB82"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NUEVO PANCHILLETA</w:t>
            </w:r>
          </w:p>
        </w:tc>
        <w:tc>
          <w:tcPr>
            <w:tcW w:w="0" w:type="auto"/>
            <w:tcBorders>
              <w:top w:val="nil"/>
              <w:left w:val="nil"/>
              <w:bottom w:val="nil"/>
              <w:right w:val="nil"/>
            </w:tcBorders>
            <w:noWrap/>
            <w:vAlign w:val="bottom"/>
            <w:hideMark/>
          </w:tcPr>
          <w:p w14:paraId="76ECA960"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ATEU0ESP00276</w:t>
            </w:r>
          </w:p>
        </w:tc>
      </w:tr>
      <w:tr w:rsidR="00C27D6A" w:rsidRPr="00D25DC8" w14:paraId="0AFE6D9E" w14:textId="77777777" w:rsidTr="00C75467">
        <w:trPr>
          <w:trHeight w:val="288"/>
          <w:tblHeader/>
          <w:jc w:val="center"/>
        </w:trPr>
        <w:tc>
          <w:tcPr>
            <w:tcW w:w="0" w:type="auto"/>
            <w:tcBorders>
              <w:top w:val="nil"/>
              <w:left w:val="nil"/>
              <w:bottom w:val="nil"/>
              <w:right w:val="nil"/>
            </w:tcBorders>
            <w:noWrap/>
            <w:vAlign w:val="bottom"/>
            <w:hideMark/>
          </w:tcPr>
          <w:p w14:paraId="35B4A8B8"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UE-Croatie</w:t>
            </w:r>
          </w:p>
        </w:tc>
        <w:tc>
          <w:tcPr>
            <w:tcW w:w="0" w:type="auto"/>
            <w:tcBorders>
              <w:top w:val="nil"/>
              <w:left w:val="nil"/>
              <w:bottom w:val="nil"/>
              <w:right w:val="nil"/>
            </w:tcBorders>
            <w:noWrap/>
            <w:vAlign w:val="bottom"/>
            <w:hideMark/>
          </w:tcPr>
          <w:p w14:paraId="6EB966BE"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RIBAR</w:t>
            </w:r>
          </w:p>
        </w:tc>
        <w:tc>
          <w:tcPr>
            <w:tcW w:w="0" w:type="auto"/>
            <w:tcBorders>
              <w:top w:val="nil"/>
              <w:left w:val="nil"/>
              <w:bottom w:val="nil"/>
              <w:right w:val="nil"/>
            </w:tcBorders>
            <w:noWrap/>
            <w:vAlign w:val="bottom"/>
            <w:hideMark/>
          </w:tcPr>
          <w:p w14:paraId="59A7874D"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ATEU0HRV00042</w:t>
            </w:r>
          </w:p>
        </w:tc>
      </w:tr>
      <w:tr w:rsidR="00C27D6A" w:rsidRPr="00D25DC8" w14:paraId="5095009B" w14:textId="77777777" w:rsidTr="00C75467">
        <w:trPr>
          <w:trHeight w:val="288"/>
          <w:tblHeader/>
          <w:jc w:val="center"/>
        </w:trPr>
        <w:tc>
          <w:tcPr>
            <w:tcW w:w="0" w:type="auto"/>
            <w:tcBorders>
              <w:top w:val="nil"/>
              <w:left w:val="nil"/>
              <w:bottom w:val="nil"/>
              <w:right w:val="nil"/>
            </w:tcBorders>
            <w:noWrap/>
            <w:vAlign w:val="bottom"/>
            <w:hideMark/>
          </w:tcPr>
          <w:p w14:paraId="5DBFF54D"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UE-Croatie</w:t>
            </w:r>
          </w:p>
        </w:tc>
        <w:tc>
          <w:tcPr>
            <w:tcW w:w="0" w:type="auto"/>
            <w:tcBorders>
              <w:top w:val="nil"/>
              <w:left w:val="nil"/>
              <w:bottom w:val="nil"/>
              <w:right w:val="nil"/>
            </w:tcBorders>
            <w:noWrap/>
            <w:vAlign w:val="bottom"/>
            <w:hideMark/>
          </w:tcPr>
          <w:p w14:paraId="28327FF0"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NEPTUN II</w:t>
            </w:r>
          </w:p>
        </w:tc>
        <w:tc>
          <w:tcPr>
            <w:tcW w:w="0" w:type="auto"/>
            <w:tcBorders>
              <w:top w:val="nil"/>
              <w:left w:val="nil"/>
              <w:bottom w:val="nil"/>
              <w:right w:val="nil"/>
            </w:tcBorders>
            <w:noWrap/>
            <w:vAlign w:val="bottom"/>
            <w:hideMark/>
          </w:tcPr>
          <w:p w14:paraId="3462E26B"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ATEU0HRV00140</w:t>
            </w:r>
          </w:p>
        </w:tc>
      </w:tr>
      <w:tr w:rsidR="00C27D6A" w:rsidRPr="00D25DC8" w14:paraId="36127858" w14:textId="77777777" w:rsidTr="00C75467">
        <w:trPr>
          <w:trHeight w:val="288"/>
          <w:tblHeader/>
          <w:jc w:val="center"/>
        </w:trPr>
        <w:tc>
          <w:tcPr>
            <w:tcW w:w="0" w:type="auto"/>
            <w:tcBorders>
              <w:top w:val="nil"/>
              <w:left w:val="nil"/>
              <w:bottom w:val="nil"/>
              <w:right w:val="nil"/>
            </w:tcBorders>
            <w:noWrap/>
            <w:vAlign w:val="bottom"/>
            <w:hideMark/>
          </w:tcPr>
          <w:p w14:paraId="7F451D0F"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UE-Croatie</w:t>
            </w:r>
          </w:p>
        </w:tc>
        <w:tc>
          <w:tcPr>
            <w:tcW w:w="0" w:type="auto"/>
            <w:tcBorders>
              <w:top w:val="nil"/>
              <w:left w:val="nil"/>
              <w:bottom w:val="nil"/>
              <w:right w:val="nil"/>
            </w:tcBorders>
            <w:noWrap/>
            <w:vAlign w:val="bottom"/>
            <w:hideMark/>
          </w:tcPr>
          <w:p w14:paraId="1978D817"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NOA</w:t>
            </w:r>
          </w:p>
        </w:tc>
        <w:tc>
          <w:tcPr>
            <w:tcW w:w="0" w:type="auto"/>
            <w:tcBorders>
              <w:top w:val="nil"/>
              <w:left w:val="nil"/>
              <w:bottom w:val="nil"/>
              <w:right w:val="nil"/>
            </w:tcBorders>
            <w:noWrap/>
            <w:vAlign w:val="bottom"/>
            <w:hideMark/>
          </w:tcPr>
          <w:p w14:paraId="4C06A5C6"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ATEU0HRV00330</w:t>
            </w:r>
          </w:p>
        </w:tc>
      </w:tr>
      <w:tr w:rsidR="00C27D6A" w:rsidRPr="00D25DC8" w14:paraId="7187F318" w14:textId="77777777" w:rsidTr="00C75467">
        <w:trPr>
          <w:trHeight w:val="288"/>
          <w:tblHeader/>
          <w:jc w:val="center"/>
        </w:trPr>
        <w:tc>
          <w:tcPr>
            <w:tcW w:w="0" w:type="auto"/>
            <w:tcBorders>
              <w:top w:val="nil"/>
              <w:left w:val="nil"/>
              <w:bottom w:val="nil"/>
              <w:right w:val="nil"/>
            </w:tcBorders>
            <w:noWrap/>
            <w:vAlign w:val="bottom"/>
            <w:hideMark/>
          </w:tcPr>
          <w:p w14:paraId="7D9F9285"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UE-Chypre</w:t>
            </w:r>
          </w:p>
        </w:tc>
        <w:tc>
          <w:tcPr>
            <w:tcW w:w="0" w:type="auto"/>
            <w:tcBorders>
              <w:top w:val="nil"/>
              <w:left w:val="nil"/>
              <w:bottom w:val="nil"/>
              <w:right w:val="nil"/>
            </w:tcBorders>
            <w:noWrap/>
            <w:vAlign w:val="bottom"/>
            <w:hideMark/>
          </w:tcPr>
          <w:p w14:paraId="6DC4EE40"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ALKYA</w:t>
            </w:r>
          </w:p>
        </w:tc>
        <w:tc>
          <w:tcPr>
            <w:tcW w:w="0" w:type="auto"/>
            <w:tcBorders>
              <w:top w:val="nil"/>
              <w:left w:val="nil"/>
              <w:bottom w:val="nil"/>
              <w:right w:val="nil"/>
            </w:tcBorders>
            <w:noWrap/>
            <w:vAlign w:val="bottom"/>
            <w:hideMark/>
          </w:tcPr>
          <w:p w14:paraId="36F509DB"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ATEU0CYP00103</w:t>
            </w:r>
          </w:p>
        </w:tc>
      </w:tr>
      <w:tr w:rsidR="00C27D6A" w:rsidRPr="00D25DC8" w14:paraId="1CF3B90A" w14:textId="77777777" w:rsidTr="00C75467">
        <w:trPr>
          <w:trHeight w:val="288"/>
          <w:tblHeader/>
          <w:jc w:val="center"/>
        </w:trPr>
        <w:tc>
          <w:tcPr>
            <w:tcW w:w="0" w:type="auto"/>
            <w:tcBorders>
              <w:top w:val="nil"/>
              <w:left w:val="nil"/>
              <w:bottom w:val="nil"/>
              <w:right w:val="nil"/>
            </w:tcBorders>
            <w:noWrap/>
            <w:vAlign w:val="bottom"/>
            <w:hideMark/>
          </w:tcPr>
          <w:p w14:paraId="0785C613"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UE-Espagne</w:t>
            </w:r>
          </w:p>
        </w:tc>
        <w:tc>
          <w:tcPr>
            <w:tcW w:w="0" w:type="auto"/>
            <w:tcBorders>
              <w:top w:val="nil"/>
              <w:left w:val="nil"/>
              <w:bottom w:val="nil"/>
              <w:right w:val="nil"/>
            </w:tcBorders>
            <w:noWrap/>
            <w:vAlign w:val="bottom"/>
            <w:hideMark/>
          </w:tcPr>
          <w:p w14:paraId="320C7F2D"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LEONARDO BRULL SEGON</w:t>
            </w:r>
          </w:p>
        </w:tc>
        <w:tc>
          <w:tcPr>
            <w:tcW w:w="0" w:type="auto"/>
            <w:tcBorders>
              <w:top w:val="nil"/>
              <w:left w:val="nil"/>
              <w:bottom w:val="nil"/>
              <w:right w:val="nil"/>
            </w:tcBorders>
            <w:noWrap/>
            <w:vAlign w:val="bottom"/>
            <w:hideMark/>
          </w:tcPr>
          <w:p w14:paraId="2477A4A3"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ATEU0ESP00173</w:t>
            </w:r>
          </w:p>
        </w:tc>
      </w:tr>
      <w:tr w:rsidR="00C27D6A" w:rsidRPr="00D25DC8" w14:paraId="580ED59A" w14:textId="77777777" w:rsidTr="00C75467">
        <w:trPr>
          <w:trHeight w:val="288"/>
          <w:tblHeader/>
          <w:jc w:val="center"/>
        </w:trPr>
        <w:tc>
          <w:tcPr>
            <w:tcW w:w="0" w:type="auto"/>
            <w:tcBorders>
              <w:top w:val="nil"/>
              <w:left w:val="nil"/>
              <w:bottom w:val="nil"/>
              <w:right w:val="nil"/>
            </w:tcBorders>
            <w:noWrap/>
            <w:vAlign w:val="bottom"/>
            <w:hideMark/>
          </w:tcPr>
          <w:p w14:paraId="4D0E7479"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UE-Espagne</w:t>
            </w:r>
          </w:p>
        </w:tc>
        <w:tc>
          <w:tcPr>
            <w:tcW w:w="0" w:type="auto"/>
            <w:tcBorders>
              <w:top w:val="nil"/>
              <w:left w:val="nil"/>
              <w:bottom w:val="nil"/>
              <w:right w:val="nil"/>
            </w:tcBorders>
            <w:noWrap/>
            <w:vAlign w:val="bottom"/>
            <w:hideMark/>
          </w:tcPr>
          <w:p w14:paraId="3E971681"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NUEVO ELORZ</w:t>
            </w:r>
          </w:p>
        </w:tc>
        <w:tc>
          <w:tcPr>
            <w:tcW w:w="0" w:type="auto"/>
            <w:tcBorders>
              <w:top w:val="nil"/>
              <w:left w:val="nil"/>
              <w:bottom w:val="nil"/>
              <w:right w:val="nil"/>
            </w:tcBorders>
            <w:noWrap/>
            <w:vAlign w:val="bottom"/>
            <w:hideMark/>
          </w:tcPr>
          <w:p w14:paraId="454736D1"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ATEU0ESP00250</w:t>
            </w:r>
          </w:p>
        </w:tc>
      </w:tr>
      <w:tr w:rsidR="00C27D6A" w:rsidRPr="00D25DC8" w14:paraId="0959D005" w14:textId="77777777" w:rsidTr="00C75467">
        <w:trPr>
          <w:trHeight w:val="288"/>
          <w:tblHeader/>
          <w:jc w:val="center"/>
        </w:trPr>
        <w:tc>
          <w:tcPr>
            <w:tcW w:w="0" w:type="auto"/>
            <w:tcBorders>
              <w:top w:val="nil"/>
              <w:left w:val="nil"/>
              <w:bottom w:val="nil"/>
              <w:right w:val="nil"/>
            </w:tcBorders>
            <w:noWrap/>
            <w:vAlign w:val="bottom"/>
            <w:hideMark/>
          </w:tcPr>
          <w:p w14:paraId="4C256171"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UE-Espagne</w:t>
            </w:r>
          </w:p>
        </w:tc>
        <w:tc>
          <w:tcPr>
            <w:tcW w:w="0" w:type="auto"/>
            <w:tcBorders>
              <w:top w:val="nil"/>
              <w:left w:val="nil"/>
              <w:bottom w:val="nil"/>
              <w:right w:val="nil"/>
            </w:tcBorders>
            <w:noWrap/>
            <w:vAlign w:val="bottom"/>
            <w:hideMark/>
          </w:tcPr>
          <w:p w14:paraId="5118067D"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NUEVO PANCHILLETA</w:t>
            </w:r>
          </w:p>
        </w:tc>
        <w:tc>
          <w:tcPr>
            <w:tcW w:w="0" w:type="auto"/>
            <w:tcBorders>
              <w:top w:val="nil"/>
              <w:left w:val="nil"/>
              <w:bottom w:val="nil"/>
              <w:right w:val="nil"/>
            </w:tcBorders>
            <w:noWrap/>
            <w:vAlign w:val="bottom"/>
            <w:hideMark/>
          </w:tcPr>
          <w:p w14:paraId="21BDCC78"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ATEU0ESP00276</w:t>
            </w:r>
          </w:p>
        </w:tc>
      </w:tr>
      <w:tr w:rsidR="00C27D6A" w:rsidRPr="00D25DC8" w14:paraId="340EDCBF" w14:textId="77777777" w:rsidTr="00C75467">
        <w:trPr>
          <w:trHeight w:val="288"/>
          <w:tblHeader/>
          <w:jc w:val="center"/>
        </w:trPr>
        <w:tc>
          <w:tcPr>
            <w:tcW w:w="0" w:type="auto"/>
            <w:tcBorders>
              <w:top w:val="nil"/>
              <w:left w:val="nil"/>
              <w:bottom w:val="nil"/>
              <w:right w:val="nil"/>
            </w:tcBorders>
            <w:noWrap/>
            <w:vAlign w:val="bottom"/>
            <w:hideMark/>
          </w:tcPr>
          <w:p w14:paraId="558DFAAD"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UE-Espagne</w:t>
            </w:r>
          </w:p>
        </w:tc>
        <w:tc>
          <w:tcPr>
            <w:tcW w:w="0" w:type="auto"/>
            <w:tcBorders>
              <w:top w:val="nil"/>
              <w:left w:val="nil"/>
              <w:bottom w:val="nil"/>
              <w:right w:val="nil"/>
            </w:tcBorders>
            <w:noWrap/>
            <w:vAlign w:val="bottom"/>
            <w:hideMark/>
          </w:tcPr>
          <w:p w14:paraId="42D694CA"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GEPUS</w:t>
            </w:r>
          </w:p>
        </w:tc>
        <w:tc>
          <w:tcPr>
            <w:tcW w:w="0" w:type="auto"/>
            <w:tcBorders>
              <w:top w:val="nil"/>
              <w:left w:val="nil"/>
              <w:bottom w:val="nil"/>
              <w:right w:val="nil"/>
            </w:tcBorders>
            <w:noWrap/>
            <w:vAlign w:val="bottom"/>
            <w:hideMark/>
          </w:tcPr>
          <w:p w14:paraId="3D16F056"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ATEU0ESP00119</w:t>
            </w:r>
          </w:p>
        </w:tc>
      </w:tr>
      <w:tr w:rsidR="00C27D6A" w:rsidRPr="00D25DC8" w14:paraId="220FE967" w14:textId="77777777" w:rsidTr="00C75467">
        <w:trPr>
          <w:trHeight w:val="288"/>
          <w:tblHeader/>
          <w:jc w:val="center"/>
        </w:trPr>
        <w:tc>
          <w:tcPr>
            <w:tcW w:w="0" w:type="auto"/>
            <w:tcBorders>
              <w:top w:val="nil"/>
              <w:left w:val="nil"/>
              <w:bottom w:val="nil"/>
              <w:right w:val="nil"/>
            </w:tcBorders>
            <w:noWrap/>
            <w:vAlign w:val="bottom"/>
            <w:hideMark/>
          </w:tcPr>
          <w:p w14:paraId="39376C7F"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EU-Espagne</w:t>
            </w:r>
          </w:p>
        </w:tc>
        <w:tc>
          <w:tcPr>
            <w:tcW w:w="0" w:type="auto"/>
            <w:tcBorders>
              <w:top w:val="nil"/>
              <w:left w:val="nil"/>
              <w:bottom w:val="nil"/>
              <w:right w:val="nil"/>
            </w:tcBorders>
            <w:noWrap/>
            <w:vAlign w:val="bottom"/>
            <w:hideMark/>
          </w:tcPr>
          <w:p w14:paraId="1E4A0733"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LA FRAU DOS</w:t>
            </w:r>
          </w:p>
        </w:tc>
        <w:tc>
          <w:tcPr>
            <w:tcW w:w="0" w:type="auto"/>
            <w:tcBorders>
              <w:top w:val="nil"/>
              <w:left w:val="nil"/>
              <w:bottom w:val="nil"/>
              <w:right w:val="nil"/>
            </w:tcBorders>
            <w:noWrap/>
            <w:vAlign w:val="bottom"/>
            <w:hideMark/>
          </w:tcPr>
          <w:p w14:paraId="1902F8CF"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ATEU0ESP00172</w:t>
            </w:r>
          </w:p>
        </w:tc>
      </w:tr>
      <w:tr w:rsidR="00C27D6A" w:rsidRPr="00D25DC8" w14:paraId="7BA8E6DA" w14:textId="77777777" w:rsidTr="00C75467">
        <w:trPr>
          <w:trHeight w:val="288"/>
          <w:tblHeader/>
          <w:jc w:val="center"/>
        </w:trPr>
        <w:tc>
          <w:tcPr>
            <w:tcW w:w="0" w:type="auto"/>
            <w:tcBorders>
              <w:top w:val="nil"/>
              <w:left w:val="nil"/>
              <w:bottom w:val="nil"/>
              <w:right w:val="nil"/>
            </w:tcBorders>
            <w:noWrap/>
            <w:vAlign w:val="bottom"/>
            <w:hideMark/>
          </w:tcPr>
          <w:p w14:paraId="5779E3D7"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EU-España</w:t>
            </w:r>
          </w:p>
        </w:tc>
        <w:tc>
          <w:tcPr>
            <w:tcW w:w="0" w:type="auto"/>
            <w:tcBorders>
              <w:top w:val="nil"/>
              <w:left w:val="nil"/>
              <w:bottom w:val="nil"/>
              <w:right w:val="nil"/>
            </w:tcBorders>
            <w:noWrap/>
            <w:vAlign w:val="bottom"/>
            <w:hideMark/>
          </w:tcPr>
          <w:p w14:paraId="7A269D9F"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TIO GEL SEGON</w:t>
            </w:r>
          </w:p>
        </w:tc>
        <w:tc>
          <w:tcPr>
            <w:tcW w:w="0" w:type="auto"/>
            <w:tcBorders>
              <w:top w:val="nil"/>
              <w:left w:val="nil"/>
              <w:bottom w:val="nil"/>
              <w:right w:val="nil"/>
            </w:tcBorders>
            <w:noWrap/>
            <w:vAlign w:val="bottom"/>
            <w:hideMark/>
          </w:tcPr>
          <w:p w14:paraId="3679D9E5"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ATEU0ESP00394</w:t>
            </w:r>
          </w:p>
        </w:tc>
      </w:tr>
      <w:tr w:rsidR="00C27D6A" w:rsidRPr="00D25DC8" w14:paraId="02C2B508" w14:textId="77777777" w:rsidTr="00C75467">
        <w:trPr>
          <w:trHeight w:val="288"/>
          <w:tblHeader/>
          <w:jc w:val="center"/>
        </w:trPr>
        <w:tc>
          <w:tcPr>
            <w:tcW w:w="0" w:type="auto"/>
            <w:tcBorders>
              <w:top w:val="nil"/>
              <w:left w:val="nil"/>
              <w:bottom w:val="nil"/>
              <w:right w:val="nil"/>
            </w:tcBorders>
            <w:noWrap/>
            <w:vAlign w:val="bottom"/>
            <w:hideMark/>
          </w:tcPr>
          <w:p w14:paraId="19AD3009"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UE-Espagne</w:t>
            </w:r>
          </w:p>
        </w:tc>
        <w:tc>
          <w:tcPr>
            <w:tcW w:w="0" w:type="auto"/>
            <w:tcBorders>
              <w:top w:val="nil"/>
              <w:left w:val="nil"/>
              <w:bottom w:val="nil"/>
              <w:right w:val="nil"/>
            </w:tcBorders>
            <w:noWrap/>
            <w:vAlign w:val="bottom"/>
            <w:hideMark/>
          </w:tcPr>
          <w:p w14:paraId="2418800B"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KANTAURI</w:t>
            </w:r>
          </w:p>
        </w:tc>
        <w:tc>
          <w:tcPr>
            <w:tcW w:w="0" w:type="auto"/>
            <w:tcBorders>
              <w:top w:val="nil"/>
              <w:left w:val="nil"/>
              <w:bottom w:val="nil"/>
              <w:right w:val="nil"/>
            </w:tcBorders>
            <w:noWrap/>
            <w:vAlign w:val="bottom"/>
            <w:hideMark/>
          </w:tcPr>
          <w:p w14:paraId="5AF4F75E"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ATEU0ESP03861</w:t>
            </w:r>
          </w:p>
        </w:tc>
      </w:tr>
      <w:tr w:rsidR="00C27D6A" w:rsidRPr="00D25DC8" w14:paraId="45D0B80F" w14:textId="77777777" w:rsidTr="00C75467">
        <w:trPr>
          <w:trHeight w:val="288"/>
          <w:tblHeader/>
          <w:jc w:val="center"/>
        </w:trPr>
        <w:tc>
          <w:tcPr>
            <w:tcW w:w="0" w:type="auto"/>
            <w:tcBorders>
              <w:top w:val="nil"/>
              <w:left w:val="nil"/>
              <w:bottom w:val="nil"/>
              <w:right w:val="nil"/>
            </w:tcBorders>
            <w:noWrap/>
            <w:vAlign w:val="bottom"/>
            <w:hideMark/>
          </w:tcPr>
          <w:p w14:paraId="02A7AC42"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UE-France</w:t>
            </w:r>
          </w:p>
        </w:tc>
        <w:tc>
          <w:tcPr>
            <w:tcW w:w="0" w:type="auto"/>
            <w:tcBorders>
              <w:top w:val="nil"/>
              <w:left w:val="nil"/>
              <w:bottom w:val="nil"/>
              <w:right w:val="nil"/>
            </w:tcBorders>
            <w:noWrap/>
            <w:vAlign w:val="bottom"/>
            <w:hideMark/>
          </w:tcPr>
          <w:p w14:paraId="758803DE"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ANNE ANTOINE 2</w:t>
            </w:r>
          </w:p>
        </w:tc>
        <w:tc>
          <w:tcPr>
            <w:tcW w:w="0" w:type="auto"/>
            <w:tcBorders>
              <w:top w:val="nil"/>
              <w:left w:val="nil"/>
              <w:bottom w:val="nil"/>
              <w:right w:val="nil"/>
            </w:tcBorders>
            <w:noWrap/>
            <w:vAlign w:val="bottom"/>
            <w:hideMark/>
          </w:tcPr>
          <w:p w14:paraId="7E094CB5"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ATEU0FRA00003</w:t>
            </w:r>
          </w:p>
        </w:tc>
      </w:tr>
      <w:tr w:rsidR="00C27D6A" w:rsidRPr="00D25DC8" w14:paraId="3723A579" w14:textId="77777777" w:rsidTr="00C75467">
        <w:trPr>
          <w:trHeight w:val="288"/>
          <w:tblHeader/>
          <w:jc w:val="center"/>
        </w:trPr>
        <w:tc>
          <w:tcPr>
            <w:tcW w:w="0" w:type="auto"/>
            <w:tcBorders>
              <w:top w:val="nil"/>
              <w:left w:val="nil"/>
              <w:bottom w:val="nil"/>
              <w:right w:val="nil"/>
            </w:tcBorders>
            <w:noWrap/>
            <w:vAlign w:val="bottom"/>
            <w:hideMark/>
          </w:tcPr>
          <w:p w14:paraId="7331FE79"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UE-France</w:t>
            </w:r>
          </w:p>
        </w:tc>
        <w:tc>
          <w:tcPr>
            <w:tcW w:w="0" w:type="auto"/>
            <w:tcBorders>
              <w:top w:val="nil"/>
              <w:left w:val="nil"/>
              <w:bottom w:val="nil"/>
              <w:right w:val="nil"/>
            </w:tcBorders>
            <w:noWrap/>
            <w:vAlign w:val="bottom"/>
            <w:hideMark/>
          </w:tcPr>
          <w:p w14:paraId="5FFC5ECB"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CAP HORIZON</w:t>
            </w:r>
          </w:p>
        </w:tc>
        <w:tc>
          <w:tcPr>
            <w:tcW w:w="0" w:type="auto"/>
            <w:tcBorders>
              <w:top w:val="nil"/>
              <w:left w:val="nil"/>
              <w:bottom w:val="nil"/>
              <w:right w:val="nil"/>
            </w:tcBorders>
            <w:noWrap/>
            <w:vAlign w:val="bottom"/>
            <w:hideMark/>
          </w:tcPr>
          <w:p w14:paraId="6FCD6EE1"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ATEU0FRA00013</w:t>
            </w:r>
          </w:p>
        </w:tc>
      </w:tr>
      <w:tr w:rsidR="00C27D6A" w:rsidRPr="00D25DC8" w14:paraId="67B096E6" w14:textId="77777777" w:rsidTr="00C75467">
        <w:trPr>
          <w:trHeight w:val="288"/>
          <w:tblHeader/>
          <w:jc w:val="center"/>
        </w:trPr>
        <w:tc>
          <w:tcPr>
            <w:tcW w:w="0" w:type="auto"/>
            <w:tcBorders>
              <w:top w:val="nil"/>
              <w:left w:val="nil"/>
              <w:bottom w:val="nil"/>
              <w:right w:val="nil"/>
            </w:tcBorders>
            <w:noWrap/>
            <w:vAlign w:val="bottom"/>
            <w:hideMark/>
          </w:tcPr>
          <w:p w14:paraId="6D8FF6FC"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UE-France</w:t>
            </w:r>
          </w:p>
        </w:tc>
        <w:tc>
          <w:tcPr>
            <w:tcW w:w="0" w:type="auto"/>
            <w:tcBorders>
              <w:top w:val="nil"/>
              <w:left w:val="nil"/>
              <w:bottom w:val="nil"/>
              <w:right w:val="nil"/>
            </w:tcBorders>
            <w:noWrap/>
            <w:vAlign w:val="bottom"/>
            <w:hideMark/>
          </w:tcPr>
          <w:p w14:paraId="47030E31"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CHRISDERIC II</w:t>
            </w:r>
          </w:p>
        </w:tc>
        <w:tc>
          <w:tcPr>
            <w:tcW w:w="0" w:type="auto"/>
            <w:tcBorders>
              <w:top w:val="nil"/>
              <w:left w:val="nil"/>
              <w:bottom w:val="nil"/>
              <w:right w:val="nil"/>
            </w:tcBorders>
            <w:noWrap/>
            <w:vAlign w:val="bottom"/>
            <w:hideMark/>
          </w:tcPr>
          <w:p w14:paraId="5B445653"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ATEU0FRA00019</w:t>
            </w:r>
          </w:p>
        </w:tc>
      </w:tr>
      <w:tr w:rsidR="00C27D6A" w:rsidRPr="00D25DC8" w14:paraId="43F1F17F" w14:textId="77777777" w:rsidTr="00C75467">
        <w:trPr>
          <w:trHeight w:val="288"/>
          <w:tblHeader/>
          <w:jc w:val="center"/>
        </w:trPr>
        <w:tc>
          <w:tcPr>
            <w:tcW w:w="0" w:type="auto"/>
            <w:tcBorders>
              <w:top w:val="nil"/>
              <w:left w:val="nil"/>
              <w:bottom w:val="nil"/>
              <w:right w:val="nil"/>
            </w:tcBorders>
            <w:noWrap/>
            <w:vAlign w:val="bottom"/>
            <w:hideMark/>
          </w:tcPr>
          <w:p w14:paraId="7C99F335"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UE-France</w:t>
            </w:r>
          </w:p>
        </w:tc>
        <w:tc>
          <w:tcPr>
            <w:tcW w:w="0" w:type="auto"/>
            <w:tcBorders>
              <w:top w:val="nil"/>
              <w:left w:val="nil"/>
              <w:bottom w:val="nil"/>
              <w:right w:val="nil"/>
            </w:tcBorders>
            <w:noWrap/>
            <w:vAlign w:val="bottom"/>
            <w:hideMark/>
          </w:tcPr>
          <w:p w14:paraId="3914298C"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CISBERLANDE 5</w:t>
            </w:r>
          </w:p>
        </w:tc>
        <w:tc>
          <w:tcPr>
            <w:tcW w:w="0" w:type="auto"/>
            <w:tcBorders>
              <w:top w:val="nil"/>
              <w:left w:val="nil"/>
              <w:bottom w:val="nil"/>
              <w:right w:val="nil"/>
            </w:tcBorders>
            <w:noWrap/>
            <w:vAlign w:val="bottom"/>
            <w:hideMark/>
          </w:tcPr>
          <w:p w14:paraId="558AABE9"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ATEU0FRA00021</w:t>
            </w:r>
          </w:p>
        </w:tc>
      </w:tr>
      <w:tr w:rsidR="00C27D6A" w:rsidRPr="00D25DC8" w14:paraId="10533D03" w14:textId="77777777" w:rsidTr="00C75467">
        <w:trPr>
          <w:trHeight w:val="288"/>
          <w:tblHeader/>
          <w:jc w:val="center"/>
        </w:trPr>
        <w:tc>
          <w:tcPr>
            <w:tcW w:w="0" w:type="auto"/>
            <w:tcBorders>
              <w:top w:val="nil"/>
              <w:left w:val="nil"/>
              <w:bottom w:val="nil"/>
              <w:right w:val="nil"/>
            </w:tcBorders>
            <w:noWrap/>
            <w:vAlign w:val="bottom"/>
            <w:hideMark/>
          </w:tcPr>
          <w:p w14:paraId="33CA6589"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UE-France</w:t>
            </w:r>
          </w:p>
        </w:tc>
        <w:tc>
          <w:tcPr>
            <w:tcW w:w="0" w:type="auto"/>
            <w:tcBorders>
              <w:top w:val="nil"/>
              <w:left w:val="nil"/>
              <w:bottom w:val="nil"/>
              <w:right w:val="nil"/>
            </w:tcBorders>
            <w:noWrap/>
            <w:vAlign w:val="bottom"/>
            <w:hideMark/>
          </w:tcPr>
          <w:p w14:paraId="76A60EC9"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GERALD JEAN III</w:t>
            </w:r>
          </w:p>
        </w:tc>
        <w:tc>
          <w:tcPr>
            <w:tcW w:w="0" w:type="auto"/>
            <w:tcBorders>
              <w:top w:val="nil"/>
              <w:left w:val="nil"/>
              <w:bottom w:val="nil"/>
              <w:right w:val="nil"/>
            </w:tcBorders>
            <w:noWrap/>
            <w:vAlign w:val="bottom"/>
            <w:hideMark/>
          </w:tcPr>
          <w:p w14:paraId="5B9222F0"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ATEU0FRA00026</w:t>
            </w:r>
          </w:p>
        </w:tc>
      </w:tr>
      <w:tr w:rsidR="00C27D6A" w:rsidRPr="00D25DC8" w14:paraId="2DB428F9" w14:textId="77777777" w:rsidTr="00C75467">
        <w:trPr>
          <w:trHeight w:val="288"/>
          <w:tblHeader/>
          <w:jc w:val="center"/>
        </w:trPr>
        <w:tc>
          <w:tcPr>
            <w:tcW w:w="0" w:type="auto"/>
            <w:tcBorders>
              <w:top w:val="nil"/>
              <w:left w:val="nil"/>
              <w:bottom w:val="nil"/>
              <w:right w:val="nil"/>
            </w:tcBorders>
            <w:noWrap/>
            <w:vAlign w:val="bottom"/>
            <w:hideMark/>
          </w:tcPr>
          <w:p w14:paraId="64585E2D"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UE-France</w:t>
            </w:r>
          </w:p>
        </w:tc>
        <w:tc>
          <w:tcPr>
            <w:tcW w:w="0" w:type="auto"/>
            <w:tcBorders>
              <w:top w:val="nil"/>
              <w:left w:val="nil"/>
              <w:bottom w:val="nil"/>
              <w:right w:val="nil"/>
            </w:tcBorders>
            <w:noWrap/>
            <w:vAlign w:val="bottom"/>
            <w:hideMark/>
          </w:tcPr>
          <w:p w14:paraId="2D21C621"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GERARD LUC IV</w:t>
            </w:r>
          </w:p>
        </w:tc>
        <w:tc>
          <w:tcPr>
            <w:tcW w:w="0" w:type="auto"/>
            <w:tcBorders>
              <w:top w:val="nil"/>
              <w:left w:val="nil"/>
              <w:bottom w:val="nil"/>
              <w:right w:val="nil"/>
            </w:tcBorders>
            <w:noWrap/>
            <w:vAlign w:val="bottom"/>
            <w:hideMark/>
          </w:tcPr>
          <w:p w14:paraId="03BABB68"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ATEU0FRA00028</w:t>
            </w:r>
          </w:p>
        </w:tc>
      </w:tr>
      <w:tr w:rsidR="00C27D6A" w:rsidRPr="00D25DC8" w14:paraId="04300B2E" w14:textId="77777777" w:rsidTr="00C75467">
        <w:trPr>
          <w:trHeight w:val="288"/>
          <w:tblHeader/>
          <w:jc w:val="center"/>
        </w:trPr>
        <w:tc>
          <w:tcPr>
            <w:tcW w:w="0" w:type="auto"/>
            <w:tcBorders>
              <w:top w:val="nil"/>
              <w:left w:val="nil"/>
              <w:bottom w:val="nil"/>
              <w:right w:val="nil"/>
            </w:tcBorders>
            <w:noWrap/>
            <w:vAlign w:val="bottom"/>
            <w:hideMark/>
          </w:tcPr>
          <w:p w14:paraId="7394A807"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UE-France</w:t>
            </w:r>
          </w:p>
        </w:tc>
        <w:tc>
          <w:tcPr>
            <w:tcW w:w="0" w:type="auto"/>
            <w:tcBorders>
              <w:top w:val="nil"/>
              <w:left w:val="nil"/>
              <w:bottom w:val="nil"/>
              <w:right w:val="nil"/>
            </w:tcBorders>
            <w:noWrap/>
            <w:vAlign w:val="bottom"/>
            <w:hideMark/>
          </w:tcPr>
          <w:p w14:paraId="28FF1100"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JANVIER GIORDANO</w:t>
            </w:r>
          </w:p>
        </w:tc>
        <w:tc>
          <w:tcPr>
            <w:tcW w:w="0" w:type="auto"/>
            <w:tcBorders>
              <w:top w:val="nil"/>
              <w:left w:val="nil"/>
              <w:bottom w:val="nil"/>
              <w:right w:val="nil"/>
            </w:tcBorders>
            <w:noWrap/>
            <w:vAlign w:val="bottom"/>
            <w:hideMark/>
          </w:tcPr>
          <w:p w14:paraId="5C3BFB99"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ATEU0FRA00037</w:t>
            </w:r>
          </w:p>
        </w:tc>
      </w:tr>
      <w:tr w:rsidR="00C27D6A" w:rsidRPr="00D25DC8" w14:paraId="272AFA15" w14:textId="77777777" w:rsidTr="00C75467">
        <w:trPr>
          <w:trHeight w:val="288"/>
          <w:tblHeader/>
          <w:jc w:val="center"/>
        </w:trPr>
        <w:tc>
          <w:tcPr>
            <w:tcW w:w="0" w:type="auto"/>
            <w:tcBorders>
              <w:top w:val="nil"/>
              <w:left w:val="nil"/>
              <w:bottom w:val="nil"/>
              <w:right w:val="nil"/>
            </w:tcBorders>
            <w:noWrap/>
            <w:vAlign w:val="bottom"/>
            <w:hideMark/>
          </w:tcPr>
          <w:p w14:paraId="42299B15"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UE-France</w:t>
            </w:r>
          </w:p>
        </w:tc>
        <w:tc>
          <w:tcPr>
            <w:tcW w:w="0" w:type="auto"/>
            <w:tcBorders>
              <w:top w:val="nil"/>
              <w:left w:val="nil"/>
              <w:bottom w:val="nil"/>
              <w:right w:val="nil"/>
            </w:tcBorders>
            <w:noWrap/>
            <w:vAlign w:val="bottom"/>
            <w:hideMark/>
          </w:tcPr>
          <w:p w14:paraId="512F5762"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JEAN LOUIS RAPHAEL 2</w:t>
            </w:r>
          </w:p>
        </w:tc>
        <w:tc>
          <w:tcPr>
            <w:tcW w:w="0" w:type="auto"/>
            <w:tcBorders>
              <w:top w:val="nil"/>
              <w:left w:val="nil"/>
              <w:bottom w:val="nil"/>
              <w:right w:val="nil"/>
            </w:tcBorders>
            <w:noWrap/>
            <w:vAlign w:val="bottom"/>
            <w:hideMark/>
          </w:tcPr>
          <w:p w14:paraId="203833E1"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ATEU0FRA00038</w:t>
            </w:r>
          </w:p>
        </w:tc>
      </w:tr>
      <w:tr w:rsidR="00C27D6A" w:rsidRPr="00D25DC8" w14:paraId="24308459" w14:textId="77777777" w:rsidTr="00C75467">
        <w:trPr>
          <w:trHeight w:val="288"/>
          <w:tblHeader/>
          <w:jc w:val="center"/>
        </w:trPr>
        <w:tc>
          <w:tcPr>
            <w:tcW w:w="0" w:type="auto"/>
            <w:tcBorders>
              <w:top w:val="nil"/>
              <w:left w:val="nil"/>
              <w:bottom w:val="nil"/>
              <w:right w:val="nil"/>
            </w:tcBorders>
            <w:noWrap/>
            <w:vAlign w:val="bottom"/>
            <w:hideMark/>
          </w:tcPr>
          <w:p w14:paraId="36C8CC13"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UE-France</w:t>
            </w:r>
          </w:p>
        </w:tc>
        <w:tc>
          <w:tcPr>
            <w:tcW w:w="0" w:type="auto"/>
            <w:tcBorders>
              <w:top w:val="nil"/>
              <w:left w:val="nil"/>
              <w:bottom w:val="nil"/>
              <w:right w:val="nil"/>
            </w:tcBorders>
            <w:noWrap/>
            <w:vAlign w:val="bottom"/>
            <w:hideMark/>
          </w:tcPr>
          <w:p w14:paraId="5049C394"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JEANMARIE CHRISTIAN 3</w:t>
            </w:r>
          </w:p>
        </w:tc>
        <w:tc>
          <w:tcPr>
            <w:tcW w:w="0" w:type="auto"/>
            <w:tcBorders>
              <w:top w:val="nil"/>
              <w:left w:val="nil"/>
              <w:bottom w:val="nil"/>
              <w:right w:val="nil"/>
            </w:tcBorders>
            <w:noWrap/>
            <w:vAlign w:val="bottom"/>
            <w:hideMark/>
          </w:tcPr>
          <w:p w14:paraId="38E0D3F7"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ATEU0FRA00040</w:t>
            </w:r>
          </w:p>
        </w:tc>
      </w:tr>
      <w:tr w:rsidR="00C27D6A" w:rsidRPr="00D25DC8" w14:paraId="28AA8187" w14:textId="77777777" w:rsidTr="00C75467">
        <w:trPr>
          <w:trHeight w:val="288"/>
          <w:tblHeader/>
          <w:jc w:val="center"/>
        </w:trPr>
        <w:tc>
          <w:tcPr>
            <w:tcW w:w="0" w:type="auto"/>
            <w:tcBorders>
              <w:top w:val="nil"/>
              <w:left w:val="nil"/>
              <w:bottom w:val="nil"/>
              <w:right w:val="nil"/>
            </w:tcBorders>
            <w:noWrap/>
            <w:vAlign w:val="bottom"/>
            <w:hideMark/>
          </w:tcPr>
          <w:p w14:paraId="74520719"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UE-France</w:t>
            </w:r>
          </w:p>
        </w:tc>
        <w:tc>
          <w:tcPr>
            <w:tcW w:w="0" w:type="auto"/>
            <w:tcBorders>
              <w:top w:val="nil"/>
              <w:left w:val="nil"/>
              <w:bottom w:val="nil"/>
              <w:right w:val="nil"/>
            </w:tcBorders>
            <w:noWrap/>
            <w:vAlign w:val="bottom"/>
            <w:hideMark/>
          </w:tcPr>
          <w:p w14:paraId="09E72FD7"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JEAN MARIE CHRISTIAN 4</w:t>
            </w:r>
          </w:p>
        </w:tc>
        <w:tc>
          <w:tcPr>
            <w:tcW w:w="0" w:type="auto"/>
            <w:tcBorders>
              <w:top w:val="nil"/>
              <w:left w:val="nil"/>
              <w:bottom w:val="nil"/>
              <w:right w:val="nil"/>
            </w:tcBorders>
            <w:noWrap/>
            <w:vAlign w:val="bottom"/>
            <w:hideMark/>
          </w:tcPr>
          <w:p w14:paraId="0522F1FF"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ATEU0FRA00041</w:t>
            </w:r>
          </w:p>
        </w:tc>
      </w:tr>
      <w:tr w:rsidR="00C27D6A" w:rsidRPr="00D25DC8" w14:paraId="2CE128BE" w14:textId="77777777" w:rsidTr="00C75467">
        <w:trPr>
          <w:trHeight w:val="288"/>
          <w:tblHeader/>
          <w:jc w:val="center"/>
        </w:trPr>
        <w:tc>
          <w:tcPr>
            <w:tcW w:w="0" w:type="auto"/>
            <w:tcBorders>
              <w:top w:val="nil"/>
              <w:left w:val="nil"/>
              <w:bottom w:val="nil"/>
              <w:right w:val="nil"/>
            </w:tcBorders>
            <w:noWrap/>
            <w:vAlign w:val="bottom"/>
            <w:hideMark/>
          </w:tcPr>
          <w:p w14:paraId="3037F33B"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UE-France</w:t>
            </w:r>
          </w:p>
        </w:tc>
        <w:tc>
          <w:tcPr>
            <w:tcW w:w="0" w:type="auto"/>
            <w:tcBorders>
              <w:top w:val="nil"/>
              <w:left w:val="nil"/>
              <w:bottom w:val="nil"/>
              <w:right w:val="nil"/>
            </w:tcBorders>
            <w:noWrap/>
            <w:vAlign w:val="bottom"/>
            <w:hideMark/>
          </w:tcPr>
          <w:p w14:paraId="6D7AFA71"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JEAN MARIE CHRISTIAN 6</w:t>
            </w:r>
          </w:p>
        </w:tc>
        <w:tc>
          <w:tcPr>
            <w:tcW w:w="0" w:type="auto"/>
            <w:tcBorders>
              <w:top w:val="nil"/>
              <w:left w:val="nil"/>
              <w:bottom w:val="nil"/>
              <w:right w:val="nil"/>
            </w:tcBorders>
            <w:noWrap/>
            <w:vAlign w:val="bottom"/>
            <w:hideMark/>
          </w:tcPr>
          <w:p w14:paraId="21E6C35A"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ATEU0FRA00043</w:t>
            </w:r>
          </w:p>
        </w:tc>
      </w:tr>
      <w:tr w:rsidR="00C27D6A" w:rsidRPr="00D25DC8" w14:paraId="02E6C2EF" w14:textId="77777777" w:rsidTr="00C75467">
        <w:trPr>
          <w:trHeight w:val="288"/>
          <w:tblHeader/>
          <w:jc w:val="center"/>
        </w:trPr>
        <w:tc>
          <w:tcPr>
            <w:tcW w:w="0" w:type="auto"/>
            <w:tcBorders>
              <w:top w:val="nil"/>
              <w:left w:val="nil"/>
              <w:bottom w:val="nil"/>
              <w:right w:val="nil"/>
            </w:tcBorders>
            <w:noWrap/>
            <w:vAlign w:val="bottom"/>
            <w:hideMark/>
          </w:tcPr>
          <w:p w14:paraId="54E4BAB8"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UE-France</w:t>
            </w:r>
          </w:p>
        </w:tc>
        <w:tc>
          <w:tcPr>
            <w:tcW w:w="0" w:type="auto"/>
            <w:tcBorders>
              <w:top w:val="nil"/>
              <w:left w:val="nil"/>
              <w:bottom w:val="nil"/>
              <w:right w:val="nil"/>
            </w:tcBorders>
            <w:noWrap/>
            <w:vAlign w:val="bottom"/>
            <w:hideMark/>
          </w:tcPr>
          <w:p w14:paraId="65DBF970"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SAINT SOPHIE FRANCOIS 2</w:t>
            </w:r>
          </w:p>
        </w:tc>
        <w:tc>
          <w:tcPr>
            <w:tcW w:w="0" w:type="auto"/>
            <w:tcBorders>
              <w:top w:val="nil"/>
              <w:left w:val="nil"/>
              <w:bottom w:val="nil"/>
              <w:right w:val="nil"/>
            </w:tcBorders>
            <w:noWrap/>
            <w:vAlign w:val="bottom"/>
            <w:hideMark/>
          </w:tcPr>
          <w:p w14:paraId="42FD1A4D"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ATEU0FRA00064</w:t>
            </w:r>
          </w:p>
        </w:tc>
      </w:tr>
      <w:tr w:rsidR="00C27D6A" w:rsidRPr="00D25DC8" w14:paraId="7DEE04D1" w14:textId="77777777" w:rsidTr="00C75467">
        <w:trPr>
          <w:trHeight w:val="288"/>
          <w:tblHeader/>
          <w:jc w:val="center"/>
        </w:trPr>
        <w:tc>
          <w:tcPr>
            <w:tcW w:w="0" w:type="auto"/>
            <w:tcBorders>
              <w:top w:val="nil"/>
              <w:left w:val="nil"/>
              <w:bottom w:val="nil"/>
              <w:right w:val="nil"/>
            </w:tcBorders>
            <w:noWrap/>
            <w:vAlign w:val="bottom"/>
            <w:hideMark/>
          </w:tcPr>
          <w:p w14:paraId="69D0FED2"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UE-France</w:t>
            </w:r>
          </w:p>
        </w:tc>
        <w:tc>
          <w:tcPr>
            <w:tcW w:w="0" w:type="auto"/>
            <w:tcBorders>
              <w:top w:val="nil"/>
              <w:left w:val="nil"/>
              <w:bottom w:val="nil"/>
              <w:right w:val="nil"/>
            </w:tcBorders>
            <w:noWrap/>
            <w:vAlign w:val="bottom"/>
            <w:hideMark/>
          </w:tcPr>
          <w:p w14:paraId="11CCC0BF"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SAINT SOPHIE FRANCOIS 3</w:t>
            </w:r>
          </w:p>
        </w:tc>
        <w:tc>
          <w:tcPr>
            <w:tcW w:w="0" w:type="auto"/>
            <w:tcBorders>
              <w:top w:val="nil"/>
              <w:left w:val="nil"/>
              <w:bottom w:val="nil"/>
              <w:right w:val="nil"/>
            </w:tcBorders>
            <w:noWrap/>
            <w:vAlign w:val="bottom"/>
            <w:hideMark/>
          </w:tcPr>
          <w:p w14:paraId="770B0C91"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ATEU0FRA00065</w:t>
            </w:r>
          </w:p>
        </w:tc>
      </w:tr>
      <w:tr w:rsidR="00C27D6A" w:rsidRPr="00D25DC8" w14:paraId="56FDCDC2" w14:textId="77777777" w:rsidTr="00C75467">
        <w:trPr>
          <w:trHeight w:val="288"/>
          <w:tblHeader/>
          <w:jc w:val="center"/>
        </w:trPr>
        <w:tc>
          <w:tcPr>
            <w:tcW w:w="0" w:type="auto"/>
            <w:tcBorders>
              <w:top w:val="nil"/>
              <w:left w:val="nil"/>
              <w:bottom w:val="nil"/>
              <w:right w:val="nil"/>
            </w:tcBorders>
            <w:noWrap/>
            <w:vAlign w:val="bottom"/>
            <w:hideMark/>
          </w:tcPr>
          <w:p w14:paraId="2F3BC6BB"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UE-France</w:t>
            </w:r>
          </w:p>
        </w:tc>
        <w:tc>
          <w:tcPr>
            <w:tcW w:w="0" w:type="auto"/>
            <w:tcBorders>
              <w:top w:val="nil"/>
              <w:left w:val="nil"/>
              <w:bottom w:val="nil"/>
              <w:right w:val="nil"/>
            </w:tcBorders>
            <w:noWrap/>
            <w:vAlign w:val="bottom"/>
            <w:hideMark/>
          </w:tcPr>
          <w:p w14:paraId="2343B0B4"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JEAN MARIE CHRISTIAN 7</w:t>
            </w:r>
          </w:p>
        </w:tc>
        <w:tc>
          <w:tcPr>
            <w:tcW w:w="0" w:type="auto"/>
            <w:tcBorders>
              <w:top w:val="nil"/>
              <w:left w:val="nil"/>
              <w:bottom w:val="nil"/>
              <w:right w:val="nil"/>
            </w:tcBorders>
            <w:noWrap/>
            <w:vAlign w:val="bottom"/>
            <w:hideMark/>
          </w:tcPr>
          <w:p w14:paraId="76DEA8C7"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ATEU0FRA00078</w:t>
            </w:r>
          </w:p>
        </w:tc>
      </w:tr>
      <w:tr w:rsidR="00C27D6A" w:rsidRPr="00D25DC8" w14:paraId="5C5A14DA" w14:textId="77777777" w:rsidTr="00C75467">
        <w:trPr>
          <w:trHeight w:val="288"/>
          <w:tblHeader/>
          <w:jc w:val="center"/>
        </w:trPr>
        <w:tc>
          <w:tcPr>
            <w:tcW w:w="0" w:type="auto"/>
            <w:tcBorders>
              <w:top w:val="nil"/>
              <w:left w:val="nil"/>
              <w:bottom w:val="nil"/>
              <w:right w:val="nil"/>
            </w:tcBorders>
            <w:noWrap/>
            <w:vAlign w:val="bottom"/>
            <w:hideMark/>
          </w:tcPr>
          <w:p w14:paraId="61CB61DE"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UE-France</w:t>
            </w:r>
          </w:p>
        </w:tc>
        <w:tc>
          <w:tcPr>
            <w:tcW w:w="0" w:type="auto"/>
            <w:tcBorders>
              <w:top w:val="nil"/>
              <w:left w:val="nil"/>
              <w:bottom w:val="nil"/>
              <w:right w:val="nil"/>
            </w:tcBorders>
            <w:noWrap/>
            <w:vAlign w:val="bottom"/>
            <w:hideMark/>
          </w:tcPr>
          <w:p w14:paraId="52766C0C"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JANVIER LOUIS RAPHAEL</w:t>
            </w:r>
          </w:p>
        </w:tc>
        <w:tc>
          <w:tcPr>
            <w:tcW w:w="0" w:type="auto"/>
            <w:tcBorders>
              <w:top w:val="nil"/>
              <w:left w:val="nil"/>
              <w:bottom w:val="nil"/>
              <w:right w:val="nil"/>
            </w:tcBorders>
            <w:noWrap/>
            <w:vAlign w:val="bottom"/>
            <w:hideMark/>
          </w:tcPr>
          <w:p w14:paraId="241BDF81"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ATEU0FRA00083</w:t>
            </w:r>
          </w:p>
        </w:tc>
      </w:tr>
      <w:tr w:rsidR="00C27D6A" w:rsidRPr="00D25DC8" w14:paraId="48926996" w14:textId="77777777" w:rsidTr="00C75467">
        <w:trPr>
          <w:trHeight w:val="288"/>
          <w:tblHeader/>
          <w:jc w:val="center"/>
        </w:trPr>
        <w:tc>
          <w:tcPr>
            <w:tcW w:w="0" w:type="auto"/>
            <w:tcBorders>
              <w:top w:val="nil"/>
              <w:left w:val="nil"/>
              <w:bottom w:val="nil"/>
              <w:right w:val="nil"/>
            </w:tcBorders>
            <w:noWrap/>
            <w:vAlign w:val="bottom"/>
            <w:hideMark/>
          </w:tcPr>
          <w:p w14:paraId="06DEE9DB"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UE-France</w:t>
            </w:r>
          </w:p>
        </w:tc>
        <w:tc>
          <w:tcPr>
            <w:tcW w:w="0" w:type="auto"/>
            <w:tcBorders>
              <w:top w:val="nil"/>
              <w:left w:val="nil"/>
              <w:bottom w:val="nil"/>
              <w:right w:val="nil"/>
            </w:tcBorders>
            <w:noWrap/>
            <w:vAlign w:val="bottom"/>
            <w:hideMark/>
          </w:tcPr>
          <w:p w14:paraId="30BE374C"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ERIC MARIN</w:t>
            </w:r>
          </w:p>
        </w:tc>
        <w:tc>
          <w:tcPr>
            <w:tcW w:w="0" w:type="auto"/>
            <w:tcBorders>
              <w:top w:val="nil"/>
              <w:left w:val="nil"/>
              <w:bottom w:val="nil"/>
              <w:right w:val="nil"/>
            </w:tcBorders>
            <w:noWrap/>
            <w:vAlign w:val="bottom"/>
            <w:hideMark/>
          </w:tcPr>
          <w:p w14:paraId="0C5C360E"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ATEU0FRA00087</w:t>
            </w:r>
          </w:p>
        </w:tc>
      </w:tr>
      <w:tr w:rsidR="00C27D6A" w:rsidRPr="00D25DC8" w14:paraId="0C924E78" w14:textId="77777777" w:rsidTr="00C75467">
        <w:trPr>
          <w:trHeight w:val="288"/>
          <w:tblHeader/>
          <w:jc w:val="center"/>
        </w:trPr>
        <w:tc>
          <w:tcPr>
            <w:tcW w:w="0" w:type="auto"/>
            <w:tcBorders>
              <w:top w:val="nil"/>
              <w:left w:val="nil"/>
              <w:bottom w:val="nil"/>
              <w:right w:val="nil"/>
            </w:tcBorders>
            <w:noWrap/>
            <w:vAlign w:val="bottom"/>
            <w:hideMark/>
          </w:tcPr>
          <w:p w14:paraId="33E989AB"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UE-France</w:t>
            </w:r>
          </w:p>
        </w:tc>
        <w:tc>
          <w:tcPr>
            <w:tcW w:w="0" w:type="auto"/>
            <w:tcBorders>
              <w:top w:val="nil"/>
              <w:left w:val="nil"/>
              <w:bottom w:val="nil"/>
              <w:right w:val="nil"/>
            </w:tcBorders>
            <w:noWrap/>
            <w:vAlign w:val="bottom"/>
            <w:hideMark/>
          </w:tcPr>
          <w:p w14:paraId="2153275C"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PIERRE JOSEPH SALVADOR</w:t>
            </w:r>
          </w:p>
        </w:tc>
        <w:tc>
          <w:tcPr>
            <w:tcW w:w="0" w:type="auto"/>
            <w:tcBorders>
              <w:top w:val="nil"/>
              <w:left w:val="nil"/>
              <w:bottom w:val="nil"/>
              <w:right w:val="nil"/>
            </w:tcBorders>
            <w:noWrap/>
            <w:vAlign w:val="bottom"/>
            <w:hideMark/>
          </w:tcPr>
          <w:p w14:paraId="0E19BDC8"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ATEU0FRA00088</w:t>
            </w:r>
          </w:p>
        </w:tc>
      </w:tr>
      <w:tr w:rsidR="00C27D6A" w:rsidRPr="00D25DC8" w14:paraId="5B619D9D" w14:textId="77777777" w:rsidTr="00C75467">
        <w:trPr>
          <w:trHeight w:val="288"/>
          <w:tblHeader/>
          <w:jc w:val="center"/>
        </w:trPr>
        <w:tc>
          <w:tcPr>
            <w:tcW w:w="0" w:type="auto"/>
            <w:tcBorders>
              <w:top w:val="nil"/>
              <w:left w:val="nil"/>
              <w:bottom w:val="nil"/>
              <w:right w:val="nil"/>
            </w:tcBorders>
            <w:noWrap/>
            <w:vAlign w:val="bottom"/>
            <w:hideMark/>
          </w:tcPr>
          <w:p w14:paraId="63D8F688"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UE-France</w:t>
            </w:r>
          </w:p>
        </w:tc>
        <w:tc>
          <w:tcPr>
            <w:tcW w:w="0" w:type="auto"/>
            <w:tcBorders>
              <w:top w:val="nil"/>
              <w:left w:val="nil"/>
              <w:bottom w:val="nil"/>
              <w:right w:val="nil"/>
            </w:tcBorders>
            <w:noWrap/>
            <w:vAlign w:val="bottom"/>
            <w:hideMark/>
          </w:tcPr>
          <w:p w14:paraId="1576AE4E"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VILLE D'AGDE IV</w:t>
            </w:r>
          </w:p>
        </w:tc>
        <w:tc>
          <w:tcPr>
            <w:tcW w:w="0" w:type="auto"/>
            <w:tcBorders>
              <w:top w:val="nil"/>
              <w:left w:val="nil"/>
              <w:bottom w:val="nil"/>
              <w:right w:val="nil"/>
            </w:tcBorders>
            <w:noWrap/>
            <w:vAlign w:val="bottom"/>
            <w:hideMark/>
          </w:tcPr>
          <w:p w14:paraId="05099339"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ATEU0FRA00089</w:t>
            </w:r>
          </w:p>
        </w:tc>
      </w:tr>
      <w:tr w:rsidR="00C27D6A" w:rsidRPr="00D25DC8" w14:paraId="0C6D1ACE" w14:textId="77777777" w:rsidTr="00C75467">
        <w:trPr>
          <w:trHeight w:val="288"/>
          <w:tblHeader/>
          <w:jc w:val="center"/>
        </w:trPr>
        <w:tc>
          <w:tcPr>
            <w:tcW w:w="0" w:type="auto"/>
            <w:tcBorders>
              <w:top w:val="nil"/>
              <w:left w:val="nil"/>
              <w:bottom w:val="nil"/>
              <w:right w:val="nil"/>
            </w:tcBorders>
            <w:noWrap/>
            <w:vAlign w:val="bottom"/>
            <w:hideMark/>
          </w:tcPr>
          <w:p w14:paraId="4AE87ACF"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UE-France</w:t>
            </w:r>
          </w:p>
        </w:tc>
        <w:tc>
          <w:tcPr>
            <w:tcW w:w="0" w:type="auto"/>
            <w:tcBorders>
              <w:top w:val="nil"/>
              <w:left w:val="nil"/>
              <w:bottom w:val="nil"/>
              <w:right w:val="nil"/>
            </w:tcBorders>
            <w:noWrap/>
            <w:vAlign w:val="bottom"/>
            <w:hideMark/>
          </w:tcPr>
          <w:p w14:paraId="53BC2AD1"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VENT DU NORD II</w:t>
            </w:r>
          </w:p>
        </w:tc>
        <w:tc>
          <w:tcPr>
            <w:tcW w:w="0" w:type="auto"/>
            <w:tcBorders>
              <w:top w:val="nil"/>
              <w:left w:val="nil"/>
              <w:bottom w:val="nil"/>
              <w:right w:val="nil"/>
            </w:tcBorders>
            <w:noWrap/>
            <w:vAlign w:val="bottom"/>
            <w:hideMark/>
          </w:tcPr>
          <w:p w14:paraId="74C38909"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ATEU0FRA00090</w:t>
            </w:r>
          </w:p>
        </w:tc>
      </w:tr>
      <w:tr w:rsidR="00C27D6A" w:rsidRPr="00D25DC8" w14:paraId="521C45CF" w14:textId="77777777" w:rsidTr="00C75467">
        <w:trPr>
          <w:trHeight w:val="288"/>
          <w:tblHeader/>
          <w:jc w:val="center"/>
        </w:trPr>
        <w:tc>
          <w:tcPr>
            <w:tcW w:w="0" w:type="auto"/>
            <w:tcBorders>
              <w:top w:val="nil"/>
              <w:left w:val="nil"/>
              <w:bottom w:val="nil"/>
              <w:right w:val="nil"/>
            </w:tcBorders>
            <w:noWrap/>
            <w:vAlign w:val="bottom"/>
            <w:hideMark/>
          </w:tcPr>
          <w:p w14:paraId="50AA001D"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UE-France</w:t>
            </w:r>
          </w:p>
        </w:tc>
        <w:tc>
          <w:tcPr>
            <w:tcW w:w="0" w:type="auto"/>
            <w:tcBorders>
              <w:top w:val="nil"/>
              <w:left w:val="nil"/>
              <w:bottom w:val="nil"/>
              <w:right w:val="nil"/>
            </w:tcBorders>
            <w:noWrap/>
            <w:vAlign w:val="bottom"/>
            <w:hideMark/>
          </w:tcPr>
          <w:p w14:paraId="24D349FB"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GERALD JEAN IV</w:t>
            </w:r>
          </w:p>
        </w:tc>
        <w:tc>
          <w:tcPr>
            <w:tcW w:w="0" w:type="auto"/>
            <w:tcBorders>
              <w:top w:val="nil"/>
              <w:left w:val="nil"/>
              <w:bottom w:val="nil"/>
              <w:right w:val="nil"/>
            </w:tcBorders>
            <w:noWrap/>
            <w:vAlign w:val="bottom"/>
            <w:hideMark/>
          </w:tcPr>
          <w:p w14:paraId="58C9D5CF"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ATEU0FRA00093</w:t>
            </w:r>
          </w:p>
        </w:tc>
      </w:tr>
      <w:tr w:rsidR="00C27D6A" w:rsidRPr="00D25DC8" w14:paraId="7BC96445" w14:textId="77777777" w:rsidTr="00C75467">
        <w:trPr>
          <w:trHeight w:val="288"/>
          <w:tblHeader/>
          <w:jc w:val="center"/>
        </w:trPr>
        <w:tc>
          <w:tcPr>
            <w:tcW w:w="0" w:type="auto"/>
            <w:tcBorders>
              <w:top w:val="nil"/>
              <w:left w:val="nil"/>
              <w:bottom w:val="nil"/>
              <w:right w:val="nil"/>
            </w:tcBorders>
            <w:noWrap/>
            <w:vAlign w:val="bottom"/>
            <w:hideMark/>
          </w:tcPr>
          <w:p w14:paraId="21AEE759"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UE-France</w:t>
            </w:r>
          </w:p>
        </w:tc>
        <w:tc>
          <w:tcPr>
            <w:tcW w:w="0" w:type="auto"/>
            <w:tcBorders>
              <w:top w:val="nil"/>
              <w:left w:val="nil"/>
              <w:bottom w:val="nil"/>
              <w:right w:val="nil"/>
            </w:tcBorders>
            <w:noWrap/>
            <w:vAlign w:val="bottom"/>
            <w:hideMark/>
          </w:tcPr>
          <w:p w14:paraId="4DEE104E"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CHRISDERIC V</w:t>
            </w:r>
          </w:p>
        </w:tc>
        <w:tc>
          <w:tcPr>
            <w:tcW w:w="0" w:type="auto"/>
            <w:tcBorders>
              <w:top w:val="nil"/>
              <w:left w:val="nil"/>
              <w:bottom w:val="nil"/>
              <w:right w:val="nil"/>
            </w:tcBorders>
            <w:noWrap/>
            <w:vAlign w:val="bottom"/>
            <w:hideMark/>
          </w:tcPr>
          <w:p w14:paraId="40F46B69"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ATEU0FRA14500</w:t>
            </w:r>
          </w:p>
        </w:tc>
      </w:tr>
      <w:tr w:rsidR="00C27D6A" w:rsidRPr="00D25DC8" w14:paraId="238BE2E9" w14:textId="77777777" w:rsidTr="00C75467">
        <w:trPr>
          <w:trHeight w:val="288"/>
          <w:tblHeader/>
          <w:jc w:val="center"/>
        </w:trPr>
        <w:tc>
          <w:tcPr>
            <w:tcW w:w="0" w:type="auto"/>
            <w:tcBorders>
              <w:top w:val="nil"/>
              <w:left w:val="nil"/>
              <w:bottom w:val="nil"/>
              <w:right w:val="nil"/>
            </w:tcBorders>
            <w:noWrap/>
            <w:vAlign w:val="bottom"/>
            <w:hideMark/>
          </w:tcPr>
          <w:p w14:paraId="7818B60E"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UE-Italie</w:t>
            </w:r>
          </w:p>
        </w:tc>
        <w:tc>
          <w:tcPr>
            <w:tcW w:w="0" w:type="auto"/>
            <w:tcBorders>
              <w:top w:val="nil"/>
              <w:left w:val="nil"/>
              <w:bottom w:val="nil"/>
              <w:right w:val="nil"/>
            </w:tcBorders>
            <w:noWrap/>
            <w:vAlign w:val="bottom"/>
            <w:hideMark/>
          </w:tcPr>
          <w:p w14:paraId="670D3530"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ATLANTE</w:t>
            </w:r>
          </w:p>
        </w:tc>
        <w:tc>
          <w:tcPr>
            <w:tcW w:w="0" w:type="auto"/>
            <w:tcBorders>
              <w:top w:val="nil"/>
              <w:left w:val="nil"/>
              <w:bottom w:val="nil"/>
              <w:right w:val="nil"/>
            </w:tcBorders>
            <w:noWrap/>
            <w:vAlign w:val="bottom"/>
            <w:hideMark/>
          </w:tcPr>
          <w:p w14:paraId="00BE6741"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ATEU0ITA00065</w:t>
            </w:r>
          </w:p>
        </w:tc>
      </w:tr>
      <w:tr w:rsidR="00C27D6A" w:rsidRPr="00D25DC8" w14:paraId="1BD3DB56" w14:textId="77777777" w:rsidTr="00C75467">
        <w:trPr>
          <w:trHeight w:val="288"/>
          <w:tblHeader/>
          <w:jc w:val="center"/>
        </w:trPr>
        <w:tc>
          <w:tcPr>
            <w:tcW w:w="0" w:type="auto"/>
            <w:tcBorders>
              <w:top w:val="nil"/>
              <w:left w:val="nil"/>
              <w:bottom w:val="nil"/>
              <w:right w:val="nil"/>
            </w:tcBorders>
            <w:noWrap/>
            <w:vAlign w:val="bottom"/>
            <w:hideMark/>
          </w:tcPr>
          <w:p w14:paraId="488CC442"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UE-Italie</w:t>
            </w:r>
          </w:p>
        </w:tc>
        <w:tc>
          <w:tcPr>
            <w:tcW w:w="0" w:type="auto"/>
            <w:tcBorders>
              <w:top w:val="nil"/>
              <w:left w:val="nil"/>
              <w:bottom w:val="nil"/>
              <w:right w:val="nil"/>
            </w:tcBorders>
            <w:noWrap/>
            <w:vAlign w:val="bottom"/>
            <w:hideMark/>
          </w:tcPr>
          <w:p w14:paraId="5B52057C"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ENZA MADRE</w:t>
            </w:r>
          </w:p>
        </w:tc>
        <w:tc>
          <w:tcPr>
            <w:tcW w:w="0" w:type="auto"/>
            <w:tcBorders>
              <w:top w:val="nil"/>
              <w:left w:val="nil"/>
              <w:bottom w:val="nil"/>
              <w:right w:val="nil"/>
            </w:tcBorders>
            <w:noWrap/>
            <w:vAlign w:val="bottom"/>
            <w:hideMark/>
          </w:tcPr>
          <w:p w14:paraId="74A93E9C"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ATEU0ITA00188</w:t>
            </w:r>
          </w:p>
        </w:tc>
      </w:tr>
      <w:tr w:rsidR="00C27D6A" w:rsidRPr="00D25DC8" w14:paraId="6CC2AD06" w14:textId="77777777" w:rsidTr="00C75467">
        <w:trPr>
          <w:trHeight w:val="288"/>
          <w:tblHeader/>
          <w:jc w:val="center"/>
        </w:trPr>
        <w:tc>
          <w:tcPr>
            <w:tcW w:w="0" w:type="auto"/>
            <w:tcBorders>
              <w:top w:val="nil"/>
              <w:left w:val="nil"/>
              <w:bottom w:val="nil"/>
              <w:right w:val="nil"/>
            </w:tcBorders>
            <w:noWrap/>
            <w:vAlign w:val="bottom"/>
            <w:hideMark/>
          </w:tcPr>
          <w:p w14:paraId="2992450A"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UE-Italie</w:t>
            </w:r>
          </w:p>
        </w:tc>
        <w:tc>
          <w:tcPr>
            <w:tcW w:w="0" w:type="auto"/>
            <w:tcBorders>
              <w:top w:val="nil"/>
              <w:left w:val="nil"/>
              <w:bottom w:val="nil"/>
              <w:right w:val="nil"/>
            </w:tcBorders>
            <w:noWrap/>
            <w:vAlign w:val="bottom"/>
            <w:hideMark/>
          </w:tcPr>
          <w:p w14:paraId="6B6F5F74"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GIUSEPPE PADRE SECONDO</w:t>
            </w:r>
          </w:p>
        </w:tc>
        <w:tc>
          <w:tcPr>
            <w:tcW w:w="0" w:type="auto"/>
            <w:tcBorders>
              <w:top w:val="nil"/>
              <w:left w:val="nil"/>
              <w:bottom w:val="nil"/>
              <w:right w:val="nil"/>
            </w:tcBorders>
            <w:noWrap/>
            <w:vAlign w:val="bottom"/>
            <w:hideMark/>
          </w:tcPr>
          <w:p w14:paraId="2AADE8A4"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ATEU0ITA00289</w:t>
            </w:r>
          </w:p>
        </w:tc>
      </w:tr>
      <w:tr w:rsidR="00C27D6A" w:rsidRPr="00D25DC8" w14:paraId="23571282" w14:textId="77777777" w:rsidTr="00C75467">
        <w:trPr>
          <w:trHeight w:val="288"/>
          <w:tblHeader/>
          <w:jc w:val="center"/>
        </w:trPr>
        <w:tc>
          <w:tcPr>
            <w:tcW w:w="0" w:type="auto"/>
            <w:tcBorders>
              <w:top w:val="nil"/>
              <w:left w:val="nil"/>
              <w:bottom w:val="nil"/>
              <w:right w:val="nil"/>
            </w:tcBorders>
            <w:noWrap/>
            <w:vAlign w:val="bottom"/>
            <w:hideMark/>
          </w:tcPr>
          <w:p w14:paraId="0374AA08"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UE-Italie</w:t>
            </w:r>
          </w:p>
        </w:tc>
        <w:tc>
          <w:tcPr>
            <w:tcW w:w="0" w:type="auto"/>
            <w:tcBorders>
              <w:top w:val="nil"/>
              <w:left w:val="nil"/>
              <w:bottom w:val="nil"/>
              <w:right w:val="nil"/>
            </w:tcBorders>
            <w:noWrap/>
            <w:vAlign w:val="bottom"/>
            <w:hideMark/>
          </w:tcPr>
          <w:p w14:paraId="2DABA948"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MADONNA DI FATIMA</w:t>
            </w:r>
          </w:p>
        </w:tc>
        <w:tc>
          <w:tcPr>
            <w:tcW w:w="0" w:type="auto"/>
            <w:tcBorders>
              <w:top w:val="nil"/>
              <w:left w:val="nil"/>
              <w:bottom w:val="nil"/>
              <w:right w:val="nil"/>
            </w:tcBorders>
            <w:noWrap/>
            <w:vAlign w:val="bottom"/>
            <w:hideMark/>
          </w:tcPr>
          <w:p w14:paraId="2D8A07B9"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ATEU0ITA00348</w:t>
            </w:r>
          </w:p>
        </w:tc>
      </w:tr>
      <w:tr w:rsidR="00C27D6A" w:rsidRPr="00D25DC8" w14:paraId="72491BAB" w14:textId="77777777" w:rsidTr="00C75467">
        <w:trPr>
          <w:trHeight w:val="288"/>
          <w:tblHeader/>
          <w:jc w:val="center"/>
        </w:trPr>
        <w:tc>
          <w:tcPr>
            <w:tcW w:w="0" w:type="auto"/>
            <w:tcBorders>
              <w:top w:val="nil"/>
              <w:left w:val="nil"/>
              <w:bottom w:val="nil"/>
              <w:right w:val="nil"/>
            </w:tcBorders>
            <w:noWrap/>
            <w:vAlign w:val="bottom"/>
            <w:hideMark/>
          </w:tcPr>
          <w:p w14:paraId="5E6DD7F2"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UE-Italie</w:t>
            </w:r>
          </w:p>
        </w:tc>
        <w:tc>
          <w:tcPr>
            <w:tcW w:w="0" w:type="auto"/>
            <w:tcBorders>
              <w:top w:val="nil"/>
              <w:left w:val="nil"/>
              <w:bottom w:val="nil"/>
              <w:right w:val="nil"/>
            </w:tcBorders>
            <w:noWrap/>
            <w:vAlign w:val="bottom"/>
            <w:hideMark/>
          </w:tcPr>
          <w:p w14:paraId="37024D22"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MARIA ANTONIETTA</w:t>
            </w:r>
          </w:p>
        </w:tc>
        <w:tc>
          <w:tcPr>
            <w:tcW w:w="0" w:type="auto"/>
            <w:tcBorders>
              <w:top w:val="nil"/>
              <w:left w:val="nil"/>
              <w:bottom w:val="nil"/>
              <w:right w:val="nil"/>
            </w:tcBorders>
            <w:noWrap/>
            <w:vAlign w:val="bottom"/>
            <w:hideMark/>
          </w:tcPr>
          <w:p w14:paraId="6E55F29B"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ATEU0ITA00368</w:t>
            </w:r>
          </w:p>
        </w:tc>
      </w:tr>
      <w:tr w:rsidR="00C27D6A" w:rsidRPr="00D25DC8" w14:paraId="590E2712" w14:textId="77777777" w:rsidTr="00C75467">
        <w:trPr>
          <w:trHeight w:val="288"/>
          <w:tblHeader/>
          <w:jc w:val="center"/>
        </w:trPr>
        <w:tc>
          <w:tcPr>
            <w:tcW w:w="0" w:type="auto"/>
            <w:tcBorders>
              <w:top w:val="nil"/>
              <w:left w:val="nil"/>
              <w:bottom w:val="nil"/>
              <w:right w:val="nil"/>
            </w:tcBorders>
            <w:noWrap/>
            <w:vAlign w:val="bottom"/>
            <w:hideMark/>
          </w:tcPr>
          <w:p w14:paraId="79B75698"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UE-Italie</w:t>
            </w:r>
          </w:p>
        </w:tc>
        <w:tc>
          <w:tcPr>
            <w:tcW w:w="0" w:type="auto"/>
            <w:tcBorders>
              <w:top w:val="nil"/>
              <w:left w:val="nil"/>
              <w:bottom w:val="nil"/>
              <w:right w:val="nil"/>
            </w:tcBorders>
            <w:noWrap/>
            <w:vAlign w:val="bottom"/>
            <w:hideMark/>
          </w:tcPr>
          <w:p w14:paraId="0981FF95"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ONDA</w:t>
            </w:r>
          </w:p>
        </w:tc>
        <w:tc>
          <w:tcPr>
            <w:tcW w:w="0" w:type="auto"/>
            <w:tcBorders>
              <w:top w:val="nil"/>
              <w:left w:val="nil"/>
              <w:bottom w:val="nil"/>
              <w:right w:val="nil"/>
            </w:tcBorders>
            <w:noWrap/>
            <w:vAlign w:val="bottom"/>
            <w:hideMark/>
          </w:tcPr>
          <w:p w14:paraId="5B369C11"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ATEU0ITA00459</w:t>
            </w:r>
          </w:p>
        </w:tc>
      </w:tr>
      <w:tr w:rsidR="00C27D6A" w:rsidRPr="00D25DC8" w14:paraId="671D06A6" w14:textId="77777777" w:rsidTr="00C75467">
        <w:trPr>
          <w:trHeight w:val="288"/>
          <w:tblHeader/>
          <w:jc w:val="center"/>
        </w:trPr>
        <w:tc>
          <w:tcPr>
            <w:tcW w:w="0" w:type="auto"/>
            <w:tcBorders>
              <w:top w:val="nil"/>
              <w:left w:val="nil"/>
              <w:bottom w:val="nil"/>
              <w:right w:val="nil"/>
            </w:tcBorders>
            <w:noWrap/>
            <w:vAlign w:val="bottom"/>
            <w:hideMark/>
          </w:tcPr>
          <w:p w14:paraId="0EFDB0CA"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UE-Italie</w:t>
            </w:r>
          </w:p>
        </w:tc>
        <w:tc>
          <w:tcPr>
            <w:tcW w:w="0" w:type="auto"/>
            <w:tcBorders>
              <w:top w:val="nil"/>
              <w:left w:val="nil"/>
              <w:bottom w:val="nil"/>
              <w:right w:val="nil"/>
            </w:tcBorders>
            <w:noWrap/>
            <w:vAlign w:val="bottom"/>
            <w:hideMark/>
          </w:tcPr>
          <w:p w14:paraId="3573E14B"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PADRE PIO P</w:t>
            </w:r>
          </w:p>
        </w:tc>
        <w:tc>
          <w:tcPr>
            <w:tcW w:w="0" w:type="auto"/>
            <w:tcBorders>
              <w:top w:val="nil"/>
              <w:left w:val="nil"/>
              <w:bottom w:val="nil"/>
              <w:right w:val="nil"/>
            </w:tcBorders>
            <w:noWrap/>
            <w:vAlign w:val="bottom"/>
            <w:hideMark/>
          </w:tcPr>
          <w:p w14:paraId="3996BEA8"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ATEU0ITA00470</w:t>
            </w:r>
          </w:p>
        </w:tc>
      </w:tr>
      <w:tr w:rsidR="00C27D6A" w:rsidRPr="00D25DC8" w14:paraId="4C73B634" w14:textId="77777777" w:rsidTr="00C75467">
        <w:trPr>
          <w:trHeight w:val="288"/>
          <w:tblHeader/>
          <w:jc w:val="center"/>
        </w:trPr>
        <w:tc>
          <w:tcPr>
            <w:tcW w:w="0" w:type="auto"/>
            <w:tcBorders>
              <w:top w:val="nil"/>
              <w:left w:val="nil"/>
              <w:bottom w:val="nil"/>
              <w:right w:val="nil"/>
            </w:tcBorders>
            <w:noWrap/>
            <w:vAlign w:val="bottom"/>
            <w:hideMark/>
          </w:tcPr>
          <w:p w14:paraId="5F95036A"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UE-Italie</w:t>
            </w:r>
          </w:p>
        </w:tc>
        <w:tc>
          <w:tcPr>
            <w:tcW w:w="0" w:type="auto"/>
            <w:tcBorders>
              <w:top w:val="nil"/>
              <w:left w:val="nil"/>
              <w:bottom w:val="nil"/>
              <w:right w:val="nil"/>
            </w:tcBorders>
            <w:noWrap/>
            <w:vAlign w:val="bottom"/>
            <w:hideMark/>
          </w:tcPr>
          <w:p w14:paraId="72B0F609"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SPARVIERO UNO</w:t>
            </w:r>
          </w:p>
        </w:tc>
        <w:tc>
          <w:tcPr>
            <w:tcW w:w="0" w:type="auto"/>
            <w:tcBorders>
              <w:top w:val="nil"/>
              <w:left w:val="nil"/>
              <w:bottom w:val="nil"/>
              <w:right w:val="nil"/>
            </w:tcBorders>
            <w:noWrap/>
            <w:vAlign w:val="bottom"/>
            <w:hideMark/>
          </w:tcPr>
          <w:p w14:paraId="09DBB321"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ATEU0ITA00565</w:t>
            </w:r>
          </w:p>
        </w:tc>
      </w:tr>
      <w:tr w:rsidR="00C27D6A" w:rsidRPr="00D25DC8" w14:paraId="65355AD1" w14:textId="77777777" w:rsidTr="00C75467">
        <w:trPr>
          <w:trHeight w:val="288"/>
          <w:tblHeader/>
          <w:jc w:val="center"/>
        </w:trPr>
        <w:tc>
          <w:tcPr>
            <w:tcW w:w="0" w:type="auto"/>
            <w:tcBorders>
              <w:top w:val="nil"/>
              <w:left w:val="nil"/>
              <w:bottom w:val="nil"/>
              <w:right w:val="nil"/>
            </w:tcBorders>
            <w:noWrap/>
            <w:vAlign w:val="bottom"/>
            <w:hideMark/>
          </w:tcPr>
          <w:p w14:paraId="0E21D218"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UE-Italie</w:t>
            </w:r>
          </w:p>
        </w:tc>
        <w:tc>
          <w:tcPr>
            <w:tcW w:w="0" w:type="auto"/>
            <w:tcBorders>
              <w:top w:val="nil"/>
              <w:left w:val="nil"/>
              <w:bottom w:val="nil"/>
              <w:right w:val="nil"/>
            </w:tcBorders>
            <w:noWrap/>
            <w:vAlign w:val="bottom"/>
            <w:hideMark/>
          </w:tcPr>
          <w:p w14:paraId="42859718"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VERGINE DE ROSARIO</w:t>
            </w:r>
          </w:p>
        </w:tc>
        <w:tc>
          <w:tcPr>
            <w:tcW w:w="0" w:type="auto"/>
            <w:tcBorders>
              <w:top w:val="nil"/>
              <w:left w:val="nil"/>
              <w:bottom w:val="nil"/>
              <w:right w:val="nil"/>
            </w:tcBorders>
            <w:noWrap/>
            <w:vAlign w:val="bottom"/>
            <w:hideMark/>
          </w:tcPr>
          <w:p w14:paraId="1A024C49" w14:textId="34241EA1"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ATEU0ITA00617</w:t>
            </w:r>
          </w:p>
        </w:tc>
      </w:tr>
      <w:tr w:rsidR="00C27D6A" w:rsidRPr="00D25DC8" w14:paraId="59DA54FB" w14:textId="77777777" w:rsidTr="00C75467">
        <w:trPr>
          <w:trHeight w:val="288"/>
          <w:tblHeader/>
          <w:jc w:val="center"/>
        </w:trPr>
        <w:tc>
          <w:tcPr>
            <w:tcW w:w="0" w:type="auto"/>
            <w:tcBorders>
              <w:top w:val="nil"/>
              <w:left w:val="nil"/>
              <w:bottom w:val="nil"/>
              <w:right w:val="nil"/>
            </w:tcBorders>
            <w:noWrap/>
            <w:vAlign w:val="bottom"/>
            <w:hideMark/>
          </w:tcPr>
          <w:p w14:paraId="4AE9FD02"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UE-Italie</w:t>
            </w:r>
          </w:p>
        </w:tc>
        <w:tc>
          <w:tcPr>
            <w:tcW w:w="0" w:type="auto"/>
            <w:tcBorders>
              <w:top w:val="nil"/>
              <w:left w:val="nil"/>
              <w:bottom w:val="nil"/>
              <w:right w:val="nil"/>
            </w:tcBorders>
            <w:noWrap/>
            <w:vAlign w:val="bottom"/>
            <w:hideMark/>
          </w:tcPr>
          <w:p w14:paraId="0D9C23F3"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MATTEO NOVELLA</w:t>
            </w:r>
          </w:p>
        </w:tc>
        <w:tc>
          <w:tcPr>
            <w:tcW w:w="0" w:type="auto"/>
            <w:tcBorders>
              <w:top w:val="nil"/>
              <w:left w:val="nil"/>
              <w:bottom w:val="nil"/>
              <w:right w:val="nil"/>
            </w:tcBorders>
            <w:noWrap/>
            <w:vAlign w:val="bottom"/>
            <w:hideMark/>
          </w:tcPr>
          <w:p w14:paraId="3A1BDC2C"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ATEU0ITA00623</w:t>
            </w:r>
          </w:p>
        </w:tc>
      </w:tr>
      <w:tr w:rsidR="00C27D6A" w:rsidRPr="00D25DC8" w14:paraId="3517876B" w14:textId="77777777" w:rsidTr="00C75467">
        <w:trPr>
          <w:trHeight w:val="288"/>
          <w:tblHeader/>
          <w:jc w:val="center"/>
        </w:trPr>
        <w:tc>
          <w:tcPr>
            <w:tcW w:w="0" w:type="auto"/>
            <w:tcBorders>
              <w:top w:val="nil"/>
              <w:left w:val="nil"/>
              <w:bottom w:val="nil"/>
              <w:right w:val="nil"/>
            </w:tcBorders>
            <w:noWrap/>
            <w:vAlign w:val="bottom"/>
            <w:hideMark/>
          </w:tcPr>
          <w:p w14:paraId="27FB0896"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UE-Italie</w:t>
            </w:r>
          </w:p>
        </w:tc>
        <w:tc>
          <w:tcPr>
            <w:tcW w:w="0" w:type="auto"/>
            <w:tcBorders>
              <w:top w:val="nil"/>
              <w:left w:val="nil"/>
              <w:bottom w:val="nil"/>
              <w:right w:val="nil"/>
            </w:tcBorders>
            <w:noWrap/>
            <w:vAlign w:val="bottom"/>
            <w:hideMark/>
          </w:tcPr>
          <w:p w14:paraId="64852F71"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ALTO MARE PRIMO</w:t>
            </w:r>
          </w:p>
        </w:tc>
        <w:tc>
          <w:tcPr>
            <w:tcW w:w="0" w:type="auto"/>
            <w:tcBorders>
              <w:top w:val="nil"/>
              <w:left w:val="nil"/>
              <w:bottom w:val="nil"/>
              <w:right w:val="nil"/>
            </w:tcBorders>
            <w:noWrap/>
            <w:vAlign w:val="bottom"/>
            <w:hideMark/>
          </w:tcPr>
          <w:p w14:paraId="6479F0CB"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ATEU0ITA00631</w:t>
            </w:r>
          </w:p>
        </w:tc>
      </w:tr>
      <w:tr w:rsidR="00C27D6A" w:rsidRPr="00D25DC8" w14:paraId="2012E1FB" w14:textId="77777777" w:rsidTr="00C75467">
        <w:trPr>
          <w:trHeight w:val="288"/>
          <w:tblHeader/>
          <w:jc w:val="center"/>
        </w:trPr>
        <w:tc>
          <w:tcPr>
            <w:tcW w:w="0" w:type="auto"/>
            <w:tcBorders>
              <w:top w:val="nil"/>
              <w:left w:val="nil"/>
              <w:bottom w:val="nil"/>
              <w:right w:val="nil"/>
            </w:tcBorders>
            <w:noWrap/>
            <w:vAlign w:val="bottom"/>
            <w:hideMark/>
          </w:tcPr>
          <w:p w14:paraId="62B2EE62"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UE-Italie</w:t>
            </w:r>
          </w:p>
        </w:tc>
        <w:tc>
          <w:tcPr>
            <w:tcW w:w="0" w:type="auto"/>
            <w:tcBorders>
              <w:top w:val="nil"/>
              <w:left w:val="nil"/>
              <w:bottom w:val="nil"/>
              <w:right w:val="nil"/>
            </w:tcBorders>
            <w:noWrap/>
            <w:vAlign w:val="bottom"/>
            <w:hideMark/>
          </w:tcPr>
          <w:p w14:paraId="05700FA1"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ANGELA MADRE</w:t>
            </w:r>
          </w:p>
        </w:tc>
        <w:tc>
          <w:tcPr>
            <w:tcW w:w="0" w:type="auto"/>
            <w:tcBorders>
              <w:top w:val="nil"/>
              <w:left w:val="nil"/>
              <w:bottom w:val="nil"/>
              <w:right w:val="nil"/>
            </w:tcBorders>
            <w:noWrap/>
            <w:vAlign w:val="bottom"/>
            <w:hideMark/>
          </w:tcPr>
          <w:p w14:paraId="371447CA"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ATEU0ITA00635</w:t>
            </w:r>
          </w:p>
        </w:tc>
      </w:tr>
      <w:tr w:rsidR="00C27D6A" w:rsidRPr="00D25DC8" w14:paraId="4E85EBCB" w14:textId="77777777" w:rsidTr="00C75467">
        <w:trPr>
          <w:trHeight w:val="288"/>
          <w:tblHeader/>
          <w:jc w:val="center"/>
        </w:trPr>
        <w:tc>
          <w:tcPr>
            <w:tcW w:w="0" w:type="auto"/>
            <w:tcBorders>
              <w:top w:val="nil"/>
              <w:left w:val="nil"/>
              <w:bottom w:val="nil"/>
              <w:right w:val="nil"/>
            </w:tcBorders>
            <w:noWrap/>
            <w:vAlign w:val="bottom"/>
            <w:hideMark/>
          </w:tcPr>
          <w:p w14:paraId="0F742C9C"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UE-Italie</w:t>
            </w:r>
          </w:p>
        </w:tc>
        <w:tc>
          <w:tcPr>
            <w:tcW w:w="0" w:type="auto"/>
            <w:tcBorders>
              <w:top w:val="nil"/>
              <w:left w:val="nil"/>
              <w:bottom w:val="nil"/>
              <w:right w:val="nil"/>
            </w:tcBorders>
            <w:noWrap/>
            <w:vAlign w:val="bottom"/>
            <w:hideMark/>
          </w:tcPr>
          <w:p w14:paraId="76E008A7"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ANGELO CATANIA</w:t>
            </w:r>
          </w:p>
        </w:tc>
        <w:tc>
          <w:tcPr>
            <w:tcW w:w="0" w:type="auto"/>
            <w:tcBorders>
              <w:top w:val="nil"/>
              <w:left w:val="nil"/>
              <w:bottom w:val="nil"/>
              <w:right w:val="nil"/>
            </w:tcBorders>
            <w:noWrap/>
            <w:vAlign w:val="bottom"/>
            <w:hideMark/>
          </w:tcPr>
          <w:p w14:paraId="0BB8E06A"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ATEU0ITA00636</w:t>
            </w:r>
          </w:p>
        </w:tc>
      </w:tr>
      <w:tr w:rsidR="00C27D6A" w:rsidRPr="00D25DC8" w14:paraId="79B83240" w14:textId="77777777" w:rsidTr="00C75467">
        <w:trPr>
          <w:trHeight w:val="288"/>
          <w:tblHeader/>
          <w:jc w:val="center"/>
        </w:trPr>
        <w:tc>
          <w:tcPr>
            <w:tcW w:w="0" w:type="auto"/>
            <w:tcBorders>
              <w:top w:val="nil"/>
              <w:left w:val="nil"/>
              <w:bottom w:val="nil"/>
              <w:right w:val="nil"/>
            </w:tcBorders>
            <w:noWrap/>
            <w:vAlign w:val="bottom"/>
            <w:hideMark/>
          </w:tcPr>
          <w:p w14:paraId="02B3A7D0"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UE-Italie</w:t>
            </w:r>
          </w:p>
        </w:tc>
        <w:tc>
          <w:tcPr>
            <w:tcW w:w="0" w:type="auto"/>
            <w:tcBorders>
              <w:top w:val="nil"/>
              <w:left w:val="nil"/>
              <w:bottom w:val="nil"/>
              <w:right w:val="nil"/>
            </w:tcBorders>
            <w:noWrap/>
            <w:vAlign w:val="bottom"/>
            <w:hideMark/>
          </w:tcPr>
          <w:p w14:paraId="41397A9A"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ANGELA ARCELLA</w:t>
            </w:r>
          </w:p>
        </w:tc>
        <w:tc>
          <w:tcPr>
            <w:tcW w:w="0" w:type="auto"/>
            <w:tcBorders>
              <w:top w:val="nil"/>
              <w:left w:val="nil"/>
              <w:bottom w:val="nil"/>
              <w:right w:val="nil"/>
            </w:tcBorders>
            <w:noWrap/>
            <w:vAlign w:val="bottom"/>
            <w:hideMark/>
          </w:tcPr>
          <w:p w14:paraId="55214DF2"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ATEU0ITA00639</w:t>
            </w:r>
          </w:p>
        </w:tc>
      </w:tr>
      <w:tr w:rsidR="00C27D6A" w:rsidRPr="00D25DC8" w14:paraId="5041B393" w14:textId="77777777" w:rsidTr="00C75467">
        <w:trPr>
          <w:trHeight w:val="288"/>
          <w:tblHeader/>
          <w:jc w:val="center"/>
        </w:trPr>
        <w:tc>
          <w:tcPr>
            <w:tcW w:w="0" w:type="auto"/>
            <w:tcBorders>
              <w:top w:val="nil"/>
              <w:left w:val="nil"/>
              <w:bottom w:val="nil"/>
              <w:right w:val="nil"/>
            </w:tcBorders>
            <w:noWrap/>
            <w:vAlign w:val="bottom"/>
            <w:hideMark/>
          </w:tcPr>
          <w:p w14:paraId="2A6CAC53"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UE-Italie</w:t>
            </w:r>
          </w:p>
        </w:tc>
        <w:tc>
          <w:tcPr>
            <w:tcW w:w="0" w:type="auto"/>
            <w:tcBorders>
              <w:top w:val="nil"/>
              <w:left w:val="nil"/>
              <w:bottom w:val="nil"/>
              <w:right w:val="nil"/>
            </w:tcBorders>
            <w:noWrap/>
            <w:vAlign w:val="bottom"/>
            <w:hideMark/>
          </w:tcPr>
          <w:p w14:paraId="261BB55C"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GENEVIEVE PRIMA</w:t>
            </w:r>
          </w:p>
        </w:tc>
        <w:tc>
          <w:tcPr>
            <w:tcW w:w="0" w:type="auto"/>
            <w:tcBorders>
              <w:top w:val="nil"/>
              <w:left w:val="nil"/>
              <w:bottom w:val="nil"/>
              <w:right w:val="nil"/>
            </w:tcBorders>
            <w:noWrap/>
            <w:vAlign w:val="bottom"/>
            <w:hideMark/>
          </w:tcPr>
          <w:p w14:paraId="10094FA9"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ATEU0ITA00654</w:t>
            </w:r>
          </w:p>
        </w:tc>
      </w:tr>
      <w:tr w:rsidR="00C27D6A" w:rsidRPr="00D25DC8" w14:paraId="7E5F1BC2" w14:textId="77777777" w:rsidTr="00C75467">
        <w:trPr>
          <w:trHeight w:val="288"/>
          <w:tblHeader/>
          <w:jc w:val="center"/>
        </w:trPr>
        <w:tc>
          <w:tcPr>
            <w:tcW w:w="0" w:type="auto"/>
            <w:tcBorders>
              <w:top w:val="nil"/>
              <w:left w:val="nil"/>
              <w:bottom w:val="nil"/>
              <w:right w:val="nil"/>
            </w:tcBorders>
            <w:noWrap/>
            <w:vAlign w:val="bottom"/>
            <w:hideMark/>
          </w:tcPr>
          <w:p w14:paraId="0392FC8D"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UE-Italie</w:t>
            </w:r>
          </w:p>
        </w:tc>
        <w:tc>
          <w:tcPr>
            <w:tcW w:w="0" w:type="auto"/>
            <w:tcBorders>
              <w:top w:val="nil"/>
              <w:left w:val="nil"/>
              <w:bottom w:val="nil"/>
              <w:right w:val="nil"/>
            </w:tcBorders>
            <w:noWrap/>
            <w:vAlign w:val="bottom"/>
            <w:hideMark/>
          </w:tcPr>
          <w:p w14:paraId="38EF6126"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LUCIA MADRE</w:t>
            </w:r>
          </w:p>
        </w:tc>
        <w:tc>
          <w:tcPr>
            <w:tcW w:w="0" w:type="auto"/>
            <w:tcBorders>
              <w:top w:val="nil"/>
              <w:left w:val="nil"/>
              <w:bottom w:val="nil"/>
              <w:right w:val="nil"/>
            </w:tcBorders>
            <w:noWrap/>
            <w:vAlign w:val="bottom"/>
            <w:hideMark/>
          </w:tcPr>
          <w:p w14:paraId="526EC3EC"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ATEU0ITA00664</w:t>
            </w:r>
          </w:p>
        </w:tc>
      </w:tr>
      <w:tr w:rsidR="00C27D6A" w:rsidRPr="00D25DC8" w14:paraId="59CD3E6F" w14:textId="77777777" w:rsidTr="00C75467">
        <w:trPr>
          <w:trHeight w:val="288"/>
          <w:tblHeader/>
          <w:jc w:val="center"/>
        </w:trPr>
        <w:tc>
          <w:tcPr>
            <w:tcW w:w="0" w:type="auto"/>
            <w:tcBorders>
              <w:top w:val="nil"/>
              <w:left w:val="nil"/>
              <w:bottom w:val="nil"/>
              <w:right w:val="nil"/>
            </w:tcBorders>
            <w:noWrap/>
            <w:vAlign w:val="bottom"/>
            <w:hideMark/>
          </w:tcPr>
          <w:p w14:paraId="21B8D851"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UE-Italie</w:t>
            </w:r>
          </w:p>
        </w:tc>
        <w:tc>
          <w:tcPr>
            <w:tcW w:w="0" w:type="auto"/>
            <w:tcBorders>
              <w:top w:val="nil"/>
              <w:left w:val="nil"/>
              <w:bottom w:val="nil"/>
              <w:right w:val="nil"/>
            </w:tcBorders>
            <w:noWrap/>
            <w:vAlign w:val="bottom"/>
            <w:hideMark/>
          </w:tcPr>
          <w:p w14:paraId="4B4F5233"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MICHELANGELO</w:t>
            </w:r>
          </w:p>
        </w:tc>
        <w:tc>
          <w:tcPr>
            <w:tcW w:w="0" w:type="auto"/>
            <w:tcBorders>
              <w:top w:val="nil"/>
              <w:left w:val="nil"/>
              <w:bottom w:val="nil"/>
              <w:right w:val="nil"/>
            </w:tcBorders>
            <w:noWrap/>
            <w:vAlign w:val="bottom"/>
            <w:hideMark/>
          </w:tcPr>
          <w:p w14:paraId="3D113FE6"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ATEU0ITA00671</w:t>
            </w:r>
          </w:p>
        </w:tc>
      </w:tr>
      <w:tr w:rsidR="00C27D6A" w:rsidRPr="00D25DC8" w14:paraId="3041739A" w14:textId="77777777" w:rsidTr="00C75467">
        <w:trPr>
          <w:trHeight w:val="288"/>
          <w:tblHeader/>
          <w:jc w:val="center"/>
        </w:trPr>
        <w:tc>
          <w:tcPr>
            <w:tcW w:w="0" w:type="auto"/>
            <w:tcBorders>
              <w:top w:val="nil"/>
              <w:left w:val="nil"/>
              <w:bottom w:val="nil"/>
              <w:right w:val="nil"/>
            </w:tcBorders>
            <w:noWrap/>
            <w:vAlign w:val="bottom"/>
            <w:hideMark/>
          </w:tcPr>
          <w:p w14:paraId="31E10709"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UE-Italie</w:t>
            </w:r>
          </w:p>
        </w:tc>
        <w:tc>
          <w:tcPr>
            <w:tcW w:w="0" w:type="auto"/>
            <w:tcBorders>
              <w:top w:val="nil"/>
              <w:left w:val="nil"/>
              <w:bottom w:val="nil"/>
              <w:right w:val="nil"/>
            </w:tcBorders>
            <w:noWrap/>
            <w:vAlign w:val="bottom"/>
            <w:hideMark/>
          </w:tcPr>
          <w:p w14:paraId="20D7AE87"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GAETANO PADRE</w:t>
            </w:r>
          </w:p>
        </w:tc>
        <w:tc>
          <w:tcPr>
            <w:tcW w:w="0" w:type="auto"/>
            <w:tcBorders>
              <w:top w:val="nil"/>
              <w:left w:val="nil"/>
              <w:bottom w:val="nil"/>
              <w:right w:val="nil"/>
            </w:tcBorders>
            <w:noWrap/>
            <w:vAlign w:val="bottom"/>
            <w:hideMark/>
          </w:tcPr>
          <w:p w14:paraId="0D4F24BF"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ATEU0ITA00693</w:t>
            </w:r>
          </w:p>
        </w:tc>
      </w:tr>
      <w:tr w:rsidR="00C27D6A" w:rsidRPr="00D25DC8" w14:paraId="3F0B38DA" w14:textId="77777777" w:rsidTr="00C75467">
        <w:trPr>
          <w:trHeight w:val="288"/>
          <w:tblHeader/>
          <w:jc w:val="center"/>
        </w:trPr>
        <w:tc>
          <w:tcPr>
            <w:tcW w:w="0" w:type="auto"/>
            <w:tcBorders>
              <w:top w:val="nil"/>
              <w:left w:val="nil"/>
              <w:bottom w:val="nil"/>
              <w:right w:val="nil"/>
            </w:tcBorders>
            <w:noWrap/>
            <w:vAlign w:val="bottom"/>
            <w:hideMark/>
          </w:tcPr>
          <w:p w14:paraId="59FCA7F8"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UE-Italie</w:t>
            </w:r>
          </w:p>
        </w:tc>
        <w:tc>
          <w:tcPr>
            <w:tcW w:w="0" w:type="auto"/>
            <w:tcBorders>
              <w:top w:val="nil"/>
              <w:left w:val="nil"/>
              <w:bottom w:val="nil"/>
              <w:right w:val="nil"/>
            </w:tcBorders>
            <w:noWrap/>
            <w:vAlign w:val="bottom"/>
            <w:hideMark/>
          </w:tcPr>
          <w:p w14:paraId="4CC4CACE"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MARIA GRAZIA</w:t>
            </w:r>
          </w:p>
        </w:tc>
        <w:tc>
          <w:tcPr>
            <w:tcW w:w="0" w:type="auto"/>
            <w:tcBorders>
              <w:top w:val="nil"/>
              <w:left w:val="nil"/>
              <w:bottom w:val="nil"/>
              <w:right w:val="nil"/>
            </w:tcBorders>
            <w:noWrap/>
            <w:vAlign w:val="bottom"/>
            <w:hideMark/>
          </w:tcPr>
          <w:p w14:paraId="34A52863"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ATEU0ITA00694</w:t>
            </w:r>
          </w:p>
        </w:tc>
      </w:tr>
      <w:tr w:rsidR="00C27D6A" w:rsidRPr="00D25DC8" w14:paraId="297C870C" w14:textId="77777777" w:rsidTr="00C75467">
        <w:trPr>
          <w:trHeight w:val="288"/>
          <w:tblHeader/>
          <w:jc w:val="center"/>
        </w:trPr>
        <w:tc>
          <w:tcPr>
            <w:tcW w:w="0" w:type="auto"/>
            <w:tcBorders>
              <w:top w:val="nil"/>
              <w:left w:val="nil"/>
              <w:bottom w:val="nil"/>
              <w:right w:val="nil"/>
            </w:tcBorders>
            <w:noWrap/>
            <w:vAlign w:val="bottom"/>
            <w:hideMark/>
          </w:tcPr>
          <w:p w14:paraId="2C90E9B3"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UE-Malte</w:t>
            </w:r>
          </w:p>
        </w:tc>
        <w:tc>
          <w:tcPr>
            <w:tcW w:w="0" w:type="auto"/>
            <w:tcBorders>
              <w:top w:val="nil"/>
              <w:left w:val="nil"/>
              <w:bottom w:val="nil"/>
              <w:right w:val="nil"/>
            </w:tcBorders>
            <w:noWrap/>
            <w:vAlign w:val="bottom"/>
            <w:hideMark/>
          </w:tcPr>
          <w:p w14:paraId="4E623E16"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COSTABILE</w:t>
            </w:r>
          </w:p>
        </w:tc>
        <w:tc>
          <w:tcPr>
            <w:tcW w:w="0" w:type="auto"/>
            <w:tcBorders>
              <w:top w:val="nil"/>
              <w:left w:val="nil"/>
              <w:bottom w:val="nil"/>
              <w:right w:val="nil"/>
            </w:tcBorders>
            <w:noWrap/>
            <w:vAlign w:val="bottom"/>
            <w:hideMark/>
          </w:tcPr>
          <w:p w14:paraId="29F4A577"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ATEU0MLT01102</w:t>
            </w:r>
          </w:p>
        </w:tc>
      </w:tr>
      <w:tr w:rsidR="00C27D6A" w:rsidRPr="00D25DC8" w14:paraId="38E13E26" w14:textId="77777777" w:rsidTr="00C75467">
        <w:trPr>
          <w:trHeight w:val="288"/>
          <w:tblHeader/>
          <w:jc w:val="center"/>
        </w:trPr>
        <w:tc>
          <w:tcPr>
            <w:tcW w:w="0" w:type="auto"/>
            <w:tcBorders>
              <w:top w:val="nil"/>
              <w:left w:val="nil"/>
              <w:bottom w:val="nil"/>
              <w:right w:val="nil"/>
            </w:tcBorders>
            <w:noWrap/>
            <w:vAlign w:val="bottom"/>
            <w:hideMark/>
          </w:tcPr>
          <w:p w14:paraId="29558F68"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UE-Malte</w:t>
            </w:r>
          </w:p>
        </w:tc>
        <w:tc>
          <w:tcPr>
            <w:tcW w:w="0" w:type="auto"/>
            <w:tcBorders>
              <w:top w:val="nil"/>
              <w:left w:val="nil"/>
              <w:bottom w:val="nil"/>
              <w:right w:val="nil"/>
            </w:tcBorders>
            <w:noWrap/>
            <w:vAlign w:val="bottom"/>
            <w:hideMark/>
          </w:tcPr>
          <w:p w14:paraId="526B5D86"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MARIA MADRE</w:t>
            </w:r>
          </w:p>
        </w:tc>
        <w:tc>
          <w:tcPr>
            <w:tcW w:w="0" w:type="auto"/>
            <w:tcBorders>
              <w:top w:val="nil"/>
              <w:left w:val="nil"/>
              <w:bottom w:val="nil"/>
              <w:right w:val="nil"/>
            </w:tcBorders>
            <w:noWrap/>
            <w:vAlign w:val="bottom"/>
            <w:hideMark/>
          </w:tcPr>
          <w:p w14:paraId="7BEFC839"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ATEU0MLT02619</w:t>
            </w:r>
          </w:p>
        </w:tc>
      </w:tr>
      <w:tr w:rsidR="00C27D6A" w:rsidRPr="00D25DC8" w14:paraId="3AD51F79" w14:textId="77777777" w:rsidTr="00C75467">
        <w:trPr>
          <w:trHeight w:val="288"/>
          <w:tblHeader/>
          <w:jc w:val="center"/>
        </w:trPr>
        <w:tc>
          <w:tcPr>
            <w:tcW w:w="0" w:type="auto"/>
            <w:tcBorders>
              <w:top w:val="nil"/>
              <w:left w:val="nil"/>
              <w:bottom w:val="nil"/>
              <w:right w:val="nil"/>
            </w:tcBorders>
            <w:noWrap/>
            <w:vAlign w:val="bottom"/>
            <w:hideMark/>
          </w:tcPr>
          <w:p w14:paraId="341A12FE"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Égypte</w:t>
            </w:r>
          </w:p>
        </w:tc>
        <w:tc>
          <w:tcPr>
            <w:tcW w:w="0" w:type="auto"/>
            <w:tcBorders>
              <w:top w:val="nil"/>
              <w:left w:val="nil"/>
              <w:bottom w:val="nil"/>
              <w:right w:val="nil"/>
            </w:tcBorders>
            <w:noWrap/>
            <w:vAlign w:val="bottom"/>
            <w:hideMark/>
          </w:tcPr>
          <w:p w14:paraId="67577649" w14:textId="77777777" w:rsidR="00C27D6A" w:rsidRPr="00C75467" w:rsidRDefault="00C27D6A" w:rsidP="00F36743">
            <w:pPr>
              <w:rPr>
                <w:rFonts w:asciiTheme="majorHAnsi" w:hAnsiTheme="majorHAnsi"/>
                <w:color w:val="000000"/>
                <w:sz w:val="20"/>
                <w:szCs w:val="20"/>
              </w:rPr>
            </w:pPr>
            <w:proofErr w:type="spellStart"/>
            <w:r>
              <w:rPr>
                <w:rFonts w:asciiTheme="majorHAnsi" w:hAnsiTheme="majorHAnsi"/>
                <w:color w:val="000000"/>
                <w:sz w:val="20"/>
              </w:rPr>
              <w:t>Safinat</w:t>
            </w:r>
            <w:proofErr w:type="spellEnd"/>
            <w:r>
              <w:rPr>
                <w:rFonts w:asciiTheme="majorHAnsi" w:hAnsiTheme="majorHAnsi"/>
                <w:color w:val="000000"/>
                <w:sz w:val="20"/>
              </w:rPr>
              <w:t xml:space="preserve"> </w:t>
            </w:r>
            <w:proofErr w:type="spellStart"/>
            <w:r>
              <w:rPr>
                <w:rFonts w:asciiTheme="majorHAnsi" w:hAnsiTheme="majorHAnsi"/>
                <w:color w:val="000000"/>
                <w:sz w:val="20"/>
              </w:rPr>
              <w:t>Nooh</w:t>
            </w:r>
            <w:proofErr w:type="spellEnd"/>
          </w:p>
        </w:tc>
        <w:tc>
          <w:tcPr>
            <w:tcW w:w="0" w:type="auto"/>
            <w:tcBorders>
              <w:top w:val="nil"/>
              <w:left w:val="nil"/>
              <w:bottom w:val="nil"/>
              <w:right w:val="nil"/>
            </w:tcBorders>
            <w:noWrap/>
            <w:vAlign w:val="bottom"/>
            <w:hideMark/>
          </w:tcPr>
          <w:p w14:paraId="2161AA75"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AT000EGY00010</w:t>
            </w:r>
          </w:p>
        </w:tc>
      </w:tr>
      <w:tr w:rsidR="00C27D6A" w:rsidRPr="00D25DC8" w14:paraId="321FB38F" w14:textId="77777777" w:rsidTr="00C75467">
        <w:trPr>
          <w:trHeight w:val="288"/>
          <w:tblHeader/>
          <w:jc w:val="center"/>
        </w:trPr>
        <w:tc>
          <w:tcPr>
            <w:tcW w:w="0" w:type="auto"/>
            <w:tcBorders>
              <w:top w:val="nil"/>
              <w:left w:val="nil"/>
              <w:bottom w:val="nil"/>
              <w:right w:val="nil"/>
            </w:tcBorders>
            <w:noWrap/>
            <w:vAlign w:val="bottom"/>
            <w:hideMark/>
          </w:tcPr>
          <w:p w14:paraId="1D253E0D"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Égypte</w:t>
            </w:r>
          </w:p>
        </w:tc>
        <w:tc>
          <w:tcPr>
            <w:tcW w:w="0" w:type="auto"/>
            <w:tcBorders>
              <w:top w:val="nil"/>
              <w:left w:val="nil"/>
              <w:bottom w:val="nil"/>
              <w:right w:val="nil"/>
            </w:tcBorders>
            <w:noWrap/>
            <w:vAlign w:val="bottom"/>
            <w:hideMark/>
          </w:tcPr>
          <w:p w14:paraId="38CA2B13"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GOLOVIK</w:t>
            </w:r>
          </w:p>
        </w:tc>
        <w:tc>
          <w:tcPr>
            <w:tcW w:w="0" w:type="auto"/>
            <w:tcBorders>
              <w:top w:val="nil"/>
              <w:left w:val="nil"/>
              <w:bottom w:val="nil"/>
              <w:right w:val="nil"/>
            </w:tcBorders>
            <w:noWrap/>
            <w:vAlign w:val="bottom"/>
            <w:hideMark/>
          </w:tcPr>
          <w:p w14:paraId="3EE35424"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AT000EGY00020</w:t>
            </w:r>
          </w:p>
        </w:tc>
      </w:tr>
      <w:tr w:rsidR="00C27D6A" w:rsidRPr="00D25DC8" w14:paraId="5FC286E8" w14:textId="77777777" w:rsidTr="00C75467">
        <w:trPr>
          <w:trHeight w:val="288"/>
          <w:tblHeader/>
          <w:jc w:val="center"/>
        </w:trPr>
        <w:tc>
          <w:tcPr>
            <w:tcW w:w="0" w:type="auto"/>
            <w:tcBorders>
              <w:top w:val="nil"/>
              <w:left w:val="nil"/>
              <w:bottom w:val="nil"/>
              <w:right w:val="nil"/>
            </w:tcBorders>
            <w:noWrap/>
            <w:vAlign w:val="bottom"/>
            <w:hideMark/>
          </w:tcPr>
          <w:p w14:paraId="05383D8F"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Libye</w:t>
            </w:r>
          </w:p>
        </w:tc>
        <w:tc>
          <w:tcPr>
            <w:tcW w:w="0" w:type="auto"/>
            <w:tcBorders>
              <w:top w:val="nil"/>
              <w:left w:val="nil"/>
              <w:bottom w:val="nil"/>
              <w:right w:val="nil"/>
            </w:tcBorders>
            <w:noWrap/>
            <w:vAlign w:val="bottom"/>
            <w:hideMark/>
          </w:tcPr>
          <w:p w14:paraId="599E4ACC"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ELHADER 2</w:t>
            </w:r>
          </w:p>
        </w:tc>
        <w:tc>
          <w:tcPr>
            <w:tcW w:w="0" w:type="auto"/>
            <w:tcBorders>
              <w:top w:val="nil"/>
              <w:left w:val="nil"/>
              <w:bottom w:val="nil"/>
              <w:right w:val="nil"/>
            </w:tcBorders>
            <w:noWrap/>
            <w:vAlign w:val="bottom"/>
            <w:hideMark/>
          </w:tcPr>
          <w:p w14:paraId="28A868A0"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AT000LBY00037</w:t>
            </w:r>
          </w:p>
        </w:tc>
      </w:tr>
      <w:tr w:rsidR="00C27D6A" w:rsidRPr="00D25DC8" w14:paraId="76C99DA9" w14:textId="77777777" w:rsidTr="00C75467">
        <w:trPr>
          <w:trHeight w:val="288"/>
          <w:tblHeader/>
          <w:jc w:val="center"/>
        </w:trPr>
        <w:tc>
          <w:tcPr>
            <w:tcW w:w="0" w:type="auto"/>
            <w:tcBorders>
              <w:top w:val="nil"/>
              <w:left w:val="nil"/>
              <w:bottom w:val="nil"/>
              <w:right w:val="nil"/>
            </w:tcBorders>
            <w:noWrap/>
            <w:vAlign w:val="bottom"/>
            <w:hideMark/>
          </w:tcPr>
          <w:p w14:paraId="44BE68BE"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Libye</w:t>
            </w:r>
          </w:p>
        </w:tc>
        <w:tc>
          <w:tcPr>
            <w:tcW w:w="0" w:type="auto"/>
            <w:tcBorders>
              <w:top w:val="nil"/>
              <w:left w:val="nil"/>
              <w:bottom w:val="nil"/>
              <w:right w:val="nil"/>
            </w:tcBorders>
            <w:noWrap/>
            <w:vAlign w:val="bottom"/>
            <w:hideMark/>
          </w:tcPr>
          <w:p w14:paraId="57C52188"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AL KAPTAN</w:t>
            </w:r>
          </w:p>
        </w:tc>
        <w:tc>
          <w:tcPr>
            <w:tcW w:w="0" w:type="auto"/>
            <w:tcBorders>
              <w:top w:val="nil"/>
              <w:left w:val="nil"/>
              <w:bottom w:val="nil"/>
              <w:right w:val="nil"/>
            </w:tcBorders>
            <w:noWrap/>
            <w:vAlign w:val="bottom"/>
            <w:hideMark/>
          </w:tcPr>
          <w:p w14:paraId="40A43673"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AT000LBY00091</w:t>
            </w:r>
          </w:p>
        </w:tc>
      </w:tr>
      <w:tr w:rsidR="00C27D6A" w:rsidRPr="00D25DC8" w14:paraId="2D346F77" w14:textId="77777777" w:rsidTr="00C75467">
        <w:trPr>
          <w:trHeight w:val="288"/>
          <w:tblHeader/>
          <w:jc w:val="center"/>
        </w:trPr>
        <w:tc>
          <w:tcPr>
            <w:tcW w:w="0" w:type="auto"/>
            <w:tcBorders>
              <w:top w:val="nil"/>
              <w:left w:val="nil"/>
              <w:bottom w:val="nil"/>
              <w:right w:val="nil"/>
            </w:tcBorders>
            <w:noWrap/>
            <w:vAlign w:val="bottom"/>
            <w:hideMark/>
          </w:tcPr>
          <w:p w14:paraId="2FB24BF7"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Libye</w:t>
            </w:r>
          </w:p>
        </w:tc>
        <w:tc>
          <w:tcPr>
            <w:tcW w:w="0" w:type="auto"/>
            <w:tcBorders>
              <w:top w:val="nil"/>
              <w:left w:val="nil"/>
              <w:bottom w:val="nil"/>
              <w:right w:val="nil"/>
            </w:tcBorders>
            <w:noWrap/>
            <w:vAlign w:val="bottom"/>
            <w:hideMark/>
          </w:tcPr>
          <w:p w14:paraId="6619080A"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TAKNES</w:t>
            </w:r>
          </w:p>
        </w:tc>
        <w:tc>
          <w:tcPr>
            <w:tcW w:w="0" w:type="auto"/>
            <w:tcBorders>
              <w:top w:val="nil"/>
              <w:left w:val="nil"/>
              <w:bottom w:val="nil"/>
              <w:right w:val="nil"/>
            </w:tcBorders>
            <w:noWrap/>
            <w:vAlign w:val="bottom"/>
            <w:hideMark/>
          </w:tcPr>
          <w:p w14:paraId="69564225"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AT000LBY00092</w:t>
            </w:r>
          </w:p>
        </w:tc>
      </w:tr>
      <w:tr w:rsidR="00C27D6A" w:rsidRPr="00D25DC8" w14:paraId="7F21C82E" w14:textId="77777777" w:rsidTr="00C75467">
        <w:trPr>
          <w:trHeight w:val="288"/>
          <w:tblHeader/>
          <w:jc w:val="center"/>
        </w:trPr>
        <w:tc>
          <w:tcPr>
            <w:tcW w:w="0" w:type="auto"/>
            <w:tcBorders>
              <w:top w:val="nil"/>
              <w:left w:val="nil"/>
              <w:bottom w:val="nil"/>
              <w:right w:val="nil"/>
            </w:tcBorders>
            <w:noWrap/>
            <w:vAlign w:val="bottom"/>
            <w:hideMark/>
          </w:tcPr>
          <w:p w14:paraId="4FA502E5"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Libye</w:t>
            </w:r>
          </w:p>
        </w:tc>
        <w:tc>
          <w:tcPr>
            <w:tcW w:w="0" w:type="auto"/>
            <w:tcBorders>
              <w:top w:val="nil"/>
              <w:left w:val="nil"/>
              <w:bottom w:val="nil"/>
              <w:right w:val="nil"/>
            </w:tcBorders>
            <w:noWrap/>
            <w:vAlign w:val="bottom"/>
            <w:hideMark/>
          </w:tcPr>
          <w:p w14:paraId="086CDCCB"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NASEEP</w:t>
            </w:r>
          </w:p>
        </w:tc>
        <w:tc>
          <w:tcPr>
            <w:tcW w:w="0" w:type="auto"/>
            <w:tcBorders>
              <w:top w:val="nil"/>
              <w:left w:val="nil"/>
              <w:bottom w:val="nil"/>
              <w:right w:val="nil"/>
            </w:tcBorders>
            <w:noWrap/>
            <w:vAlign w:val="bottom"/>
            <w:hideMark/>
          </w:tcPr>
          <w:p w14:paraId="535F03CE"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AT000LBY00093</w:t>
            </w:r>
          </w:p>
        </w:tc>
      </w:tr>
      <w:tr w:rsidR="00C27D6A" w:rsidRPr="00D25DC8" w14:paraId="4F5628D1" w14:textId="77777777" w:rsidTr="00C75467">
        <w:trPr>
          <w:trHeight w:val="288"/>
          <w:tblHeader/>
          <w:jc w:val="center"/>
        </w:trPr>
        <w:tc>
          <w:tcPr>
            <w:tcW w:w="0" w:type="auto"/>
            <w:tcBorders>
              <w:top w:val="nil"/>
              <w:left w:val="nil"/>
              <w:bottom w:val="nil"/>
              <w:right w:val="nil"/>
            </w:tcBorders>
            <w:noWrap/>
            <w:vAlign w:val="bottom"/>
            <w:hideMark/>
          </w:tcPr>
          <w:p w14:paraId="4E097E74"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Libye</w:t>
            </w:r>
          </w:p>
        </w:tc>
        <w:tc>
          <w:tcPr>
            <w:tcW w:w="0" w:type="auto"/>
            <w:tcBorders>
              <w:top w:val="nil"/>
              <w:left w:val="nil"/>
              <w:bottom w:val="nil"/>
              <w:right w:val="nil"/>
            </w:tcBorders>
            <w:noWrap/>
            <w:vAlign w:val="bottom"/>
            <w:hideMark/>
          </w:tcPr>
          <w:p w14:paraId="5D44F7CA"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MEAJILLAN 1</w:t>
            </w:r>
          </w:p>
        </w:tc>
        <w:tc>
          <w:tcPr>
            <w:tcW w:w="0" w:type="auto"/>
            <w:tcBorders>
              <w:top w:val="nil"/>
              <w:left w:val="nil"/>
              <w:bottom w:val="nil"/>
              <w:right w:val="nil"/>
            </w:tcBorders>
            <w:noWrap/>
            <w:vAlign w:val="bottom"/>
            <w:hideMark/>
          </w:tcPr>
          <w:p w14:paraId="39E2DD72"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AT000LBY00096</w:t>
            </w:r>
          </w:p>
        </w:tc>
      </w:tr>
      <w:tr w:rsidR="00C27D6A" w:rsidRPr="00D25DC8" w14:paraId="018D14C1" w14:textId="77777777" w:rsidTr="00C75467">
        <w:trPr>
          <w:trHeight w:val="288"/>
          <w:tblHeader/>
          <w:jc w:val="center"/>
        </w:trPr>
        <w:tc>
          <w:tcPr>
            <w:tcW w:w="0" w:type="auto"/>
            <w:tcBorders>
              <w:top w:val="nil"/>
              <w:left w:val="nil"/>
              <w:bottom w:val="nil"/>
              <w:right w:val="nil"/>
            </w:tcBorders>
            <w:noWrap/>
            <w:vAlign w:val="bottom"/>
            <w:hideMark/>
          </w:tcPr>
          <w:p w14:paraId="3768C1ED"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Libye</w:t>
            </w:r>
          </w:p>
        </w:tc>
        <w:tc>
          <w:tcPr>
            <w:tcW w:w="0" w:type="auto"/>
            <w:tcBorders>
              <w:top w:val="nil"/>
              <w:left w:val="nil"/>
              <w:bottom w:val="nil"/>
              <w:right w:val="nil"/>
            </w:tcBorders>
            <w:noWrap/>
            <w:vAlign w:val="bottom"/>
            <w:hideMark/>
          </w:tcPr>
          <w:p w14:paraId="48E47F6F"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MALITA</w:t>
            </w:r>
          </w:p>
        </w:tc>
        <w:tc>
          <w:tcPr>
            <w:tcW w:w="0" w:type="auto"/>
            <w:tcBorders>
              <w:top w:val="nil"/>
              <w:left w:val="nil"/>
              <w:bottom w:val="nil"/>
              <w:right w:val="nil"/>
            </w:tcBorders>
            <w:noWrap/>
            <w:vAlign w:val="bottom"/>
            <w:hideMark/>
          </w:tcPr>
          <w:p w14:paraId="00F9931B"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AT000LBY00099</w:t>
            </w:r>
          </w:p>
        </w:tc>
      </w:tr>
      <w:tr w:rsidR="00C27D6A" w:rsidRPr="00D25DC8" w14:paraId="015918FD" w14:textId="77777777" w:rsidTr="00C75467">
        <w:trPr>
          <w:trHeight w:val="288"/>
          <w:tblHeader/>
          <w:jc w:val="center"/>
        </w:trPr>
        <w:tc>
          <w:tcPr>
            <w:tcW w:w="0" w:type="auto"/>
            <w:tcBorders>
              <w:top w:val="nil"/>
              <w:left w:val="nil"/>
              <w:bottom w:val="nil"/>
              <w:right w:val="nil"/>
            </w:tcBorders>
            <w:noWrap/>
            <w:vAlign w:val="bottom"/>
            <w:hideMark/>
          </w:tcPr>
          <w:p w14:paraId="1C61EE75"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Libye</w:t>
            </w:r>
          </w:p>
        </w:tc>
        <w:tc>
          <w:tcPr>
            <w:tcW w:w="0" w:type="auto"/>
            <w:tcBorders>
              <w:top w:val="nil"/>
              <w:left w:val="nil"/>
              <w:bottom w:val="nil"/>
              <w:right w:val="nil"/>
            </w:tcBorders>
            <w:noWrap/>
            <w:vAlign w:val="bottom"/>
            <w:hideMark/>
          </w:tcPr>
          <w:p w14:paraId="7405C245"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SALAM</w:t>
            </w:r>
          </w:p>
        </w:tc>
        <w:tc>
          <w:tcPr>
            <w:tcW w:w="0" w:type="auto"/>
            <w:tcBorders>
              <w:top w:val="nil"/>
              <w:left w:val="nil"/>
              <w:bottom w:val="nil"/>
              <w:right w:val="nil"/>
            </w:tcBorders>
            <w:noWrap/>
            <w:vAlign w:val="bottom"/>
            <w:hideMark/>
          </w:tcPr>
          <w:p w14:paraId="1BFAD8BA"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AT000LBY00100</w:t>
            </w:r>
          </w:p>
        </w:tc>
      </w:tr>
      <w:tr w:rsidR="00C27D6A" w:rsidRPr="00D25DC8" w14:paraId="678C6E57" w14:textId="77777777" w:rsidTr="00C75467">
        <w:trPr>
          <w:trHeight w:val="288"/>
          <w:tblHeader/>
          <w:jc w:val="center"/>
        </w:trPr>
        <w:tc>
          <w:tcPr>
            <w:tcW w:w="0" w:type="auto"/>
            <w:tcBorders>
              <w:top w:val="nil"/>
              <w:left w:val="nil"/>
              <w:bottom w:val="nil"/>
              <w:right w:val="nil"/>
            </w:tcBorders>
            <w:noWrap/>
            <w:vAlign w:val="bottom"/>
            <w:hideMark/>
          </w:tcPr>
          <w:p w14:paraId="522044FA"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Libye</w:t>
            </w:r>
          </w:p>
        </w:tc>
        <w:tc>
          <w:tcPr>
            <w:tcW w:w="0" w:type="auto"/>
            <w:tcBorders>
              <w:top w:val="nil"/>
              <w:left w:val="nil"/>
              <w:bottom w:val="nil"/>
              <w:right w:val="nil"/>
            </w:tcBorders>
            <w:noWrap/>
            <w:vAlign w:val="bottom"/>
            <w:hideMark/>
          </w:tcPr>
          <w:p w14:paraId="3B0304F6"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AL-FATAYEH</w:t>
            </w:r>
          </w:p>
        </w:tc>
        <w:tc>
          <w:tcPr>
            <w:tcW w:w="0" w:type="auto"/>
            <w:tcBorders>
              <w:top w:val="nil"/>
              <w:left w:val="nil"/>
              <w:bottom w:val="nil"/>
              <w:right w:val="nil"/>
            </w:tcBorders>
            <w:noWrap/>
            <w:vAlign w:val="bottom"/>
            <w:hideMark/>
          </w:tcPr>
          <w:p w14:paraId="7DE22402"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AT000LBY00111</w:t>
            </w:r>
          </w:p>
        </w:tc>
      </w:tr>
      <w:tr w:rsidR="00C27D6A" w:rsidRPr="00D25DC8" w14:paraId="32BE6A76" w14:textId="77777777" w:rsidTr="00C75467">
        <w:trPr>
          <w:trHeight w:val="288"/>
          <w:tblHeader/>
          <w:jc w:val="center"/>
        </w:trPr>
        <w:tc>
          <w:tcPr>
            <w:tcW w:w="0" w:type="auto"/>
            <w:tcBorders>
              <w:top w:val="nil"/>
              <w:left w:val="nil"/>
              <w:bottom w:val="nil"/>
              <w:right w:val="nil"/>
            </w:tcBorders>
            <w:noWrap/>
            <w:vAlign w:val="bottom"/>
            <w:hideMark/>
          </w:tcPr>
          <w:p w14:paraId="1171E523"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Libye</w:t>
            </w:r>
          </w:p>
        </w:tc>
        <w:tc>
          <w:tcPr>
            <w:tcW w:w="0" w:type="auto"/>
            <w:tcBorders>
              <w:top w:val="nil"/>
              <w:left w:val="nil"/>
              <w:bottom w:val="nil"/>
              <w:right w:val="nil"/>
            </w:tcBorders>
            <w:noWrap/>
            <w:vAlign w:val="bottom"/>
            <w:hideMark/>
          </w:tcPr>
          <w:p w14:paraId="597027E9"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PARSIS</w:t>
            </w:r>
          </w:p>
        </w:tc>
        <w:tc>
          <w:tcPr>
            <w:tcW w:w="0" w:type="auto"/>
            <w:tcBorders>
              <w:top w:val="nil"/>
              <w:left w:val="nil"/>
              <w:bottom w:val="nil"/>
              <w:right w:val="nil"/>
            </w:tcBorders>
            <w:noWrap/>
            <w:vAlign w:val="bottom"/>
            <w:hideMark/>
          </w:tcPr>
          <w:p w14:paraId="3EB7F853"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AT000LBY00117</w:t>
            </w:r>
          </w:p>
        </w:tc>
      </w:tr>
      <w:tr w:rsidR="00C27D6A" w:rsidRPr="00D25DC8" w14:paraId="22EE91D7" w14:textId="77777777" w:rsidTr="00C75467">
        <w:trPr>
          <w:trHeight w:val="288"/>
          <w:tblHeader/>
          <w:jc w:val="center"/>
        </w:trPr>
        <w:tc>
          <w:tcPr>
            <w:tcW w:w="0" w:type="auto"/>
            <w:tcBorders>
              <w:top w:val="nil"/>
              <w:left w:val="nil"/>
              <w:bottom w:val="nil"/>
              <w:right w:val="nil"/>
            </w:tcBorders>
            <w:noWrap/>
            <w:vAlign w:val="bottom"/>
            <w:hideMark/>
          </w:tcPr>
          <w:p w14:paraId="4E06F055"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Libye</w:t>
            </w:r>
          </w:p>
        </w:tc>
        <w:tc>
          <w:tcPr>
            <w:tcW w:w="0" w:type="auto"/>
            <w:tcBorders>
              <w:top w:val="nil"/>
              <w:left w:val="nil"/>
              <w:bottom w:val="nil"/>
              <w:right w:val="nil"/>
            </w:tcBorders>
            <w:noWrap/>
            <w:vAlign w:val="bottom"/>
            <w:hideMark/>
          </w:tcPr>
          <w:p w14:paraId="7B3EC0F2"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ALBAHR ELHADERER</w:t>
            </w:r>
          </w:p>
        </w:tc>
        <w:tc>
          <w:tcPr>
            <w:tcW w:w="0" w:type="auto"/>
            <w:tcBorders>
              <w:top w:val="nil"/>
              <w:left w:val="nil"/>
              <w:bottom w:val="nil"/>
              <w:right w:val="nil"/>
            </w:tcBorders>
            <w:noWrap/>
            <w:vAlign w:val="bottom"/>
            <w:hideMark/>
          </w:tcPr>
          <w:p w14:paraId="317CFC7A"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AT000LBY00077</w:t>
            </w:r>
          </w:p>
        </w:tc>
      </w:tr>
      <w:tr w:rsidR="00C27D6A" w:rsidRPr="00D25DC8" w14:paraId="1564FBB1" w14:textId="77777777" w:rsidTr="00C75467">
        <w:trPr>
          <w:trHeight w:val="288"/>
          <w:tblHeader/>
          <w:jc w:val="center"/>
        </w:trPr>
        <w:tc>
          <w:tcPr>
            <w:tcW w:w="0" w:type="auto"/>
            <w:tcBorders>
              <w:top w:val="nil"/>
              <w:left w:val="nil"/>
              <w:bottom w:val="nil"/>
              <w:right w:val="nil"/>
            </w:tcBorders>
            <w:noWrap/>
            <w:vAlign w:val="bottom"/>
            <w:hideMark/>
          </w:tcPr>
          <w:p w14:paraId="355D9D74"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Libye</w:t>
            </w:r>
          </w:p>
        </w:tc>
        <w:tc>
          <w:tcPr>
            <w:tcW w:w="0" w:type="auto"/>
            <w:tcBorders>
              <w:top w:val="nil"/>
              <w:left w:val="nil"/>
              <w:bottom w:val="nil"/>
              <w:right w:val="nil"/>
            </w:tcBorders>
            <w:noWrap/>
            <w:vAlign w:val="bottom"/>
            <w:hideMark/>
          </w:tcPr>
          <w:p w14:paraId="636E3565"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LATHRON</w:t>
            </w:r>
          </w:p>
        </w:tc>
        <w:tc>
          <w:tcPr>
            <w:tcW w:w="0" w:type="auto"/>
            <w:tcBorders>
              <w:top w:val="nil"/>
              <w:left w:val="nil"/>
              <w:bottom w:val="nil"/>
              <w:right w:val="nil"/>
            </w:tcBorders>
            <w:noWrap/>
            <w:vAlign w:val="bottom"/>
            <w:hideMark/>
          </w:tcPr>
          <w:p w14:paraId="16033DC2"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AT000LBY00025</w:t>
            </w:r>
          </w:p>
        </w:tc>
      </w:tr>
      <w:tr w:rsidR="00C27D6A" w:rsidRPr="00D25DC8" w14:paraId="532E94C7" w14:textId="77777777" w:rsidTr="00C75467">
        <w:trPr>
          <w:trHeight w:val="288"/>
          <w:tblHeader/>
          <w:jc w:val="center"/>
        </w:trPr>
        <w:tc>
          <w:tcPr>
            <w:tcW w:w="0" w:type="auto"/>
            <w:tcBorders>
              <w:top w:val="nil"/>
              <w:left w:val="nil"/>
              <w:bottom w:val="nil"/>
              <w:right w:val="nil"/>
            </w:tcBorders>
            <w:noWrap/>
            <w:vAlign w:val="bottom"/>
            <w:hideMark/>
          </w:tcPr>
          <w:p w14:paraId="5E188253"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Libye</w:t>
            </w:r>
          </w:p>
        </w:tc>
        <w:tc>
          <w:tcPr>
            <w:tcW w:w="0" w:type="auto"/>
            <w:tcBorders>
              <w:top w:val="nil"/>
              <w:left w:val="nil"/>
              <w:bottom w:val="nil"/>
              <w:right w:val="nil"/>
            </w:tcBorders>
            <w:noWrap/>
            <w:vAlign w:val="bottom"/>
            <w:hideMark/>
          </w:tcPr>
          <w:p w14:paraId="6D4C9FDD"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FATIMA</w:t>
            </w:r>
          </w:p>
        </w:tc>
        <w:tc>
          <w:tcPr>
            <w:tcW w:w="0" w:type="auto"/>
            <w:tcBorders>
              <w:top w:val="nil"/>
              <w:left w:val="nil"/>
              <w:bottom w:val="nil"/>
              <w:right w:val="nil"/>
            </w:tcBorders>
            <w:noWrap/>
            <w:vAlign w:val="bottom"/>
            <w:hideMark/>
          </w:tcPr>
          <w:p w14:paraId="2F9DC8D6"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AT000LBY00118</w:t>
            </w:r>
          </w:p>
        </w:tc>
      </w:tr>
      <w:tr w:rsidR="00C27D6A" w:rsidRPr="00D25DC8" w14:paraId="65E9343F" w14:textId="77777777" w:rsidTr="00C75467">
        <w:trPr>
          <w:trHeight w:val="288"/>
          <w:tblHeader/>
          <w:jc w:val="center"/>
        </w:trPr>
        <w:tc>
          <w:tcPr>
            <w:tcW w:w="0" w:type="auto"/>
            <w:tcBorders>
              <w:top w:val="nil"/>
              <w:left w:val="nil"/>
              <w:bottom w:val="nil"/>
              <w:right w:val="nil"/>
            </w:tcBorders>
            <w:noWrap/>
            <w:vAlign w:val="bottom"/>
            <w:hideMark/>
          </w:tcPr>
          <w:p w14:paraId="3D0E8ABB"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Libye</w:t>
            </w:r>
          </w:p>
        </w:tc>
        <w:tc>
          <w:tcPr>
            <w:tcW w:w="0" w:type="auto"/>
            <w:tcBorders>
              <w:top w:val="nil"/>
              <w:left w:val="nil"/>
              <w:bottom w:val="nil"/>
              <w:right w:val="nil"/>
            </w:tcBorders>
            <w:noWrap/>
            <w:vAlign w:val="bottom"/>
            <w:hideMark/>
          </w:tcPr>
          <w:p w14:paraId="71ED0C1C"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ALSAMAKAH ALZARGA</w:t>
            </w:r>
          </w:p>
        </w:tc>
        <w:tc>
          <w:tcPr>
            <w:tcW w:w="0" w:type="auto"/>
            <w:tcBorders>
              <w:top w:val="nil"/>
              <w:left w:val="nil"/>
              <w:bottom w:val="nil"/>
              <w:right w:val="nil"/>
            </w:tcBorders>
            <w:noWrap/>
            <w:vAlign w:val="bottom"/>
            <w:hideMark/>
          </w:tcPr>
          <w:p w14:paraId="2DF688C2"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AT000LBY00104</w:t>
            </w:r>
          </w:p>
        </w:tc>
      </w:tr>
      <w:tr w:rsidR="00C27D6A" w:rsidRPr="00D25DC8" w14:paraId="6A76A9E5" w14:textId="77777777" w:rsidTr="00C75467">
        <w:trPr>
          <w:trHeight w:val="288"/>
          <w:tblHeader/>
          <w:jc w:val="center"/>
        </w:trPr>
        <w:tc>
          <w:tcPr>
            <w:tcW w:w="0" w:type="auto"/>
            <w:tcBorders>
              <w:top w:val="nil"/>
              <w:left w:val="nil"/>
              <w:bottom w:val="nil"/>
              <w:right w:val="nil"/>
            </w:tcBorders>
            <w:noWrap/>
            <w:vAlign w:val="bottom"/>
            <w:hideMark/>
          </w:tcPr>
          <w:p w14:paraId="3E863073"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Libye</w:t>
            </w:r>
          </w:p>
        </w:tc>
        <w:tc>
          <w:tcPr>
            <w:tcW w:w="0" w:type="auto"/>
            <w:tcBorders>
              <w:top w:val="nil"/>
              <w:left w:val="nil"/>
              <w:bottom w:val="nil"/>
              <w:right w:val="nil"/>
            </w:tcBorders>
            <w:noWrap/>
            <w:vAlign w:val="bottom"/>
            <w:hideMark/>
          </w:tcPr>
          <w:p w14:paraId="3CFD8445"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ALAMWAJE ALHADERE</w:t>
            </w:r>
          </w:p>
        </w:tc>
        <w:tc>
          <w:tcPr>
            <w:tcW w:w="0" w:type="auto"/>
            <w:tcBorders>
              <w:top w:val="nil"/>
              <w:left w:val="nil"/>
              <w:bottom w:val="nil"/>
              <w:right w:val="nil"/>
            </w:tcBorders>
            <w:noWrap/>
            <w:vAlign w:val="bottom"/>
            <w:hideMark/>
          </w:tcPr>
          <w:p w14:paraId="64C81265"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AT000LBY00078</w:t>
            </w:r>
          </w:p>
        </w:tc>
      </w:tr>
      <w:tr w:rsidR="00C27D6A" w:rsidRPr="00D25DC8" w14:paraId="48C5F1E5" w14:textId="77777777" w:rsidTr="00C75467">
        <w:trPr>
          <w:trHeight w:val="288"/>
          <w:tblHeader/>
          <w:jc w:val="center"/>
        </w:trPr>
        <w:tc>
          <w:tcPr>
            <w:tcW w:w="0" w:type="auto"/>
            <w:tcBorders>
              <w:top w:val="nil"/>
              <w:left w:val="nil"/>
              <w:bottom w:val="nil"/>
              <w:right w:val="nil"/>
            </w:tcBorders>
            <w:noWrap/>
            <w:vAlign w:val="bottom"/>
            <w:hideMark/>
          </w:tcPr>
          <w:p w14:paraId="6560A409"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Libye</w:t>
            </w:r>
          </w:p>
        </w:tc>
        <w:tc>
          <w:tcPr>
            <w:tcW w:w="0" w:type="auto"/>
            <w:tcBorders>
              <w:top w:val="nil"/>
              <w:left w:val="nil"/>
              <w:bottom w:val="nil"/>
              <w:right w:val="nil"/>
            </w:tcBorders>
            <w:noWrap/>
            <w:vAlign w:val="bottom"/>
            <w:hideMark/>
          </w:tcPr>
          <w:p w14:paraId="4781D20C"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AHAL ALBAHAR</w:t>
            </w:r>
          </w:p>
        </w:tc>
        <w:tc>
          <w:tcPr>
            <w:tcW w:w="0" w:type="auto"/>
            <w:tcBorders>
              <w:top w:val="nil"/>
              <w:left w:val="nil"/>
              <w:bottom w:val="nil"/>
              <w:right w:val="nil"/>
            </w:tcBorders>
            <w:noWrap/>
            <w:vAlign w:val="bottom"/>
            <w:hideMark/>
          </w:tcPr>
          <w:p w14:paraId="5A63FBF6"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AT000LBY00113</w:t>
            </w:r>
          </w:p>
        </w:tc>
      </w:tr>
      <w:tr w:rsidR="00C27D6A" w:rsidRPr="00D25DC8" w14:paraId="0CAAB068" w14:textId="77777777" w:rsidTr="00C75467">
        <w:trPr>
          <w:trHeight w:val="288"/>
          <w:tblHeader/>
          <w:jc w:val="center"/>
        </w:trPr>
        <w:tc>
          <w:tcPr>
            <w:tcW w:w="0" w:type="auto"/>
            <w:tcBorders>
              <w:top w:val="nil"/>
              <w:left w:val="nil"/>
              <w:bottom w:val="nil"/>
              <w:right w:val="nil"/>
            </w:tcBorders>
            <w:noWrap/>
            <w:vAlign w:val="bottom"/>
            <w:hideMark/>
          </w:tcPr>
          <w:p w14:paraId="6CDDBCC0"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Maroc</w:t>
            </w:r>
          </w:p>
        </w:tc>
        <w:tc>
          <w:tcPr>
            <w:tcW w:w="0" w:type="auto"/>
            <w:tcBorders>
              <w:top w:val="nil"/>
              <w:left w:val="nil"/>
              <w:bottom w:val="nil"/>
              <w:right w:val="nil"/>
            </w:tcBorders>
            <w:noWrap/>
            <w:vAlign w:val="bottom"/>
            <w:hideMark/>
          </w:tcPr>
          <w:p w14:paraId="119EF46F"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AZROU 1</w:t>
            </w:r>
          </w:p>
        </w:tc>
        <w:tc>
          <w:tcPr>
            <w:tcW w:w="0" w:type="auto"/>
            <w:tcBorders>
              <w:top w:val="nil"/>
              <w:left w:val="nil"/>
              <w:bottom w:val="nil"/>
              <w:right w:val="nil"/>
            </w:tcBorders>
            <w:noWrap/>
            <w:vAlign w:val="bottom"/>
            <w:hideMark/>
          </w:tcPr>
          <w:p w14:paraId="1A140258"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AT000MAR00081</w:t>
            </w:r>
          </w:p>
        </w:tc>
      </w:tr>
      <w:tr w:rsidR="00C27D6A" w:rsidRPr="00D25DC8" w14:paraId="412C8F33" w14:textId="77777777" w:rsidTr="00C75467">
        <w:trPr>
          <w:trHeight w:val="288"/>
          <w:tblHeader/>
          <w:jc w:val="center"/>
        </w:trPr>
        <w:tc>
          <w:tcPr>
            <w:tcW w:w="0" w:type="auto"/>
            <w:tcBorders>
              <w:top w:val="nil"/>
              <w:left w:val="nil"/>
              <w:bottom w:val="nil"/>
              <w:right w:val="nil"/>
            </w:tcBorders>
            <w:noWrap/>
            <w:vAlign w:val="bottom"/>
            <w:hideMark/>
          </w:tcPr>
          <w:p w14:paraId="0B3E2F5F"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Maroc</w:t>
            </w:r>
          </w:p>
        </w:tc>
        <w:tc>
          <w:tcPr>
            <w:tcW w:w="0" w:type="auto"/>
            <w:tcBorders>
              <w:top w:val="nil"/>
              <w:left w:val="nil"/>
              <w:bottom w:val="nil"/>
              <w:right w:val="nil"/>
            </w:tcBorders>
            <w:noWrap/>
            <w:vAlign w:val="bottom"/>
            <w:hideMark/>
          </w:tcPr>
          <w:p w14:paraId="6BABFBB8"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MIMOUNA-1</w:t>
            </w:r>
          </w:p>
        </w:tc>
        <w:tc>
          <w:tcPr>
            <w:tcW w:w="0" w:type="auto"/>
            <w:tcBorders>
              <w:top w:val="nil"/>
              <w:left w:val="nil"/>
              <w:bottom w:val="nil"/>
              <w:right w:val="nil"/>
            </w:tcBorders>
            <w:noWrap/>
            <w:vAlign w:val="bottom"/>
            <w:hideMark/>
          </w:tcPr>
          <w:p w14:paraId="3FE4A220"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AT000MAR05031</w:t>
            </w:r>
          </w:p>
        </w:tc>
      </w:tr>
      <w:tr w:rsidR="00C27D6A" w:rsidRPr="00D25DC8" w14:paraId="7F41EB56" w14:textId="77777777" w:rsidTr="00C75467">
        <w:trPr>
          <w:trHeight w:val="288"/>
          <w:tblHeader/>
          <w:jc w:val="center"/>
        </w:trPr>
        <w:tc>
          <w:tcPr>
            <w:tcW w:w="0" w:type="auto"/>
            <w:tcBorders>
              <w:top w:val="nil"/>
              <w:left w:val="nil"/>
              <w:bottom w:val="nil"/>
              <w:right w:val="nil"/>
            </w:tcBorders>
            <w:noWrap/>
            <w:vAlign w:val="bottom"/>
            <w:hideMark/>
          </w:tcPr>
          <w:p w14:paraId="657E6EBE"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Maroc</w:t>
            </w:r>
          </w:p>
        </w:tc>
        <w:tc>
          <w:tcPr>
            <w:tcW w:w="0" w:type="auto"/>
            <w:tcBorders>
              <w:top w:val="nil"/>
              <w:left w:val="nil"/>
              <w:bottom w:val="nil"/>
              <w:right w:val="nil"/>
            </w:tcBorders>
            <w:noWrap/>
            <w:vAlign w:val="bottom"/>
            <w:hideMark/>
          </w:tcPr>
          <w:p w14:paraId="3E6B5959"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SONS</w:t>
            </w:r>
          </w:p>
        </w:tc>
        <w:tc>
          <w:tcPr>
            <w:tcW w:w="0" w:type="auto"/>
            <w:tcBorders>
              <w:top w:val="nil"/>
              <w:left w:val="nil"/>
              <w:bottom w:val="nil"/>
              <w:right w:val="nil"/>
            </w:tcBorders>
            <w:noWrap/>
            <w:vAlign w:val="bottom"/>
            <w:hideMark/>
          </w:tcPr>
          <w:p w14:paraId="374F7B82"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AT000MAR04760</w:t>
            </w:r>
          </w:p>
        </w:tc>
      </w:tr>
      <w:tr w:rsidR="00C27D6A" w:rsidRPr="00D25DC8" w14:paraId="2C26D7CF" w14:textId="77777777" w:rsidTr="00C75467">
        <w:trPr>
          <w:trHeight w:val="288"/>
          <w:tblHeader/>
          <w:jc w:val="center"/>
        </w:trPr>
        <w:tc>
          <w:tcPr>
            <w:tcW w:w="0" w:type="auto"/>
            <w:tcBorders>
              <w:top w:val="nil"/>
              <w:left w:val="nil"/>
              <w:bottom w:val="nil"/>
              <w:right w:val="nil"/>
            </w:tcBorders>
            <w:noWrap/>
            <w:vAlign w:val="bottom"/>
            <w:hideMark/>
          </w:tcPr>
          <w:p w14:paraId="1EEE3C87"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Maroc</w:t>
            </w:r>
          </w:p>
        </w:tc>
        <w:tc>
          <w:tcPr>
            <w:tcW w:w="0" w:type="auto"/>
            <w:tcBorders>
              <w:top w:val="nil"/>
              <w:left w:val="nil"/>
              <w:bottom w:val="nil"/>
              <w:right w:val="nil"/>
            </w:tcBorders>
            <w:noWrap/>
            <w:vAlign w:val="bottom"/>
            <w:hideMark/>
          </w:tcPr>
          <w:p w14:paraId="3494CB4E"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KHIR ALLAH-1</w:t>
            </w:r>
          </w:p>
        </w:tc>
        <w:tc>
          <w:tcPr>
            <w:tcW w:w="0" w:type="auto"/>
            <w:tcBorders>
              <w:top w:val="nil"/>
              <w:left w:val="nil"/>
              <w:bottom w:val="nil"/>
              <w:right w:val="nil"/>
            </w:tcBorders>
            <w:noWrap/>
            <w:vAlign w:val="bottom"/>
            <w:hideMark/>
          </w:tcPr>
          <w:p w14:paraId="4B483505"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AT000MAR05047</w:t>
            </w:r>
          </w:p>
        </w:tc>
      </w:tr>
      <w:tr w:rsidR="00C27D6A" w:rsidRPr="00D25DC8" w14:paraId="3B2671D5" w14:textId="77777777" w:rsidTr="00C75467">
        <w:trPr>
          <w:trHeight w:val="288"/>
          <w:tblHeader/>
          <w:jc w:val="center"/>
        </w:trPr>
        <w:tc>
          <w:tcPr>
            <w:tcW w:w="0" w:type="auto"/>
            <w:tcBorders>
              <w:top w:val="nil"/>
              <w:left w:val="nil"/>
              <w:bottom w:val="nil"/>
              <w:right w:val="nil"/>
            </w:tcBorders>
            <w:noWrap/>
            <w:vAlign w:val="bottom"/>
            <w:hideMark/>
          </w:tcPr>
          <w:p w14:paraId="6931F59E"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Maroc</w:t>
            </w:r>
          </w:p>
        </w:tc>
        <w:tc>
          <w:tcPr>
            <w:tcW w:w="0" w:type="auto"/>
            <w:tcBorders>
              <w:top w:val="nil"/>
              <w:left w:val="nil"/>
              <w:bottom w:val="nil"/>
              <w:right w:val="nil"/>
            </w:tcBorders>
            <w:noWrap/>
            <w:vAlign w:val="bottom"/>
            <w:hideMark/>
          </w:tcPr>
          <w:p w14:paraId="3CA88AEF"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MEDIOUNA</w:t>
            </w:r>
          </w:p>
        </w:tc>
        <w:tc>
          <w:tcPr>
            <w:tcW w:w="0" w:type="auto"/>
            <w:tcBorders>
              <w:top w:val="nil"/>
              <w:left w:val="nil"/>
              <w:bottom w:val="nil"/>
              <w:right w:val="nil"/>
            </w:tcBorders>
            <w:noWrap/>
            <w:vAlign w:val="bottom"/>
            <w:hideMark/>
          </w:tcPr>
          <w:p w14:paraId="28E6D92E"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AT000MAR01418</w:t>
            </w:r>
          </w:p>
        </w:tc>
      </w:tr>
      <w:tr w:rsidR="00C27D6A" w:rsidRPr="00D25DC8" w14:paraId="3995EBC4" w14:textId="77777777" w:rsidTr="00C75467">
        <w:trPr>
          <w:trHeight w:val="288"/>
          <w:tblHeader/>
          <w:jc w:val="center"/>
        </w:trPr>
        <w:tc>
          <w:tcPr>
            <w:tcW w:w="0" w:type="auto"/>
            <w:tcBorders>
              <w:top w:val="nil"/>
              <w:left w:val="nil"/>
              <w:bottom w:val="nil"/>
              <w:right w:val="nil"/>
            </w:tcBorders>
            <w:noWrap/>
            <w:vAlign w:val="bottom"/>
            <w:hideMark/>
          </w:tcPr>
          <w:p w14:paraId="4CE9D417"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Norvège</w:t>
            </w:r>
          </w:p>
        </w:tc>
        <w:tc>
          <w:tcPr>
            <w:tcW w:w="0" w:type="auto"/>
            <w:tcBorders>
              <w:top w:val="nil"/>
              <w:left w:val="nil"/>
              <w:bottom w:val="nil"/>
              <w:right w:val="nil"/>
            </w:tcBorders>
            <w:noWrap/>
            <w:vAlign w:val="bottom"/>
            <w:hideMark/>
          </w:tcPr>
          <w:p w14:paraId="417A5CC8" w14:textId="77777777" w:rsidR="00C27D6A" w:rsidRPr="00C75467" w:rsidRDefault="00C27D6A" w:rsidP="00F36743">
            <w:pPr>
              <w:rPr>
                <w:rFonts w:asciiTheme="majorHAnsi" w:hAnsiTheme="majorHAnsi"/>
                <w:color w:val="000000"/>
                <w:sz w:val="20"/>
                <w:szCs w:val="20"/>
              </w:rPr>
            </w:pPr>
            <w:proofErr w:type="spellStart"/>
            <w:r>
              <w:rPr>
                <w:rFonts w:asciiTheme="majorHAnsi" w:hAnsiTheme="majorHAnsi"/>
                <w:color w:val="000000"/>
                <w:sz w:val="20"/>
              </w:rPr>
              <w:t>Vestbris</w:t>
            </w:r>
            <w:proofErr w:type="spellEnd"/>
          </w:p>
        </w:tc>
        <w:tc>
          <w:tcPr>
            <w:tcW w:w="0" w:type="auto"/>
            <w:tcBorders>
              <w:top w:val="nil"/>
              <w:left w:val="nil"/>
              <w:bottom w:val="nil"/>
              <w:right w:val="nil"/>
            </w:tcBorders>
            <w:noWrap/>
            <w:vAlign w:val="bottom"/>
            <w:hideMark/>
          </w:tcPr>
          <w:p w14:paraId="0E464A1D"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AT000NOR00017</w:t>
            </w:r>
          </w:p>
        </w:tc>
      </w:tr>
      <w:tr w:rsidR="00C27D6A" w:rsidRPr="00D25DC8" w14:paraId="3985973A" w14:textId="77777777" w:rsidTr="00C75467">
        <w:trPr>
          <w:trHeight w:val="288"/>
          <w:tblHeader/>
          <w:jc w:val="center"/>
        </w:trPr>
        <w:tc>
          <w:tcPr>
            <w:tcW w:w="0" w:type="auto"/>
            <w:tcBorders>
              <w:top w:val="nil"/>
              <w:left w:val="nil"/>
              <w:bottom w:val="nil"/>
              <w:right w:val="nil"/>
            </w:tcBorders>
            <w:noWrap/>
            <w:vAlign w:val="bottom"/>
            <w:hideMark/>
          </w:tcPr>
          <w:p w14:paraId="47827EA4"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Norvège</w:t>
            </w:r>
          </w:p>
        </w:tc>
        <w:tc>
          <w:tcPr>
            <w:tcW w:w="0" w:type="auto"/>
            <w:tcBorders>
              <w:top w:val="nil"/>
              <w:left w:val="nil"/>
              <w:bottom w:val="nil"/>
              <w:right w:val="nil"/>
            </w:tcBorders>
            <w:noWrap/>
            <w:vAlign w:val="bottom"/>
            <w:hideMark/>
          </w:tcPr>
          <w:p w14:paraId="74413B82" w14:textId="77777777" w:rsidR="00C27D6A" w:rsidRPr="00C75467" w:rsidRDefault="00C27D6A" w:rsidP="00F36743">
            <w:pPr>
              <w:rPr>
                <w:rFonts w:asciiTheme="majorHAnsi" w:hAnsiTheme="majorHAnsi"/>
                <w:color w:val="000000"/>
                <w:sz w:val="20"/>
                <w:szCs w:val="20"/>
              </w:rPr>
            </w:pPr>
            <w:proofErr w:type="spellStart"/>
            <w:r>
              <w:rPr>
                <w:rFonts w:asciiTheme="majorHAnsi" w:hAnsiTheme="majorHAnsi"/>
                <w:color w:val="000000"/>
                <w:sz w:val="20"/>
              </w:rPr>
              <w:t>Hillersøy</w:t>
            </w:r>
            <w:proofErr w:type="spellEnd"/>
          </w:p>
        </w:tc>
        <w:tc>
          <w:tcPr>
            <w:tcW w:w="0" w:type="auto"/>
            <w:tcBorders>
              <w:top w:val="nil"/>
              <w:left w:val="nil"/>
              <w:bottom w:val="nil"/>
              <w:right w:val="nil"/>
            </w:tcBorders>
            <w:noWrap/>
            <w:vAlign w:val="bottom"/>
            <w:hideMark/>
          </w:tcPr>
          <w:p w14:paraId="0594D394"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AT000NOR00001</w:t>
            </w:r>
          </w:p>
        </w:tc>
      </w:tr>
      <w:tr w:rsidR="00C27D6A" w:rsidRPr="00D25DC8" w14:paraId="7491BD1C" w14:textId="77777777" w:rsidTr="00C75467">
        <w:trPr>
          <w:trHeight w:val="288"/>
          <w:tblHeader/>
          <w:jc w:val="center"/>
        </w:trPr>
        <w:tc>
          <w:tcPr>
            <w:tcW w:w="0" w:type="auto"/>
            <w:tcBorders>
              <w:top w:val="nil"/>
              <w:left w:val="nil"/>
              <w:bottom w:val="nil"/>
              <w:right w:val="nil"/>
            </w:tcBorders>
            <w:noWrap/>
            <w:vAlign w:val="bottom"/>
            <w:hideMark/>
          </w:tcPr>
          <w:p w14:paraId="55076A54"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Norvège</w:t>
            </w:r>
          </w:p>
        </w:tc>
        <w:tc>
          <w:tcPr>
            <w:tcW w:w="0" w:type="auto"/>
            <w:tcBorders>
              <w:top w:val="nil"/>
              <w:left w:val="nil"/>
              <w:bottom w:val="nil"/>
              <w:right w:val="nil"/>
            </w:tcBorders>
            <w:noWrap/>
            <w:vAlign w:val="bottom"/>
            <w:hideMark/>
          </w:tcPr>
          <w:p w14:paraId="188705B0" w14:textId="77777777" w:rsidR="00C27D6A" w:rsidRPr="00C75467" w:rsidRDefault="00C27D6A" w:rsidP="00F36743">
            <w:pPr>
              <w:rPr>
                <w:rFonts w:asciiTheme="majorHAnsi" w:hAnsiTheme="majorHAnsi"/>
                <w:color w:val="000000"/>
                <w:sz w:val="20"/>
                <w:szCs w:val="20"/>
              </w:rPr>
            </w:pPr>
            <w:proofErr w:type="spellStart"/>
            <w:r>
              <w:rPr>
                <w:rFonts w:asciiTheme="majorHAnsi" w:hAnsiTheme="majorHAnsi"/>
                <w:color w:val="000000"/>
                <w:sz w:val="20"/>
              </w:rPr>
              <w:t>Orfjord</w:t>
            </w:r>
            <w:proofErr w:type="spellEnd"/>
          </w:p>
        </w:tc>
        <w:tc>
          <w:tcPr>
            <w:tcW w:w="0" w:type="auto"/>
            <w:tcBorders>
              <w:top w:val="nil"/>
              <w:left w:val="nil"/>
              <w:bottom w:val="nil"/>
              <w:right w:val="nil"/>
            </w:tcBorders>
            <w:noWrap/>
            <w:vAlign w:val="bottom"/>
            <w:hideMark/>
          </w:tcPr>
          <w:p w14:paraId="0EF1FD5E"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AT000NOR00012</w:t>
            </w:r>
          </w:p>
        </w:tc>
      </w:tr>
      <w:tr w:rsidR="00C27D6A" w:rsidRPr="00D25DC8" w14:paraId="0AA81EC4" w14:textId="77777777" w:rsidTr="00C75467">
        <w:trPr>
          <w:trHeight w:val="288"/>
          <w:tblHeader/>
          <w:jc w:val="center"/>
        </w:trPr>
        <w:tc>
          <w:tcPr>
            <w:tcW w:w="0" w:type="auto"/>
            <w:tcBorders>
              <w:top w:val="nil"/>
              <w:left w:val="nil"/>
              <w:bottom w:val="nil"/>
              <w:right w:val="nil"/>
            </w:tcBorders>
            <w:noWrap/>
            <w:vAlign w:val="bottom"/>
            <w:hideMark/>
          </w:tcPr>
          <w:p w14:paraId="1610E3B2"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Norvège</w:t>
            </w:r>
          </w:p>
        </w:tc>
        <w:tc>
          <w:tcPr>
            <w:tcW w:w="0" w:type="auto"/>
            <w:tcBorders>
              <w:top w:val="nil"/>
              <w:left w:val="nil"/>
              <w:bottom w:val="nil"/>
              <w:right w:val="nil"/>
            </w:tcBorders>
            <w:noWrap/>
            <w:vAlign w:val="bottom"/>
            <w:hideMark/>
          </w:tcPr>
          <w:p w14:paraId="20FBD558"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 xml:space="preserve">M/S </w:t>
            </w:r>
            <w:proofErr w:type="spellStart"/>
            <w:r>
              <w:rPr>
                <w:rFonts w:asciiTheme="majorHAnsi" w:hAnsiTheme="majorHAnsi"/>
                <w:color w:val="000000"/>
                <w:sz w:val="20"/>
              </w:rPr>
              <w:t>Sjarmør</w:t>
            </w:r>
            <w:proofErr w:type="spellEnd"/>
          </w:p>
        </w:tc>
        <w:tc>
          <w:tcPr>
            <w:tcW w:w="0" w:type="auto"/>
            <w:tcBorders>
              <w:top w:val="nil"/>
              <w:left w:val="nil"/>
              <w:bottom w:val="nil"/>
              <w:right w:val="nil"/>
            </w:tcBorders>
            <w:noWrap/>
            <w:vAlign w:val="bottom"/>
            <w:hideMark/>
          </w:tcPr>
          <w:p w14:paraId="783454DA"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AT000NOR00019</w:t>
            </w:r>
          </w:p>
        </w:tc>
      </w:tr>
      <w:tr w:rsidR="00C27D6A" w:rsidRPr="00D25DC8" w14:paraId="72469741" w14:textId="77777777" w:rsidTr="00C75467">
        <w:trPr>
          <w:trHeight w:val="288"/>
          <w:tblHeader/>
          <w:jc w:val="center"/>
        </w:trPr>
        <w:tc>
          <w:tcPr>
            <w:tcW w:w="0" w:type="auto"/>
            <w:tcBorders>
              <w:top w:val="nil"/>
              <w:left w:val="nil"/>
              <w:bottom w:val="nil"/>
              <w:right w:val="nil"/>
            </w:tcBorders>
            <w:noWrap/>
            <w:vAlign w:val="bottom"/>
            <w:hideMark/>
          </w:tcPr>
          <w:p w14:paraId="6EB10A82"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Norvège</w:t>
            </w:r>
          </w:p>
        </w:tc>
        <w:tc>
          <w:tcPr>
            <w:tcW w:w="0" w:type="auto"/>
            <w:tcBorders>
              <w:top w:val="nil"/>
              <w:left w:val="nil"/>
              <w:bottom w:val="nil"/>
              <w:right w:val="nil"/>
            </w:tcBorders>
            <w:noWrap/>
            <w:vAlign w:val="bottom"/>
            <w:hideMark/>
          </w:tcPr>
          <w:p w14:paraId="18ED1E1B" w14:textId="77777777" w:rsidR="00C27D6A" w:rsidRPr="00C75467" w:rsidRDefault="00C27D6A" w:rsidP="00F36743">
            <w:pPr>
              <w:rPr>
                <w:rFonts w:asciiTheme="majorHAnsi" w:hAnsiTheme="majorHAnsi"/>
                <w:color w:val="000000"/>
                <w:sz w:val="20"/>
                <w:szCs w:val="20"/>
              </w:rPr>
            </w:pPr>
            <w:proofErr w:type="spellStart"/>
            <w:r>
              <w:rPr>
                <w:rFonts w:asciiTheme="majorHAnsi" w:hAnsiTheme="majorHAnsi"/>
                <w:color w:val="000000"/>
                <w:sz w:val="20"/>
              </w:rPr>
              <w:t>Spjæringen</w:t>
            </w:r>
            <w:proofErr w:type="spellEnd"/>
          </w:p>
        </w:tc>
        <w:tc>
          <w:tcPr>
            <w:tcW w:w="0" w:type="auto"/>
            <w:tcBorders>
              <w:top w:val="nil"/>
              <w:left w:val="nil"/>
              <w:bottom w:val="nil"/>
              <w:right w:val="nil"/>
            </w:tcBorders>
            <w:noWrap/>
            <w:vAlign w:val="bottom"/>
            <w:hideMark/>
          </w:tcPr>
          <w:p w14:paraId="5BA8B578"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AT000NOR00018</w:t>
            </w:r>
          </w:p>
        </w:tc>
      </w:tr>
      <w:tr w:rsidR="00C27D6A" w:rsidRPr="00D25DC8" w14:paraId="770B7344" w14:textId="77777777" w:rsidTr="00C75467">
        <w:trPr>
          <w:trHeight w:val="288"/>
          <w:tblHeader/>
          <w:jc w:val="center"/>
        </w:trPr>
        <w:tc>
          <w:tcPr>
            <w:tcW w:w="0" w:type="auto"/>
            <w:tcBorders>
              <w:top w:val="nil"/>
              <w:left w:val="nil"/>
              <w:bottom w:val="nil"/>
              <w:right w:val="nil"/>
            </w:tcBorders>
            <w:noWrap/>
            <w:vAlign w:val="bottom"/>
            <w:hideMark/>
          </w:tcPr>
          <w:p w14:paraId="19259094"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512829E6" w14:textId="77777777" w:rsidR="00C27D6A" w:rsidRPr="00C75467" w:rsidRDefault="00C27D6A" w:rsidP="00F36743">
            <w:pPr>
              <w:rPr>
                <w:rFonts w:asciiTheme="majorHAnsi" w:hAnsiTheme="majorHAnsi"/>
                <w:color w:val="000000"/>
                <w:sz w:val="20"/>
                <w:szCs w:val="20"/>
              </w:rPr>
            </w:pPr>
            <w:proofErr w:type="spellStart"/>
            <w:r>
              <w:rPr>
                <w:rFonts w:asciiTheme="majorHAnsi" w:hAnsiTheme="majorHAnsi"/>
                <w:color w:val="000000"/>
                <w:sz w:val="20"/>
              </w:rPr>
              <w:t>Hassene</w:t>
            </w:r>
            <w:proofErr w:type="spellEnd"/>
          </w:p>
        </w:tc>
        <w:tc>
          <w:tcPr>
            <w:tcW w:w="0" w:type="auto"/>
            <w:tcBorders>
              <w:top w:val="nil"/>
              <w:left w:val="nil"/>
              <w:bottom w:val="nil"/>
              <w:right w:val="nil"/>
            </w:tcBorders>
            <w:noWrap/>
            <w:vAlign w:val="bottom"/>
            <w:hideMark/>
          </w:tcPr>
          <w:p w14:paraId="0CDC35DF"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AT000TUN00008</w:t>
            </w:r>
          </w:p>
        </w:tc>
      </w:tr>
      <w:tr w:rsidR="00C27D6A" w:rsidRPr="00D25DC8" w14:paraId="7C937BF1" w14:textId="77777777" w:rsidTr="00C75467">
        <w:trPr>
          <w:trHeight w:val="288"/>
          <w:tblHeader/>
          <w:jc w:val="center"/>
        </w:trPr>
        <w:tc>
          <w:tcPr>
            <w:tcW w:w="0" w:type="auto"/>
            <w:tcBorders>
              <w:top w:val="nil"/>
              <w:left w:val="nil"/>
              <w:bottom w:val="nil"/>
              <w:right w:val="nil"/>
            </w:tcBorders>
            <w:noWrap/>
            <w:vAlign w:val="bottom"/>
            <w:hideMark/>
          </w:tcPr>
          <w:p w14:paraId="0D51EDF2"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1B22024E"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ELHORCHANI</w:t>
            </w:r>
          </w:p>
        </w:tc>
        <w:tc>
          <w:tcPr>
            <w:tcW w:w="0" w:type="auto"/>
            <w:tcBorders>
              <w:top w:val="nil"/>
              <w:left w:val="nil"/>
              <w:bottom w:val="nil"/>
              <w:right w:val="nil"/>
            </w:tcBorders>
            <w:noWrap/>
            <w:vAlign w:val="bottom"/>
            <w:hideMark/>
          </w:tcPr>
          <w:p w14:paraId="02BF3651"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AT000TUN00009</w:t>
            </w:r>
          </w:p>
        </w:tc>
      </w:tr>
      <w:tr w:rsidR="00C27D6A" w:rsidRPr="00D25DC8" w14:paraId="7CE62B4B" w14:textId="77777777" w:rsidTr="00C75467">
        <w:trPr>
          <w:trHeight w:val="288"/>
          <w:tblHeader/>
          <w:jc w:val="center"/>
        </w:trPr>
        <w:tc>
          <w:tcPr>
            <w:tcW w:w="0" w:type="auto"/>
            <w:tcBorders>
              <w:top w:val="nil"/>
              <w:left w:val="nil"/>
              <w:bottom w:val="nil"/>
              <w:right w:val="nil"/>
            </w:tcBorders>
            <w:noWrap/>
            <w:vAlign w:val="bottom"/>
            <w:hideMark/>
          </w:tcPr>
          <w:p w14:paraId="4106C770"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3C1DDA0C"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Imen</w:t>
            </w:r>
          </w:p>
        </w:tc>
        <w:tc>
          <w:tcPr>
            <w:tcW w:w="0" w:type="auto"/>
            <w:tcBorders>
              <w:top w:val="nil"/>
              <w:left w:val="nil"/>
              <w:bottom w:val="nil"/>
              <w:right w:val="nil"/>
            </w:tcBorders>
            <w:noWrap/>
            <w:vAlign w:val="bottom"/>
            <w:hideMark/>
          </w:tcPr>
          <w:p w14:paraId="6042C756"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AT000TUN00010</w:t>
            </w:r>
          </w:p>
        </w:tc>
      </w:tr>
      <w:tr w:rsidR="00C27D6A" w:rsidRPr="00D25DC8" w14:paraId="55CCC245" w14:textId="77777777" w:rsidTr="00C75467">
        <w:trPr>
          <w:trHeight w:val="288"/>
          <w:tblHeader/>
          <w:jc w:val="center"/>
        </w:trPr>
        <w:tc>
          <w:tcPr>
            <w:tcW w:w="0" w:type="auto"/>
            <w:tcBorders>
              <w:top w:val="nil"/>
              <w:left w:val="nil"/>
              <w:bottom w:val="nil"/>
              <w:right w:val="nil"/>
            </w:tcBorders>
            <w:noWrap/>
            <w:vAlign w:val="bottom"/>
            <w:hideMark/>
          </w:tcPr>
          <w:p w14:paraId="2517E285"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2059CEFA" w14:textId="77777777" w:rsidR="00C27D6A" w:rsidRPr="00C75467" w:rsidRDefault="00C27D6A" w:rsidP="00F36743">
            <w:pPr>
              <w:rPr>
                <w:rFonts w:asciiTheme="majorHAnsi" w:hAnsiTheme="majorHAnsi"/>
                <w:color w:val="000000"/>
                <w:sz w:val="20"/>
                <w:szCs w:val="20"/>
              </w:rPr>
            </w:pPr>
            <w:proofErr w:type="spellStart"/>
            <w:r>
              <w:rPr>
                <w:rFonts w:asciiTheme="majorHAnsi" w:hAnsiTheme="majorHAnsi"/>
                <w:color w:val="000000"/>
                <w:sz w:val="20"/>
              </w:rPr>
              <w:t>Jamel</w:t>
            </w:r>
            <w:proofErr w:type="spellEnd"/>
          </w:p>
        </w:tc>
        <w:tc>
          <w:tcPr>
            <w:tcW w:w="0" w:type="auto"/>
            <w:tcBorders>
              <w:top w:val="nil"/>
              <w:left w:val="nil"/>
              <w:bottom w:val="nil"/>
              <w:right w:val="nil"/>
            </w:tcBorders>
            <w:noWrap/>
            <w:vAlign w:val="bottom"/>
            <w:hideMark/>
          </w:tcPr>
          <w:p w14:paraId="30660B50"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AT000TUN00011</w:t>
            </w:r>
          </w:p>
        </w:tc>
      </w:tr>
      <w:tr w:rsidR="00C27D6A" w:rsidRPr="00D25DC8" w14:paraId="2662769D" w14:textId="77777777" w:rsidTr="00C75467">
        <w:trPr>
          <w:trHeight w:val="288"/>
          <w:tblHeader/>
          <w:jc w:val="center"/>
        </w:trPr>
        <w:tc>
          <w:tcPr>
            <w:tcW w:w="0" w:type="auto"/>
            <w:tcBorders>
              <w:top w:val="nil"/>
              <w:left w:val="nil"/>
              <w:bottom w:val="nil"/>
              <w:right w:val="nil"/>
            </w:tcBorders>
            <w:noWrap/>
            <w:vAlign w:val="bottom"/>
            <w:hideMark/>
          </w:tcPr>
          <w:p w14:paraId="2B45B27A"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2BDCAAE5"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MOHAMED ADEM</w:t>
            </w:r>
          </w:p>
        </w:tc>
        <w:tc>
          <w:tcPr>
            <w:tcW w:w="0" w:type="auto"/>
            <w:tcBorders>
              <w:top w:val="nil"/>
              <w:left w:val="nil"/>
              <w:bottom w:val="nil"/>
              <w:right w:val="nil"/>
            </w:tcBorders>
            <w:noWrap/>
            <w:vAlign w:val="bottom"/>
            <w:hideMark/>
          </w:tcPr>
          <w:p w14:paraId="4B94CBFD"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AT000TUN00012</w:t>
            </w:r>
          </w:p>
        </w:tc>
      </w:tr>
      <w:tr w:rsidR="00C27D6A" w:rsidRPr="00D25DC8" w14:paraId="1F9403AC" w14:textId="77777777" w:rsidTr="00C75467">
        <w:trPr>
          <w:trHeight w:val="288"/>
          <w:tblHeader/>
          <w:jc w:val="center"/>
        </w:trPr>
        <w:tc>
          <w:tcPr>
            <w:tcW w:w="0" w:type="auto"/>
            <w:tcBorders>
              <w:top w:val="nil"/>
              <w:left w:val="nil"/>
              <w:bottom w:val="nil"/>
              <w:right w:val="nil"/>
            </w:tcBorders>
            <w:noWrap/>
            <w:vAlign w:val="bottom"/>
            <w:hideMark/>
          </w:tcPr>
          <w:p w14:paraId="2A6D2660"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3865F356"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Mabrouk</w:t>
            </w:r>
          </w:p>
        </w:tc>
        <w:tc>
          <w:tcPr>
            <w:tcW w:w="0" w:type="auto"/>
            <w:tcBorders>
              <w:top w:val="nil"/>
              <w:left w:val="nil"/>
              <w:bottom w:val="nil"/>
              <w:right w:val="nil"/>
            </w:tcBorders>
            <w:noWrap/>
            <w:vAlign w:val="bottom"/>
            <w:hideMark/>
          </w:tcPr>
          <w:p w14:paraId="3A350881"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AT000TUN00015</w:t>
            </w:r>
          </w:p>
        </w:tc>
      </w:tr>
      <w:tr w:rsidR="00C27D6A" w:rsidRPr="00D25DC8" w14:paraId="7A4793ED" w14:textId="77777777" w:rsidTr="00C75467">
        <w:trPr>
          <w:trHeight w:val="288"/>
          <w:tblHeader/>
          <w:jc w:val="center"/>
        </w:trPr>
        <w:tc>
          <w:tcPr>
            <w:tcW w:w="0" w:type="auto"/>
            <w:tcBorders>
              <w:top w:val="nil"/>
              <w:left w:val="nil"/>
              <w:bottom w:val="nil"/>
              <w:right w:val="nil"/>
            </w:tcBorders>
            <w:noWrap/>
            <w:vAlign w:val="bottom"/>
            <w:hideMark/>
          </w:tcPr>
          <w:p w14:paraId="0C5DA9EA"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004C33FA" w14:textId="77777777" w:rsidR="00C27D6A" w:rsidRPr="00C75467" w:rsidRDefault="00C27D6A" w:rsidP="00F36743">
            <w:pPr>
              <w:rPr>
                <w:rFonts w:asciiTheme="majorHAnsi" w:hAnsiTheme="majorHAnsi"/>
                <w:color w:val="000000"/>
                <w:sz w:val="20"/>
                <w:szCs w:val="20"/>
              </w:rPr>
            </w:pPr>
            <w:proofErr w:type="spellStart"/>
            <w:r>
              <w:rPr>
                <w:rFonts w:asciiTheme="majorHAnsi" w:hAnsiTheme="majorHAnsi"/>
                <w:color w:val="000000"/>
                <w:sz w:val="20"/>
              </w:rPr>
              <w:t>Sallem</w:t>
            </w:r>
            <w:proofErr w:type="spellEnd"/>
          </w:p>
        </w:tc>
        <w:tc>
          <w:tcPr>
            <w:tcW w:w="0" w:type="auto"/>
            <w:tcBorders>
              <w:top w:val="nil"/>
              <w:left w:val="nil"/>
              <w:bottom w:val="nil"/>
              <w:right w:val="nil"/>
            </w:tcBorders>
            <w:noWrap/>
            <w:vAlign w:val="bottom"/>
            <w:hideMark/>
          </w:tcPr>
          <w:p w14:paraId="0672B99E"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AT000TUN00023</w:t>
            </w:r>
          </w:p>
        </w:tc>
      </w:tr>
      <w:tr w:rsidR="00C27D6A" w:rsidRPr="00D25DC8" w14:paraId="20DFFB18" w14:textId="77777777" w:rsidTr="00C75467">
        <w:trPr>
          <w:trHeight w:val="288"/>
          <w:tblHeader/>
          <w:jc w:val="center"/>
        </w:trPr>
        <w:tc>
          <w:tcPr>
            <w:tcW w:w="0" w:type="auto"/>
            <w:tcBorders>
              <w:top w:val="nil"/>
              <w:left w:val="nil"/>
              <w:bottom w:val="nil"/>
              <w:right w:val="nil"/>
            </w:tcBorders>
            <w:noWrap/>
            <w:vAlign w:val="bottom"/>
            <w:hideMark/>
          </w:tcPr>
          <w:p w14:paraId="2702D5C9"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32D035E5" w14:textId="77777777" w:rsidR="00C27D6A" w:rsidRPr="00C75467" w:rsidRDefault="00C27D6A" w:rsidP="00F36743">
            <w:pPr>
              <w:rPr>
                <w:rFonts w:asciiTheme="majorHAnsi" w:hAnsiTheme="majorHAnsi"/>
                <w:color w:val="000000"/>
                <w:sz w:val="20"/>
                <w:szCs w:val="20"/>
              </w:rPr>
            </w:pPr>
            <w:proofErr w:type="spellStart"/>
            <w:r>
              <w:rPr>
                <w:rFonts w:asciiTheme="majorHAnsi" w:hAnsiTheme="majorHAnsi"/>
                <w:color w:val="000000"/>
                <w:sz w:val="20"/>
              </w:rPr>
              <w:t>Tapsus</w:t>
            </w:r>
            <w:proofErr w:type="spellEnd"/>
          </w:p>
        </w:tc>
        <w:tc>
          <w:tcPr>
            <w:tcW w:w="0" w:type="auto"/>
            <w:tcBorders>
              <w:top w:val="nil"/>
              <w:left w:val="nil"/>
              <w:bottom w:val="nil"/>
              <w:right w:val="nil"/>
            </w:tcBorders>
            <w:noWrap/>
            <w:vAlign w:val="bottom"/>
            <w:hideMark/>
          </w:tcPr>
          <w:p w14:paraId="78B05CAB"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AT000TUN00024</w:t>
            </w:r>
          </w:p>
        </w:tc>
      </w:tr>
      <w:tr w:rsidR="00C27D6A" w:rsidRPr="00D25DC8" w14:paraId="26DE94CC" w14:textId="77777777" w:rsidTr="00C75467">
        <w:trPr>
          <w:trHeight w:val="288"/>
          <w:tblHeader/>
          <w:jc w:val="center"/>
        </w:trPr>
        <w:tc>
          <w:tcPr>
            <w:tcW w:w="0" w:type="auto"/>
            <w:tcBorders>
              <w:top w:val="nil"/>
              <w:left w:val="nil"/>
              <w:bottom w:val="nil"/>
              <w:right w:val="nil"/>
            </w:tcBorders>
            <w:noWrap/>
            <w:vAlign w:val="bottom"/>
            <w:hideMark/>
          </w:tcPr>
          <w:p w14:paraId="4BB07BA5"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4C843E0F"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Hadj Mokhtar</w:t>
            </w:r>
          </w:p>
        </w:tc>
        <w:tc>
          <w:tcPr>
            <w:tcW w:w="0" w:type="auto"/>
            <w:tcBorders>
              <w:top w:val="nil"/>
              <w:left w:val="nil"/>
              <w:bottom w:val="nil"/>
              <w:right w:val="nil"/>
            </w:tcBorders>
            <w:noWrap/>
            <w:vAlign w:val="bottom"/>
            <w:hideMark/>
          </w:tcPr>
          <w:p w14:paraId="084DAC7B"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AT000TUN00025</w:t>
            </w:r>
          </w:p>
        </w:tc>
      </w:tr>
      <w:tr w:rsidR="00C27D6A" w:rsidRPr="00D25DC8" w14:paraId="62CCC40B" w14:textId="77777777" w:rsidTr="00C75467">
        <w:trPr>
          <w:trHeight w:val="288"/>
          <w:tblHeader/>
          <w:jc w:val="center"/>
        </w:trPr>
        <w:tc>
          <w:tcPr>
            <w:tcW w:w="0" w:type="auto"/>
            <w:tcBorders>
              <w:top w:val="nil"/>
              <w:left w:val="nil"/>
              <w:bottom w:val="nil"/>
              <w:right w:val="nil"/>
            </w:tcBorders>
            <w:noWrap/>
            <w:vAlign w:val="bottom"/>
            <w:hideMark/>
          </w:tcPr>
          <w:p w14:paraId="43FF0CBB"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2A984BBC" w14:textId="77777777" w:rsidR="00C27D6A" w:rsidRPr="00C75467" w:rsidRDefault="00C27D6A" w:rsidP="00F36743">
            <w:pPr>
              <w:rPr>
                <w:rFonts w:asciiTheme="majorHAnsi" w:hAnsiTheme="majorHAnsi"/>
                <w:color w:val="000000"/>
                <w:sz w:val="20"/>
                <w:szCs w:val="20"/>
              </w:rPr>
            </w:pPr>
            <w:proofErr w:type="spellStart"/>
            <w:r>
              <w:rPr>
                <w:rFonts w:asciiTheme="majorHAnsi" w:hAnsiTheme="majorHAnsi"/>
                <w:color w:val="000000"/>
                <w:sz w:val="20"/>
              </w:rPr>
              <w:t>Tijani</w:t>
            </w:r>
            <w:proofErr w:type="spellEnd"/>
          </w:p>
        </w:tc>
        <w:tc>
          <w:tcPr>
            <w:tcW w:w="0" w:type="auto"/>
            <w:tcBorders>
              <w:top w:val="nil"/>
              <w:left w:val="nil"/>
              <w:bottom w:val="nil"/>
              <w:right w:val="nil"/>
            </w:tcBorders>
            <w:noWrap/>
            <w:vAlign w:val="bottom"/>
            <w:hideMark/>
          </w:tcPr>
          <w:p w14:paraId="2F9E310E"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AT000TUN00026</w:t>
            </w:r>
          </w:p>
        </w:tc>
      </w:tr>
      <w:tr w:rsidR="00C27D6A" w:rsidRPr="00D25DC8" w14:paraId="43639F7B" w14:textId="77777777" w:rsidTr="00C75467">
        <w:trPr>
          <w:trHeight w:val="288"/>
          <w:tblHeader/>
          <w:jc w:val="center"/>
        </w:trPr>
        <w:tc>
          <w:tcPr>
            <w:tcW w:w="0" w:type="auto"/>
            <w:tcBorders>
              <w:top w:val="nil"/>
              <w:left w:val="nil"/>
              <w:bottom w:val="nil"/>
              <w:right w:val="nil"/>
            </w:tcBorders>
            <w:noWrap/>
            <w:vAlign w:val="bottom"/>
            <w:hideMark/>
          </w:tcPr>
          <w:p w14:paraId="6489D1A8"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163CF6F2" w14:textId="77777777" w:rsidR="00C27D6A" w:rsidRPr="00C75467" w:rsidRDefault="00C27D6A" w:rsidP="00F36743">
            <w:pPr>
              <w:rPr>
                <w:rFonts w:asciiTheme="majorHAnsi" w:hAnsiTheme="majorHAnsi"/>
                <w:color w:val="000000"/>
                <w:sz w:val="20"/>
                <w:szCs w:val="20"/>
              </w:rPr>
            </w:pPr>
            <w:proofErr w:type="spellStart"/>
            <w:r>
              <w:rPr>
                <w:rFonts w:asciiTheme="majorHAnsi" w:hAnsiTheme="majorHAnsi"/>
                <w:color w:val="000000"/>
                <w:sz w:val="20"/>
              </w:rPr>
              <w:t>Ghedir</w:t>
            </w:r>
            <w:proofErr w:type="spellEnd"/>
            <w:r>
              <w:rPr>
                <w:rFonts w:asciiTheme="majorHAnsi" w:hAnsiTheme="majorHAnsi"/>
                <w:color w:val="000000"/>
                <w:sz w:val="20"/>
              </w:rPr>
              <w:t xml:space="preserve"> El </w:t>
            </w:r>
            <w:proofErr w:type="spellStart"/>
            <w:r>
              <w:rPr>
                <w:rFonts w:asciiTheme="majorHAnsi" w:hAnsiTheme="majorHAnsi"/>
                <w:color w:val="000000"/>
                <w:sz w:val="20"/>
              </w:rPr>
              <w:t>Gholla</w:t>
            </w:r>
            <w:proofErr w:type="spellEnd"/>
          </w:p>
        </w:tc>
        <w:tc>
          <w:tcPr>
            <w:tcW w:w="0" w:type="auto"/>
            <w:tcBorders>
              <w:top w:val="nil"/>
              <w:left w:val="nil"/>
              <w:bottom w:val="nil"/>
              <w:right w:val="nil"/>
            </w:tcBorders>
            <w:noWrap/>
            <w:vAlign w:val="bottom"/>
            <w:hideMark/>
          </w:tcPr>
          <w:p w14:paraId="3BDA5E62"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AT000TUN00030</w:t>
            </w:r>
          </w:p>
        </w:tc>
      </w:tr>
      <w:tr w:rsidR="00C27D6A" w:rsidRPr="00D25DC8" w14:paraId="7B19CF5A" w14:textId="77777777" w:rsidTr="00C75467">
        <w:trPr>
          <w:trHeight w:val="288"/>
          <w:tblHeader/>
          <w:jc w:val="center"/>
        </w:trPr>
        <w:tc>
          <w:tcPr>
            <w:tcW w:w="0" w:type="auto"/>
            <w:tcBorders>
              <w:top w:val="nil"/>
              <w:left w:val="nil"/>
              <w:bottom w:val="nil"/>
              <w:right w:val="nil"/>
            </w:tcBorders>
            <w:noWrap/>
            <w:vAlign w:val="bottom"/>
            <w:hideMark/>
          </w:tcPr>
          <w:p w14:paraId="5FEA0F44"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31589EE3"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Ghali</w:t>
            </w:r>
          </w:p>
        </w:tc>
        <w:tc>
          <w:tcPr>
            <w:tcW w:w="0" w:type="auto"/>
            <w:tcBorders>
              <w:top w:val="nil"/>
              <w:left w:val="nil"/>
              <w:bottom w:val="nil"/>
              <w:right w:val="nil"/>
            </w:tcBorders>
            <w:noWrap/>
            <w:vAlign w:val="bottom"/>
            <w:hideMark/>
          </w:tcPr>
          <w:p w14:paraId="2FD4359F"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AT000TUN00036</w:t>
            </w:r>
          </w:p>
        </w:tc>
      </w:tr>
      <w:tr w:rsidR="00C27D6A" w:rsidRPr="00D25DC8" w14:paraId="4207A972" w14:textId="77777777" w:rsidTr="00C75467">
        <w:trPr>
          <w:trHeight w:val="288"/>
          <w:tblHeader/>
          <w:jc w:val="center"/>
        </w:trPr>
        <w:tc>
          <w:tcPr>
            <w:tcW w:w="0" w:type="auto"/>
            <w:tcBorders>
              <w:top w:val="nil"/>
              <w:left w:val="nil"/>
              <w:bottom w:val="nil"/>
              <w:right w:val="nil"/>
            </w:tcBorders>
            <w:noWrap/>
            <w:vAlign w:val="bottom"/>
            <w:hideMark/>
          </w:tcPr>
          <w:p w14:paraId="2834B18C"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088C1976"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 xml:space="preserve">Ibn </w:t>
            </w:r>
            <w:proofErr w:type="spellStart"/>
            <w:r>
              <w:rPr>
                <w:rFonts w:asciiTheme="majorHAnsi" w:hAnsiTheme="majorHAnsi"/>
                <w:color w:val="000000"/>
                <w:sz w:val="20"/>
              </w:rPr>
              <w:t>Rachiq</w:t>
            </w:r>
            <w:proofErr w:type="spellEnd"/>
          </w:p>
        </w:tc>
        <w:tc>
          <w:tcPr>
            <w:tcW w:w="0" w:type="auto"/>
            <w:tcBorders>
              <w:top w:val="nil"/>
              <w:left w:val="nil"/>
              <w:bottom w:val="nil"/>
              <w:right w:val="nil"/>
            </w:tcBorders>
            <w:noWrap/>
            <w:vAlign w:val="bottom"/>
            <w:hideMark/>
          </w:tcPr>
          <w:p w14:paraId="01B96FEE"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AT000TUN00037</w:t>
            </w:r>
          </w:p>
        </w:tc>
      </w:tr>
      <w:tr w:rsidR="00C27D6A" w:rsidRPr="00D25DC8" w14:paraId="5E692E3E" w14:textId="77777777" w:rsidTr="00C75467">
        <w:trPr>
          <w:trHeight w:val="288"/>
          <w:tblHeader/>
          <w:jc w:val="center"/>
        </w:trPr>
        <w:tc>
          <w:tcPr>
            <w:tcW w:w="0" w:type="auto"/>
            <w:tcBorders>
              <w:top w:val="nil"/>
              <w:left w:val="nil"/>
              <w:bottom w:val="nil"/>
              <w:right w:val="nil"/>
            </w:tcBorders>
            <w:noWrap/>
            <w:vAlign w:val="bottom"/>
            <w:hideMark/>
          </w:tcPr>
          <w:p w14:paraId="3AFC45CB"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7B0E633F"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YOUSRI</w:t>
            </w:r>
          </w:p>
        </w:tc>
        <w:tc>
          <w:tcPr>
            <w:tcW w:w="0" w:type="auto"/>
            <w:tcBorders>
              <w:top w:val="nil"/>
              <w:left w:val="nil"/>
              <w:bottom w:val="nil"/>
              <w:right w:val="nil"/>
            </w:tcBorders>
            <w:noWrap/>
            <w:vAlign w:val="bottom"/>
            <w:hideMark/>
          </w:tcPr>
          <w:p w14:paraId="7202544E"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AT000TUN00040</w:t>
            </w:r>
          </w:p>
        </w:tc>
      </w:tr>
      <w:tr w:rsidR="00C27D6A" w:rsidRPr="00D25DC8" w14:paraId="25215E92" w14:textId="77777777" w:rsidTr="00C75467">
        <w:trPr>
          <w:trHeight w:val="288"/>
          <w:tblHeader/>
          <w:jc w:val="center"/>
        </w:trPr>
        <w:tc>
          <w:tcPr>
            <w:tcW w:w="0" w:type="auto"/>
            <w:tcBorders>
              <w:top w:val="nil"/>
              <w:left w:val="nil"/>
              <w:bottom w:val="nil"/>
              <w:right w:val="nil"/>
            </w:tcBorders>
            <w:noWrap/>
            <w:vAlign w:val="bottom"/>
            <w:hideMark/>
          </w:tcPr>
          <w:p w14:paraId="041FEEBF"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5816D047" w14:textId="77777777" w:rsidR="00C27D6A" w:rsidRPr="00C75467" w:rsidRDefault="00C27D6A" w:rsidP="00F36743">
            <w:pPr>
              <w:rPr>
                <w:rFonts w:asciiTheme="majorHAnsi" w:hAnsiTheme="majorHAnsi"/>
                <w:color w:val="000000"/>
                <w:sz w:val="20"/>
                <w:szCs w:val="20"/>
              </w:rPr>
            </w:pPr>
            <w:proofErr w:type="spellStart"/>
            <w:r>
              <w:rPr>
                <w:rFonts w:asciiTheme="majorHAnsi" w:hAnsiTheme="majorHAnsi"/>
                <w:color w:val="000000"/>
                <w:sz w:val="20"/>
              </w:rPr>
              <w:t>Jannet</w:t>
            </w:r>
            <w:proofErr w:type="spellEnd"/>
            <w:r>
              <w:rPr>
                <w:rFonts w:asciiTheme="majorHAnsi" w:hAnsiTheme="majorHAnsi"/>
                <w:color w:val="000000"/>
                <w:sz w:val="20"/>
              </w:rPr>
              <w:t xml:space="preserve"> 2</w:t>
            </w:r>
          </w:p>
        </w:tc>
        <w:tc>
          <w:tcPr>
            <w:tcW w:w="0" w:type="auto"/>
            <w:tcBorders>
              <w:top w:val="nil"/>
              <w:left w:val="nil"/>
              <w:bottom w:val="nil"/>
              <w:right w:val="nil"/>
            </w:tcBorders>
            <w:noWrap/>
            <w:vAlign w:val="bottom"/>
            <w:hideMark/>
          </w:tcPr>
          <w:p w14:paraId="7E412B26"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AT000TUN00044</w:t>
            </w:r>
          </w:p>
        </w:tc>
      </w:tr>
      <w:tr w:rsidR="00C27D6A" w:rsidRPr="00D25DC8" w14:paraId="5917851E" w14:textId="77777777" w:rsidTr="00C75467">
        <w:trPr>
          <w:trHeight w:val="288"/>
          <w:tblHeader/>
          <w:jc w:val="center"/>
        </w:trPr>
        <w:tc>
          <w:tcPr>
            <w:tcW w:w="0" w:type="auto"/>
            <w:tcBorders>
              <w:top w:val="nil"/>
              <w:left w:val="nil"/>
              <w:bottom w:val="nil"/>
              <w:right w:val="nil"/>
            </w:tcBorders>
            <w:noWrap/>
            <w:vAlign w:val="bottom"/>
            <w:hideMark/>
          </w:tcPr>
          <w:p w14:paraId="0C35D3FE"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08127FA8" w14:textId="77777777" w:rsidR="00C27D6A" w:rsidRPr="00C75467" w:rsidRDefault="00C27D6A" w:rsidP="00F36743">
            <w:pPr>
              <w:rPr>
                <w:rFonts w:asciiTheme="majorHAnsi" w:hAnsiTheme="majorHAnsi"/>
                <w:color w:val="000000"/>
                <w:sz w:val="20"/>
                <w:szCs w:val="20"/>
              </w:rPr>
            </w:pPr>
            <w:proofErr w:type="spellStart"/>
            <w:r>
              <w:rPr>
                <w:rFonts w:asciiTheme="majorHAnsi" w:hAnsiTheme="majorHAnsi"/>
                <w:color w:val="000000"/>
                <w:sz w:val="20"/>
              </w:rPr>
              <w:t>Jawhar</w:t>
            </w:r>
            <w:proofErr w:type="spellEnd"/>
          </w:p>
        </w:tc>
        <w:tc>
          <w:tcPr>
            <w:tcW w:w="0" w:type="auto"/>
            <w:tcBorders>
              <w:top w:val="nil"/>
              <w:left w:val="nil"/>
              <w:bottom w:val="nil"/>
              <w:right w:val="nil"/>
            </w:tcBorders>
            <w:noWrap/>
            <w:vAlign w:val="bottom"/>
            <w:hideMark/>
          </w:tcPr>
          <w:p w14:paraId="48B81557"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AT000TUN00046</w:t>
            </w:r>
          </w:p>
        </w:tc>
      </w:tr>
      <w:tr w:rsidR="00C27D6A" w:rsidRPr="00D25DC8" w14:paraId="05BE9FD6" w14:textId="77777777" w:rsidTr="00C75467">
        <w:trPr>
          <w:trHeight w:val="288"/>
          <w:tblHeader/>
          <w:jc w:val="center"/>
        </w:trPr>
        <w:tc>
          <w:tcPr>
            <w:tcW w:w="0" w:type="auto"/>
            <w:tcBorders>
              <w:top w:val="nil"/>
              <w:left w:val="nil"/>
              <w:bottom w:val="nil"/>
              <w:right w:val="nil"/>
            </w:tcBorders>
            <w:noWrap/>
            <w:vAlign w:val="bottom"/>
            <w:hideMark/>
          </w:tcPr>
          <w:p w14:paraId="765AB9EB"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119B6D67"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 xml:space="preserve">El </w:t>
            </w:r>
            <w:proofErr w:type="spellStart"/>
            <w:r>
              <w:rPr>
                <w:rFonts w:asciiTheme="majorHAnsi" w:hAnsiTheme="majorHAnsi"/>
                <w:color w:val="000000"/>
                <w:sz w:val="20"/>
              </w:rPr>
              <w:t>Houssain</w:t>
            </w:r>
            <w:proofErr w:type="spellEnd"/>
          </w:p>
        </w:tc>
        <w:tc>
          <w:tcPr>
            <w:tcW w:w="0" w:type="auto"/>
            <w:tcBorders>
              <w:top w:val="nil"/>
              <w:left w:val="nil"/>
              <w:bottom w:val="nil"/>
              <w:right w:val="nil"/>
            </w:tcBorders>
            <w:noWrap/>
            <w:vAlign w:val="bottom"/>
            <w:hideMark/>
          </w:tcPr>
          <w:p w14:paraId="12C0B3CE"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AT000TUN00049</w:t>
            </w:r>
          </w:p>
        </w:tc>
      </w:tr>
      <w:tr w:rsidR="00C27D6A" w:rsidRPr="00D25DC8" w14:paraId="1347DA31" w14:textId="77777777" w:rsidTr="00C75467">
        <w:trPr>
          <w:trHeight w:val="288"/>
          <w:tblHeader/>
          <w:jc w:val="center"/>
        </w:trPr>
        <w:tc>
          <w:tcPr>
            <w:tcW w:w="0" w:type="auto"/>
            <w:tcBorders>
              <w:top w:val="nil"/>
              <w:left w:val="nil"/>
              <w:bottom w:val="nil"/>
              <w:right w:val="nil"/>
            </w:tcBorders>
            <w:noWrap/>
            <w:vAlign w:val="bottom"/>
            <w:hideMark/>
          </w:tcPr>
          <w:p w14:paraId="7D06787B"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7C48F92C" w14:textId="77777777" w:rsidR="00C27D6A" w:rsidRPr="00C75467" w:rsidRDefault="00C27D6A" w:rsidP="00F36743">
            <w:pPr>
              <w:rPr>
                <w:rFonts w:asciiTheme="majorHAnsi" w:hAnsiTheme="majorHAnsi"/>
                <w:color w:val="000000"/>
                <w:sz w:val="20"/>
                <w:szCs w:val="20"/>
              </w:rPr>
            </w:pPr>
            <w:proofErr w:type="spellStart"/>
            <w:r>
              <w:rPr>
                <w:rFonts w:asciiTheme="majorHAnsi" w:hAnsiTheme="majorHAnsi"/>
                <w:color w:val="000000"/>
                <w:sz w:val="20"/>
              </w:rPr>
              <w:t>Futuro</w:t>
            </w:r>
            <w:proofErr w:type="spellEnd"/>
            <w:r>
              <w:rPr>
                <w:rFonts w:asciiTheme="majorHAnsi" w:hAnsiTheme="majorHAnsi"/>
                <w:color w:val="000000"/>
                <w:sz w:val="20"/>
              </w:rPr>
              <w:t xml:space="preserve"> 1</w:t>
            </w:r>
          </w:p>
        </w:tc>
        <w:tc>
          <w:tcPr>
            <w:tcW w:w="0" w:type="auto"/>
            <w:tcBorders>
              <w:top w:val="nil"/>
              <w:left w:val="nil"/>
              <w:bottom w:val="nil"/>
              <w:right w:val="nil"/>
            </w:tcBorders>
            <w:noWrap/>
            <w:vAlign w:val="bottom"/>
            <w:hideMark/>
          </w:tcPr>
          <w:p w14:paraId="168BFBCE"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AT000TUN00065</w:t>
            </w:r>
          </w:p>
        </w:tc>
      </w:tr>
      <w:tr w:rsidR="00C27D6A" w:rsidRPr="00D25DC8" w14:paraId="27479F85" w14:textId="77777777" w:rsidTr="00C75467">
        <w:trPr>
          <w:trHeight w:val="288"/>
          <w:tblHeader/>
          <w:jc w:val="center"/>
        </w:trPr>
        <w:tc>
          <w:tcPr>
            <w:tcW w:w="0" w:type="auto"/>
            <w:tcBorders>
              <w:top w:val="nil"/>
              <w:left w:val="nil"/>
              <w:bottom w:val="nil"/>
              <w:right w:val="nil"/>
            </w:tcBorders>
            <w:noWrap/>
            <w:vAlign w:val="bottom"/>
            <w:hideMark/>
          </w:tcPr>
          <w:p w14:paraId="468A40CC"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40E4B863"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Hadj Ahmed</w:t>
            </w:r>
          </w:p>
        </w:tc>
        <w:tc>
          <w:tcPr>
            <w:tcW w:w="0" w:type="auto"/>
            <w:tcBorders>
              <w:top w:val="nil"/>
              <w:left w:val="nil"/>
              <w:bottom w:val="nil"/>
              <w:right w:val="nil"/>
            </w:tcBorders>
            <w:noWrap/>
            <w:vAlign w:val="bottom"/>
            <w:hideMark/>
          </w:tcPr>
          <w:p w14:paraId="2182857C"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AT000TUN00070</w:t>
            </w:r>
          </w:p>
        </w:tc>
      </w:tr>
      <w:tr w:rsidR="00C27D6A" w:rsidRPr="00D25DC8" w14:paraId="1690F39F" w14:textId="77777777" w:rsidTr="00C75467">
        <w:trPr>
          <w:trHeight w:val="288"/>
          <w:tblHeader/>
          <w:jc w:val="center"/>
        </w:trPr>
        <w:tc>
          <w:tcPr>
            <w:tcW w:w="0" w:type="auto"/>
            <w:tcBorders>
              <w:top w:val="nil"/>
              <w:left w:val="nil"/>
              <w:bottom w:val="nil"/>
              <w:right w:val="nil"/>
            </w:tcBorders>
            <w:noWrap/>
            <w:vAlign w:val="bottom"/>
            <w:hideMark/>
          </w:tcPr>
          <w:p w14:paraId="01BF7102"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285F1C57"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RAFRAF II</w:t>
            </w:r>
          </w:p>
        </w:tc>
        <w:tc>
          <w:tcPr>
            <w:tcW w:w="0" w:type="auto"/>
            <w:tcBorders>
              <w:top w:val="nil"/>
              <w:left w:val="nil"/>
              <w:bottom w:val="nil"/>
              <w:right w:val="nil"/>
            </w:tcBorders>
            <w:noWrap/>
            <w:vAlign w:val="bottom"/>
            <w:hideMark/>
          </w:tcPr>
          <w:p w14:paraId="63CEFB70"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AT000TUN01165</w:t>
            </w:r>
          </w:p>
        </w:tc>
      </w:tr>
      <w:tr w:rsidR="00C27D6A" w:rsidRPr="00D25DC8" w14:paraId="351B77E2" w14:textId="77777777" w:rsidTr="00C75467">
        <w:trPr>
          <w:trHeight w:val="288"/>
          <w:tblHeader/>
          <w:jc w:val="center"/>
        </w:trPr>
        <w:tc>
          <w:tcPr>
            <w:tcW w:w="0" w:type="auto"/>
            <w:tcBorders>
              <w:top w:val="nil"/>
              <w:left w:val="nil"/>
              <w:bottom w:val="nil"/>
              <w:right w:val="nil"/>
            </w:tcBorders>
            <w:noWrap/>
            <w:vAlign w:val="bottom"/>
            <w:hideMark/>
          </w:tcPr>
          <w:p w14:paraId="51DEDEDF"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6E18EF1F"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 xml:space="preserve">WASSIM </w:t>
            </w:r>
          </w:p>
        </w:tc>
        <w:tc>
          <w:tcPr>
            <w:tcW w:w="0" w:type="auto"/>
            <w:tcBorders>
              <w:top w:val="nil"/>
              <w:left w:val="nil"/>
              <w:bottom w:val="nil"/>
              <w:right w:val="nil"/>
            </w:tcBorders>
            <w:noWrap/>
            <w:vAlign w:val="bottom"/>
            <w:hideMark/>
          </w:tcPr>
          <w:p w14:paraId="4D9A577F"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AT000TUN01050</w:t>
            </w:r>
          </w:p>
        </w:tc>
      </w:tr>
      <w:tr w:rsidR="00C27D6A" w:rsidRPr="00D25DC8" w14:paraId="54979794" w14:textId="77777777" w:rsidTr="00C75467">
        <w:trPr>
          <w:trHeight w:val="288"/>
          <w:tblHeader/>
          <w:jc w:val="center"/>
        </w:trPr>
        <w:tc>
          <w:tcPr>
            <w:tcW w:w="0" w:type="auto"/>
            <w:tcBorders>
              <w:top w:val="nil"/>
              <w:left w:val="nil"/>
              <w:bottom w:val="nil"/>
              <w:right w:val="nil"/>
            </w:tcBorders>
            <w:noWrap/>
            <w:vAlign w:val="bottom"/>
            <w:hideMark/>
          </w:tcPr>
          <w:p w14:paraId="79D2DD48"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29801E99"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RIADH</w:t>
            </w:r>
          </w:p>
        </w:tc>
        <w:tc>
          <w:tcPr>
            <w:tcW w:w="0" w:type="auto"/>
            <w:tcBorders>
              <w:top w:val="nil"/>
              <w:left w:val="nil"/>
              <w:bottom w:val="nil"/>
              <w:right w:val="nil"/>
            </w:tcBorders>
            <w:noWrap/>
            <w:vAlign w:val="bottom"/>
            <w:hideMark/>
          </w:tcPr>
          <w:p w14:paraId="3322AEC5"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AT000TUN00495</w:t>
            </w:r>
          </w:p>
        </w:tc>
      </w:tr>
      <w:tr w:rsidR="00C27D6A" w:rsidRPr="00D25DC8" w14:paraId="0E6A864F" w14:textId="77777777" w:rsidTr="00C75467">
        <w:trPr>
          <w:trHeight w:val="288"/>
          <w:tblHeader/>
          <w:jc w:val="center"/>
        </w:trPr>
        <w:tc>
          <w:tcPr>
            <w:tcW w:w="0" w:type="auto"/>
            <w:tcBorders>
              <w:top w:val="nil"/>
              <w:left w:val="nil"/>
              <w:bottom w:val="nil"/>
              <w:right w:val="nil"/>
            </w:tcBorders>
            <w:noWrap/>
            <w:vAlign w:val="bottom"/>
            <w:hideMark/>
          </w:tcPr>
          <w:p w14:paraId="569EE4B4"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28B8A25C"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ZIED</w:t>
            </w:r>
          </w:p>
        </w:tc>
        <w:tc>
          <w:tcPr>
            <w:tcW w:w="0" w:type="auto"/>
            <w:tcBorders>
              <w:top w:val="nil"/>
              <w:left w:val="nil"/>
              <w:bottom w:val="nil"/>
              <w:right w:val="nil"/>
            </w:tcBorders>
            <w:noWrap/>
            <w:vAlign w:val="bottom"/>
            <w:hideMark/>
          </w:tcPr>
          <w:p w14:paraId="4E397C83"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AT000TUN00496</w:t>
            </w:r>
          </w:p>
        </w:tc>
      </w:tr>
      <w:tr w:rsidR="00C27D6A" w:rsidRPr="00D25DC8" w14:paraId="531D82F7" w14:textId="77777777" w:rsidTr="00C75467">
        <w:trPr>
          <w:trHeight w:val="288"/>
          <w:tblHeader/>
          <w:jc w:val="center"/>
        </w:trPr>
        <w:tc>
          <w:tcPr>
            <w:tcW w:w="0" w:type="auto"/>
            <w:tcBorders>
              <w:top w:val="nil"/>
              <w:left w:val="nil"/>
              <w:bottom w:val="nil"/>
              <w:right w:val="nil"/>
            </w:tcBorders>
            <w:noWrap/>
            <w:vAlign w:val="bottom"/>
            <w:hideMark/>
          </w:tcPr>
          <w:p w14:paraId="27AF3A93"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0866E3E3" w14:textId="77777777" w:rsidR="00C27D6A" w:rsidRPr="00C75467" w:rsidRDefault="00C27D6A" w:rsidP="00F36743">
            <w:pPr>
              <w:rPr>
                <w:rFonts w:asciiTheme="majorHAnsi" w:hAnsiTheme="majorHAnsi"/>
                <w:color w:val="000000"/>
                <w:sz w:val="20"/>
                <w:szCs w:val="20"/>
              </w:rPr>
            </w:pPr>
            <w:proofErr w:type="spellStart"/>
            <w:r>
              <w:rPr>
                <w:rFonts w:asciiTheme="majorHAnsi" w:hAnsiTheme="majorHAnsi"/>
                <w:color w:val="000000"/>
                <w:sz w:val="20"/>
              </w:rPr>
              <w:t>Fakhreddine</w:t>
            </w:r>
            <w:proofErr w:type="spellEnd"/>
            <w:r>
              <w:rPr>
                <w:rFonts w:asciiTheme="majorHAnsi" w:hAnsiTheme="majorHAnsi"/>
                <w:color w:val="000000"/>
                <w:sz w:val="20"/>
              </w:rPr>
              <w:t xml:space="preserve"> </w:t>
            </w:r>
            <w:proofErr w:type="spellStart"/>
            <w:r>
              <w:rPr>
                <w:rFonts w:asciiTheme="majorHAnsi" w:hAnsiTheme="majorHAnsi"/>
                <w:color w:val="000000"/>
                <w:sz w:val="20"/>
              </w:rPr>
              <w:t>Errazi</w:t>
            </w:r>
            <w:proofErr w:type="spellEnd"/>
            <w:r>
              <w:rPr>
                <w:rFonts w:asciiTheme="majorHAnsi" w:hAnsiTheme="majorHAnsi"/>
                <w:color w:val="000000"/>
                <w:sz w:val="20"/>
              </w:rPr>
              <w:t xml:space="preserve"> II</w:t>
            </w:r>
          </w:p>
        </w:tc>
        <w:tc>
          <w:tcPr>
            <w:tcW w:w="0" w:type="auto"/>
            <w:tcBorders>
              <w:top w:val="nil"/>
              <w:left w:val="nil"/>
              <w:bottom w:val="nil"/>
              <w:right w:val="nil"/>
            </w:tcBorders>
            <w:noWrap/>
            <w:vAlign w:val="bottom"/>
            <w:hideMark/>
          </w:tcPr>
          <w:p w14:paraId="6E411DB4"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AT000TUN00975</w:t>
            </w:r>
          </w:p>
        </w:tc>
      </w:tr>
      <w:tr w:rsidR="00C27D6A" w:rsidRPr="00D25DC8" w14:paraId="5B1B49B6" w14:textId="77777777" w:rsidTr="00C75467">
        <w:trPr>
          <w:trHeight w:val="288"/>
          <w:tblHeader/>
          <w:jc w:val="center"/>
        </w:trPr>
        <w:tc>
          <w:tcPr>
            <w:tcW w:w="0" w:type="auto"/>
            <w:tcBorders>
              <w:top w:val="nil"/>
              <w:left w:val="nil"/>
              <w:bottom w:val="nil"/>
              <w:right w:val="nil"/>
            </w:tcBorders>
            <w:noWrap/>
            <w:vAlign w:val="bottom"/>
            <w:hideMark/>
          </w:tcPr>
          <w:p w14:paraId="2E36323F"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70325FAB"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 xml:space="preserve">MABROUKA </w:t>
            </w:r>
          </w:p>
        </w:tc>
        <w:tc>
          <w:tcPr>
            <w:tcW w:w="0" w:type="auto"/>
            <w:tcBorders>
              <w:top w:val="nil"/>
              <w:left w:val="nil"/>
              <w:bottom w:val="nil"/>
              <w:right w:val="nil"/>
            </w:tcBorders>
            <w:noWrap/>
            <w:vAlign w:val="bottom"/>
            <w:hideMark/>
          </w:tcPr>
          <w:p w14:paraId="578D1995"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AT000TUN00980</w:t>
            </w:r>
          </w:p>
        </w:tc>
      </w:tr>
      <w:tr w:rsidR="00C27D6A" w:rsidRPr="00D25DC8" w14:paraId="69137A60" w14:textId="77777777" w:rsidTr="00C75467">
        <w:trPr>
          <w:trHeight w:val="288"/>
          <w:tblHeader/>
          <w:jc w:val="center"/>
        </w:trPr>
        <w:tc>
          <w:tcPr>
            <w:tcW w:w="0" w:type="auto"/>
            <w:tcBorders>
              <w:top w:val="nil"/>
              <w:left w:val="nil"/>
              <w:bottom w:val="nil"/>
              <w:right w:val="nil"/>
            </w:tcBorders>
            <w:noWrap/>
            <w:vAlign w:val="bottom"/>
            <w:hideMark/>
          </w:tcPr>
          <w:p w14:paraId="40E7AA20"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127673C1"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HAJ ISSAOUI</w:t>
            </w:r>
          </w:p>
        </w:tc>
        <w:tc>
          <w:tcPr>
            <w:tcW w:w="0" w:type="auto"/>
            <w:tcBorders>
              <w:top w:val="nil"/>
              <w:left w:val="nil"/>
              <w:bottom w:val="nil"/>
              <w:right w:val="nil"/>
            </w:tcBorders>
            <w:noWrap/>
            <w:vAlign w:val="bottom"/>
            <w:hideMark/>
          </w:tcPr>
          <w:p w14:paraId="65437CB1"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AT000TUN00987</w:t>
            </w:r>
          </w:p>
        </w:tc>
      </w:tr>
      <w:tr w:rsidR="00C27D6A" w:rsidRPr="00D25DC8" w14:paraId="1B91EC33" w14:textId="77777777" w:rsidTr="00C75467">
        <w:trPr>
          <w:trHeight w:val="288"/>
          <w:tblHeader/>
          <w:jc w:val="center"/>
        </w:trPr>
        <w:tc>
          <w:tcPr>
            <w:tcW w:w="0" w:type="auto"/>
            <w:tcBorders>
              <w:top w:val="nil"/>
              <w:left w:val="nil"/>
              <w:bottom w:val="nil"/>
              <w:right w:val="nil"/>
            </w:tcBorders>
            <w:noWrap/>
            <w:vAlign w:val="bottom"/>
            <w:hideMark/>
          </w:tcPr>
          <w:p w14:paraId="2B4A9A2E"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6809A05D"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HADJ ALI III</w:t>
            </w:r>
          </w:p>
        </w:tc>
        <w:tc>
          <w:tcPr>
            <w:tcW w:w="0" w:type="auto"/>
            <w:tcBorders>
              <w:top w:val="nil"/>
              <w:left w:val="nil"/>
              <w:bottom w:val="nil"/>
              <w:right w:val="nil"/>
            </w:tcBorders>
            <w:noWrap/>
            <w:vAlign w:val="bottom"/>
            <w:hideMark/>
          </w:tcPr>
          <w:p w14:paraId="5459FED4"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AT000TUN00988</w:t>
            </w:r>
          </w:p>
        </w:tc>
      </w:tr>
      <w:tr w:rsidR="00C27D6A" w:rsidRPr="00D25DC8" w14:paraId="6FF6B4CD" w14:textId="77777777" w:rsidTr="00C75467">
        <w:trPr>
          <w:trHeight w:val="288"/>
          <w:tblHeader/>
          <w:jc w:val="center"/>
        </w:trPr>
        <w:tc>
          <w:tcPr>
            <w:tcW w:w="0" w:type="auto"/>
            <w:tcBorders>
              <w:top w:val="nil"/>
              <w:left w:val="nil"/>
              <w:bottom w:val="nil"/>
              <w:right w:val="nil"/>
            </w:tcBorders>
            <w:noWrap/>
            <w:vAlign w:val="bottom"/>
            <w:hideMark/>
          </w:tcPr>
          <w:p w14:paraId="481F2A8E"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6EB0751B"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 xml:space="preserve">Rais </w:t>
            </w:r>
            <w:proofErr w:type="spellStart"/>
            <w:r>
              <w:rPr>
                <w:rFonts w:asciiTheme="majorHAnsi" w:hAnsiTheme="majorHAnsi"/>
                <w:color w:val="000000"/>
                <w:sz w:val="20"/>
              </w:rPr>
              <w:t>Ezzi</w:t>
            </w:r>
            <w:proofErr w:type="spellEnd"/>
          </w:p>
        </w:tc>
        <w:tc>
          <w:tcPr>
            <w:tcW w:w="0" w:type="auto"/>
            <w:tcBorders>
              <w:top w:val="nil"/>
              <w:left w:val="nil"/>
              <w:bottom w:val="nil"/>
              <w:right w:val="nil"/>
            </w:tcBorders>
            <w:noWrap/>
            <w:vAlign w:val="bottom"/>
            <w:hideMark/>
          </w:tcPr>
          <w:p w14:paraId="02897FC1"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AT000TUN01383</w:t>
            </w:r>
          </w:p>
        </w:tc>
      </w:tr>
      <w:tr w:rsidR="00C27D6A" w:rsidRPr="00D25DC8" w14:paraId="00908769" w14:textId="77777777" w:rsidTr="00C75467">
        <w:trPr>
          <w:trHeight w:val="288"/>
          <w:tblHeader/>
          <w:jc w:val="center"/>
        </w:trPr>
        <w:tc>
          <w:tcPr>
            <w:tcW w:w="0" w:type="auto"/>
            <w:tcBorders>
              <w:top w:val="nil"/>
              <w:left w:val="nil"/>
              <w:bottom w:val="nil"/>
              <w:right w:val="nil"/>
            </w:tcBorders>
            <w:noWrap/>
            <w:vAlign w:val="bottom"/>
            <w:hideMark/>
          </w:tcPr>
          <w:p w14:paraId="66830453"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4B49CBA1"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Hadj Hedi</w:t>
            </w:r>
          </w:p>
        </w:tc>
        <w:tc>
          <w:tcPr>
            <w:tcW w:w="0" w:type="auto"/>
            <w:tcBorders>
              <w:top w:val="nil"/>
              <w:left w:val="nil"/>
              <w:bottom w:val="nil"/>
              <w:right w:val="nil"/>
            </w:tcBorders>
            <w:noWrap/>
            <w:vAlign w:val="bottom"/>
            <w:hideMark/>
          </w:tcPr>
          <w:p w14:paraId="6915B368"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AT000TUN01384</w:t>
            </w:r>
          </w:p>
        </w:tc>
      </w:tr>
      <w:tr w:rsidR="00C27D6A" w:rsidRPr="00D25DC8" w14:paraId="0FD35E61" w14:textId="77777777" w:rsidTr="00C75467">
        <w:trPr>
          <w:trHeight w:val="288"/>
          <w:tblHeader/>
          <w:jc w:val="center"/>
        </w:trPr>
        <w:tc>
          <w:tcPr>
            <w:tcW w:w="0" w:type="auto"/>
            <w:tcBorders>
              <w:top w:val="nil"/>
              <w:left w:val="nil"/>
              <w:bottom w:val="nil"/>
              <w:right w:val="nil"/>
            </w:tcBorders>
            <w:noWrap/>
            <w:vAlign w:val="bottom"/>
            <w:hideMark/>
          </w:tcPr>
          <w:p w14:paraId="43A76677"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0812BA3A"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SANGHO II</w:t>
            </w:r>
          </w:p>
        </w:tc>
        <w:tc>
          <w:tcPr>
            <w:tcW w:w="0" w:type="auto"/>
            <w:tcBorders>
              <w:top w:val="nil"/>
              <w:left w:val="nil"/>
              <w:bottom w:val="nil"/>
              <w:right w:val="nil"/>
            </w:tcBorders>
            <w:noWrap/>
            <w:vAlign w:val="bottom"/>
            <w:hideMark/>
          </w:tcPr>
          <w:p w14:paraId="517EFD97"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AT000TUN01432</w:t>
            </w:r>
          </w:p>
        </w:tc>
      </w:tr>
      <w:tr w:rsidR="00C27D6A" w:rsidRPr="00D25DC8" w14:paraId="41A995D2" w14:textId="77777777" w:rsidTr="00C75467">
        <w:trPr>
          <w:trHeight w:val="288"/>
          <w:tblHeader/>
          <w:jc w:val="center"/>
        </w:trPr>
        <w:tc>
          <w:tcPr>
            <w:tcW w:w="0" w:type="auto"/>
            <w:tcBorders>
              <w:top w:val="nil"/>
              <w:left w:val="nil"/>
              <w:bottom w:val="nil"/>
              <w:right w:val="nil"/>
            </w:tcBorders>
            <w:noWrap/>
            <w:vAlign w:val="bottom"/>
            <w:hideMark/>
          </w:tcPr>
          <w:p w14:paraId="3AD85E85"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19AEDF66" w14:textId="77777777" w:rsidR="00C27D6A" w:rsidRPr="00C75467" w:rsidRDefault="00C27D6A" w:rsidP="00F36743">
            <w:pPr>
              <w:rPr>
                <w:rFonts w:asciiTheme="majorHAnsi" w:hAnsiTheme="majorHAnsi"/>
                <w:color w:val="000000"/>
                <w:sz w:val="20"/>
                <w:szCs w:val="20"/>
              </w:rPr>
            </w:pPr>
            <w:proofErr w:type="spellStart"/>
            <w:r>
              <w:rPr>
                <w:rFonts w:asciiTheme="majorHAnsi" w:hAnsiTheme="majorHAnsi"/>
                <w:color w:val="000000"/>
                <w:sz w:val="20"/>
              </w:rPr>
              <w:t>Meimoun</w:t>
            </w:r>
            <w:proofErr w:type="spellEnd"/>
          </w:p>
        </w:tc>
        <w:tc>
          <w:tcPr>
            <w:tcW w:w="0" w:type="auto"/>
            <w:tcBorders>
              <w:top w:val="nil"/>
              <w:left w:val="nil"/>
              <w:bottom w:val="nil"/>
              <w:right w:val="nil"/>
            </w:tcBorders>
            <w:noWrap/>
            <w:vAlign w:val="bottom"/>
            <w:hideMark/>
          </w:tcPr>
          <w:p w14:paraId="64BCFFAE"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AT000TUN00048</w:t>
            </w:r>
          </w:p>
        </w:tc>
      </w:tr>
      <w:tr w:rsidR="00C27D6A" w:rsidRPr="00D25DC8" w14:paraId="3338EBCD" w14:textId="77777777" w:rsidTr="00C75467">
        <w:trPr>
          <w:trHeight w:val="288"/>
          <w:tblHeader/>
          <w:jc w:val="center"/>
        </w:trPr>
        <w:tc>
          <w:tcPr>
            <w:tcW w:w="0" w:type="auto"/>
            <w:tcBorders>
              <w:top w:val="nil"/>
              <w:left w:val="nil"/>
              <w:bottom w:val="nil"/>
              <w:right w:val="nil"/>
            </w:tcBorders>
            <w:noWrap/>
            <w:vAlign w:val="bottom"/>
            <w:hideMark/>
          </w:tcPr>
          <w:p w14:paraId="21E56A70"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793119A9"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El Habib</w:t>
            </w:r>
          </w:p>
        </w:tc>
        <w:tc>
          <w:tcPr>
            <w:tcW w:w="0" w:type="auto"/>
            <w:tcBorders>
              <w:top w:val="nil"/>
              <w:left w:val="nil"/>
              <w:bottom w:val="nil"/>
              <w:right w:val="nil"/>
            </w:tcBorders>
            <w:noWrap/>
            <w:vAlign w:val="bottom"/>
            <w:hideMark/>
          </w:tcPr>
          <w:p w14:paraId="6BB25377"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AT000TUN01430</w:t>
            </w:r>
          </w:p>
        </w:tc>
      </w:tr>
      <w:tr w:rsidR="00C27D6A" w:rsidRPr="00D25DC8" w14:paraId="509C9A9B" w14:textId="77777777" w:rsidTr="00C75467">
        <w:trPr>
          <w:trHeight w:val="288"/>
          <w:tblHeader/>
          <w:jc w:val="center"/>
        </w:trPr>
        <w:tc>
          <w:tcPr>
            <w:tcW w:w="0" w:type="auto"/>
            <w:tcBorders>
              <w:top w:val="nil"/>
              <w:left w:val="nil"/>
              <w:bottom w:val="nil"/>
              <w:right w:val="nil"/>
            </w:tcBorders>
            <w:noWrap/>
            <w:vAlign w:val="bottom"/>
            <w:hideMark/>
          </w:tcPr>
          <w:p w14:paraId="29BADCC8"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00B4BF2C"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 xml:space="preserve">Hadj </w:t>
            </w:r>
            <w:proofErr w:type="spellStart"/>
            <w:r>
              <w:rPr>
                <w:rFonts w:asciiTheme="majorHAnsi" w:hAnsiTheme="majorHAnsi"/>
                <w:color w:val="000000"/>
                <w:sz w:val="20"/>
              </w:rPr>
              <w:t>Elhedi</w:t>
            </w:r>
            <w:proofErr w:type="spellEnd"/>
          </w:p>
        </w:tc>
        <w:tc>
          <w:tcPr>
            <w:tcW w:w="0" w:type="auto"/>
            <w:tcBorders>
              <w:top w:val="nil"/>
              <w:left w:val="nil"/>
              <w:bottom w:val="nil"/>
              <w:right w:val="nil"/>
            </w:tcBorders>
            <w:noWrap/>
            <w:vAlign w:val="bottom"/>
            <w:hideMark/>
          </w:tcPr>
          <w:p w14:paraId="3116BEA5"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AT000TUN00007</w:t>
            </w:r>
          </w:p>
        </w:tc>
      </w:tr>
      <w:tr w:rsidR="00C27D6A" w:rsidRPr="00D25DC8" w14:paraId="095BE01D" w14:textId="77777777" w:rsidTr="00C75467">
        <w:trPr>
          <w:trHeight w:val="288"/>
          <w:tblHeader/>
          <w:jc w:val="center"/>
        </w:trPr>
        <w:tc>
          <w:tcPr>
            <w:tcW w:w="0" w:type="auto"/>
            <w:tcBorders>
              <w:top w:val="nil"/>
              <w:left w:val="nil"/>
              <w:bottom w:val="nil"/>
              <w:right w:val="nil"/>
            </w:tcBorders>
            <w:noWrap/>
            <w:vAlign w:val="bottom"/>
            <w:hideMark/>
          </w:tcPr>
          <w:p w14:paraId="22E40969"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2149BBE4"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 xml:space="preserve">Mohamed </w:t>
            </w:r>
            <w:proofErr w:type="spellStart"/>
            <w:r>
              <w:rPr>
                <w:rFonts w:asciiTheme="majorHAnsi" w:hAnsiTheme="majorHAnsi"/>
                <w:color w:val="000000"/>
                <w:sz w:val="20"/>
              </w:rPr>
              <w:t>essadok</w:t>
            </w:r>
            <w:proofErr w:type="spellEnd"/>
          </w:p>
        </w:tc>
        <w:tc>
          <w:tcPr>
            <w:tcW w:w="0" w:type="auto"/>
            <w:tcBorders>
              <w:top w:val="nil"/>
              <w:left w:val="nil"/>
              <w:bottom w:val="nil"/>
              <w:right w:val="nil"/>
            </w:tcBorders>
            <w:noWrap/>
            <w:vAlign w:val="bottom"/>
            <w:hideMark/>
          </w:tcPr>
          <w:p w14:paraId="24B9DCE4"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AT000TUN00051</w:t>
            </w:r>
          </w:p>
        </w:tc>
      </w:tr>
      <w:tr w:rsidR="00C27D6A" w:rsidRPr="00D25DC8" w14:paraId="7C3EAAC0" w14:textId="77777777" w:rsidTr="00C75467">
        <w:trPr>
          <w:trHeight w:val="288"/>
          <w:tblHeader/>
          <w:jc w:val="center"/>
        </w:trPr>
        <w:tc>
          <w:tcPr>
            <w:tcW w:w="0" w:type="auto"/>
            <w:tcBorders>
              <w:top w:val="nil"/>
              <w:left w:val="nil"/>
              <w:bottom w:val="nil"/>
              <w:right w:val="nil"/>
            </w:tcBorders>
            <w:noWrap/>
            <w:vAlign w:val="bottom"/>
            <w:hideMark/>
          </w:tcPr>
          <w:p w14:paraId="24B15E60"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437E584D" w14:textId="77777777" w:rsidR="00C27D6A" w:rsidRPr="00C75467" w:rsidRDefault="00C27D6A" w:rsidP="00F36743">
            <w:pPr>
              <w:rPr>
                <w:rFonts w:asciiTheme="majorHAnsi" w:hAnsiTheme="majorHAnsi"/>
                <w:color w:val="000000"/>
                <w:sz w:val="20"/>
                <w:szCs w:val="20"/>
              </w:rPr>
            </w:pPr>
            <w:proofErr w:type="spellStart"/>
            <w:r>
              <w:rPr>
                <w:rFonts w:asciiTheme="majorHAnsi" w:hAnsiTheme="majorHAnsi"/>
                <w:color w:val="000000"/>
                <w:sz w:val="20"/>
              </w:rPr>
              <w:t>Denphir</w:t>
            </w:r>
            <w:proofErr w:type="spellEnd"/>
            <w:r>
              <w:rPr>
                <w:rFonts w:asciiTheme="majorHAnsi" w:hAnsiTheme="majorHAnsi"/>
                <w:color w:val="000000"/>
                <w:sz w:val="20"/>
              </w:rPr>
              <w:t xml:space="preserve"> 1</w:t>
            </w:r>
          </w:p>
        </w:tc>
        <w:tc>
          <w:tcPr>
            <w:tcW w:w="0" w:type="auto"/>
            <w:tcBorders>
              <w:top w:val="nil"/>
              <w:left w:val="nil"/>
              <w:bottom w:val="nil"/>
              <w:right w:val="nil"/>
            </w:tcBorders>
            <w:noWrap/>
            <w:vAlign w:val="bottom"/>
            <w:hideMark/>
          </w:tcPr>
          <w:p w14:paraId="610E4A20"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AT000TUN00479</w:t>
            </w:r>
          </w:p>
        </w:tc>
      </w:tr>
      <w:tr w:rsidR="00C27D6A" w:rsidRPr="00D25DC8" w14:paraId="2A74708A" w14:textId="77777777" w:rsidTr="00C75467">
        <w:trPr>
          <w:trHeight w:val="288"/>
          <w:tblHeader/>
          <w:jc w:val="center"/>
        </w:trPr>
        <w:tc>
          <w:tcPr>
            <w:tcW w:w="0" w:type="auto"/>
            <w:tcBorders>
              <w:top w:val="nil"/>
              <w:left w:val="nil"/>
              <w:bottom w:val="nil"/>
              <w:right w:val="nil"/>
            </w:tcBorders>
            <w:noWrap/>
            <w:vAlign w:val="bottom"/>
            <w:hideMark/>
          </w:tcPr>
          <w:p w14:paraId="0B2994FE"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554596E2"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Mohamed Ali</w:t>
            </w:r>
          </w:p>
        </w:tc>
        <w:tc>
          <w:tcPr>
            <w:tcW w:w="0" w:type="auto"/>
            <w:tcBorders>
              <w:top w:val="nil"/>
              <w:left w:val="nil"/>
              <w:bottom w:val="nil"/>
              <w:right w:val="nil"/>
            </w:tcBorders>
            <w:noWrap/>
            <w:vAlign w:val="bottom"/>
            <w:hideMark/>
          </w:tcPr>
          <w:p w14:paraId="69BA484C"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AT000TUN00973</w:t>
            </w:r>
          </w:p>
        </w:tc>
      </w:tr>
      <w:tr w:rsidR="00C27D6A" w:rsidRPr="00D25DC8" w14:paraId="2308E933" w14:textId="77777777" w:rsidTr="00C75467">
        <w:trPr>
          <w:trHeight w:val="288"/>
          <w:tblHeader/>
          <w:jc w:val="center"/>
        </w:trPr>
        <w:tc>
          <w:tcPr>
            <w:tcW w:w="0" w:type="auto"/>
            <w:tcBorders>
              <w:top w:val="nil"/>
              <w:left w:val="nil"/>
              <w:bottom w:val="nil"/>
              <w:right w:val="nil"/>
            </w:tcBorders>
            <w:noWrap/>
            <w:vAlign w:val="bottom"/>
            <w:hideMark/>
          </w:tcPr>
          <w:p w14:paraId="500E2B4F"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4AA052FC"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AWLED SAHBI</w:t>
            </w:r>
          </w:p>
        </w:tc>
        <w:tc>
          <w:tcPr>
            <w:tcW w:w="0" w:type="auto"/>
            <w:tcBorders>
              <w:top w:val="nil"/>
              <w:left w:val="nil"/>
              <w:bottom w:val="nil"/>
              <w:right w:val="nil"/>
            </w:tcBorders>
            <w:noWrap/>
            <w:vAlign w:val="bottom"/>
            <w:hideMark/>
          </w:tcPr>
          <w:p w14:paraId="039C6CDC"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AT000TUN00977</w:t>
            </w:r>
          </w:p>
        </w:tc>
      </w:tr>
      <w:tr w:rsidR="00C27D6A" w:rsidRPr="00D25DC8" w14:paraId="1E8773D4" w14:textId="77777777" w:rsidTr="00C75467">
        <w:trPr>
          <w:trHeight w:val="288"/>
          <w:tblHeader/>
          <w:jc w:val="center"/>
        </w:trPr>
        <w:tc>
          <w:tcPr>
            <w:tcW w:w="0" w:type="auto"/>
            <w:tcBorders>
              <w:top w:val="nil"/>
              <w:left w:val="nil"/>
              <w:bottom w:val="nil"/>
              <w:right w:val="nil"/>
            </w:tcBorders>
            <w:noWrap/>
            <w:vAlign w:val="bottom"/>
            <w:hideMark/>
          </w:tcPr>
          <w:p w14:paraId="27E702A0"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645C7755"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EL KODS</w:t>
            </w:r>
          </w:p>
        </w:tc>
        <w:tc>
          <w:tcPr>
            <w:tcW w:w="0" w:type="auto"/>
            <w:tcBorders>
              <w:top w:val="nil"/>
              <w:left w:val="nil"/>
              <w:bottom w:val="nil"/>
              <w:right w:val="nil"/>
            </w:tcBorders>
            <w:noWrap/>
            <w:vAlign w:val="bottom"/>
            <w:hideMark/>
          </w:tcPr>
          <w:p w14:paraId="4A5AF575"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AT000TUN00978</w:t>
            </w:r>
          </w:p>
        </w:tc>
      </w:tr>
      <w:tr w:rsidR="00C27D6A" w:rsidRPr="00D25DC8" w14:paraId="0F0DE6B9" w14:textId="77777777" w:rsidTr="00C75467">
        <w:trPr>
          <w:trHeight w:val="288"/>
          <w:tblHeader/>
          <w:jc w:val="center"/>
        </w:trPr>
        <w:tc>
          <w:tcPr>
            <w:tcW w:w="0" w:type="auto"/>
            <w:tcBorders>
              <w:top w:val="nil"/>
              <w:left w:val="nil"/>
              <w:bottom w:val="nil"/>
              <w:right w:val="nil"/>
            </w:tcBorders>
            <w:noWrap/>
            <w:vAlign w:val="bottom"/>
            <w:hideMark/>
          </w:tcPr>
          <w:p w14:paraId="4D735C30"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5DA484E9"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 xml:space="preserve">El Hajj EL </w:t>
            </w:r>
            <w:proofErr w:type="spellStart"/>
            <w:r>
              <w:rPr>
                <w:rFonts w:asciiTheme="majorHAnsi" w:hAnsiTheme="majorHAnsi"/>
                <w:color w:val="000000"/>
                <w:sz w:val="20"/>
              </w:rPr>
              <w:t>Hammali</w:t>
            </w:r>
            <w:proofErr w:type="spellEnd"/>
          </w:p>
        </w:tc>
        <w:tc>
          <w:tcPr>
            <w:tcW w:w="0" w:type="auto"/>
            <w:tcBorders>
              <w:top w:val="nil"/>
              <w:left w:val="nil"/>
              <w:bottom w:val="nil"/>
              <w:right w:val="nil"/>
            </w:tcBorders>
            <w:noWrap/>
            <w:vAlign w:val="bottom"/>
            <w:hideMark/>
          </w:tcPr>
          <w:p w14:paraId="0B8BD8EE"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AT000TUN00979</w:t>
            </w:r>
          </w:p>
        </w:tc>
      </w:tr>
      <w:tr w:rsidR="00C27D6A" w:rsidRPr="00D25DC8" w14:paraId="7E6FFA49" w14:textId="77777777" w:rsidTr="00C75467">
        <w:trPr>
          <w:trHeight w:val="288"/>
          <w:tblHeader/>
          <w:jc w:val="center"/>
        </w:trPr>
        <w:tc>
          <w:tcPr>
            <w:tcW w:w="0" w:type="auto"/>
            <w:tcBorders>
              <w:top w:val="nil"/>
              <w:left w:val="nil"/>
              <w:bottom w:val="nil"/>
              <w:right w:val="nil"/>
            </w:tcBorders>
            <w:noWrap/>
            <w:vAlign w:val="bottom"/>
            <w:hideMark/>
          </w:tcPr>
          <w:p w14:paraId="23590CE4"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2A505DD2"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Mohamed Slim 2</w:t>
            </w:r>
          </w:p>
        </w:tc>
        <w:tc>
          <w:tcPr>
            <w:tcW w:w="0" w:type="auto"/>
            <w:tcBorders>
              <w:top w:val="nil"/>
              <w:left w:val="nil"/>
              <w:bottom w:val="nil"/>
              <w:right w:val="nil"/>
            </w:tcBorders>
            <w:noWrap/>
            <w:vAlign w:val="bottom"/>
            <w:hideMark/>
          </w:tcPr>
          <w:p w14:paraId="682C16B5"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AT000TUN00983</w:t>
            </w:r>
          </w:p>
        </w:tc>
      </w:tr>
      <w:tr w:rsidR="00C27D6A" w:rsidRPr="00D25DC8" w14:paraId="3086B702" w14:textId="77777777" w:rsidTr="00C75467">
        <w:trPr>
          <w:trHeight w:val="288"/>
          <w:tblHeader/>
          <w:jc w:val="center"/>
        </w:trPr>
        <w:tc>
          <w:tcPr>
            <w:tcW w:w="0" w:type="auto"/>
            <w:tcBorders>
              <w:top w:val="nil"/>
              <w:left w:val="nil"/>
              <w:bottom w:val="nil"/>
              <w:right w:val="nil"/>
            </w:tcBorders>
            <w:noWrap/>
            <w:vAlign w:val="bottom"/>
            <w:hideMark/>
          </w:tcPr>
          <w:p w14:paraId="28E1CF3D"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79D80F6E"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ABDERRAHIM</w:t>
            </w:r>
          </w:p>
        </w:tc>
        <w:tc>
          <w:tcPr>
            <w:tcW w:w="0" w:type="auto"/>
            <w:tcBorders>
              <w:top w:val="nil"/>
              <w:left w:val="nil"/>
              <w:bottom w:val="nil"/>
              <w:right w:val="nil"/>
            </w:tcBorders>
            <w:noWrap/>
            <w:vAlign w:val="bottom"/>
            <w:hideMark/>
          </w:tcPr>
          <w:p w14:paraId="70D4D89B"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AT000TUN01166</w:t>
            </w:r>
          </w:p>
        </w:tc>
      </w:tr>
      <w:tr w:rsidR="00C27D6A" w:rsidRPr="00D25DC8" w14:paraId="5AFD8B10" w14:textId="77777777" w:rsidTr="00C75467">
        <w:trPr>
          <w:trHeight w:val="288"/>
          <w:tblHeader/>
          <w:jc w:val="center"/>
        </w:trPr>
        <w:tc>
          <w:tcPr>
            <w:tcW w:w="0" w:type="auto"/>
            <w:tcBorders>
              <w:top w:val="nil"/>
              <w:left w:val="nil"/>
              <w:bottom w:val="nil"/>
              <w:right w:val="nil"/>
            </w:tcBorders>
            <w:noWrap/>
            <w:vAlign w:val="bottom"/>
            <w:hideMark/>
          </w:tcPr>
          <w:p w14:paraId="3B279594"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78A21E09"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Rachid Naceur</w:t>
            </w:r>
          </w:p>
        </w:tc>
        <w:tc>
          <w:tcPr>
            <w:tcW w:w="0" w:type="auto"/>
            <w:tcBorders>
              <w:top w:val="nil"/>
              <w:left w:val="nil"/>
              <w:bottom w:val="nil"/>
              <w:right w:val="nil"/>
            </w:tcBorders>
            <w:noWrap/>
            <w:vAlign w:val="bottom"/>
            <w:hideMark/>
          </w:tcPr>
          <w:p w14:paraId="7E674636"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AT000TUN01385</w:t>
            </w:r>
          </w:p>
        </w:tc>
      </w:tr>
      <w:tr w:rsidR="00C27D6A" w:rsidRPr="00D25DC8" w14:paraId="10AD412E" w14:textId="77777777" w:rsidTr="00C75467">
        <w:trPr>
          <w:trHeight w:val="288"/>
          <w:tblHeader/>
          <w:jc w:val="center"/>
        </w:trPr>
        <w:tc>
          <w:tcPr>
            <w:tcW w:w="0" w:type="auto"/>
            <w:tcBorders>
              <w:top w:val="nil"/>
              <w:left w:val="nil"/>
              <w:bottom w:val="nil"/>
              <w:right w:val="nil"/>
            </w:tcBorders>
            <w:noWrap/>
            <w:vAlign w:val="bottom"/>
            <w:hideMark/>
          </w:tcPr>
          <w:p w14:paraId="4BCCD1FC"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0BA07CFA"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 xml:space="preserve">DOUAA ALLAH </w:t>
            </w:r>
          </w:p>
        </w:tc>
        <w:tc>
          <w:tcPr>
            <w:tcW w:w="0" w:type="auto"/>
            <w:tcBorders>
              <w:top w:val="nil"/>
              <w:left w:val="nil"/>
              <w:bottom w:val="nil"/>
              <w:right w:val="nil"/>
            </w:tcBorders>
            <w:noWrap/>
            <w:vAlign w:val="bottom"/>
            <w:hideMark/>
          </w:tcPr>
          <w:p w14:paraId="26E740CA"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AT000TUN00976</w:t>
            </w:r>
          </w:p>
        </w:tc>
      </w:tr>
      <w:tr w:rsidR="00C27D6A" w:rsidRPr="00D25DC8" w14:paraId="78DDA043" w14:textId="77777777" w:rsidTr="00C75467">
        <w:trPr>
          <w:trHeight w:val="288"/>
          <w:tblHeader/>
          <w:jc w:val="center"/>
        </w:trPr>
        <w:tc>
          <w:tcPr>
            <w:tcW w:w="0" w:type="auto"/>
            <w:tcBorders>
              <w:top w:val="nil"/>
              <w:left w:val="nil"/>
              <w:bottom w:val="nil"/>
              <w:right w:val="nil"/>
            </w:tcBorders>
            <w:noWrap/>
            <w:vAlign w:val="bottom"/>
            <w:hideMark/>
          </w:tcPr>
          <w:p w14:paraId="61AA333D"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597C8778"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MOHAMED ZIED II</w:t>
            </w:r>
          </w:p>
        </w:tc>
        <w:tc>
          <w:tcPr>
            <w:tcW w:w="0" w:type="auto"/>
            <w:tcBorders>
              <w:top w:val="nil"/>
              <w:left w:val="nil"/>
              <w:bottom w:val="nil"/>
              <w:right w:val="nil"/>
            </w:tcBorders>
            <w:noWrap/>
            <w:vAlign w:val="bottom"/>
            <w:hideMark/>
          </w:tcPr>
          <w:p w14:paraId="1965FE68"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AT000TUN01433</w:t>
            </w:r>
          </w:p>
        </w:tc>
      </w:tr>
      <w:tr w:rsidR="00C27D6A" w:rsidRPr="00D25DC8" w14:paraId="79FF343B" w14:textId="77777777" w:rsidTr="00C75467">
        <w:trPr>
          <w:trHeight w:val="288"/>
          <w:tblHeader/>
          <w:jc w:val="center"/>
        </w:trPr>
        <w:tc>
          <w:tcPr>
            <w:tcW w:w="0" w:type="auto"/>
            <w:tcBorders>
              <w:top w:val="nil"/>
              <w:left w:val="nil"/>
              <w:bottom w:val="nil"/>
              <w:right w:val="nil"/>
            </w:tcBorders>
            <w:noWrap/>
            <w:vAlign w:val="bottom"/>
            <w:hideMark/>
          </w:tcPr>
          <w:p w14:paraId="695A2B4A"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433BA6F3"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MOHAMED AZIZ</w:t>
            </w:r>
          </w:p>
        </w:tc>
        <w:tc>
          <w:tcPr>
            <w:tcW w:w="0" w:type="auto"/>
            <w:tcBorders>
              <w:top w:val="nil"/>
              <w:left w:val="nil"/>
              <w:bottom w:val="nil"/>
              <w:right w:val="nil"/>
            </w:tcBorders>
            <w:noWrap/>
            <w:vAlign w:val="bottom"/>
            <w:hideMark/>
          </w:tcPr>
          <w:p w14:paraId="628095C9"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AT000TUN01431</w:t>
            </w:r>
          </w:p>
        </w:tc>
      </w:tr>
      <w:tr w:rsidR="00C27D6A" w:rsidRPr="00D25DC8" w14:paraId="2034E4FA" w14:textId="77777777" w:rsidTr="00C75467">
        <w:trPr>
          <w:trHeight w:val="288"/>
          <w:tblHeader/>
          <w:jc w:val="center"/>
        </w:trPr>
        <w:tc>
          <w:tcPr>
            <w:tcW w:w="0" w:type="auto"/>
            <w:tcBorders>
              <w:top w:val="nil"/>
              <w:left w:val="nil"/>
              <w:bottom w:val="nil"/>
              <w:right w:val="nil"/>
            </w:tcBorders>
            <w:noWrap/>
            <w:vAlign w:val="bottom"/>
            <w:hideMark/>
          </w:tcPr>
          <w:p w14:paraId="4E83B112"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2D2CE046"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ABDERRAHMEN</w:t>
            </w:r>
          </w:p>
        </w:tc>
        <w:tc>
          <w:tcPr>
            <w:tcW w:w="0" w:type="auto"/>
            <w:tcBorders>
              <w:top w:val="nil"/>
              <w:left w:val="nil"/>
              <w:bottom w:val="nil"/>
              <w:right w:val="nil"/>
            </w:tcBorders>
            <w:noWrap/>
            <w:vAlign w:val="bottom"/>
            <w:hideMark/>
          </w:tcPr>
          <w:p w14:paraId="2DA4A403"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AT000TUN00047</w:t>
            </w:r>
          </w:p>
        </w:tc>
      </w:tr>
      <w:tr w:rsidR="00C27D6A" w:rsidRPr="00D25DC8" w14:paraId="7CAD20ED" w14:textId="77777777" w:rsidTr="00C75467">
        <w:trPr>
          <w:trHeight w:val="288"/>
          <w:tblHeader/>
          <w:jc w:val="center"/>
        </w:trPr>
        <w:tc>
          <w:tcPr>
            <w:tcW w:w="0" w:type="auto"/>
            <w:tcBorders>
              <w:top w:val="nil"/>
              <w:left w:val="nil"/>
              <w:bottom w:val="nil"/>
              <w:right w:val="nil"/>
            </w:tcBorders>
            <w:noWrap/>
            <w:vAlign w:val="bottom"/>
            <w:hideMark/>
          </w:tcPr>
          <w:p w14:paraId="28411527"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63D533D6"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ABOU CHAMMA</w:t>
            </w:r>
          </w:p>
        </w:tc>
        <w:tc>
          <w:tcPr>
            <w:tcW w:w="0" w:type="auto"/>
            <w:tcBorders>
              <w:top w:val="nil"/>
              <w:left w:val="nil"/>
              <w:bottom w:val="nil"/>
              <w:right w:val="nil"/>
            </w:tcBorders>
            <w:noWrap/>
            <w:vAlign w:val="bottom"/>
            <w:hideMark/>
          </w:tcPr>
          <w:p w14:paraId="05327B34"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AT000TUN00002</w:t>
            </w:r>
          </w:p>
        </w:tc>
      </w:tr>
      <w:tr w:rsidR="00C27D6A" w:rsidRPr="00D25DC8" w14:paraId="756B832F" w14:textId="77777777" w:rsidTr="00C75467">
        <w:trPr>
          <w:trHeight w:val="288"/>
          <w:tblHeader/>
          <w:jc w:val="center"/>
        </w:trPr>
        <w:tc>
          <w:tcPr>
            <w:tcW w:w="0" w:type="auto"/>
            <w:tcBorders>
              <w:top w:val="nil"/>
              <w:left w:val="nil"/>
              <w:bottom w:val="nil"/>
              <w:right w:val="nil"/>
            </w:tcBorders>
            <w:noWrap/>
            <w:vAlign w:val="bottom"/>
            <w:hideMark/>
          </w:tcPr>
          <w:p w14:paraId="18D5164B"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41C4E7D4"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AMIR</w:t>
            </w:r>
          </w:p>
        </w:tc>
        <w:tc>
          <w:tcPr>
            <w:tcW w:w="0" w:type="auto"/>
            <w:tcBorders>
              <w:top w:val="nil"/>
              <w:left w:val="nil"/>
              <w:bottom w:val="nil"/>
              <w:right w:val="nil"/>
            </w:tcBorders>
            <w:noWrap/>
            <w:vAlign w:val="bottom"/>
            <w:hideMark/>
          </w:tcPr>
          <w:p w14:paraId="39FE8CC7"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AT000TUN00506</w:t>
            </w:r>
          </w:p>
        </w:tc>
      </w:tr>
      <w:tr w:rsidR="00C27D6A" w:rsidRPr="00D25DC8" w14:paraId="50AC9A1A" w14:textId="77777777" w:rsidTr="00C75467">
        <w:trPr>
          <w:trHeight w:val="288"/>
          <w:tblHeader/>
          <w:jc w:val="center"/>
        </w:trPr>
        <w:tc>
          <w:tcPr>
            <w:tcW w:w="0" w:type="auto"/>
            <w:tcBorders>
              <w:top w:val="nil"/>
              <w:left w:val="nil"/>
              <w:bottom w:val="nil"/>
              <w:right w:val="nil"/>
            </w:tcBorders>
            <w:noWrap/>
            <w:vAlign w:val="bottom"/>
            <w:hideMark/>
          </w:tcPr>
          <w:p w14:paraId="38949A8F"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37FA3CC9"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AMOR HMIDA</w:t>
            </w:r>
          </w:p>
        </w:tc>
        <w:tc>
          <w:tcPr>
            <w:tcW w:w="0" w:type="auto"/>
            <w:tcBorders>
              <w:top w:val="nil"/>
              <w:left w:val="nil"/>
              <w:bottom w:val="nil"/>
              <w:right w:val="nil"/>
            </w:tcBorders>
            <w:noWrap/>
            <w:vAlign w:val="bottom"/>
            <w:hideMark/>
          </w:tcPr>
          <w:p w14:paraId="15FAC6E2"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AT000TUN01415</w:t>
            </w:r>
          </w:p>
        </w:tc>
      </w:tr>
      <w:tr w:rsidR="00C27D6A" w:rsidRPr="00D25DC8" w14:paraId="2B66D327" w14:textId="77777777" w:rsidTr="00C75467">
        <w:trPr>
          <w:trHeight w:val="288"/>
          <w:tblHeader/>
          <w:jc w:val="center"/>
        </w:trPr>
        <w:tc>
          <w:tcPr>
            <w:tcW w:w="0" w:type="auto"/>
            <w:tcBorders>
              <w:top w:val="nil"/>
              <w:left w:val="nil"/>
              <w:bottom w:val="nil"/>
              <w:right w:val="nil"/>
            </w:tcBorders>
            <w:noWrap/>
            <w:vAlign w:val="bottom"/>
            <w:hideMark/>
          </w:tcPr>
          <w:p w14:paraId="08A0B4A9"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183F6960"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MONASTIR 3</w:t>
            </w:r>
          </w:p>
        </w:tc>
        <w:tc>
          <w:tcPr>
            <w:tcW w:w="0" w:type="auto"/>
            <w:tcBorders>
              <w:top w:val="nil"/>
              <w:left w:val="nil"/>
              <w:bottom w:val="nil"/>
              <w:right w:val="nil"/>
            </w:tcBorders>
            <w:noWrap/>
            <w:vAlign w:val="bottom"/>
            <w:hideMark/>
          </w:tcPr>
          <w:p w14:paraId="53BA4145"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AT000TUN00041</w:t>
            </w:r>
          </w:p>
        </w:tc>
      </w:tr>
      <w:tr w:rsidR="00C27D6A" w:rsidRPr="00D25DC8" w14:paraId="2D15A4EF" w14:textId="77777777" w:rsidTr="00C75467">
        <w:trPr>
          <w:trHeight w:val="288"/>
          <w:tblHeader/>
          <w:jc w:val="center"/>
        </w:trPr>
        <w:tc>
          <w:tcPr>
            <w:tcW w:w="0" w:type="auto"/>
            <w:tcBorders>
              <w:top w:val="nil"/>
              <w:left w:val="nil"/>
              <w:bottom w:val="nil"/>
              <w:right w:val="nil"/>
            </w:tcBorders>
            <w:noWrap/>
            <w:vAlign w:val="bottom"/>
            <w:hideMark/>
          </w:tcPr>
          <w:p w14:paraId="22BF45E7"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1EE97461"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ELKHALIJ</w:t>
            </w:r>
          </w:p>
        </w:tc>
        <w:tc>
          <w:tcPr>
            <w:tcW w:w="0" w:type="auto"/>
            <w:tcBorders>
              <w:top w:val="nil"/>
              <w:left w:val="nil"/>
              <w:bottom w:val="nil"/>
              <w:right w:val="nil"/>
            </w:tcBorders>
            <w:noWrap/>
            <w:vAlign w:val="bottom"/>
            <w:hideMark/>
          </w:tcPr>
          <w:p w14:paraId="7D226F52"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AT000TUN00014</w:t>
            </w:r>
          </w:p>
        </w:tc>
      </w:tr>
      <w:tr w:rsidR="00C27D6A" w:rsidRPr="00D25DC8" w14:paraId="51C92975" w14:textId="77777777" w:rsidTr="00C75467">
        <w:trPr>
          <w:trHeight w:val="288"/>
          <w:tblHeader/>
          <w:jc w:val="center"/>
        </w:trPr>
        <w:tc>
          <w:tcPr>
            <w:tcW w:w="0" w:type="auto"/>
            <w:tcBorders>
              <w:top w:val="nil"/>
              <w:left w:val="nil"/>
              <w:bottom w:val="nil"/>
              <w:right w:val="nil"/>
            </w:tcBorders>
            <w:noWrap/>
            <w:vAlign w:val="bottom"/>
            <w:hideMark/>
          </w:tcPr>
          <w:p w14:paraId="32654050"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71610E95"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AWLED DEGLA</w:t>
            </w:r>
          </w:p>
        </w:tc>
        <w:tc>
          <w:tcPr>
            <w:tcW w:w="0" w:type="auto"/>
            <w:tcBorders>
              <w:top w:val="nil"/>
              <w:left w:val="nil"/>
              <w:bottom w:val="nil"/>
              <w:right w:val="nil"/>
            </w:tcBorders>
            <w:noWrap/>
            <w:vAlign w:val="bottom"/>
            <w:hideMark/>
          </w:tcPr>
          <w:p w14:paraId="33795BF2"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AT000TUN01434</w:t>
            </w:r>
          </w:p>
        </w:tc>
      </w:tr>
      <w:tr w:rsidR="00C27D6A" w:rsidRPr="00D25DC8" w14:paraId="438E7B07" w14:textId="77777777" w:rsidTr="00C75467">
        <w:trPr>
          <w:trHeight w:val="288"/>
          <w:tblHeader/>
          <w:jc w:val="center"/>
        </w:trPr>
        <w:tc>
          <w:tcPr>
            <w:tcW w:w="0" w:type="auto"/>
            <w:tcBorders>
              <w:top w:val="nil"/>
              <w:left w:val="nil"/>
              <w:bottom w:val="nil"/>
              <w:right w:val="nil"/>
            </w:tcBorders>
            <w:noWrap/>
            <w:vAlign w:val="bottom"/>
            <w:hideMark/>
          </w:tcPr>
          <w:p w14:paraId="2D483F7A"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47B7FA38"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EL BEHI</w:t>
            </w:r>
          </w:p>
        </w:tc>
        <w:tc>
          <w:tcPr>
            <w:tcW w:w="0" w:type="auto"/>
            <w:tcBorders>
              <w:top w:val="nil"/>
              <w:left w:val="nil"/>
              <w:bottom w:val="nil"/>
              <w:right w:val="nil"/>
            </w:tcBorders>
            <w:noWrap/>
            <w:vAlign w:val="bottom"/>
            <w:hideMark/>
          </w:tcPr>
          <w:p w14:paraId="78071A72"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AT000TUN00985</w:t>
            </w:r>
          </w:p>
        </w:tc>
      </w:tr>
      <w:tr w:rsidR="00C27D6A" w:rsidRPr="00D25DC8" w14:paraId="5CC092E7" w14:textId="77777777" w:rsidTr="00C75467">
        <w:trPr>
          <w:trHeight w:val="288"/>
          <w:tblHeader/>
          <w:jc w:val="center"/>
        </w:trPr>
        <w:tc>
          <w:tcPr>
            <w:tcW w:w="0" w:type="auto"/>
            <w:tcBorders>
              <w:top w:val="nil"/>
              <w:left w:val="nil"/>
              <w:bottom w:val="nil"/>
              <w:right w:val="nil"/>
            </w:tcBorders>
            <w:noWrap/>
            <w:vAlign w:val="bottom"/>
            <w:hideMark/>
          </w:tcPr>
          <w:p w14:paraId="4C129FDF"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018C102C"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 xml:space="preserve">El </w:t>
            </w:r>
            <w:proofErr w:type="spellStart"/>
            <w:r>
              <w:rPr>
                <w:rFonts w:asciiTheme="majorHAnsi" w:hAnsiTheme="majorHAnsi"/>
                <w:color w:val="000000"/>
                <w:sz w:val="20"/>
              </w:rPr>
              <w:t>Beji</w:t>
            </w:r>
            <w:proofErr w:type="spellEnd"/>
            <w:r>
              <w:rPr>
                <w:rFonts w:asciiTheme="majorHAnsi" w:hAnsiTheme="majorHAnsi"/>
                <w:color w:val="000000"/>
                <w:sz w:val="20"/>
              </w:rPr>
              <w:t xml:space="preserve"> </w:t>
            </w:r>
          </w:p>
        </w:tc>
        <w:tc>
          <w:tcPr>
            <w:tcW w:w="0" w:type="auto"/>
            <w:tcBorders>
              <w:top w:val="nil"/>
              <w:left w:val="nil"/>
              <w:bottom w:val="nil"/>
              <w:right w:val="nil"/>
            </w:tcBorders>
            <w:noWrap/>
            <w:vAlign w:val="bottom"/>
            <w:hideMark/>
          </w:tcPr>
          <w:p w14:paraId="75551982"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AT000TUN00984</w:t>
            </w:r>
          </w:p>
        </w:tc>
      </w:tr>
      <w:tr w:rsidR="00C27D6A" w:rsidRPr="00D25DC8" w14:paraId="3F0A7CFB" w14:textId="77777777" w:rsidTr="00C75467">
        <w:trPr>
          <w:trHeight w:val="288"/>
          <w:tblHeader/>
          <w:jc w:val="center"/>
        </w:trPr>
        <w:tc>
          <w:tcPr>
            <w:tcW w:w="0" w:type="auto"/>
            <w:tcBorders>
              <w:top w:val="nil"/>
              <w:left w:val="nil"/>
              <w:bottom w:val="nil"/>
              <w:right w:val="nil"/>
            </w:tcBorders>
            <w:noWrap/>
            <w:vAlign w:val="bottom"/>
            <w:hideMark/>
          </w:tcPr>
          <w:p w14:paraId="62D084E7"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74877BB7"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ASSIL</w:t>
            </w:r>
          </w:p>
        </w:tc>
        <w:tc>
          <w:tcPr>
            <w:tcW w:w="0" w:type="auto"/>
            <w:tcBorders>
              <w:top w:val="nil"/>
              <w:left w:val="nil"/>
              <w:bottom w:val="nil"/>
              <w:right w:val="nil"/>
            </w:tcBorders>
            <w:noWrap/>
            <w:vAlign w:val="bottom"/>
            <w:hideMark/>
          </w:tcPr>
          <w:p w14:paraId="0CA2079B"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AT000TUN01048</w:t>
            </w:r>
          </w:p>
        </w:tc>
      </w:tr>
      <w:tr w:rsidR="00C27D6A" w:rsidRPr="00D25DC8" w14:paraId="1748E676" w14:textId="77777777" w:rsidTr="00C75467">
        <w:trPr>
          <w:trHeight w:val="288"/>
          <w:tblHeader/>
          <w:jc w:val="center"/>
        </w:trPr>
        <w:tc>
          <w:tcPr>
            <w:tcW w:w="0" w:type="auto"/>
            <w:tcBorders>
              <w:top w:val="nil"/>
              <w:left w:val="nil"/>
              <w:bottom w:val="nil"/>
              <w:right w:val="nil"/>
            </w:tcBorders>
            <w:noWrap/>
            <w:vAlign w:val="bottom"/>
            <w:hideMark/>
          </w:tcPr>
          <w:p w14:paraId="10698174"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3A97F191"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HADJ SADOK</w:t>
            </w:r>
          </w:p>
        </w:tc>
        <w:tc>
          <w:tcPr>
            <w:tcW w:w="0" w:type="auto"/>
            <w:tcBorders>
              <w:top w:val="nil"/>
              <w:left w:val="nil"/>
              <w:bottom w:val="nil"/>
              <w:right w:val="nil"/>
            </w:tcBorders>
            <w:noWrap/>
            <w:vAlign w:val="bottom"/>
            <w:hideMark/>
          </w:tcPr>
          <w:p w14:paraId="721B2AE1"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AT000TUN01049</w:t>
            </w:r>
          </w:p>
        </w:tc>
      </w:tr>
      <w:tr w:rsidR="00C27D6A" w:rsidRPr="00D25DC8" w14:paraId="1609E7B8" w14:textId="77777777" w:rsidTr="00C75467">
        <w:trPr>
          <w:trHeight w:val="288"/>
          <w:tblHeader/>
          <w:jc w:val="center"/>
        </w:trPr>
        <w:tc>
          <w:tcPr>
            <w:tcW w:w="0" w:type="auto"/>
            <w:tcBorders>
              <w:top w:val="nil"/>
              <w:left w:val="nil"/>
              <w:bottom w:val="nil"/>
              <w:right w:val="nil"/>
            </w:tcBorders>
            <w:noWrap/>
            <w:vAlign w:val="bottom"/>
            <w:hideMark/>
          </w:tcPr>
          <w:p w14:paraId="62BE05EC"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2EF60C65"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MONTAÇAR</w:t>
            </w:r>
          </w:p>
        </w:tc>
        <w:tc>
          <w:tcPr>
            <w:tcW w:w="0" w:type="auto"/>
            <w:tcBorders>
              <w:top w:val="nil"/>
              <w:left w:val="nil"/>
              <w:bottom w:val="nil"/>
              <w:right w:val="nil"/>
            </w:tcBorders>
            <w:noWrap/>
            <w:vAlign w:val="bottom"/>
            <w:hideMark/>
          </w:tcPr>
          <w:p w14:paraId="30465A7B"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AT000TUN00974</w:t>
            </w:r>
          </w:p>
        </w:tc>
      </w:tr>
      <w:tr w:rsidR="00C27D6A" w:rsidRPr="00D25DC8" w14:paraId="4652967A" w14:textId="77777777" w:rsidTr="00C75467">
        <w:trPr>
          <w:trHeight w:val="288"/>
          <w:tblHeader/>
          <w:jc w:val="center"/>
        </w:trPr>
        <w:tc>
          <w:tcPr>
            <w:tcW w:w="0" w:type="auto"/>
            <w:tcBorders>
              <w:top w:val="nil"/>
              <w:left w:val="nil"/>
              <w:bottom w:val="nil"/>
              <w:right w:val="nil"/>
            </w:tcBorders>
            <w:noWrap/>
            <w:vAlign w:val="bottom"/>
            <w:hideMark/>
          </w:tcPr>
          <w:p w14:paraId="150B38D1"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6A8F5B87"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EL HADJ ABDELWAHEB</w:t>
            </w:r>
          </w:p>
        </w:tc>
        <w:tc>
          <w:tcPr>
            <w:tcW w:w="0" w:type="auto"/>
            <w:tcBorders>
              <w:top w:val="nil"/>
              <w:left w:val="nil"/>
              <w:bottom w:val="nil"/>
              <w:right w:val="nil"/>
            </w:tcBorders>
            <w:noWrap/>
            <w:vAlign w:val="bottom"/>
            <w:hideMark/>
          </w:tcPr>
          <w:p w14:paraId="18B72D53"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AT000TUN00050</w:t>
            </w:r>
          </w:p>
        </w:tc>
      </w:tr>
      <w:tr w:rsidR="00C27D6A" w:rsidRPr="00D25DC8" w14:paraId="25331372" w14:textId="77777777" w:rsidTr="00C75467">
        <w:trPr>
          <w:trHeight w:val="288"/>
          <w:tblHeader/>
          <w:jc w:val="center"/>
        </w:trPr>
        <w:tc>
          <w:tcPr>
            <w:tcW w:w="0" w:type="auto"/>
            <w:tcBorders>
              <w:top w:val="nil"/>
              <w:left w:val="nil"/>
              <w:bottom w:val="nil"/>
              <w:right w:val="nil"/>
            </w:tcBorders>
            <w:noWrap/>
            <w:vAlign w:val="bottom"/>
            <w:hideMark/>
          </w:tcPr>
          <w:p w14:paraId="6963B18A"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Tunisie</w:t>
            </w:r>
          </w:p>
        </w:tc>
        <w:tc>
          <w:tcPr>
            <w:tcW w:w="0" w:type="auto"/>
            <w:tcBorders>
              <w:top w:val="nil"/>
              <w:left w:val="nil"/>
              <w:bottom w:val="nil"/>
              <w:right w:val="nil"/>
            </w:tcBorders>
            <w:noWrap/>
            <w:vAlign w:val="bottom"/>
            <w:hideMark/>
          </w:tcPr>
          <w:p w14:paraId="309EF890"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EL Haj Salem</w:t>
            </w:r>
          </w:p>
        </w:tc>
        <w:tc>
          <w:tcPr>
            <w:tcW w:w="0" w:type="auto"/>
            <w:tcBorders>
              <w:top w:val="nil"/>
              <w:left w:val="nil"/>
              <w:bottom w:val="nil"/>
              <w:right w:val="nil"/>
            </w:tcBorders>
            <w:noWrap/>
            <w:vAlign w:val="bottom"/>
            <w:hideMark/>
          </w:tcPr>
          <w:p w14:paraId="5DB288B3"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AT000TUN01051</w:t>
            </w:r>
          </w:p>
        </w:tc>
      </w:tr>
      <w:tr w:rsidR="00C27D6A" w:rsidRPr="00D25DC8" w14:paraId="693DAE00" w14:textId="77777777" w:rsidTr="00C75467">
        <w:trPr>
          <w:trHeight w:val="288"/>
          <w:tblHeader/>
          <w:jc w:val="center"/>
        </w:trPr>
        <w:tc>
          <w:tcPr>
            <w:tcW w:w="0" w:type="auto"/>
            <w:tcBorders>
              <w:top w:val="nil"/>
              <w:left w:val="nil"/>
              <w:bottom w:val="nil"/>
              <w:right w:val="nil"/>
            </w:tcBorders>
            <w:noWrap/>
            <w:vAlign w:val="bottom"/>
            <w:hideMark/>
          </w:tcPr>
          <w:p w14:paraId="337DBCC7"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79BFF941"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 xml:space="preserve">MEHMET KAPTAN BALIKÇILIK A </w:t>
            </w:r>
          </w:p>
        </w:tc>
        <w:tc>
          <w:tcPr>
            <w:tcW w:w="0" w:type="auto"/>
            <w:tcBorders>
              <w:top w:val="nil"/>
              <w:left w:val="nil"/>
              <w:bottom w:val="nil"/>
              <w:right w:val="nil"/>
            </w:tcBorders>
            <w:noWrap/>
            <w:vAlign w:val="bottom"/>
            <w:hideMark/>
          </w:tcPr>
          <w:p w14:paraId="54CA2015"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AT000TUR08124</w:t>
            </w:r>
          </w:p>
        </w:tc>
      </w:tr>
      <w:tr w:rsidR="00C27D6A" w:rsidRPr="00D25DC8" w14:paraId="47B2DD1F" w14:textId="77777777" w:rsidTr="00C75467">
        <w:trPr>
          <w:trHeight w:val="288"/>
          <w:tblHeader/>
          <w:jc w:val="center"/>
        </w:trPr>
        <w:tc>
          <w:tcPr>
            <w:tcW w:w="0" w:type="auto"/>
            <w:tcBorders>
              <w:top w:val="nil"/>
              <w:left w:val="nil"/>
              <w:bottom w:val="nil"/>
              <w:right w:val="nil"/>
            </w:tcBorders>
            <w:noWrap/>
            <w:vAlign w:val="bottom"/>
            <w:hideMark/>
          </w:tcPr>
          <w:p w14:paraId="7E49372C"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59D698E1"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AZİZLER - II</w:t>
            </w:r>
          </w:p>
        </w:tc>
        <w:tc>
          <w:tcPr>
            <w:tcW w:w="0" w:type="auto"/>
            <w:tcBorders>
              <w:top w:val="nil"/>
              <w:left w:val="nil"/>
              <w:bottom w:val="nil"/>
              <w:right w:val="nil"/>
            </w:tcBorders>
            <w:noWrap/>
            <w:vAlign w:val="bottom"/>
            <w:hideMark/>
          </w:tcPr>
          <w:p w14:paraId="18B3E05C"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AT000TUR00004</w:t>
            </w:r>
          </w:p>
        </w:tc>
      </w:tr>
      <w:tr w:rsidR="00C27D6A" w:rsidRPr="00D25DC8" w14:paraId="53DDB694" w14:textId="77777777" w:rsidTr="00C75467">
        <w:trPr>
          <w:trHeight w:val="288"/>
          <w:tblHeader/>
          <w:jc w:val="center"/>
        </w:trPr>
        <w:tc>
          <w:tcPr>
            <w:tcW w:w="0" w:type="auto"/>
            <w:tcBorders>
              <w:top w:val="nil"/>
              <w:left w:val="nil"/>
              <w:bottom w:val="nil"/>
              <w:right w:val="nil"/>
            </w:tcBorders>
            <w:noWrap/>
            <w:vAlign w:val="bottom"/>
            <w:hideMark/>
          </w:tcPr>
          <w:p w14:paraId="33D9D4D7"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46C70922"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TUNCAY SAGUN-6</w:t>
            </w:r>
          </w:p>
        </w:tc>
        <w:tc>
          <w:tcPr>
            <w:tcW w:w="0" w:type="auto"/>
            <w:tcBorders>
              <w:top w:val="nil"/>
              <w:left w:val="nil"/>
              <w:bottom w:val="nil"/>
              <w:right w:val="nil"/>
            </w:tcBorders>
            <w:noWrap/>
            <w:vAlign w:val="bottom"/>
            <w:hideMark/>
          </w:tcPr>
          <w:p w14:paraId="5CB62CB3"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AT000TUR00040</w:t>
            </w:r>
          </w:p>
        </w:tc>
      </w:tr>
      <w:tr w:rsidR="00C27D6A" w:rsidRPr="00D25DC8" w14:paraId="5EF6728A" w14:textId="77777777" w:rsidTr="00C75467">
        <w:trPr>
          <w:trHeight w:val="288"/>
          <w:tblHeader/>
          <w:jc w:val="center"/>
        </w:trPr>
        <w:tc>
          <w:tcPr>
            <w:tcW w:w="0" w:type="auto"/>
            <w:tcBorders>
              <w:top w:val="nil"/>
              <w:left w:val="nil"/>
              <w:bottom w:val="nil"/>
              <w:right w:val="nil"/>
            </w:tcBorders>
            <w:noWrap/>
            <w:vAlign w:val="bottom"/>
            <w:hideMark/>
          </w:tcPr>
          <w:p w14:paraId="7BB226A6"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7C81BB2B"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IŞIKLAR-3</w:t>
            </w:r>
          </w:p>
        </w:tc>
        <w:tc>
          <w:tcPr>
            <w:tcW w:w="0" w:type="auto"/>
            <w:tcBorders>
              <w:top w:val="nil"/>
              <w:left w:val="nil"/>
              <w:bottom w:val="nil"/>
              <w:right w:val="nil"/>
            </w:tcBorders>
            <w:noWrap/>
            <w:vAlign w:val="bottom"/>
            <w:hideMark/>
          </w:tcPr>
          <w:p w14:paraId="17F64D0C"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AT000TUR00224</w:t>
            </w:r>
          </w:p>
        </w:tc>
      </w:tr>
      <w:tr w:rsidR="00C27D6A" w:rsidRPr="00D25DC8" w14:paraId="3B24646B" w14:textId="77777777" w:rsidTr="00C75467">
        <w:trPr>
          <w:trHeight w:val="288"/>
          <w:tblHeader/>
          <w:jc w:val="center"/>
        </w:trPr>
        <w:tc>
          <w:tcPr>
            <w:tcW w:w="0" w:type="auto"/>
            <w:tcBorders>
              <w:top w:val="nil"/>
              <w:left w:val="nil"/>
              <w:bottom w:val="nil"/>
              <w:right w:val="nil"/>
            </w:tcBorders>
            <w:noWrap/>
            <w:vAlign w:val="bottom"/>
            <w:hideMark/>
          </w:tcPr>
          <w:p w14:paraId="2F950647"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031EAC16"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AKGÜN BALIKÇILIK-3</w:t>
            </w:r>
          </w:p>
        </w:tc>
        <w:tc>
          <w:tcPr>
            <w:tcW w:w="0" w:type="auto"/>
            <w:tcBorders>
              <w:top w:val="nil"/>
              <w:left w:val="nil"/>
              <w:bottom w:val="nil"/>
              <w:right w:val="nil"/>
            </w:tcBorders>
            <w:noWrap/>
            <w:vAlign w:val="bottom"/>
            <w:hideMark/>
          </w:tcPr>
          <w:p w14:paraId="4ABC76BF"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AT000TUR00296</w:t>
            </w:r>
          </w:p>
        </w:tc>
      </w:tr>
      <w:tr w:rsidR="00C27D6A" w:rsidRPr="00D25DC8" w14:paraId="7F701A3D" w14:textId="77777777" w:rsidTr="00C75467">
        <w:trPr>
          <w:trHeight w:val="288"/>
          <w:tblHeader/>
          <w:jc w:val="center"/>
        </w:trPr>
        <w:tc>
          <w:tcPr>
            <w:tcW w:w="0" w:type="auto"/>
            <w:tcBorders>
              <w:top w:val="nil"/>
              <w:left w:val="nil"/>
              <w:bottom w:val="nil"/>
              <w:right w:val="nil"/>
            </w:tcBorders>
            <w:noWrap/>
            <w:vAlign w:val="bottom"/>
            <w:hideMark/>
          </w:tcPr>
          <w:p w14:paraId="7E2D1DFB"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23E42078"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TUNCAY SAGUN 12</w:t>
            </w:r>
          </w:p>
        </w:tc>
        <w:tc>
          <w:tcPr>
            <w:tcW w:w="0" w:type="auto"/>
            <w:tcBorders>
              <w:top w:val="nil"/>
              <w:left w:val="nil"/>
              <w:bottom w:val="nil"/>
              <w:right w:val="nil"/>
            </w:tcBorders>
            <w:noWrap/>
            <w:vAlign w:val="bottom"/>
            <w:hideMark/>
          </w:tcPr>
          <w:p w14:paraId="01BE5FDC"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AT000TUR00449</w:t>
            </w:r>
          </w:p>
        </w:tc>
      </w:tr>
      <w:tr w:rsidR="00C27D6A" w:rsidRPr="00D25DC8" w14:paraId="24C3E84C" w14:textId="77777777" w:rsidTr="00C75467">
        <w:trPr>
          <w:trHeight w:val="288"/>
          <w:tblHeader/>
          <w:jc w:val="center"/>
        </w:trPr>
        <w:tc>
          <w:tcPr>
            <w:tcW w:w="0" w:type="auto"/>
            <w:tcBorders>
              <w:top w:val="nil"/>
              <w:left w:val="nil"/>
              <w:bottom w:val="nil"/>
              <w:right w:val="nil"/>
            </w:tcBorders>
            <w:noWrap/>
            <w:vAlign w:val="bottom"/>
            <w:hideMark/>
          </w:tcPr>
          <w:p w14:paraId="0AAB9385"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73471B5F"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MUSTAFA REİS BALIKÇILIK</w:t>
            </w:r>
          </w:p>
        </w:tc>
        <w:tc>
          <w:tcPr>
            <w:tcW w:w="0" w:type="auto"/>
            <w:tcBorders>
              <w:top w:val="nil"/>
              <w:left w:val="nil"/>
              <w:bottom w:val="nil"/>
              <w:right w:val="nil"/>
            </w:tcBorders>
            <w:noWrap/>
            <w:vAlign w:val="bottom"/>
            <w:hideMark/>
          </w:tcPr>
          <w:p w14:paraId="09F20559"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AT000TUR00451</w:t>
            </w:r>
          </w:p>
        </w:tc>
      </w:tr>
      <w:tr w:rsidR="00C27D6A" w:rsidRPr="00D25DC8" w14:paraId="43BAA91D" w14:textId="77777777" w:rsidTr="00C75467">
        <w:trPr>
          <w:trHeight w:val="288"/>
          <w:tblHeader/>
          <w:jc w:val="center"/>
        </w:trPr>
        <w:tc>
          <w:tcPr>
            <w:tcW w:w="0" w:type="auto"/>
            <w:tcBorders>
              <w:top w:val="nil"/>
              <w:left w:val="nil"/>
              <w:bottom w:val="nil"/>
              <w:right w:val="nil"/>
            </w:tcBorders>
            <w:noWrap/>
            <w:vAlign w:val="bottom"/>
            <w:hideMark/>
          </w:tcPr>
          <w:p w14:paraId="0AB37199"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2119A0B9"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GEÇİCİLER BALIKÇILIK</w:t>
            </w:r>
          </w:p>
        </w:tc>
        <w:tc>
          <w:tcPr>
            <w:tcW w:w="0" w:type="auto"/>
            <w:tcBorders>
              <w:top w:val="nil"/>
              <w:left w:val="nil"/>
              <w:bottom w:val="nil"/>
              <w:right w:val="nil"/>
            </w:tcBorders>
            <w:noWrap/>
            <w:vAlign w:val="bottom"/>
            <w:hideMark/>
          </w:tcPr>
          <w:p w14:paraId="6F379E23"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AT000TUR00496</w:t>
            </w:r>
          </w:p>
        </w:tc>
      </w:tr>
      <w:tr w:rsidR="00C27D6A" w:rsidRPr="00D25DC8" w14:paraId="1570AC2A" w14:textId="77777777" w:rsidTr="00C75467">
        <w:trPr>
          <w:trHeight w:val="288"/>
          <w:tblHeader/>
          <w:jc w:val="center"/>
        </w:trPr>
        <w:tc>
          <w:tcPr>
            <w:tcW w:w="0" w:type="auto"/>
            <w:tcBorders>
              <w:top w:val="nil"/>
              <w:left w:val="nil"/>
              <w:bottom w:val="nil"/>
              <w:right w:val="nil"/>
            </w:tcBorders>
            <w:noWrap/>
            <w:vAlign w:val="bottom"/>
            <w:hideMark/>
          </w:tcPr>
          <w:p w14:paraId="6AF695E0"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10E09223"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HICAZ-5</w:t>
            </w:r>
          </w:p>
        </w:tc>
        <w:tc>
          <w:tcPr>
            <w:tcW w:w="0" w:type="auto"/>
            <w:tcBorders>
              <w:top w:val="nil"/>
              <w:left w:val="nil"/>
              <w:bottom w:val="nil"/>
              <w:right w:val="nil"/>
            </w:tcBorders>
            <w:noWrap/>
            <w:vAlign w:val="bottom"/>
            <w:hideMark/>
          </w:tcPr>
          <w:p w14:paraId="12530197"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AT000TUR00497</w:t>
            </w:r>
          </w:p>
        </w:tc>
      </w:tr>
      <w:tr w:rsidR="00C27D6A" w:rsidRPr="00D25DC8" w14:paraId="7C743BA1" w14:textId="77777777" w:rsidTr="00C75467">
        <w:trPr>
          <w:trHeight w:val="288"/>
          <w:tblHeader/>
          <w:jc w:val="center"/>
        </w:trPr>
        <w:tc>
          <w:tcPr>
            <w:tcW w:w="0" w:type="auto"/>
            <w:tcBorders>
              <w:top w:val="nil"/>
              <w:left w:val="nil"/>
              <w:bottom w:val="nil"/>
              <w:right w:val="nil"/>
            </w:tcBorders>
            <w:noWrap/>
            <w:vAlign w:val="bottom"/>
            <w:hideMark/>
          </w:tcPr>
          <w:p w14:paraId="1E89847A"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1CABFF29"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TUNCAY SAGUN-7</w:t>
            </w:r>
          </w:p>
        </w:tc>
        <w:tc>
          <w:tcPr>
            <w:tcW w:w="0" w:type="auto"/>
            <w:tcBorders>
              <w:top w:val="nil"/>
              <w:left w:val="nil"/>
              <w:bottom w:val="nil"/>
              <w:right w:val="nil"/>
            </w:tcBorders>
            <w:noWrap/>
            <w:vAlign w:val="bottom"/>
            <w:hideMark/>
          </w:tcPr>
          <w:p w14:paraId="0D687C46"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AT000TUR07658</w:t>
            </w:r>
          </w:p>
        </w:tc>
      </w:tr>
      <w:tr w:rsidR="00C27D6A" w:rsidRPr="00D25DC8" w14:paraId="4E537CB9" w14:textId="77777777" w:rsidTr="00C75467">
        <w:trPr>
          <w:trHeight w:val="288"/>
          <w:tblHeader/>
          <w:jc w:val="center"/>
        </w:trPr>
        <w:tc>
          <w:tcPr>
            <w:tcW w:w="0" w:type="auto"/>
            <w:tcBorders>
              <w:top w:val="nil"/>
              <w:left w:val="nil"/>
              <w:bottom w:val="nil"/>
              <w:right w:val="nil"/>
            </w:tcBorders>
            <w:noWrap/>
            <w:vAlign w:val="bottom"/>
            <w:hideMark/>
          </w:tcPr>
          <w:p w14:paraId="12208428"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047A9EF8"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MARGO MAHMUT</w:t>
            </w:r>
          </w:p>
        </w:tc>
        <w:tc>
          <w:tcPr>
            <w:tcW w:w="0" w:type="auto"/>
            <w:tcBorders>
              <w:top w:val="nil"/>
              <w:left w:val="nil"/>
              <w:bottom w:val="nil"/>
              <w:right w:val="nil"/>
            </w:tcBorders>
            <w:noWrap/>
            <w:vAlign w:val="bottom"/>
            <w:hideMark/>
          </w:tcPr>
          <w:p w14:paraId="6F31388D"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AT000TUR07659</w:t>
            </w:r>
          </w:p>
        </w:tc>
      </w:tr>
      <w:tr w:rsidR="00C27D6A" w:rsidRPr="00D25DC8" w14:paraId="6B6C5FDD" w14:textId="77777777" w:rsidTr="00C75467">
        <w:trPr>
          <w:trHeight w:val="288"/>
          <w:tblHeader/>
          <w:jc w:val="center"/>
        </w:trPr>
        <w:tc>
          <w:tcPr>
            <w:tcW w:w="0" w:type="auto"/>
            <w:tcBorders>
              <w:top w:val="nil"/>
              <w:left w:val="nil"/>
              <w:bottom w:val="nil"/>
              <w:right w:val="nil"/>
            </w:tcBorders>
            <w:noWrap/>
            <w:vAlign w:val="bottom"/>
            <w:hideMark/>
          </w:tcPr>
          <w:p w14:paraId="73E496A7"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23746F85"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BOZOĞLU AHMET</w:t>
            </w:r>
          </w:p>
        </w:tc>
        <w:tc>
          <w:tcPr>
            <w:tcW w:w="0" w:type="auto"/>
            <w:tcBorders>
              <w:top w:val="nil"/>
              <w:left w:val="nil"/>
              <w:bottom w:val="nil"/>
              <w:right w:val="nil"/>
            </w:tcBorders>
            <w:noWrap/>
            <w:vAlign w:val="bottom"/>
            <w:hideMark/>
          </w:tcPr>
          <w:p w14:paraId="44E6F5B1"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AT000TUR07936</w:t>
            </w:r>
          </w:p>
        </w:tc>
      </w:tr>
      <w:tr w:rsidR="00C27D6A" w:rsidRPr="00D25DC8" w14:paraId="02FD35B6" w14:textId="77777777" w:rsidTr="00C75467">
        <w:trPr>
          <w:trHeight w:val="288"/>
          <w:tblHeader/>
          <w:jc w:val="center"/>
        </w:trPr>
        <w:tc>
          <w:tcPr>
            <w:tcW w:w="0" w:type="auto"/>
            <w:tcBorders>
              <w:top w:val="nil"/>
              <w:left w:val="nil"/>
              <w:bottom w:val="nil"/>
              <w:right w:val="nil"/>
            </w:tcBorders>
            <w:noWrap/>
            <w:vAlign w:val="bottom"/>
            <w:hideMark/>
          </w:tcPr>
          <w:p w14:paraId="37A695F3"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0CD35E14"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ŞABAN KIYAK-1</w:t>
            </w:r>
          </w:p>
        </w:tc>
        <w:tc>
          <w:tcPr>
            <w:tcW w:w="0" w:type="auto"/>
            <w:tcBorders>
              <w:top w:val="nil"/>
              <w:left w:val="nil"/>
              <w:bottom w:val="nil"/>
              <w:right w:val="nil"/>
            </w:tcBorders>
            <w:noWrap/>
            <w:vAlign w:val="bottom"/>
            <w:hideMark/>
          </w:tcPr>
          <w:p w14:paraId="23CCCDBB"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AT000TUR08043</w:t>
            </w:r>
          </w:p>
        </w:tc>
      </w:tr>
      <w:tr w:rsidR="00C27D6A" w:rsidRPr="00D25DC8" w14:paraId="710A31F3" w14:textId="77777777" w:rsidTr="00C75467">
        <w:trPr>
          <w:trHeight w:val="288"/>
          <w:tblHeader/>
          <w:jc w:val="center"/>
        </w:trPr>
        <w:tc>
          <w:tcPr>
            <w:tcW w:w="0" w:type="auto"/>
            <w:tcBorders>
              <w:top w:val="nil"/>
              <w:left w:val="nil"/>
              <w:bottom w:val="nil"/>
              <w:right w:val="nil"/>
            </w:tcBorders>
            <w:noWrap/>
            <w:vAlign w:val="bottom"/>
            <w:hideMark/>
          </w:tcPr>
          <w:p w14:paraId="47023220"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3A49D982"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CALISKAN KARDESLER</w:t>
            </w:r>
          </w:p>
        </w:tc>
        <w:tc>
          <w:tcPr>
            <w:tcW w:w="0" w:type="auto"/>
            <w:tcBorders>
              <w:top w:val="nil"/>
              <w:left w:val="nil"/>
              <w:bottom w:val="nil"/>
              <w:right w:val="nil"/>
            </w:tcBorders>
            <w:noWrap/>
            <w:vAlign w:val="bottom"/>
            <w:hideMark/>
          </w:tcPr>
          <w:p w14:paraId="3E2A1F93"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AT000TUR08078</w:t>
            </w:r>
          </w:p>
        </w:tc>
      </w:tr>
      <w:tr w:rsidR="00C27D6A" w:rsidRPr="00D25DC8" w14:paraId="203135BC" w14:textId="77777777" w:rsidTr="00C75467">
        <w:trPr>
          <w:trHeight w:val="288"/>
          <w:tblHeader/>
          <w:jc w:val="center"/>
        </w:trPr>
        <w:tc>
          <w:tcPr>
            <w:tcW w:w="0" w:type="auto"/>
            <w:tcBorders>
              <w:top w:val="nil"/>
              <w:left w:val="nil"/>
              <w:bottom w:val="nil"/>
              <w:right w:val="nil"/>
            </w:tcBorders>
            <w:noWrap/>
            <w:vAlign w:val="bottom"/>
            <w:hideMark/>
          </w:tcPr>
          <w:p w14:paraId="2F2B3888"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2824799F"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KAZIM KOBYA</w:t>
            </w:r>
          </w:p>
        </w:tc>
        <w:tc>
          <w:tcPr>
            <w:tcW w:w="0" w:type="auto"/>
            <w:tcBorders>
              <w:top w:val="nil"/>
              <w:left w:val="nil"/>
              <w:bottom w:val="nil"/>
              <w:right w:val="nil"/>
            </w:tcBorders>
            <w:noWrap/>
            <w:vAlign w:val="bottom"/>
            <w:hideMark/>
          </w:tcPr>
          <w:p w14:paraId="1A5A95CA"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AT000TUR08123</w:t>
            </w:r>
          </w:p>
        </w:tc>
      </w:tr>
      <w:tr w:rsidR="00C27D6A" w:rsidRPr="00D25DC8" w14:paraId="150AE494" w14:textId="77777777" w:rsidTr="00C75467">
        <w:trPr>
          <w:trHeight w:val="288"/>
          <w:tblHeader/>
          <w:jc w:val="center"/>
        </w:trPr>
        <w:tc>
          <w:tcPr>
            <w:tcW w:w="0" w:type="auto"/>
            <w:tcBorders>
              <w:top w:val="nil"/>
              <w:left w:val="nil"/>
              <w:bottom w:val="nil"/>
              <w:right w:val="nil"/>
            </w:tcBorders>
            <w:noWrap/>
            <w:vAlign w:val="bottom"/>
            <w:hideMark/>
          </w:tcPr>
          <w:p w14:paraId="1AE72E7D"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31EF25F0"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ERGÜN KARDEŞLER BALIKÇILIK</w:t>
            </w:r>
          </w:p>
        </w:tc>
        <w:tc>
          <w:tcPr>
            <w:tcW w:w="0" w:type="auto"/>
            <w:tcBorders>
              <w:top w:val="nil"/>
              <w:left w:val="nil"/>
              <w:bottom w:val="nil"/>
              <w:right w:val="nil"/>
            </w:tcBorders>
            <w:noWrap/>
            <w:vAlign w:val="bottom"/>
            <w:hideMark/>
          </w:tcPr>
          <w:p w14:paraId="3E8F2854"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AT000TUR00149</w:t>
            </w:r>
          </w:p>
        </w:tc>
      </w:tr>
      <w:tr w:rsidR="00C27D6A" w:rsidRPr="00D25DC8" w14:paraId="23379494" w14:textId="77777777" w:rsidTr="00C75467">
        <w:trPr>
          <w:trHeight w:val="288"/>
          <w:tblHeader/>
          <w:jc w:val="center"/>
        </w:trPr>
        <w:tc>
          <w:tcPr>
            <w:tcW w:w="0" w:type="auto"/>
            <w:tcBorders>
              <w:top w:val="nil"/>
              <w:left w:val="nil"/>
              <w:bottom w:val="nil"/>
              <w:right w:val="nil"/>
            </w:tcBorders>
            <w:noWrap/>
            <w:vAlign w:val="bottom"/>
            <w:hideMark/>
          </w:tcPr>
          <w:p w14:paraId="5DEFAEDF"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4F148830"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MUHAMMET ŞABAN KIYAK</w:t>
            </w:r>
          </w:p>
        </w:tc>
        <w:tc>
          <w:tcPr>
            <w:tcW w:w="0" w:type="auto"/>
            <w:tcBorders>
              <w:top w:val="nil"/>
              <w:left w:val="nil"/>
              <w:bottom w:val="nil"/>
              <w:right w:val="nil"/>
            </w:tcBorders>
            <w:noWrap/>
            <w:vAlign w:val="bottom"/>
            <w:hideMark/>
          </w:tcPr>
          <w:p w14:paraId="61B977D8"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AT000TUR00050</w:t>
            </w:r>
          </w:p>
        </w:tc>
      </w:tr>
      <w:tr w:rsidR="00C27D6A" w:rsidRPr="00D25DC8" w14:paraId="2853C308" w14:textId="77777777" w:rsidTr="00C75467">
        <w:trPr>
          <w:trHeight w:val="288"/>
          <w:tblHeader/>
          <w:jc w:val="center"/>
        </w:trPr>
        <w:tc>
          <w:tcPr>
            <w:tcW w:w="0" w:type="auto"/>
            <w:tcBorders>
              <w:top w:val="nil"/>
              <w:left w:val="nil"/>
              <w:bottom w:val="nil"/>
              <w:right w:val="nil"/>
            </w:tcBorders>
            <w:noWrap/>
            <w:vAlign w:val="bottom"/>
            <w:hideMark/>
          </w:tcPr>
          <w:p w14:paraId="264BB5F4"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4190105B"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TUNCAY SAGUN-28</w:t>
            </w:r>
          </w:p>
        </w:tc>
        <w:tc>
          <w:tcPr>
            <w:tcW w:w="0" w:type="auto"/>
            <w:tcBorders>
              <w:top w:val="nil"/>
              <w:left w:val="nil"/>
              <w:bottom w:val="nil"/>
              <w:right w:val="nil"/>
            </w:tcBorders>
            <w:noWrap/>
            <w:vAlign w:val="bottom"/>
            <w:hideMark/>
          </w:tcPr>
          <w:p w14:paraId="4ED04E2C"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AT000TUR00046</w:t>
            </w:r>
          </w:p>
        </w:tc>
      </w:tr>
      <w:tr w:rsidR="00C27D6A" w:rsidRPr="00D25DC8" w14:paraId="45CA7F58" w14:textId="77777777" w:rsidTr="00C75467">
        <w:trPr>
          <w:trHeight w:val="288"/>
          <w:tblHeader/>
          <w:jc w:val="center"/>
        </w:trPr>
        <w:tc>
          <w:tcPr>
            <w:tcW w:w="0" w:type="auto"/>
            <w:tcBorders>
              <w:top w:val="nil"/>
              <w:left w:val="nil"/>
              <w:bottom w:val="nil"/>
              <w:right w:val="nil"/>
            </w:tcBorders>
            <w:noWrap/>
            <w:vAlign w:val="bottom"/>
            <w:hideMark/>
          </w:tcPr>
          <w:p w14:paraId="306DC39A"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7DF5BF89"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ARICIOĞULLARI BALIKÇILIK</w:t>
            </w:r>
          </w:p>
        </w:tc>
        <w:tc>
          <w:tcPr>
            <w:tcW w:w="0" w:type="auto"/>
            <w:tcBorders>
              <w:top w:val="nil"/>
              <w:left w:val="nil"/>
              <w:bottom w:val="nil"/>
              <w:right w:val="nil"/>
            </w:tcBorders>
            <w:noWrap/>
            <w:vAlign w:val="bottom"/>
            <w:hideMark/>
          </w:tcPr>
          <w:p w14:paraId="57C1EDBE"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AT000TUR08121</w:t>
            </w:r>
          </w:p>
        </w:tc>
      </w:tr>
      <w:tr w:rsidR="00C27D6A" w:rsidRPr="00D25DC8" w14:paraId="6977050F" w14:textId="77777777" w:rsidTr="00C75467">
        <w:trPr>
          <w:trHeight w:val="288"/>
          <w:tblHeader/>
          <w:jc w:val="center"/>
        </w:trPr>
        <w:tc>
          <w:tcPr>
            <w:tcW w:w="0" w:type="auto"/>
            <w:tcBorders>
              <w:top w:val="nil"/>
              <w:left w:val="nil"/>
              <w:bottom w:val="nil"/>
              <w:right w:val="nil"/>
            </w:tcBorders>
            <w:noWrap/>
            <w:vAlign w:val="bottom"/>
            <w:hideMark/>
          </w:tcPr>
          <w:p w14:paraId="04842D56"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5DCBF1F7"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BOZOGLU KARDESLER -2</w:t>
            </w:r>
          </w:p>
        </w:tc>
        <w:tc>
          <w:tcPr>
            <w:tcW w:w="0" w:type="auto"/>
            <w:tcBorders>
              <w:top w:val="nil"/>
              <w:left w:val="nil"/>
              <w:bottom w:val="nil"/>
              <w:right w:val="nil"/>
            </w:tcBorders>
            <w:noWrap/>
            <w:vAlign w:val="bottom"/>
            <w:hideMark/>
          </w:tcPr>
          <w:p w14:paraId="740E73A2"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AT000TUR07941</w:t>
            </w:r>
          </w:p>
        </w:tc>
      </w:tr>
      <w:tr w:rsidR="00C27D6A" w:rsidRPr="00D25DC8" w14:paraId="21D5C60E" w14:textId="77777777" w:rsidTr="00C75467">
        <w:trPr>
          <w:trHeight w:val="288"/>
          <w:tblHeader/>
          <w:jc w:val="center"/>
        </w:trPr>
        <w:tc>
          <w:tcPr>
            <w:tcW w:w="0" w:type="auto"/>
            <w:tcBorders>
              <w:top w:val="nil"/>
              <w:left w:val="nil"/>
              <w:bottom w:val="nil"/>
              <w:right w:val="nil"/>
            </w:tcBorders>
            <w:noWrap/>
            <w:vAlign w:val="bottom"/>
            <w:hideMark/>
          </w:tcPr>
          <w:p w14:paraId="160A105B"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1B2228DC"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DURSUN ÇINAROĞLU</w:t>
            </w:r>
          </w:p>
        </w:tc>
        <w:tc>
          <w:tcPr>
            <w:tcW w:w="0" w:type="auto"/>
            <w:tcBorders>
              <w:top w:val="nil"/>
              <w:left w:val="nil"/>
              <w:bottom w:val="nil"/>
              <w:right w:val="nil"/>
            </w:tcBorders>
            <w:noWrap/>
            <w:vAlign w:val="bottom"/>
            <w:hideMark/>
          </w:tcPr>
          <w:p w14:paraId="08864370"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AT000TUR00131</w:t>
            </w:r>
          </w:p>
        </w:tc>
      </w:tr>
      <w:tr w:rsidR="00C27D6A" w:rsidRPr="00D25DC8" w14:paraId="2A28606A" w14:textId="77777777" w:rsidTr="00C75467">
        <w:trPr>
          <w:trHeight w:val="288"/>
          <w:tblHeader/>
          <w:jc w:val="center"/>
        </w:trPr>
        <w:tc>
          <w:tcPr>
            <w:tcW w:w="0" w:type="auto"/>
            <w:tcBorders>
              <w:top w:val="nil"/>
              <w:left w:val="nil"/>
              <w:bottom w:val="nil"/>
              <w:right w:val="nil"/>
            </w:tcBorders>
            <w:noWrap/>
            <w:vAlign w:val="bottom"/>
            <w:hideMark/>
          </w:tcPr>
          <w:p w14:paraId="211BBA90"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3FD0F7FC"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KASIRGA-2</w:t>
            </w:r>
          </w:p>
        </w:tc>
        <w:tc>
          <w:tcPr>
            <w:tcW w:w="0" w:type="auto"/>
            <w:tcBorders>
              <w:top w:val="nil"/>
              <w:left w:val="nil"/>
              <w:bottom w:val="nil"/>
              <w:right w:val="nil"/>
            </w:tcBorders>
            <w:noWrap/>
            <w:vAlign w:val="bottom"/>
            <w:hideMark/>
          </w:tcPr>
          <w:p w14:paraId="4EC657F0"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AT000TUR07906</w:t>
            </w:r>
          </w:p>
        </w:tc>
      </w:tr>
      <w:tr w:rsidR="00C27D6A" w:rsidRPr="00D25DC8" w14:paraId="77C8EB37" w14:textId="77777777" w:rsidTr="00C75467">
        <w:trPr>
          <w:trHeight w:val="288"/>
          <w:tblHeader/>
          <w:jc w:val="center"/>
        </w:trPr>
        <w:tc>
          <w:tcPr>
            <w:tcW w:w="0" w:type="auto"/>
            <w:tcBorders>
              <w:top w:val="nil"/>
              <w:left w:val="nil"/>
              <w:bottom w:val="nil"/>
              <w:right w:val="nil"/>
            </w:tcBorders>
            <w:noWrap/>
            <w:vAlign w:val="bottom"/>
            <w:hideMark/>
          </w:tcPr>
          <w:p w14:paraId="6A078E42"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3EE96C51"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KORKMAZLAR BALIKCILIK 1</w:t>
            </w:r>
          </w:p>
        </w:tc>
        <w:tc>
          <w:tcPr>
            <w:tcW w:w="0" w:type="auto"/>
            <w:tcBorders>
              <w:top w:val="nil"/>
              <w:left w:val="nil"/>
              <w:bottom w:val="nil"/>
              <w:right w:val="nil"/>
            </w:tcBorders>
            <w:noWrap/>
            <w:vAlign w:val="bottom"/>
            <w:hideMark/>
          </w:tcPr>
          <w:p w14:paraId="1BED4050"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AT000TUR08082</w:t>
            </w:r>
          </w:p>
        </w:tc>
      </w:tr>
      <w:tr w:rsidR="00C27D6A" w:rsidRPr="00D25DC8" w14:paraId="2215C3ED" w14:textId="77777777" w:rsidTr="00C75467">
        <w:trPr>
          <w:trHeight w:val="288"/>
          <w:tblHeader/>
          <w:jc w:val="center"/>
        </w:trPr>
        <w:tc>
          <w:tcPr>
            <w:tcW w:w="0" w:type="auto"/>
            <w:tcBorders>
              <w:top w:val="nil"/>
              <w:left w:val="nil"/>
              <w:bottom w:val="nil"/>
              <w:right w:val="nil"/>
            </w:tcBorders>
            <w:noWrap/>
            <w:vAlign w:val="bottom"/>
            <w:hideMark/>
          </w:tcPr>
          <w:p w14:paraId="71F498FC"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4F9DED10"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MUZAFFER KARDEŞLER-3</w:t>
            </w:r>
          </w:p>
        </w:tc>
        <w:tc>
          <w:tcPr>
            <w:tcW w:w="0" w:type="auto"/>
            <w:tcBorders>
              <w:top w:val="nil"/>
              <w:left w:val="nil"/>
              <w:bottom w:val="nil"/>
              <w:right w:val="nil"/>
            </w:tcBorders>
            <w:noWrap/>
            <w:vAlign w:val="bottom"/>
            <w:hideMark/>
          </w:tcPr>
          <w:p w14:paraId="789C5FD7"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AT000TUR00062</w:t>
            </w:r>
          </w:p>
        </w:tc>
      </w:tr>
      <w:tr w:rsidR="00C27D6A" w:rsidRPr="00D25DC8" w14:paraId="2CA8631C" w14:textId="77777777" w:rsidTr="00C75467">
        <w:trPr>
          <w:trHeight w:val="288"/>
          <w:tblHeader/>
          <w:jc w:val="center"/>
        </w:trPr>
        <w:tc>
          <w:tcPr>
            <w:tcW w:w="0" w:type="auto"/>
            <w:tcBorders>
              <w:top w:val="nil"/>
              <w:left w:val="nil"/>
              <w:bottom w:val="nil"/>
              <w:right w:val="nil"/>
            </w:tcBorders>
            <w:noWrap/>
            <w:vAlign w:val="bottom"/>
            <w:hideMark/>
          </w:tcPr>
          <w:p w14:paraId="380A28A6"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78C64211"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SOYDEMIRLER</w:t>
            </w:r>
          </w:p>
        </w:tc>
        <w:tc>
          <w:tcPr>
            <w:tcW w:w="0" w:type="auto"/>
            <w:tcBorders>
              <w:top w:val="nil"/>
              <w:left w:val="nil"/>
              <w:bottom w:val="nil"/>
              <w:right w:val="nil"/>
            </w:tcBorders>
            <w:noWrap/>
            <w:vAlign w:val="bottom"/>
            <w:hideMark/>
          </w:tcPr>
          <w:p w14:paraId="68E1773E"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AT000TUR00043</w:t>
            </w:r>
          </w:p>
        </w:tc>
      </w:tr>
      <w:tr w:rsidR="00C27D6A" w:rsidRPr="00D25DC8" w14:paraId="71B2A512" w14:textId="77777777" w:rsidTr="00C75467">
        <w:trPr>
          <w:trHeight w:val="288"/>
          <w:tblHeader/>
          <w:jc w:val="center"/>
        </w:trPr>
        <w:tc>
          <w:tcPr>
            <w:tcW w:w="0" w:type="auto"/>
            <w:tcBorders>
              <w:top w:val="nil"/>
              <w:left w:val="nil"/>
              <w:bottom w:val="nil"/>
              <w:right w:val="nil"/>
            </w:tcBorders>
            <w:noWrap/>
            <w:vAlign w:val="bottom"/>
            <w:hideMark/>
          </w:tcPr>
          <w:p w14:paraId="52EEFDFD"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3592C46D"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COSKUN KARDESLER 1</w:t>
            </w:r>
          </w:p>
        </w:tc>
        <w:tc>
          <w:tcPr>
            <w:tcW w:w="0" w:type="auto"/>
            <w:tcBorders>
              <w:top w:val="nil"/>
              <w:left w:val="nil"/>
              <w:bottom w:val="nil"/>
              <w:right w:val="nil"/>
            </w:tcBorders>
            <w:noWrap/>
            <w:vAlign w:val="bottom"/>
            <w:hideMark/>
          </w:tcPr>
          <w:p w14:paraId="5A866A8E"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AT000TUR00015</w:t>
            </w:r>
          </w:p>
        </w:tc>
      </w:tr>
      <w:tr w:rsidR="00C27D6A" w:rsidRPr="00D25DC8" w14:paraId="40E1F7AD" w14:textId="77777777" w:rsidTr="00C75467">
        <w:trPr>
          <w:trHeight w:val="288"/>
          <w:tblHeader/>
          <w:jc w:val="center"/>
        </w:trPr>
        <w:tc>
          <w:tcPr>
            <w:tcW w:w="0" w:type="auto"/>
            <w:tcBorders>
              <w:top w:val="nil"/>
              <w:left w:val="nil"/>
              <w:bottom w:val="nil"/>
              <w:right w:val="nil"/>
            </w:tcBorders>
            <w:noWrap/>
            <w:vAlign w:val="bottom"/>
            <w:hideMark/>
          </w:tcPr>
          <w:p w14:paraId="6D739B6C"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071E700E"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DENIZER</w:t>
            </w:r>
          </w:p>
        </w:tc>
        <w:tc>
          <w:tcPr>
            <w:tcW w:w="0" w:type="auto"/>
            <w:tcBorders>
              <w:top w:val="nil"/>
              <w:left w:val="nil"/>
              <w:bottom w:val="nil"/>
              <w:right w:val="nil"/>
            </w:tcBorders>
            <w:noWrap/>
            <w:vAlign w:val="bottom"/>
            <w:hideMark/>
          </w:tcPr>
          <w:p w14:paraId="35BD7944"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AT000TUR00501</w:t>
            </w:r>
          </w:p>
        </w:tc>
      </w:tr>
      <w:tr w:rsidR="00C27D6A" w:rsidRPr="00D25DC8" w14:paraId="0D8E8670" w14:textId="77777777" w:rsidTr="00C75467">
        <w:trPr>
          <w:trHeight w:val="288"/>
          <w:tblHeader/>
          <w:jc w:val="center"/>
        </w:trPr>
        <w:tc>
          <w:tcPr>
            <w:tcW w:w="0" w:type="auto"/>
            <w:tcBorders>
              <w:top w:val="nil"/>
              <w:left w:val="nil"/>
              <w:bottom w:val="nil"/>
              <w:right w:val="nil"/>
            </w:tcBorders>
            <w:noWrap/>
            <w:vAlign w:val="bottom"/>
            <w:hideMark/>
          </w:tcPr>
          <w:p w14:paraId="37E776BF"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45C3617E"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EMINOGULLARI-4</w:t>
            </w:r>
          </w:p>
        </w:tc>
        <w:tc>
          <w:tcPr>
            <w:tcW w:w="0" w:type="auto"/>
            <w:tcBorders>
              <w:top w:val="nil"/>
              <w:left w:val="nil"/>
              <w:bottom w:val="nil"/>
              <w:right w:val="nil"/>
            </w:tcBorders>
            <w:noWrap/>
            <w:vAlign w:val="bottom"/>
            <w:hideMark/>
          </w:tcPr>
          <w:p w14:paraId="737FEC06"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AT000TUR00283</w:t>
            </w:r>
          </w:p>
        </w:tc>
      </w:tr>
      <w:tr w:rsidR="00C27D6A" w:rsidRPr="00D25DC8" w14:paraId="209B227A" w14:textId="77777777" w:rsidTr="00C75467">
        <w:trPr>
          <w:trHeight w:val="288"/>
          <w:tblHeader/>
          <w:jc w:val="center"/>
        </w:trPr>
        <w:tc>
          <w:tcPr>
            <w:tcW w:w="0" w:type="auto"/>
            <w:tcBorders>
              <w:top w:val="nil"/>
              <w:left w:val="nil"/>
              <w:bottom w:val="nil"/>
              <w:right w:val="nil"/>
            </w:tcBorders>
            <w:noWrap/>
            <w:vAlign w:val="bottom"/>
            <w:hideMark/>
          </w:tcPr>
          <w:p w14:paraId="2FC82BAA"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2D3FDC58"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EYUP DEDE</w:t>
            </w:r>
          </w:p>
        </w:tc>
        <w:tc>
          <w:tcPr>
            <w:tcW w:w="0" w:type="auto"/>
            <w:tcBorders>
              <w:top w:val="nil"/>
              <w:left w:val="nil"/>
              <w:bottom w:val="nil"/>
              <w:right w:val="nil"/>
            </w:tcBorders>
            <w:noWrap/>
            <w:vAlign w:val="bottom"/>
            <w:hideMark/>
          </w:tcPr>
          <w:p w14:paraId="05F4EFAB"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AT000TUR00019</w:t>
            </w:r>
          </w:p>
        </w:tc>
      </w:tr>
      <w:tr w:rsidR="00C27D6A" w:rsidRPr="00D25DC8" w14:paraId="369DDB0E" w14:textId="77777777" w:rsidTr="00C75467">
        <w:trPr>
          <w:trHeight w:val="288"/>
          <w:tblHeader/>
          <w:jc w:val="center"/>
        </w:trPr>
        <w:tc>
          <w:tcPr>
            <w:tcW w:w="0" w:type="auto"/>
            <w:tcBorders>
              <w:top w:val="nil"/>
              <w:left w:val="nil"/>
              <w:bottom w:val="nil"/>
              <w:right w:val="nil"/>
            </w:tcBorders>
            <w:noWrap/>
            <w:vAlign w:val="bottom"/>
            <w:hideMark/>
          </w:tcPr>
          <w:p w14:paraId="7A86745D"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132B1005"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MAMULI REIS-III</w:t>
            </w:r>
          </w:p>
        </w:tc>
        <w:tc>
          <w:tcPr>
            <w:tcW w:w="0" w:type="auto"/>
            <w:tcBorders>
              <w:top w:val="nil"/>
              <w:left w:val="nil"/>
              <w:bottom w:val="nil"/>
              <w:right w:val="nil"/>
            </w:tcBorders>
            <w:noWrap/>
            <w:vAlign w:val="bottom"/>
            <w:hideMark/>
          </w:tcPr>
          <w:p w14:paraId="76124995"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AT000TUR00033</w:t>
            </w:r>
          </w:p>
        </w:tc>
      </w:tr>
      <w:tr w:rsidR="00C27D6A" w:rsidRPr="00D25DC8" w14:paraId="25CFEA10" w14:textId="77777777" w:rsidTr="00C75467">
        <w:trPr>
          <w:trHeight w:val="288"/>
          <w:tblHeader/>
          <w:jc w:val="center"/>
        </w:trPr>
        <w:tc>
          <w:tcPr>
            <w:tcW w:w="0" w:type="auto"/>
            <w:tcBorders>
              <w:top w:val="nil"/>
              <w:left w:val="nil"/>
              <w:bottom w:val="nil"/>
              <w:right w:val="nil"/>
            </w:tcBorders>
            <w:noWrap/>
            <w:vAlign w:val="bottom"/>
            <w:hideMark/>
          </w:tcPr>
          <w:p w14:paraId="60E980B9"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78FC34D6"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CINAR IBRAHIM</w:t>
            </w:r>
          </w:p>
        </w:tc>
        <w:tc>
          <w:tcPr>
            <w:tcW w:w="0" w:type="auto"/>
            <w:tcBorders>
              <w:top w:val="nil"/>
              <w:left w:val="nil"/>
              <w:bottom w:val="nil"/>
              <w:right w:val="nil"/>
            </w:tcBorders>
            <w:noWrap/>
            <w:vAlign w:val="bottom"/>
            <w:hideMark/>
          </w:tcPr>
          <w:p w14:paraId="7E83EAB4"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AT000TUR00014</w:t>
            </w:r>
          </w:p>
        </w:tc>
      </w:tr>
      <w:tr w:rsidR="00C27D6A" w:rsidRPr="00D25DC8" w14:paraId="20A251BA" w14:textId="77777777" w:rsidTr="00C75467">
        <w:trPr>
          <w:trHeight w:val="288"/>
          <w:tblHeader/>
          <w:jc w:val="center"/>
        </w:trPr>
        <w:tc>
          <w:tcPr>
            <w:tcW w:w="0" w:type="auto"/>
            <w:tcBorders>
              <w:top w:val="nil"/>
              <w:left w:val="nil"/>
              <w:bottom w:val="nil"/>
              <w:right w:val="nil"/>
            </w:tcBorders>
            <w:noWrap/>
            <w:vAlign w:val="bottom"/>
            <w:hideMark/>
          </w:tcPr>
          <w:p w14:paraId="3453263B"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74EE64AC"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FAT BALIKCILIK</w:t>
            </w:r>
          </w:p>
        </w:tc>
        <w:tc>
          <w:tcPr>
            <w:tcW w:w="0" w:type="auto"/>
            <w:tcBorders>
              <w:top w:val="nil"/>
              <w:left w:val="nil"/>
              <w:bottom w:val="nil"/>
              <w:right w:val="nil"/>
            </w:tcBorders>
            <w:noWrap/>
            <w:vAlign w:val="bottom"/>
            <w:hideMark/>
          </w:tcPr>
          <w:p w14:paraId="78990002"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AT000TUR00020</w:t>
            </w:r>
          </w:p>
        </w:tc>
      </w:tr>
      <w:tr w:rsidR="00C27D6A" w:rsidRPr="00D25DC8" w14:paraId="220B06D3" w14:textId="77777777" w:rsidTr="00C75467">
        <w:trPr>
          <w:trHeight w:val="288"/>
          <w:tblHeader/>
          <w:jc w:val="center"/>
        </w:trPr>
        <w:tc>
          <w:tcPr>
            <w:tcW w:w="0" w:type="auto"/>
            <w:tcBorders>
              <w:top w:val="nil"/>
              <w:left w:val="nil"/>
              <w:bottom w:val="nil"/>
              <w:right w:val="nil"/>
            </w:tcBorders>
            <w:noWrap/>
            <w:vAlign w:val="bottom"/>
            <w:hideMark/>
          </w:tcPr>
          <w:p w14:paraId="0E260FEF"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653E029D"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HABIBIN ENVER</w:t>
            </w:r>
          </w:p>
        </w:tc>
        <w:tc>
          <w:tcPr>
            <w:tcW w:w="0" w:type="auto"/>
            <w:tcBorders>
              <w:top w:val="nil"/>
              <w:left w:val="nil"/>
              <w:bottom w:val="nil"/>
              <w:right w:val="nil"/>
            </w:tcBorders>
            <w:noWrap/>
            <w:vAlign w:val="bottom"/>
            <w:hideMark/>
          </w:tcPr>
          <w:p w14:paraId="16F7231E"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AT000TUR00022</w:t>
            </w:r>
          </w:p>
        </w:tc>
      </w:tr>
      <w:tr w:rsidR="00C27D6A" w:rsidRPr="00D25DC8" w14:paraId="580D1616" w14:textId="77777777" w:rsidTr="00C75467">
        <w:trPr>
          <w:trHeight w:val="288"/>
          <w:tblHeader/>
          <w:jc w:val="center"/>
        </w:trPr>
        <w:tc>
          <w:tcPr>
            <w:tcW w:w="0" w:type="auto"/>
            <w:tcBorders>
              <w:top w:val="nil"/>
              <w:left w:val="nil"/>
              <w:bottom w:val="nil"/>
              <w:right w:val="nil"/>
            </w:tcBorders>
            <w:noWrap/>
            <w:vAlign w:val="bottom"/>
            <w:hideMark/>
          </w:tcPr>
          <w:p w14:paraId="1C1186B9"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nil"/>
              <w:right w:val="nil"/>
            </w:tcBorders>
            <w:noWrap/>
            <w:vAlign w:val="bottom"/>
            <w:hideMark/>
          </w:tcPr>
          <w:p w14:paraId="676A3847"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HACI MUSTAFA KULOGLU</w:t>
            </w:r>
          </w:p>
        </w:tc>
        <w:tc>
          <w:tcPr>
            <w:tcW w:w="0" w:type="auto"/>
            <w:tcBorders>
              <w:top w:val="nil"/>
              <w:left w:val="nil"/>
              <w:bottom w:val="nil"/>
              <w:right w:val="nil"/>
            </w:tcBorders>
            <w:noWrap/>
            <w:vAlign w:val="bottom"/>
            <w:hideMark/>
          </w:tcPr>
          <w:p w14:paraId="70FDEA29"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AT000TUR00024</w:t>
            </w:r>
          </w:p>
        </w:tc>
      </w:tr>
      <w:tr w:rsidR="00C27D6A" w:rsidRPr="00D25DC8" w14:paraId="34CD5059" w14:textId="77777777" w:rsidTr="00C75467">
        <w:trPr>
          <w:trHeight w:val="288"/>
          <w:tblHeader/>
          <w:jc w:val="center"/>
        </w:trPr>
        <w:tc>
          <w:tcPr>
            <w:tcW w:w="0" w:type="auto"/>
            <w:tcBorders>
              <w:top w:val="nil"/>
              <w:left w:val="nil"/>
              <w:right w:val="nil"/>
            </w:tcBorders>
            <w:noWrap/>
            <w:vAlign w:val="bottom"/>
            <w:hideMark/>
          </w:tcPr>
          <w:p w14:paraId="0915391D"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right w:val="nil"/>
            </w:tcBorders>
            <w:noWrap/>
            <w:vAlign w:val="bottom"/>
            <w:hideMark/>
          </w:tcPr>
          <w:p w14:paraId="0E3CCF53"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SURSAN 1</w:t>
            </w:r>
          </w:p>
        </w:tc>
        <w:tc>
          <w:tcPr>
            <w:tcW w:w="0" w:type="auto"/>
            <w:tcBorders>
              <w:top w:val="nil"/>
              <w:left w:val="nil"/>
              <w:right w:val="nil"/>
            </w:tcBorders>
            <w:noWrap/>
            <w:vAlign w:val="bottom"/>
            <w:hideMark/>
          </w:tcPr>
          <w:p w14:paraId="4DEA690F"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AT000TUR00407</w:t>
            </w:r>
          </w:p>
        </w:tc>
      </w:tr>
      <w:tr w:rsidR="00C27D6A" w:rsidRPr="00D25DC8" w14:paraId="6B9EAF0A" w14:textId="77777777" w:rsidTr="00C75467">
        <w:trPr>
          <w:trHeight w:val="288"/>
          <w:tblHeader/>
          <w:jc w:val="center"/>
        </w:trPr>
        <w:tc>
          <w:tcPr>
            <w:tcW w:w="0" w:type="auto"/>
            <w:tcBorders>
              <w:top w:val="nil"/>
              <w:left w:val="nil"/>
              <w:bottom w:val="single" w:sz="4" w:space="0" w:color="auto"/>
              <w:right w:val="nil"/>
            </w:tcBorders>
            <w:noWrap/>
            <w:vAlign w:val="bottom"/>
            <w:hideMark/>
          </w:tcPr>
          <w:p w14:paraId="43902F63"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Türkiye</w:t>
            </w:r>
          </w:p>
        </w:tc>
        <w:tc>
          <w:tcPr>
            <w:tcW w:w="0" w:type="auto"/>
            <w:tcBorders>
              <w:top w:val="nil"/>
              <w:left w:val="nil"/>
              <w:bottom w:val="single" w:sz="4" w:space="0" w:color="auto"/>
              <w:right w:val="nil"/>
            </w:tcBorders>
            <w:noWrap/>
            <w:vAlign w:val="bottom"/>
            <w:hideMark/>
          </w:tcPr>
          <w:p w14:paraId="0D76C6A1" w14:textId="77777777" w:rsidR="00C27D6A" w:rsidRPr="00C75467" w:rsidRDefault="00C27D6A" w:rsidP="00F36743">
            <w:pPr>
              <w:rPr>
                <w:rFonts w:asciiTheme="majorHAnsi" w:hAnsiTheme="majorHAnsi"/>
                <w:color w:val="000000"/>
                <w:sz w:val="20"/>
                <w:szCs w:val="20"/>
              </w:rPr>
            </w:pPr>
            <w:r>
              <w:rPr>
                <w:rFonts w:asciiTheme="majorHAnsi" w:hAnsiTheme="majorHAnsi"/>
                <w:color w:val="000000"/>
                <w:sz w:val="20"/>
              </w:rPr>
              <w:t>SURSAN 34</w:t>
            </w:r>
          </w:p>
        </w:tc>
        <w:tc>
          <w:tcPr>
            <w:tcW w:w="0" w:type="auto"/>
            <w:tcBorders>
              <w:top w:val="nil"/>
              <w:left w:val="nil"/>
              <w:bottom w:val="single" w:sz="4" w:space="0" w:color="auto"/>
              <w:right w:val="nil"/>
            </w:tcBorders>
            <w:noWrap/>
            <w:vAlign w:val="bottom"/>
            <w:hideMark/>
          </w:tcPr>
          <w:p w14:paraId="20AEC3EA" w14:textId="77777777" w:rsidR="00C27D6A" w:rsidRPr="00C75467" w:rsidRDefault="00C27D6A" w:rsidP="00F36743">
            <w:pPr>
              <w:jc w:val="center"/>
              <w:rPr>
                <w:rFonts w:asciiTheme="majorHAnsi" w:hAnsiTheme="majorHAnsi"/>
                <w:color w:val="000000"/>
                <w:sz w:val="20"/>
                <w:szCs w:val="20"/>
              </w:rPr>
            </w:pPr>
            <w:r>
              <w:rPr>
                <w:rFonts w:asciiTheme="majorHAnsi" w:hAnsiTheme="majorHAnsi"/>
                <w:color w:val="000000"/>
                <w:sz w:val="20"/>
              </w:rPr>
              <w:t>AT000TUR08122</w:t>
            </w:r>
          </w:p>
        </w:tc>
      </w:tr>
    </w:tbl>
    <w:p w14:paraId="567A979F" w14:textId="7EF850F1" w:rsidR="00405708" w:rsidRDefault="00405708" w:rsidP="00F36743">
      <w:pPr>
        <w:rPr>
          <w:rFonts w:ascii="Cambria" w:hAnsi="Cambria"/>
          <w:b/>
          <w:sz w:val="20"/>
          <w:szCs w:val="20"/>
          <w:lang w:val="en-GB"/>
        </w:rPr>
      </w:pPr>
    </w:p>
    <w:p w14:paraId="78FA4695" w14:textId="77777777" w:rsidR="00553A93" w:rsidRDefault="00553A93" w:rsidP="00F36743">
      <w:pPr>
        <w:rPr>
          <w:rFonts w:ascii="Cambria" w:hAnsi="Cambria"/>
          <w:b/>
          <w:sz w:val="20"/>
          <w:szCs w:val="20"/>
          <w:lang w:val="en-GB"/>
        </w:rPr>
      </w:pPr>
    </w:p>
    <w:p w14:paraId="7289350E" w14:textId="77777777" w:rsidR="00553A93" w:rsidRDefault="00553A93" w:rsidP="00F36743">
      <w:pPr>
        <w:rPr>
          <w:rFonts w:ascii="Cambria" w:hAnsi="Cambria"/>
          <w:b/>
          <w:sz w:val="20"/>
          <w:szCs w:val="20"/>
          <w:lang w:val="en-GB"/>
        </w:rPr>
      </w:pPr>
    </w:p>
    <w:p w14:paraId="6E62A5E0" w14:textId="77777777" w:rsidR="00553A93" w:rsidRDefault="00553A93" w:rsidP="00F36743">
      <w:pPr>
        <w:rPr>
          <w:rFonts w:ascii="Cambria" w:hAnsi="Cambria"/>
          <w:b/>
          <w:sz w:val="20"/>
          <w:szCs w:val="20"/>
          <w:lang w:val="en-GB"/>
        </w:rPr>
      </w:pPr>
    </w:p>
    <w:p w14:paraId="2372F28F" w14:textId="77777777" w:rsidR="00C2774B" w:rsidRDefault="00C2774B" w:rsidP="00F36743">
      <w:pPr>
        <w:rPr>
          <w:rFonts w:ascii="Cambria" w:hAnsi="Cambria"/>
          <w:b/>
          <w:sz w:val="20"/>
          <w:szCs w:val="20"/>
          <w:lang w:val="en-GB"/>
        </w:rPr>
      </w:pPr>
    </w:p>
    <w:p w14:paraId="499D8BE3" w14:textId="77777777" w:rsidR="00C2774B" w:rsidRDefault="00C2774B" w:rsidP="00F36743">
      <w:pPr>
        <w:rPr>
          <w:rFonts w:ascii="Cambria" w:hAnsi="Cambria"/>
          <w:b/>
          <w:sz w:val="20"/>
          <w:szCs w:val="20"/>
          <w:lang w:val="en-GB"/>
        </w:rPr>
      </w:pPr>
    </w:p>
    <w:p w14:paraId="2FD86232" w14:textId="77777777" w:rsidR="00D3469D" w:rsidRDefault="00D3469D" w:rsidP="00F36743">
      <w:pPr>
        <w:rPr>
          <w:rFonts w:ascii="Cambria" w:hAnsi="Cambria"/>
          <w:b/>
          <w:sz w:val="20"/>
          <w:szCs w:val="20"/>
          <w:lang w:val="en-GB"/>
        </w:rPr>
      </w:pPr>
    </w:p>
    <w:p w14:paraId="7D837DDB" w14:textId="77777777" w:rsidR="00D3469D" w:rsidRDefault="00D3469D" w:rsidP="00F36743">
      <w:pPr>
        <w:rPr>
          <w:rFonts w:ascii="Cambria" w:hAnsi="Cambria"/>
          <w:b/>
          <w:sz w:val="20"/>
          <w:szCs w:val="20"/>
          <w:lang w:val="en-GB"/>
        </w:rPr>
      </w:pPr>
    </w:p>
    <w:p w14:paraId="3F8C4B57" w14:textId="77777777" w:rsidR="00D3469D" w:rsidRDefault="00D3469D" w:rsidP="00F36743">
      <w:pPr>
        <w:rPr>
          <w:rFonts w:ascii="Cambria" w:hAnsi="Cambria"/>
          <w:b/>
          <w:sz w:val="20"/>
          <w:szCs w:val="20"/>
          <w:lang w:val="en-GB"/>
        </w:rPr>
      </w:pPr>
    </w:p>
    <w:p w14:paraId="140C4E89" w14:textId="77777777" w:rsidR="00D3469D" w:rsidRDefault="00D3469D" w:rsidP="00F36743">
      <w:pPr>
        <w:rPr>
          <w:rFonts w:ascii="Cambria" w:hAnsi="Cambria"/>
          <w:b/>
          <w:sz w:val="20"/>
          <w:szCs w:val="20"/>
          <w:lang w:val="en-GB"/>
        </w:rPr>
      </w:pPr>
    </w:p>
    <w:p w14:paraId="67B174A9" w14:textId="77777777" w:rsidR="00D3469D" w:rsidRDefault="00D3469D" w:rsidP="00F36743">
      <w:pPr>
        <w:rPr>
          <w:rFonts w:ascii="Cambria" w:hAnsi="Cambria"/>
          <w:b/>
          <w:sz w:val="20"/>
          <w:szCs w:val="20"/>
          <w:lang w:val="en-GB"/>
        </w:rPr>
      </w:pPr>
    </w:p>
    <w:p w14:paraId="60AE0926" w14:textId="77777777" w:rsidR="00D3469D" w:rsidRDefault="00D3469D" w:rsidP="00F36743">
      <w:pPr>
        <w:rPr>
          <w:rFonts w:ascii="Cambria" w:hAnsi="Cambria"/>
          <w:b/>
          <w:sz w:val="20"/>
          <w:szCs w:val="20"/>
          <w:lang w:val="en-GB"/>
        </w:rPr>
      </w:pPr>
    </w:p>
    <w:p w14:paraId="09DA032B" w14:textId="77777777" w:rsidR="00D3469D" w:rsidRDefault="00D3469D" w:rsidP="00F36743">
      <w:pPr>
        <w:rPr>
          <w:rFonts w:ascii="Cambria" w:hAnsi="Cambria"/>
          <w:b/>
          <w:sz w:val="20"/>
          <w:szCs w:val="20"/>
          <w:lang w:val="en-GB"/>
        </w:rPr>
      </w:pPr>
    </w:p>
    <w:p w14:paraId="7F618D4D" w14:textId="77777777" w:rsidR="00D3469D" w:rsidRDefault="00D3469D" w:rsidP="00F36743">
      <w:pPr>
        <w:rPr>
          <w:rFonts w:ascii="Cambria" w:hAnsi="Cambria"/>
          <w:b/>
          <w:sz w:val="20"/>
          <w:szCs w:val="20"/>
          <w:lang w:val="en-GB"/>
        </w:rPr>
      </w:pPr>
    </w:p>
    <w:p w14:paraId="605ECAA6" w14:textId="77777777" w:rsidR="00D3469D" w:rsidRDefault="00D3469D" w:rsidP="00F36743">
      <w:pPr>
        <w:rPr>
          <w:rFonts w:ascii="Cambria" w:hAnsi="Cambria"/>
          <w:b/>
          <w:sz w:val="20"/>
          <w:szCs w:val="20"/>
          <w:lang w:val="en-GB"/>
        </w:rPr>
      </w:pPr>
    </w:p>
    <w:p w14:paraId="2275D2A2" w14:textId="77777777" w:rsidR="00D3469D" w:rsidRDefault="00D3469D" w:rsidP="00F36743">
      <w:pPr>
        <w:rPr>
          <w:rFonts w:ascii="Cambria" w:hAnsi="Cambria"/>
          <w:b/>
          <w:sz w:val="20"/>
          <w:szCs w:val="20"/>
          <w:lang w:val="en-GB"/>
        </w:rPr>
      </w:pPr>
    </w:p>
    <w:p w14:paraId="22F4A785" w14:textId="77777777" w:rsidR="00D3469D" w:rsidRDefault="00D3469D" w:rsidP="00F36743">
      <w:pPr>
        <w:rPr>
          <w:rFonts w:ascii="Cambria" w:hAnsi="Cambria"/>
          <w:b/>
          <w:sz w:val="20"/>
          <w:szCs w:val="20"/>
          <w:lang w:val="en-GB"/>
        </w:rPr>
      </w:pPr>
    </w:p>
    <w:p w14:paraId="0D6E78B1" w14:textId="77777777" w:rsidR="00D3469D" w:rsidRDefault="00D3469D" w:rsidP="00F36743">
      <w:pPr>
        <w:rPr>
          <w:rFonts w:ascii="Cambria" w:hAnsi="Cambria"/>
          <w:b/>
          <w:sz w:val="20"/>
          <w:szCs w:val="20"/>
          <w:lang w:val="en-GB"/>
        </w:rPr>
      </w:pPr>
    </w:p>
    <w:p w14:paraId="3E02B64B" w14:textId="77777777" w:rsidR="00D3469D" w:rsidRDefault="00D3469D" w:rsidP="00F36743">
      <w:pPr>
        <w:rPr>
          <w:rFonts w:ascii="Cambria" w:hAnsi="Cambria"/>
          <w:b/>
          <w:sz w:val="20"/>
          <w:szCs w:val="20"/>
          <w:lang w:val="en-GB"/>
        </w:rPr>
      </w:pPr>
    </w:p>
    <w:p w14:paraId="688CBE1D" w14:textId="77777777" w:rsidR="00D3469D" w:rsidRDefault="00D3469D" w:rsidP="00F36743">
      <w:pPr>
        <w:rPr>
          <w:rFonts w:ascii="Cambria" w:hAnsi="Cambria"/>
          <w:b/>
          <w:sz w:val="20"/>
          <w:szCs w:val="20"/>
          <w:lang w:val="en-GB"/>
        </w:rPr>
      </w:pPr>
    </w:p>
    <w:p w14:paraId="01AA462C" w14:textId="77777777" w:rsidR="00D3469D" w:rsidRDefault="00D3469D" w:rsidP="00F36743">
      <w:pPr>
        <w:rPr>
          <w:rFonts w:ascii="Cambria" w:hAnsi="Cambria"/>
          <w:b/>
          <w:sz w:val="20"/>
          <w:szCs w:val="20"/>
          <w:lang w:val="en-GB"/>
        </w:rPr>
      </w:pPr>
    </w:p>
    <w:p w14:paraId="1FD761FF" w14:textId="77777777" w:rsidR="00D3469D" w:rsidRDefault="00D3469D" w:rsidP="00F36743">
      <w:pPr>
        <w:rPr>
          <w:rFonts w:ascii="Cambria" w:hAnsi="Cambria"/>
          <w:b/>
          <w:sz w:val="20"/>
          <w:szCs w:val="20"/>
          <w:lang w:val="en-GB"/>
        </w:rPr>
      </w:pPr>
    </w:p>
    <w:p w14:paraId="7EB2DB44" w14:textId="77777777" w:rsidR="00553A93" w:rsidRDefault="00553A93" w:rsidP="00F36743">
      <w:pPr>
        <w:rPr>
          <w:rFonts w:ascii="Cambria" w:hAnsi="Cambria"/>
          <w:b/>
          <w:sz w:val="20"/>
          <w:szCs w:val="20"/>
          <w:lang w:val="en-GB"/>
        </w:rPr>
      </w:pPr>
    </w:p>
    <w:p w14:paraId="4D6629C9" w14:textId="77777777" w:rsidR="00553A93" w:rsidRDefault="00553A93" w:rsidP="00F36743">
      <w:pPr>
        <w:rPr>
          <w:rFonts w:ascii="Cambria" w:hAnsi="Cambria"/>
          <w:b/>
          <w:sz w:val="20"/>
          <w:szCs w:val="20"/>
          <w:lang w:val="en-GB"/>
        </w:rPr>
      </w:pPr>
    </w:p>
    <w:p w14:paraId="2448A4C2" w14:textId="77777777" w:rsidR="00553A93" w:rsidRDefault="00553A93" w:rsidP="00F36743">
      <w:pPr>
        <w:rPr>
          <w:rFonts w:ascii="Cambria" w:hAnsi="Cambria"/>
          <w:b/>
          <w:sz w:val="20"/>
          <w:szCs w:val="20"/>
          <w:lang w:val="en-GB"/>
        </w:rPr>
      </w:pPr>
    </w:p>
    <w:p w14:paraId="298FF698" w14:textId="77777777" w:rsidR="00553A93" w:rsidRDefault="00553A93" w:rsidP="00F36743">
      <w:pPr>
        <w:rPr>
          <w:rFonts w:ascii="Cambria" w:hAnsi="Cambria"/>
          <w:b/>
          <w:sz w:val="20"/>
          <w:szCs w:val="20"/>
          <w:lang w:val="en-GB"/>
        </w:rPr>
      </w:pPr>
    </w:p>
    <w:p w14:paraId="1A007A12" w14:textId="325E808B" w:rsidR="009D3D7F" w:rsidRPr="00D15906" w:rsidRDefault="00B61AF9" w:rsidP="00F36743">
      <w:pPr>
        <w:jc w:val="both"/>
        <w:rPr>
          <w:rFonts w:ascii="Cambria" w:hAnsi="Cambria"/>
          <w:sz w:val="20"/>
          <w:szCs w:val="20"/>
        </w:rPr>
      </w:pPr>
      <w:r>
        <w:rPr>
          <w:rFonts w:ascii="Cambria" w:hAnsi="Cambria"/>
          <w:b/>
          <w:sz w:val="20"/>
        </w:rPr>
        <w:t xml:space="preserve">Tableau 2. </w:t>
      </w:r>
      <w:r>
        <w:rPr>
          <w:rFonts w:ascii="Cambria" w:hAnsi="Cambria"/>
          <w:sz w:val="20"/>
        </w:rPr>
        <w:t>Nombre de déploiements dans les fermes/madragues par an*.</w:t>
      </w:r>
    </w:p>
    <w:p w14:paraId="6F74D61E" w14:textId="58622233" w:rsidR="00D25DC8" w:rsidRPr="000E7778" w:rsidRDefault="00D25DC8" w:rsidP="00F36743">
      <w:pPr>
        <w:rPr>
          <w:rFonts w:ascii="Cambria" w:hAnsi="Cambria"/>
          <w:b/>
          <w:bCs/>
          <w:color w:val="000000"/>
          <w:sz w:val="20"/>
          <w:szCs w:val="20"/>
        </w:rPr>
      </w:pPr>
    </w:p>
    <w:tbl>
      <w:tblPr>
        <w:tblW w:w="7371" w:type="dxa"/>
        <w:jc w:val="center"/>
        <w:tblLook w:val="04A0" w:firstRow="1" w:lastRow="0" w:firstColumn="1" w:lastColumn="0" w:noHBand="0" w:noVBand="1"/>
      </w:tblPr>
      <w:tblGrid>
        <w:gridCol w:w="2977"/>
        <w:gridCol w:w="1843"/>
        <w:gridCol w:w="2551"/>
      </w:tblGrid>
      <w:tr w:rsidR="00D3469D" w14:paraId="0B32565E" w14:textId="77777777" w:rsidTr="00B66F43">
        <w:trPr>
          <w:trHeight w:val="288"/>
          <w:jc w:val="center"/>
        </w:trPr>
        <w:tc>
          <w:tcPr>
            <w:tcW w:w="2977" w:type="dxa"/>
            <w:tcBorders>
              <w:top w:val="single" w:sz="4" w:space="0" w:color="auto"/>
              <w:left w:val="nil"/>
              <w:bottom w:val="single" w:sz="4" w:space="0" w:color="auto"/>
              <w:right w:val="nil"/>
            </w:tcBorders>
            <w:noWrap/>
            <w:vAlign w:val="center"/>
            <w:hideMark/>
          </w:tcPr>
          <w:p w14:paraId="7047262C" w14:textId="77777777" w:rsidR="00D25DC8" w:rsidRPr="00C75467" w:rsidRDefault="00D25DC8" w:rsidP="00F36743">
            <w:pPr>
              <w:jc w:val="center"/>
              <w:rPr>
                <w:rFonts w:ascii="Cambria" w:hAnsi="Cambria"/>
                <w:b/>
                <w:bCs/>
                <w:i/>
                <w:iCs/>
                <w:color w:val="000000"/>
                <w:sz w:val="20"/>
                <w:szCs w:val="20"/>
              </w:rPr>
            </w:pPr>
            <w:r>
              <w:rPr>
                <w:rFonts w:ascii="Cambria" w:hAnsi="Cambria"/>
                <w:b/>
                <w:i/>
                <w:color w:val="000000"/>
                <w:sz w:val="20"/>
              </w:rPr>
              <w:t>Année</w:t>
            </w:r>
          </w:p>
        </w:tc>
        <w:tc>
          <w:tcPr>
            <w:tcW w:w="1843" w:type="dxa"/>
            <w:tcBorders>
              <w:top w:val="single" w:sz="4" w:space="0" w:color="auto"/>
              <w:left w:val="nil"/>
              <w:bottom w:val="single" w:sz="4" w:space="0" w:color="auto"/>
              <w:right w:val="nil"/>
            </w:tcBorders>
            <w:noWrap/>
            <w:vAlign w:val="center"/>
            <w:hideMark/>
          </w:tcPr>
          <w:p w14:paraId="749047C3" w14:textId="77777777" w:rsidR="00D25DC8" w:rsidRPr="00C75467" w:rsidRDefault="00D25DC8" w:rsidP="00F36743">
            <w:pPr>
              <w:jc w:val="center"/>
              <w:rPr>
                <w:rFonts w:ascii="Cambria" w:hAnsi="Cambria"/>
                <w:b/>
                <w:bCs/>
                <w:i/>
                <w:iCs/>
                <w:color w:val="000000"/>
                <w:sz w:val="20"/>
                <w:szCs w:val="20"/>
              </w:rPr>
            </w:pPr>
            <w:r>
              <w:rPr>
                <w:rFonts w:ascii="Cambria" w:hAnsi="Cambria"/>
                <w:b/>
                <w:i/>
                <w:color w:val="000000"/>
                <w:sz w:val="20"/>
              </w:rPr>
              <w:t>Nombre de déploiements dans les fermes</w:t>
            </w:r>
          </w:p>
        </w:tc>
        <w:tc>
          <w:tcPr>
            <w:tcW w:w="2551" w:type="dxa"/>
            <w:tcBorders>
              <w:top w:val="single" w:sz="4" w:space="0" w:color="auto"/>
              <w:left w:val="nil"/>
              <w:bottom w:val="single" w:sz="4" w:space="0" w:color="auto"/>
              <w:right w:val="nil"/>
            </w:tcBorders>
            <w:noWrap/>
            <w:vAlign w:val="center"/>
            <w:hideMark/>
          </w:tcPr>
          <w:p w14:paraId="5E1E05B0" w14:textId="77777777" w:rsidR="00D25DC8" w:rsidRPr="00C75467" w:rsidRDefault="00D25DC8" w:rsidP="00F36743">
            <w:pPr>
              <w:jc w:val="center"/>
              <w:rPr>
                <w:rFonts w:ascii="Cambria" w:hAnsi="Cambria"/>
                <w:b/>
                <w:bCs/>
                <w:i/>
                <w:iCs/>
                <w:color w:val="000000"/>
                <w:sz w:val="20"/>
                <w:szCs w:val="20"/>
              </w:rPr>
            </w:pPr>
            <w:r>
              <w:rPr>
                <w:rFonts w:ascii="Cambria" w:hAnsi="Cambria"/>
                <w:b/>
                <w:i/>
                <w:color w:val="000000"/>
                <w:sz w:val="20"/>
              </w:rPr>
              <w:t>Nombre de déploiements dans les madragues</w:t>
            </w:r>
          </w:p>
        </w:tc>
      </w:tr>
      <w:tr w:rsidR="00D25DC8" w14:paraId="54025E7F" w14:textId="77777777" w:rsidTr="00B66F43">
        <w:trPr>
          <w:trHeight w:val="288"/>
          <w:jc w:val="center"/>
        </w:trPr>
        <w:tc>
          <w:tcPr>
            <w:tcW w:w="2977" w:type="dxa"/>
            <w:tcBorders>
              <w:top w:val="single" w:sz="4" w:space="0" w:color="auto"/>
              <w:left w:val="nil"/>
              <w:bottom w:val="nil"/>
              <w:right w:val="nil"/>
            </w:tcBorders>
            <w:noWrap/>
            <w:vAlign w:val="bottom"/>
            <w:hideMark/>
          </w:tcPr>
          <w:p w14:paraId="19A6D1FA" w14:textId="77777777" w:rsidR="00D25DC8" w:rsidRDefault="00D25DC8" w:rsidP="00F36743">
            <w:pPr>
              <w:jc w:val="center"/>
              <w:rPr>
                <w:rFonts w:ascii="Cambria" w:hAnsi="Cambria"/>
                <w:color w:val="000000"/>
                <w:sz w:val="20"/>
                <w:szCs w:val="20"/>
              </w:rPr>
            </w:pPr>
            <w:r>
              <w:rPr>
                <w:rFonts w:ascii="Cambria" w:hAnsi="Cambria"/>
                <w:color w:val="000000"/>
                <w:sz w:val="20"/>
              </w:rPr>
              <w:t>2009</w:t>
            </w:r>
          </w:p>
        </w:tc>
        <w:tc>
          <w:tcPr>
            <w:tcW w:w="1843" w:type="dxa"/>
            <w:tcBorders>
              <w:top w:val="single" w:sz="4" w:space="0" w:color="auto"/>
              <w:left w:val="nil"/>
              <w:bottom w:val="nil"/>
              <w:right w:val="nil"/>
            </w:tcBorders>
            <w:noWrap/>
            <w:vAlign w:val="bottom"/>
            <w:hideMark/>
          </w:tcPr>
          <w:p w14:paraId="2FD2362B" w14:textId="77777777" w:rsidR="00D25DC8" w:rsidRDefault="00D25DC8" w:rsidP="00F36743">
            <w:pPr>
              <w:jc w:val="center"/>
              <w:rPr>
                <w:rFonts w:ascii="Cambria" w:hAnsi="Cambria"/>
                <w:color w:val="000000"/>
                <w:sz w:val="20"/>
                <w:szCs w:val="20"/>
              </w:rPr>
            </w:pPr>
            <w:r>
              <w:rPr>
                <w:rFonts w:ascii="Cambria" w:hAnsi="Cambria"/>
                <w:color w:val="000000"/>
                <w:sz w:val="20"/>
              </w:rPr>
              <w:t>3</w:t>
            </w:r>
          </w:p>
        </w:tc>
        <w:tc>
          <w:tcPr>
            <w:tcW w:w="2551" w:type="dxa"/>
            <w:tcBorders>
              <w:top w:val="single" w:sz="4" w:space="0" w:color="auto"/>
              <w:left w:val="nil"/>
              <w:bottom w:val="nil"/>
              <w:right w:val="nil"/>
            </w:tcBorders>
            <w:noWrap/>
            <w:vAlign w:val="bottom"/>
            <w:hideMark/>
          </w:tcPr>
          <w:p w14:paraId="2E74DB00" w14:textId="77777777" w:rsidR="00D25DC8" w:rsidRDefault="00D25DC8" w:rsidP="00F36743">
            <w:pPr>
              <w:jc w:val="center"/>
              <w:rPr>
                <w:rFonts w:ascii="Cambria" w:hAnsi="Cambria"/>
                <w:color w:val="000000"/>
                <w:sz w:val="20"/>
                <w:szCs w:val="20"/>
              </w:rPr>
            </w:pPr>
          </w:p>
        </w:tc>
      </w:tr>
      <w:tr w:rsidR="00D25DC8" w14:paraId="4A292E2D" w14:textId="77777777" w:rsidTr="00B66F43">
        <w:trPr>
          <w:trHeight w:val="288"/>
          <w:jc w:val="center"/>
        </w:trPr>
        <w:tc>
          <w:tcPr>
            <w:tcW w:w="2977" w:type="dxa"/>
            <w:tcBorders>
              <w:top w:val="nil"/>
              <w:left w:val="nil"/>
              <w:bottom w:val="nil"/>
              <w:right w:val="nil"/>
            </w:tcBorders>
            <w:noWrap/>
            <w:vAlign w:val="bottom"/>
            <w:hideMark/>
          </w:tcPr>
          <w:p w14:paraId="79F0239F" w14:textId="77777777" w:rsidR="00D25DC8" w:rsidRDefault="00D25DC8" w:rsidP="00F36743">
            <w:pPr>
              <w:jc w:val="center"/>
              <w:rPr>
                <w:rFonts w:ascii="Cambria" w:hAnsi="Cambria"/>
                <w:color w:val="000000"/>
                <w:sz w:val="20"/>
                <w:szCs w:val="20"/>
              </w:rPr>
            </w:pPr>
            <w:r>
              <w:rPr>
                <w:rFonts w:ascii="Cambria" w:hAnsi="Cambria"/>
                <w:color w:val="000000"/>
                <w:sz w:val="20"/>
              </w:rPr>
              <w:t>2010</w:t>
            </w:r>
          </w:p>
        </w:tc>
        <w:tc>
          <w:tcPr>
            <w:tcW w:w="1843" w:type="dxa"/>
            <w:tcBorders>
              <w:top w:val="nil"/>
              <w:left w:val="nil"/>
              <w:bottom w:val="nil"/>
              <w:right w:val="nil"/>
            </w:tcBorders>
            <w:noWrap/>
            <w:vAlign w:val="bottom"/>
            <w:hideMark/>
          </w:tcPr>
          <w:p w14:paraId="0C9383C6" w14:textId="77777777" w:rsidR="00D25DC8" w:rsidRDefault="00D25DC8" w:rsidP="00F36743">
            <w:pPr>
              <w:jc w:val="center"/>
              <w:rPr>
                <w:rFonts w:ascii="Cambria" w:hAnsi="Cambria"/>
                <w:color w:val="000000"/>
                <w:sz w:val="20"/>
                <w:szCs w:val="20"/>
              </w:rPr>
            </w:pPr>
            <w:r>
              <w:rPr>
                <w:rFonts w:ascii="Cambria" w:hAnsi="Cambria"/>
                <w:color w:val="000000"/>
                <w:sz w:val="20"/>
              </w:rPr>
              <w:t>41</w:t>
            </w:r>
          </w:p>
        </w:tc>
        <w:tc>
          <w:tcPr>
            <w:tcW w:w="2551" w:type="dxa"/>
            <w:tcBorders>
              <w:top w:val="nil"/>
              <w:left w:val="nil"/>
              <w:bottom w:val="nil"/>
              <w:right w:val="nil"/>
            </w:tcBorders>
            <w:noWrap/>
            <w:vAlign w:val="bottom"/>
            <w:hideMark/>
          </w:tcPr>
          <w:p w14:paraId="123303E5" w14:textId="77777777" w:rsidR="00D25DC8" w:rsidRDefault="00D25DC8" w:rsidP="00F36743">
            <w:pPr>
              <w:jc w:val="center"/>
              <w:rPr>
                <w:rFonts w:ascii="Cambria" w:hAnsi="Cambria"/>
                <w:color w:val="000000"/>
                <w:sz w:val="20"/>
                <w:szCs w:val="20"/>
              </w:rPr>
            </w:pPr>
          </w:p>
        </w:tc>
      </w:tr>
      <w:tr w:rsidR="00D25DC8" w14:paraId="6E157E71" w14:textId="77777777" w:rsidTr="00B66F43">
        <w:trPr>
          <w:trHeight w:val="288"/>
          <w:jc w:val="center"/>
        </w:trPr>
        <w:tc>
          <w:tcPr>
            <w:tcW w:w="2977" w:type="dxa"/>
            <w:tcBorders>
              <w:top w:val="nil"/>
              <w:left w:val="nil"/>
              <w:bottom w:val="nil"/>
              <w:right w:val="nil"/>
            </w:tcBorders>
            <w:noWrap/>
            <w:vAlign w:val="bottom"/>
            <w:hideMark/>
          </w:tcPr>
          <w:p w14:paraId="28DD40DA" w14:textId="77777777" w:rsidR="00D25DC8" w:rsidRDefault="00D25DC8" w:rsidP="00F36743">
            <w:pPr>
              <w:jc w:val="center"/>
              <w:rPr>
                <w:rFonts w:ascii="Cambria" w:hAnsi="Cambria"/>
                <w:color w:val="000000"/>
                <w:sz w:val="20"/>
                <w:szCs w:val="20"/>
              </w:rPr>
            </w:pPr>
            <w:r>
              <w:rPr>
                <w:rFonts w:ascii="Cambria" w:hAnsi="Cambria"/>
                <w:color w:val="000000"/>
                <w:sz w:val="20"/>
              </w:rPr>
              <w:t>2011</w:t>
            </w:r>
          </w:p>
        </w:tc>
        <w:tc>
          <w:tcPr>
            <w:tcW w:w="1843" w:type="dxa"/>
            <w:tcBorders>
              <w:top w:val="nil"/>
              <w:left w:val="nil"/>
              <w:bottom w:val="nil"/>
              <w:right w:val="nil"/>
            </w:tcBorders>
            <w:noWrap/>
            <w:vAlign w:val="bottom"/>
            <w:hideMark/>
          </w:tcPr>
          <w:p w14:paraId="4B0DB021" w14:textId="77777777" w:rsidR="00D25DC8" w:rsidRDefault="00D25DC8" w:rsidP="00F36743">
            <w:pPr>
              <w:jc w:val="center"/>
              <w:rPr>
                <w:rFonts w:ascii="Cambria" w:hAnsi="Cambria"/>
                <w:color w:val="000000"/>
                <w:sz w:val="20"/>
                <w:szCs w:val="20"/>
              </w:rPr>
            </w:pPr>
            <w:r>
              <w:rPr>
                <w:rFonts w:ascii="Cambria" w:hAnsi="Cambria"/>
                <w:color w:val="000000"/>
                <w:sz w:val="20"/>
              </w:rPr>
              <w:t>53</w:t>
            </w:r>
          </w:p>
        </w:tc>
        <w:tc>
          <w:tcPr>
            <w:tcW w:w="2551" w:type="dxa"/>
            <w:tcBorders>
              <w:top w:val="nil"/>
              <w:left w:val="nil"/>
              <w:bottom w:val="nil"/>
              <w:right w:val="nil"/>
            </w:tcBorders>
            <w:noWrap/>
            <w:vAlign w:val="bottom"/>
            <w:hideMark/>
          </w:tcPr>
          <w:p w14:paraId="672AC005" w14:textId="77777777" w:rsidR="00D25DC8" w:rsidRDefault="00D25DC8" w:rsidP="00F36743">
            <w:pPr>
              <w:jc w:val="center"/>
              <w:rPr>
                <w:rFonts w:ascii="Cambria" w:hAnsi="Cambria"/>
                <w:color w:val="000000"/>
                <w:sz w:val="20"/>
                <w:szCs w:val="20"/>
              </w:rPr>
            </w:pPr>
          </w:p>
        </w:tc>
      </w:tr>
      <w:tr w:rsidR="00D25DC8" w14:paraId="049894ED" w14:textId="77777777" w:rsidTr="00B66F43">
        <w:trPr>
          <w:trHeight w:val="288"/>
          <w:jc w:val="center"/>
        </w:trPr>
        <w:tc>
          <w:tcPr>
            <w:tcW w:w="2977" w:type="dxa"/>
            <w:tcBorders>
              <w:top w:val="nil"/>
              <w:left w:val="nil"/>
              <w:bottom w:val="nil"/>
              <w:right w:val="nil"/>
            </w:tcBorders>
            <w:noWrap/>
            <w:vAlign w:val="bottom"/>
            <w:hideMark/>
          </w:tcPr>
          <w:p w14:paraId="49A0B434" w14:textId="77777777" w:rsidR="00D25DC8" w:rsidRDefault="00D25DC8" w:rsidP="00F36743">
            <w:pPr>
              <w:jc w:val="center"/>
              <w:rPr>
                <w:rFonts w:ascii="Cambria" w:hAnsi="Cambria"/>
                <w:color w:val="000000"/>
                <w:sz w:val="20"/>
                <w:szCs w:val="20"/>
              </w:rPr>
            </w:pPr>
            <w:r>
              <w:rPr>
                <w:rFonts w:ascii="Cambria" w:hAnsi="Cambria"/>
                <w:color w:val="000000"/>
                <w:sz w:val="20"/>
              </w:rPr>
              <w:t>2012</w:t>
            </w:r>
          </w:p>
        </w:tc>
        <w:tc>
          <w:tcPr>
            <w:tcW w:w="1843" w:type="dxa"/>
            <w:tcBorders>
              <w:top w:val="nil"/>
              <w:left w:val="nil"/>
              <w:bottom w:val="nil"/>
              <w:right w:val="nil"/>
            </w:tcBorders>
            <w:noWrap/>
            <w:vAlign w:val="bottom"/>
            <w:hideMark/>
          </w:tcPr>
          <w:p w14:paraId="352E122C" w14:textId="77777777" w:rsidR="00D25DC8" w:rsidRDefault="00D25DC8" w:rsidP="00F36743">
            <w:pPr>
              <w:jc w:val="center"/>
              <w:rPr>
                <w:rFonts w:ascii="Cambria" w:hAnsi="Cambria"/>
                <w:color w:val="000000"/>
                <w:sz w:val="20"/>
                <w:szCs w:val="20"/>
              </w:rPr>
            </w:pPr>
            <w:r>
              <w:rPr>
                <w:rFonts w:ascii="Cambria" w:hAnsi="Cambria"/>
                <w:color w:val="000000"/>
                <w:sz w:val="20"/>
              </w:rPr>
              <w:t>51</w:t>
            </w:r>
          </w:p>
        </w:tc>
        <w:tc>
          <w:tcPr>
            <w:tcW w:w="2551" w:type="dxa"/>
            <w:tcBorders>
              <w:top w:val="nil"/>
              <w:left w:val="nil"/>
              <w:bottom w:val="nil"/>
              <w:right w:val="nil"/>
            </w:tcBorders>
            <w:noWrap/>
            <w:vAlign w:val="bottom"/>
            <w:hideMark/>
          </w:tcPr>
          <w:p w14:paraId="437BEF4F" w14:textId="77777777" w:rsidR="00D25DC8" w:rsidRDefault="00D25DC8" w:rsidP="00F36743">
            <w:pPr>
              <w:jc w:val="center"/>
              <w:rPr>
                <w:rFonts w:ascii="Cambria" w:hAnsi="Cambria"/>
                <w:color w:val="000000"/>
                <w:sz w:val="20"/>
                <w:szCs w:val="20"/>
              </w:rPr>
            </w:pPr>
          </w:p>
        </w:tc>
      </w:tr>
      <w:tr w:rsidR="00D25DC8" w14:paraId="65CA45D6" w14:textId="77777777" w:rsidTr="00B66F43">
        <w:trPr>
          <w:trHeight w:val="288"/>
          <w:jc w:val="center"/>
        </w:trPr>
        <w:tc>
          <w:tcPr>
            <w:tcW w:w="2977" w:type="dxa"/>
            <w:tcBorders>
              <w:top w:val="nil"/>
              <w:left w:val="nil"/>
              <w:bottom w:val="nil"/>
              <w:right w:val="nil"/>
            </w:tcBorders>
            <w:noWrap/>
            <w:vAlign w:val="bottom"/>
            <w:hideMark/>
          </w:tcPr>
          <w:p w14:paraId="6C95F8CC" w14:textId="77777777" w:rsidR="00D25DC8" w:rsidRDefault="00D25DC8" w:rsidP="00F36743">
            <w:pPr>
              <w:jc w:val="center"/>
              <w:rPr>
                <w:rFonts w:ascii="Cambria" w:hAnsi="Cambria"/>
                <w:color w:val="000000"/>
                <w:sz w:val="20"/>
                <w:szCs w:val="20"/>
              </w:rPr>
            </w:pPr>
            <w:r>
              <w:rPr>
                <w:rFonts w:ascii="Cambria" w:hAnsi="Cambria"/>
                <w:color w:val="000000"/>
                <w:sz w:val="20"/>
              </w:rPr>
              <w:t>2013</w:t>
            </w:r>
          </w:p>
        </w:tc>
        <w:tc>
          <w:tcPr>
            <w:tcW w:w="1843" w:type="dxa"/>
            <w:tcBorders>
              <w:top w:val="nil"/>
              <w:left w:val="nil"/>
              <w:bottom w:val="nil"/>
              <w:right w:val="nil"/>
            </w:tcBorders>
            <w:noWrap/>
            <w:vAlign w:val="bottom"/>
            <w:hideMark/>
          </w:tcPr>
          <w:p w14:paraId="5076ACDC" w14:textId="77777777" w:rsidR="00D25DC8" w:rsidRDefault="00D25DC8" w:rsidP="00F36743">
            <w:pPr>
              <w:jc w:val="center"/>
              <w:rPr>
                <w:rFonts w:ascii="Cambria" w:hAnsi="Cambria"/>
                <w:color w:val="000000"/>
                <w:sz w:val="20"/>
                <w:szCs w:val="20"/>
              </w:rPr>
            </w:pPr>
            <w:r>
              <w:rPr>
                <w:rFonts w:ascii="Cambria" w:hAnsi="Cambria"/>
                <w:color w:val="000000"/>
                <w:sz w:val="20"/>
              </w:rPr>
              <w:t>50</w:t>
            </w:r>
          </w:p>
        </w:tc>
        <w:tc>
          <w:tcPr>
            <w:tcW w:w="2551" w:type="dxa"/>
            <w:tcBorders>
              <w:top w:val="nil"/>
              <w:left w:val="nil"/>
              <w:bottom w:val="nil"/>
              <w:right w:val="nil"/>
            </w:tcBorders>
            <w:noWrap/>
            <w:vAlign w:val="bottom"/>
            <w:hideMark/>
          </w:tcPr>
          <w:p w14:paraId="73D24C69" w14:textId="77777777" w:rsidR="00D25DC8" w:rsidRDefault="00D25DC8" w:rsidP="00F36743">
            <w:pPr>
              <w:jc w:val="center"/>
              <w:rPr>
                <w:rFonts w:ascii="Cambria" w:hAnsi="Cambria"/>
                <w:color w:val="000000"/>
                <w:sz w:val="20"/>
                <w:szCs w:val="20"/>
              </w:rPr>
            </w:pPr>
            <w:r>
              <w:rPr>
                <w:rFonts w:ascii="Cambria" w:hAnsi="Cambria"/>
                <w:color w:val="000000"/>
                <w:sz w:val="20"/>
              </w:rPr>
              <w:t>2</w:t>
            </w:r>
          </w:p>
        </w:tc>
      </w:tr>
      <w:tr w:rsidR="00D25DC8" w14:paraId="4E827237" w14:textId="77777777" w:rsidTr="00B66F43">
        <w:trPr>
          <w:trHeight w:val="288"/>
          <w:jc w:val="center"/>
        </w:trPr>
        <w:tc>
          <w:tcPr>
            <w:tcW w:w="2977" w:type="dxa"/>
            <w:tcBorders>
              <w:top w:val="nil"/>
              <w:left w:val="nil"/>
              <w:bottom w:val="nil"/>
              <w:right w:val="nil"/>
            </w:tcBorders>
            <w:noWrap/>
            <w:vAlign w:val="bottom"/>
            <w:hideMark/>
          </w:tcPr>
          <w:p w14:paraId="1BE61FF3" w14:textId="77777777" w:rsidR="00D25DC8" w:rsidRDefault="00D25DC8" w:rsidP="00F36743">
            <w:pPr>
              <w:jc w:val="center"/>
              <w:rPr>
                <w:rFonts w:ascii="Cambria" w:hAnsi="Cambria"/>
                <w:color w:val="000000"/>
                <w:sz w:val="20"/>
                <w:szCs w:val="20"/>
              </w:rPr>
            </w:pPr>
            <w:r>
              <w:rPr>
                <w:rFonts w:ascii="Cambria" w:hAnsi="Cambria"/>
                <w:color w:val="000000"/>
                <w:sz w:val="20"/>
              </w:rPr>
              <w:t>2014</w:t>
            </w:r>
          </w:p>
        </w:tc>
        <w:tc>
          <w:tcPr>
            <w:tcW w:w="1843" w:type="dxa"/>
            <w:tcBorders>
              <w:top w:val="nil"/>
              <w:left w:val="nil"/>
              <w:bottom w:val="nil"/>
              <w:right w:val="nil"/>
            </w:tcBorders>
            <w:noWrap/>
            <w:vAlign w:val="bottom"/>
            <w:hideMark/>
          </w:tcPr>
          <w:p w14:paraId="666474C2" w14:textId="77777777" w:rsidR="00D25DC8" w:rsidRDefault="00D25DC8" w:rsidP="00F36743">
            <w:pPr>
              <w:jc w:val="center"/>
              <w:rPr>
                <w:rFonts w:ascii="Cambria" w:hAnsi="Cambria"/>
                <w:color w:val="000000"/>
                <w:sz w:val="20"/>
                <w:szCs w:val="20"/>
              </w:rPr>
            </w:pPr>
            <w:r>
              <w:rPr>
                <w:rFonts w:ascii="Cambria" w:hAnsi="Cambria"/>
                <w:color w:val="000000"/>
                <w:sz w:val="20"/>
              </w:rPr>
              <w:t>45</w:t>
            </w:r>
          </w:p>
        </w:tc>
        <w:tc>
          <w:tcPr>
            <w:tcW w:w="2551" w:type="dxa"/>
            <w:tcBorders>
              <w:top w:val="nil"/>
              <w:left w:val="nil"/>
              <w:bottom w:val="nil"/>
              <w:right w:val="nil"/>
            </w:tcBorders>
            <w:noWrap/>
            <w:vAlign w:val="bottom"/>
            <w:hideMark/>
          </w:tcPr>
          <w:p w14:paraId="36E01B42" w14:textId="77777777" w:rsidR="00D25DC8" w:rsidRDefault="00D25DC8" w:rsidP="00F36743">
            <w:pPr>
              <w:jc w:val="center"/>
              <w:rPr>
                <w:rFonts w:ascii="Cambria" w:hAnsi="Cambria"/>
                <w:color w:val="000000"/>
                <w:sz w:val="20"/>
                <w:szCs w:val="20"/>
              </w:rPr>
            </w:pPr>
            <w:r>
              <w:rPr>
                <w:rFonts w:ascii="Cambria" w:hAnsi="Cambria"/>
                <w:color w:val="000000"/>
                <w:sz w:val="20"/>
              </w:rPr>
              <w:t>3</w:t>
            </w:r>
          </w:p>
        </w:tc>
      </w:tr>
      <w:tr w:rsidR="00D25DC8" w14:paraId="292C7414" w14:textId="77777777" w:rsidTr="00B66F43">
        <w:trPr>
          <w:trHeight w:val="288"/>
          <w:jc w:val="center"/>
        </w:trPr>
        <w:tc>
          <w:tcPr>
            <w:tcW w:w="2977" w:type="dxa"/>
            <w:tcBorders>
              <w:top w:val="nil"/>
              <w:left w:val="nil"/>
              <w:bottom w:val="nil"/>
              <w:right w:val="nil"/>
            </w:tcBorders>
            <w:noWrap/>
            <w:vAlign w:val="bottom"/>
            <w:hideMark/>
          </w:tcPr>
          <w:p w14:paraId="7D648D81" w14:textId="77777777" w:rsidR="00D25DC8" w:rsidRDefault="00D25DC8" w:rsidP="00F36743">
            <w:pPr>
              <w:jc w:val="center"/>
              <w:rPr>
                <w:rFonts w:ascii="Cambria" w:hAnsi="Cambria"/>
                <w:color w:val="000000"/>
                <w:sz w:val="20"/>
                <w:szCs w:val="20"/>
              </w:rPr>
            </w:pPr>
            <w:r>
              <w:rPr>
                <w:rFonts w:ascii="Cambria" w:hAnsi="Cambria"/>
                <w:color w:val="000000"/>
                <w:sz w:val="20"/>
              </w:rPr>
              <w:t>2015</w:t>
            </w:r>
          </w:p>
        </w:tc>
        <w:tc>
          <w:tcPr>
            <w:tcW w:w="1843" w:type="dxa"/>
            <w:tcBorders>
              <w:top w:val="nil"/>
              <w:left w:val="nil"/>
              <w:bottom w:val="nil"/>
              <w:right w:val="nil"/>
            </w:tcBorders>
            <w:noWrap/>
            <w:vAlign w:val="bottom"/>
            <w:hideMark/>
          </w:tcPr>
          <w:p w14:paraId="159592CA" w14:textId="77777777" w:rsidR="00D25DC8" w:rsidRDefault="00D25DC8" w:rsidP="00F36743">
            <w:pPr>
              <w:jc w:val="center"/>
              <w:rPr>
                <w:rFonts w:ascii="Cambria" w:hAnsi="Cambria"/>
                <w:color w:val="000000"/>
                <w:sz w:val="20"/>
                <w:szCs w:val="20"/>
              </w:rPr>
            </w:pPr>
            <w:r>
              <w:rPr>
                <w:rFonts w:ascii="Cambria" w:hAnsi="Cambria"/>
                <w:color w:val="000000"/>
                <w:sz w:val="20"/>
              </w:rPr>
              <w:t>52</w:t>
            </w:r>
          </w:p>
        </w:tc>
        <w:tc>
          <w:tcPr>
            <w:tcW w:w="2551" w:type="dxa"/>
            <w:tcBorders>
              <w:top w:val="nil"/>
              <w:left w:val="nil"/>
              <w:bottom w:val="nil"/>
              <w:right w:val="nil"/>
            </w:tcBorders>
            <w:noWrap/>
            <w:vAlign w:val="bottom"/>
            <w:hideMark/>
          </w:tcPr>
          <w:p w14:paraId="262D0BDA" w14:textId="77777777" w:rsidR="00D25DC8" w:rsidRDefault="00D25DC8" w:rsidP="00F36743">
            <w:pPr>
              <w:jc w:val="center"/>
              <w:rPr>
                <w:rFonts w:ascii="Cambria" w:hAnsi="Cambria"/>
                <w:color w:val="000000"/>
                <w:sz w:val="20"/>
                <w:szCs w:val="20"/>
              </w:rPr>
            </w:pPr>
            <w:r>
              <w:rPr>
                <w:rFonts w:ascii="Cambria" w:hAnsi="Cambria"/>
                <w:color w:val="000000"/>
                <w:sz w:val="20"/>
              </w:rPr>
              <w:t>3</w:t>
            </w:r>
          </w:p>
        </w:tc>
      </w:tr>
      <w:tr w:rsidR="00D25DC8" w14:paraId="00988787" w14:textId="77777777" w:rsidTr="00B66F43">
        <w:trPr>
          <w:trHeight w:val="288"/>
          <w:jc w:val="center"/>
        </w:trPr>
        <w:tc>
          <w:tcPr>
            <w:tcW w:w="2977" w:type="dxa"/>
            <w:tcBorders>
              <w:top w:val="nil"/>
              <w:left w:val="nil"/>
              <w:bottom w:val="nil"/>
              <w:right w:val="nil"/>
            </w:tcBorders>
            <w:noWrap/>
            <w:vAlign w:val="bottom"/>
            <w:hideMark/>
          </w:tcPr>
          <w:p w14:paraId="296DDA7D" w14:textId="77777777" w:rsidR="00D25DC8" w:rsidRDefault="00D25DC8" w:rsidP="00F36743">
            <w:pPr>
              <w:jc w:val="center"/>
              <w:rPr>
                <w:rFonts w:ascii="Cambria" w:hAnsi="Cambria"/>
                <w:color w:val="000000"/>
                <w:sz w:val="20"/>
                <w:szCs w:val="20"/>
              </w:rPr>
            </w:pPr>
            <w:r>
              <w:rPr>
                <w:rFonts w:ascii="Cambria" w:hAnsi="Cambria"/>
                <w:color w:val="000000"/>
                <w:sz w:val="20"/>
              </w:rPr>
              <w:t>2016</w:t>
            </w:r>
          </w:p>
        </w:tc>
        <w:tc>
          <w:tcPr>
            <w:tcW w:w="1843" w:type="dxa"/>
            <w:tcBorders>
              <w:top w:val="nil"/>
              <w:left w:val="nil"/>
              <w:bottom w:val="nil"/>
              <w:right w:val="nil"/>
            </w:tcBorders>
            <w:noWrap/>
            <w:vAlign w:val="bottom"/>
            <w:hideMark/>
          </w:tcPr>
          <w:p w14:paraId="7663C23A" w14:textId="77777777" w:rsidR="00D25DC8" w:rsidRDefault="00D25DC8" w:rsidP="00F36743">
            <w:pPr>
              <w:jc w:val="center"/>
              <w:rPr>
                <w:rFonts w:ascii="Cambria" w:hAnsi="Cambria"/>
                <w:color w:val="000000"/>
                <w:sz w:val="20"/>
                <w:szCs w:val="20"/>
              </w:rPr>
            </w:pPr>
            <w:r>
              <w:rPr>
                <w:rFonts w:ascii="Cambria" w:hAnsi="Cambria"/>
                <w:color w:val="000000"/>
                <w:sz w:val="20"/>
              </w:rPr>
              <w:t>53</w:t>
            </w:r>
          </w:p>
        </w:tc>
        <w:tc>
          <w:tcPr>
            <w:tcW w:w="2551" w:type="dxa"/>
            <w:tcBorders>
              <w:top w:val="nil"/>
              <w:left w:val="nil"/>
              <w:bottom w:val="nil"/>
              <w:right w:val="nil"/>
            </w:tcBorders>
            <w:noWrap/>
            <w:vAlign w:val="bottom"/>
            <w:hideMark/>
          </w:tcPr>
          <w:p w14:paraId="6C1F1C96" w14:textId="77777777" w:rsidR="00D25DC8" w:rsidRDefault="00D25DC8" w:rsidP="00F36743">
            <w:pPr>
              <w:jc w:val="center"/>
              <w:rPr>
                <w:rFonts w:ascii="Cambria" w:hAnsi="Cambria"/>
                <w:color w:val="000000"/>
                <w:sz w:val="20"/>
                <w:szCs w:val="20"/>
              </w:rPr>
            </w:pPr>
            <w:r>
              <w:rPr>
                <w:rFonts w:ascii="Cambria" w:hAnsi="Cambria"/>
                <w:color w:val="000000"/>
                <w:sz w:val="20"/>
              </w:rPr>
              <w:t>2</w:t>
            </w:r>
          </w:p>
        </w:tc>
      </w:tr>
      <w:tr w:rsidR="00D25DC8" w14:paraId="26EF06CE" w14:textId="77777777" w:rsidTr="00B66F43">
        <w:trPr>
          <w:trHeight w:val="288"/>
          <w:jc w:val="center"/>
        </w:trPr>
        <w:tc>
          <w:tcPr>
            <w:tcW w:w="2977" w:type="dxa"/>
            <w:tcBorders>
              <w:top w:val="nil"/>
              <w:left w:val="nil"/>
              <w:bottom w:val="nil"/>
              <w:right w:val="nil"/>
            </w:tcBorders>
            <w:noWrap/>
            <w:vAlign w:val="bottom"/>
            <w:hideMark/>
          </w:tcPr>
          <w:p w14:paraId="76940235" w14:textId="77777777" w:rsidR="00D25DC8" w:rsidRDefault="00D25DC8" w:rsidP="00F36743">
            <w:pPr>
              <w:jc w:val="center"/>
              <w:rPr>
                <w:rFonts w:ascii="Cambria" w:hAnsi="Cambria"/>
                <w:color w:val="000000"/>
                <w:sz w:val="20"/>
                <w:szCs w:val="20"/>
              </w:rPr>
            </w:pPr>
            <w:r>
              <w:rPr>
                <w:rFonts w:ascii="Cambria" w:hAnsi="Cambria"/>
                <w:color w:val="000000"/>
                <w:sz w:val="20"/>
              </w:rPr>
              <w:t>2017</w:t>
            </w:r>
          </w:p>
        </w:tc>
        <w:tc>
          <w:tcPr>
            <w:tcW w:w="1843" w:type="dxa"/>
            <w:tcBorders>
              <w:top w:val="nil"/>
              <w:left w:val="nil"/>
              <w:bottom w:val="nil"/>
              <w:right w:val="nil"/>
            </w:tcBorders>
            <w:noWrap/>
            <w:vAlign w:val="bottom"/>
            <w:hideMark/>
          </w:tcPr>
          <w:p w14:paraId="2725A5FD" w14:textId="77777777" w:rsidR="00D25DC8" w:rsidRDefault="00D25DC8" w:rsidP="00F36743">
            <w:pPr>
              <w:jc w:val="center"/>
              <w:rPr>
                <w:rFonts w:ascii="Cambria" w:hAnsi="Cambria"/>
                <w:color w:val="000000"/>
                <w:sz w:val="20"/>
                <w:szCs w:val="20"/>
              </w:rPr>
            </w:pPr>
            <w:r>
              <w:rPr>
                <w:rFonts w:ascii="Cambria" w:hAnsi="Cambria"/>
                <w:color w:val="000000"/>
                <w:sz w:val="20"/>
              </w:rPr>
              <w:t>49</w:t>
            </w:r>
          </w:p>
        </w:tc>
        <w:tc>
          <w:tcPr>
            <w:tcW w:w="2551" w:type="dxa"/>
            <w:tcBorders>
              <w:top w:val="nil"/>
              <w:left w:val="nil"/>
              <w:bottom w:val="nil"/>
              <w:right w:val="nil"/>
            </w:tcBorders>
            <w:noWrap/>
            <w:vAlign w:val="bottom"/>
            <w:hideMark/>
          </w:tcPr>
          <w:p w14:paraId="6A5DAE27" w14:textId="77777777" w:rsidR="00D25DC8" w:rsidRDefault="00D25DC8" w:rsidP="00F36743">
            <w:pPr>
              <w:jc w:val="center"/>
              <w:rPr>
                <w:rFonts w:ascii="Cambria" w:hAnsi="Cambria"/>
                <w:color w:val="000000"/>
                <w:sz w:val="20"/>
                <w:szCs w:val="20"/>
              </w:rPr>
            </w:pPr>
            <w:r>
              <w:rPr>
                <w:rFonts w:ascii="Cambria" w:hAnsi="Cambria"/>
                <w:color w:val="000000"/>
                <w:sz w:val="20"/>
              </w:rPr>
              <w:t>2</w:t>
            </w:r>
          </w:p>
        </w:tc>
      </w:tr>
      <w:tr w:rsidR="00D25DC8" w14:paraId="5E324B10" w14:textId="77777777" w:rsidTr="00B66F43">
        <w:trPr>
          <w:trHeight w:val="288"/>
          <w:jc w:val="center"/>
        </w:trPr>
        <w:tc>
          <w:tcPr>
            <w:tcW w:w="2977" w:type="dxa"/>
            <w:tcBorders>
              <w:top w:val="nil"/>
              <w:left w:val="nil"/>
              <w:bottom w:val="nil"/>
              <w:right w:val="nil"/>
            </w:tcBorders>
            <w:noWrap/>
            <w:vAlign w:val="bottom"/>
            <w:hideMark/>
          </w:tcPr>
          <w:p w14:paraId="3AE4D13F" w14:textId="77777777" w:rsidR="00D25DC8" w:rsidRDefault="00D25DC8" w:rsidP="00F36743">
            <w:pPr>
              <w:jc w:val="center"/>
              <w:rPr>
                <w:rFonts w:ascii="Cambria" w:hAnsi="Cambria"/>
                <w:color w:val="000000"/>
                <w:sz w:val="20"/>
                <w:szCs w:val="20"/>
              </w:rPr>
            </w:pPr>
            <w:r>
              <w:rPr>
                <w:rFonts w:ascii="Cambria" w:hAnsi="Cambria"/>
                <w:color w:val="000000"/>
                <w:sz w:val="20"/>
              </w:rPr>
              <w:t>2018</w:t>
            </w:r>
          </w:p>
        </w:tc>
        <w:tc>
          <w:tcPr>
            <w:tcW w:w="1843" w:type="dxa"/>
            <w:tcBorders>
              <w:top w:val="nil"/>
              <w:left w:val="nil"/>
              <w:bottom w:val="nil"/>
              <w:right w:val="nil"/>
            </w:tcBorders>
            <w:noWrap/>
            <w:vAlign w:val="bottom"/>
            <w:hideMark/>
          </w:tcPr>
          <w:p w14:paraId="773C3181" w14:textId="77777777" w:rsidR="00D25DC8" w:rsidRDefault="00D25DC8" w:rsidP="00F36743">
            <w:pPr>
              <w:jc w:val="center"/>
              <w:rPr>
                <w:rFonts w:ascii="Cambria" w:hAnsi="Cambria"/>
                <w:color w:val="000000"/>
                <w:sz w:val="20"/>
                <w:szCs w:val="20"/>
              </w:rPr>
            </w:pPr>
            <w:r>
              <w:rPr>
                <w:rFonts w:ascii="Cambria" w:hAnsi="Cambria"/>
                <w:color w:val="000000"/>
                <w:sz w:val="20"/>
              </w:rPr>
              <w:t>56</w:t>
            </w:r>
          </w:p>
        </w:tc>
        <w:tc>
          <w:tcPr>
            <w:tcW w:w="2551" w:type="dxa"/>
            <w:tcBorders>
              <w:top w:val="nil"/>
              <w:left w:val="nil"/>
              <w:bottom w:val="nil"/>
              <w:right w:val="nil"/>
            </w:tcBorders>
            <w:noWrap/>
            <w:vAlign w:val="bottom"/>
            <w:hideMark/>
          </w:tcPr>
          <w:p w14:paraId="5B4416FA" w14:textId="77777777" w:rsidR="00D25DC8" w:rsidRDefault="00D25DC8" w:rsidP="00F36743">
            <w:pPr>
              <w:jc w:val="center"/>
              <w:rPr>
                <w:rFonts w:ascii="Cambria" w:hAnsi="Cambria"/>
                <w:color w:val="000000"/>
                <w:sz w:val="20"/>
                <w:szCs w:val="20"/>
              </w:rPr>
            </w:pPr>
            <w:r>
              <w:rPr>
                <w:rFonts w:ascii="Cambria" w:hAnsi="Cambria"/>
                <w:color w:val="000000"/>
                <w:sz w:val="20"/>
              </w:rPr>
              <w:t>4</w:t>
            </w:r>
          </w:p>
        </w:tc>
      </w:tr>
      <w:tr w:rsidR="00D25DC8" w14:paraId="088423F6" w14:textId="77777777" w:rsidTr="00B66F43">
        <w:trPr>
          <w:trHeight w:val="288"/>
          <w:jc w:val="center"/>
        </w:trPr>
        <w:tc>
          <w:tcPr>
            <w:tcW w:w="2977" w:type="dxa"/>
            <w:tcBorders>
              <w:top w:val="nil"/>
              <w:left w:val="nil"/>
              <w:bottom w:val="nil"/>
              <w:right w:val="nil"/>
            </w:tcBorders>
            <w:noWrap/>
            <w:vAlign w:val="bottom"/>
            <w:hideMark/>
          </w:tcPr>
          <w:p w14:paraId="4A768146" w14:textId="77777777" w:rsidR="00D25DC8" w:rsidRDefault="00D25DC8" w:rsidP="00F36743">
            <w:pPr>
              <w:jc w:val="center"/>
              <w:rPr>
                <w:rFonts w:ascii="Cambria" w:hAnsi="Cambria"/>
                <w:color w:val="000000"/>
                <w:sz w:val="20"/>
                <w:szCs w:val="20"/>
              </w:rPr>
            </w:pPr>
            <w:r>
              <w:rPr>
                <w:rFonts w:ascii="Cambria" w:hAnsi="Cambria"/>
                <w:color w:val="000000"/>
                <w:sz w:val="20"/>
              </w:rPr>
              <w:t>2019</w:t>
            </w:r>
          </w:p>
        </w:tc>
        <w:tc>
          <w:tcPr>
            <w:tcW w:w="1843" w:type="dxa"/>
            <w:tcBorders>
              <w:top w:val="nil"/>
              <w:left w:val="nil"/>
              <w:bottom w:val="nil"/>
              <w:right w:val="nil"/>
            </w:tcBorders>
            <w:noWrap/>
            <w:vAlign w:val="bottom"/>
            <w:hideMark/>
          </w:tcPr>
          <w:p w14:paraId="3F4A39D0" w14:textId="77777777" w:rsidR="00D25DC8" w:rsidRDefault="00D25DC8" w:rsidP="00F36743">
            <w:pPr>
              <w:jc w:val="center"/>
              <w:rPr>
                <w:rFonts w:ascii="Cambria" w:hAnsi="Cambria"/>
                <w:color w:val="000000"/>
                <w:sz w:val="20"/>
                <w:szCs w:val="20"/>
              </w:rPr>
            </w:pPr>
            <w:r>
              <w:rPr>
                <w:rFonts w:ascii="Cambria" w:hAnsi="Cambria"/>
                <w:color w:val="000000"/>
                <w:sz w:val="20"/>
              </w:rPr>
              <w:t>69</w:t>
            </w:r>
          </w:p>
        </w:tc>
        <w:tc>
          <w:tcPr>
            <w:tcW w:w="2551" w:type="dxa"/>
            <w:tcBorders>
              <w:top w:val="nil"/>
              <w:left w:val="nil"/>
              <w:bottom w:val="nil"/>
              <w:right w:val="nil"/>
            </w:tcBorders>
            <w:noWrap/>
            <w:vAlign w:val="bottom"/>
            <w:hideMark/>
          </w:tcPr>
          <w:p w14:paraId="1D98C32C" w14:textId="77777777" w:rsidR="00D25DC8" w:rsidRDefault="00D25DC8" w:rsidP="00F36743">
            <w:pPr>
              <w:jc w:val="center"/>
              <w:rPr>
                <w:rFonts w:ascii="Cambria" w:hAnsi="Cambria"/>
                <w:color w:val="000000"/>
                <w:sz w:val="20"/>
                <w:szCs w:val="20"/>
              </w:rPr>
            </w:pPr>
            <w:r>
              <w:rPr>
                <w:rFonts w:ascii="Cambria" w:hAnsi="Cambria"/>
                <w:color w:val="000000"/>
                <w:sz w:val="20"/>
              </w:rPr>
              <w:t>4</w:t>
            </w:r>
          </w:p>
        </w:tc>
      </w:tr>
      <w:tr w:rsidR="00D25DC8" w14:paraId="5C62BE6A" w14:textId="77777777" w:rsidTr="00B66F43">
        <w:trPr>
          <w:trHeight w:val="288"/>
          <w:jc w:val="center"/>
        </w:trPr>
        <w:tc>
          <w:tcPr>
            <w:tcW w:w="2977" w:type="dxa"/>
            <w:tcBorders>
              <w:top w:val="nil"/>
              <w:left w:val="nil"/>
              <w:bottom w:val="nil"/>
              <w:right w:val="nil"/>
            </w:tcBorders>
            <w:noWrap/>
            <w:vAlign w:val="bottom"/>
            <w:hideMark/>
          </w:tcPr>
          <w:p w14:paraId="506457F4" w14:textId="77777777" w:rsidR="00D25DC8" w:rsidRDefault="00D25DC8" w:rsidP="00F36743">
            <w:pPr>
              <w:jc w:val="center"/>
              <w:rPr>
                <w:rFonts w:ascii="Cambria" w:hAnsi="Cambria"/>
                <w:color w:val="000000"/>
                <w:sz w:val="20"/>
                <w:szCs w:val="20"/>
              </w:rPr>
            </w:pPr>
            <w:r>
              <w:rPr>
                <w:rFonts w:ascii="Cambria" w:hAnsi="Cambria"/>
                <w:color w:val="000000"/>
                <w:sz w:val="20"/>
              </w:rPr>
              <w:t>2020</w:t>
            </w:r>
          </w:p>
        </w:tc>
        <w:tc>
          <w:tcPr>
            <w:tcW w:w="1843" w:type="dxa"/>
            <w:tcBorders>
              <w:top w:val="nil"/>
              <w:left w:val="nil"/>
              <w:bottom w:val="nil"/>
              <w:right w:val="nil"/>
            </w:tcBorders>
            <w:noWrap/>
            <w:vAlign w:val="bottom"/>
            <w:hideMark/>
          </w:tcPr>
          <w:p w14:paraId="348EFF56" w14:textId="77777777" w:rsidR="00D25DC8" w:rsidRDefault="00D25DC8" w:rsidP="00F36743">
            <w:pPr>
              <w:jc w:val="center"/>
              <w:rPr>
                <w:rFonts w:ascii="Cambria" w:hAnsi="Cambria"/>
                <w:color w:val="000000"/>
                <w:sz w:val="20"/>
                <w:szCs w:val="20"/>
              </w:rPr>
            </w:pPr>
            <w:r>
              <w:rPr>
                <w:rFonts w:ascii="Cambria" w:hAnsi="Cambria"/>
                <w:color w:val="000000"/>
                <w:sz w:val="20"/>
              </w:rPr>
              <w:t>67</w:t>
            </w:r>
          </w:p>
        </w:tc>
        <w:tc>
          <w:tcPr>
            <w:tcW w:w="2551" w:type="dxa"/>
            <w:tcBorders>
              <w:top w:val="nil"/>
              <w:left w:val="nil"/>
              <w:bottom w:val="nil"/>
              <w:right w:val="nil"/>
            </w:tcBorders>
            <w:noWrap/>
            <w:vAlign w:val="bottom"/>
            <w:hideMark/>
          </w:tcPr>
          <w:p w14:paraId="6CE65BF5" w14:textId="77777777" w:rsidR="00D25DC8" w:rsidRDefault="00D25DC8" w:rsidP="00F36743">
            <w:pPr>
              <w:jc w:val="center"/>
              <w:rPr>
                <w:rFonts w:ascii="Cambria" w:hAnsi="Cambria"/>
                <w:color w:val="000000"/>
                <w:sz w:val="20"/>
                <w:szCs w:val="20"/>
              </w:rPr>
            </w:pPr>
            <w:r>
              <w:rPr>
                <w:rFonts w:ascii="Cambria" w:hAnsi="Cambria"/>
                <w:color w:val="000000"/>
                <w:sz w:val="20"/>
              </w:rPr>
              <w:t>3</w:t>
            </w:r>
          </w:p>
        </w:tc>
      </w:tr>
      <w:tr w:rsidR="00D25DC8" w14:paraId="75CC44CB" w14:textId="77777777" w:rsidTr="00B66F43">
        <w:trPr>
          <w:trHeight w:val="288"/>
          <w:jc w:val="center"/>
        </w:trPr>
        <w:tc>
          <w:tcPr>
            <w:tcW w:w="2977" w:type="dxa"/>
            <w:tcBorders>
              <w:top w:val="nil"/>
              <w:left w:val="nil"/>
              <w:bottom w:val="nil"/>
              <w:right w:val="nil"/>
            </w:tcBorders>
            <w:noWrap/>
            <w:vAlign w:val="bottom"/>
            <w:hideMark/>
          </w:tcPr>
          <w:p w14:paraId="532FBE73" w14:textId="77777777" w:rsidR="00D25DC8" w:rsidRDefault="00D25DC8" w:rsidP="00F36743">
            <w:pPr>
              <w:jc w:val="center"/>
              <w:rPr>
                <w:rFonts w:ascii="Cambria" w:hAnsi="Cambria"/>
                <w:color w:val="000000"/>
                <w:sz w:val="20"/>
                <w:szCs w:val="20"/>
              </w:rPr>
            </w:pPr>
            <w:r>
              <w:rPr>
                <w:rFonts w:ascii="Cambria" w:hAnsi="Cambria"/>
                <w:color w:val="000000"/>
                <w:sz w:val="20"/>
              </w:rPr>
              <w:t>2021</w:t>
            </w:r>
          </w:p>
        </w:tc>
        <w:tc>
          <w:tcPr>
            <w:tcW w:w="1843" w:type="dxa"/>
            <w:tcBorders>
              <w:top w:val="nil"/>
              <w:left w:val="nil"/>
              <w:bottom w:val="nil"/>
              <w:right w:val="nil"/>
            </w:tcBorders>
            <w:noWrap/>
            <w:vAlign w:val="bottom"/>
            <w:hideMark/>
          </w:tcPr>
          <w:p w14:paraId="69AA28BA" w14:textId="77777777" w:rsidR="00D25DC8" w:rsidRDefault="00D25DC8" w:rsidP="00F36743">
            <w:pPr>
              <w:jc w:val="center"/>
              <w:rPr>
                <w:rFonts w:ascii="Cambria" w:hAnsi="Cambria"/>
                <w:color w:val="000000"/>
                <w:sz w:val="20"/>
                <w:szCs w:val="20"/>
              </w:rPr>
            </w:pPr>
            <w:r>
              <w:rPr>
                <w:rFonts w:ascii="Cambria" w:hAnsi="Cambria"/>
                <w:color w:val="000000"/>
                <w:sz w:val="20"/>
              </w:rPr>
              <w:t>61</w:t>
            </w:r>
          </w:p>
        </w:tc>
        <w:tc>
          <w:tcPr>
            <w:tcW w:w="2551" w:type="dxa"/>
            <w:tcBorders>
              <w:top w:val="nil"/>
              <w:left w:val="nil"/>
              <w:bottom w:val="nil"/>
              <w:right w:val="nil"/>
            </w:tcBorders>
            <w:noWrap/>
            <w:vAlign w:val="bottom"/>
            <w:hideMark/>
          </w:tcPr>
          <w:p w14:paraId="3FE95770" w14:textId="77777777" w:rsidR="00D25DC8" w:rsidRDefault="00D25DC8" w:rsidP="00F36743">
            <w:pPr>
              <w:jc w:val="center"/>
              <w:rPr>
                <w:rFonts w:ascii="Cambria" w:hAnsi="Cambria"/>
                <w:color w:val="000000"/>
                <w:sz w:val="20"/>
                <w:szCs w:val="20"/>
              </w:rPr>
            </w:pPr>
            <w:r>
              <w:rPr>
                <w:rFonts w:ascii="Cambria" w:hAnsi="Cambria"/>
                <w:color w:val="000000"/>
                <w:sz w:val="20"/>
              </w:rPr>
              <w:t>1</w:t>
            </w:r>
          </w:p>
        </w:tc>
      </w:tr>
      <w:tr w:rsidR="00D25DC8" w14:paraId="066BDFC0" w14:textId="77777777" w:rsidTr="00B66F43">
        <w:trPr>
          <w:trHeight w:val="288"/>
          <w:jc w:val="center"/>
        </w:trPr>
        <w:tc>
          <w:tcPr>
            <w:tcW w:w="2977" w:type="dxa"/>
            <w:tcBorders>
              <w:top w:val="nil"/>
              <w:left w:val="nil"/>
              <w:bottom w:val="nil"/>
              <w:right w:val="nil"/>
            </w:tcBorders>
            <w:noWrap/>
            <w:vAlign w:val="bottom"/>
            <w:hideMark/>
          </w:tcPr>
          <w:p w14:paraId="3878092C" w14:textId="77777777" w:rsidR="00D25DC8" w:rsidRDefault="00D25DC8" w:rsidP="00F36743">
            <w:pPr>
              <w:jc w:val="center"/>
              <w:rPr>
                <w:rFonts w:ascii="Cambria" w:hAnsi="Cambria"/>
                <w:color w:val="000000"/>
                <w:sz w:val="20"/>
                <w:szCs w:val="20"/>
              </w:rPr>
            </w:pPr>
            <w:r>
              <w:rPr>
                <w:rFonts w:ascii="Cambria" w:hAnsi="Cambria"/>
                <w:color w:val="000000"/>
                <w:sz w:val="20"/>
              </w:rPr>
              <w:t>2022</w:t>
            </w:r>
          </w:p>
        </w:tc>
        <w:tc>
          <w:tcPr>
            <w:tcW w:w="1843" w:type="dxa"/>
            <w:tcBorders>
              <w:top w:val="nil"/>
              <w:left w:val="nil"/>
              <w:bottom w:val="nil"/>
              <w:right w:val="nil"/>
            </w:tcBorders>
            <w:noWrap/>
            <w:vAlign w:val="bottom"/>
            <w:hideMark/>
          </w:tcPr>
          <w:p w14:paraId="7004A656" w14:textId="77777777" w:rsidR="00D25DC8" w:rsidRDefault="00D25DC8" w:rsidP="00F36743">
            <w:pPr>
              <w:jc w:val="center"/>
              <w:rPr>
                <w:rFonts w:ascii="Cambria" w:hAnsi="Cambria"/>
                <w:color w:val="000000"/>
                <w:sz w:val="20"/>
                <w:szCs w:val="20"/>
              </w:rPr>
            </w:pPr>
            <w:r>
              <w:rPr>
                <w:rFonts w:ascii="Cambria" w:hAnsi="Cambria"/>
                <w:color w:val="000000"/>
                <w:sz w:val="20"/>
              </w:rPr>
              <w:t>81</w:t>
            </w:r>
          </w:p>
        </w:tc>
        <w:tc>
          <w:tcPr>
            <w:tcW w:w="2551" w:type="dxa"/>
            <w:tcBorders>
              <w:top w:val="nil"/>
              <w:left w:val="nil"/>
              <w:bottom w:val="nil"/>
              <w:right w:val="nil"/>
            </w:tcBorders>
            <w:noWrap/>
            <w:vAlign w:val="bottom"/>
            <w:hideMark/>
          </w:tcPr>
          <w:p w14:paraId="7D6E2AC6" w14:textId="77777777" w:rsidR="00D25DC8" w:rsidRDefault="00D25DC8" w:rsidP="00F36743">
            <w:pPr>
              <w:jc w:val="center"/>
              <w:rPr>
                <w:rFonts w:ascii="Cambria" w:hAnsi="Cambria"/>
                <w:color w:val="000000"/>
                <w:sz w:val="20"/>
                <w:szCs w:val="20"/>
              </w:rPr>
            </w:pPr>
            <w:r>
              <w:rPr>
                <w:rFonts w:ascii="Cambria" w:hAnsi="Cambria"/>
                <w:color w:val="000000"/>
                <w:sz w:val="20"/>
              </w:rPr>
              <w:t>3</w:t>
            </w:r>
          </w:p>
        </w:tc>
      </w:tr>
      <w:tr w:rsidR="00D25DC8" w14:paraId="5B31EF8D" w14:textId="77777777" w:rsidTr="00B66F43">
        <w:trPr>
          <w:trHeight w:val="288"/>
          <w:jc w:val="center"/>
        </w:trPr>
        <w:tc>
          <w:tcPr>
            <w:tcW w:w="2977" w:type="dxa"/>
            <w:tcBorders>
              <w:top w:val="nil"/>
              <w:left w:val="nil"/>
              <w:bottom w:val="nil"/>
              <w:right w:val="nil"/>
            </w:tcBorders>
            <w:noWrap/>
            <w:vAlign w:val="bottom"/>
            <w:hideMark/>
          </w:tcPr>
          <w:p w14:paraId="737378ED" w14:textId="77777777" w:rsidR="00D25DC8" w:rsidRDefault="00D25DC8" w:rsidP="00F36743">
            <w:pPr>
              <w:jc w:val="center"/>
              <w:rPr>
                <w:rFonts w:ascii="Cambria" w:hAnsi="Cambria"/>
                <w:color w:val="000000"/>
                <w:sz w:val="20"/>
                <w:szCs w:val="20"/>
              </w:rPr>
            </w:pPr>
            <w:r>
              <w:rPr>
                <w:rFonts w:ascii="Cambria" w:hAnsi="Cambria"/>
                <w:color w:val="000000"/>
                <w:sz w:val="20"/>
              </w:rPr>
              <w:t>2023</w:t>
            </w:r>
          </w:p>
        </w:tc>
        <w:tc>
          <w:tcPr>
            <w:tcW w:w="1843" w:type="dxa"/>
            <w:tcBorders>
              <w:top w:val="nil"/>
              <w:left w:val="nil"/>
              <w:bottom w:val="nil"/>
              <w:right w:val="nil"/>
            </w:tcBorders>
            <w:noWrap/>
            <w:vAlign w:val="bottom"/>
            <w:hideMark/>
          </w:tcPr>
          <w:p w14:paraId="2FF3146F" w14:textId="77777777" w:rsidR="00D25DC8" w:rsidRDefault="00D25DC8" w:rsidP="00F36743">
            <w:pPr>
              <w:jc w:val="center"/>
              <w:rPr>
                <w:rFonts w:ascii="Cambria" w:hAnsi="Cambria"/>
                <w:color w:val="000000"/>
                <w:sz w:val="20"/>
                <w:szCs w:val="20"/>
              </w:rPr>
            </w:pPr>
            <w:r>
              <w:rPr>
                <w:rFonts w:ascii="Cambria" w:hAnsi="Cambria"/>
                <w:color w:val="000000"/>
                <w:sz w:val="20"/>
              </w:rPr>
              <w:t>66</w:t>
            </w:r>
          </w:p>
        </w:tc>
        <w:tc>
          <w:tcPr>
            <w:tcW w:w="2551" w:type="dxa"/>
            <w:tcBorders>
              <w:top w:val="nil"/>
              <w:left w:val="nil"/>
              <w:bottom w:val="nil"/>
              <w:right w:val="nil"/>
            </w:tcBorders>
            <w:noWrap/>
            <w:vAlign w:val="bottom"/>
            <w:hideMark/>
          </w:tcPr>
          <w:p w14:paraId="1B63B560" w14:textId="77777777" w:rsidR="00D25DC8" w:rsidRDefault="00D25DC8" w:rsidP="00F36743">
            <w:pPr>
              <w:jc w:val="center"/>
              <w:rPr>
                <w:rFonts w:ascii="Cambria" w:hAnsi="Cambria"/>
                <w:color w:val="000000"/>
                <w:sz w:val="20"/>
                <w:szCs w:val="20"/>
              </w:rPr>
            </w:pPr>
            <w:r>
              <w:rPr>
                <w:rFonts w:ascii="Cambria" w:hAnsi="Cambria"/>
                <w:color w:val="000000"/>
                <w:sz w:val="20"/>
              </w:rPr>
              <w:t>2</w:t>
            </w:r>
          </w:p>
        </w:tc>
      </w:tr>
      <w:tr w:rsidR="00D25DC8" w14:paraId="06DA115D" w14:textId="77777777" w:rsidTr="00B66F43">
        <w:trPr>
          <w:trHeight w:val="288"/>
          <w:jc w:val="center"/>
        </w:trPr>
        <w:tc>
          <w:tcPr>
            <w:tcW w:w="2977" w:type="dxa"/>
            <w:tcBorders>
              <w:top w:val="nil"/>
              <w:left w:val="nil"/>
              <w:bottom w:val="nil"/>
              <w:right w:val="nil"/>
            </w:tcBorders>
            <w:noWrap/>
            <w:vAlign w:val="bottom"/>
            <w:hideMark/>
          </w:tcPr>
          <w:p w14:paraId="25BFDF99" w14:textId="77777777" w:rsidR="00D25DC8" w:rsidRDefault="00D25DC8" w:rsidP="00F36743">
            <w:pPr>
              <w:jc w:val="center"/>
              <w:rPr>
                <w:rFonts w:ascii="Cambria" w:hAnsi="Cambria"/>
                <w:color w:val="000000"/>
                <w:sz w:val="20"/>
                <w:szCs w:val="20"/>
              </w:rPr>
            </w:pPr>
            <w:r>
              <w:rPr>
                <w:rFonts w:ascii="Cambria" w:hAnsi="Cambria"/>
                <w:color w:val="000000"/>
                <w:sz w:val="20"/>
              </w:rPr>
              <w:t>2024</w:t>
            </w:r>
          </w:p>
        </w:tc>
        <w:tc>
          <w:tcPr>
            <w:tcW w:w="1843" w:type="dxa"/>
            <w:tcBorders>
              <w:top w:val="nil"/>
              <w:left w:val="nil"/>
              <w:bottom w:val="nil"/>
              <w:right w:val="nil"/>
            </w:tcBorders>
            <w:noWrap/>
            <w:vAlign w:val="bottom"/>
            <w:hideMark/>
          </w:tcPr>
          <w:p w14:paraId="4CF1AF39" w14:textId="77777777" w:rsidR="00D25DC8" w:rsidRDefault="00D25DC8" w:rsidP="00F36743">
            <w:pPr>
              <w:jc w:val="center"/>
              <w:rPr>
                <w:rFonts w:ascii="Cambria" w:hAnsi="Cambria"/>
                <w:color w:val="000000"/>
                <w:sz w:val="20"/>
                <w:szCs w:val="20"/>
              </w:rPr>
            </w:pPr>
            <w:r>
              <w:rPr>
                <w:rFonts w:ascii="Cambria" w:hAnsi="Cambria"/>
                <w:color w:val="000000"/>
                <w:sz w:val="20"/>
              </w:rPr>
              <w:t>72</w:t>
            </w:r>
          </w:p>
        </w:tc>
        <w:tc>
          <w:tcPr>
            <w:tcW w:w="2551" w:type="dxa"/>
            <w:tcBorders>
              <w:top w:val="nil"/>
              <w:left w:val="nil"/>
              <w:bottom w:val="nil"/>
              <w:right w:val="nil"/>
            </w:tcBorders>
            <w:noWrap/>
            <w:vAlign w:val="bottom"/>
            <w:hideMark/>
          </w:tcPr>
          <w:p w14:paraId="6EDBF1D9" w14:textId="77777777" w:rsidR="00D25DC8" w:rsidRDefault="00D25DC8" w:rsidP="00F36743">
            <w:pPr>
              <w:jc w:val="center"/>
              <w:rPr>
                <w:rFonts w:ascii="Cambria" w:hAnsi="Cambria"/>
                <w:color w:val="000000"/>
                <w:sz w:val="20"/>
                <w:szCs w:val="20"/>
              </w:rPr>
            </w:pPr>
            <w:r>
              <w:rPr>
                <w:rFonts w:ascii="Cambria" w:hAnsi="Cambria"/>
                <w:color w:val="000000"/>
                <w:sz w:val="20"/>
              </w:rPr>
              <w:t>2</w:t>
            </w:r>
          </w:p>
        </w:tc>
      </w:tr>
      <w:tr w:rsidR="00D25DC8" w14:paraId="5E3574F2" w14:textId="77777777" w:rsidTr="00B66F43">
        <w:trPr>
          <w:trHeight w:val="288"/>
          <w:jc w:val="center"/>
        </w:trPr>
        <w:tc>
          <w:tcPr>
            <w:tcW w:w="2977" w:type="dxa"/>
            <w:tcBorders>
              <w:top w:val="nil"/>
              <w:left w:val="nil"/>
              <w:bottom w:val="single" w:sz="4" w:space="0" w:color="auto"/>
              <w:right w:val="nil"/>
            </w:tcBorders>
            <w:noWrap/>
            <w:vAlign w:val="bottom"/>
            <w:hideMark/>
          </w:tcPr>
          <w:p w14:paraId="76D8D641" w14:textId="77777777" w:rsidR="00D25DC8" w:rsidRDefault="00D25DC8" w:rsidP="00F36743">
            <w:pPr>
              <w:jc w:val="center"/>
              <w:rPr>
                <w:rFonts w:ascii="Cambria" w:hAnsi="Cambria"/>
                <w:color w:val="000000"/>
                <w:sz w:val="20"/>
                <w:szCs w:val="20"/>
              </w:rPr>
            </w:pPr>
            <w:r>
              <w:rPr>
                <w:rFonts w:ascii="Cambria" w:hAnsi="Cambria"/>
                <w:color w:val="000000"/>
                <w:sz w:val="20"/>
              </w:rPr>
              <w:t>2025</w:t>
            </w:r>
          </w:p>
        </w:tc>
        <w:tc>
          <w:tcPr>
            <w:tcW w:w="1843" w:type="dxa"/>
            <w:tcBorders>
              <w:top w:val="nil"/>
              <w:left w:val="nil"/>
              <w:bottom w:val="single" w:sz="4" w:space="0" w:color="auto"/>
              <w:right w:val="nil"/>
            </w:tcBorders>
            <w:noWrap/>
            <w:vAlign w:val="bottom"/>
            <w:hideMark/>
          </w:tcPr>
          <w:p w14:paraId="77A061AA" w14:textId="77777777" w:rsidR="00D25DC8" w:rsidRDefault="00D25DC8" w:rsidP="00F36743">
            <w:pPr>
              <w:jc w:val="center"/>
              <w:rPr>
                <w:rFonts w:ascii="Cambria" w:hAnsi="Cambria"/>
                <w:color w:val="000000"/>
                <w:sz w:val="20"/>
                <w:szCs w:val="20"/>
              </w:rPr>
            </w:pPr>
            <w:r>
              <w:rPr>
                <w:rFonts w:ascii="Cambria" w:hAnsi="Cambria"/>
                <w:color w:val="000000"/>
                <w:sz w:val="20"/>
              </w:rPr>
              <w:t>71</w:t>
            </w:r>
          </w:p>
        </w:tc>
        <w:tc>
          <w:tcPr>
            <w:tcW w:w="2551" w:type="dxa"/>
            <w:tcBorders>
              <w:top w:val="nil"/>
              <w:left w:val="nil"/>
              <w:bottom w:val="single" w:sz="4" w:space="0" w:color="auto"/>
              <w:right w:val="nil"/>
            </w:tcBorders>
            <w:noWrap/>
            <w:vAlign w:val="bottom"/>
            <w:hideMark/>
          </w:tcPr>
          <w:p w14:paraId="5ECF9FE1" w14:textId="77777777" w:rsidR="00D25DC8" w:rsidRDefault="00D25DC8" w:rsidP="00F36743">
            <w:pPr>
              <w:jc w:val="center"/>
              <w:rPr>
                <w:rFonts w:ascii="Cambria" w:hAnsi="Cambria"/>
                <w:color w:val="000000"/>
                <w:sz w:val="20"/>
                <w:szCs w:val="20"/>
              </w:rPr>
            </w:pPr>
            <w:r>
              <w:rPr>
                <w:rFonts w:ascii="Cambria" w:hAnsi="Cambria"/>
                <w:color w:val="000000"/>
                <w:sz w:val="20"/>
              </w:rPr>
              <w:t>0</w:t>
            </w:r>
          </w:p>
        </w:tc>
      </w:tr>
      <w:tr w:rsidR="00BF307D" w14:paraId="450E4D2B" w14:textId="77777777" w:rsidTr="00B66F43">
        <w:trPr>
          <w:trHeight w:val="288"/>
          <w:jc w:val="center"/>
        </w:trPr>
        <w:tc>
          <w:tcPr>
            <w:tcW w:w="7371" w:type="dxa"/>
            <w:gridSpan w:val="3"/>
            <w:tcBorders>
              <w:top w:val="single" w:sz="4" w:space="0" w:color="auto"/>
              <w:left w:val="nil"/>
              <w:bottom w:val="nil"/>
            </w:tcBorders>
            <w:noWrap/>
            <w:vAlign w:val="bottom"/>
          </w:tcPr>
          <w:p w14:paraId="3220FFC4" w14:textId="77777777" w:rsidR="00BF307D" w:rsidRPr="00B66F43" w:rsidRDefault="00BF307D" w:rsidP="00F36743">
            <w:pPr>
              <w:rPr>
                <w:rFonts w:ascii="Cambria" w:hAnsi="Cambria"/>
                <w:color w:val="000000"/>
                <w:sz w:val="16"/>
                <w:szCs w:val="16"/>
              </w:rPr>
            </w:pPr>
            <w:r w:rsidRPr="00B66F43">
              <w:rPr>
                <w:rFonts w:ascii="Cambria" w:hAnsi="Cambria"/>
                <w:color w:val="000000"/>
                <w:sz w:val="16"/>
                <w:szCs w:val="16"/>
              </w:rPr>
              <w:t>*En date du 17 octobre 2025.</w:t>
            </w:r>
          </w:p>
          <w:p w14:paraId="6B26A82A" w14:textId="77777777" w:rsidR="00BF307D" w:rsidRDefault="00BF307D" w:rsidP="00F36743">
            <w:pPr>
              <w:jc w:val="center"/>
              <w:rPr>
                <w:rFonts w:ascii="Cambria" w:hAnsi="Cambria"/>
                <w:color w:val="000000"/>
                <w:sz w:val="20"/>
                <w:szCs w:val="20"/>
              </w:rPr>
            </w:pPr>
          </w:p>
        </w:tc>
      </w:tr>
      <w:tr w:rsidR="00D25DC8" w14:paraId="0E0EDA17" w14:textId="77777777" w:rsidTr="00B66F43">
        <w:trPr>
          <w:trHeight w:val="288"/>
          <w:jc w:val="center"/>
        </w:trPr>
        <w:tc>
          <w:tcPr>
            <w:tcW w:w="4820" w:type="dxa"/>
            <w:gridSpan w:val="2"/>
            <w:tcBorders>
              <w:top w:val="nil"/>
              <w:left w:val="nil"/>
              <w:bottom w:val="nil"/>
              <w:right w:val="nil"/>
            </w:tcBorders>
            <w:noWrap/>
            <w:vAlign w:val="bottom"/>
            <w:hideMark/>
          </w:tcPr>
          <w:p w14:paraId="43D44B92" w14:textId="47C6F464" w:rsidR="00D25DC8" w:rsidRDefault="00D25DC8" w:rsidP="00F36743">
            <w:pPr>
              <w:jc w:val="center"/>
              <w:rPr>
                <w:rFonts w:ascii="Cambria" w:hAnsi="Cambria"/>
                <w:color w:val="000000"/>
                <w:sz w:val="20"/>
                <w:szCs w:val="20"/>
              </w:rPr>
            </w:pPr>
          </w:p>
        </w:tc>
        <w:tc>
          <w:tcPr>
            <w:tcW w:w="2551" w:type="dxa"/>
            <w:tcBorders>
              <w:top w:val="nil"/>
              <w:left w:val="nil"/>
              <w:bottom w:val="nil"/>
              <w:right w:val="nil"/>
            </w:tcBorders>
            <w:noWrap/>
            <w:vAlign w:val="bottom"/>
            <w:hideMark/>
          </w:tcPr>
          <w:p w14:paraId="4263E9D8" w14:textId="77777777" w:rsidR="00D25DC8" w:rsidRDefault="00D25DC8" w:rsidP="00F36743">
            <w:pPr>
              <w:rPr>
                <w:rFonts w:ascii="Cambria" w:hAnsi="Cambria"/>
                <w:color w:val="000000"/>
                <w:sz w:val="20"/>
                <w:szCs w:val="20"/>
              </w:rPr>
            </w:pPr>
          </w:p>
        </w:tc>
      </w:tr>
    </w:tbl>
    <w:p w14:paraId="0B7DFFA9" w14:textId="77777777" w:rsidR="009E60C4" w:rsidRDefault="009E60C4" w:rsidP="00F36743">
      <w:pPr>
        <w:rPr>
          <w:rFonts w:ascii="Cambria" w:hAnsi="Cambria"/>
          <w:b/>
          <w:bCs/>
          <w:color w:val="000000"/>
          <w:sz w:val="20"/>
          <w:szCs w:val="20"/>
          <w:lang w:val="en-GB"/>
        </w:rPr>
      </w:pPr>
    </w:p>
    <w:p w14:paraId="6B6E4686" w14:textId="77777777" w:rsidR="009E60C4" w:rsidRDefault="009E60C4">
      <w:pPr>
        <w:rPr>
          <w:rFonts w:ascii="Cambria" w:hAnsi="Cambria"/>
          <w:b/>
          <w:bCs/>
          <w:color w:val="000000"/>
          <w:sz w:val="20"/>
          <w:szCs w:val="20"/>
        </w:rPr>
      </w:pPr>
      <w:r>
        <w:br w:type="page"/>
      </w:r>
    </w:p>
    <w:p w14:paraId="5901D8AA" w14:textId="5F8A090D" w:rsidR="00195E29" w:rsidRPr="00D15906" w:rsidRDefault="00195E29" w:rsidP="00B66F43">
      <w:pPr>
        <w:jc w:val="both"/>
        <w:rPr>
          <w:rFonts w:ascii="Cambria" w:hAnsi="Cambria"/>
          <w:bCs/>
          <w:color w:val="000000"/>
          <w:sz w:val="20"/>
          <w:szCs w:val="20"/>
        </w:rPr>
      </w:pPr>
      <w:r>
        <w:rPr>
          <w:rFonts w:ascii="Cambria" w:hAnsi="Cambria"/>
          <w:b/>
          <w:color w:val="000000"/>
          <w:sz w:val="20"/>
        </w:rPr>
        <w:t xml:space="preserve">Tableau 3. </w:t>
      </w:r>
      <w:r>
        <w:rPr>
          <w:rFonts w:ascii="Cambria" w:hAnsi="Cambria"/>
          <w:color w:val="000000"/>
          <w:sz w:val="20"/>
        </w:rPr>
        <w:t>Établissements d’élevage dans lesquels des observateurs régionaux de l’ICCAT ont été déployés de 2023 à 2025.</w:t>
      </w:r>
    </w:p>
    <w:tbl>
      <w:tblPr>
        <w:tblW w:w="5000" w:type="pct"/>
        <w:tblLook w:val="04A0" w:firstRow="1" w:lastRow="0" w:firstColumn="1" w:lastColumn="0" w:noHBand="0" w:noVBand="1"/>
      </w:tblPr>
      <w:tblGrid>
        <w:gridCol w:w="2492"/>
        <w:gridCol w:w="2295"/>
        <w:gridCol w:w="2141"/>
        <w:gridCol w:w="2142"/>
      </w:tblGrid>
      <w:tr w:rsidR="00337865" w14:paraId="2D4DBC3C" w14:textId="77777777" w:rsidTr="009E60C4">
        <w:trPr>
          <w:trHeight w:val="288"/>
        </w:trPr>
        <w:tc>
          <w:tcPr>
            <w:tcW w:w="1374" w:type="pct"/>
            <w:tcBorders>
              <w:top w:val="single" w:sz="4" w:space="0" w:color="auto"/>
              <w:bottom w:val="single" w:sz="4" w:space="0" w:color="auto"/>
            </w:tcBorders>
            <w:noWrap/>
            <w:vAlign w:val="center"/>
            <w:hideMark/>
          </w:tcPr>
          <w:p w14:paraId="5F179933" w14:textId="77777777" w:rsidR="00337865" w:rsidRDefault="00337865" w:rsidP="00F36743">
            <w:pPr>
              <w:rPr>
                <w:rFonts w:ascii="Cambria" w:hAnsi="Cambria"/>
                <w:b/>
                <w:bCs/>
                <w:i/>
                <w:iCs/>
                <w:color w:val="000000"/>
                <w:sz w:val="20"/>
                <w:szCs w:val="20"/>
              </w:rPr>
            </w:pPr>
            <w:r>
              <w:rPr>
                <w:rFonts w:ascii="Cambria" w:hAnsi="Cambria"/>
                <w:b/>
                <w:i/>
                <w:color w:val="000000"/>
                <w:sz w:val="20"/>
              </w:rPr>
              <w:t>CPC</w:t>
            </w:r>
          </w:p>
        </w:tc>
        <w:tc>
          <w:tcPr>
            <w:tcW w:w="1265" w:type="pct"/>
            <w:tcBorders>
              <w:top w:val="single" w:sz="4" w:space="0" w:color="auto"/>
              <w:bottom w:val="single" w:sz="4" w:space="0" w:color="auto"/>
            </w:tcBorders>
            <w:vAlign w:val="center"/>
            <w:hideMark/>
          </w:tcPr>
          <w:p w14:paraId="275D134B" w14:textId="77777777" w:rsidR="00337865" w:rsidRDefault="00337865" w:rsidP="00F36743">
            <w:pPr>
              <w:jc w:val="center"/>
              <w:rPr>
                <w:rFonts w:ascii="Cambria" w:hAnsi="Cambria"/>
                <w:b/>
                <w:bCs/>
                <w:i/>
                <w:iCs/>
                <w:color w:val="000000"/>
                <w:sz w:val="20"/>
                <w:szCs w:val="20"/>
              </w:rPr>
            </w:pPr>
            <w:r>
              <w:rPr>
                <w:rFonts w:ascii="Cambria" w:hAnsi="Cambria"/>
                <w:b/>
                <w:i/>
                <w:color w:val="000000"/>
                <w:sz w:val="20"/>
              </w:rPr>
              <w:t>2023</w:t>
            </w:r>
          </w:p>
        </w:tc>
        <w:tc>
          <w:tcPr>
            <w:tcW w:w="1180" w:type="pct"/>
            <w:tcBorders>
              <w:top w:val="single" w:sz="4" w:space="0" w:color="auto"/>
              <w:bottom w:val="single" w:sz="4" w:space="0" w:color="auto"/>
            </w:tcBorders>
            <w:vAlign w:val="center"/>
            <w:hideMark/>
          </w:tcPr>
          <w:p w14:paraId="38B9EEF3" w14:textId="77777777" w:rsidR="00337865" w:rsidRDefault="00337865" w:rsidP="00F36743">
            <w:pPr>
              <w:jc w:val="center"/>
              <w:rPr>
                <w:rFonts w:ascii="Cambria" w:hAnsi="Cambria"/>
                <w:b/>
                <w:bCs/>
                <w:i/>
                <w:iCs/>
                <w:color w:val="000000"/>
                <w:sz w:val="20"/>
                <w:szCs w:val="20"/>
              </w:rPr>
            </w:pPr>
            <w:r>
              <w:rPr>
                <w:rFonts w:ascii="Cambria" w:hAnsi="Cambria"/>
                <w:b/>
                <w:i/>
                <w:color w:val="000000"/>
                <w:sz w:val="20"/>
              </w:rPr>
              <w:t>2024</w:t>
            </w:r>
          </w:p>
        </w:tc>
        <w:tc>
          <w:tcPr>
            <w:tcW w:w="1181" w:type="pct"/>
            <w:tcBorders>
              <w:top w:val="single" w:sz="4" w:space="0" w:color="auto"/>
              <w:bottom w:val="single" w:sz="4" w:space="0" w:color="auto"/>
            </w:tcBorders>
            <w:vAlign w:val="center"/>
            <w:hideMark/>
          </w:tcPr>
          <w:p w14:paraId="5010BDCA" w14:textId="77777777" w:rsidR="00337865" w:rsidRDefault="00337865" w:rsidP="00F36743">
            <w:pPr>
              <w:jc w:val="center"/>
              <w:rPr>
                <w:rFonts w:ascii="Cambria" w:hAnsi="Cambria"/>
                <w:b/>
                <w:bCs/>
                <w:i/>
                <w:iCs/>
                <w:color w:val="000000"/>
                <w:sz w:val="20"/>
                <w:szCs w:val="20"/>
              </w:rPr>
            </w:pPr>
            <w:r>
              <w:rPr>
                <w:rFonts w:ascii="Cambria" w:hAnsi="Cambria"/>
                <w:b/>
                <w:i/>
                <w:color w:val="000000"/>
                <w:sz w:val="20"/>
              </w:rPr>
              <w:t>2025</w:t>
            </w:r>
          </w:p>
        </w:tc>
      </w:tr>
      <w:tr w:rsidR="00337865" w14:paraId="3D3C5CBF" w14:textId="77777777" w:rsidTr="009E60C4">
        <w:trPr>
          <w:trHeight w:val="240"/>
        </w:trPr>
        <w:tc>
          <w:tcPr>
            <w:tcW w:w="1374" w:type="pct"/>
            <w:tcBorders>
              <w:top w:val="single" w:sz="4" w:space="0" w:color="auto"/>
              <w:left w:val="nil"/>
              <w:bottom w:val="nil"/>
              <w:right w:val="nil"/>
            </w:tcBorders>
            <w:noWrap/>
            <w:vAlign w:val="bottom"/>
            <w:hideMark/>
          </w:tcPr>
          <w:p w14:paraId="1A3B1913" w14:textId="77777777" w:rsidR="00337865" w:rsidRDefault="00337865" w:rsidP="00F36743">
            <w:pPr>
              <w:rPr>
                <w:rFonts w:ascii="Cambria" w:hAnsi="Cambria"/>
                <w:color w:val="000000"/>
                <w:sz w:val="20"/>
                <w:szCs w:val="20"/>
              </w:rPr>
            </w:pPr>
            <w:r>
              <w:rPr>
                <w:rFonts w:ascii="Cambria" w:hAnsi="Cambria"/>
                <w:color w:val="000000"/>
                <w:sz w:val="20"/>
              </w:rPr>
              <w:t>Albanie</w:t>
            </w:r>
          </w:p>
        </w:tc>
        <w:tc>
          <w:tcPr>
            <w:tcW w:w="1265" w:type="pct"/>
            <w:tcBorders>
              <w:top w:val="single" w:sz="4" w:space="0" w:color="auto"/>
              <w:left w:val="nil"/>
              <w:bottom w:val="nil"/>
              <w:right w:val="nil"/>
            </w:tcBorders>
            <w:noWrap/>
            <w:vAlign w:val="bottom"/>
            <w:hideMark/>
          </w:tcPr>
          <w:p w14:paraId="683DA81F" w14:textId="77777777" w:rsidR="00337865" w:rsidRDefault="00337865" w:rsidP="00F36743">
            <w:pPr>
              <w:jc w:val="center"/>
              <w:rPr>
                <w:rFonts w:ascii="Cambria" w:hAnsi="Cambria"/>
                <w:color w:val="000000"/>
                <w:sz w:val="20"/>
                <w:szCs w:val="20"/>
              </w:rPr>
            </w:pPr>
            <w:r>
              <w:rPr>
                <w:rFonts w:ascii="Cambria" w:hAnsi="Cambria"/>
                <w:color w:val="000000"/>
                <w:sz w:val="20"/>
              </w:rPr>
              <w:t>AT001ALB00001</w:t>
            </w:r>
          </w:p>
        </w:tc>
        <w:tc>
          <w:tcPr>
            <w:tcW w:w="1180" w:type="pct"/>
            <w:tcBorders>
              <w:top w:val="single" w:sz="4" w:space="0" w:color="auto"/>
              <w:left w:val="nil"/>
              <w:bottom w:val="nil"/>
              <w:right w:val="nil"/>
            </w:tcBorders>
            <w:noWrap/>
            <w:vAlign w:val="bottom"/>
            <w:hideMark/>
          </w:tcPr>
          <w:p w14:paraId="20678C46" w14:textId="77777777" w:rsidR="00337865" w:rsidRDefault="00337865" w:rsidP="00F36743">
            <w:pPr>
              <w:jc w:val="center"/>
              <w:rPr>
                <w:rFonts w:ascii="Cambria" w:hAnsi="Cambria"/>
                <w:color w:val="000000"/>
                <w:sz w:val="20"/>
                <w:szCs w:val="20"/>
              </w:rPr>
            </w:pPr>
            <w:r>
              <w:rPr>
                <w:rFonts w:ascii="Cambria" w:hAnsi="Cambria"/>
                <w:color w:val="000000"/>
                <w:sz w:val="20"/>
              </w:rPr>
              <w:t>AT001ALB00001</w:t>
            </w:r>
          </w:p>
        </w:tc>
        <w:tc>
          <w:tcPr>
            <w:tcW w:w="1181" w:type="pct"/>
            <w:tcBorders>
              <w:top w:val="single" w:sz="4" w:space="0" w:color="auto"/>
              <w:left w:val="nil"/>
              <w:bottom w:val="nil"/>
              <w:right w:val="nil"/>
            </w:tcBorders>
            <w:noWrap/>
            <w:vAlign w:val="bottom"/>
            <w:hideMark/>
          </w:tcPr>
          <w:p w14:paraId="3F7D1932" w14:textId="77777777" w:rsidR="00337865" w:rsidRDefault="00337865" w:rsidP="00F36743">
            <w:pPr>
              <w:jc w:val="center"/>
              <w:rPr>
                <w:rFonts w:ascii="Cambria" w:hAnsi="Cambria"/>
                <w:color w:val="000000"/>
                <w:sz w:val="20"/>
                <w:szCs w:val="20"/>
              </w:rPr>
            </w:pPr>
            <w:r>
              <w:rPr>
                <w:rFonts w:ascii="Cambria" w:hAnsi="Cambria"/>
                <w:color w:val="000000"/>
                <w:sz w:val="20"/>
              </w:rPr>
              <w:t>AT001ALB00001</w:t>
            </w:r>
          </w:p>
        </w:tc>
      </w:tr>
      <w:tr w:rsidR="00337865" w14:paraId="6758E43B" w14:textId="77777777" w:rsidTr="009E60C4">
        <w:trPr>
          <w:trHeight w:val="240"/>
        </w:trPr>
        <w:tc>
          <w:tcPr>
            <w:tcW w:w="1374" w:type="pct"/>
            <w:tcBorders>
              <w:top w:val="nil"/>
              <w:left w:val="nil"/>
              <w:bottom w:val="nil"/>
              <w:right w:val="nil"/>
            </w:tcBorders>
            <w:noWrap/>
            <w:vAlign w:val="bottom"/>
            <w:hideMark/>
          </w:tcPr>
          <w:p w14:paraId="4FBECD19" w14:textId="77777777" w:rsidR="00337865" w:rsidRDefault="00337865" w:rsidP="00F36743">
            <w:pPr>
              <w:rPr>
                <w:rFonts w:ascii="Cambria" w:hAnsi="Cambria"/>
                <w:color w:val="000000"/>
                <w:sz w:val="20"/>
                <w:szCs w:val="20"/>
              </w:rPr>
            </w:pPr>
            <w:r>
              <w:rPr>
                <w:rFonts w:ascii="Cambria" w:hAnsi="Cambria"/>
                <w:color w:val="000000"/>
                <w:sz w:val="20"/>
              </w:rPr>
              <w:t>UE-Croatie</w:t>
            </w:r>
          </w:p>
        </w:tc>
        <w:tc>
          <w:tcPr>
            <w:tcW w:w="1265" w:type="pct"/>
            <w:tcBorders>
              <w:top w:val="nil"/>
              <w:left w:val="nil"/>
              <w:bottom w:val="nil"/>
              <w:right w:val="nil"/>
            </w:tcBorders>
            <w:noWrap/>
            <w:vAlign w:val="bottom"/>
            <w:hideMark/>
          </w:tcPr>
          <w:p w14:paraId="65CF1D62" w14:textId="77777777" w:rsidR="00337865" w:rsidRDefault="00337865" w:rsidP="00F36743">
            <w:pPr>
              <w:jc w:val="center"/>
              <w:rPr>
                <w:rFonts w:ascii="Cambria" w:hAnsi="Cambria"/>
                <w:color w:val="000000"/>
                <w:sz w:val="20"/>
                <w:szCs w:val="20"/>
              </w:rPr>
            </w:pPr>
            <w:r>
              <w:rPr>
                <w:rFonts w:ascii="Cambria" w:hAnsi="Cambria"/>
                <w:color w:val="000000"/>
                <w:sz w:val="20"/>
              </w:rPr>
              <w:t>ATEU1HRV00006</w:t>
            </w:r>
          </w:p>
        </w:tc>
        <w:tc>
          <w:tcPr>
            <w:tcW w:w="1180" w:type="pct"/>
            <w:tcBorders>
              <w:top w:val="nil"/>
              <w:left w:val="nil"/>
              <w:bottom w:val="nil"/>
              <w:right w:val="nil"/>
            </w:tcBorders>
            <w:noWrap/>
            <w:vAlign w:val="bottom"/>
            <w:hideMark/>
          </w:tcPr>
          <w:p w14:paraId="55A7289E" w14:textId="77777777" w:rsidR="00337865" w:rsidRDefault="00337865" w:rsidP="00F36743">
            <w:pPr>
              <w:jc w:val="center"/>
              <w:rPr>
                <w:rFonts w:ascii="Cambria" w:hAnsi="Cambria"/>
                <w:color w:val="000000"/>
                <w:sz w:val="20"/>
                <w:szCs w:val="20"/>
              </w:rPr>
            </w:pPr>
            <w:r>
              <w:rPr>
                <w:rFonts w:ascii="Cambria" w:hAnsi="Cambria"/>
                <w:color w:val="000000"/>
                <w:sz w:val="20"/>
              </w:rPr>
              <w:t>ATEU1HRV00006</w:t>
            </w:r>
          </w:p>
        </w:tc>
        <w:tc>
          <w:tcPr>
            <w:tcW w:w="1181" w:type="pct"/>
            <w:tcBorders>
              <w:top w:val="nil"/>
              <w:left w:val="nil"/>
              <w:bottom w:val="nil"/>
              <w:right w:val="nil"/>
            </w:tcBorders>
            <w:noWrap/>
            <w:vAlign w:val="bottom"/>
            <w:hideMark/>
          </w:tcPr>
          <w:p w14:paraId="08CE2472" w14:textId="77777777" w:rsidR="00337865" w:rsidRDefault="00337865" w:rsidP="00F36743">
            <w:pPr>
              <w:jc w:val="center"/>
              <w:rPr>
                <w:rFonts w:ascii="Cambria" w:hAnsi="Cambria"/>
                <w:color w:val="000000"/>
                <w:sz w:val="20"/>
                <w:szCs w:val="20"/>
              </w:rPr>
            </w:pPr>
            <w:r>
              <w:rPr>
                <w:rFonts w:ascii="Cambria" w:hAnsi="Cambria"/>
                <w:color w:val="000000"/>
                <w:sz w:val="20"/>
              </w:rPr>
              <w:t>ATEU1HRV00006</w:t>
            </w:r>
          </w:p>
        </w:tc>
      </w:tr>
      <w:tr w:rsidR="00337865" w14:paraId="0AF580EB" w14:textId="77777777" w:rsidTr="009E60C4">
        <w:trPr>
          <w:trHeight w:val="240"/>
        </w:trPr>
        <w:tc>
          <w:tcPr>
            <w:tcW w:w="1374" w:type="pct"/>
            <w:tcBorders>
              <w:top w:val="nil"/>
              <w:left w:val="nil"/>
              <w:bottom w:val="nil"/>
              <w:right w:val="nil"/>
            </w:tcBorders>
            <w:noWrap/>
            <w:vAlign w:val="bottom"/>
            <w:hideMark/>
          </w:tcPr>
          <w:p w14:paraId="58389BD3" w14:textId="77777777" w:rsidR="00337865" w:rsidRDefault="00337865" w:rsidP="00F36743">
            <w:pPr>
              <w:rPr>
                <w:rFonts w:ascii="Cambria" w:hAnsi="Cambria"/>
                <w:color w:val="000000"/>
                <w:sz w:val="20"/>
                <w:szCs w:val="20"/>
              </w:rPr>
            </w:pPr>
            <w:r>
              <w:rPr>
                <w:rFonts w:ascii="Cambria" w:hAnsi="Cambria"/>
                <w:color w:val="000000"/>
                <w:sz w:val="20"/>
              </w:rPr>
              <w:t>UE-Croatie</w:t>
            </w:r>
          </w:p>
        </w:tc>
        <w:tc>
          <w:tcPr>
            <w:tcW w:w="1265" w:type="pct"/>
            <w:tcBorders>
              <w:top w:val="nil"/>
              <w:left w:val="nil"/>
              <w:bottom w:val="nil"/>
              <w:right w:val="nil"/>
            </w:tcBorders>
            <w:noWrap/>
            <w:vAlign w:val="bottom"/>
            <w:hideMark/>
          </w:tcPr>
          <w:p w14:paraId="0EBED92E" w14:textId="77777777" w:rsidR="00337865" w:rsidRDefault="00337865" w:rsidP="00F36743">
            <w:pPr>
              <w:jc w:val="center"/>
              <w:rPr>
                <w:rFonts w:ascii="Cambria" w:hAnsi="Cambria"/>
                <w:color w:val="000000"/>
                <w:sz w:val="20"/>
                <w:szCs w:val="20"/>
              </w:rPr>
            </w:pPr>
            <w:r>
              <w:rPr>
                <w:rFonts w:ascii="Cambria" w:hAnsi="Cambria"/>
                <w:color w:val="000000"/>
                <w:sz w:val="20"/>
              </w:rPr>
              <w:t>ATEU1HRV00008</w:t>
            </w:r>
          </w:p>
        </w:tc>
        <w:tc>
          <w:tcPr>
            <w:tcW w:w="1180" w:type="pct"/>
            <w:tcBorders>
              <w:top w:val="nil"/>
              <w:left w:val="nil"/>
              <w:bottom w:val="nil"/>
              <w:right w:val="nil"/>
            </w:tcBorders>
            <w:noWrap/>
            <w:vAlign w:val="bottom"/>
            <w:hideMark/>
          </w:tcPr>
          <w:p w14:paraId="4A9E5FED" w14:textId="77777777" w:rsidR="00337865" w:rsidRDefault="00337865" w:rsidP="00F36743">
            <w:pPr>
              <w:jc w:val="center"/>
              <w:rPr>
                <w:rFonts w:ascii="Cambria" w:hAnsi="Cambria"/>
                <w:color w:val="000000"/>
                <w:sz w:val="20"/>
                <w:szCs w:val="20"/>
              </w:rPr>
            </w:pPr>
            <w:r>
              <w:rPr>
                <w:rFonts w:ascii="Cambria" w:hAnsi="Cambria"/>
                <w:color w:val="000000"/>
                <w:sz w:val="20"/>
              </w:rPr>
              <w:t>ATEU1HRV00008</w:t>
            </w:r>
          </w:p>
        </w:tc>
        <w:tc>
          <w:tcPr>
            <w:tcW w:w="1181" w:type="pct"/>
            <w:tcBorders>
              <w:top w:val="nil"/>
              <w:left w:val="nil"/>
              <w:bottom w:val="nil"/>
              <w:right w:val="nil"/>
            </w:tcBorders>
            <w:noWrap/>
            <w:vAlign w:val="bottom"/>
            <w:hideMark/>
          </w:tcPr>
          <w:p w14:paraId="38D2D300" w14:textId="77777777" w:rsidR="00337865" w:rsidRDefault="00337865" w:rsidP="00F36743">
            <w:pPr>
              <w:jc w:val="center"/>
              <w:rPr>
                <w:rFonts w:ascii="Cambria" w:hAnsi="Cambria"/>
                <w:color w:val="000000"/>
                <w:sz w:val="20"/>
                <w:szCs w:val="20"/>
              </w:rPr>
            </w:pPr>
            <w:r>
              <w:rPr>
                <w:rFonts w:ascii="Cambria" w:hAnsi="Cambria"/>
                <w:color w:val="000000"/>
                <w:sz w:val="20"/>
              </w:rPr>
              <w:t>ATEU1HRV00008</w:t>
            </w:r>
          </w:p>
        </w:tc>
      </w:tr>
      <w:tr w:rsidR="00337865" w14:paraId="3ECD42D3" w14:textId="77777777" w:rsidTr="009E60C4">
        <w:trPr>
          <w:trHeight w:val="240"/>
        </w:trPr>
        <w:tc>
          <w:tcPr>
            <w:tcW w:w="1374" w:type="pct"/>
            <w:tcBorders>
              <w:top w:val="nil"/>
              <w:left w:val="nil"/>
              <w:bottom w:val="nil"/>
              <w:right w:val="nil"/>
            </w:tcBorders>
            <w:noWrap/>
            <w:vAlign w:val="bottom"/>
            <w:hideMark/>
          </w:tcPr>
          <w:p w14:paraId="075F69A7" w14:textId="77777777" w:rsidR="00337865" w:rsidRDefault="00337865" w:rsidP="00F36743">
            <w:pPr>
              <w:rPr>
                <w:rFonts w:ascii="Cambria" w:hAnsi="Cambria"/>
                <w:color w:val="000000"/>
                <w:sz w:val="20"/>
                <w:szCs w:val="20"/>
              </w:rPr>
            </w:pPr>
            <w:r>
              <w:rPr>
                <w:rFonts w:ascii="Cambria" w:hAnsi="Cambria"/>
                <w:color w:val="000000"/>
                <w:sz w:val="20"/>
              </w:rPr>
              <w:t>UE-Croatie</w:t>
            </w:r>
          </w:p>
        </w:tc>
        <w:tc>
          <w:tcPr>
            <w:tcW w:w="1265" w:type="pct"/>
            <w:tcBorders>
              <w:top w:val="nil"/>
              <w:left w:val="nil"/>
              <w:bottom w:val="nil"/>
              <w:right w:val="nil"/>
            </w:tcBorders>
            <w:noWrap/>
            <w:vAlign w:val="bottom"/>
            <w:hideMark/>
          </w:tcPr>
          <w:p w14:paraId="7264DA92" w14:textId="77777777" w:rsidR="00337865" w:rsidRDefault="00337865" w:rsidP="00F36743">
            <w:pPr>
              <w:jc w:val="center"/>
              <w:rPr>
                <w:rFonts w:ascii="Cambria" w:hAnsi="Cambria"/>
                <w:color w:val="000000"/>
                <w:sz w:val="20"/>
                <w:szCs w:val="20"/>
              </w:rPr>
            </w:pPr>
            <w:r>
              <w:rPr>
                <w:rFonts w:ascii="Cambria" w:hAnsi="Cambria"/>
                <w:color w:val="000000"/>
                <w:sz w:val="20"/>
              </w:rPr>
              <w:t>ATEU1HRV00011</w:t>
            </w:r>
          </w:p>
        </w:tc>
        <w:tc>
          <w:tcPr>
            <w:tcW w:w="1180" w:type="pct"/>
            <w:tcBorders>
              <w:top w:val="nil"/>
              <w:left w:val="nil"/>
              <w:bottom w:val="nil"/>
              <w:right w:val="nil"/>
            </w:tcBorders>
            <w:noWrap/>
            <w:vAlign w:val="bottom"/>
            <w:hideMark/>
          </w:tcPr>
          <w:p w14:paraId="22220801" w14:textId="77777777" w:rsidR="00337865" w:rsidRDefault="00337865" w:rsidP="00F36743">
            <w:pPr>
              <w:jc w:val="center"/>
              <w:rPr>
                <w:rFonts w:ascii="Cambria" w:hAnsi="Cambria"/>
                <w:color w:val="000000"/>
                <w:sz w:val="20"/>
                <w:szCs w:val="20"/>
              </w:rPr>
            </w:pPr>
            <w:r>
              <w:rPr>
                <w:rFonts w:ascii="Cambria" w:hAnsi="Cambria"/>
                <w:color w:val="000000"/>
                <w:sz w:val="20"/>
              </w:rPr>
              <w:t>ATEU1HRV00011</w:t>
            </w:r>
          </w:p>
        </w:tc>
        <w:tc>
          <w:tcPr>
            <w:tcW w:w="1181" w:type="pct"/>
            <w:tcBorders>
              <w:top w:val="nil"/>
              <w:left w:val="nil"/>
              <w:bottom w:val="nil"/>
              <w:right w:val="nil"/>
            </w:tcBorders>
            <w:noWrap/>
            <w:vAlign w:val="bottom"/>
            <w:hideMark/>
          </w:tcPr>
          <w:p w14:paraId="0E99D6AC" w14:textId="77777777" w:rsidR="00337865" w:rsidRDefault="00337865" w:rsidP="00F36743">
            <w:pPr>
              <w:jc w:val="center"/>
              <w:rPr>
                <w:rFonts w:ascii="Cambria" w:hAnsi="Cambria"/>
                <w:color w:val="000000"/>
                <w:sz w:val="20"/>
                <w:szCs w:val="20"/>
              </w:rPr>
            </w:pPr>
            <w:r>
              <w:rPr>
                <w:rFonts w:ascii="Cambria" w:hAnsi="Cambria"/>
                <w:color w:val="000000"/>
                <w:sz w:val="20"/>
              </w:rPr>
              <w:t>ATEU1HRV00011</w:t>
            </w:r>
          </w:p>
        </w:tc>
      </w:tr>
      <w:tr w:rsidR="00337865" w14:paraId="3791512E" w14:textId="77777777" w:rsidTr="009E60C4">
        <w:trPr>
          <w:trHeight w:val="240"/>
        </w:trPr>
        <w:tc>
          <w:tcPr>
            <w:tcW w:w="1374" w:type="pct"/>
            <w:tcBorders>
              <w:top w:val="nil"/>
              <w:left w:val="nil"/>
              <w:bottom w:val="nil"/>
              <w:right w:val="nil"/>
            </w:tcBorders>
            <w:noWrap/>
            <w:vAlign w:val="bottom"/>
            <w:hideMark/>
          </w:tcPr>
          <w:p w14:paraId="63897749" w14:textId="77777777" w:rsidR="00337865" w:rsidRDefault="00337865" w:rsidP="00F36743">
            <w:pPr>
              <w:rPr>
                <w:rFonts w:ascii="Cambria" w:hAnsi="Cambria"/>
                <w:color w:val="000000"/>
                <w:sz w:val="20"/>
                <w:szCs w:val="20"/>
              </w:rPr>
            </w:pPr>
            <w:r>
              <w:rPr>
                <w:rFonts w:ascii="Cambria" w:hAnsi="Cambria"/>
                <w:color w:val="000000"/>
                <w:sz w:val="20"/>
              </w:rPr>
              <w:t>UE-Croatie</w:t>
            </w:r>
          </w:p>
        </w:tc>
        <w:tc>
          <w:tcPr>
            <w:tcW w:w="1265" w:type="pct"/>
            <w:tcBorders>
              <w:top w:val="nil"/>
              <w:left w:val="nil"/>
              <w:bottom w:val="nil"/>
              <w:right w:val="nil"/>
            </w:tcBorders>
            <w:noWrap/>
            <w:vAlign w:val="bottom"/>
            <w:hideMark/>
          </w:tcPr>
          <w:p w14:paraId="2BB2152C" w14:textId="77777777" w:rsidR="00337865" w:rsidRDefault="00337865" w:rsidP="00F36743">
            <w:pPr>
              <w:jc w:val="center"/>
              <w:rPr>
                <w:rFonts w:ascii="Cambria" w:hAnsi="Cambria"/>
                <w:color w:val="000000"/>
                <w:sz w:val="20"/>
                <w:szCs w:val="20"/>
              </w:rPr>
            </w:pPr>
            <w:r>
              <w:rPr>
                <w:rFonts w:ascii="Cambria" w:hAnsi="Cambria"/>
                <w:color w:val="000000"/>
                <w:sz w:val="20"/>
              </w:rPr>
              <w:t>ATEU1HRV00012</w:t>
            </w:r>
          </w:p>
        </w:tc>
        <w:tc>
          <w:tcPr>
            <w:tcW w:w="1180" w:type="pct"/>
            <w:tcBorders>
              <w:top w:val="nil"/>
              <w:left w:val="nil"/>
              <w:bottom w:val="nil"/>
              <w:right w:val="nil"/>
            </w:tcBorders>
            <w:noWrap/>
            <w:vAlign w:val="bottom"/>
            <w:hideMark/>
          </w:tcPr>
          <w:p w14:paraId="69E2F0CE" w14:textId="77777777" w:rsidR="00337865" w:rsidRDefault="00337865" w:rsidP="00F36743">
            <w:pPr>
              <w:jc w:val="center"/>
              <w:rPr>
                <w:rFonts w:ascii="Cambria" w:hAnsi="Cambria"/>
                <w:color w:val="000000"/>
                <w:sz w:val="20"/>
                <w:szCs w:val="20"/>
              </w:rPr>
            </w:pPr>
            <w:r>
              <w:rPr>
                <w:rFonts w:ascii="Cambria" w:hAnsi="Cambria"/>
                <w:color w:val="000000"/>
                <w:sz w:val="20"/>
              </w:rPr>
              <w:t>ATEU1HRV00012</w:t>
            </w:r>
          </w:p>
        </w:tc>
        <w:tc>
          <w:tcPr>
            <w:tcW w:w="1181" w:type="pct"/>
            <w:tcBorders>
              <w:top w:val="nil"/>
              <w:left w:val="nil"/>
              <w:bottom w:val="nil"/>
              <w:right w:val="nil"/>
            </w:tcBorders>
            <w:noWrap/>
            <w:vAlign w:val="bottom"/>
            <w:hideMark/>
          </w:tcPr>
          <w:p w14:paraId="423CF50A" w14:textId="77777777" w:rsidR="00337865" w:rsidRDefault="00337865" w:rsidP="00F36743">
            <w:pPr>
              <w:jc w:val="center"/>
              <w:rPr>
                <w:rFonts w:ascii="Cambria" w:hAnsi="Cambria"/>
                <w:color w:val="000000"/>
                <w:sz w:val="20"/>
                <w:szCs w:val="20"/>
              </w:rPr>
            </w:pPr>
            <w:r>
              <w:rPr>
                <w:rFonts w:ascii="Cambria" w:hAnsi="Cambria"/>
                <w:color w:val="000000"/>
                <w:sz w:val="20"/>
              </w:rPr>
              <w:t>ATEU1HRV00012</w:t>
            </w:r>
          </w:p>
        </w:tc>
      </w:tr>
      <w:tr w:rsidR="00337865" w14:paraId="33132AA0" w14:textId="77777777" w:rsidTr="009E60C4">
        <w:trPr>
          <w:trHeight w:val="240"/>
        </w:trPr>
        <w:tc>
          <w:tcPr>
            <w:tcW w:w="1374" w:type="pct"/>
            <w:tcBorders>
              <w:top w:val="nil"/>
              <w:left w:val="nil"/>
              <w:bottom w:val="nil"/>
              <w:right w:val="nil"/>
            </w:tcBorders>
            <w:noWrap/>
            <w:vAlign w:val="bottom"/>
            <w:hideMark/>
          </w:tcPr>
          <w:p w14:paraId="5CE435AA" w14:textId="77777777" w:rsidR="00337865" w:rsidRDefault="00337865" w:rsidP="00F36743">
            <w:pPr>
              <w:rPr>
                <w:rFonts w:ascii="Cambria" w:hAnsi="Cambria"/>
                <w:color w:val="000000"/>
                <w:sz w:val="20"/>
                <w:szCs w:val="20"/>
              </w:rPr>
            </w:pPr>
            <w:r>
              <w:rPr>
                <w:rFonts w:ascii="Cambria" w:hAnsi="Cambria"/>
                <w:color w:val="000000"/>
                <w:sz w:val="20"/>
              </w:rPr>
              <w:t>UE-Italie</w:t>
            </w:r>
          </w:p>
        </w:tc>
        <w:tc>
          <w:tcPr>
            <w:tcW w:w="1265" w:type="pct"/>
            <w:tcBorders>
              <w:top w:val="nil"/>
              <w:left w:val="nil"/>
              <w:bottom w:val="nil"/>
              <w:right w:val="nil"/>
            </w:tcBorders>
            <w:noWrap/>
            <w:vAlign w:val="bottom"/>
            <w:hideMark/>
          </w:tcPr>
          <w:p w14:paraId="39EBA070" w14:textId="77777777" w:rsidR="00337865" w:rsidRDefault="00337865" w:rsidP="00F36743">
            <w:pPr>
              <w:jc w:val="center"/>
              <w:rPr>
                <w:rFonts w:ascii="Cambria" w:hAnsi="Cambria"/>
                <w:color w:val="000000"/>
                <w:sz w:val="20"/>
                <w:szCs w:val="20"/>
              </w:rPr>
            </w:pPr>
            <w:r>
              <w:rPr>
                <w:rFonts w:ascii="Cambria" w:hAnsi="Cambria"/>
                <w:color w:val="000000"/>
                <w:sz w:val="20"/>
              </w:rPr>
              <w:t>ATEU1ITA00015</w:t>
            </w:r>
          </w:p>
        </w:tc>
        <w:tc>
          <w:tcPr>
            <w:tcW w:w="1180" w:type="pct"/>
            <w:tcBorders>
              <w:top w:val="nil"/>
              <w:left w:val="nil"/>
              <w:bottom w:val="nil"/>
              <w:right w:val="nil"/>
            </w:tcBorders>
            <w:noWrap/>
            <w:vAlign w:val="bottom"/>
            <w:hideMark/>
          </w:tcPr>
          <w:p w14:paraId="1F76AED3" w14:textId="77777777" w:rsidR="00337865" w:rsidRDefault="00337865" w:rsidP="00F36743">
            <w:pPr>
              <w:jc w:val="center"/>
              <w:rPr>
                <w:rFonts w:ascii="Cambria" w:hAnsi="Cambria"/>
                <w:color w:val="000000"/>
                <w:sz w:val="20"/>
                <w:szCs w:val="20"/>
              </w:rPr>
            </w:pPr>
          </w:p>
        </w:tc>
        <w:tc>
          <w:tcPr>
            <w:tcW w:w="1181" w:type="pct"/>
            <w:tcBorders>
              <w:top w:val="nil"/>
              <w:left w:val="nil"/>
              <w:bottom w:val="nil"/>
              <w:right w:val="nil"/>
            </w:tcBorders>
            <w:noWrap/>
            <w:vAlign w:val="bottom"/>
            <w:hideMark/>
          </w:tcPr>
          <w:p w14:paraId="271D88BB" w14:textId="77777777" w:rsidR="00337865" w:rsidRDefault="00337865" w:rsidP="00F36743">
            <w:pPr>
              <w:jc w:val="center"/>
              <w:rPr>
                <w:sz w:val="20"/>
                <w:szCs w:val="20"/>
              </w:rPr>
            </w:pPr>
          </w:p>
        </w:tc>
      </w:tr>
      <w:tr w:rsidR="00337865" w14:paraId="5BD432E2" w14:textId="77777777" w:rsidTr="009E60C4">
        <w:trPr>
          <w:trHeight w:val="240"/>
        </w:trPr>
        <w:tc>
          <w:tcPr>
            <w:tcW w:w="1374" w:type="pct"/>
            <w:tcBorders>
              <w:top w:val="nil"/>
              <w:left w:val="nil"/>
              <w:bottom w:val="nil"/>
              <w:right w:val="nil"/>
            </w:tcBorders>
            <w:noWrap/>
            <w:vAlign w:val="bottom"/>
            <w:hideMark/>
          </w:tcPr>
          <w:p w14:paraId="01571AEA" w14:textId="77777777" w:rsidR="00337865" w:rsidRDefault="00337865" w:rsidP="00F36743">
            <w:pPr>
              <w:rPr>
                <w:rFonts w:ascii="Cambria" w:hAnsi="Cambria"/>
                <w:color w:val="000000"/>
                <w:sz w:val="20"/>
                <w:szCs w:val="20"/>
              </w:rPr>
            </w:pPr>
            <w:r>
              <w:rPr>
                <w:rFonts w:ascii="Cambria" w:hAnsi="Cambria"/>
                <w:color w:val="000000"/>
                <w:sz w:val="20"/>
              </w:rPr>
              <w:t>UE-Malte</w:t>
            </w:r>
          </w:p>
        </w:tc>
        <w:tc>
          <w:tcPr>
            <w:tcW w:w="1265" w:type="pct"/>
            <w:tcBorders>
              <w:top w:val="nil"/>
              <w:left w:val="nil"/>
              <w:bottom w:val="nil"/>
              <w:right w:val="nil"/>
            </w:tcBorders>
            <w:noWrap/>
            <w:vAlign w:val="bottom"/>
            <w:hideMark/>
          </w:tcPr>
          <w:p w14:paraId="05B02DDF" w14:textId="77777777" w:rsidR="00337865" w:rsidRDefault="00337865" w:rsidP="00F36743">
            <w:pPr>
              <w:jc w:val="center"/>
              <w:rPr>
                <w:rFonts w:ascii="Cambria" w:hAnsi="Cambria"/>
                <w:color w:val="000000"/>
                <w:sz w:val="20"/>
                <w:szCs w:val="20"/>
              </w:rPr>
            </w:pPr>
            <w:r>
              <w:rPr>
                <w:rFonts w:ascii="Cambria" w:hAnsi="Cambria"/>
                <w:color w:val="000000"/>
                <w:sz w:val="20"/>
              </w:rPr>
              <w:t>ATEU1MLT00001</w:t>
            </w:r>
          </w:p>
        </w:tc>
        <w:tc>
          <w:tcPr>
            <w:tcW w:w="1180" w:type="pct"/>
            <w:tcBorders>
              <w:top w:val="nil"/>
              <w:left w:val="nil"/>
              <w:bottom w:val="nil"/>
              <w:right w:val="nil"/>
            </w:tcBorders>
            <w:noWrap/>
            <w:vAlign w:val="bottom"/>
            <w:hideMark/>
          </w:tcPr>
          <w:p w14:paraId="52DC7397" w14:textId="77777777" w:rsidR="00337865" w:rsidRDefault="00337865" w:rsidP="00F36743">
            <w:pPr>
              <w:jc w:val="center"/>
              <w:rPr>
                <w:rFonts w:ascii="Cambria" w:hAnsi="Cambria"/>
                <w:color w:val="000000"/>
                <w:sz w:val="20"/>
                <w:szCs w:val="20"/>
              </w:rPr>
            </w:pPr>
            <w:r>
              <w:rPr>
                <w:rFonts w:ascii="Cambria" w:hAnsi="Cambria"/>
                <w:color w:val="000000"/>
                <w:sz w:val="20"/>
              </w:rPr>
              <w:t>ATEU1MLT00001</w:t>
            </w:r>
          </w:p>
        </w:tc>
        <w:tc>
          <w:tcPr>
            <w:tcW w:w="1181" w:type="pct"/>
            <w:tcBorders>
              <w:top w:val="nil"/>
              <w:left w:val="nil"/>
              <w:bottom w:val="nil"/>
              <w:right w:val="nil"/>
            </w:tcBorders>
            <w:noWrap/>
            <w:vAlign w:val="bottom"/>
            <w:hideMark/>
          </w:tcPr>
          <w:p w14:paraId="6E4B5A4D" w14:textId="77777777" w:rsidR="00337865" w:rsidRDefault="00337865" w:rsidP="00F36743">
            <w:pPr>
              <w:jc w:val="center"/>
              <w:rPr>
                <w:rFonts w:ascii="Cambria" w:hAnsi="Cambria"/>
                <w:color w:val="000000"/>
                <w:sz w:val="20"/>
                <w:szCs w:val="20"/>
              </w:rPr>
            </w:pPr>
            <w:r>
              <w:rPr>
                <w:rFonts w:ascii="Cambria" w:hAnsi="Cambria"/>
                <w:color w:val="000000"/>
                <w:sz w:val="20"/>
              </w:rPr>
              <w:t>ATEU1MLT00001</w:t>
            </w:r>
          </w:p>
        </w:tc>
      </w:tr>
      <w:tr w:rsidR="00337865" w14:paraId="6246D95C" w14:textId="77777777" w:rsidTr="009E60C4">
        <w:trPr>
          <w:trHeight w:val="240"/>
        </w:trPr>
        <w:tc>
          <w:tcPr>
            <w:tcW w:w="1374" w:type="pct"/>
            <w:tcBorders>
              <w:top w:val="nil"/>
              <w:left w:val="nil"/>
              <w:bottom w:val="nil"/>
              <w:right w:val="nil"/>
            </w:tcBorders>
            <w:noWrap/>
            <w:vAlign w:val="bottom"/>
            <w:hideMark/>
          </w:tcPr>
          <w:p w14:paraId="76B0EC21" w14:textId="77777777" w:rsidR="00337865" w:rsidRDefault="00337865" w:rsidP="00F36743">
            <w:pPr>
              <w:rPr>
                <w:rFonts w:ascii="Cambria" w:hAnsi="Cambria"/>
                <w:color w:val="000000"/>
                <w:sz w:val="20"/>
                <w:szCs w:val="20"/>
              </w:rPr>
            </w:pPr>
            <w:r>
              <w:rPr>
                <w:rFonts w:ascii="Cambria" w:hAnsi="Cambria"/>
                <w:color w:val="000000"/>
                <w:sz w:val="20"/>
              </w:rPr>
              <w:t>UE-Malte</w:t>
            </w:r>
          </w:p>
        </w:tc>
        <w:tc>
          <w:tcPr>
            <w:tcW w:w="1265" w:type="pct"/>
            <w:tcBorders>
              <w:top w:val="nil"/>
              <w:left w:val="nil"/>
              <w:bottom w:val="nil"/>
              <w:right w:val="nil"/>
            </w:tcBorders>
            <w:noWrap/>
            <w:vAlign w:val="bottom"/>
            <w:hideMark/>
          </w:tcPr>
          <w:p w14:paraId="7C5F9AA2" w14:textId="77777777" w:rsidR="00337865" w:rsidRDefault="00337865" w:rsidP="00F36743">
            <w:pPr>
              <w:jc w:val="center"/>
              <w:rPr>
                <w:rFonts w:ascii="Cambria" w:hAnsi="Cambria"/>
                <w:color w:val="000000"/>
                <w:sz w:val="20"/>
                <w:szCs w:val="20"/>
              </w:rPr>
            </w:pPr>
            <w:r>
              <w:rPr>
                <w:rFonts w:ascii="Cambria" w:hAnsi="Cambria"/>
                <w:color w:val="000000"/>
                <w:sz w:val="20"/>
              </w:rPr>
              <w:t>ATEU1MLT00002</w:t>
            </w:r>
          </w:p>
        </w:tc>
        <w:tc>
          <w:tcPr>
            <w:tcW w:w="1180" w:type="pct"/>
            <w:tcBorders>
              <w:top w:val="nil"/>
              <w:left w:val="nil"/>
              <w:bottom w:val="nil"/>
              <w:right w:val="nil"/>
            </w:tcBorders>
            <w:noWrap/>
            <w:vAlign w:val="bottom"/>
            <w:hideMark/>
          </w:tcPr>
          <w:p w14:paraId="7ABC2160" w14:textId="77777777" w:rsidR="00337865" w:rsidRDefault="00337865" w:rsidP="00F36743">
            <w:pPr>
              <w:jc w:val="center"/>
              <w:rPr>
                <w:rFonts w:ascii="Cambria" w:hAnsi="Cambria"/>
                <w:color w:val="000000"/>
                <w:sz w:val="20"/>
                <w:szCs w:val="20"/>
              </w:rPr>
            </w:pPr>
            <w:r>
              <w:rPr>
                <w:rFonts w:ascii="Cambria" w:hAnsi="Cambria"/>
                <w:color w:val="000000"/>
                <w:sz w:val="20"/>
              </w:rPr>
              <w:t>ATEU1MLT00002</w:t>
            </w:r>
          </w:p>
        </w:tc>
        <w:tc>
          <w:tcPr>
            <w:tcW w:w="1181" w:type="pct"/>
            <w:tcBorders>
              <w:top w:val="nil"/>
              <w:left w:val="nil"/>
              <w:bottom w:val="nil"/>
              <w:right w:val="nil"/>
            </w:tcBorders>
            <w:noWrap/>
            <w:vAlign w:val="bottom"/>
            <w:hideMark/>
          </w:tcPr>
          <w:p w14:paraId="1E5948B4" w14:textId="77777777" w:rsidR="00337865" w:rsidRDefault="00337865" w:rsidP="00F36743">
            <w:pPr>
              <w:jc w:val="center"/>
              <w:rPr>
                <w:rFonts w:ascii="Cambria" w:hAnsi="Cambria"/>
                <w:color w:val="000000"/>
                <w:sz w:val="20"/>
                <w:szCs w:val="20"/>
              </w:rPr>
            </w:pPr>
            <w:r>
              <w:rPr>
                <w:rFonts w:ascii="Cambria" w:hAnsi="Cambria"/>
                <w:color w:val="000000"/>
                <w:sz w:val="20"/>
              </w:rPr>
              <w:t>ATEU1MLT00002</w:t>
            </w:r>
          </w:p>
        </w:tc>
      </w:tr>
      <w:tr w:rsidR="00337865" w14:paraId="621DBCEA" w14:textId="77777777" w:rsidTr="009E60C4">
        <w:trPr>
          <w:trHeight w:val="240"/>
        </w:trPr>
        <w:tc>
          <w:tcPr>
            <w:tcW w:w="1374" w:type="pct"/>
            <w:tcBorders>
              <w:top w:val="nil"/>
              <w:left w:val="nil"/>
              <w:bottom w:val="nil"/>
              <w:right w:val="nil"/>
            </w:tcBorders>
            <w:noWrap/>
            <w:vAlign w:val="bottom"/>
            <w:hideMark/>
          </w:tcPr>
          <w:p w14:paraId="530D928F" w14:textId="77777777" w:rsidR="00337865" w:rsidRDefault="00337865" w:rsidP="00F36743">
            <w:pPr>
              <w:rPr>
                <w:rFonts w:ascii="Cambria" w:hAnsi="Cambria"/>
                <w:color w:val="000000"/>
                <w:sz w:val="20"/>
                <w:szCs w:val="20"/>
              </w:rPr>
            </w:pPr>
            <w:r>
              <w:rPr>
                <w:rFonts w:ascii="Cambria" w:hAnsi="Cambria"/>
                <w:color w:val="000000"/>
                <w:sz w:val="20"/>
              </w:rPr>
              <w:t>UE-Malte</w:t>
            </w:r>
          </w:p>
        </w:tc>
        <w:tc>
          <w:tcPr>
            <w:tcW w:w="1265" w:type="pct"/>
            <w:tcBorders>
              <w:top w:val="nil"/>
              <w:left w:val="nil"/>
              <w:bottom w:val="nil"/>
              <w:right w:val="nil"/>
            </w:tcBorders>
            <w:noWrap/>
            <w:vAlign w:val="bottom"/>
            <w:hideMark/>
          </w:tcPr>
          <w:p w14:paraId="4ABC669E" w14:textId="77777777" w:rsidR="00337865" w:rsidRDefault="00337865" w:rsidP="00F36743">
            <w:pPr>
              <w:jc w:val="center"/>
              <w:rPr>
                <w:rFonts w:ascii="Cambria" w:hAnsi="Cambria"/>
                <w:color w:val="000000"/>
                <w:sz w:val="20"/>
                <w:szCs w:val="20"/>
              </w:rPr>
            </w:pPr>
            <w:r>
              <w:rPr>
                <w:rFonts w:ascii="Cambria" w:hAnsi="Cambria"/>
                <w:color w:val="000000"/>
                <w:sz w:val="20"/>
              </w:rPr>
              <w:t>ATEU1MLT00003</w:t>
            </w:r>
          </w:p>
        </w:tc>
        <w:tc>
          <w:tcPr>
            <w:tcW w:w="1180" w:type="pct"/>
            <w:tcBorders>
              <w:top w:val="nil"/>
              <w:left w:val="nil"/>
              <w:bottom w:val="nil"/>
              <w:right w:val="nil"/>
            </w:tcBorders>
            <w:noWrap/>
            <w:vAlign w:val="bottom"/>
            <w:hideMark/>
          </w:tcPr>
          <w:p w14:paraId="38B9A01A" w14:textId="77777777" w:rsidR="00337865" w:rsidRDefault="00337865" w:rsidP="00F36743">
            <w:pPr>
              <w:jc w:val="center"/>
              <w:rPr>
                <w:rFonts w:ascii="Cambria" w:hAnsi="Cambria"/>
                <w:color w:val="000000"/>
                <w:sz w:val="20"/>
                <w:szCs w:val="20"/>
              </w:rPr>
            </w:pPr>
            <w:r>
              <w:rPr>
                <w:rFonts w:ascii="Cambria" w:hAnsi="Cambria"/>
                <w:color w:val="000000"/>
                <w:sz w:val="20"/>
              </w:rPr>
              <w:t>ATEU1MLT00003</w:t>
            </w:r>
          </w:p>
        </w:tc>
        <w:tc>
          <w:tcPr>
            <w:tcW w:w="1181" w:type="pct"/>
            <w:tcBorders>
              <w:top w:val="nil"/>
              <w:left w:val="nil"/>
              <w:bottom w:val="nil"/>
              <w:right w:val="nil"/>
            </w:tcBorders>
            <w:noWrap/>
            <w:vAlign w:val="bottom"/>
            <w:hideMark/>
          </w:tcPr>
          <w:p w14:paraId="443FE414" w14:textId="77777777" w:rsidR="00337865" w:rsidRDefault="00337865" w:rsidP="00F36743">
            <w:pPr>
              <w:jc w:val="center"/>
              <w:rPr>
                <w:rFonts w:ascii="Cambria" w:hAnsi="Cambria"/>
                <w:color w:val="000000"/>
                <w:sz w:val="20"/>
                <w:szCs w:val="20"/>
              </w:rPr>
            </w:pPr>
            <w:r>
              <w:rPr>
                <w:rFonts w:ascii="Cambria" w:hAnsi="Cambria"/>
                <w:color w:val="000000"/>
                <w:sz w:val="20"/>
              </w:rPr>
              <w:t>ATEU1MLT00003</w:t>
            </w:r>
          </w:p>
        </w:tc>
      </w:tr>
      <w:tr w:rsidR="00337865" w14:paraId="2D983043" w14:textId="77777777" w:rsidTr="009E60C4">
        <w:trPr>
          <w:trHeight w:val="240"/>
        </w:trPr>
        <w:tc>
          <w:tcPr>
            <w:tcW w:w="1374" w:type="pct"/>
            <w:tcBorders>
              <w:top w:val="nil"/>
              <w:left w:val="nil"/>
              <w:bottom w:val="nil"/>
              <w:right w:val="nil"/>
            </w:tcBorders>
            <w:noWrap/>
            <w:vAlign w:val="bottom"/>
            <w:hideMark/>
          </w:tcPr>
          <w:p w14:paraId="29E53B32" w14:textId="77777777" w:rsidR="00337865" w:rsidRDefault="00337865" w:rsidP="00F36743">
            <w:pPr>
              <w:rPr>
                <w:rFonts w:ascii="Cambria" w:hAnsi="Cambria"/>
                <w:color w:val="000000"/>
                <w:sz w:val="20"/>
                <w:szCs w:val="20"/>
              </w:rPr>
            </w:pPr>
            <w:r>
              <w:rPr>
                <w:rFonts w:ascii="Cambria" w:hAnsi="Cambria"/>
                <w:color w:val="000000"/>
                <w:sz w:val="20"/>
              </w:rPr>
              <w:t>UE-Malte</w:t>
            </w:r>
          </w:p>
        </w:tc>
        <w:tc>
          <w:tcPr>
            <w:tcW w:w="1265" w:type="pct"/>
            <w:tcBorders>
              <w:top w:val="nil"/>
              <w:left w:val="nil"/>
              <w:bottom w:val="nil"/>
              <w:right w:val="nil"/>
            </w:tcBorders>
            <w:noWrap/>
            <w:vAlign w:val="bottom"/>
            <w:hideMark/>
          </w:tcPr>
          <w:p w14:paraId="5A1CAD00" w14:textId="77777777" w:rsidR="00337865" w:rsidRDefault="00337865" w:rsidP="00F36743">
            <w:pPr>
              <w:jc w:val="center"/>
              <w:rPr>
                <w:rFonts w:ascii="Cambria" w:hAnsi="Cambria"/>
                <w:color w:val="000000"/>
                <w:sz w:val="20"/>
                <w:szCs w:val="20"/>
              </w:rPr>
            </w:pPr>
            <w:r>
              <w:rPr>
                <w:rFonts w:ascii="Cambria" w:hAnsi="Cambria"/>
                <w:color w:val="000000"/>
                <w:sz w:val="20"/>
              </w:rPr>
              <w:t>ATEU1MLT00004</w:t>
            </w:r>
          </w:p>
        </w:tc>
        <w:tc>
          <w:tcPr>
            <w:tcW w:w="1180" w:type="pct"/>
            <w:tcBorders>
              <w:top w:val="nil"/>
              <w:left w:val="nil"/>
              <w:bottom w:val="nil"/>
              <w:right w:val="nil"/>
            </w:tcBorders>
            <w:noWrap/>
            <w:vAlign w:val="bottom"/>
            <w:hideMark/>
          </w:tcPr>
          <w:p w14:paraId="1925CFEA" w14:textId="77777777" w:rsidR="00337865" w:rsidRDefault="00337865" w:rsidP="00F36743">
            <w:pPr>
              <w:jc w:val="center"/>
              <w:rPr>
                <w:rFonts w:ascii="Cambria" w:hAnsi="Cambria"/>
                <w:color w:val="000000"/>
                <w:sz w:val="20"/>
                <w:szCs w:val="20"/>
              </w:rPr>
            </w:pPr>
            <w:r>
              <w:rPr>
                <w:rFonts w:ascii="Cambria" w:hAnsi="Cambria"/>
                <w:color w:val="000000"/>
                <w:sz w:val="20"/>
              </w:rPr>
              <w:t>ATEU1MLT00004</w:t>
            </w:r>
          </w:p>
        </w:tc>
        <w:tc>
          <w:tcPr>
            <w:tcW w:w="1181" w:type="pct"/>
            <w:tcBorders>
              <w:top w:val="nil"/>
              <w:left w:val="nil"/>
              <w:bottom w:val="nil"/>
              <w:right w:val="nil"/>
            </w:tcBorders>
            <w:noWrap/>
            <w:vAlign w:val="bottom"/>
            <w:hideMark/>
          </w:tcPr>
          <w:p w14:paraId="5AA60199" w14:textId="77777777" w:rsidR="00337865" w:rsidRDefault="00337865" w:rsidP="00F36743">
            <w:pPr>
              <w:jc w:val="center"/>
              <w:rPr>
                <w:rFonts w:ascii="Cambria" w:hAnsi="Cambria"/>
                <w:color w:val="000000"/>
                <w:sz w:val="20"/>
                <w:szCs w:val="20"/>
              </w:rPr>
            </w:pPr>
            <w:r>
              <w:rPr>
                <w:rFonts w:ascii="Cambria" w:hAnsi="Cambria"/>
                <w:color w:val="000000"/>
                <w:sz w:val="20"/>
              </w:rPr>
              <w:t>ATEU1MLT00004</w:t>
            </w:r>
          </w:p>
        </w:tc>
      </w:tr>
      <w:tr w:rsidR="00337865" w14:paraId="2A7A4835" w14:textId="77777777" w:rsidTr="009E60C4">
        <w:trPr>
          <w:trHeight w:val="240"/>
        </w:trPr>
        <w:tc>
          <w:tcPr>
            <w:tcW w:w="1374" w:type="pct"/>
            <w:tcBorders>
              <w:top w:val="nil"/>
              <w:left w:val="nil"/>
              <w:bottom w:val="nil"/>
              <w:right w:val="nil"/>
            </w:tcBorders>
            <w:noWrap/>
            <w:vAlign w:val="bottom"/>
            <w:hideMark/>
          </w:tcPr>
          <w:p w14:paraId="42804079" w14:textId="77777777" w:rsidR="00337865" w:rsidRDefault="00337865" w:rsidP="00F36743">
            <w:pPr>
              <w:rPr>
                <w:rFonts w:ascii="Cambria" w:hAnsi="Cambria"/>
                <w:color w:val="000000"/>
                <w:sz w:val="20"/>
                <w:szCs w:val="20"/>
              </w:rPr>
            </w:pPr>
            <w:r>
              <w:rPr>
                <w:rFonts w:ascii="Cambria" w:hAnsi="Cambria"/>
                <w:color w:val="000000"/>
                <w:sz w:val="20"/>
              </w:rPr>
              <w:t>UE-Malte</w:t>
            </w:r>
          </w:p>
        </w:tc>
        <w:tc>
          <w:tcPr>
            <w:tcW w:w="1265" w:type="pct"/>
            <w:tcBorders>
              <w:top w:val="nil"/>
              <w:left w:val="nil"/>
              <w:bottom w:val="nil"/>
              <w:right w:val="nil"/>
            </w:tcBorders>
            <w:noWrap/>
            <w:vAlign w:val="bottom"/>
            <w:hideMark/>
          </w:tcPr>
          <w:p w14:paraId="4D363C65" w14:textId="77777777" w:rsidR="00337865" w:rsidRDefault="00337865" w:rsidP="00F36743">
            <w:pPr>
              <w:jc w:val="center"/>
              <w:rPr>
                <w:rFonts w:ascii="Cambria" w:hAnsi="Cambria"/>
                <w:color w:val="000000"/>
                <w:sz w:val="20"/>
                <w:szCs w:val="20"/>
              </w:rPr>
            </w:pPr>
            <w:r>
              <w:rPr>
                <w:rFonts w:ascii="Cambria" w:hAnsi="Cambria"/>
                <w:color w:val="000000"/>
                <w:sz w:val="20"/>
              </w:rPr>
              <w:t>ATEU1MLT00007</w:t>
            </w:r>
          </w:p>
        </w:tc>
        <w:tc>
          <w:tcPr>
            <w:tcW w:w="1180" w:type="pct"/>
            <w:tcBorders>
              <w:top w:val="nil"/>
              <w:left w:val="nil"/>
              <w:bottom w:val="nil"/>
              <w:right w:val="nil"/>
            </w:tcBorders>
            <w:noWrap/>
            <w:vAlign w:val="bottom"/>
            <w:hideMark/>
          </w:tcPr>
          <w:p w14:paraId="34B7D1BF" w14:textId="77777777" w:rsidR="00337865" w:rsidRDefault="00337865" w:rsidP="00F36743">
            <w:pPr>
              <w:jc w:val="center"/>
              <w:rPr>
                <w:rFonts w:ascii="Cambria" w:hAnsi="Cambria"/>
                <w:color w:val="000000"/>
                <w:sz w:val="20"/>
                <w:szCs w:val="20"/>
              </w:rPr>
            </w:pPr>
            <w:r>
              <w:rPr>
                <w:rFonts w:ascii="Cambria" w:hAnsi="Cambria"/>
                <w:color w:val="000000"/>
                <w:sz w:val="20"/>
              </w:rPr>
              <w:t>ATEU1MLT00007</w:t>
            </w:r>
          </w:p>
        </w:tc>
        <w:tc>
          <w:tcPr>
            <w:tcW w:w="1181" w:type="pct"/>
            <w:tcBorders>
              <w:top w:val="nil"/>
              <w:left w:val="nil"/>
              <w:bottom w:val="nil"/>
              <w:right w:val="nil"/>
            </w:tcBorders>
            <w:noWrap/>
            <w:vAlign w:val="bottom"/>
            <w:hideMark/>
          </w:tcPr>
          <w:p w14:paraId="0AF66B2D" w14:textId="77777777" w:rsidR="00337865" w:rsidRDefault="00337865" w:rsidP="00F36743">
            <w:pPr>
              <w:jc w:val="center"/>
              <w:rPr>
                <w:rFonts w:ascii="Cambria" w:hAnsi="Cambria"/>
                <w:color w:val="000000"/>
                <w:sz w:val="20"/>
                <w:szCs w:val="20"/>
              </w:rPr>
            </w:pPr>
            <w:r>
              <w:rPr>
                <w:rFonts w:ascii="Cambria" w:hAnsi="Cambria"/>
                <w:color w:val="000000"/>
                <w:sz w:val="20"/>
              </w:rPr>
              <w:t>ATEU1MLT00007</w:t>
            </w:r>
          </w:p>
        </w:tc>
      </w:tr>
      <w:tr w:rsidR="00337865" w14:paraId="006DAE1C" w14:textId="77777777" w:rsidTr="009E60C4">
        <w:trPr>
          <w:trHeight w:val="240"/>
        </w:trPr>
        <w:tc>
          <w:tcPr>
            <w:tcW w:w="1374" w:type="pct"/>
            <w:tcBorders>
              <w:top w:val="nil"/>
              <w:left w:val="nil"/>
              <w:bottom w:val="nil"/>
              <w:right w:val="nil"/>
            </w:tcBorders>
            <w:noWrap/>
            <w:vAlign w:val="bottom"/>
            <w:hideMark/>
          </w:tcPr>
          <w:p w14:paraId="3030EF33" w14:textId="77777777" w:rsidR="00337865" w:rsidRDefault="00337865" w:rsidP="00F36743">
            <w:pPr>
              <w:rPr>
                <w:rFonts w:ascii="Cambria" w:hAnsi="Cambria"/>
                <w:color w:val="000000"/>
                <w:sz w:val="20"/>
                <w:szCs w:val="20"/>
              </w:rPr>
            </w:pPr>
            <w:r>
              <w:rPr>
                <w:rFonts w:ascii="Cambria" w:hAnsi="Cambria"/>
                <w:color w:val="000000"/>
                <w:sz w:val="20"/>
              </w:rPr>
              <w:t>UE-Malte</w:t>
            </w:r>
          </w:p>
        </w:tc>
        <w:tc>
          <w:tcPr>
            <w:tcW w:w="1265" w:type="pct"/>
            <w:tcBorders>
              <w:top w:val="nil"/>
              <w:left w:val="nil"/>
              <w:bottom w:val="nil"/>
              <w:right w:val="nil"/>
            </w:tcBorders>
            <w:noWrap/>
            <w:vAlign w:val="bottom"/>
            <w:hideMark/>
          </w:tcPr>
          <w:p w14:paraId="6055381D" w14:textId="77777777" w:rsidR="00337865" w:rsidRDefault="00337865" w:rsidP="00F36743">
            <w:pPr>
              <w:jc w:val="center"/>
              <w:rPr>
                <w:rFonts w:ascii="Cambria" w:hAnsi="Cambria"/>
                <w:color w:val="000000"/>
                <w:sz w:val="20"/>
                <w:szCs w:val="20"/>
              </w:rPr>
            </w:pPr>
            <w:r>
              <w:rPr>
                <w:rFonts w:ascii="Cambria" w:hAnsi="Cambria"/>
                <w:color w:val="000000"/>
                <w:sz w:val="20"/>
              </w:rPr>
              <w:t>ATEU1MLT00008</w:t>
            </w:r>
          </w:p>
        </w:tc>
        <w:tc>
          <w:tcPr>
            <w:tcW w:w="1180" w:type="pct"/>
            <w:tcBorders>
              <w:top w:val="nil"/>
              <w:left w:val="nil"/>
              <w:bottom w:val="nil"/>
              <w:right w:val="nil"/>
            </w:tcBorders>
            <w:noWrap/>
            <w:vAlign w:val="bottom"/>
            <w:hideMark/>
          </w:tcPr>
          <w:p w14:paraId="4056A067" w14:textId="77777777" w:rsidR="00337865" w:rsidRDefault="00337865" w:rsidP="00F36743">
            <w:pPr>
              <w:jc w:val="center"/>
              <w:rPr>
                <w:rFonts w:ascii="Cambria" w:hAnsi="Cambria"/>
                <w:color w:val="000000"/>
                <w:sz w:val="20"/>
                <w:szCs w:val="20"/>
              </w:rPr>
            </w:pPr>
            <w:r>
              <w:rPr>
                <w:rFonts w:ascii="Cambria" w:hAnsi="Cambria"/>
                <w:color w:val="000000"/>
                <w:sz w:val="20"/>
              </w:rPr>
              <w:t>ATEU1MLT00008</w:t>
            </w:r>
          </w:p>
        </w:tc>
        <w:tc>
          <w:tcPr>
            <w:tcW w:w="1181" w:type="pct"/>
            <w:tcBorders>
              <w:top w:val="nil"/>
              <w:left w:val="nil"/>
              <w:bottom w:val="nil"/>
              <w:right w:val="nil"/>
            </w:tcBorders>
            <w:noWrap/>
            <w:vAlign w:val="bottom"/>
            <w:hideMark/>
          </w:tcPr>
          <w:p w14:paraId="56547086" w14:textId="77777777" w:rsidR="00337865" w:rsidRDefault="00337865" w:rsidP="00F36743">
            <w:pPr>
              <w:jc w:val="center"/>
              <w:rPr>
                <w:rFonts w:ascii="Cambria" w:hAnsi="Cambria"/>
                <w:color w:val="000000"/>
                <w:sz w:val="20"/>
                <w:szCs w:val="20"/>
              </w:rPr>
            </w:pPr>
            <w:r>
              <w:rPr>
                <w:rFonts w:ascii="Cambria" w:hAnsi="Cambria"/>
                <w:color w:val="000000"/>
                <w:sz w:val="20"/>
              </w:rPr>
              <w:t>ATEU1MLT00008</w:t>
            </w:r>
          </w:p>
        </w:tc>
      </w:tr>
      <w:tr w:rsidR="00337865" w14:paraId="38F63CE4" w14:textId="77777777" w:rsidTr="009E60C4">
        <w:trPr>
          <w:trHeight w:val="240"/>
        </w:trPr>
        <w:tc>
          <w:tcPr>
            <w:tcW w:w="1374" w:type="pct"/>
            <w:tcBorders>
              <w:top w:val="nil"/>
              <w:left w:val="nil"/>
              <w:bottom w:val="nil"/>
              <w:right w:val="nil"/>
            </w:tcBorders>
            <w:noWrap/>
            <w:vAlign w:val="bottom"/>
            <w:hideMark/>
          </w:tcPr>
          <w:p w14:paraId="0ABD0B18" w14:textId="77777777" w:rsidR="00337865" w:rsidRDefault="00337865" w:rsidP="00F36743">
            <w:pPr>
              <w:rPr>
                <w:rFonts w:ascii="Cambria" w:hAnsi="Cambria"/>
                <w:color w:val="000000"/>
                <w:sz w:val="20"/>
                <w:szCs w:val="20"/>
              </w:rPr>
            </w:pPr>
            <w:r>
              <w:rPr>
                <w:rFonts w:ascii="Cambria" w:hAnsi="Cambria"/>
                <w:color w:val="000000"/>
                <w:sz w:val="20"/>
              </w:rPr>
              <w:t>UE-Portugal</w:t>
            </w:r>
          </w:p>
        </w:tc>
        <w:tc>
          <w:tcPr>
            <w:tcW w:w="1265" w:type="pct"/>
            <w:tcBorders>
              <w:top w:val="nil"/>
              <w:left w:val="nil"/>
              <w:bottom w:val="nil"/>
              <w:right w:val="nil"/>
            </w:tcBorders>
            <w:noWrap/>
            <w:vAlign w:val="bottom"/>
            <w:hideMark/>
          </w:tcPr>
          <w:p w14:paraId="115F3D90" w14:textId="77777777" w:rsidR="00337865" w:rsidRDefault="00337865" w:rsidP="00F36743">
            <w:pPr>
              <w:jc w:val="center"/>
              <w:rPr>
                <w:rFonts w:ascii="Cambria" w:hAnsi="Cambria"/>
                <w:color w:val="000000"/>
                <w:sz w:val="20"/>
                <w:szCs w:val="20"/>
              </w:rPr>
            </w:pPr>
            <w:r>
              <w:rPr>
                <w:rFonts w:ascii="Cambria" w:hAnsi="Cambria"/>
                <w:color w:val="000000"/>
                <w:sz w:val="20"/>
              </w:rPr>
              <w:t>ATEU1PRT00002</w:t>
            </w:r>
          </w:p>
        </w:tc>
        <w:tc>
          <w:tcPr>
            <w:tcW w:w="1180" w:type="pct"/>
            <w:tcBorders>
              <w:top w:val="nil"/>
              <w:left w:val="nil"/>
              <w:bottom w:val="nil"/>
              <w:right w:val="nil"/>
            </w:tcBorders>
            <w:noWrap/>
            <w:vAlign w:val="bottom"/>
            <w:hideMark/>
          </w:tcPr>
          <w:p w14:paraId="0DC971E1" w14:textId="77777777" w:rsidR="00337865" w:rsidRDefault="00337865" w:rsidP="00F36743">
            <w:pPr>
              <w:jc w:val="center"/>
              <w:rPr>
                <w:rFonts w:ascii="Cambria" w:hAnsi="Cambria"/>
                <w:color w:val="000000"/>
                <w:sz w:val="20"/>
                <w:szCs w:val="20"/>
              </w:rPr>
            </w:pPr>
            <w:r>
              <w:rPr>
                <w:rFonts w:ascii="Cambria" w:hAnsi="Cambria"/>
                <w:color w:val="000000"/>
                <w:sz w:val="20"/>
              </w:rPr>
              <w:t>ATEU1PRT00002</w:t>
            </w:r>
          </w:p>
        </w:tc>
        <w:tc>
          <w:tcPr>
            <w:tcW w:w="1181" w:type="pct"/>
            <w:tcBorders>
              <w:top w:val="nil"/>
              <w:left w:val="nil"/>
              <w:bottom w:val="nil"/>
              <w:right w:val="nil"/>
            </w:tcBorders>
            <w:noWrap/>
            <w:vAlign w:val="bottom"/>
            <w:hideMark/>
          </w:tcPr>
          <w:p w14:paraId="0422752F" w14:textId="77777777" w:rsidR="00337865" w:rsidRDefault="00337865" w:rsidP="00F36743">
            <w:pPr>
              <w:jc w:val="center"/>
              <w:rPr>
                <w:rFonts w:ascii="Cambria" w:hAnsi="Cambria"/>
                <w:color w:val="000000"/>
                <w:sz w:val="20"/>
                <w:szCs w:val="20"/>
              </w:rPr>
            </w:pPr>
            <w:r>
              <w:rPr>
                <w:rFonts w:ascii="Cambria" w:hAnsi="Cambria"/>
                <w:color w:val="000000"/>
                <w:sz w:val="20"/>
              </w:rPr>
              <w:t>ATEU1PRT00002</w:t>
            </w:r>
          </w:p>
        </w:tc>
      </w:tr>
      <w:tr w:rsidR="00337865" w14:paraId="264E3777" w14:textId="77777777" w:rsidTr="009E60C4">
        <w:trPr>
          <w:trHeight w:val="240"/>
        </w:trPr>
        <w:tc>
          <w:tcPr>
            <w:tcW w:w="1374" w:type="pct"/>
            <w:tcBorders>
              <w:top w:val="nil"/>
              <w:left w:val="nil"/>
              <w:bottom w:val="nil"/>
              <w:right w:val="nil"/>
            </w:tcBorders>
            <w:noWrap/>
            <w:vAlign w:val="bottom"/>
            <w:hideMark/>
          </w:tcPr>
          <w:p w14:paraId="598ACA7C" w14:textId="77777777" w:rsidR="00337865" w:rsidRDefault="00337865" w:rsidP="00F36743">
            <w:pPr>
              <w:rPr>
                <w:rFonts w:ascii="Cambria" w:hAnsi="Cambria"/>
                <w:color w:val="000000"/>
                <w:sz w:val="20"/>
                <w:szCs w:val="20"/>
              </w:rPr>
            </w:pPr>
            <w:r>
              <w:rPr>
                <w:rFonts w:ascii="Cambria" w:hAnsi="Cambria"/>
                <w:color w:val="000000"/>
                <w:sz w:val="20"/>
              </w:rPr>
              <w:t>UE-Portugal</w:t>
            </w:r>
          </w:p>
        </w:tc>
        <w:tc>
          <w:tcPr>
            <w:tcW w:w="1265" w:type="pct"/>
            <w:tcBorders>
              <w:top w:val="nil"/>
              <w:left w:val="nil"/>
              <w:bottom w:val="nil"/>
              <w:right w:val="nil"/>
            </w:tcBorders>
            <w:noWrap/>
            <w:vAlign w:val="bottom"/>
            <w:hideMark/>
          </w:tcPr>
          <w:p w14:paraId="3C86DC80" w14:textId="77777777" w:rsidR="00337865" w:rsidRDefault="00337865" w:rsidP="00F36743">
            <w:pPr>
              <w:jc w:val="center"/>
              <w:rPr>
                <w:rFonts w:ascii="Cambria" w:hAnsi="Cambria"/>
                <w:color w:val="000000"/>
                <w:sz w:val="20"/>
                <w:szCs w:val="20"/>
              </w:rPr>
            </w:pPr>
            <w:r>
              <w:rPr>
                <w:rFonts w:ascii="Cambria" w:hAnsi="Cambria"/>
                <w:color w:val="000000"/>
                <w:sz w:val="20"/>
              </w:rPr>
              <w:t>ATEU1PRT00003</w:t>
            </w:r>
          </w:p>
        </w:tc>
        <w:tc>
          <w:tcPr>
            <w:tcW w:w="1180" w:type="pct"/>
            <w:tcBorders>
              <w:top w:val="nil"/>
              <w:left w:val="nil"/>
              <w:bottom w:val="nil"/>
              <w:right w:val="nil"/>
            </w:tcBorders>
            <w:noWrap/>
            <w:vAlign w:val="bottom"/>
            <w:hideMark/>
          </w:tcPr>
          <w:p w14:paraId="1CC5F218" w14:textId="77777777" w:rsidR="00337865" w:rsidRDefault="00337865" w:rsidP="00F36743">
            <w:pPr>
              <w:jc w:val="center"/>
              <w:rPr>
                <w:rFonts w:ascii="Cambria" w:hAnsi="Cambria"/>
                <w:color w:val="000000"/>
                <w:sz w:val="20"/>
                <w:szCs w:val="20"/>
              </w:rPr>
            </w:pPr>
            <w:r>
              <w:rPr>
                <w:rFonts w:ascii="Cambria" w:hAnsi="Cambria"/>
                <w:color w:val="000000"/>
                <w:sz w:val="20"/>
              </w:rPr>
              <w:t>ATEU1PRT00003</w:t>
            </w:r>
          </w:p>
        </w:tc>
        <w:tc>
          <w:tcPr>
            <w:tcW w:w="1181" w:type="pct"/>
            <w:tcBorders>
              <w:top w:val="nil"/>
              <w:left w:val="nil"/>
              <w:bottom w:val="nil"/>
              <w:right w:val="nil"/>
            </w:tcBorders>
            <w:noWrap/>
            <w:vAlign w:val="bottom"/>
            <w:hideMark/>
          </w:tcPr>
          <w:p w14:paraId="70E54328" w14:textId="77777777" w:rsidR="00337865" w:rsidRDefault="00337865" w:rsidP="00F36743">
            <w:pPr>
              <w:jc w:val="center"/>
              <w:rPr>
                <w:rFonts w:ascii="Cambria" w:hAnsi="Cambria"/>
                <w:color w:val="000000"/>
                <w:sz w:val="20"/>
                <w:szCs w:val="20"/>
              </w:rPr>
            </w:pPr>
            <w:r>
              <w:rPr>
                <w:rFonts w:ascii="Cambria" w:hAnsi="Cambria"/>
                <w:color w:val="000000"/>
                <w:sz w:val="20"/>
              </w:rPr>
              <w:t>ATEU1PRT00003</w:t>
            </w:r>
          </w:p>
        </w:tc>
      </w:tr>
      <w:tr w:rsidR="00337865" w14:paraId="21DEA538" w14:textId="77777777" w:rsidTr="009E60C4">
        <w:trPr>
          <w:trHeight w:val="240"/>
        </w:trPr>
        <w:tc>
          <w:tcPr>
            <w:tcW w:w="1374" w:type="pct"/>
            <w:tcBorders>
              <w:top w:val="nil"/>
              <w:left w:val="nil"/>
              <w:bottom w:val="nil"/>
              <w:right w:val="nil"/>
            </w:tcBorders>
            <w:noWrap/>
            <w:vAlign w:val="bottom"/>
            <w:hideMark/>
          </w:tcPr>
          <w:p w14:paraId="21B2934B" w14:textId="77777777" w:rsidR="00337865" w:rsidRDefault="00337865" w:rsidP="00F36743">
            <w:pPr>
              <w:rPr>
                <w:rFonts w:ascii="Cambria" w:hAnsi="Cambria"/>
                <w:color w:val="000000"/>
                <w:sz w:val="20"/>
                <w:szCs w:val="20"/>
              </w:rPr>
            </w:pPr>
            <w:r>
              <w:rPr>
                <w:rFonts w:ascii="Cambria" w:hAnsi="Cambria"/>
                <w:color w:val="000000"/>
                <w:sz w:val="20"/>
              </w:rPr>
              <w:t>UE-Espagne</w:t>
            </w:r>
          </w:p>
        </w:tc>
        <w:tc>
          <w:tcPr>
            <w:tcW w:w="1265" w:type="pct"/>
            <w:tcBorders>
              <w:top w:val="nil"/>
              <w:left w:val="nil"/>
              <w:bottom w:val="nil"/>
              <w:right w:val="nil"/>
            </w:tcBorders>
            <w:noWrap/>
            <w:vAlign w:val="bottom"/>
            <w:hideMark/>
          </w:tcPr>
          <w:p w14:paraId="5AC96D86" w14:textId="77777777" w:rsidR="00337865" w:rsidRDefault="00337865" w:rsidP="00F36743">
            <w:pPr>
              <w:jc w:val="center"/>
              <w:rPr>
                <w:rFonts w:ascii="Cambria" w:hAnsi="Cambria"/>
                <w:color w:val="000000"/>
                <w:sz w:val="20"/>
                <w:szCs w:val="20"/>
              </w:rPr>
            </w:pPr>
            <w:r>
              <w:rPr>
                <w:rFonts w:ascii="Cambria" w:hAnsi="Cambria"/>
                <w:color w:val="000000"/>
                <w:sz w:val="20"/>
              </w:rPr>
              <w:t>ATEU1ESP00001</w:t>
            </w:r>
          </w:p>
        </w:tc>
        <w:tc>
          <w:tcPr>
            <w:tcW w:w="1180" w:type="pct"/>
            <w:tcBorders>
              <w:top w:val="nil"/>
              <w:left w:val="nil"/>
              <w:bottom w:val="nil"/>
              <w:right w:val="nil"/>
            </w:tcBorders>
            <w:noWrap/>
            <w:vAlign w:val="bottom"/>
            <w:hideMark/>
          </w:tcPr>
          <w:p w14:paraId="7C7BA03E" w14:textId="77777777" w:rsidR="00337865" w:rsidRDefault="00337865" w:rsidP="00F36743">
            <w:pPr>
              <w:jc w:val="center"/>
              <w:rPr>
                <w:rFonts w:ascii="Cambria" w:hAnsi="Cambria"/>
                <w:color w:val="000000"/>
                <w:sz w:val="20"/>
                <w:szCs w:val="20"/>
              </w:rPr>
            </w:pPr>
            <w:r>
              <w:rPr>
                <w:rFonts w:ascii="Cambria" w:hAnsi="Cambria"/>
                <w:color w:val="000000"/>
                <w:sz w:val="20"/>
              </w:rPr>
              <w:t>ATEU1ESP00001</w:t>
            </w:r>
          </w:p>
        </w:tc>
        <w:tc>
          <w:tcPr>
            <w:tcW w:w="1181" w:type="pct"/>
            <w:tcBorders>
              <w:top w:val="nil"/>
              <w:left w:val="nil"/>
              <w:bottom w:val="nil"/>
              <w:right w:val="nil"/>
            </w:tcBorders>
            <w:noWrap/>
            <w:vAlign w:val="bottom"/>
            <w:hideMark/>
          </w:tcPr>
          <w:p w14:paraId="2DBF6050" w14:textId="77777777" w:rsidR="00337865" w:rsidRDefault="00337865" w:rsidP="00F36743">
            <w:pPr>
              <w:jc w:val="center"/>
              <w:rPr>
                <w:rFonts w:ascii="Cambria" w:hAnsi="Cambria"/>
                <w:color w:val="000000"/>
                <w:sz w:val="20"/>
                <w:szCs w:val="20"/>
              </w:rPr>
            </w:pPr>
            <w:r>
              <w:rPr>
                <w:rFonts w:ascii="Cambria" w:hAnsi="Cambria"/>
                <w:color w:val="000000"/>
                <w:sz w:val="20"/>
              </w:rPr>
              <w:t>ATEU1ESP00001</w:t>
            </w:r>
          </w:p>
        </w:tc>
      </w:tr>
      <w:tr w:rsidR="00337865" w14:paraId="6EDFA8D4" w14:textId="77777777" w:rsidTr="009E60C4">
        <w:trPr>
          <w:trHeight w:val="240"/>
        </w:trPr>
        <w:tc>
          <w:tcPr>
            <w:tcW w:w="1374" w:type="pct"/>
            <w:tcBorders>
              <w:top w:val="nil"/>
              <w:left w:val="nil"/>
              <w:bottom w:val="nil"/>
              <w:right w:val="nil"/>
            </w:tcBorders>
            <w:noWrap/>
            <w:vAlign w:val="bottom"/>
            <w:hideMark/>
          </w:tcPr>
          <w:p w14:paraId="75752C1C" w14:textId="77777777" w:rsidR="00337865" w:rsidRDefault="00337865" w:rsidP="00F36743">
            <w:pPr>
              <w:rPr>
                <w:rFonts w:ascii="Cambria" w:hAnsi="Cambria"/>
                <w:color w:val="000000"/>
                <w:sz w:val="20"/>
                <w:szCs w:val="20"/>
              </w:rPr>
            </w:pPr>
            <w:r>
              <w:rPr>
                <w:rFonts w:ascii="Cambria" w:hAnsi="Cambria"/>
                <w:color w:val="000000"/>
                <w:sz w:val="20"/>
              </w:rPr>
              <w:t>UE-Espagne</w:t>
            </w:r>
          </w:p>
        </w:tc>
        <w:tc>
          <w:tcPr>
            <w:tcW w:w="1265" w:type="pct"/>
            <w:tcBorders>
              <w:top w:val="nil"/>
              <w:left w:val="nil"/>
              <w:bottom w:val="nil"/>
              <w:right w:val="nil"/>
            </w:tcBorders>
            <w:noWrap/>
            <w:vAlign w:val="bottom"/>
            <w:hideMark/>
          </w:tcPr>
          <w:p w14:paraId="2B2A150D" w14:textId="77777777" w:rsidR="00337865" w:rsidRDefault="00337865" w:rsidP="00F36743">
            <w:pPr>
              <w:jc w:val="center"/>
              <w:rPr>
                <w:rFonts w:ascii="Cambria" w:hAnsi="Cambria"/>
                <w:color w:val="000000"/>
                <w:sz w:val="20"/>
                <w:szCs w:val="20"/>
              </w:rPr>
            </w:pPr>
            <w:r>
              <w:rPr>
                <w:rFonts w:ascii="Cambria" w:hAnsi="Cambria"/>
                <w:color w:val="000000"/>
                <w:sz w:val="20"/>
              </w:rPr>
              <w:t>ATEU1ESP00003</w:t>
            </w:r>
          </w:p>
        </w:tc>
        <w:tc>
          <w:tcPr>
            <w:tcW w:w="1180" w:type="pct"/>
            <w:tcBorders>
              <w:top w:val="nil"/>
              <w:left w:val="nil"/>
              <w:bottom w:val="nil"/>
              <w:right w:val="nil"/>
            </w:tcBorders>
            <w:noWrap/>
            <w:vAlign w:val="bottom"/>
            <w:hideMark/>
          </w:tcPr>
          <w:p w14:paraId="08765656" w14:textId="77777777" w:rsidR="00337865" w:rsidRDefault="00337865" w:rsidP="00F36743">
            <w:pPr>
              <w:jc w:val="center"/>
              <w:rPr>
                <w:rFonts w:ascii="Cambria" w:hAnsi="Cambria"/>
                <w:color w:val="000000"/>
                <w:sz w:val="20"/>
                <w:szCs w:val="20"/>
              </w:rPr>
            </w:pPr>
            <w:r>
              <w:rPr>
                <w:rFonts w:ascii="Cambria" w:hAnsi="Cambria"/>
                <w:color w:val="000000"/>
                <w:sz w:val="20"/>
              </w:rPr>
              <w:t>ATEU1ESP00003</w:t>
            </w:r>
          </w:p>
        </w:tc>
        <w:tc>
          <w:tcPr>
            <w:tcW w:w="1181" w:type="pct"/>
            <w:tcBorders>
              <w:top w:val="nil"/>
              <w:left w:val="nil"/>
              <w:bottom w:val="nil"/>
              <w:right w:val="nil"/>
            </w:tcBorders>
            <w:noWrap/>
            <w:vAlign w:val="bottom"/>
            <w:hideMark/>
          </w:tcPr>
          <w:p w14:paraId="3EDAE713" w14:textId="77777777" w:rsidR="00337865" w:rsidRDefault="00337865" w:rsidP="00F36743">
            <w:pPr>
              <w:jc w:val="center"/>
              <w:rPr>
                <w:rFonts w:ascii="Cambria" w:hAnsi="Cambria"/>
                <w:color w:val="000000"/>
                <w:sz w:val="20"/>
                <w:szCs w:val="20"/>
              </w:rPr>
            </w:pPr>
            <w:r>
              <w:rPr>
                <w:rFonts w:ascii="Cambria" w:hAnsi="Cambria"/>
                <w:color w:val="000000"/>
                <w:sz w:val="20"/>
              </w:rPr>
              <w:t>ATEU1ESP00003</w:t>
            </w:r>
          </w:p>
        </w:tc>
      </w:tr>
      <w:tr w:rsidR="00337865" w14:paraId="1113D477" w14:textId="77777777" w:rsidTr="009E60C4">
        <w:trPr>
          <w:trHeight w:val="240"/>
        </w:trPr>
        <w:tc>
          <w:tcPr>
            <w:tcW w:w="1374" w:type="pct"/>
            <w:tcBorders>
              <w:top w:val="nil"/>
              <w:left w:val="nil"/>
              <w:bottom w:val="nil"/>
              <w:right w:val="nil"/>
            </w:tcBorders>
            <w:noWrap/>
            <w:vAlign w:val="bottom"/>
            <w:hideMark/>
          </w:tcPr>
          <w:p w14:paraId="155CC08F" w14:textId="77777777" w:rsidR="00337865" w:rsidRDefault="00337865" w:rsidP="00F36743">
            <w:pPr>
              <w:rPr>
                <w:rFonts w:ascii="Cambria" w:hAnsi="Cambria"/>
                <w:color w:val="000000"/>
                <w:sz w:val="20"/>
                <w:szCs w:val="20"/>
              </w:rPr>
            </w:pPr>
            <w:r>
              <w:rPr>
                <w:rFonts w:ascii="Cambria" w:hAnsi="Cambria"/>
                <w:color w:val="000000"/>
                <w:sz w:val="20"/>
              </w:rPr>
              <w:t>UE-Espagne</w:t>
            </w:r>
          </w:p>
        </w:tc>
        <w:tc>
          <w:tcPr>
            <w:tcW w:w="1265" w:type="pct"/>
            <w:tcBorders>
              <w:top w:val="nil"/>
              <w:left w:val="nil"/>
              <w:bottom w:val="nil"/>
              <w:right w:val="nil"/>
            </w:tcBorders>
            <w:noWrap/>
            <w:vAlign w:val="bottom"/>
            <w:hideMark/>
          </w:tcPr>
          <w:p w14:paraId="2253E506" w14:textId="77777777" w:rsidR="00337865" w:rsidRDefault="00337865" w:rsidP="00F36743">
            <w:pPr>
              <w:jc w:val="center"/>
              <w:rPr>
                <w:rFonts w:ascii="Cambria" w:hAnsi="Cambria"/>
                <w:color w:val="000000"/>
                <w:sz w:val="20"/>
                <w:szCs w:val="20"/>
              </w:rPr>
            </w:pPr>
            <w:r>
              <w:rPr>
                <w:rFonts w:ascii="Cambria" w:hAnsi="Cambria"/>
                <w:color w:val="000000"/>
                <w:sz w:val="20"/>
              </w:rPr>
              <w:t>ATEU1ESP00004</w:t>
            </w:r>
          </w:p>
        </w:tc>
        <w:tc>
          <w:tcPr>
            <w:tcW w:w="1180" w:type="pct"/>
            <w:tcBorders>
              <w:top w:val="nil"/>
              <w:left w:val="nil"/>
              <w:bottom w:val="nil"/>
              <w:right w:val="nil"/>
            </w:tcBorders>
            <w:noWrap/>
            <w:vAlign w:val="bottom"/>
            <w:hideMark/>
          </w:tcPr>
          <w:p w14:paraId="0785DE11" w14:textId="77777777" w:rsidR="00337865" w:rsidRDefault="00337865" w:rsidP="00F36743">
            <w:pPr>
              <w:jc w:val="center"/>
              <w:rPr>
                <w:rFonts w:ascii="Cambria" w:hAnsi="Cambria"/>
                <w:color w:val="000000"/>
                <w:sz w:val="20"/>
                <w:szCs w:val="20"/>
              </w:rPr>
            </w:pPr>
            <w:r>
              <w:rPr>
                <w:rFonts w:ascii="Cambria" w:hAnsi="Cambria"/>
                <w:color w:val="000000"/>
                <w:sz w:val="20"/>
              </w:rPr>
              <w:t>ATEU1ESP00004</w:t>
            </w:r>
          </w:p>
        </w:tc>
        <w:tc>
          <w:tcPr>
            <w:tcW w:w="1181" w:type="pct"/>
            <w:tcBorders>
              <w:top w:val="nil"/>
              <w:left w:val="nil"/>
              <w:bottom w:val="nil"/>
              <w:right w:val="nil"/>
            </w:tcBorders>
            <w:noWrap/>
            <w:vAlign w:val="bottom"/>
            <w:hideMark/>
          </w:tcPr>
          <w:p w14:paraId="35A4DF35" w14:textId="77777777" w:rsidR="00337865" w:rsidRDefault="00337865" w:rsidP="00F36743">
            <w:pPr>
              <w:jc w:val="center"/>
              <w:rPr>
                <w:rFonts w:ascii="Cambria" w:hAnsi="Cambria"/>
                <w:color w:val="000000"/>
                <w:sz w:val="20"/>
                <w:szCs w:val="20"/>
              </w:rPr>
            </w:pPr>
            <w:r>
              <w:rPr>
                <w:rFonts w:ascii="Cambria" w:hAnsi="Cambria"/>
                <w:color w:val="000000"/>
                <w:sz w:val="20"/>
              </w:rPr>
              <w:t>ATEU1ESP00004</w:t>
            </w:r>
          </w:p>
        </w:tc>
      </w:tr>
      <w:tr w:rsidR="00337865" w14:paraId="6E4F9845" w14:textId="77777777" w:rsidTr="009E60C4">
        <w:trPr>
          <w:trHeight w:val="240"/>
        </w:trPr>
        <w:tc>
          <w:tcPr>
            <w:tcW w:w="1374" w:type="pct"/>
            <w:tcBorders>
              <w:top w:val="nil"/>
              <w:left w:val="nil"/>
              <w:bottom w:val="nil"/>
              <w:right w:val="nil"/>
            </w:tcBorders>
            <w:noWrap/>
            <w:vAlign w:val="bottom"/>
            <w:hideMark/>
          </w:tcPr>
          <w:p w14:paraId="40CA9566" w14:textId="77777777" w:rsidR="00337865" w:rsidRDefault="00337865" w:rsidP="00F36743">
            <w:pPr>
              <w:rPr>
                <w:rFonts w:ascii="Cambria" w:hAnsi="Cambria"/>
                <w:color w:val="000000"/>
                <w:sz w:val="20"/>
                <w:szCs w:val="20"/>
              </w:rPr>
            </w:pPr>
            <w:r>
              <w:rPr>
                <w:rFonts w:ascii="Cambria" w:hAnsi="Cambria"/>
                <w:color w:val="000000"/>
                <w:sz w:val="20"/>
              </w:rPr>
              <w:t>UE-Espagne</w:t>
            </w:r>
          </w:p>
        </w:tc>
        <w:tc>
          <w:tcPr>
            <w:tcW w:w="1265" w:type="pct"/>
            <w:tcBorders>
              <w:top w:val="nil"/>
              <w:left w:val="nil"/>
              <w:bottom w:val="nil"/>
              <w:right w:val="nil"/>
            </w:tcBorders>
            <w:noWrap/>
            <w:vAlign w:val="bottom"/>
            <w:hideMark/>
          </w:tcPr>
          <w:p w14:paraId="36D23E6D" w14:textId="77777777" w:rsidR="00337865" w:rsidRDefault="00337865" w:rsidP="00F36743">
            <w:pPr>
              <w:jc w:val="center"/>
              <w:rPr>
                <w:rFonts w:ascii="Cambria" w:hAnsi="Cambria"/>
                <w:color w:val="000000"/>
                <w:sz w:val="20"/>
                <w:szCs w:val="20"/>
              </w:rPr>
            </w:pPr>
            <w:r>
              <w:rPr>
                <w:rFonts w:ascii="Cambria" w:hAnsi="Cambria"/>
                <w:color w:val="000000"/>
                <w:sz w:val="20"/>
              </w:rPr>
              <w:t>ATEU1ESP00005</w:t>
            </w:r>
          </w:p>
        </w:tc>
        <w:tc>
          <w:tcPr>
            <w:tcW w:w="1180" w:type="pct"/>
            <w:tcBorders>
              <w:top w:val="nil"/>
              <w:left w:val="nil"/>
              <w:bottom w:val="nil"/>
              <w:right w:val="nil"/>
            </w:tcBorders>
            <w:noWrap/>
            <w:vAlign w:val="bottom"/>
            <w:hideMark/>
          </w:tcPr>
          <w:p w14:paraId="3AB1A34E" w14:textId="77777777" w:rsidR="00337865" w:rsidRDefault="00337865" w:rsidP="00F36743">
            <w:pPr>
              <w:jc w:val="center"/>
              <w:rPr>
                <w:rFonts w:ascii="Cambria" w:hAnsi="Cambria"/>
                <w:color w:val="000000"/>
                <w:sz w:val="20"/>
                <w:szCs w:val="20"/>
              </w:rPr>
            </w:pPr>
            <w:r>
              <w:rPr>
                <w:rFonts w:ascii="Cambria" w:hAnsi="Cambria"/>
                <w:color w:val="000000"/>
                <w:sz w:val="20"/>
              </w:rPr>
              <w:t>ATEU1ESP00005</w:t>
            </w:r>
          </w:p>
        </w:tc>
        <w:tc>
          <w:tcPr>
            <w:tcW w:w="1181" w:type="pct"/>
            <w:tcBorders>
              <w:top w:val="nil"/>
              <w:left w:val="nil"/>
              <w:bottom w:val="nil"/>
              <w:right w:val="nil"/>
            </w:tcBorders>
            <w:noWrap/>
            <w:vAlign w:val="bottom"/>
            <w:hideMark/>
          </w:tcPr>
          <w:p w14:paraId="4BD2BAA8" w14:textId="77777777" w:rsidR="00337865" w:rsidRDefault="00337865" w:rsidP="00F36743">
            <w:pPr>
              <w:jc w:val="center"/>
              <w:rPr>
                <w:rFonts w:ascii="Cambria" w:hAnsi="Cambria"/>
                <w:color w:val="000000"/>
                <w:sz w:val="20"/>
                <w:szCs w:val="20"/>
              </w:rPr>
            </w:pPr>
            <w:r>
              <w:rPr>
                <w:rFonts w:ascii="Cambria" w:hAnsi="Cambria"/>
                <w:color w:val="000000"/>
                <w:sz w:val="20"/>
              </w:rPr>
              <w:t>ATEU1ESP00005</w:t>
            </w:r>
          </w:p>
        </w:tc>
      </w:tr>
      <w:tr w:rsidR="00337865" w14:paraId="298F3280" w14:textId="77777777" w:rsidTr="009E60C4">
        <w:trPr>
          <w:trHeight w:val="240"/>
        </w:trPr>
        <w:tc>
          <w:tcPr>
            <w:tcW w:w="1374" w:type="pct"/>
            <w:tcBorders>
              <w:top w:val="nil"/>
              <w:left w:val="nil"/>
              <w:bottom w:val="nil"/>
              <w:right w:val="nil"/>
            </w:tcBorders>
            <w:noWrap/>
            <w:vAlign w:val="bottom"/>
            <w:hideMark/>
          </w:tcPr>
          <w:p w14:paraId="7E9175B7" w14:textId="77777777" w:rsidR="00337865" w:rsidRDefault="00337865" w:rsidP="00F36743">
            <w:pPr>
              <w:rPr>
                <w:rFonts w:ascii="Cambria" w:hAnsi="Cambria"/>
                <w:color w:val="000000"/>
                <w:sz w:val="20"/>
                <w:szCs w:val="20"/>
              </w:rPr>
            </w:pPr>
            <w:r>
              <w:rPr>
                <w:rFonts w:ascii="Cambria" w:hAnsi="Cambria"/>
                <w:color w:val="000000"/>
                <w:sz w:val="20"/>
              </w:rPr>
              <w:t>UE-Espagne</w:t>
            </w:r>
          </w:p>
        </w:tc>
        <w:tc>
          <w:tcPr>
            <w:tcW w:w="1265" w:type="pct"/>
            <w:tcBorders>
              <w:top w:val="nil"/>
              <w:left w:val="nil"/>
              <w:bottom w:val="nil"/>
              <w:right w:val="nil"/>
            </w:tcBorders>
            <w:noWrap/>
            <w:vAlign w:val="bottom"/>
            <w:hideMark/>
          </w:tcPr>
          <w:p w14:paraId="2D5DE7FD" w14:textId="77777777" w:rsidR="00337865" w:rsidRDefault="00337865" w:rsidP="00F36743">
            <w:pPr>
              <w:jc w:val="center"/>
              <w:rPr>
                <w:rFonts w:ascii="Cambria" w:hAnsi="Cambria"/>
                <w:color w:val="000000"/>
                <w:sz w:val="20"/>
                <w:szCs w:val="20"/>
              </w:rPr>
            </w:pPr>
          </w:p>
        </w:tc>
        <w:tc>
          <w:tcPr>
            <w:tcW w:w="1180" w:type="pct"/>
            <w:tcBorders>
              <w:top w:val="nil"/>
              <w:left w:val="nil"/>
              <w:bottom w:val="nil"/>
              <w:right w:val="nil"/>
            </w:tcBorders>
            <w:noWrap/>
            <w:vAlign w:val="bottom"/>
            <w:hideMark/>
          </w:tcPr>
          <w:p w14:paraId="0699AE27" w14:textId="77777777" w:rsidR="00337865" w:rsidRDefault="00337865" w:rsidP="00F36743">
            <w:pPr>
              <w:jc w:val="center"/>
              <w:rPr>
                <w:rFonts w:ascii="Cambria" w:hAnsi="Cambria"/>
                <w:color w:val="000000"/>
                <w:sz w:val="20"/>
                <w:szCs w:val="20"/>
              </w:rPr>
            </w:pPr>
            <w:r>
              <w:rPr>
                <w:rFonts w:ascii="Cambria" w:hAnsi="Cambria"/>
                <w:color w:val="000000"/>
                <w:sz w:val="20"/>
              </w:rPr>
              <w:t>ATEU1ESP00011</w:t>
            </w:r>
          </w:p>
        </w:tc>
        <w:tc>
          <w:tcPr>
            <w:tcW w:w="1181" w:type="pct"/>
            <w:tcBorders>
              <w:top w:val="nil"/>
              <w:left w:val="nil"/>
              <w:bottom w:val="nil"/>
              <w:right w:val="nil"/>
            </w:tcBorders>
            <w:noWrap/>
            <w:vAlign w:val="bottom"/>
            <w:hideMark/>
          </w:tcPr>
          <w:p w14:paraId="50BACE75" w14:textId="77777777" w:rsidR="00337865" w:rsidRDefault="00337865" w:rsidP="00F36743">
            <w:pPr>
              <w:jc w:val="center"/>
              <w:rPr>
                <w:rFonts w:ascii="Cambria" w:hAnsi="Cambria"/>
                <w:color w:val="000000"/>
                <w:sz w:val="20"/>
                <w:szCs w:val="20"/>
              </w:rPr>
            </w:pPr>
            <w:r>
              <w:rPr>
                <w:rFonts w:ascii="Cambria" w:hAnsi="Cambria"/>
                <w:color w:val="000000"/>
                <w:sz w:val="20"/>
              </w:rPr>
              <w:t>ATEU1ESP00011</w:t>
            </w:r>
          </w:p>
        </w:tc>
      </w:tr>
      <w:tr w:rsidR="00337865" w14:paraId="0741C5AA" w14:textId="77777777" w:rsidTr="009E60C4">
        <w:trPr>
          <w:trHeight w:val="240"/>
        </w:trPr>
        <w:tc>
          <w:tcPr>
            <w:tcW w:w="1374" w:type="pct"/>
            <w:tcBorders>
              <w:top w:val="nil"/>
              <w:left w:val="nil"/>
              <w:bottom w:val="nil"/>
              <w:right w:val="nil"/>
            </w:tcBorders>
            <w:noWrap/>
            <w:vAlign w:val="bottom"/>
            <w:hideMark/>
          </w:tcPr>
          <w:p w14:paraId="759123BA" w14:textId="77777777" w:rsidR="00337865" w:rsidRDefault="00337865" w:rsidP="00F36743">
            <w:pPr>
              <w:rPr>
                <w:rFonts w:ascii="Cambria" w:hAnsi="Cambria"/>
                <w:color w:val="000000"/>
                <w:sz w:val="20"/>
                <w:szCs w:val="20"/>
              </w:rPr>
            </w:pPr>
            <w:r>
              <w:rPr>
                <w:rFonts w:ascii="Cambria" w:hAnsi="Cambria"/>
                <w:color w:val="000000"/>
                <w:sz w:val="20"/>
              </w:rPr>
              <w:t>UE-Espagne</w:t>
            </w:r>
          </w:p>
        </w:tc>
        <w:tc>
          <w:tcPr>
            <w:tcW w:w="1265" w:type="pct"/>
            <w:tcBorders>
              <w:top w:val="nil"/>
              <w:left w:val="nil"/>
              <w:bottom w:val="nil"/>
              <w:right w:val="nil"/>
            </w:tcBorders>
            <w:noWrap/>
            <w:vAlign w:val="bottom"/>
            <w:hideMark/>
          </w:tcPr>
          <w:p w14:paraId="5C147E7F" w14:textId="77777777" w:rsidR="00337865" w:rsidRDefault="00337865" w:rsidP="00F36743">
            <w:pPr>
              <w:jc w:val="center"/>
              <w:rPr>
                <w:rFonts w:ascii="Cambria" w:hAnsi="Cambria"/>
                <w:color w:val="000000"/>
                <w:sz w:val="20"/>
                <w:szCs w:val="20"/>
              </w:rPr>
            </w:pPr>
          </w:p>
        </w:tc>
        <w:tc>
          <w:tcPr>
            <w:tcW w:w="1180" w:type="pct"/>
            <w:tcBorders>
              <w:top w:val="nil"/>
              <w:left w:val="nil"/>
              <w:bottom w:val="nil"/>
              <w:right w:val="nil"/>
            </w:tcBorders>
            <w:noWrap/>
            <w:vAlign w:val="bottom"/>
            <w:hideMark/>
          </w:tcPr>
          <w:p w14:paraId="1945A595" w14:textId="77777777" w:rsidR="00337865" w:rsidRDefault="00337865" w:rsidP="00F36743">
            <w:pPr>
              <w:jc w:val="center"/>
              <w:rPr>
                <w:rFonts w:ascii="Cambria" w:hAnsi="Cambria"/>
                <w:color w:val="000000"/>
                <w:sz w:val="20"/>
                <w:szCs w:val="20"/>
              </w:rPr>
            </w:pPr>
            <w:r>
              <w:rPr>
                <w:rFonts w:ascii="Cambria" w:hAnsi="Cambria"/>
                <w:color w:val="000000"/>
                <w:sz w:val="20"/>
              </w:rPr>
              <w:t>ATEU1ESP00014</w:t>
            </w:r>
          </w:p>
        </w:tc>
        <w:tc>
          <w:tcPr>
            <w:tcW w:w="1181" w:type="pct"/>
            <w:tcBorders>
              <w:top w:val="nil"/>
              <w:left w:val="nil"/>
              <w:bottom w:val="nil"/>
              <w:right w:val="nil"/>
            </w:tcBorders>
            <w:noWrap/>
            <w:vAlign w:val="bottom"/>
            <w:hideMark/>
          </w:tcPr>
          <w:p w14:paraId="1FEDF7A2" w14:textId="77777777" w:rsidR="00337865" w:rsidRDefault="00337865" w:rsidP="00F36743">
            <w:pPr>
              <w:jc w:val="center"/>
              <w:rPr>
                <w:rFonts w:ascii="Cambria" w:hAnsi="Cambria"/>
                <w:color w:val="000000"/>
                <w:sz w:val="20"/>
                <w:szCs w:val="20"/>
              </w:rPr>
            </w:pPr>
            <w:r>
              <w:rPr>
                <w:rFonts w:ascii="Cambria" w:hAnsi="Cambria"/>
                <w:color w:val="000000"/>
                <w:sz w:val="20"/>
              </w:rPr>
              <w:t>ATEU1ESP00014</w:t>
            </w:r>
          </w:p>
        </w:tc>
      </w:tr>
      <w:tr w:rsidR="00337865" w14:paraId="123F4997" w14:textId="77777777" w:rsidTr="009E60C4">
        <w:trPr>
          <w:trHeight w:val="240"/>
        </w:trPr>
        <w:tc>
          <w:tcPr>
            <w:tcW w:w="1374" w:type="pct"/>
            <w:tcBorders>
              <w:top w:val="nil"/>
              <w:left w:val="nil"/>
              <w:bottom w:val="nil"/>
              <w:right w:val="nil"/>
            </w:tcBorders>
            <w:noWrap/>
            <w:vAlign w:val="bottom"/>
            <w:hideMark/>
          </w:tcPr>
          <w:p w14:paraId="0148CD00" w14:textId="77777777" w:rsidR="00337865" w:rsidRDefault="00337865" w:rsidP="00F36743">
            <w:pPr>
              <w:rPr>
                <w:rFonts w:ascii="Cambria" w:hAnsi="Cambria"/>
                <w:color w:val="000000"/>
                <w:sz w:val="20"/>
                <w:szCs w:val="20"/>
              </w:rPr>
            </w:pPr>
            <w:r>
              <w:rPr>
                <w:rFonts w:ascii="Cambria" w:hAnsi="Cambria"/>
                <w:color w:val="000000"/>
                <w:sz w:val="20"/>
              </w:rPr>
              <w:t>UE-Espagne</w:t>
            </w:r>
          </w:p>
        </w:tc>
        <w:tc>
          <w:tcPr>
            <w:tcW w:w="1265" w:type="pct"/>
            <w:tcBorders>
              <w:top w:val="nil"/>
              <w:left w:val="nil"/>
              <w:bottom w:val="nil"/>
              <w:right w:val="nil"/>
            </w:tcBorders>
            <w:noWrap/>
            <w:vAlign w:val="bottom"/>
            <w:hideMark/>
          </w:tcPr>
          <w:p w14:paraId="60ED1BFD" w14:textId="77777777" w:rsidR="00337865" w:rsidRDefault="00337865" w:rsidP="00F36743">
            <w:pPr>
              <w:jc w:val="center"/>
              <w:rPr>
                <w:rFonts w:ascii="Cambria" w:hAnsi="Cambria"/>
                <w:color w:val="000000"/>
                <w:sz w:val="20"/>
                <w:szCs w:val="20"/>
              </w:rPr>
            </w:pPr>
          </w:p>
        </w:tc>
        <w:tc>
          <w:tcPr>
            <w:tcW w:w="1180" w:type="pct"/>
            <w:tcBorders>
              <w:top w:val="nil"/>
              <w:left w:val="nil"/>
              <w:bottom w:val="nil"/>
              <w:right w:val="nil"/>
            </w:tcBorders>
            <w:noWrap/>
            <w:vAlign w:val="bottom"/>
            <w:hideMark/>
          </w:tcPr>
          <w:p w14:paraId="0357B273" w14:textId="77777777" w:rsidR="00337865" w:rsidRDefault="00337865" w:rsidP="00F36743">
            <w:pPr>
              <w:jc w:val="center"/>
              <w:rPr>
                <w:sz w:val="20"/>
                <w:szCs w:val="20"/>
              </w:rPr>
            </w:pPr>
          </w:p>
        </w:tc>
        <w:tc>
          <w:tcPr>
            <w:tcW w:w="1181" w:type="pct"/>
            <w:tcBorders>
              <w:top w:val="nil"/>
              <w:left w:val="nil"/>
              <w:bottom w:val="nil"/>
              <w:right w:val="nil"/>
            </w:tcBorders>
            <w:noWrap/>
            <w:vAlign w:val="bottom"/>
            <w:hideMark/>
          </w:tcPr>
          <w:p w14:paraId="5665962E" w14:textId="77777777" w:rsidR="00337865" w:rsidRDefault="00337865" w:rsidP="00F36743">
            <w:pPr>
              <w:jc w:val="center"/>
              <w:rPr>
                <w:rFonts w:ascii="Cambria" w:hAnsi="Cambria"/>
                <w:color w:val="000000"/>
                <w:sz w:val="20"/>
                <w:szCs w:val="20"/>
              </w:rPr>
            </w:pPr>
            <w:r>
              <w:rPr>
                <w:rFonts w:ascii="Cambria" w:hAnsi="Cambria"/>
                <w:color w:val="000000"/>
                <w:sz w:val="20"/>
              </w:rPr>
              <w:t>ATEU1ESP00018</w:t>
            </w:r>
          </w:p>
        </w:tc>
      </w:tr>
      <w:tr w:rsidR="00337865" w14:paraId="5CB60942" w14:textId="77777777" w:rsidTr="009E60C4">
        <w:trPr>
          <w:trHeight w:val="240"/>
        </w:trPr>
        <w:tc>
          <w:tcPr>
            <w:tcW w:w="1374" w:type="pct"/>
            <w:tcBorders>
              <w:top w:val="nil"/>
              <w:left w:val="nil"/>
              <w:bottom w:val="nil"/>
              <w:right w:val="nil"/>
            </w:tcBorders>
            <w:noWrap/>
            <w:vAlign w:val="bottom"/>
            <w:hideMark/>
          </w:tcPr>
          <w:p w14:paraId="20F6E865" w14:textId="77777777" w:rsidR="00337865" w:rsidRDefault="00337865" w:rsidP="00F36743">
            <w:pPr>
              <w:rPr>
                <w:rFonts w:ascii="Cambria" w:hAnsi="Cambria"/>
                <w:color w:val="000000"/>
                <w:sz w:val="20"/>
                <w:szCs w:val="20"/>
              </w:rPr>
            </w:pPr>
            <w:r>
              <w:rPr>
                <w:rFonts w:ascii="Cambria" w:hAnsi="Cambria"/>
                <w:color w:val="000000"/>
                <w:sz w:val="20"/>
              </w:rPr>
              <w:t>Maroc</w:t>
            </w:r>
          </w:p>
        </w:tc>
        <w:tc>
          <w:tcPr>
            <w:tcW w:w="1265" w:type="pct"/>
            <w:tcBorders>
              <w:top w:val="nil"/>
              <w:left w:val="nil"/>
              <w:bottom w:val="nil"/>
              <w:right w:val="nil"/>
            </w:tcBorders>
            <w:noWrap/>
            <w:vAlign w:val="bottom"/>
            <w:hideMark/>
          </w:tcPr>
          <w:p w14:paraId="3B3E298F" w14:textId="77777777" w:rsidR="00337865" w:rsidRDefault="00337865" w:rsidP="00F36743">
            <w:pPr>
              <w:jc w:val="center"/>
              <w:rPr>
                <w:rFonts w:ascii="Cambria" w:hAnsi="Cambria"/>
                <w:color w:val="000000"/>
                <w:sz w:val="20"/>
                <w:szCs w:val="20"/>
              </w:rPr>
            </w:pPr>
            <w:r>
              <w:rPr>
                <w:rFonts w:ascii="Cambria" w:hAnsi="Cambria"/>
                <w:color w:val="000000"/>
                <w:sz w:val="20"/>
              </w:rPr>
              <w:t>AT001MAR00002</w:t>
            </w:r>
          </w:p>
        </w:tc>
        <w:tc>
          <w:tcPr>
            <w:tcW w:w="1180" w:type="pct"/>
            <w:tcBorders>
              <w:top w:val="nil"/>
              <w:left w:val="nil"/>
              <w:bottom w:val="nil"/>
              <w:right w:val="nil"/>
            </w:tcBorders>
            <w:noWrap/>
            <w:vAlign w:val="bottom"/>
            <w:hideMark/>
          </w:tcPr>
          <w:p w14:paraId="5ACD15A2" w14:textId="77777777" w:rsidR="00337865" w:rsidRDefault="00337865" w:rsidP="00F36743">
            <w:pPr>
              <w:jc w:val="center"/>
              <w:rPr>
                <w:rFonts w:ascii="Cambria" w:hAnsi="Cambria"/>
                <w:color w:val="000000"/>
                <w:sz w:val="20"/>
                <w:szCs w:val="20"/>
              </w:rPr>
            </w:pPr>
            <w:r>
              <w:rPr>
                <w:rFonts w:ascii="Cambria" w:hAnsi="Cambria"/>
                <w:color w:val="000000"/>
                <w:sz w:val="20"/>
              </w:rPr>
              <w:t>AT001MAR00002</w:t>
            </w:r>
          </w:p>
        </w:tc>
        <w:tc>
          <w:tcPr>
            <w:tcW w:w="1181" w:type="pct"/>
            <w:tcBorders>
              <w:top w:val="nil"/>
              <w:left w:val="nil"/>
              <w:bottom w:val="nil"/>
              <w:right w:val="nil"/>
            </w:tcBorders>
            <w:noWrap/>
            <w:vAlign w:val="bottom"/>
            <w:hideMark/>
          </w:tcPr>
          <w:p w14:paraId="08C3DB05" w14:textId="77777777" w:rsidR="00337865" w:rsidRDefault="00337865" w:rsidP="00F36743">
            <w:pPr>
              <w:jc w:val="center"/>
              <w:rPr>
                <w:rFonts w:ascii="Cambria" w:hAnsi="Cambria"/>
                <w:color w:val="000000"/>
                <w:sz w:val="20"/>
                <w:szCs w:val="20"/>
              </w:rPr>
            </w:pPr>
            <w:r>
              <w:rPr>
                <w:rFonts w:ascii="Cambria" w:hAnsi="Cambria"/>
                <w:color w:val="000000"/>
                <w:sz w:val="20"/>
              </w:rPr>
              <w:t>AT001MAR00002</w:t>
            </w:r>
          </w:p>
        </w:tc>
      </w:tr>
      <w:tr w:rsidR="00337865" w14:paraId="42AB76BD" w14:textId="77777777" w:rsidTr="009E60C4">
        <w:trPr>
          <w:trHeight w:val="240"/>
        </w:trPr>
        <w:tc>
          <w:tcPr>
            <w:tcW w:w="1374" w:type="pct"/>
            <w:tcBorders>
              <w:top w:val="nil"/>
              <w:left w:val="nil"/>
              <w:bottom w:val="nil"/>
              <w:right w:val="nil"/>
            </w:tcBorders>
            <w:noWrap/>
            <w:vAlign w:val="bottom"/>
            <w:hideMark/>
          </w:tcPr>
          <w:p w14:paraId="4E8E1CE4" w14:textId="77777777" w:rsidR="00337865" w:rsidRDefault="00337865" w:rsidP="00F36743">
            <w:pPr>
              <w:rPr>
                <w:rFonts w:ascii="Cambria" w:hAnsi="Cambria"/>
                <w:color w:val="000000"/>
                <w:sz w:val="20"/>
                <w:szCs w:val="20"/>
              </w:rPr>
            </w:pPr>
            <w:r>
              <w:rPr>
                <w:rFonts w:ascii="Cambria" w:hAnsi="Cambria"/>
                <w:color w:val="000000"/>
                <w:sz w:val="20"/>
              </w:rPr>
              <w:t>Maroc</w:t>
            </w:r>
          </w:p>
        </w:tc>
        <w:tc>
          <w:tcPr>
            <w:tcW w:w="1265" w:type="pct"/>
            <w:tcBorders>
              <w:top w:val="nil"/>
              <w:left w:val="nil"/>
              <w:bottom w:val="nil"/>
              <w:right w:val="nil"/>
            </w:tcBorders>
            <w:noWrap/>
            <w:vAlign w:val="bottom"/>
            <w:hideMark/>
          </w:tcPr>
          <w:p w14:paraId="3CF73098" w14:textId="77777777" w:rsidR="00337865" w:rsidRDefault="00337865" w:rsidP="00F36743">
            <w:pPr>
              <w:jc w:val="center"/>
              <w:rPr>
                <w:rFonts w:ascii="Cambria" w:hAnsi="Cambria"/>
                <w:color w:val="000000"/>
                <w:sz w:val="20"/>
                <w:szCs w:val="20"/>
              </w:rPr>
            </w:pPr>
            <w:r>
              <w:rPr>
                <w:rFonts w:ascii="Cambria" w:hAnsi="Cambria"/>
                <w:color w:val="000000"/>
                <w:sz w:val="20"/>
              </w:rPr>
              <w:t>AT001MAR00003</w:t>
            </w:r>
          </w:p>
        </w:tc>
        <w:tc>
          <w:tcPr>
            <w:tcW w:w="1180" w:type="pct"/>
            <w:tcBorders>
              <w:top w:val="nil"/>
              <w:left w:val="nil"/>
              <w:bottom w:val="nil"/>
              <w:right w:val="nil"/>
            </w:tcBorders>
            <w:noWrap/>
            <w:vAlign w:val="bottom"/>
            <w:hideMark/>
          </w:tcPr>
          <w:p w14:paraId="721001EB" w14:textId="77777777" w:rsidR="00337865" w:rsidRDefault="00337865" w:rsidP="00F36743">
            <w:pPr>
              <w:jc w:val="center"/>
              <w:rPr>
                <w:rFonts w:ascii="Cambria" w:hAnsi="Cambria"/>
                <w:color w:val="000000"/>
                <w:sz w:val="20"/>
                <w:szCs w:val="20"/>
              </w:rPr>
            </w:pPr>
            <w:r>
              <w:rPr>
                <w:rFonts w:ascii="Cambria" w:hAnsi="Cambria"/>
                <w:color w:val="000000"/>
                <w:sz w:val="20"/>
              </w:rPr>
              <w:t>AT001MAR00003</w:t>
            </w:r>
          </w:p>
        </w:tc>
        <w:tc>
          <w:tcPr>
            <w:tcW w:w="1181" w:type="pct"/>
            <w:tcBorders>
              <w:top w:val="nil"/>
              <w:left w:val="nil"/>
              <w:bottom w:val="nil"/>
              <w:right w:val="nil"/>
            </w:tcBorders>
            <w:noWrap/>
            <w:vAlign w:val="bottom"/>
            <w:hideMark/>
          </w:tcPr>
          <w:p w14:paraId="6B26983E" w14:textId="77777777" w:rsidR="00337865" w:rsidRDefault="00337865" w:rsidP="00F36743">
            <w:pPr>
              <w:jc w:val="center"/>
              <w:rPr>
                <w:rFonts w:ascii="Cambria" w:hAnsi="Cambria"/>
                <w:color w:val="000000"/>
                <w:sz w:val="20"/>
                <w:szCs w:val="20"/>
              </w:rPr>
            </w:pPr>
            <w:r>
              <w:rPr>
                <w:rFonts w:ascii="Cambria" w:hAnsi="Cambria"/>
                <w:color w:val="000000"/>
                <w:sz w:val="20"/>
              </w:rPr>
              <w:t>AT001MAR00003</w:t>
            </w:r>
          </w:p>
        </w:tc>
      </w:tr>
      <w:tr w:rsidR="00337865" w14:paraId="65479989" w14:textId="77777777" w:rsidTr="009E60C4">
        <w:trPr>
          <w:trHeight w:val="240"/>
        </w:trPr>
        <w:tc>
          <w:tcPr>
            <w:tcW w:w="1374" w:type="pct"/>
            <w:tcBorders>
              <w:top w:val="nil"/>
              <w:left w:val="nil"/>
              <w:bottom w:val="nil"/>
              <w:right w:val="nil"/>
            </w:tcBorders>
            <w:noWrap/>
            <w:vAlign w:val="bottom"/>
            <w:hideMark/>
          </w:tcPr>
          <w:p w14:paraId="46F70002" w14:textId="77777777" w:rsidR="00337865" w:rsidRDefault="00337865" w:rsidP="00F36743">
            <w:pPr>
              <w:rPr>
                <w:rFonts w:ascii="Cambria" w:hAnsi="Cambria"/>
                <w:color w:val="000000"/>
                <w:sz w:val="20"/>
                <w:szCs w:val="20"/>
              </w:rPr>
            </w:pPr>
            <w:r>
              <w:rPr>
                <w:rFonts w:ascii="Cambria" w:hAnsi="Cambria"/>
                <w:color w:val="000000"/>
                <w:sz w:val="20"/>
              </w:rPr>
              <w:t>Maroc</w:t>
            </w:r>
          </w:p>
        </w:tc>
        <w:tc>
          <w:tcPr>
            <w:tcW w:w="1265" w:type="pct"/>
            <w:tcBorders>
              <w:top w:val="nil"/>
              <w:left w:val="nil"/>
              <w:bottom w:val="nil"/>
              <w:right w:val="nil"/>
            </w:tcBorders>
            <w:noWrap/>
            <w:vAlign w:val="bottom"/>
            <w:hideMark/>
          </w:tcPr>
          <w:p w14:paraId="0CC83448" w14:textId="77777777" w:rsidR="00337865" w:rsidRDefault="00337865" w:rsidP="00F36743">
            <w:pPr>
              <w:jc w:val="center"/>
              <w:rPr>
                <w:rFonts w:ascii="Cambria" w:hAnsi="Cambria"/>
                <w:color w:val="000000"/>
                <w:sz w:val="20"/>
                <w:szCs w:val="20"/>
              </w:rPr>
            </w:pPr>
            <w:r>
              <w:rPr>
                <w:rFonts w:ascii="Cambria" w:hAnsi="Cambria"/>
                <w:color w:val="000000"/>
                <w:sz w:val="20"/>
              </w:rPr>
              <w:t>AT001MAR00004</w:t>
            </w:r>
          </w:p>
        </w:tc>
        <w:tc>
          <w:tcPr>
            <w:tcW w:w="1180" w:type="pct"/>
            <w:tcBorders>
              <w:top w:val="nil"/>
              <w:left w:val="nil"/>
              <w:bottom w:val="nil"/>
              <w:right w:val="nil"/>
            </w:tcBorders>
            <w:noWrap/>
            <w:vAlign w:val="bottom"/>
            <w:hideMark/>
          </w:tcPr>
          <w:p w14:paraId="778A62AE" w14:textId="77777777" w:rsidR="00337865" w:rsidRDefault="00337865" w:rsidP="00F36743">
            <w:pPr>
              <w:jc w:val="center"/>
              <w:rPr>
                <w:rFonts w:ascii="Cambria" w:hAnsi="Cambria"/>
                <w:color w:val="000000"/>
                <w:sz w:val="20"/>
                <w:szCs w:val="20"/>
              </w:rPr>
            </w:pPr>
            <w:r>
              <w:rPr>
                <w:rFonts w:ascii="Cambria" w:hAnsi="Cambria"/>
                <w:color w:val="000000"/>
                <w:sz w:val="20"/>
              </w:rPr>
              <w:t>AT001MAR00004</w:t>
            </w:r>
          </w:p>
        </w:tc>
        <w:tc>
          <w:tcPr>
            <w:tcW w:w="1181" w:type="pct"/>
            <w:tcBorders>
              <w:top w:val="nil"/>
              <w:left w:val="nil"/>
              <w:bottom w:val="nil"/>
              <w:right w:val="nil"/>
            </w:tcBorders>
            <w:noWrap/>
            <w:vAlign w:val="bottom"/>
            <w:hideMark/>
          </w:tcPr>
          <w:p w14:paraId="12F893B7" w14:textId="77777777" w:rsidR="00337865" w:rsidRDefault="00337865" w:rsidP="00F36743">
            <w:pPr>
              <w:jc w:val="center"/>
              <w:rPr>
                <w:rFonts w:ascii="Cambria" w:hAnsi="Cambria"/>
                <w:color w:val="000000"/>
                <w:sz w:val="20"/>
                <w:szCs w:val="20"/>
              </w:rPr>
            </w:pPr>
            <w:r>
              <w:rPr>
                <w:rFonts w:ascii="Cambria" w:hAnsi="Cambria"/>
                <w:color w:val="000000"/>
                <w:sz w:val="20"/>
              </w:rPr>
              <w:t>AT001MAR00004</w:t>
            </w:r>
          </w:p>
        </w:tc>
      </w:tr>
      <w:tr w:rsidR="00337865" w14:paraId="3A46A29E" w14:textId="77777777" w:rsidTr="009E60C4">
        <w:trPr>
          <w:trHeight w:val="240"/>
        </w:trPr>
        <w:tc>
          <w:tcPr>
            <w:tcW w:w="1374" w:type="pct"/>
            <w:tcBorders>
              <w:top w:val="nil"/>
              <w:left w:val="nil"/>
              <w:bottom w:val="nil"/>
              <w:right w:val="nil"/>
            </w:tcBorders>
            <w:noWrap/>
            <w:vAlign w:val="bottom"/>
            <w:hideMark/>
          </w:tcPr>
          <w:p w14:paraId="06DA169B" w14:textId="77777777" w:rsidR="00337865" w:rsidRDefault="00337865" w:rsidP="00F36743">
            <w:pPr>
              <w:rPr>
                <w:rFonts w:ascii="Cambria" w:hAnsi="Cambria"/>
                <w:color w:val="000000"/>
                <w:sz w:val="20"/>
                <w:szCs w:val="20"/>
              </w:rPr>
            </w:pPr>
            <w:r>
              <w:rPr>
                <w:rFonts w:ascii="Cambria" w:hAnsi="Cambria"/>
                <w:color w:val="000000"/>
                <w:sz w:val="20"/>
              </w:rPr>
              <w:t>Maroc</w:t>
            </w:r>
          </w:p>
        </w:tc>
        <w:tc>
          <w:tcPr>
            <w:tcW w:w="1265" w:type="pct"/>
            <w:tcBorders>
              <w:top w:val="nil"/>
              <w:left w:val="nil"/>
              <w:bottom w:val="nil"/>
              <w:right w:val="nil"/>
            </w:tcBorders>
            <w:noWrap/>
            <w:vAlign w:val="bottom"/>
            <w:hideMark/>
          </w:tcPr>
          <w:p w14:paraId="77A1F91E" w14:textId="77777777" w:rsidR="00337865" w:rsidRDefault="00337865" w:rsidP="00F36743">
            <w:pPr>
              <w:jc w:val="center"/>
              <w:rPr>
                <w:rFonts w:ascii="Cambria" w:hAnsi="Cambria"/>
                <w:color w:val="000000"/>
                <w:sz w:val="20"/>
                <w:szCs w:val="20"/>
              </w:rPr>
            </w:pPr>
          </w:p>
        </w:tc>
        <w:tc>
          <w:tcPr>
            <w:tcW w:w="1180" w:type="pct"/>
            <w:tcBorders>
              <w:top w:val="nil"/>
              <w:left w:val="nil"/>
              <w:bottom w:val="nil"/>
              <w:right w:val="nil"/>
            </w:tcBorders>
            <w:noWrap/>
            <w:vAlign w:val="bottom"/>
            <w:hideMark/>
          </w:tcPr>
          <w:p w14:paraId="1BDEF8AD" w14:textId="77777777" w:rsidR="00337865" w:rsidRDefault="00337865" w:rsidP="00F36743">
            <w:pPr>
              <w:jc w:val="center"/>
              <w:rPr>
                <w:rFonts w:ascii="Cambria" w:hAnsi="Cambria"/>
                <w:color w:val="000000"/>
                <w:sz w:val="20"/>
                <w:szCs w:val="20"/>
              </w:rPr>
            </w:pPr>
            <w:r>
              <w:rPr>
                <w:rFonts w:ascii="Cambria" w:hAnsi="Cambria"/>
                <w:color w:val="000000"/>
                <w:sz w:val="20"/>
              </w:rPr>
              <w:t>AT001MAR00005</w:t>
            </w:r>
          </w:p>
        </w:tc>
        <w:tc>
          <w:tcPr>
            <w:tcW w:w="1181" w:type="pct"/>
            <w:tcBorders>
              <w:top w:val="nil"/>
              <w:left w:val="nil"/>
              <w:bottom w:val="nil"/>
              <w:right w:val="nil"/>
            </w:tcBorders>
            <w:noWrap/>
            <w:vAlign w:val="bottom"/>
            <w:hideMark/>
          </w:tcPr>
          <w:p w14:paraId="53F6B33A" w14:textId="77777777" w:rsidR="00337865" w:rsidRDefault="00337865" w:rsidP="00F36743">
            <w:pPr>
              <w:jc w:val="center"/>
              <w:rPr>
                <w:rFonts w:ascii="Cambria" w:hAnsi="Cambria"/>
                <w:color w:val="000000"/>
                <w:sz w:val="20"/>
                <w:szCs w:val="20"/>
              </w:rPr>
            </w:pPr>
            <w:r>
              <w:rPr>
                <w:rFonts w:ascii="Cambria" w:hAnsi="Cambria"/>
                <w:color w:val="000000"/>
                <w:sz w:val="20"/>
              </w:rPr>
              <w:t>AT001MAR00005</w:t>
            </w:r>
          </w:p>
        </w:tc>
      </w:tr>
      <w:tr w:rsidR="00337865" w14:paraId="0A4A6DDA" w14:textId="77777777" w:rsidTr="009E60C4">
        <w:trPr>
          <w:trHeight w:val="240"/>
        </w:trPr>
        <w:tc>
          <w:tcPr>
            <w:tcW w:w="1374" w:type="pct"/>
            <w:tcBorders>
              <w:top w:val="nil"/>
              <w:left w:val="nil"/>
              <w:bottom w:val="nil"/>
              <w:right w:val="nil"/>
            </w:tcBorders>
            <w:noWrap/>
            <w:vAlign w:val="bottom"/>
            <w:hideMark/>
          </w:tcPr>
          <w:p w14:paraId="42D96C7A" w14:textId="77777777" w:rsidR="00337865" w:rsidRDefault="00337865" w:rsidP="00F36743">
            <w:pPr>
              <w:rPr>
                <w:rFonts w:ascii="Cambria" w:hAnsi="Cambria"/>
                <w:color w:val="000000"/>
                <w:sz w:val="20"/>
                <w:szCs w:val="20"/>
              </w:rPr>
            </w:pPr>
            <w:r>
              <w:rPr>
                <w:rFonts w:ascii="Cambria" w:hAnsi="Cambria"/>
                <w:color w:val="000000"/>
                <w:sz w:val="20"/>
              </w:rPr>
              <w:t>Tunisie</w:t>
            </w:r>
          </w:p>
        </w:tc>
        <w:tc>
          <w:tcPr>
            <w:tcW w:w="1265" w:type="pct"/>
            <w:tcBorders>
              <w:top w:val="nil"/>
              <w:left w:val="nil"/>
              <w:bottom w:val="nil"/>
              <w:right w:val="nil"/>
            </w:tcBorders>
            <w:noWrap/>
            <w:vAlign w:val="bottom"/>
            <w:hideMark/>
          </w:tcPr>
          <w:p w14:paraId="2A235F6F" w14:textId="77777777" w:rsidR="00337865" w:rsidRDefault="00337865" w:rsidP="00F36743">
            <w:pPr>
              <w:jc w:val="center"/>
              <w:rPr>
                <w:rFonts w:ascii="Cambria" w:hAnsi="Cambria"/>
                <w:color w:val="000000"/>
                <w:sz w:val="20"/>
                <w:szCs w:val="20"/>
              </w:rPr>
            </w:pPr>
            <w:r>
              <w:rPr>
                <w:rFonts w:ascii="Cambria" w:hAnsi="Cambria"/>
                <w:color w:val="000000"/>
                <w:sz w:val="20"/>
              </w:rPr>
              <w:t>AT001TUN00001</w:t>
            </w:r>
          </w:p>
        </w:tc>
        <w:tc>
          <w:tcPr>
            <w:tcW w:w="1180" w:type="pct"/>
            <w:tcBorders>
              <w:top w:val="nil"/>
              <w:left w:val="nil"/>
              <w:bottom w:val="nil"/>
              <w:right w:val="nil"/>
            </w:tcBorders>
            <w:noWrap/>
            <w:vAlign w:val="bottom"/>
            <w:hideMark/>
          </w:tcPr>
          <w:p w14:paraId="2A10FA5F" w14:textId="77777777" w:rsidR="00337865" w:rsidRDefault="00337865" w:rsidP="00F36743">
            <w:pPr>
              <w:jc w:val="center"/>
              <w:rPr>
                <w:rFonts w:ascii="Cambria" w:hAnsi="Cambria"/>
                <w:color w:val="000000"/>
                <w:sz w:val="20"/>
                <w:szCs w:val="20"/>
              </w:rPr>
            </w:pPr>
            <w:r>
              <w:rPr>
                <w:rFonts w:ascii="Cambria" w:hAnsi="Cambria"/>
                <w:color w:val="000000"/>
                <w:sz w:val="20"/>
              </w:rPr>
              <w:t>AT001TUN00001</w:t>
            </w:r>
          </w:p>
        </w:tc>
        <w:tc>
          <w:tcPr>
            <w:tcW w:w="1181" w:type="pct"/>
            <w:tcBorders>
              <w:top w:val="nil"/>
              <w:left w:val="nil"/>
              <w:bottom w:val="nil"/>
              <w:right w:val="nil"/>
            </w:tcBorders>
            <w:noWrap/>
            <w:vAlign w:val="bottom"/>
            <w:hideMark/>
          </w:tcPr>
          <w:p w14:paraId="6861C834" w14:textId="77777777" w:rsidR="00337865" w:rsidRDefault="00337865" w:rsidP="00F36743">
            <w:pPr>
              <w:jc w:val="center"/>
              <w:rPr>
                <w:rFonts w:ascii="Cambria" w:hAnsi="Cambria"/>
                <w:color w:val="000000"/>
                <w:sz w:val="20"/>
                <w:szCs w:val="20"/>
              </w:rPr>
            </w:pPr>
            <w:r>
              <w:rPr>
                <w:rFonts w:ascii="Cambria" w:hAnsi="Cambria"/>
                <w:color w:val="000000"/>
                <w:sz w:val="20"/>
              </w:rPr>
              <w:t>AT001TUN00001</w:t>
            </w:r>
          </w:p>
        </w:tc>
      </w:tr>
      <w:tr w:rsidR="00337865" w14:paraId="1727D6C6" w14:textId="77777777" w:rsidTr="009E60C4">
        <w:trPr>
          <w:trHeight w:val="240"/>
        </w:trPr>
        <w:tc>
          <w:tcPr>
            <w:tcW w:w="1374" w:type="pct"/>
            <w:tcBorders>
              <w:top w:val="nil"/>
              <w:left w:val="nil"/>
              <w:bottom w:val="nil"/>
              <w:right w:val="nil"/>
            </w:tcBorders>
            <w:noWrap/>
            <w:vAlign w:val="bottom"/>
            <w:hideMark/>
          </w:tcPr>
          <w:p w14:paraId="6464FA71" w14:textId="77777777" w:rsidR="00337865" w:rsidRDefault="00337865" w:rsidP="00F36743">
            <w:pPr>
              <w:rPr>
                <w:rFonts w:ascii="Cambria" w:hAnsi="Cambria"/>
                <w:color w:val="000000"/>
                <w:sz w:val="20"/>
                <w:szCs w:val="20"/>
              </w:rPr>
            </w:pPr>
            <w:r>
              <w:rPr>
                <w:rFonts w:ascii="Cambria" w:hAnsi="Cambria"/>
                <w:color w:val="000000"/>
                <w:sz w:val="20"/>
              </w:rPr>
              <w:t>Tunisie</w:t>
            </w:r>
          </w:p>
        </w:tc>
        <w:tc>
          <w:tcPr>
            <w:tcW w:w="1265" w:type="pct"/>
            <w:tcBorders>
              <w:top w:val="nil"/>
              <w:left w:val="nil"/>
              <w:bottom w:val="nil"/>
              <w:right w:val="nil"/>
            </w:tcBorders>
            <w:noWrap/>
            <w:vAlign w:val="bottom"/>
            <w:hideMark/>
          </w:tcPr>
          <w:p w14:paraId="10E8AE60" w14:textId="77777777" w:rsidR="00337865" w:rsidRDefault="00337865" w:rsidP="00F36743">
            <w:pPr>
              <w:jc w:val="center"/>
              <w:rPr>
                <w:rFonts w:ascii="Cambria" w:hAnsi="Cambria"/>
                <w:color w:val="000000"/>
                <w:sz w:val="20"/>
                <w:szCs w:val="20"/>
              </w:rPr>
            </w:pPr>
            <w:r>
              <w:rPr>
                <w:rFonts w:ascii="Cambria" w:hAnsi="Cambria"/>
                <w:color w:val="000000"/>
                <w:sz w:val="20"/>
              </w:rPr>
              <w:t>AT001TUN00002</w:t>
            </w:r>
          </w:p>
        </w:tc>
        <w:tc>
          <w:tcPr>
            <w:tcW w:w="1180" w:type="pct"/>
            <w:tcBorders>
              <w:top w:val="nil"/>
              <w:left w:val="nil"/>
              <w:bottom w:val="nil"/>
              <w:right w:val="nil"/>
            </w:tcBorders>
            <w:noWrap/>
            <w:vAlign w:val="bottom"/>
            <w:hideMark/>
          </w:tcPr>
          <w:p w14:paraId="49764CE0" w14:textId="77777777" w:rsidR="00337865" w:rsidRDefault="00337865" w:rsidP="00F36743">
            <w:pPr>
              <w:jc w:val="center"/>
              <w:rPr>
                <w:rFonts w:ascii="Cambria" w:hAnsi="Cambria"/>
                <w:color w:val="000000"/>
                <w:sz w:val="20"/>
                <w:szCs w:val="20"/>
              </w:rPr>
            </w:pPr>
            <w:r>
              <w:rPr>
                <w:rFonts w:ascii="Cambria" w:hAnsi="Cambria"/>
                <w:color w:val="000000"/>
                <w:sz w:val="20"/>
              </w:rPr>
              <w:t>AT001TUN00002</w:t>
            </w:r>
          </w:p>
        </w:tc>
        <w:tc>
          <w:tcPr>
            <w:tcW w:w="1181" w:type="pct"/>
            <w:tcBorders>
              <w:top w:val="nil"/>
              <w:left w:val="nil"/>
              <w:bottom w:val="nil"/>
              <w:right w:val="nil"/>
            </w:tcBorders>
            <w:noWrap/>
            <w:vAlign w:val="bottom"/>
            <w:hideMark/>
          </w:tcPr>
          <w:p w14:paraId="5A700976" w14:textId="77777777" w:rsidR="00337865" w:rsidRDefault="00337865" w:rsidP="00F36743">
            <w:pPr>
              <w:jc w:val="center"/>
              <w:rPr>
                <w:rFonts w:ascii="Cambria" w:hAnsi="Cambria"/>
                <w:color w:val="000000"/>
                <w:sz w:val="20"/>
                <w:szCs w:val="20"/>
              </w:rPr>
            </w:pPr>
            <w:r>
              <w:rPr>
                <w:rFonts w:ascii="Cambria" w:hAnsi="Cambria"/>
                <w:color w:val="000000"/>
                <w:sz w:val="20"/>
              </w:rPr>
              <w:t>AT001TUN00002</w:t>
            </w:r>
          </w:p>
        </w:tc>
      </w:tr>
      <w:tr w:rsidR="00337865" w14:paraId="632EC52E" w14:textId="77777777" w:rsidTr="009E60C4">
        <w:trPr>
          <w:trHeight w:val="240"/>
        </w:trPr>
        <w:tc>
          <w:tcPr>
            <w:tcW w:w="1374" w:type="pct"/>
            <w:tcBorders>
              <w:top w:val="nil"/>
              <w:left w:val="nil"/>
              <w:bottom w:val="nil"/>
              <w:right w:val="nil"/>
            </w:tcBorders>
            <w:noWrap/>
            <w:vAlign w:val="bottom"/>
            <w:hideMark/>
          </w:tcPr>
          <w:p w14:paraId="6E673AC6" w14:textId="77777777" w:rsidR="00337865" w:rsidRDefault="00337865" w:rsidP="00F36743">
            <w:pPr>
              <w:rPr>
                <w:rFonts w:ascii="Cambria" w:hAnsi="Cambria"/>
                <w:color w:val="000000"/>
                <w:sz w:val="20"/>
                <w:szCs w:val="20"/>
              </w:rPr>
            </w:pPr>
            <w:r>
              <w:rPr>
                <w:rFonts w:ascii="Cambria" w:hAnsi="Cambria"/>
                <w:color w:val="000000"/>
                <w:sz w:val="20"/>
              </w:rPr>
              <w:t>Tunisie</w:t>
            </w:r>
          </w:p>
        </w:tc>
        <w:tc>
          <w:tcPr>
            <w:tcW w:w="1265" w:type="pct"/>
            <w:tcBorders>
              <w:top w:val="nil"/>
              <w:left w:val="nil"/>
              <w:bottom w:val="nil"/>
              <w:right w:val="nil"/>
            </w:tcBorders>
            <w:noWrap/>
            <w:vAlign w:val="bottom"/>
            <w:hideMark/>
          </w:tcPr>
          <w:p w14:paraId="0946BDC3" w14:textId="77777777" w:rsidR="00337865" w:rsidRDefault="00337865" w:rsidP="00F36743">
            <w:pPr>
              <w:jc w:val="center"/>
              <w:rPr>
                <w:rFonts w:ascii="Cambria" w:hAnsi="Cambria"/>
                <w:color w:val="000000"/>
                <w:sz w:val="20"/>
                <w:szCs w:val="20"/>
              </w:rPr>
            </w:pPr>
          </w:p>
        </w:tc>
        <w:tc>
          <w:tcPr>
            <w:tcW w:w="1180" w:type="pct"/>
            <w:tcBorders>
              <w:top w:val="nil"/>
              <w:left w:val="nil"/>
              <w:bottom w:val="nil"/>
              <w:right w:val="nil"/>
            </w:tcBorders>
            <w:noWrap/>
            <w:vAlign w:val="bottom"/>
            <w:hideMark/>
          </w:tcPr>
          <w:p w14:paraId="79EA90D1" w14:textId="77777777" w:rsidR="00337865" w:rsidRDefault="00337865" w:rsidP="00F36743">
            <w:pPr>
              <w:jc w:val="center"/>
              <w:rPr>
                <w:rFonts w:ascii="Cambria" w:hAnsi="Cambria"/>
                <w:color w:val="000000"/>
                <w:sz w:val="20"/>
                <w:szCs w:val="20"/>
              </w:rPr>
            </w:pPr>
            <w:r>
              <w:rPr>
                <w:rFonts w:ascii="Cambria" w:hAnsi="Cambria"/>
                <w:color w:val="000000"/>
                <w:sz w:val="20"/>
              </w:rPr>
              <w:t>AT001TUN00003</w:t>
            </w:r>
          </w:p>
        </w:tc>
        <w:tc>
          <w:tcPr>
            <w:tcW w:w="1181" w:type="pct"/>
            <w:tcBorders>
              <w:top w:val="nil"/>
              <w:left w:val="nil"/>
              <w:bottom w:val="nil"/>
              <w:right w:val="nil"/>
            </w:tcBorders>
            <w:noWrap/>
            <w:vAlign w:val="bottom"/>
            <w:hideMark/>
          </w:tcPr>
          <w:p w14:paraId="36C29DDC" w14:textId="77777777" w:rsidR="00337865" w:rsidRDefault="00337865" w:rsidP="00F36743">
            <w:pPr>
              <w:jc w:val="center"/>
              <w:rPr>
                <w:rFonts w:ascii="Cambria" w:hAnsi="Cambria"/>
                <w:color w:val="000000"/>
                <w:sz w:val="20"/>
                <w:szCs w:val="20"/>
              </w:rPr>
            </w:pPr>
            <w:r>
              <w:rPr>
                <w:rFonts w:ascii="Cambria" w:hAnsi="Cambria"/>
                <w:color w:val="000000"/>
                <w:sz w:val="20"/>
              </w:rPr>
              <w:t>AT001TUN00003</w:t>
            </w:r>
          </w:p>
        </w:tc>
      </w:tr>
      <w:tr w:rsidR="00337865" w14:paraId="58E26A7A" w14:textId="77777777" w:rsidTr="009E60C4">
        <w:trPr>
          <w:trHeight w:val="240"/>
        </w:trPr>
        <w:tc>
          <w:tcPr>
            <w:tcW w:w="1374" w:type="pct"/>
            <w:tcBorders>
              <w:top w:val="nil"/>
              <w:left w:val="nil"/>
              <w:bottom w:val="nil"/>
              <w:right w:val="nil"/>
            </w:tcBorders>
            <w:noWrap/>
            <w:vAlign w:val="bottom"/>
            <w:hideMark/>
          </w:tcPr>
          <w:p w14:paraId="144F61C3" w14:textId="77777777" w:rsidR="00337865" w:rsidRDefault="00337865" w:rsidP="00F36743">
            <w:pPr>
              <w:rPr>
                <w:rFonts w:ascii="Cambria" w:hAnsi="Cambria"/>
                <w:color w:val="000000"/>
                <w:sz w:val="20"/>
                <w:szCs w:val="20"/>
              </w:rPr>
            </w:pPr>
            <w:r>
              <w:rPr>
                <w:rFonts w:ascii="Cambria" w:hAnsi="Cambria"/>
                <w:color w:val="000000"/>
                <w:sz w:val="20"/>
              </w:rPr>
              <w:t>Tunisie</w:t>
            </w:r>
          </w:p>
        </w:tc>
        <w:tc>
          <w:tcPr>
            <w:tcW w:w="1265" w:type="pct"/>
            <w:tcBorders>
              <w:top w:val="nil"/>
              <w:left w:val="nil"/>
              <w:bottom w:val="nil"/>
              <w:right w:val="nil"/>
            </w:tcBorders>
            <w:noWrap/>
            <w:vAlign w:val="bottom"/>
            <w:hideMark/>
          </w:tcPr>
          <w:p w14:paraId="44662678" w14:textId="77777777" w:rsidR="00337865" w:rsidRDefault="00337865" w:rsidP="00F36743">
            <w:pPr>
              <w:jc w:val="center"/>
              <w:rPr>
                <w:rFonts w:ascii="Cambria" w:hAnsi="Cambria"/>
                <w:color w:val="000000"/>
                <w:sz w:val="20"/>
                <w:szCs w:val="20"/>
              </w:rPr>
            </w:pPr>
          </w:p>
        </w:tc>
        <w:tc>
          <w:tcPr>
            <w:tcW w:w="1180" w:type="pct"/>
            <w:tcBorders>
              <w:top w:val="nil"/>
              <w:left w:val="nil"/>
              <w:bottom w:val="nil"/>
              <w:right w:val="nil"/>
            </w:tcBorders>
            <w:noWrap/>
            <w:vAlign w:val="bottom"/>
            <w:hideMark/>
          </w:tcPr>
          <w:p w14:paraId="1DDE9F04" w14:textId="77777777" w:rsidR="00337865" w:rsidRDefault="00337865" w:rsidP="00F36743">
            <w:pPr>
              <w:jc w:val="center"/>
              <w:rPr>
                <w:rFonts w:ascii="Cambria" w:hAnsi="Cambria"/>
                <w:color w:val="000000"/>
                <w:sz w:val="20"/>
                <w:szCs w:val="20"/>
              </w:rPr>
            </w:pPr>
            <w:r>
              <w:rPr>
                <w:rFonts w:ascii="Cambria" w:hAnsi="Cambria"/>
                <w:color w:val="000000"/>
                <w:sz w:val="20"/>
              </w:rPr>
              <w:t>AT001TUN00004</w:t>
            </w:r>
          </w:p>
        </w:tc>
        <w:tc>
          <w:tcPr>
            <w:tcW w:w="1181" w:type="pct"/>
            <w:tcBorders>
              <w:top w:val="nil"/>
              <w:left w:val="nil"/>
              <w:bottom w:val="nil"/>
              <w:right w:val="nil"/>
            </w:tcBorders>
            <w:noWrap/>
            <w:vAlign w:val="bottom"/>
            <w:hideMark/>
          </w:tcPr>
          <w:p w14:paraId="008712A1" w14:textId="77777777" w:rsidR="00337865" w:rsidRDefault="00337865" w:rsidP="00F36743">
            <w:pPr>
              <w:jc w:val="center"/>
              <w:rPr>
                <w:rFonts w:ascii="Cambria" w:hAnsi="Cambria"/>
                <w:color w:val="000000"/>
                <w:sz w:val="20"/>
                <w:szCs w:val="20"/>
              </w:rPr>
            </w:pPr>
            <w:r>
              <w:rPr>
                <w:rFonts w:ascii="Cambria" w:hAnsi="Cambria"/>
                <w:color w:val="000000"/>
                <w:sz w:val="20"/>
              </w:rPr>
              <w:t>AT001TUN00004</w:t>
            </w:r>
          </w:p>
        </w:tc>
      </w:tr>
      <w:tr w:rsidR="00337865" w14:paraId="2DDB2739" w14:textId="77777777" w:rsidTr="009E60C4">
        <w:trPr>
          <w:trHeight w:val="240"/>
        </w:trPr>
        <w:tc>
          <w:tcPr>
            <w:tcW w:w="1374" w:type="pct"/>
            <w:tcBorders>
              <w:top w:val="nil"/>
              <w:left w:val="nil"/>
              <w:bottom w:val="nil"/>
              <w:right w:val="nil"/>
            </w:tcBorders>
            <w:noWrap/>
            <w:vAlign w:val="bottom"/>
            <w:hideMark/>
          </w:tcPr>
          <w:p w14:paraId="011BA8CF" w14:textId="77777777" w:rsidR="00337865" w:rsidRDefault="00337865" w:rsidP="00F36743">
            <w:pPr>
              <w:rPr>
                <w:rFonts w:ascii="Cambria" w:hAnsi="Cambria"/>
                <w:color w:val="000000"/>
                <w:sz w:val="20"/>
                <w:szCs w:val="20"/>
              </w:rPr>
            </w:pPr>
            <w:r>
              <w:rPr>
                <w:rFonts w:ascii="Cambria" w:hAnsi="Cambria"/>
                <w:color w:val="000000"/>
                <w:sz w:val="20"/>
              </w:rPr>
              <w:t>Türkiye</w:t>
            </w:r>
          </w:p>
        </w:tc>
        <w:tc>
          <w:tcPr>
            <w:tcW w:w="1265" w:type="pct"/>
            <w:tcBorders>
              <w:top w:val="nil"/>
              <w:left w:val="nil"/>
              <w:bottom w:val="nil"/>
              <w:right w:val="nil"/>
            </w:tcBorders>
            <w:noWrap/>
            <w:vAlign w:val="bottom"/>
            <w:hideMark/>
          </w:tcPr>
          <w:p w14:paraId="1D27CE04" w14:textId="77777777" w:rsidR="00337865" w:rsidRDefault="00337865" w:rsidP="00F36743">
            <w:pPr>
              <w:jc w:val="center"/>
              <w:rPr>
                <w:rFonts w:ascii="Cambria" w:hAnsi="Cambria"/>
                <w:color w:val="000000"/>
                <w:sz w:val="20"/>
                <w:szCs w:val="20"/>
              </w:rPr>
            </w:pPr>
            <w:r>
              <w:rPr>
                <w:rFonts w:ascii="Cambria" w:hAnsi="Cambria"/>
                <w:color w:val="000000"/>
                <w:sz w:val="20"/>
              </w:rPr>
              <w:t>AT001TUR00004*</w:t>
            </w:r>
          </w:p>
        </w:tc>
        <w:tc>
          <w:tcPr>
            <w:tcW w:w="1180" w:type="pct"/>
            <w:tcBorders>
              <w:top w:val="nil"/>
              <w:left w:val="nil"/>
              <w:bottom w:val="nil"/>
              <w:right w:val="nil"/>
            </w:tcBorders>
            <w:noWrap/>
            <w:vAlign w:val="bottom"/>
            <w:hideMark/>
          </w:tcPr>
          <w:p w14:paraId="1B172781" w14:textId="77777777" w:rsidR="00337865" w:rsidRDefault="00337865" w:rsidP="00F36743">
            <w:pPr>
              <w:jc w:val="center"/>
              <w:rPr>
                <w:rFonts w:ascii="Cambria" w:hAnsi="Cambria"/>
                <w:color w:val="000000"/>
                <w:sz w:val="20"/>
                <w:szCs w:val="20"/>
              </w:rPr>
            </w:pPr>
            <w:r>
              <w:rPr>
                <w:rFonts w:ascii="Cambria" w:hAnsi="Cambria"/>
                <w:color w:val="000000"/>
                <w:sz w:val="20"/>
              </w:rPr>
              <w:t>AT001TUR00004*</w:t>
            </w:r>
          </w:p>
        </w:tc>
        <w:tc>
          <w:tcPr>
            <w:tcW w:w="1181" w:type="pct"/>
            <w:tcBorders>
              <w:top w:val="nil"/>
              <w:left w:val="nil"/>
              <w:bottom w:val="nil"/>
              <w:right w:val="nil"/>
            </w:tcBorders>
            <w:noWrap/>
            <w:vAlign w:val="bottom"/>
            <w:hideMark/>
          </w:tcPr>
          <w:p w14:paraId="625339BE" w14:textId="77777777" w:rsidR="00337865" w:rsidRDefault="00337865" w:rsidP="00F36743">
            <w:pPr>
              <w:jc w:val="center"/>
              <w:rPr>
                <w:rFonts w:ascii="Cambria" w:hAnsi="Cambria"/>
                <w:color w:val="000000"/>
                <w:sz w:val="20"/>
                <w:szCs w:val="20"/>
              </w:rPr>
            </w:pPr>
            <w:r>
              <w:rPr>
                <w:rFonts w:ascii="Cambria" w:hAnsi="Cambria"/>
                <w:color w:val="000000"/>
                <w:sz w:val="20"/>
              </w:rPr>
              <w:t>AT001TUR00004*</w:t>
            </w:r>
          </w:p>
        </w:tc>
      </w:tr>
      <w:tr w:rsidR="00337865" w14:paraId="77FA88C3" w14:textId="77777777" w:rsidTr="009E60C4">
        <w:trPr>
          <w:trHeight w:val="240"/>
        </w:trPr>
        <w:tc>
          <w:tcPr>
            <w:tcW w:w="1374" w:type="pct"/>
            <w:tcBorders>
              <w:top w:val="nil"/>
              <w:left w:val="nil"/>
              <w:bottom w:val="nil"/>
              <w:right w:val="nil"/>
            </w:tcBorders>
            <w:noWrap/>
            <w:vAlign w:val="bottom"/>
            <w:hideMark/>
          </w:tcPr>
          <w:p w14:paraId="4B7C74CC" w14:textId="77777777" w:rsidR="00337865" w:rsidRDefault="00337865" w:rsidP="00F36743">
            <w:pPr>
              <w:rPr>
                <w:rFonts w:ascii="Cambria" w:hAnsi="Cambria"/>
                <w:color w:val="000000"/>
                <w:sz w:val="20"/>
                <w:szCs w:val="20"/>
              </w:rPr>
            </w:pPr>
            <w:r>
              <w:rPr>
                <w:rFonts w:ascii="Cambria" w:hAnsi="Cambria"/>
                <w:color w:val="000000"/>
                <w:sz w:val="20"/>
              </w:rPr>
              <w:t>Türkiye</w:t>
            </w:r>
          </w:p>
        </w:tc>
        <w:tc>
          <w:tcPr>
            <w:tcW w:w="1265" w:type="pct"/>
            <w:tcBorders>
              <w:top w:val="nil"/>
              <w:left w:val="nil"/>
              <w:bottom w:val="nil"/>
              <w:right w:val="nil"/>
            </w:tcBorders>
            <w:noWrap/>
            <w:vAlign w:val="bottom"/>
            <w:hideMark/>
          </w:tcPr>
          <w:p w14:paraId="00998DB4" w14:textId="77777777" w:rsidR="00337865" w:rsidRDefault="00337865" w:rsidP="00F36743">
            <w:pPr>
              <w:jc w:val="center"/>
              <w:rPr>
                <w:rFonts w:ascii="Cambria" w:hAnsi="Cambria"/>
                <w:color w:val="000000"/>
                <w:sz w:val="20"/>
                <w:szCs w:val="20"/>
              </w:rPr>
            </w:pPr>
            <w:r>
              <w:rPr>
                <w:rFonts w:ascii="Cambria" w:hAnsi="Cambria"/>
                <w:color w:val="000000"/>
                <w:sz w:val="20"/>
              </w:rPr>
              <w:t>AT001TUR00005*</w:t>
            </w:r>
          </w:p>
        </w:tc>
        <w:tc>
          <w:tcPr>
            <w:tcW w:w="1180" w:type="pct"/>
            <w:tcBorders>
              <w:top w:val="nil"/>
              <w:left w:val="nil"/>
              <w:bottom w:val="nil"/>
              <w:right w:val="nil"/>
            </w:tcBorders>
            <w:noWrap/>
            <w:vAlign w:val="bottom"/>
            <w:hideMark/>
          </w:tcPr>
          <w:p w14:paraId="1DDDF2D5" w14:textId="77777777" w:rsidR="00337865" w:rsidRDefault="00337865" w:rsidP="00F36743">
            <w:pPr>
              <w:jc w:val="center"/>
              <w:rPr>
                <w:rFonts w:ascii="Cambria" w:hAnsi="Cambria"/>
                <w:color w:val="000000"/>
                <w:sz w:val="20"/>
                <w:szCs w:val="20"/>
              </w:rPr>
            </w:pPr>
            <w:r>
              <w:rPr>
                <w:rFonts w:ascii="Cambria" w:hAnsi="Cambria"/>
                <w:color w:val="000000"/>
                <w:sz w:val="20"/>
              </w:rPr>
              <w:t>AT001TUR00005*</w:t>
            </w:r>
          </w:p>
        </w:tc>
        <w:tc>
          <w:tcPr>
            <w:tcW w:w="1181" w:type="pct"/>
            <w:tcBorders>
              <w:top w:val="nil"/>
              <w:left w:val="nil"/>
              <w:bottom w:val="nil"/>
              <w:right w:val="nil"/>
            </w:tcBorders>
            <w:noWrap/>
            <w:vAlign w:val="bottom"/>
            <w:hideMark/>
          </w:tcPr>
          <w:p w14:paraId="66B990F2" w14:textId="77777777" w:rsidR="00337865" w:rsidRDefault="00337865" w:rsidP="00F36743">
            <w:pPr>
              <w:jc w:val="center"/>
              <w:rPr>
                <w:rFonts w:ascii="Cambria" w:hAnsi="Cambria"/>
                <w:color w:val="000000"/>
                <w:sz w:val="20"/>
                <w:szCs w:val="20"/>
              </w:rPr>
            </w:pPr>
            <w:r>
              <w:rPr>
                <w:rFonts w:ascii="Cambria" w:hAnsi="Cambria"/>
                <w:color w:val="000000"/>
                <w:sz w:val="20"/>
              </w:rPr>
              <w:t>AT001TUR00005*</w:t>
            </w:r>
          </w:p>
        </w:tc>
      </w:tr>
      <w:tr w:rsidR="00337865" w14:paraId="63AC18C4" w14:textId="77777777" w:rsidTr="009E60C4">
        <w:trPr>
          <w:trHeight w:val="240"/>
        </w:trPr>
        <w:tc>
          <w:tcPr>
            <w:tcW w:w="1374" w:type="pct"/>
            <w:tcBorders>
              <w:top w:val="nil"/>
              <w:left w:val="nil"/>
              <w:bottom w:val="nil"/>
              <w:right w:val="nil"/>
            </w:tcBorders>
            <w:noWrap/>
            <w:vAlign w:val="bottom"/>
            <w:hideMark/>
          </w:tcPr>
          <w:p w14:paraId="615D9820" w14:textId="77777777" w:rsidR="00337865" w:rsidRDefault="00337865" w:rsidP="00F36743">
            <w:pPr>
              <w:rPr>
                <w:rFonts w:ascii="Cambria" w:hAnsi="Cambria"/>
                <w:color w:val="000000"/>
                <w:sz w:val="20"/>
                <w:szCs w:val="20"/>
              </w:rPr>
            </w:pPr>
            <w:r>
              <w:rPr>
                <w:rFonts w:ascii="Cambria" w:hAnsi="Cambria"/>
                <w:color w:val="000000"/>
                <w:sz w:val="20"/>
              </w:rPr>
              <w:t>Türkiye</w:t>
            </w:r>
          </w:p>
        </w:tc>
        <w:tc>
          <w:tcPr>
            <w:tcW w:w="1265" w:type="pct"/>
            <w:tcBorders>
              <w:top w:val="nil"/>
              <w:left w:val="nil"/>
              <w:bottom w:val="nil"/>
              <w:right w:val="nil"/>
            </w:tcBorders>
            <w:noWrap/>
            <w:vAlign w:val="bottom"/>
            <w:hideMark/>
          </w:tcPr>
          <w:p w14:paraId="5EA1E40E" w14:textId="77777777" w:rsidR="00337865" w:rsidRDefault="00337865" w:rsidP="00F36743">
            <w:pPr>
              <w:jc w:val="center"/>
              <w:rPr>
                <w:rFonts w:ascii="Cambria" w:hAnsi="Cambria"/>
                <w:color w:val="000000"/>
                <w:sz w:val="20"/>
                <w:szCs w:val="20"/>
              </w:rPr>
            </w:pPr>
            <w:r>
              <w:rPr>
                <w:rFonts w:ascii="Cambria" w:hAnsi="Cambria"/>
                <w:color w:val="000000"/>
                <w:sz w:val="20"/>
              </w:rPr>
              <w:t>AT001TUR00010</w:t>
            </w:r>
          </w:p>
        </w:tc>
        <w:tc>
          <w:tcPr>
            <w:tcW w:w="1180" w:type="pct"/>
            <w:tcBorders>
              <w:top w:val="nil"/>
              <w:left w:val="nil"/>
              <w:bottom w:val="nil"/>
              <w:right w:val="nil"/>
            </w:tcBorders>
            <w:noWrap/>
            <w:vAlign w:val="bottom"/>
            <w:hideMark/>
          </w:tcPr>
          <w:p w14:paraId="03B6E487" w14:textId="77777777" w:rsidR="00337865" w:rsidRDefault="00337865" w:rsidP="00F36743">
            <w:pPr>
              <w:jc w:val="center"/>
              <w:rPr>
                <w:rFonts w:ascii="Cambria" w:hAnsi="Cambria"/>
                <w:color w:val="000000"/>
                <w:sz w:val="20"/>
                <w:szCs w:val="20"/>
              </w:rPr>
            </w:pPr>
            <w:r>
              <w:rPr>
                <w:rFonts w:ascii="Cambria" w:hAnsi="Cambria"/>
                <w:color w:val="000000"/>
                <w:sz w:val="20"/>
              </w:rPr>
              <w:t>AT001TUR00010</w:t>
            </w:r>
          </w:p>
        </w:tc>
        <w:tc>
          <w:tcPr>
            <w:tcW w:w="1181" w:type="pct"/>
            <w:tcBorders>
              <w:top w:val="nil"/>
              <w:left w:val="nil"/>
              <w:bottom w:val="nil"/>
              <w:right w:val="nil"/>
            </w:tcBorders>
            <w:noWrap/>
            <w:vAlign w:val="bottom"/>
            <w:hideMark/>
          </w:tcPr>
          <w:p w14:paraId="1A69B0B0" w14:textId="77777777" w:rsidR="00337865" w:rsidRDefault="00337865" w:rsidP="00F36743">
            <w:pPr>
              <w:jc w:val="center"/>
              <w:rPr>
                <w:rFonts w:ascii="Cambria" w:hAnsi="Cambria"/>
                <w:color w:val="000000"/>
                <w:sz w:val="20"/>
                <w:szCs w:val="20"/>
              </w:rPr>
            </w:pPr>
            <w:r>
              <w:rPr>
                <w:rFonts w:ascii="Cambria" w:hAnsi="Cambria"/>
                <w:color w:val="000000"/>
                <w:sz w:val="20"/>
              </w:rPr>
              <w:t>AT001TUR00010</w:t>
            </w:r>
          </w:p>
        </w:tc>
      </w:tr>
      <w:tr w:rsidR="00337865" w14:paraId="4C045258" w14:textId="77777777" w:rsidTr="009E60C4">
        <w:trPr>
          <w:trHeight w:val="240"/>
        </w:trPr>
        <w:tc>
          <w:tcPr>
            <w:tcW w:w="1374" w:type="pct"/>
            <w:tcBorders>
              <w:top w:val="nil"/>
              <w:left w:val="nil"/>
              <w:bottom w:val="nil"/>
              <w:right w:val="nil"/>
            </w:tcBorders>
            <w:noWrap/>
            <w:vAlign w:val="bottom"/>
            <w:hideMark/>
          </w:tcPr>
          <w:p w14:paraId="5C3F0652" w14:textId="77777777" w:rsidR="00337865" w:rsidRDefault="00337865" w:rsidP="00F36743">
            <w:pPr>
              <w:rPr>
                <w:rFonts w:ascii="Cambria" w:hAnsi="Cambria"/>
                <w:color w:val="000000"/>
                <w:sz w:val="20"/>
                <w:szCs w:val="20"/>
              </w:rPr>
            </w:pPr>
            <w:r>
              <w:rPr>
                <w:rFonts w:ascii="Cambria" w:hAnsi="Cambria"/>
                <w:color w:val="000000"/>
                <w:sz w:val="20"/>
              </w:rPr>
              <w:t>Türkiye</w:t>
            </w:r>
          </w:p>
        </w:tc>
        <w:tc>
          <w:tcPr>
            <w:tcW w:w="1265" w:type="pct"/>
            <w:tcBorders>
              <w:top w:val="nil"/>
              <w:left w:val="nil"/>
              <w:bottom w:val="nil"/>
              <w:right w:val="nil"/>
            </w:tcBorders>
            <w:noWrap/>
            <w:vAlign w:val="bottom"/>
            <w:hideMark/>
          </w:tcPr>
          <w:p w14:paraId="78E25FF0" w14:textId="77777777" w:rsidR="00337865" w:rsidRDefault="00337865" w:rsidP="00F36743">
            <w:pPr>
              <w:jc w:val="center"/>
              <w:rPr>
                <w:rFonts w:ascii="Cambria" w:hAnsi="Cambria"/>
                <w:color w:val="000000"/>
                <w:sz w:val="20"/>
                <w:szCs w:val="20"/>
              </w:rPr>
            </w:pPr>
            <w:r>
              <w:rPr>
                <w:rFonts w:ascii="Cambria" w:hAnsi="Cambria"/>
                <w:color w:val="000000"/>
                <w:sz w:val="20"/>
              </w:rPr>
              <w:t>AT001TUR00011</w:t>
            </w:r>
          </w:p>
        </w:tc>
        <w:tc>
          <w:tcPr>
            <w:tcW w:w="1180" w:type="pct"/>
            <w:tcBorders>
              <w:top w:val="nil"/>
              <w:left w:val="nil"/>
              <w:bottom w:val="nil"/>
              <w:right w:val="nil"/>
            </w:tcBorders>
            <w:noWrap/>
            <w:vAlign w:val="bottom"/>
            <w:hideMark/>
          </w:tcPr>
          <w:p w14:paraId="1F876676" w14:textId="77777777" w:rsidR="00337865" w:rsidRDefault="00337865" w:rsidP="00F36743">
            <w:pPr>
              <w:jc w:val="center"/>
              <w:rPr>
                <w:rFonts w:ascii="Cambria" w:hAnsi="Cambria"/>
                <w:color w:val="000000"/>
                <w:sz w:val="20"/>
                <w:szCs w:val="20"/>
              </w:rPr>
            </w:pPr>
            <w:r>
              <w:rPr>
                <w:rFonts w:ascii="Cambria" w:hAnsi="Cambria"/>
                <w:color w:val="000000"/>
                <w:sz w:val="20"/>
              </w:rPr>
              <w:t>AT001TUR00011</w:t>
            </w:r>
          </w:p>
        </w:tc>
        <w:tc>
          <w:tcPr>
            <w:tcW w:w="1181" w:type="pct"/>
            <w:tcBorders>
              <w:top w:val="nil"/>
              <w:left w:val="nil"/>
              <w:bottom w:val="nil"/>
              <w:right w:val="nil"/>
            </w:tcBorders>
            <w:noWrap/>
            <w:vAlign w:val="bottom"/>
            <w:hideMark/>
          </w:tcPr>
          <w:p w14:paraId="2872827A" w14:textId="77777777" w:rsidR="00337865" w:rsidRDefault="00337865" w:rsidP="00F36743">
            <w:pPr>
              <w:jc w:val="center"/>
              <w:rPr>
                <w:rFonts w:ascii="Cambria" w:hAnsi="Cambria"/>
                <w:color w:val="000000"/>
                <w:sz w:val="20"/>
                <w:szCs w:val="20"/>
              </w:rPr>
            </w:pPr>
            <w:r>
              <w:rPr>
                <w:rFonts w:ascii="Cambria" w:hAnsi="Cambria"/>
                <w:color w:val="000000"/>
                <w:sz w:val="20"/>
              </w:rPr>
              <w:t>AT001TUR00011</w:t>
            </w:r>
          </w:p>
        </w:tc>
      </w:tr>
      <w:tr w:rsidR="00337865" w14:paraId="719D2637" w14:textId="77777777" w:rsidTr="009E60C4">
        <w:trPr>
          <w:trHeight w:val="240"/>
        </w:trPr>
        <w:tc>
          <w:tcPr>
            <w:tcW w:w="1374" w:type="pct"/>
            <w:tcBorders>
              <w:top w:val="nil"/>
              <w:left w:val="nil"/>
              <w:right w:val="nil"/>
            </w:tcBorders>
            <w:noWrap/>
            <w:vAlign w:val="bottom"/>
            <w:hideMark/>
          </w:tcPr>
          <w:p w14:paraId="5CD7D382" w14:textId="77777777" w:rsidR="00337865" w:rsidRDefault="00337865" w:rsidP="00F36743">
            <w:pPr>
              <w:rPr>
                <w:rFonts w:ascii="Cambria" w:hAnsi="Cambria"/>
                <w:color w:val="000000"/>
                <w:sz w:val="20"/>
                <w:szCs w:val="20"/>
              </w:rPr>
            </w:pPr>
            <w:r>
              <w:rPr>
                <w:rFonts w:ascii="Cambria" w:hAnsi="Cambria"/>
                <w:color w:val="000000"/>
                <w:sz w:val="20"/>
              </w:rPr>
              <w:t>Türkiye</w:t>
            </w:r>
          </w:p>
        </w:tc>
        <w:tc>
          <w:tcPr>
            <w:tcW w:w="1265" w:type="pct"/>
            <w:tcBorders>
              <w:top w:val="nil"/>
              <w:left w:val="nil"/>
              <w:right w:val="nil"/>
            </w:tcBorders>
            <w:noWrap/>
            <w:vAlign w:val="bottom"/>
            <w:hideMark/>
          </w:tcPr>
          <w:p w14:paraId="5ED9FE63" w14:textId="77777777" w:rsidR="00337865" w:rsidRDefault="00337865" w:rsidP="00F36743">
            <w:pPr>
              <w:jc w:val="center"/>
              <w:rPr>
                <w:rFonts w:ascii="Cambria" w:hAnsi="Cambria"/>
                <w:color w:val="000000"/>
                <w:sz w:val="20"/>
                <w:szCs w:val="20"/>
              </w:rPr>
            </w:pPr>
            <w:r>
              <w:rPr>
                <w:rFonts w:ascii="Cambria" w:hAnsi="Cambria"/>
                <w:color w:val="000000"/>
                <w:sz w:val="20"/>
              </w:rPr>
              <w:t>AT001TUR00013*</w:t>
            </w:r>
          </w:p>
        </w:tc>
        <w:tc>
          <w:tcPr>
            <w:tcW w:w="1180" w:type="pct"/>
            <w:tcBorders>
              <w:top w:val="nil"/>
              <w:left w:val="nil"/>
              <w:right w:val="nil"/>
            </w:tcBorders>
            <w:noWrap/>
            <w:vAlign w:val="bottom"/>
            <w:hideMark/>
          </w:tcPr>
          <w:p w14:paraId="6C0105D6" w14:textId="77777777" w:rsidR="00337865" w:rsidRDefault="00337865" w:rsidP="00F36743">
            <w:pPr>
              <w:jc w:val="center"/>
              <w:rPr>
                <w:rFonts w:ascii="Cambria" w:hAnsi="Cambria"/>
                <w:color w:val="000000"/>
                <w:sz w:val="20"/>
                <w:szCs w:val="20"/>
              </w:rPr>
            </w:pPr>
            <w:r>
              <w:rPr>
                <w:rFonts w:ascii="Cambria" w:hAnsi="Cambria"/>
                <w:color w:val="000000"/>
                <w:sz w:val="20"/>
              </w:rPr>
              <w:t>AT001TUR00013*</w:t>
            </w:r>
          </w:p>
        </w:tc>
        <w:tc>
          <w:tcPr>
            <w:tcW w:w="1181" w:type="pct"/>
            <w:tcBorders>
              <w:top w:val="nil"/>
              <w:left w:val="nil"/>
              <w:right w:val="nil"/>
            </w:tcBorders>
            <w:noWrap/>
            <w:vAlign w:val="bottom"/>
            <w:hideMark/>
          </w:tcPr>
          <w:p w14:paraId="7E49D5D4" w14:textId="77777777" w:rsidR="00337865" w:rsidRDefault="00337865" w:rsidP="00F36743">
            <w:pPr>
              <w:jc w:val="center"/>
              <w:rPr>
                <w:rFonts w:ascii="Cambria" w:hAnsi="Cambria"/>
                <w:color w:val="000000"/>
                <w:sz w:val="20"/>
                <w:szCs w:val="20"/>
              </w:rPr>
            </w:pPr>
            <w:r>
              <w:rPr>
                <w:rFonts w:ascii="Cambria" w:hAnsi="Cambria"/>
                <w:color w:val="000000"/>
                <w:sz w:val="20"/>
              </w:rPr>
              <w:t>AT001TUR00013*</w:t>
            </w:r>
          </w:p>
        </w:tc>
      </w:tr>
      <w:tr w:rsidR="00337865" w14:paraId="2FE69E6C" w14:textId="77777777" w:rsidTr="009E60C4">
        <w:trPr>
          <w:trHeight w:val="240"/>
        </w:trPr>
        <w:tc>
          <w:tcPr>
            <w:tcW w:w="1374" w:type="pct"/>
            <w:tcBorders>
              <w:top w:val="nil"/>
              <w:left w:val="nil"/>
              <w:bottom w:val="single" w:sz="4" w:space="0" w:color="auto"/>
              <w:right w:val="nil"/>
            </w:tcBorders>
            <w:noWrap/>
            <w:vAlign w:val="bottom"/>
            <w:hideMark/>
          </w:tcPr>
          <w:p w14:paraId="34D00417" w14:textId="77777777" w:rsidR="00337865" w:rsidRDefault="00337865" w:rsidP="00F36743">
            <w:pPr>
              <w:rPr>
                <w:rFonts w:ascii="Cambria" w:hAnsi="Cambria"/>
                <w:color w:val="000000"/>
                <w:sz w:val="20"/>
                <w:szCs w:val="20"/>
              </w:rPr>
            </w:pPr>
            <w:r>
              <w:rPr>
                <w:rFonts w:ascii="Cambria" w:hAnsi="Cambria"/>
                <w:color w:val="000000"/>
                <w:sz w:val="20"/>
              </w:rPr>
              <w:t>Türkiye</w:t>
            </w:r>
          </w:p>
        </w:tc>
        <w:tc>
          <w:tcPr>
            <w:tcW w:w="1265" w:type="pct"/>
            <w:tcBorders>
              <w:top w:val="nil"/>
              <w:left w:val="nil"/>
              <w:bottom w:val="single" w:sz="4" w:space="0" w:color="auto"/>
              <w:right w:val="nil"/>
            </w:tcBorders>
            <w:noWrap/>
            <w:vAlign w:val="bottom"/>
            <w:hideMark/>
          </w:tcPr>
          <w:p w14:paraId="2B39C6CA" w14:textId="77777777" w:rsidR="00337865" w:rsidRDefault="00337865" w:rsidP="00F36743">
            <w:pPr>
              <w:jc w:val="center"/>
              <w:rPr>
                <w:rFonts w:ascii="Cambria" w:hAnsi="Cambria"/>
                <w:color w:val="000000"/>
                <w:sz w:val="20"/>
                <w:szCs w:val="20"/>
              </w:rPr>
            </w:pPr>
            <w:r>
              <w:rPr>
                <w:rFonts w:ascii="Cambria" w:hAnsi="Cambria"/>
                <w:color w:val="000000"/>
                <w:sz w:val="20"/>
              </w:rPr>
              <w:t>AT001TUR00014</w:t>
            </w:r>
          </w:p>
        </w:tc>
        <w:tc>
          <w:tcPr>
            <w:tcW w:w="1180" w:type="pct"/>
            <w:tcBorders>
              <w:top w:val="nil"/>
              <w:left w:val="nil"/>
              <w:bottom w:val="single" w:sz="4" w:space="0" w:color="auto"/>
              <w:right w:val="nil"/>
            </w:tcBorders>
            <w:noWrap/>
            <w:vAlign w:val="bottom"/>
            <w:hideMark/>
          </w:tcPr>
          <w:p w14:paraId="628C0474" w14:textId="77777777" w:rsidR="00337865" w:rsidRDefault="00337865" w:rsidP="00F36743">
            <w:pPr>
              <w:jc w:val="center"/>
              <w:rPr>
                <w:rFonts w:ascii="Cambria" w:hAnsi="Cambria"/>
                <w:color w:val="000000"/>
                <w:sz w:val="20"/>
                <w:szCs w:val="20"/>
              </w:rPr>
            </w:pPr>
            <w:r>
              <w:rPr>
                <w:rFonts w:ascii="Cambria" w:hAnsi="Cambria"/>
                <w:color w:val="000000"/>
                <w:sz w:val="20"/>
              </w:rPr>
              <w:t>AT001TUR00014</w:t>
            </w:r>
          </w:p>
        </w:tc>
        <w:tc>
          <w:tcPr>
            <w:tcW w:w="1181" w:type="pct"/>
            <w:tcBorders>
              <w:top w:val="nil"/>
              <w:left w:val="nil"/>
              <w:bottom w:val="single" w:sz="4" w:space="0" w:color="auto"/>
              <w:right w:val="nil"/>
            </w:tcBorders>
            <w:noWrap/>
            <w:vAlign w:val="bottom"/>
            <w:hideMark/>
          </w:tcPr>
          <w:p w14:paraId="3093C483" w14:textId="77777777" w:rsidR="00337865" w:rsidRDefault="00337865" w:rsidP="00F36743">
            <w:pPr>
              <w:jc w:val="center"/>
              <w:rPr>
                <w:rFonts w:ascii="Cambria" w:hAnsi="Cambria"/>
                <w:color w:val="000000"/>
                <w:sz w:val="20"/>
                <w:szCs w:val="20"/>
              </w:rPr>
            </w:pPr>
            <w:r>
              <w:rPr>
                <w:rFonts w:ascii="Cambria" w:hAnsi="Cambria"/>
                <w:color w:val="000000"/>
                <w:sz w:val="20"/>
              </w:rPr>
              <w:t>AT001TUR00014</w:t>
            </w:r>
          </w:p>
        </w:tc>
      </w:tr>
      <w:tr w:rsidR="00D3469D" w14:paraId="4B2143D3" w14:textId="77777777" w:rsidTr="00C75467">
        <w:trPr>
          <w:trHeight w:val="288"/>
        </w:trPr>
        <w:tc>
          <w:tcPr>
            <w:tcW w:w="5000" w:type="pct"/>
            <w:gridSpan w:val="4"/>
            <w:tcBorders>
              <w:top w:val="single" w:sz="4" w:space="0" w:color="auto"/>
              <w:left w:val="nil"/>
              <w:bottom w:val="nil"/>
              <w:right w:val="nil"/>
            </w:tcBorders>
            <w:noWrap/>
            <w:vAlign w:val="bottom"/>
            <w:hideMark/>
          </w:tcPr>
          <w:p w14:paraId="5B8652BF" w14:textId="585EF2AA" w:rsidR="00D3469D" w:rsidRPr="00B66F43" w:rsidRDefault="00D3469D" w:rsidP="00F36743">
            <w:pPr>
              <w:rPr>
                <w:sz w:val="16"/>
                <w:szCs w:val="16"/>
              </w:rPr>
            </w:pPr>
            <w:r w:rsidRPr="00B66F43">
              <w:rPr>
                <w:rFonts w:ascii="Cambria" w:hAnsi="Cambria"/>
                <w:color w:val="000000"/>
                <w:sz w:val="16"/>
                <w:szCs w:val="16"/>
              </w:rPr>
              <w:t>*Cela représente une ferme avec trois licences.</w:t>
            </w:r>
          </w:p>
        </w:tc>
      </w:tr>
    </w:tbl>
    <w:p w14:paraId="54783A72" w14:textId="4D904550" w:rsidR="00013B36" w:rsidRPr="000E7778" w:rsidRDefault="00013B36" w:rsidP="00F36743">
      <w:pPr>
        <w:rPr>
          <w:rFonts w:ascii="Cambria" w:hAnsi="Cambria"/>
          <w:b/>
          <w:bCs/>
          <w:color w:val="000000"/>
          <w:sz w:val="20"/>
          <w:szCs w:val="20"/>
        </w:rPr>
      </w:pPr>
    </w:p>
    <w:p w14:paraId="7FD7788B" w14:textId="77777777" w:rsidR="00D3469D" w:rsidRPr="000E7778" w:rsidRDefault="00D3469D" w:rsidP="00F36743">
      <w:pPr>
        <w:rPr>
          <w:rFonts w:ascii="Cambria" w:hAnsi="Cambria"/>
          <w:b/>
          <w:bCs/>
          <w:color w:val="000000"/>
          <w:sz w:val="20"/>
          <w:szCs w:val="20"/>
        </w:rPr>
      </w:pPr>
    </w:p>
    <w:p w14:paraId="087F0EE6" w14:textId="77777777" w:rsidR="00D3469D" w:rsidRPr="000E7778" w:rsidRDefault="00D3469D" w:rsidP="00F36743">
      <w:pPr>
        <w:rPr>
          <w:rFonts w:ascii="Cambria" w:hAnsi="Cambria"/>
          <w:b/>
          <w:bCs/>
          <w:color w:val="000000"/>
          <w:sz w:val="20"/>
          <w:szCs w:val="20"/>
        </w:rPr>
      </w:pPr>
    </w:p>
    <w:p w14:paraId="0DC80D2C" w14:textId="77777777" w:rsidR="009E60C4" w:rsidRDefault="009E60C4">
      <w:pPr>
        <w:rPr>
          <w:rFonts w:ascii="Cambria" w:hAnsi="Cambria"/>
          <w:b/>
          <w:bCs/>
          <w:color w:val="000000"/>
          <w:sz w:val="20"/>
          <w:szCs w:val="20"/>
        </w:rPr>
      </w:pPr>
      <w:r>
        <w:br w:type="page"/>
      </w:r>
    </w:p>
    <w:p w14:paraId="5C7B2048" w14:textId="1DDBA14F" w:rsidR="007B29C8" w:rsidRPr="00D15906" w:rsidRDefault="007B29C8" w:rsidP="00F36743">
      <w:pPr>
        <w:rPr>
          <w:rFonts w:ascii="Cambria" w:hAnsi="Cambria"/>
          <w:bCs/>
          <w:color w:val="000000"/>
          <w:sz w:val="20"/>
          <w:szCs w:val="20"/>
        </w:rPr>
      </w:pPr>
      <w:r>
        <w:rPr>
          <w:rFonts w:ascii="Cambria" w:hAnsi="Cambria"/>
          <w:b/>
          <w:color w:val="000000"/>
          <w:sz w:val="20"/>
        </w:rPr>
        <w:t xml:space="preserve">Tableau 4.  </w:t>
      </w:r>
      <w:r>
        <w:rPr>
          <w:rFonts w:ascii="Cambria" w:hAnsi="Cambria"/>
          <w:color w:val="000000"/>
          <w:sz w:val="20"/>
        </w:rPr>
        <w:t>Madragues observées dans le cadre du Programme régional d’observateurs de l'ICCAT en 2023-2025.</w:t>
      </w:r>
    </w:p>
    <w:p w14:paraId="7A924318" w14:textId="77777777" w:rsidR="00E178BD" w:rsidRPr="000E7778" w:rsidRDefault="00E178BD" w:rsidP="00F36743">
      <w:pPr>
        <w:rPr>
          <w:rFonts w:ascii="Cambria" w:hAnsi="Cambria"/>
          <w:bCs/>
          <w:color w:val="000000"/>
          <w:sz w:val="20"/>
          <w:szCs w:val="20"/>
        </w:rPr>
      </w:pPr>
    </w:p>
    <w:tbl>
      <w:tblPr>
        <w:tblW w:w="5000" w:type="pct"/>
        <w:tblLook w:val="04A0" w:firstRow="1" w:lastRow="0" w:firstColumn="1" w:lastColumn="0" w:noHBand="0" w:noVBand="1"/>
      </w:tblPr>
      <w:tblGrid>
        <w:gridCol w:w="1711"/>
        <w:gridCol w:w="2298"/>
        <w:gridCol w:w="2298"/>
        <w:gridCol w:w="2763"/>
      </w:tblGrid>
      <w:tr w:rsidR="00337865" w14:paraId="442533D2" w14:textId="77777777" w:rsidTr="00C75467">
        <w:trPr>
          <w:trHeight w:val="288"/>
        </w:trPr>
        <w:tc>
          <w:tcPr>
            <w:tcW w:w="943" w:type="pct"/>
            <w:tcBorders>
              <w:top w:val="single" w:sz="4" w:space="0" w:color="auto"/>
              <w:bottom w:val="single" w:sz="4" w:space="0" w:color="auto"/>
            </w:tcBorders>
            <w:noWrap/>
            <w:vAlign w:val="center"/>
            <w:hideMark/>
          </w:tcPr>
          <w:p w14:paraId="3E6860AB" w14:textId="77777777" w:rsidR="00337865" w:rsidRPr="00C75467" w:rsidRDefault="00337865" w:rsidP="00F36743">
            <w:pPr>
              <w:rPr>
                <w:rFonts w:ascii="Cambria" w:hAnsi="Cambria"/>
                <w:b/>
                <w:bCs/>
                <w:i/>
                <w:iCs/>
                <w:color w:val="000000"/>
                <w:sz w:val="20"/>
                <w:szCs w:val="20"/>
              </w:rPr>
            </w:pPr>
            <w:r>
              <w:rPr>
                <w:rFonts w:ascii="Cambria" w:hAnsi="Cambria"/>
                <w:b/>
                <w:i/>
                <w:color w:val="000000"/>
                <w:sz w:val="20"/>
              </w:rPr>
              <w:t>CPC</w:t>
            </w:r>
          </w:p>
        </w:tc>
        <w:tc>
          <w:tcPr>
            <w:tcW w:w="1267" w:type="pct"/>
            <w:tcBorders>
              <w:top w:val="single" w:sz="4" w:space="0" w:color="auto"/>
              <w:bottom w:val="single" w:sz="4" w:space="0" w:color="auto"/>
            </w:tcBorders>
            <w:noWrap/>
            <w:vAlign w:val="center"/>
            <w:hideMark/>
          </w:tcPr>
          <w:p w14:paraId="455144AE" w14:textId="77777777" w:rsidR="00337865" w:rsidRPr="00C75467" w:rsidRDefault="00337865" w:rsidP="00F36743">
            <w:pPr>
              <w:jc w:val="center"/>
              <w:rPr>
                <w:rFonts w:ascii="Cambria" w:hAnsi="Cambria"/>
                <w:b/>
                <w:bCs/>
                <w:i/>
                <w:iCs/>
                <w:color w:val="000000"/>
                <w:sz w:val="20"/>
                <w:szCs w:val="20"/>
              </w:rPr>
            </w:pPr>
            <w:r>
              <w:rPr>
                <w:rFonts w:ascii="Cambria" w:hAnsi="Cambria"/>
                <w:b/>
                <w:i/>
                <w:color w:val="000000"/>
                <w:sz w:val="20"/>
              </w:rPr>
              <w:t>2023</w:t>
            </w:r>
          </w:p>
        </w:tc>
        <w:tc>
          <w:tcPr>
            <w:tcW w:w="1267" w:type="pct"/>
            <w:tcBorders>
              <w:top w:val="single" w:sz="4" w:space="0" w:color="auto"/>
              <w:bottom w:val="single" w:sz="4" w:space="0" w:color="auto"/>
            </w:tcBorders>
            <w:noWrap/>
            <w:vAlign w:val="center"/>
            <w:hideMark/>
          </w:tcPr>
          <w:p w14:paraId="59C4A8C4" w14:textId="77777777" w:rsidR="00337865" w:rsidRPr="00C75467" w:rsidRDefault="00337865" w:rsidP="00F36743">
            <w:pPr>
              <w:jc w:val="center"/>
              <w:rPr>
                <w:rFonts w:ascii="Cambria" w:hAnsi="Cambria"/>
                <w:b/>
                <w:bCs/>
                <w:i/>
                <w:iCs/>
                <w:color w:val="000000"/>
                <w:sz w:val="20"/>
                <w:szCs w:val="20"/>
              </w:rPr>
            </w:pPr>
            <w:r>
              <w:rPr>
                <w:rFonts w:ascii="Cambria" w:hAnsi="Cambria"/>
                <w:b/>
                <w:i/>
                <w:color w:val="000000"/>
                <w:sz w:val="20"/>
              </w:rPr>
              <w:t>2024</w:t>
            </w:r>
          </w:p>
        </w:tc>
        <w:tc>
          <w:tcPr>
            <w:tcW w:w="1523" w:type="pct"/>
            <w:tcBorders>
              <w:top w:val="single" w:sz="4" w:space="0" w:color="auto"/>
              <w:bottom w:val="single" w:sz="4" w:space="0" w:color="auto"/>
            </w:tcBorders>
            <w:noWrap/>
            <w:vAlign w:val="center"/>
            <w:hideMark/>
          </w:tcPr>
          <w:p w14:paraId="688B5412" w14:textId="77777777" w:rsidR="00337865" w:rsidRPr="00C75467" w:rsidRDefault="00337865" w:rsidP="00F36743">
            <w:pPr>
              <w:jc w:val="center"/>
              <w:rPr>
                <w:rFonts w:ascii="Cambria" w:hAnsi="Cambria"/>
                <w:b/>
                <w:bCs/>
                <w:i/>
                <w:iCs/>
                <w:color w:val="000000"/>
                <w:sz w:val="20"/>
                <w:szCs w:val="20"/>
              </w:rPr>
            </w:pPr>
            <w:r>
              <w:rPr>
                <w:rFonts w:ascii="Cambria" w:hAnsi="Cambria"/>
                <w:b/>
                <w:i/>
                <w:color w:val="000000"/>
                <w:sz w:val="20"/>
              </w:rPr>
              <w:t>2025</w:t>
            </w:r>
          </w:p>
        </w:tc>
      </w:tr>
      <w:tr w:rsidR="00337865" w14:paraId="3392F98E" w14:textId="77777777" w:rsidTr="00C75467">
        <w:trPr>
          <w:trHeight w:val="288"/>
        </w:trPr>
        <w:tc>
          <w:tcPr>
            <w:tcW w:w="943" w:type="pct"/>
            <w:tcBorders>
              <w:top w:val="single" w:sz="4" w:space="0" w:color="auto"/>
            </w:tcBorders>
            <w:noWrap/>
            <w:vAlign w:val="bottom"/>
            <w:hideMark/>
          </w:tcPr>
          <w:p w14:paraId="6241CDBD" w14:textId="77777777" w:rsidR="00337865" w:rsidRDefault="00337865" w:rsidP="00F36743">
            <w:pPr>
              <w:rPr>
                <w:rFonts w:ascii="Cambria" w:hAnsi="Cambria"/>
                <w:color w:val="000000"/>
                <w:sz w:val="20"/>
                <w:szCs w:val="20"/>
              </w:rPr>
            </w:pPr>
            <w:r>
              <w:rPr>
                <w:rFonts w:ascii="Cambria" w:hAnsi="Cambria"/>
                <w:color w:val="000000"/>
                <w:sz w:val="20"/>
              </w:rPr>
              <w:t>UE-Italie</w:t>
            </w:r>
          </w:p>
        </w:tc>
        <w:tc>
          <w:tcPr>
            <w:tcW w:w="1267" w:type="pct"/>
            <w:tcBorders>
              <w:top w:val="single" w:sz="4" w:space="0" w:color="auto"/>
            </w:tcBorders>
            <w:noWrap/>
            <w:vAlign w:val="bottom"/>
            <w:hideMark/>
          </w:tcPr>
          <w:p w14:paraId="117EAC52" w14:textId="77777777" w:rsidR="00337865" w:rsidRDefault="00337865" w:rsidP="00F36743">
            <w:pPr>
              <w:jc w:val="center"/>
              <w:rPr>
                <w:rFonts w:ascii="Cambria" w:hAnsi="Cambria"/>
                <w:color w:val="000000"/>
                <w:sz w:val="20"/>
                <w:szCs w:val="20"/>
              </w:rPr>
            </w:pPr>
            <w:r>
              <w:rPr>
                <w:rFonts w:ascii="Cambria" w:hAnsi="Cambria"/>
                <w:color w:val="000000"/>
                <w:sz w:val="20"/>
              </w:rPr>
              <w:t>ATEU2ITA00003</w:t>
            </w:r>
          </w:p>
        </w:tc>
        <w:tc>
          <w:tcPr>
            <w:tcW w:w="1267" w:type="pct"/>
            <w:tcBorders>
              <w:top w:val="single" w:sz="4" w:space="0" w:color="auto"/>
            </w:tcBorders>
            <w:noWrap/>
            <w:vAlign w:val="bottom"/>
            <w:hideMark/>
          </w:tcPr>
          <w:p w14:paraId="43A58567" w14:textId="77777777" w:rsidR="00337865" w:rsidRDefault="00337865" w:rsidP="00F36743">
            <w:pPr>
              <w:jc w:val="center"/>
              <w:rPr>
                <w:rFonts w:ascii="Cambria" w:hAnsi="Cambria"/>
                <w:color w:val="000000"/>
                <w:sz w:val="20"/>
                <w:szCs w:val="20"/>
              </w:rPr>
            </w:pPr>
            <w:r>
              <w:rPr>
                <w:rFonts w:ascii="Cambria" w:hAnsi="Cambria"/>
                <w:color w:val="000000"/>
                <w:sz w:val="20"/>
              </w:rPr>
              <w:t>ATEU2ITA00003</w:t>
            </w:r>
          </w:p>
        </w:tc>
        <w:tc>
          <w:tcPr>
            <w:tcW w:w="1523" w:type="pct"/>
            <w:tcBorders>
              <w:top w:val="single" w:sz="4" w:space="0" w:color="auto"/>
            </w:tcBorders>
            <w:noWrap/>
            <w:vAlign w:val="bottom"/>
            <w:hideMark/>
          </w:tcPr>
          <w:p w14:paraId="3FFBA26D" w14:textId="13C3ADD1" w:rsidR="00337865" w:rsidRDefault="00337865" w:rsidP="00F36743">
            <w:pPr>
              <w:jc w:val="center"/>
              <w:rPr>
                <w:rFonts w:ascii="Cambria" w:hAnsi="Cambria"/>
                <w:color w:val="000000"/>
                <w:sz w:val="20"/>
                <w:szCs w:val="20"/>
              </w:rPr>
            </w:pPr>
          </w:p>
        </w:tc>
      </w:tr>
      <w:tr w:rsidR="00337865" w14:paraId="7CDA8986" w14:textId="77777777" w:rsidTr="00C75467">
        <w:trPr>
          <w:trHeight w:val="288"/>
        </w:trPr>
        <w:tc>
          <w:tcPr>
            <w:tcW w:w="943" w:type="pct"/>
            <w:noWrap/>
            <w:vAlign w:val="bottom"/>
            <w:hideMark/>
          </w:tcPr>
          <w:p w14:paraId="287C7AC7" w14:textId="77777777" w:rsidR="00337865" w:rsidRDefault="00337865" w:rsidP="00F36743">
            <w:pPr>
              <w:rPr>
                <w:rFonts w:ascii="Cambria" w:hAnsi="Cambria"/>
                <w:color w:val="000000"/>
                <w:sz w:val="20"/>
                <w:szCs w:val="20"/>
              </w:rPr>
            </w:pPr>
            <w:r>
              <w:rPr>
                <w:rFonts w:ascii="Cambria" w:hAnsi="Cambria"/>
                <w:color w:val="000000"/>
                <w:sz w:val="20"/>
              </w:rPr>
              <w:t>UE-Italie</w:t>
            </w:r>
          </w:p>
        </w:tc>
        <w:tc>
          <w:tcPr>
            <w:tcW w:w="1267" w:type="pct"/>
            <w:noWrap/>
            <w:vAlign w:val="bottom"/>
            <w:hideMark/>
          </w:tcPr>
          <w:p w14:paraId="4A7EF4FE" w14:textId="77777777" w:rsidR="00337865" w:rsidRDefault="00337865" w:rsidP="00F36743">
            <w:pPr>
              <w:jc w:val="center"/>
              <w:rPr>
                <w:rFonts w:ascii="Cambria" w:hAnsi="Cambria"/>
                <w:color w:val="000000"/>
                <w:sz w:val="20"/>
                <w:szCs w:val="20"/>
              </w:rPr>
            </w:pPr>
            <w:r>
              <w:rPr>
                <w:rFonts w:ascii="Cambria" w:hAnsi="Cambria"/>
                <w:color w:val="000000"/>
                <w:sz w:val="20"/>
              </w:rPr>
              <w:t>ATEU2ITA00008</w:t>
            </w:r>
          </w:p>
        </w:tc>
        <w:tc>
          <w:tcPr>
            <w:tcW w:w="1267" w:type="pct"/>
            <w:noWrap/>
            <w:vAlign w:val="bottom"/>
            <w:hideMark/>
          </w:tcPr>
          <w:p w14:paraId="03897FCE" w14:textId="54EFF9D3" w:rsidR="00337865" w:rsidRDefault="00337865" w:rsidP="00F36743">
            <w:pPr>
              <w:jc w:val="center"/>
              <w:rPr>
                <w:rFonts w:ascii="Cambria" w:hAnsi="Cambria"/>
                <w:color w:val="000000"/>
                <w:sz w:val="20"/>
                <w:szCs w:val="20"/>
              </w:rPr>
            </w:pPr>
          </w:p>
        </w:tc>
        <w:tc>
          <w:tcPr>
            <w:tcW w:w="1523" w:type="pct"/>
            <w:noWrap/>
            <w:vAlign w:val="bottom"/>
            <w:hideMark/>
          </w:tcPr>
          <w:p w14:paraId="4CF8B8E8" w14:textId="154FF7C2" w:rsidR="00337865" w:rsidRDefault="00337865" w:rsidP="00F36743">
            <w:pPr>
              <w:jc w:val="center"/>
              <w:rPr>
                <w:rFonts w:ascii="Cambria" w:hAnsi="Cambria"/>
                <w:color w:val="000000"/>
                <w:sz w:val="20"/>
                <w:szCs w:val="20"/>
              </w:rPr>
            </w:pPr>
          </w:p>
        </w:tc>
      </w:tr>
      <w:tr w:rsidR="00337865" w14:paraId="4D2E14AD" w14:textId="77777777" w:rsidTr="00C75467">
        <w:trPr>
          <w:trHeight w:val="288"/>
        </w:trPr>
        <w:tc>
          <w:tcPr>
            <w:tcW w:w="943" w:type="pct"/>
            <w:noWrap/>
            <w:vAlign w:val="bottom"/>
            <w:hideMark/>
          </w:tcPr>
          <w:p w14:paraId="66DAD370" w14:textId="77777777" w:rsidR="00337865" w:rsidRDefault="00337865" w:rsidP="00F36743">
            <w:pPr>
              <w:rPr>
                <w:rFonts w:ascii="Cambria" w:hAnsi="Cambria"/>
                <w:color w:val="000000"/>
                <w:sz w:val="20"/>
                <w:szCs w:val="20"/>
              </w:rPr>
            </w:pPr>
            <w:r>
              <w:rPr>
                <w:rFonts w:ascii="Cambria" w:hAnsi="Cambria"/>
                <w:color w:val="000000"/>
                <w:sz w:val="20"/>
              </w:rPr>
              <w:t>UE-Italie</w:t>
            </w:r>
          </w:p>
        </w:tc>
        <w:tc>
          <w:tcPr>
            <w:tcW w:w="1267" w:type="pct"/>
            <w:noWrap/>
            <w:vAlign w:val="bottom"/>
            <w:hideMark/>
          </w:tcPr>
          <w:p w14:paraId="73EE4FF8" w14:textId="77777777" w:rsidR="00337865" w:rsidRDefault="00337865" w:rsidP="00F36743">
            <w:pPr>
              <w:jc w:val="center"/>
              <w:rPr>
                <w:rFonts w:ascii="Cambria" w:hAnsi="Cambria"/>
                <w:color w:val="000000"/>
                <w:sz w:val="20"/>
                <w:szCs w:val="20"/>
              </w:rPr>
            </w:pPr>
            <w:r>
              <w:rPr>
                <w:rFonts w:ascii="Cambria" w:hAnsi="Cambria"/>
                <w:color w:val="000000"/>
                <w:sz w:val="20"/>
              </w:rPr>
              <w:t>ATEU2ITA00009</w:t>
            </w:r>
          </w:p>
        </w:tc>
        <w:tc>
          <w:tcPr>
            <w:tcW w:w="1267" w:type="pct"/>
            <w:noWrap/>
            <w:vAlign w:val="bottom"/>
            <w:hideMark/>
          </w:tcPr>
          <w:p w14:paraId="187EC698" w14:textId="77777777" w:rsidR="00337865" w:rsidRDefault="00337865" w:rsidP="00F36743">
            <w:pPr>
              <w:jc w:val="center"/>
              <w:rPr>
                <w:rFonts w:ascii="Cambria" w:hAnsi="Cambria"/>
                <w:color w:val="000000"/>
                <w:sz w:val="20"/>
                <w:szCs w:val="20"/>
              </w:rPr>
            </w:pPr>
            <w:r>
              <w:rPr>
                <w:rFonts w:ascii="Cambria" w:hAnsi="Cambria"/>
                <w:color w:val="000000"/>
                <w:sz w:val="20"/>
              </w:rPr>
              <w:t>ATEU2ITA00009</w:t>
            </w:r>
          </w:p>
        </w:tc>
        <w:tc>
          <w:tcPr>
            <w:tcW w:w="1523" w:type="pct"/>
            <w:noWrap/>
            <w:vAlign w:val="bottom"/>
            <w:hideMark/>
          </w:tcPr>
          <w:p w14:paraId="52958577" w14:textId="37E09ABA" w:rsidR="00337865" w:rsidRDefault="00337865" w:rsidP="00F36743">
            <w:pPr>
              <w:jc w:val="center"/>
              <w:rPr>
                <w:rFonts w:ascii="Cambria" w:hAnsi="Cambria"/>
                <w:color w:val="000000"/>
                <w:sz w:val="20"/>
                <w:szCs w:val="20"/>
              </w:rPr>
            </w:pPr>
          </w:p>
        </w:tc>
      </w:tr>
      <w:tr w:rsidR="00337865" w14:paraId="7D151CF0" w14:textId="77777777" w:rsidTr="00C75467">
        <w:trPr>
          <w:trHeight w:val="288"/>
        </w:trPr>
        <w:tc>
          <w:tcPr>
            <w:tcW w:w="943" w:type="pct"/>
            <w:noWrap/>
            <w:vAlign w:val="bottom"/>
            <w:hideMark/>
          </w:tcPr>
          <w:p w14:paraId="7BDC00A5" w14:textId="77777777" w:rsidR="00337865" w:rsidRDefault="00337865" w:rsidP="00F36743">
            <w:pPr>
              <w:rPr>
                <w:rFonts w:ascii="Cambria" w:hAnsi="Cambria"/>
                <w:color w:val="000000"/>
                <w:sz w:val="20"/>
                <w:szCs w:val="20"/>
              </w:rPr>
            </w:pPr>
            <w:r>
              <w:rPr>
                <w:rFonts w:ascii="Cambria" w:hAnsi="Cambria"/>
                <w:color w:val="000000"/>
                <w:sz w:val="20"/>
              </w:rPr>
              <w:t>UE-Portugal</w:t>
            </w:r>
          </w:p>
        </w:tc>
        <w:tc>
          <w:tcPr>
            <w:tcW w:w="1267" w:type="pct"/>
            <w:noWrap/>
            <w:vAlign w:val="bottom"/>
            <w:hideMark/>
          </w:tcPr>
          <w:p w14:paraId="4211A4F0" w14:textId="77777777" w:rsidR="00337865" w:rsidRDefault="00337865" w:rsidP="00F36743">
            <w:pPr>
              <w:jc w:val="center"/>
              <w:rPr>
                <w:rFonts w:ascii="Cambria" w:hAnsi="Cambria"/>
                <w:color w:val="000000"/>
                <w:sz w:val="20"/>
                <w:szCs w:val="20"/>
              </w:rPr>
            </w:pPr>
            <w:r>
              <w:rPr>
                <w:rFonts w:ascii="Cambria" w:hAnsi="Cambria"/>
                <w:color w:val="000000"/>
                <w:sz w:val="20"/>
              </w:rPr>
              <w:t>ATEU2PRT00001</w:t>
            </w:r>
          </w:p>
        </w:tc>
        <w:tc>
          <w:tcPr>
            <w:tcW w:w="1267" w:type="pct"/>
            <w:noWrap/>
            <w:vAlign w:val="bottom"/>
            <w:hideMark/>
          </w:tcPr>
          <w:p w14:paraId="39F173B7" w14:textId="77777777" w:rsidR="00337865" w:rsidRDefault="00337865" w:rsidP="00F36743">
            <w:pPr>
              <w:jc w:val="center"/>
              <w:rPr>
                <w:rFonts w:ascii="Cambria" w:hAnsi="Cambria"/>
                <w:color w:val="000000"/>
                <w:sz w:val="20"/>
                <w:szCs w:val="20"/>
              </w:rPr>
            </w:pPr>
            <w:r>
              <w:rPr>
                <w:rFonts w:ascii="Cambria" w:hAnsi="Cambria"/>
                <w:color w:val="000000"/>
                <w:sz w:val="20"/>
              </w:rPr>
              <w:t>ATEU2PRT00001</w:t>
            </w:r>
          </w:p>
        </w:tc>
        <w:tc>
          <w:tcPr>
            <w:tcW w:w="1523" w:type="pct"/>
            <w:noWrap/>
            <w:vAlign w:val="bottom"/>
            <w:hideMark/>
          </w:tcPr>
          <w:p w14:paraId="7EF0F5DD" w14:textId="77777777" w:rsidR="00337865" w:rsidRDefault="00337865" w:rsidP="00F36743">
            <w:pPr>
              <w:jc w:val="center"/>
              <w:rPr>
                <w:rFonts w:ascii="Cambria" w:hAnsi="Cambria"/>
                <w:color w:val="000000"/>
                <w:sz w:val="20"/>
                <w:szCs w:val="20"/>
              </w:rPr>
            </w:pPr>
            <w:r>
              <w:rPr>
                <w:rFonts w:ascii="Cambria" w:hAnsi="Cambria"/>
                <w:color w:val="000000"/>
                <w:sz w:val="20"/>
              </w:rPr>
              <w:t>ATEU2PRT00001</w:t>
            </w:r>
          </w:p>
        </w:tc>
      </w:tr>
      <w:tr w:rsidR="00337865" w14:paraId="3D582C7B" w14:textId="77777777" w:rsidTr="00C75467">
        <w:trPr>
          <w:trHeight w:val="288"/>
        </w:trPr>
        <w:tc>
          <w:tcPr>
            <w:tcW w:w="943" w:type="pct"/>
            <w:noWrap/>
            <w:vAlign w:val="bottom"/>
            <w:hideMark/>
          </w:tcPr>
          <w:p w14:paraId="2E04148E" w14:textId="77777777" w:rsidR="00337865" w:rsidRDefault="00337865" w:rsidP="00F36743">
            <w:pPr>
              <w:rPr>
                <w:rFonts w:ascii="Cambria" w:hAnsi="Cambria"/>
                <w:color w:val="000000"/>
                <w:sz w:val="20"/>
                <w:szCs w:val="20"/>
              </w:rPr>
            </w:pPr>
            <w:r>
              <w:rPr>
                <w:rFonts w:ascii="Cambria" w:hAnsi="Cambria"/>
                <w:color w:val="000000"/>
                <w:sz w:val="20"/>
              </w:rPr>
              <w:t>UE-Portugal</w:t>
            </w:r>
          </w:p>
        </w:tc>
        <w:tc>
          <w:tcPr>
            <w:tcW w:w="1267" w:type="pct"/>
            <w:noWrap/>
            <w:vAlign w:val="bottom"/>
            <w:hideMark/>
          </w:tcPr>
          <w:p w14:paraId="6D955EAE" w14:textId="77777777" w:rsidR="00337865" w:rsidRDefault="00337865" w:rsidP="00F36743">
            <w:pPr>
              <w:jc w:val="center"/>
              <w:rPr>
                <w:rFonts w:ascii="Cambria" w:hAnsi="Cambria"/>
                <w:color w:val="000000"/>
                <w:sz w:val="20"/>
                <w:szCs w:val="20"/>
              </w:rPr>
            </w:pPr>
            <w:r>
              <w:rPr>
                <w:rFonts w:ascii="Cambria" w:hAnsi="Cambria"/>
                <w:color w:val="000000"/>
                <w:sz w:val="20"/>
              </w:rPr>
              <w:t>ATEU2PRT00002</w:t>
            </w:r>
          </w:p>
        </w:tc>
        <w:tc>
          <w:tcPr>
            <w:tcW w:w="1267" w:type="pct"/>
            <w:noWrap/>
            <w:vAlign w:val="bottom"/>
            <w:hideMark/>
          </w:tcPr>
          <w:p w14:paraId="165E23E9" w14:textId="77777777" w:rsidR="00337865" w:rsidRDefault="00337865" w:rsidP="00F36743">
            <w:pPr>
              <w:jc w:val="center"/>
              <w:rPr>
                <w:rFonts w:ascii="Cambria" w:hAnsi="Cambria"/>
                <w:color w:val="000000"/>
                <w:sz w:val="20"/>
                <w:szCs w:val="20"/>
              </w:rPr>
            </w:pPr>
            <w:r>
              <w:rPr>
                <w:rFonts w:ascii="Cambria" w:hAnsi="Cambria"/>
                <w:color w:val="000000"/>
                <w:sz w:val="20"/>
              </w:rPr>
              <w:t>ATEU2PRT00002</w:t>
            </w:r>
          </w:p>
        </w:tc>
        <w:tc>
          <w:tcPr>
            <w:tcW w:w="1523" w:type="pct"/>
            <w:noWrap/>
            <w:vAlign w:val="bottom"/>
            <w:hideMark/>
          </w:tcPr>
          <w:p w14:paraId="34946E4C" w14:textId="77777777" w:rsidR="00337865" w:rsidRDefault="00337865" w:rsidP="00F36743">
            <w:pPr>
              <w:jc w:val="center"/>
              <w:rPr>
                <w:rFonts w:ascii="Cambria" w:hAnsi="Cambria"/>
                <w:color w:val="000000"/>
                <w:sz w:val="20"/>
                <w:szCs w:val="20"/>
              </w:rPr>
            </w:pPr>
            <w:r>
              <w:rPr>
                <w:rFonts w:ascii="Cambria" w:hAnsi="Cambria"/>
                <w:color w:val="000000"/>
                <w:sz w:val="20"/>
              </w:rPr>
              <w:t>ATEU2PRT00002</w:t>
            </w:r>
          </w:p>
        </w:tc>
      </w:tr>
      <w:tr w:rsidR="00337865" w14:paraId="4BCFBC2C" w14:textId="77777777" w:rsidTr="00C75467">
        <w:trPr>
          <w:trHeight w:val="288"/>
        </w:trPr>
        <w:tc>
          <w:tcPr>
            <w:tcW w:w="943" w:type="pct"/>
            <w:noWrap/>
            <w:vAlign w:val="bottom"/>
            <w:hideMark/>
          </w:tcPr>
          <w:p w14:paraId="7AAF4079" w14:textId="77777777" w:rsidR="00337865" w:rsidRDefault="00337865" w:rsidP="00F36743">
            <w:pPr>
              <w:rPr>
                <w:rFonts w:ascii="Cambria" w:hAnsi="Cambria"/>
                <w:color w:val="000000"/>
                <w:sz w:val="20"/>
                <w:szCs w:val="20"/>
              </w:rPr>
            </w:pPr>
            <w:r>
              <w:rPr>
                <w:rFonts w:ascii="Cambria" w:hAnsi="Cambria"/>
                <w:color w:val="000000"/>
                <w:sz w:val="20"/>
              </w:rPr>
              <w:t>Maroc</w:t>
            </w:r>
          </w:p>
        </w:tc>
        <w:tc>
          <w:tcPr>
            <w:tcW w:w="1267" w:type="pct"/>
            <w:noWrap/>
            <w:vAlign w:val="bottom"/>
            <w:hideMark/>
          </w:tcPr>
          <w:p w14:paraId="30496156" w14:textId="77777777" w:rsidR="00337865" w:rsidRDefault="00337865" w:rsidP="00F36743">
            <w:pPr>
              <w:jc w:val="center"/>
              <w:rPr>
                <w:rFonts w:ascii="Cambria" w:hAnsi="Cambria"/>
                <w:color w:val="000000"/>
                <w:sz w:val="20"/>
                <w:szCs w:val="20"/>
              </w:rPr>
            </w:pPr>
            <w:r>
              <w:rPr>
                <w:rFonts w:ascii="Cambria" w:hAnsi="Cambria"/>
                <w:color w:val="000000"/>
                <w:sz w:val="20"/>
              </w:rPr>
              <w:t>AT002MAR00001</w:t>
            </w:r>
          </w:p>
        </w:tc>
        <w:tc>
          <w:tcPr>
            <w:tcW w:w="1267" w:type="pct"/>
            <w:noWrap/>
            <w:vAlign w:val="bottom"/>
            <w:hideMark/>
          </w:tcPr>
          <w:p w14:paraId="0A27F1FE" w14:textId="77777777" w:rsidR="00337865" w:rsidRDefault="00337865" w:rsidP="00F36743">
            <w:pPr>
              <w:jc w:val="center"/>
              <w:rPr>
                <w:rFonts w:ascii="Cambria" w:hAnsi="Cambria"/>
                <w:color w:val="000000"/>
                <w:sz w:val="20"/>
                <w:szCs w:val="20"/>
              </w:rPr>
            </w:pPr>
            <w:r>
              <w:rPr>
                <w:rFonts w:ascii="Cambria" w:hAnsi="Cambria"/>
                <w:color w:val="000000"/>
                <w:sz w:val="20"/>
              </w:rPr>
              <w:t>AT002MAR00001</w:t>
            </w:r>
          </w:p>
        </w:tc>
        <w:tc>
          <w:tcPr>
            <w:tcW w:w="1523" w:type="pct"/>
            <w:noWrap/>
            <w:vAlign w:val="bottom"/>
            <w:hideMark/>
          </w:tcPr>
          <w:p w14:paraId="397B5745" w14:textId="77777777" w:rsidR="00337865" w:rsidRDefault="00337865" w:rsidP="00F36743">
            <w:pPr>
              <w:jc w:val="center"/>
              <w:rPr>
                <w:rFonts w:ascii="Cambria" w:hAnsi="Cambria"/>
                <w:color w:val="000000"/>
                <w:sz w:val="20"/>
                <w:szCs w:val="20"/>
              </w:rPr>
            </w:pPr>
            <w:r>
              <w:rPr>
                <w:rFonts w:ascii="Cambria" w:hAnsi="Cambria"/>
                <w:color w:val="000000"/>
                <w:sz w:val="20"/>
              </w:rPr>
              <w:t>AT002MAR00001</w:t>
            </w:r>
          </w:p>
        </w:tc>
      </w:tr>
      <w:tr w:rsidR="00337865" w14:paraId="30908232" w14:textId="77777777" w:rsidTr="00C75467">
        <w:trPr>
          <w:trHeight w:val="288"/>
        </w:trPr>
        <w:tc>
          <w:tcPr>
            <w:tcW w:w="943" w:type="pct"/>
            <w:noWrap/>
            <w:vAlign w:val="bottom"/>
            <w:hideMark/>
          </w:tcPr>
          <w:p w14:paraId="7B72B01C" w14:textId="77777777" w:rsidR="00337865" w:rsidRDefault="00337865" w:rsidP="00F36743">
            <w:pPr>
              <w:rPr>
                <w:rFonts w:ascii="Cambria" w:hAnsi="Cambria"/>
                <w:color w:val="000000"/>
                <w:sz w:val="20"/>
                <w:szCs w:val="20"/>
              </w:rPr>
            </w:pPr>
            <w:r>
              <w:rPr>
                <w:rFonts w:ascii="Cambria" w:hAnsi="Cambria"/>
                <w:color w:val="000000"/>
                <w:sz w:val="20"/>
              </w:rPr>
              <w:t>Maroc</w:t>
            </w:r>
          </w:p>
        </w:tc>
        <w:tc>
          <w:tcPr>
            <w:tcW w:w="1267" w:type="pct"/>
            <w:noWrap/>
            <w:vAlign w:val="bottom"/>
            <w:hideMark/>
          </w:tcPr>
          <w:p w14:paraId="79DB10FD" w14:textId="77777777" w:rsidR="00337865" w:rsidRDefault="00337865" w:rsidP="00F36743">
            <w:pPr>
              <w:jc w:val="center"/>
              <w:rPr>
                <w:rFonts w:ascii="Cambria" w:hAnsi="Cambria"/>
                <w:color w:val="000000"/>
                <w:sz w:val="20"/>
                <w:szCs w:val="20"/>
              </w:rPr>
            </w:pPr>
            <w:r>
              <w:rPr>
                <w:rFonts w:ascii="Cambria" w:hAnsi="Cambria"/>
                <w:color w:val="000000"/>
                <w:sz w:val="20"/>
              </w:rPr>
              <w:t>AT002MAR00002</w:t>
            </w:r>
          </w:p>
        </w:tc>
        <w:tc>
          <w:tcPr>
            <w:tcW w:w="1267" w:type="pct"/>
            <w:noWrap/>
            <w:vAlign w:val="bottom"/>
            <w:hideMark/>
          </w:tcPr>
          <w:p w14:paraId="6427ACA0" w14:textId="77777777" w:rsidR="00337865" w:rsidRDefault="00337865" w:rsidP="00F36743">
            <w:pPr>
              <w:jc w:val="center"/>
              <w:rPr>
                <w:rFonts w:ascii="Cambria" w:hAnsi="Cambria"/>
                <w:color w:val="000000"/>
                <w:sz w:val="20"/>
                <w:szCs w:val="20"/>
              </w:rPr>
            </w:pPr>
            <w:r>
              <w:rPr>
                <w:rFonts w:ascii="Cambria" w:hAnsi="Cambria"/>
                <w:color w:val="000000"/>
                <w:sz w:val="20"/>
              </w:rPr>
              <w:t>AT002MAR00002</w:t>
            </w:r>
          </w:p>
        </w:tc>
        <w:tc>
          <w:tcPr>
            <w:tcW w:w="1523" w:type="pct"/>
            <w:noWrap/>
            <w:vAlign w:val="bottom"/>
            <w:hideMark/>
          </w:tcPr>
          <w:p w14:paraId="6116538F" w14:textId="77777777" w:rsidR="00337865" w:rsidRDefault="00337865" w:rsidP="00F36743">
            <w:pPr>
              <w:jc w:val="center"/>
              <w:rPr>
                <w:rFonts w:ascii="Cambria" w:hAnsi="Cambria"/>
                <w:color w:val="000000"/>
                <w:sz w:val="20"/>
                <w:szCs w:val="20"/>
              </w:rPr>
            </w:pPr>
            <w:r>
              <w:rPr>
                <w:rFonts w:ascii="Cambria" w:hAnsi="Cambria"/>
                <w:color w:val="000000"/>
                <w:sz w:val="20"/>
              </w:rPr>
              <w:t>AT002MAR00002</w:t>
            </w:r>
          </w:p>
        </w:tc>
      </w:tr>
      <w:tr w:rsidR="00337865" w14:paraId="3B308EC8" w14:textId="77777777" w:rsidTr="00C75467">
        <w:trPr>
          <w:trHeight w:val="288"/>
        </w:trPr>
        <w:tc>
          <w:tcPr>
            <w:tcW w:w="943" w:type="pct"/>
            <w:noWrap/>
            <w:vAlign w:val="bottom"/>
            <w:hideMark/>
          </w:tcPr>
          <w:p w14:paraId="32DF8B8F" w14:textId="77777777" w:rsidR="00337865" w:rsidRDefault="00337865" w:rsidP="00F36743">
            <w:pPr>
              <w:rPr>
                <w:rFonts w:ascii="Cambria" w:hAnsi="Cambria"/>
                <w:color w:val="000000"/>
                <w:sz w:val="20"/>
                <w:szCs w:val="20"/>
              </w:rPr>
            </w:pPr>
            <w:r>
              <w:rPr>
                <w:rFonts w:ascii="Cambria" w:hAnsi="Cambria"/>
                <w:color w:val="000000"/>
                <w:sz w:val="20"/>
              </w:rPr>
              <w:t>Maroc</w:t>
            </w:r>
          </w:p>
        </w:tc>
        <w:tc>
          <w:tcPr>
            <w:tcW w:w="1267" w:type="pct"/>
            <w:noWrap/>
            <w:vAlign w:val="bottom"/>
            <w:hideMark/>
          </w:tcPr>
          <w:p w14:paraId="44F9CD28" w14:textId="77777777" w:rsidR="00337865" w:rsidRDefault="00337865" w:rsidP="00F36743">
            <w:pPr>
              <w:jc w:val="center"/>
              <w:rPr>
                <w:rFonts w:ascii="Cambria" w:hAnsi="Cambria"/>
                <w:color w:val="000000"/>
                <w:sz w:val="20"/>
                <w:szCs w:val="20"/>
              </w:rPr>
            </w:pPr>
            <w:r>
              <w:rPr>
                <w:rFonts w:ascii="Cambria" w:hAnsi="Cambria"/>
                <w:color w:val="000000"/>
                <w:sz w:val="20"/>
              </w:rPr>
              <w:t>AT002MAR00003</w:t>
            </w:r>
          </w:p>
        </w:tc>
        <w:tc>
          <w:tcPr>
            <w:tcW w:w="1267" w:type="pct"/>
            <w:noWrap/>
            <w:vAlign w:val="bottom"/>
            <w:hideMark/>
          </w:tcPr>
          <w:p w14:paraId="3E405A10" w14:textId="77777777" w:rsidR="00337865" w:rsidRDefault="00337865" w:rsidP="00F36743">
            <w:pPr>
              <w:jc w:val="center"/>
              <w:rPr>
                <w:rFonts w:ascii="Cambria" w:hAnsi="Cambria"/>
                <w:color w:val="000000"/>
                <w:sz w:val="20"/>
                <w:szCs w:val="20"/>
              </w:rPr>
            </w:pPr>
            <w:r>
              <w:rPr>
                <w:rFonts w:ascii="Cambria" w:hAnsi="Cambria"/>
                <w:color w:val="000000"/>
                <w:sz w:val="20"/>
              </w:rPr>
              <w:t>AT002MAR00003</w:t>
            </w:r>
          </w:p>
        </w:tc>
        <w:tc>
          <w:tcPr>
            <w:tcW w:w="1523" w:type="pct"/>
            <w:noWrap/>
            <w:vAlign w:val="bottom"/>
            <w:hideMark/>
          </w:tcPr>
          <w:p w14:paraId="45CBEC2F" w14:textId="77777777" w:rsidR="00337865" w:rsidRDefault="00337865" w:rsidP="00F36743">
            <w:pPr>
              <w:jc w:val="center"/>
              <w:rPr>
                <w:rFonts w:ascii="Cambria" w:hAnsi="Cambria"/>
                <w:color w:val="000000"/>
                <w:sz w:val="20"/>
                <w:szCs w:val="20"/>
              </w:rPr>
            </w:pPr>
            <w:r>
              <w:rPr>
                <w:rFonts w:ascii="Cambria" w:hAnsi="Cambria"/>
                <w:color w:val="000000"/>
                <w:sz w:val="20"/>
              </w:rPr>
              <w:t>AT002MAR00003</w:t>
            </w:r>
          </w:p>
        </w:tc>
      </w:tr>
      <w:tr w:rsidR="00337865" w14:paraId="37ED865B" w14:textId="77777777" w:rsidTr="00C75467">
        <w:trPr>
          <w:trHeight w:val="288"/>
        </w:trPr>
        <w:tc>
          <w:tcPr>
            <w:tcW w:w="943" w:type="pct"/>
            <w:noWrap/>
            <w:vAlign w:val="bottom"/>
            <w:hideMark/>
          </w:tcPr>
          <w:p w14:paraId="50E261FA" w14:textId="77777777" w:rsidR="00337865" w:rsidRDefault="00337865" w:rsidP="00F36743">
            <w:pPr>
              <w:rPr>
                <w:rFonts w:ascii="Cambria" w:hAnsi="Cambria"/>
                <w:color w:val="000000"/>
                <w:sz w:val="20"/>
                <w:szCs w:val="20"/>
              </w:rPr>
            </w:pPr>
            <w:r>
              <w:rPr>
                <w:rFonts w:ascii="Cambria" w:hAnsi="Cambria"/>
                <w:color w:val="000000"/>
                <w:sz w:val="20"/>
              </w:rPr>
              <w:t>Maroc</w:t>
            </w:r>
          </w:p>
        </w:tc>
        <w:tc>
          <w:tcPr>
            <w:tcW w:w="1267" w:type="pct"/>
            <w:noWrap/>
            <w:vAlign w:val="bottom"/>
            <w:hideMark/>
          </w:tcPr>
          <w:p w14:paraId="17D58D10" w14:textId="3E9CB5D3" w:rsidR="00337865" w:rsidRDefault="00337865" w:rsidP="00F36743">
            <w:pPr>
              <w:jc w:val="center"/>
              <w:rPr>
                <w:rFonts w:ascii="Cambria" w:hAnsi="Cambria"/>
                <w:color w:val="000000"/>
                <w:sz w:val="20"/>
                <w:szCs w:val="20"/>
              </w:rPr>
            </w:pPr>
          </w:p>
        </w:tc>
        <w:tc>
          <w:tcPr>
            <w:tcW w:w="1267" w:type="pct"/>
            <w:noWrap/>
            <w:vAlign w:val="bottom"/>
            <w:hideMark/>
          </w:tcPr>
          <w:p w14:paraId="76915F19" w14:textId="77777777" w:rsidR="00337865" w:rsidRDefault="00337865" w:rsidP="00F36743">
            <w:pPr>
              <w:jc w:val="center"/>
              <w:rPr>
                <w:rFonts w:ascii="Cambria" w:hAnsi="Cambria"/>
                <w:color w:val="000000"/>
                <w:sz w:val="20"/>
                <w:szCs w:val="20"/>
              </w:rPr>
            </w:pPr>
            <w:r>
              <w:rPr>
                <w:rFonts w:ascii="Cambria" w:hAnsi="Cambria"/>
                <w:color w:val="000000"/>
                <w:sz w:val="20"/>
              </w:rPr>
              <w:t>AT002MAR00004</w:t>
            </w:r>
          </w:p>
        </w:tc>
        <w:tc>
          <w:tcPr>
            <w:tcW w:w="1523" w:type="pct"/>
            <w:noWrap/>
            <w:vAlign w:val="bottom"/>
            <w:hideMark/>
          </w:tcPr>
          <w:p w14:paraId="41FA3C71" w14:textId="77777777" w:rsidR="00337865" w:rsidRDefault="00337865" w:rsidP="00F36743">
            <w:pPr>
              <w:jc w:val="center"/>
              <w:rPr>
                <w:rFonts w:ascii="Cambria" w:hAnsi="Cambria"/>
                <w:color w:val="000000"/>
                <w:sz w:val="20"/>
                <w:szCs w:val="20"/>
              </w:rPr>
            </w:pPr>
            <w:r>
              <w:rPr>
                <w:rFonts w:ascii="Cambria" w:hAnsi="Cambria"/>
                <w:color w:val="000000"/>
                <w:sz w:val="20"/>
              </w:rPr>
              <w:t>AT002MAR00004</w:t>
            </w:r>
          </w:p>
        </w:tc>
      </w:tr>
      <w:tr w:rsidR="00337865" w14:paraId="571F884F" w14:textId="77777777" w:rsidTr="00C75467">
        <w:trPr>
          <w:trHeight w:val="288"/>
        </w:trPr>
        <w:tc>
          <w:tcPr>
            <w:tcW w:w="943" w:type="pct"/>
            <w:noWrap/>
            <w:vAlign w:val="bottom"/>
            <w:hideMark/>
          </w:tcPr>
          <w:p w14:paraId="2E481997" w14:textId="77777777" w:rsidR="00337865" w:rsidRDefault="00337865" w:rsidP="00F36743">
            <w:pPr>
              <w:rPr>
                <w:rFonts w:ascii="Cambria" w:hAnsi="Cambria"/>
                <w:color w:val="000000"/>
                <w:sz w:val="20"/>
                <w:szCs w:val="20"/>
              </w:rPr>
            </w:pPr>
            <w:r>
              <w:rPr>
                <w:rFonts w:ascii="Cambria" w:hAnsi="Cambria"/>
                <w:color w:val="000000"/>
                <w:sz w:val="20"/>
              </w:rPr>
              <w:t>Maroc</w:t>
            </w:r>
          </w:p>
        </w:tc>
        <w:tc>
          <w:tcPr>
            <w:tcW w:w="1267" w:type="pct"/>
            <w:noWrap/>
            <w:vAlign w:val="bottom"/>
            <w:hideMark/>
          </w:tcPr>
          <w:p w14:paraId="1F0A891A" w14:textId="77777777" w:rsidR="00337865" w:rsidRDefault="00337865" w:rsidP="00F36743">
            <w:pPr>
              <w:jc w:val="center"/>
              <w:rPr>
                <w:rFonts w:ascii="Cambria" w:hAnsi="Cambria"/>
                <w:color w:val="000000"/>
                <w:sz w:val="20"/>
                <w:szCs w:val="20"/>
              </w:rPr>
            </w:pPr>
            <w:r>
              <w:rPr>
                <w:rFonts w:ascii="Cambria" w:hAnsi="Cambria"/>
                <w:color w:val="000000"/>
                <w:sz w:val="20"/>
              </w:rPr>
              <w:t>AT002MAR00005</w:t>
            </w:r>
          </w:p>
        </w:tc>
        <w:tc>
          <w:tcPr>
            <w:tcW w:w="1267" w:type="pct"/>
            <w:noWrap/>
            <w:vAlign w:val="bottom"/>
            <w:hideMark/>
          </w:tcPr>
          <w:p w14:paraId="723A7CB7" w14:textId="77777777" w:rsidR="00337865" w:rsidRDefault="00337865" w:rsidP="00F36743">
            <w:pPr>
              <w:jc w:val="center"/>
              <w:rPr>
                <w:rFonts w:ascii="Cambria" w:hAnsi="Cambria"/>
                <w:color w:val="000000"/>
                <w:sz w:val="20"/>
                <w:szCs w:val="20"/>
              </w:rPr>
            </w:pPr>
            <w:r>
              <w:rPr>
                <w:rFonts w:ascii="Cambria" w:hAnsi="Cambria"/>
                <w:color w:val="000000"/>
                <w:sz w:val="20"/>
              </w:rPr>
              <w:t>AT002MAR00005</w:t>
            </w:r>
          </w:p>
        </w:tc>
        <w:tc>
          <w:tcPr>
            <w:tcW w:w="1523" w:type="pct"/>
            <w:noWrap/>
            <w:vAlign w:val="bottom"/>
            <w:hideMark/>
          </w:tcPr>
          <w:p w14:paraId="48CF6341" w14:textId="77777777" w:rsidR="00337865" w:rsidRDefault="00337865" w:rsidP="00F36743">
            <w:pPr>
              <w:jc w:val="center"/>
              <w:rPr>
                <w:rFonts w:ascii="Cambria" w:hAnsi="Cambria"/>
                <w:color w:val="000000"/>
                <w:sz w:val="20"/>
                <w:szCs w:val="20"/>
              </w:rPr>
            </w:pPr>
            <w:r>
              <w:rPr>
                <w:rFonts w:ascii="Cambria" w:hAnsi="Cambria"/>
                <w:color w:val="000000"/>
                <w:sz w:val="20"/>
              </w:rPr>
              <w:t>AT002MAR00005</w:t>
            </w:r>
          </w:p>
        </w:tc>
      </w:tr>
      <w:tr w:rsidR="00337865" w14:paraId="368D021C" w14:textId="77777777" w:rsidTr="00C75467">
        <w:trPr>
          <w:trHeight w:val="288"/>
        </w:trPr>
        <w:tc>
          <w:tcPr>
            <w:tcW w:w="943" w:type="pct"/>
            <w:noWrap/>
            <w:vAlign w:val="bottom"/>
            <w:hideMark/>
          </w:tcPr>
          <w:p w14:paraId="6FBD146A" w14:textId="77777777" w:rsidR="00337865" w:rsidRDefault="00337865" w:rsidP="00F36743">
            <w:pPr>
              <w:rPr>
                <w:rFonts w:ascii="Cambria" w:hAnsi="Cambria"/>
                <w:color w:val="000000"/>
                <w:sz w:val="20"/>
                <w:szCs w:val="20"/>
              </w:rPr>
            </w:pPr>
            <w:r>
              <w:rPr>
                <w:rFonts w:ascii="Cambria" w:hAnsi="Cambria"/>
                <w:color w:val="000000"/>
                <w:sz w:val="20"/>
              </w:rPr>
              <w:t>Maroc</w:t>
            </w:r>
          </w:p>
        </w:tc>
        <w:tc>
          <w:tcPr>
            <w:tcW w:w="1267" w:type="pct"/>
            <w:noWrap/>
            <w:vAlign w:val="bottom"/>
            <w:hideMark/>
          </w:tcPr>
          <w:p w14:paraId="43C51EEB" w14:textId="77777777" w:rsidR="00337865" w:rsidRDefault="00337865" w:rsidP="00F36743">
            <w:pPr>
              <w:jc w:val="center"/>
              <w:rPr>
                <w:rFonts w:ascii="Cambria" w:hAnsi="Cambria"/>
                <w:color w:val="000000"/>
                <w:sz w:val="20"/>
                <w:szCs w:val="20"/>
              </w:rPr>
            </w:pPr>
            <w:r>
              <w:rPr>
                <w:rFonts w:ascii="Cambria" w:hAnsi="Cambria"/>
                <w:color w:val="000000"/>
                <w:sz w:val="20"/>
              </w:rPr>
              <w:t>AT002MAR00006</w:t>
            </w:r>
          </w:p>
        </w:tc>
        <w:tc>
          <w:tcPr>
            <w:tcW w:w="1267" w:type="pct"/>
            <w:noWrap/>
            <w:vAlign w:val="bottom"/>
            <w:hideMark/>
          </w:tcPr>
          <w:p w14:paraId="7C3FF34F" w14:textId="77777777" w:rsidR="00337865" w:rsidRDefault="00337865" w:rsidP="00F36743">
            <w:pPr>
              <w:jc w:val="center"/>
              <w:rPr>
                <w:rFonts w:ascii="Cambria" w:hAnsi="Cambria"/>
                <w:color w:val="000000"/>
                <w:sz w:val="20"/>
                <w:szCs w:val="20"/>
              </w:rPr>
            </w:pPr>
            <w:r>
              <w:rPr>
                <w:rFonts w:ascii="Cambria" w:hAnsi="Cambria"/>
                <w:color w:val="000000"/>
                <w:sz w:val="20"/>
              </w:rPr>
              <w:t>AT002MAR00006</w:t>
            </w:r>
          </w:p>
        </w:tc>
        <w:tc>
          <w:tcPr>
            <w:tcW w:w="1523" w:type="pct"/>
            <w:noWrap/>
            <w:vAlign w:val="bottom"/>
            <w:hideMark/>
          </w:tcPr>
          <w:p w14:paraId="3C662B04" w14:textId="77777777" w:rsidR="00337865" w:rsidRDefault="00337865" w:rsidP="00F36743">
            <w:pPr>
              <w:jc w:val="center"/>
              <w:rPr>
                <w:rFonts w:ascii="Cambria" w:hAnsi="Cambria"/>
                <w:color w:val="000000"/>
                <w:sz w:val="20"/>
                <w:szCs w:val="20"/>
              </w:rPr>
            </w:pPr>
            <w:r>
              <w:rPr>
                <w:rFonts w:ascii="Cambria" w:hAnsi="Cambria"/>
                <w:color w:val="000000"/>
                <w:sz w:val="20"/>
              </w:rPr>
              <w:t>AT002MAR00006</w:t>
            </w:r>
          </w:p>
        </w:tc>
      </w:tr>
      <w:tr w:rsidR="00337865" w14:paraId="5B1684B8" w14:textId="77777777" w:rsidTr="00C75467">
        <w:trPr>
          <w:trHeight w:val="288"/>
        </w:trPr>
        <w:tc>
          <w:tcPr>
            <w:tcW w:w="943" w:type="pct"/>
            <w:noWrap/>
            <w:vAlign w:val="bottom"/>
            <w:hideMark/>
          </w:tcPr>
          <w:p w14:paraId="5A96B4DA" w14:textId="77777777" w:rsidR="00337865" w:rsidRDefault="00337865" w:rsidP="00F36743">
            <w:pPr>
              <w:rPr>
                <w:rFonts w:ascii="Cambria" w:hAnsi="Cambria"/>
                <w:color w:val="000000"/>
                <w:sz w:val="20"/>
                <w:szCs w:val="20"/>
              </w:rPr>
            </w:pPr>
            <w:r>
              <w:rPr>
                <w:rFonts w:ascii="Cambria" w:hAnsi="Cambria"/>
                <w:color w:val="000000"/>
                <w:sz w:val="20"/>
              </w:rPr>
              <w:t>Maroc</w:t>
            </w:r>
          </w:p>
        </w:tc>
        <w:tc>
          <w:tcPr>
            <w:tcW w:w="1267" w:type="pct"/>
            <w:noWrap/>
            <w:vAlign w:val="bottom"/>
            <w:hideMark/>
          </w:tcPr>
          <w:p w14:paraId="62A4F060" w14:textId="77777777" w:rsidR="00337865" w:rsidRDefault="00337865" w:rsidP="00F36743">
            <w:pPr>
              <w:jc w:val="center"/>
              <w:rPr>
                <w:rFonts w:ascii="Cambria" w:hAnsi="Cambria"/>
                <w:color w:val="000000"/>
                <w:sz w:val="20"/>
                <w:szCs w:val="20"/>
              </w:rPr>
            </w:pPr>
            <w:r>
              <w:rPr>
                <w:rFonts w:ascii="Cambria" w:hAnsi="Cambria"/>
                <w:color w:val="000000"/>
                <w:sz w:val="20"/>
              </w:rPr>
              <w:t>AT002MAR00007</w:t>
            </w:r>
          </w:p>
        </w:tc>
        <w:tc>
          <w:tcPr>
            <w:tcW w:w="1267" w:type="pct"/>
            <w:noWrap/>
            <w:vAlign w:val="bottom"/>
            <w:hideMark/>
          </w:tcPr>
          <w:p w14:paraId="6CA68344" w14:textId="77777777" w:rsidR="00337865" w:rsidRDefault="00337865" w:rsidP="00F36743">
            <w:pPr>
              <w:jc w:val="center"/>
              <w:rPr>
                <w:rFonts w:ascii="Cambria" w:hAnsi="Cambria"/>
                <w:color w:val="000000"/>
                <w:sz w:val="20"/>
                <w:szCs w:val="20"/>
              </w:rPr>
            </w:pPr>
            <w:r>
              <w:rPr>
                <w:rFonts w:ascii="Cambria" w:hAnsi="Cambria"/>
                <w:color w:val="000000"/>
                <w:sz w:val="20"/>
              </w:rPr>
              <w:t>AT002MAR00007</w:t>
            </w:r>
          </w:p>
        </w:tc>
        <w:tc>
          <w:tcPr>
            <w:tcW w:w="1523" w:type="pct"/>
            <w:noWrap/>
            <w:vAlign w:val="bottom"/>
            <w:hideMark/>
          </w:tcPr>
          <w:p w14:paraId="4B06B33A" w14:textId="77777777" w:rsidR="00337865" w:rsidRDefault="00337865" w:rsidP="00F36743">
            <w:pPr>
              <w:jc w:val="center"/>
              <w:rPr>
                <w:rFonts w:ascii="Cambria" w:hAnsi="Cambria"/>
                <w:color w:val="000000"/>
                <w:sz w:val="20"/>
                <w:szCs w:val="20"/>
              </w:rPr>
            </w:pPr>
            <w:r>
              <w:rPr>
                <w:rFonts w:ascii="Cambria" w:hAnsi="Cambria"/>
                <w:color w:val="000000"/>
                <w:sz w:val="20"/>
              </w:rPr>
              <w:t>AT002MAR00007</w:t>
            </w:r>
          </w:p>
        </w:tc>
      </w:tr>
      <w:tr w:rsidR="00337865" w14:paraId="5378262D" w14:textId="77777777" w:rsidTr="00C75467">
        <w:trPr>
          <w:trHeight w:val="288"/>
        </w:trPr>
        <w:tc>
          <w:tcPr>
            <w:tcW w:w="943" w:type="pct"/>
            <w:noWrap/>
            <w:vAlign w:val="bottom"/>
            <w:hideMark/>
          </w:tcPr>
          <w:p w14:paraId="09EE8015" w14:textId="77777777" w:rsidR="00337865" w:rsidRDefault="00337865" w:rsidP="00F36743">
            <w:pPr>
              <w:rPr>
                <w:rFonts w:ascii="Cambria" w:hAnsi="Cambria"/>
                <w:color w:val="000000"/>
                <w:sz w:val="20"/>
                <w:szCs w:val="20"/>
              </w:rPr>
            </w:pPr>
            <w:r>
              <w:rPr>
                <w:rFonts w:ascii="Cambria" w:hAnsi="Cambria"/>
                <w:color w:val="000000"/>
                <w:sz w:val="20"/>
              </w:rPr>
              <w:t>Maroc</w:t>
            </w:r>
          </w:p>
        </w:tc>
        <w:tc>
          <w:tcPr>
            <w:tcW w:w="1267" w:type="pct"/>
            <w:noWrap/>
            <w:vAlign w:val="bottom"/>
            <w:hideMark/>
          </w:tcPr>
          <w:p w14:paraId="1DB45510" w14:textId="77777777" w:rsidR="00337865" w:rsidRDefault="00337865" w:rsidP="00F36743">
            <w:pPr>
              <w:jc w:val="center"/>
              <w:rPr>
                <w:rFonts w:ascii="Cambria" w:hAnsi="Cambria"/>
                <w:color w:val="000000"/>
                <w:sz w:val="20"/>
                <w:szCs w:val="20"/>
              </w:rPr>
            </w:pPr>
            <w:r>
              <w:rPr>
                <w:rFonts w:ascii="Cambria" w:hAnsi="Cambria"/>
                <w:color w:val="000000"/>
                <w:sz w:val="20"/>
              </w:rPr>
              <w:t>AT002MAR00008</w:t>
            </w:r>
          </w:p>
        </w:tc>
        <w:tc>
          <w:tcPr>
            <w:tcW w:w="1267" w:type="pct"/>
            <w:noWrap/>
            <w:vAlign w:val="bottom"/>
            <w:hideMark/>
          </w:tcPr>
          <w:p w14:paraId="2A2FF977" w14:textId="77777777" w:rsidR="00337865" w:rsidRDefault="00337865" w:rsidP="00F36743">
            <w:pPr>
              <w:jc w:val="center"/>
              <w:rPr>
                <w:rFonts w:ascii="Cambria" w:hAnsi="Cambria"/>
                <w:color w:val="000000"/>
                <w:sz w:val="20"/>
                <w:szCs w:val="20"/>
              </w:rPr>
            </w:pPr>
            <w:r>
              <w:rPr>
                <w:rFonts w:ascii="Cambria" w:hAnsi="Cambria"/>
                <w:color w:val="000000"/>
                <w:sz w:val="20"/>
              </w:rPr>
              <w:t>AT002MAR00008</w:t>
            </w:r>
          </w:p>
        </w:tc>
        <w:tc>
          <w:tcPr>
            <w:tcW w:w="1523" w:type="pct"/>
            <w:noWrap/>
            <w:vAlign w:val="bottom"/>
            <w:hideMark/>
          </w:tcPr>
          <w:p w14:paraId="0D821BFB" w14:textId="77777777" w:rsidR="00337865" w:rsidRDefault="00337865" w:rsidP="00F36743">
            <w:pPr>
              <w:jc w:val="center"/>
              <w:rPr>
                <w:rFonts w:ascii="Cambria" w:hAnsi="Cambria"/>
                <w:color w:val="000000"/>
                <w:sz w:val="20"/>
                <w:szCs w:val="20"/>
              </w:rPr>
            </w:pPr>
            <w:r>
              <w:rPr>
                <w:rFonts w:ascii="Cambria" w:hAnsi="Cambria"/>
                <w:color w:val="000000"/>
                <w:sz w:val="20"/>
              </w:rPr>
              <w:t>AT002MAR00008</w:t>
            </w:r>
          </w:p>
        </w:tc>
      </w:tr>
      <w:tr w:rsidR="00337865" w14:paraId="6372FD44" w14:textId="77777777" w:rsidTr="00C75467">
        <w:trPr>
          <w:trHeight w:val="288"/>
        </w:trPr>
        <w:tc>
          <w:tcPr>
            <w:tcW w:w="943" w:type="pct"/>
            <w:noWrap/>
            <w:vAlign w:val="bottom"/>
            <w:hideMark/>
          </w:tcPr>
          <w:p w14:paraId="435D7CD1" w14:textId="77777777" w:rsidR="00337865" w:rsidRDefault="00337865" w:rsidP="00F36743">
            <w:pPr>
              <w:rPr>
                <w:rFonts w:ascii="Cambria" w:hAnsi="Cambria"/>
                <w:color w:val="000000"/>
                <w:sz w:val="20"/>
                <w:szCs w:val="20"/>
              </w:rPr>
            </w:pPr>
            <w:r>
              <w:rPr>
                <w:rFonts w:ascii="Cambria" w:hAnsi="Cambria"/>
                <w:color w:val="000000"/>
                <w:sz w:val="20"/>
              </w:rPr>
              <w:t>Maroc</w:t>
            </w:r>
          </w:p>
        </w:tc>
        <w:tc>
          <w:tcPr>
            <w:tcW w:w="1267" w:type="pct"/>
            <w:noWrap/>
            <w:vAlign w:val="bottom"/>
            <w:hideMark/>
          </w:tcPr>
          <w:p w14:paraId="748A2A0D" w14:textId="77777777" w:rsidR="00337865" w:rsidRDefault="00337865" w:rsidP="00F36743">
            <w:pPr>
              <w:jc w:val="center"/>
              <w:rPr>
                <w:rFonts w:ascii="Cambria" w:hAnsi="Cambria"/>
                <w:color w:val="000000"/>
                <w:sz w:val="20"/>
                <w:szCs w:val="20"/>
              </w:rPr>
            </w:pPr>
            <w:r>
              <w:rPr>
                <w:rFonts w:ascii="Cambria" w:hAnsi="Cambria"/>
                <w:color w:val="000000"/>
                <w:sz w:val="20"/>
              </w:rPr>
              <w:t>AT002MAR00009</w:t>
            </w:r>
          </w:p>
        </w:tc>
        <w:tc>
          <w:tcPr>
            <w:tcW w:w="1267" w:type="pct"/>
            <w:noWrap/>
            <w:vAlign w:val="bottom"/>
            <w:hideMark/>
          </w:tcPr>
          <w:p w14:paraId="737C238A" w14:textId="77777777" w:rsidR="00337865" w:rsidRDefault="00337865" w:rsidP="00F36743">
            <w:pPr>
              <w:jc w:val="center"/>
              <w:rPr>
                <w:rFonts w:ascii="Cambria" w:hAnsi="Cambria"/>
                <w:color w:val="000000"/>
                <w:sz w:val="20"/>
                <w:szCs w:val="20"/>
              </w:rPr>
            </w:pPr>
            <w:r>
              <w:rPr>
                <w:rFonts w:ascii="Cambria" w:hAnsi="Cambria"/>
                <w:color w:val="000000"/>
                <w:sz w:val="20"/>
              </w:rPr>
              <w:t>AT002MAR00009</w:t>
            </w:r>
          </w:p>
        </w:tc>
        <w:tc>
          <w:tcPr>
            <w:tcW w:w="1523" w:type="pct"/>
            <w:noWrap/>
            <w:vAlign w:val="bottom"/>
            <w:hideMark/>
          </w:tcPr>
          <w:p w14:paraId="7C6C57D8" w14:textId="77777777" w:rsidR="00337865" w:rsidRDefault="00337865" w:rsidP="00F36743">
            <w:pPr>
              <w:jc w:val="center"/>
              <w:rPr>
                <w:rFonts w:ascii="Cambria" w:hAnsi="Cambria"/>
                <w:color w:val="000000"/>
                <w:sz w:val="20"/>
                <w:szCs w:val="20"/>
              </w:rPr>
            </w:pPr>
            <w:r>
              <w:rPr>
                <w:rFonts w:ascii="Cambria" w:hAnsi="Cambria"/>
                <w:color w:val="000000"/>
                <w:sz w:val="20"/>
              </w:rPr>
              <w:t>AT002MAR00009</w:t>
            </w:r>
          </w:p>
        </w:tc>
      </w:tr>
      <w:tr w:rsidR="00337865" w14:paraId="56DCCC1E" w14:textId="77777777" w:rsidTr="00C75467">
        <w:trPr>
          <w:trHeight w:val="288"/>
        </w:trPr>
        <w:tc>
          <w:tcPr>
            <w:tcW w:w="943" w:type="pct"/>
            <w:noWrap/>
            <w:vAlign w:val="bottom"/>
            <w:hideMark/>
          </w:tcPr>
          <w:p w14:paraId="4D6B0706" w14:textId="77777777" w:rsidR="00337865" w:rsidRDefault="00337865" w:rsidP="00F36743">
            <w:pPr>
              <w:rPr>
                <w:rFonts w:ascii="Cambria" w:hAnsi="Cambria"/>
                <w:color w:val="000000"/>
                <w:sz w:val="20"/>
                <w:szCs w:val="20"/>
              </w:rPr>
            </w:pPr>
            <w:r>
              <w:rPr>
                <w:rFonts w:ascii="Cambria" w:hAnsi="Cambria"/>
                <w:color w:val="000000"/>
                <w:sz w:val="20"/>
              </w:rPr>
              <w:t>Maroc</w:t>
            </w:r>
          </w:p>
        </w:tc>
        <w:tc>
          <w:tcPr>
            <w:tcW w:w="1267" w:type="pct"/>
            <w:noWrap/>
            <w:vAlign w:val="bottom"/>
            <w:hideMark/>
          </w:tcPr>
          <w:p w14:paraId="1DF94B8C" w14:textId="77777777" w:rsidR="00337865" w:rsidRDefault="00337865" w:rsidP="00F36743">
            <w:pPr>
              <w:jc w:val="center"/>
              <w:rPr>
                <w:rFonts w:ascii="Cambria" w:hAnsi="Cambria"/>
                <w:color w:val="000000"/>
                <w:sz w:val="20"/>
                <w:szCs w:val="20"/>
              </w:rPr>
            </w:pPr>
            <w:r>
              <w:rPr>
                <w:rFonts w:ascii="Cambria" w:hAnsi="Cambria"/>
                <w:color w:val="000000"/>
                <w:sz w:val="20"/>
              </w:rPr>
              <w:t>AT002MAR00010</w:t>
            </w:r>
          </w:p>
        </w:tc>
        <w:tc>
          <w:tcPr>
            <w:tcW w:w="1267" w:type="pct"/>
            <w:noWrap/>
            <w:vAlign w:val="bottom"/>
            <w:hideMark/>
          </w:tcPr>
          <w:p w14:paraId="7FD3EF94" w14:textId="77777777" w:rsidR="00337865" w:rsidRDefault="00337865" w:rsidP="00F36743">
            <w:pPr>
              <w:jc w:val="center"/>
              <w:rPr>
                <w:rFonts w:ascii="Cambria" w:hAnsi="Cambria"/>
                <w:color w:val="000000"/>
                <w:sz w:val="20"/>
                <w:szCs w:val="20"/>
              </w:rPr>
            </w:pPr>
            <w:r>
              <w:rPr>
                <w:rFonts w:ascii="Cambria" w:hAnsi="Cambria"/>
                <w:color w:val="000000"/>
                <w:sz w:val="20"/>
              </w:rPr>
              <w:t>AT002MAR00010</w:t>
            </w:r>
          </w:p>
        </w:tc>
        <w:tc>
          <w:tcPr>
            <w:tcW w:w="1523" w:type="pct"/>
            <w:noWrap/>
            <w:vAlign w:val="bottom"/>
            <w:hideMark/>
          </w:tcPr>
          <w:p w14:paraId="009B0A0A" w14:textId="77777777" w:rsidR="00337865" w:rsidRDefault="00337865" w:rsidP="00F36743">
            <w:pPr>
              <w:jc w:val="center"/>
              <w:rPr>
                <w:rFonts w:ascii="Cambria" w:hAnsi="Cambria"/>
                <w:color w:val="000000"/>
                <w:sz w:val="20"/>
                <w:szCs w:val="20"/>
              </w:rPr>
            </w:pPr>
            <w:r>
              <w:rPr>
                <w:rFonts w:ascii="Cambria" w:hAnsi="Cambria"/>
                <w:color w:val="000000"/>
                <w:sz w:val="20"/>
              </w:rPr>
              <w:t>AT002MAR00010</w:t>
            </w:r>
          </w:p>
        </w:tc>
      </w:tr>
      <w:tr w:rsidR="00337865" w14:paraId="4E9215E7" w14:textId="77777777" w:rsidTr="00C75467">
        <w:trPr>
          <w:trHeight w:val="288"/>
        </w:trPr>
        <w:tc>
          <w:tcPr>
            <w:tcW w:w="943" w:type="pct"/>
            <w:noWrap/>
            <w:vAlign w:val="bottom"/>
            <w:hideMark/>
          </w:tcPr>
          <w:p w14:paraId="6F8F745D" w14:textId="77777777" w:rsidR="00337865" w:rsidRDefault="00337865" w:rsidP="00F36743">
            <w:pPr>
              <w:rPr>
                <w:rFonts w:ascii="Cambria" w:hAnsi="Cambria"/>
                <w:color w:val="000000"/>
                <w:sz w:val="20"/>
                <w:szCs w:val="20"/>
              </w:rPr>
            </w:pPr>
            <w:r>
              <w:rPr>
                <w:rFonts w:ascii="Cambria" w:hAnsi="Cambria"/>
                <w:color w:val="000000"/>
                <w:sz w:val="20"/>
              </w:rPr>
              <w:t>Maroc</w:t>
            </w:r>
          </w:p>
        </w:tc>
        <w:tc>
          <w:tcPr>
            <w:tcW w:w="1267" w:type="pct"/>
            <w:noWrap/>
            <w:vAlign w:val="bottom"/>
            <w:hideMark/>
          </w:tcPr>
          <w:p w14:paraId="6D6FF471" w14:textId="77777777" w:rsidR="00337865" w:rsidRDefault="00337865" w:rsidP="00F36743">
            <w:pPr>
              <w:jc w:val="center"/>
              <w:rPr>
                <w:rFonts w:ascii="Cambria" w:hAnsi="Cambria"/>
                <w:color w:val="000000"/>
                <w:sz w:val="20"/>
                <w:szCs w:val="20"/>
              </w:rPr>
            </w:pPr>
            <w:r>
              <w:rPr>
                <w:rFonts w:ascii="Cambria" w:hAnsi="Cambria"/>
                <w:color w:val="000000"/>
                <w:sz w:val="20"/>
              </w:rPr>
              <w:t>AT002MAR00011</w:t>
            </w:r>
          </w:p>
        </w:tc>
        <w:tc>
          <w:tcPr>
            <w:tcW w:w="1267" w:type="pct"/>
            <w:noWrap/>
            <w:vAlign w:val="bottom"/>
            <w:hideMark/>
          </w:tcPr>
          <w:p w14:paraId="7B01792D" w14:textId="77777777" w:rsidR="00337865" w:rsidRDefault="00337865" w:rsidP="00F36743">
            <w:pPr>
              <w:jc w:val="center"/>
              <w:rPr>
                <w:rFonts w:ascii="Cambria" w:hAnsi="Cambria"/>
                <w:color w:val="000000"/>
                <w:sz w:val="20"/>
                <w:szCs w:val="20"/>
              </w:rPr>
            </w:pPr>
            <w:r>
              <w:rPr>
                <w:rFonts w:ascii="Cambria" w:hAnsi="Cambria"/>
                <w:color w:val="000000"/>
                <w:sz w:val="20"/>
              </w:rPr>
              <w:t>AT002MAR00011</w:t>
            </w:r>
          </w:p>
        </w:tc>
        <w:tc>
          <w:tcPr>
            <w:tcW w:w="1523" w:type="pct"/>
            <w:noWrap/>
            <w:vAlign w:val="bottom"/>
            <w:hideMark/>
          </w:tcPr>
          <w:p w14:paraId="0292A35F" w14:textId="77777777" w:rsidR="00337865" w:rsidRDefault="00337865" w:rsidP="00F36743">
            <w:pPr>
              <w:jc w:val="center"/>
              <w:rPr>
                <w:rFonts w:ascii="Cambria" w:hAnsi="Cambria"/>
                <w:color w:val="000000"/>
                <w:sz w:val="20"/>
                <w:szCs w:val="20"/>
              </w:rPr>
            </w:pPr>
            <w:r>
              <w:rPr>
                <w:rFonts w:ascii="Cambria" w:hAnsi="Cambria"/>
                <w:color w:val="000000"/>
                <w:sz w:val="20"/>
              </w:rPr>
              <w:t>AT002MAR00011</w:t>
            </w:r>
          </w:p>
        </w:tc>
      </w:tr>
      <w:tr w:rsidR="00337865" w14:paraId="25B270CF" w14:textId="77777777" w:rsidTr="00C75467">
        <w:trPr>
          <w:trHeight w:val="288"/>
        </w:trPr>
        <w:tc>
          <w:tcPr>
            <w:tcW w:w="943" w:type="pct"/>
            <w:noWrap/>
            <w:vAlign w:val="bottom"/>
            <w:hideMark/>
          </w:tcPr>
          <w:p w14:paraId="555F2712" w14:textId="77777777" w:rsidR="00337865" w:rsidRDefault="00337865" w:rsidP="00F36743">
            <w:pPr>
              <w:rPr>
                <w:rFonts w:ascii="Cambria" w:hAnsi="Cambria"/>
                <w:color w:val="000000"/>
                <w:sz w:val="20"/>
                <w:szCs w:val="20"/>
              </w:rPr>
            </w:pPr>
            <w:r>
              <w:rPr>
                <w:rFonts w:ascii="Cambria" w:hAnsi="Cambria"/>
                <w:color w:val="000000"/>
                <w:sz w:val="20"/>
              </w:rPr>
              <w:t>Maroc</w:t>
            </w:r>
          </w:p>
        </w:tc>
        <w:tc>
          <w:tcPr>
            <w:tcW w:w="1267" w:type="pct"/>
            <w:noWrap/>
            <w:vAlign w:val="bottom"/>
            <w:hideMark/>
          </w:tcPr>
          <w:p w14:paraId="3E6ABA73" w14:textId="77777777" w:rsidR="00337865" w:rsidRDefault="00337865" w:rsidP="00F36743">
            <w:pPr>
              <w:jc w:val="center"/>
              <w:rPr>
                <w:rFonts w:ascii="Cambria" w:hAnsi="Cambria"/>
                <w:color w:val="000000"/>
                <w:sz w:val="20"/>
                <w:szCs w:val="20"/>
              </w:rPr>
            </w:pPr>
            <w:r>
              <w:rPr>
                <w:rFonts w:ascii="Cambria" w:hAnsi="Cambria"/>
                <w:color w:val="000000"/>
                <w:sz w:val="20"/>
              </w:rPr>
              <w:t>AT002MAR00012</w:t>
            </w:r>
          </w:p>
        </w:tc>
        <w:tc>
          <w:tcPr>
            <w:tcW w:w="1267" w:type="pct"/>
            <w:noWrap/>
            <w:vAlign w:val="bottom"/>
            <w:hideMark/>
          </w:tcPr>
          <w:p w14:paraId="1F7FB09C" w14:textId="77777777" w:rsidR="00337865" w:rsidRDefault="00337865" w:rsidP="00F36743">
            <w:pPr>
              <w:jc w:val="center"/>
              <w:rPr>
                <w:rFonts w:ascii="Cambria" w:hAnsi="Cambria"/>
                <w:color w:val="000000"/>
                <w:sz w:val="20"/>
                <w:szCs w:val="20"/>
              </w:rPr>
            </w:pPr>
            <w:r>
              <w:rPr>
                <w:rFonts w:ascii="Cambria" w:hAnsi="Cambria"/>
                <w:color w:val="000000"/>
                <w:sz w:val="20"/>
              </w:rPr>
              <w:t>AT002MAR00012</w:t>
            </w:r>
          </w:p>
        </w:tc>
        <w:tc>
          <w:tcPr>
            <w:tcW w:w="1523" w:type="pct"/>
            <w:noWrap/>
            <w:vAlign w:val="bottom"/>
            <w:hideMark/>
          </w:tcPr>
          <w:p w14:paraId="00A71A8E" w14:textId="77777777" w:rsidR="00337865" w:rsidRDefault="00337865" w:rsidP="00F36743">
            <w:pPr>
              <w:jc w:val="center"/>
              <w:rPr>
                <w:rFonts w:ascii="Cambria" w:hAnsi="Cambria"/>
                <w:color w:val="000000"/>
                <w:sz w:val="20"/>
                <w:szCs w:val="20"/>
              </w:rPr>
            </w:pPr>
            <w:r>
              <w:rPr>
                <w:rFonts w:ascii="Cambria" w:hAnsi="Cambria"/>
                <w:color w:val="000000"/>
                <w:sz w:val="20"/>
              </w:rPr>
              <w:t>AT002MAR00012</w:t>
            </w:r>
          </w:p>
        </w:tc>
      </w:tr>
      <w:tr w:rsidR="00337865" w14:paraId="11E10A36" w14:textId="77777777" w:rsidTr="00C75467">
        <w:trPr>
          <w:trHeight w:val="288"/>
        </w:trPr>
        <w:tc>
          <w:tcPr>
            <w:tcW w:w="943" w:type="pct"/>
            <w:noWrap/>
            <w:vAlign w:val="bottom"/>
            <w:hideMark/>
          </w:tcPr>
          <w:p w14:paraId="499E8A05" w14:textId="77777777" w:rsidR="00337865" w:rsidRDefault="00337865" w:rsidP="00F36743">
            <w:pPr>
              <w:rPr>
                <w:rFonts w:ascii="Cambria" w:hAnsi="Cambria"/>
                <w:color w:val="000000"/>
                <w:sz w:val="20"/>
                <w:szCs w:val="20"/>
              </w:rPr>
            </w:pPr>
            <w:r>
              <w:rPr>
                <w:rFonts w:ascii="Cambria" w:hAnsi="Cambria"/>
                <w:color w:val="000000"/>
                <w:sz w:val="20"/>
              </w:rPr>
              <w:t>Maroc</w:t>
            </w:r>
          </w:p>
        </w:tc>
        <w:tc>
          <w:tcPr>
            <w:tcW w:w="1267" w:type="pct"/>
            <w:noWrap/>
            <w:vAlign w:val="bottom"/>
            <w:hideMark/>
          </w:tcPr>
          <w:p w14:paraId="6221B878" w14:textId="77777777" w:rsidR="00337865" w:rsidRDefault="00337865" w:rsidP="00F36743">
            <w:pPr>
              <w:jc w:val="center"/>
              <w:rPr>
                <w:rFonts w:ascii="Cambria" w:hAnsi="Cambria"/>
                <w:color w:val="000000"/>
                <w:sz w:val="20"/>
                <w:szCs w:val="20"/>
              </w:rPr>
            </w:pPr>
            <w:r>
              <w:rPr>
                <w:rFonts w:ascii="Cambria" w:hAnsi="Cambria"/>
                <w:color w:val="000000"/>
                <w:sz w:val="20"/>
              </w:rPr>
              <w:t>AT002MAR00013</w:t>
            </w:r>
          </w:p>
        </w:tc>
        <w:tc>
          <w:tcPr>
            <w:tcW w:w="1267" w:type="pct"/>
            <w:noWrap/>
            <w:vAlign w:val="bottom"/>
            <w:hideMark/>
          </w:tcPr>
          <w:p w14:paraId="42AEC33D" w14:textId="77777777" w:rsidR="00337865" w:rsidRDefault="00337865" w:rsidP="00F36743">
            <w:pPr>
              <w:jc w:val="center"/>
              <w:rPr>
                <w:rFonts w:ascii="Cambria" w:hAnsi="Cambria"/>
                <w:color w:val="000000"/>
                <w:sz w:val="20"/>
                <w:szCs w:val="20"/>
              </w:rPr>
            </w:pPr>
            <w:r>
              <w:rPr>
                <w:rFonts w:ascii="Cambria" w:hAnsi="Cambria"/>
                <w:color w:val="000000"/>
                <w:sz w:val="20"/>
              </w:rPr>
              <w:t>AT002MAR00013</w:t>
            </w:r>
          </w:p>
        </w:tc>
        <w:tc>
          <w:tcPr>
            <w:tcW w:w="1523" w:type="pct"/>
            <w:noWrap/>
            <w:vAlign w:val="bottom"/>
            <w:hideMark/>
          </w:tcPr>
          <w:p w14:paraId="4584C75D" w14:textId="77777777" w:rsidR="00337865" w:rsidRDefault="00337865" w:rsidP="00F36743">
            <w:pPr>
              <w:jc w:val="center"/>
              <w:rPr>
                <w:rFonts w:ascii="Cambria" w:hAnsi="Cambria"/>
                <w:color w:val="000000"/>
                <w:sz w:val="20"/>
                <w:szCs w:val="20"/>
              </w:rPr>
            </w:pPr>
            <w:r>
              <w:rPr>
                <w:rFonts w:ascii="Cambria" w:hAnsi="Cambria"/>
                <w:color w:val="000000"/>
                <w:sz w:val="20"/>
              </w:rPr>
              <w:t>AT002MAR00013</w:t>
            </w:r>
          </w:p>
        </w:tc>
      </w:tr>
      <w:tr w:rsidR="00337865" w14:paraId="0CD47540" w14:textId="77777777" w:rsidTr="00C75467">
        <w:trPr>
          <w:trHeight w:val="288"/>
        </w:trPr>
        <w:tc>
          <w:tcPr>
            <w:tcW w:w="943" w:type="pct"/>
            <w:noWrap/>
            <w:vAlign w:val="bottom"/>
            <w:hideMark/>
          </w:tcPr>
          <w:p w14:paraId="015181C7" w14:textId="77777777" w:rsidR="00337865" w:rsidRDefault="00337865" w:rsidP="00F36743">
            <w:pPr>
              <w:rPr>
                <w:rFonts w:ascii="Cambria" w:hAnsi="Cambria"/>
                <w:color w:val="000000"/>
                <w:sz w:val="20"/>
                <w:szCs w:val="20"/>
              </w:rPr>
            </w:pPr>
            <w:r>
              <w:rPr>
                <w:rFonts w:ascii="Cambria" w:hAnsi="Cambria"/>
                <w:color w:val="000000"/>
                <w:sz w:val="20"/>
              </w:rPr>
              <w:t>Maroc</w:t>
            </w:r>
          </w:p>
        </w:tc>
        <w:tc>
          <w:tcPr>
            <w:tcW w:w="1267" w:type="pct"/>
            <w:noWrap/>
            <w:vAlign w:val="bottom"/>
            <w:hideMark/>
          </w:tcPr>
          <w:p w14:paraId="2EEC5FB3" w14:textId="77777777" w:rsidR="00337865" w:rsidRDefault="00337865" w:rsidP="00F36743">
            <w:pPr>
              <w:jc w:val="center"/>
              <w:rPr>
                <w:rFonts w:ascii="Cambria" w:hAnsi="Cambria"/>
                <w:color w:val="000000"/>
                <w:sz w:val="20"/>
                <w:szCs w:val="20"/>
              </w:rPr>
            </w:pPr>
            <w:r>
              <w:rPr>
                <w:rFonts w:ascii="Cambria" w:hAnsi="Cambria"/>
                <w:color w:val="000000"/>
                <w:sz w:val="20"/>
              </w:rPr>
              <w:t>AT002MAR00014</w:t>
            </w:r>
          </w:p>
        </w:tc>
        <w:tc>
          <w:tcPr>
            <w:tcW w:w="1267" w:type="pct"/>
            <w:noWrap/>
            <w:vAlign w:val="bottom"/>
            <w:hideMark/>
          </w:tcPr>
          <w:p w14:paraId="3D20168B" w14:textId="77777777" w:rsidR="00337865" w:rsidRDefault="00337865" w:rsidP="00F36743">
            <w:pPr>
              <w:jc w:val="center"/>
              <w:rPr>
                <w:rFonts w:ascii="Cambria" w:hAnsi="Cambria"/>
                <w:color w:val="000000"/>
                <w:sz w:val="20"/>
                <w:szCs w:val="20"/>
              </w:rPr>
            </w:pPr>
            <w:r>
              <w:rPr>
                <w:rFonts w:ascii="Cambria" w:hAnsi="Cambria"/>
                <w:color w:val="000000"/>
                <w:sz w:val="20"/>
              </w:rPr>
              <w:t>AT002MAR00014</w:t>
            </w:r>
          </w:p>
        </w:tc>
        <w:tc>
          <w:tcPr>
            <w:tcW w:w="1523" w:type="pct"/>
            <w:noWrap/>
            <w:vAlign w:val="bottom"/>
            <w:hideMark/>
          </w:tcPr>
          <w:p w14:paraId="130DA089" w14:textId="77777777" w:rsidR="00337865" w:rsidRDefault="00337865" w:rsidP="00F36743">
            <w:pPr>
              <w:jc w:val="center"/>
              <w:rPr>
                <w:rFonts w:ascii="Cambria" w:hAnsi="Cambria"/>
                <w:color w:val="000000"/>
                <w:sz w:val="20"/>
                <w:szCs w:val="20"/>
              </w:rPr>
            </w:pPr>
            <w:r>
              <w:rPr>
                <w:rFonts w:ascii="Cambria" w:hAnsi="Cambria"/>
                <w:color w:val="000000"/>
                <w:sz w:val="20"/>
              </w:rPr>
              <w:t>AT002MAR00014</w:t>
            </w:r>
          </w:p>
        </w:tc>
      </w:tr>
      <w:tr w:rsidR="00337865" w14:paraId="576842BC" w14:textId="77777777" w:rsidTr="00C75467">
        <w:trPr>
          <w:trHeight w:val="288"/>
        </w:trPr>
        <w:tc>
          <w:tcPr>
            <w:tcW w:w="943" w:type="pct"/>
            <w:noWrap/>
            <w:vAlign w:val="bottom"/>
            <w:hideMark/>
          </w:tcPr>
          <w:p w14:paraId="4DA2C4AF" w14:textId="77777777" w:rsidR="00337865" w:rsidRDefault="00337865" w:rsidP="00F36743">
            <w:pPr>
              <w:rPr>
                <w:rFonts w:ascii="Cambria" w:hAnsi="Cambria"/>
                <w:color w:val="000000"/>
                <w:sz w:val="20"/>
                <w:szCs w:val="20"/>
              </w:rPr>
            </w:pPr>
            <w:r>
              <w:rPr>
                <w:rFonts w:ascii="Cambria" w:hAnsi="Cambria"/>
                <w:color w:val="000000"/>
                <w:sz w:val="20"/>
              </w:rPr>
              <w:t>Maroc</w:t>
            </w:r>
          </w:p>
        </w:tc>
        <w:tc>
          <w:tcPr>
            <w:tcW w:w="1267" w:type="pct"/>
            <w:noWrap/>
            <w:vAlign w:val="bottom"/>
            <w:hideMark/>
          </w:tcPr>
          <w:p w14:paraId="78603C65" w14:textId="77777777" w:rsidR="00337865" w:rsidRDefault="00337865" w:rsidP="00F36743">
            <w:pPr>
              <w:jc w:val="center"/>
              <w:rPr>
                <w:rFonts w:ascii="Cambria" w:hAnsi="Cambria"/>
                <w:color w:val="000000"/>
                <w:sz w:val="20"/>
                <w:szCs w:val="20"/>
              </w:rPr>
            </w:pPr>
            <w:r>
              <w:rPr>
                <w:rFonts w:ascii="Cambria" w:hAnsi="Cambria"/>
                <w:color w:val="000000"/>
                <w:sz w:val="20"/>
              </w:rPr>
              <w:t>AT002MAR00015</w:t>
            </w:r>
          </w:p>
        </w:tc>
        <w:tc>
          <w:tcPr>
            <w:tcW w:w="1267" w:type="pct"/>
            <w:noWrap/>
            <w:vAlign w:val="bottom"/>
            <w:hideMark/>
          </w:tcPr>
          <w:p w14:paraId="1EF9F231" w14:textId="77777777" w:rsidR="00337865" w:rsidRDefault="00337865" w:rsidP="00F36743">
            <w:pPr>
              <w:jc w:val="center"/>
              <w:rPr>
                <w:rFonts w:ascii="Cambria" w:hAnsi="Cambria"/>
                <w:color w:val="000000"/>
                <w:sz w:val="20"/>
                <w:szCs w:val="20"/>
              </w:rPr>
            </w:pPr>
            <w:r>
              <w:rPr>
                <w:rFonts w:ascii="Cambria" w:hAnsi="Cambria"/>
                <w:color w:val="000000"/>
                <w:sz w:val="20"/>
              </w:rPr>
              <w:t>AT002MAR00015</w:t>
            </w:r>
          </w:p>
        </w:tc>
        <w:tc>
          <w:tcPr>
            <w:tcW w:w="1523" w:type="pct"/>
            <w:noWrap/>
            <w:vAlign w:val="bottom"/>
            <w:hideMark/>
          </w:tcPr>
          <w:p w14:paraId="75CD133F" w14:textId="77777777" w:rsidR="00337865" w:rsidRDefault="00337865" w:rsidP="00F36743">
            <w:pPr>
              <w:jc w:val="center"/>
              <w:rPr>
                <w:rFonts w:ascii="Cambria" w:hAnsi="Cambria"/>
                <w:color w:val="000000"/>
                <w:sz w:val="20"/>
                <w:szCs w:val="20"/>
              </w:rPr>
            </w:pPr>
            <w:r>
              <w:rPr>
                <w:rFonts w:ascii="Cambria" w:hAnsi="Cambria"/>
                <w:color w:val="000000"/>
                <w:sz w:val="20"/>
              </w:rPr>
              <w:t>AT002MAR00015</w:t>
            </w:r>
          </w:p>
        </w:tc>
      </w:tr>
      <w:tr w:rsidR="00337865" w14:paraId="13B198B4" w14:textId="77777777" w:rsidTr="00C75467">
        <w:trPr>
          <w:trHeight w:val="288"/>
        </w:trPr>
        <w:tc>
          <w:tcPr>
            <w:tcW w:w="943" w:type="pct"/>
            <w:noWrap/>
            <w:vAlign w:val="bottom"/>
            <w:hideMark/>
          </w:tcPr>
          <w:p w14:paraId="55D50109" w14:textId="77777777" w:rsidR="00337865" w:rsidRDefault="00337865" w:rsidP="00F36743">
            <w:pPr>
              <w:rPr>
                <w:rFonts w:ascii="Cambria" w:hAnsi="Cambria"/>
                <w:color w:val="000000"/>
                <w:sz w:val="20"/>
                <w:szCs w:val="20"/>
              </w:rPr>
            </w:pPr>
            <w:r>
              <w:rPr>
                <w:rFonts w:ascii="Cambria" w:hAnsi="Cambria"/>
                <w:color w:val="000000"/>
                <w:sz w:val="20"/>
              </w:rPr>
              <w:t>Maroc</w:t>
            </w:r>
          </w:p>
        </w:tc>
        <w:tc>
          <w:tcPr>
            <w:tcW w:w="1267" w:type="pct"/>
            <w:noWrap/>
            <w:vAlign w:val="bottom"/>
            <w:hideMark/>
          </w:tcPr>
          <w:p w14:paraId="67958ED5" w14:textId="77777777" w:rsidR="00337865" w:rsidRDefault="00337865" w:rsidP="00F36743">
            <w:pPr>
              <w:jc w:val="center"/>
              <w:rPr>
                <w:rFonts w:ascii="Cambria" w:hAnsi="Cambria"/>
                <w:color w:val="000000"/>
                <w:sz w:val="20"/>
                <w:szCs w:val="20"/>
              </w:rPr>
            </w:pPr>
            <w:r>
              <w:rPr>
                <w:rFonts w:ascii="Cambria" w:hAnsi="Cambria"/>
                <w:color w:val="000000"/>
                <w:sz w:val="20"/>
              </w:rPr>
              <w:t>AT002MAR00016</w:t>
            </w:r>
          </w:p>
        </w:tc>
        <w:tc>
          <w:tcPr>
            <w:tcW w:w="1267" w:type="pct"/>
            <w:noWrap/>
            <w:vAlign w:val="bottom"/>
            <w:hideMark/>
          </w:tcPr>
          <w:p w14:paraId="6F95760A" w14:textId="77777777" w:rsidR="00337865" w:rsidRDefault="00337865" w:rsidP="00F36743">
            <w:pPr>
              <w:jc w:val="center"/>
              <w:rPr>
                <w:rFonts w:ascii="Cambria" w:hAnsi="Cambria"/>
                <w:color w:val="000000"/>
                <w:sz w:val="20"/>
                <w:szCs w:val="20"/>
              </w:rPr>
            </w:pPr>
            <w:r>
              <w:rPr>
                <w:rFonts w:ascii="Cambria" w:hAnsi="Cambria"/>
                <w:color w:val="000000"/>
                <w:sz w:val="20"/>
              </w:rPr>
              <w:t>AT002MAR00016</w:t>
            </w:r>
          </w:p>
        </w:tc>
        <w:tc>
          <w:tcPr>
            <w:tcW w:w="1523" w:type="pct"/>
            <w:noWrap/>
            <w:vAlign w:val="bottom"/>
            <w:hideMark/>
          </w:tcPr>
          <w:p w14:paraId="53DE56B7" w14:textId="77777777" w:rsidR="00337865" w:rsidRDefault="00337865" w:rsidP="00F36743">
            <w:pPr>
              <w:jc w:val="center"/>
              <w:rPr>
                <w:rFonts w:ascii="Cambria" w:hAnsi="Cambria"/>
                <w:color w:val="000000"/>
                <w:sz w:val="20"/>
                <w:szCs w:val="20"/>
              </w:rPr>
            </w:pPr>
            <w:r>
              <w:rPr>
                <w:rFonts w:ascii="Cambria" w:hAnsi="Cambria"/>
                <w:color w:val="000000"/>
                <w:sz w:val="20"/>
              </w:rPr>
              <w:t>AT002MAR00016</w:t>
            </w:r>
          </w:p>
        </w:tc>
      </w:tr>
      <w:tr w:rsidR="00337865" w14:paraId="2442C379" w14:textId="77777777" w:rsidTr="00C75467">
        <w:trPr>
          <w:trHeight w:val="288"/>
        </w:trPr>
        <w:tc>
          <w:tcPr>
            <w:tcW w:w="943" w:type="pct"/>
            <w:noWrap/>
            <w:vAlign w:val="bottom"/>
            <w:hideMark/>
          </w:tcPr>
          <w:p w14:paraId="1F3BEC49" w14:textId="77777777" w:rsidR="00337865" w:rsidRDefault="00337865" w:rsidP="00F36743">
            <w:pPr>
              <w:rPr>
                <w:rFonts w:ascii="Cambria" w:hAnsi="Cambria"/>
                <w:color w:val="000000"/>
                <w:sz w:val="20"/>
                <w:szCs w:val="20"/>
              </w:rPr>
            </w:pPr>
            <w:r>
              <w:rPr>
                <w:rFonts w:ascii="Cambria" w:hAnsi="Cambria"/>
                <w:color w:val="000000"/>
                <w:sz w:val="20"/>
              </w:rPr>
              <w:t>Maroc</w:t>
            </w:r>
          </w:p>
        </w:tc>
        <w:tc>
          <w:tcPr>
            <w:tcW w:w="1267" w:type="pct"/>
            <w:noWrap/>
            <w:vAlign w:val="bottom"/>
            <w:hideMark/>
          </w:tcPr>
          <w:p w14:paraId="58E47D84" w14:textId="77777777" w:rsidR="00337865" w:rsidRDefault="00337865" w:rsidP="00F36743">
            <w:pPr>
              <w:jc w:val="center"/>
              <w:rPr>
                <w:rFonts w:ascii="Cambria" w:hAnsi="Cambria"/>
                <w:color w:val="000000"/>
                <w:sz w:val="20"/>
                <w:szCs w:val="20"/>
              </w:rPr>
            </w:pPr>
            <w:r>
              <w:rPr>
                <w:rFonts w:ascii="Cambria" w:hAnsi="Cambria"/>
                <w:color w:val="000000"/>
                <w:sz w:val="20"/>
              </w:rPr>
              <w:t>AT002MAR00017</w:t>
            </w:r>
          </w:p>
        </w:tc>
        <w:tc>
          <w:tcPr>
            <w:tcW w:w="1267" w:type="pct"/>
            <w:noWrap/>
            <w:vAlign w:val="bottom"/>
            <w:hideMark/>
          </w:tcPr>
          <w:p w14:paraId="50B0185A" w14:textId="77777777" w:rsidR="00337865" w:rsidRDefault="00337865" w:rsidP="00F36743">
            <w:pPr>
              <w:jc w:val="center"/>
              <w:rPr>
                <w:rFonts w:ascii="Cambria" w:hAnsi="Cambria"/>
                <w:color w:val="000000"/>
                <w:sz w:val="20"/>
                <w:szCs w:val="20"/>
              </w:rPr>
            </w:pPr>
            <w:r>
              <w:rPr>
                <w:rFonts w:ascii="Cambria" w:hAnsi="Cambria"/>
                <w:color w:val="000000"/>
                <w:sz w:val="20"/>
              </w:rPr>
              <w:t>AT002MAR00017</w:t>
            </w:r>
          </w:p>
        </w:tc>
        <w:tc>
          <w:tcPr>
            <w:tcW w:w="1523" w:type="pct"/>
            <w:noWrap/>
            <w:vAlign w:val="bottom"/>
            <w:hideMark/>
          </w:tcPr>
          <w:p w14:paraId="0EA32803" w14:textId="77777777" w:rsidR="00337865" w:rsidRDefault="00337865" w:rsidP="00F36743">
            <w:pPr>
              <w:jc w:val="center"/>
              <w:rPr>
                <w:rFonts w:ascii="Cambria" w:hAnsi="Cambria"/>
                <w:color w:val="000000"/>
                <w:sz w:val="20"/>
                <w:szCs w:val="20"/>
              </w:rPr>
            </w:pPr>
            <w:r>
              <w:rPr>
                <w:rFonts w:ascii="Cambria" w:hAnsi="Cambria"/>
                <w:color w:val="000000"/>
                <w:sz w:val="20"/>
              </w:rPr>
              <w:t>AT002MAR00017</w:t>
            </w:r>
          </w:p>
        </w:tc>
      </w:tr>
      <w:tr w:rsidR="00337865" w14:paraId="464AF824" w14:textId="77777777" w:rsidTr="00C75467">
        <w:trPr>
          <w:trHeight w:val="288"/>
        </w:trPr>
        <w:tc>
          <w:tcPr>
            <w:tcW w:w="943" w:type="pct"/>
            <w:tcBorders>
              <w:bottom w:val="single" w:sz="4" w:space="0" w:color="auto"/>
            </w:tcBorders>
            <w:noWrap/>
            <w:vAlign w:val="bottom"/>
            <w:hideMark/>
          </w:tcPr>
          <w:p w14:paraId="3051BE44" w14:textId="77777777" w:rsidR="00337865" w:rsidRDefault="00337865" w:rsidP="00F36743">
            <w:pPr>
              <w:rPr>
                <w:rFonts w:ascii="Cambria" w:hAnsi="Cambria"/>
                <w:color w:val="000000"/>
                <w:sz w:val="20"/>
                <w:szCs w:val="20"/>
              </w:rPr>
            </w:pPr>
            <w:r>
              <w:rPr>
                <w:rFonts w:ascii="Cambria" w:hAnsi="Cambria"/>
                <w:color w:val="000000"/>
                <w:sz w:val="20"/>
              </w:rPr>
              <w:t>Maroc</w:t>
            </w:r>
          </w:p>
        </w:tc>
        <w:tc>
          <w:tcPr>
            <w:tcW w:w="1267" w:type="pct"/>
            <w:tcBorders>
              <w:bottom w:val="single" w:sz="4" w:space="0" w:color="auto"/>
            </w:tcBorders>
            <w:noWrap/>
            <w:vAlign w:val="bottom"/>
            <w:hideMark/>
          </w:tcPr>
          <w:p w14:paraId="4AFD1137" w14:textId="77777777" w:rsidR="00337865" w:rsidRDefault="00337865" w:rsidP="00F36743">
            <w:pPr>
              <w:jc w:val="center"/>
              <w:rPr>
                <w:rFonts w:ascii="Cambria" w:hAnsi="Cambria"/>
                <w:color w:val="000000"/>
                <w:sz w:val="20"/>
                <w:szCs w:val="20"/>
              </w:rPr>
            </w:pPr>
            <w:r>
              <w:rPr>
                <w:rFonts w:ascii="Cambria" w:hAnsi="Cambria"/>
                <w:color w:val="000000"/>
                <w:sz w:val="20"/>
              </w:rPr>
              <w:t>AT002MAR00018</w:t>
            </w:r>
          </w:p>
        </w:tc>
        <w:tc>
          <w:tcPr>
            <w:tcW w:w="1267" w:type="pct"/>
            <w:tcBorders>
              <w:bottom w:val="single" w:sz="4" w:space="0" w:color="auto"/>
            </w:tcBorders>
            <w:noWrap/>
            <w:vAlign w:val="bottom"/>
            <w:hideMark/>
          </w:tcPr>
          <w:p w14:paraId="698A5500" w14:textId="77777777" w:rsidR="00337865" w:rsidRDefault="00337865" w:rsidP="00F36743">
            <w:pPr>
              <w:jc w:val="center"/>
              <w:rPr>
                <w:rFonts w:ascii="Cambria" w:hAnsi="Cambria"/>
                <w:color w:val="000000"/>
                <w:sz w:val="20"/>
                <w:szCs w:val="20"/>
              </w:rPr>
            </w:pPr>
            <w:r>
              <w:rPr>
                <w:rFonts w:ascii="Cambria" w:hAnsi="Cambria"/>
                <w:color w:val="000000"/>
                <w:sz w:val="20"/>
              </w:rPr>
              <w:t>AT002MAR00018</w:t>
            </w:r>
          </w:p>
        </w:tc>
        <w:tc>
          <w:tcPr>
            <w:tcW w:w="1523" w:type="pct"/>
            <w:tcBorders>
              <w:bottom w:val="single" w:sz="4" w:space="0" w:color="auto"/>
            </w:tcBorders>
            <w:noWrap/>
            <w:vAlign w:val="bottom"/>
            <w:hideMark/>
          </w:tcPr>
          <w:p w14:paraId="7AEBE206" w14:textId="77777777" w:rsidR="00337865" w:rsidRDefault="00337865" w:rsidP="00F36743">
            <w:pPr>
              <w:jc w:val="center"/>
              <w:rPr>
                <w:rFonts w:ascii="Cambria" w:hAnsi="Cambria"/>
                <w:color w:val="000000"/>
                <w:sz w:val="20"/>
                <w:szCs w:val="20"/>
              </w:rPr>
            </w:pPr>
            <w:r>
              <w:rPr>
                <w:rFonts w:ascii="Cambria" w:hAnsi="Cambria"/>
                <w:color w:val="000000"/>
                <w:sz w:val="20"/>
              </w:rPr>
              <w:t>AT002MAR00018</w:t>
            </w:r>
          </w:p>
        </w:tc>
      </w:tr>
    </w:tbl>
    <w:p w14:paraId="15C0333F" w14:textId="77777777" w:rsidR="00876E7F" w:rsidRPr="00D15906" w:rsidRDefault="00876E7F" w:rsidP="00F36743">
      <w:pPr>
        <w:jc w:val="both"/>
        <w:rPr>
          <w:rFonts w:ascii="Cambria" w:hAnsi="Cambria"/>
          <w:sz w:val="20"/>
          <w:szCs w:val="20"/>
        </w:rPr>
      </w:pPr>
    </w:p>
    <w:p w14:paraId="6DC8BE7A" w14:textId="258453A3" w:rsidR="00C1114A" w:rsidRPr="00D15906" w:rsidRDefault="00C1114A" w:rsidP="00F36743">
      <w:pPr>
        <w:rPr>
          <w:rFonts w:ascii="Cambria" w:hAnsi="Cambria"/>
          <w:bCs/>
          <w:sz w:val="20"/>
          <w:szCs w:val="20"/>
        </w:rPr>
      </w:pPr>
      <w:r>
        <w:br w:type="page"/>
      </w:r>
    </w:p>
    <w:p w14:paraId="680DF7CB" w14:textId="75A805A3" w:rsidR="00C1114A" w:rsidRPr="00D15906" w:rsidRDefault="00C1114A" w:rsidP="00F36743">
      <w:pPr>
        <w:jc w:val="right"/>
        <w:rPr>
          <w:rFonts w:ascii="Cambria" w:hAnsi="Cambria"/>
          <w:b/>
          <w:sz w:val="20"/>
          <w:szCs w:val="20"/>
        </w:rPr>
      </w:pPr>
      <w:r>
        <w:rPr>
          <w:rFonts w:ascii="Cambria" w:hAnsi="Cambria"/>
          <w:b/>
          <w:sz w:val="20"/>
        </w:rPr>
        <w:t>Appendice 1</w:t>
      </w:r>
    </w:p>
    <w:p w14:paraId="0EF492F1" w14:textId="7AE80D19" w:rsidR="00C1114A" w:rsidRPr="00D15906" w:rsidRDefault="00C1114A" w:rsidP="00F36743">
      <w:pPr>
        <w:jc w:val="center"/>
        <w:rPr>
          <w:rFonts w:ascii="Cambria" w:hAnsi="Cambria"/>
          <w:b/>
          <w:sz w:val="20"/>
          <w:szCs w:val="20"/>
        </w:rPr>
      </w:pPr>
      <w:r>
        <w:rPr>
          <w:rFonts w:ascii="Cambria" w:hAnsi="Cambria"/>
          <w:b/>
          <w:sz w:val="20"/>
        </w:rPr>
        <w:t>Rapport du Consortium sur la mise en œuvre du ROP-BFT</w:t>
      </w:r>
    </w:p>
    <w:p w14:paraId="74B7C333" w14:textId="2EDC30E5" w:rsidR="00C1114A" w:rsidRPr="00D15906" w:rsidRDefault="00C1114A" w:rsidP="00F36743">
      <w:pPr>
        <w:jc w:val="center"/>
        <w:rPr>
          <w:rFonts w:ascii="Cambria" w:hAnsi="Cambria"/>
          <w:i/>
          <w:sz w:val="20"/>
          <w:szCs w:val="20"/>
        </w:rPr>
      </w:pPr>
      <w:r>
        <w:rPr>
          <w:rFonts w:ascii="Cambria" w:hAnsi="Cambria"/>
          <w:i/>
          <w:sz w:val="20"/>
        </w:rPr>
        <w:t>(Résumé exécutif)</w:t>
      </w:r>
    </w:p>
    <w:p w14:paraId="25D5F43A" w14:textId="77777777" w:rsidR="00C1114A" w:rsidRPr="000E7778" w:rsidRDefault="00C1114A" w:rsidP="00F36743">
      <w:pPr>
        <w:jc w:val="center"/>
        <w:rPr>
          <w:rFonts w:ascii="Cambria" w:hAnsi="Cambria"/>
          <w:i/>
          <w:sz w:val="20"/>
          <w:szCs w:val="20"/>
        </w:rPr>
      </w:pPr>
    </w:p>
    <w:p w14:paraId="2E7A391B" w14:textId="1F7F7103" w:rsidR="007711A6" w:rsidRDefault="007711A6" w:rsidP="00F36743">
      <w:pPr>
        <w:contextualSpacing/>
        <w:jc w:val="both"/>
        <w:rPr>
          <w:rFonts w:asciiTheme="majorHAnsi" w:hAnsiTheme="majorHAnsi"/>
          <w:sz w:val="20"/>
          <w:szCs w:val="20"/>
        </w:rPr>
      </w:pPr>
      <w:r>
        <w:rPr>
          <w:rFonts w:asciiTheme="majorHAnsi" w:hAnsiTheme="majorHAnsi"/>
          <w:sz w:val="20"/>
        </w:rPr>
        <w:t xml:space="preserve">Le prestataire de services chargé de la mise en œuvre de la seizième année (avril 2025/mars 2026) du ROP-BFT de l’ICCAT (dénommé ci-après le « Programme ») est composé d’un consortium dirigé par MRAG Ltd (dénommé ci-après « MRAG »), basé à Londres au RU, et COFREPÊCHE, basé à Paris en France. </w:t>
      </w:r>
      <w:r>
        <w:t>Le c</w:t>
      </w:r>
      <w:r>
        <w:rPr>
          <w:rFonts w:asciiTheme="majorHAnsi" w:hAnsiTheme="majorHAnsi"/>
          <w:sz w:val="20"/>
        </w:rPr>
        <w:t xml:space="preserve">onsortium est aidé par des partenaires régionaux (Sur-Koop en Türkiye et </w:t>
      </w:r>
      <w:proofErr w:type="spellStart"/>
      <w:r>
        <w:rPr>
          <w:rFonts w:asciiTheme="majorHAnsi" w:hAnsiTheme="majorHAnsi"/>
          <w:sz w:val="20"/>
        </w:rPr>
        <w:t>Oceanis</w:t>
      </w:r>
      <w:proofErr w:type="spellEnd"/>
      <w:r>
        <w:rPr>
          <w:rFonts w:asciiTheme="majorHAnsi" w:hAnsiTheme="majorHAnsi"/>
          <w:sz w:val="20"/>
        </w:rPr>
        <w:t xml:space="preserve"> en Italie et à Malte) et des centres régionaux gérés par le personnel associé au Portugal, en Espagne, en Croatie et en Algérie (dénommé ci-après « le consortium ») (</w:t>
      </w:r>
      <w:r w:rsidRPr="00C75467">
        <w:rPr>
          <w:rFonts w:asciiTheme="majorHAnsi" w:hAnsiTheme="majorHAnsi"/>
          <w:b/>
          <w:sz w:val="20"/>
        </w:rPr>
        <w:fldChar w:fldCharType="begin"/>
      </w:r>
      <w:r w:rsidRPr="00C75467">
        <w:rPr>
          <w:rFonts w:asciiTheme="majorHAnsi" w:hAnsiTheme="majorHAnsi"/>
          <w:b/>
          <w:sz w:val="20"/>
        </w:rPr>
        <w:instrText xml:space="preserve"> REF _Ref119687945 \h  \* MERGEFORMAT </w:instrText>
      </w:r>
      <w:r w:rsidRPr="00C75467">
        <w:rPr>
          <w:rFonts w:asciiTheme="majorHAnsi" w:hAnsiTheme="majorHAnsi"/>
          <w:b/>
          <w:sz w:val="20"/>
        </w:rPr>
      </w:r>
      <w:r w:rsidRPr="00C75467">
        <w:rPr>
          <w:rFonts w:asciiTheme="majorHAnsi" w:hAnsiTheme="majorHAnsi"/>
          <w:b/>
          <w:sz w:val="20"/>
        </w:rPr>
        <w:fldChar w:fldCharType="separate"/>
      </w:r>
      <w:r w:rsidR="00062DD1">
        <w:rPr>
          <w:rFonts w:asciiTheme="majorHAnsi" w:hAnsiTheme="majorHAnsi"/>
          <w:b/>
          <w:sz w:val="20"/>
        </w:rPr>
        <w:t>tableau</w:t>
      </w:r>
      <w:r w:rsidRPr="00C75467">
        <w:rPr>
          <w:rFonts w:asciiTheme="majorHAnsi" w:hAnsiTheme="majorHAnsi"/>
          <w:b/>
          <w:sz w:val="20"/>
        </w:rPr>
        <w:t xml:space="preserve"> 1</w:t>
      </w:r>
      <w:r w:rsidRPr="00C75467">
        <w:rPr>
          <w:rFonts w:asciiTheme="majorHAnsi" w:hAnsiTheme="majorHAnsi"/>
          <w:b/>
          <w:sz w:val="20"/>
        </w:rPr>
        <w:fldChar w:fldCharType="end"/>
      </w:r>
      <w:r>
        <w:t>).</w:t>
      </w:r>
    </w:p>
    <w:p w14:paraId="3AEF55F2" w14:textId="77777777" w:rsidR="001A6516" w:rsidRPr="00C75467" w:rsidRDefault="001A6516" w:rsidP="00F36743">
      <w:pPr>
        <w:jc w:val="both"/>
        <w:rPr>
          <w:rFonts w:asciiTheme="majorHAnsi" w:hAnsiTheme="majorHAnsi"/>
          <w:sz w:val="20"/>
          <w:szCs w:val="20"/>
        </w:rPr>
      </w:pPr>
    </w:p>
    <w:p w14:paraId="21ED9EC5" w14:textId="64977F29" w:rsidR="007711A6" w:rsidRPr="00D82283" w:rsidRDefault="007711A6" w:rsidP="00F36743">
      <w:pPr>
        <w:pStyle w:val="Caption"/>
        <w:spacing w:after="0"/>
        <w:rPr>
          <w:rFonts w:asciiTheme="majorHAnsi" w:hAnsiTheme="majorHAnsi"/>
          <w:sz w:val="20"/>
        </w:rPr>
      </w:pPr>
      <w:bookmarkStart w:id="1" w:name="_Toc211441984"/>
      <w:r w:rsidRPr="00D82283">
        <w:rPr>
          <w:rFonts w:asciiTheme="majorHAnsi" w:hAnsiTheme="majorHAnsi"/>
          <w:sz w:val="20"/>
        </w:rPr>
        <w:t xml:space="preserve">Tableau </w:t>
      </w:r>
      <w:r w:rsidRPr="00D82283">
        <w:rPr>
          <w:rFonts w:asciiTheme="majorHAnsi" w:hAnsiTheme="majorHAnsi"/>
          <w:sz w:val="20"/>
        </w:rPr>
        <w:fldChar w:fldCharType="begin"/>
      </w:r>
      <w:r w:rsidRPr="00D82283">
        <w:rPr>
          <w:rFonts w:asciiTheme="majorHAnsi" w:hAnsiTheme="majorHAnsi"/>
          <w:sz w:val="20"/>
        </w:rPr>
        <w:instrText xml:space="preserve"> SEQ Table \* ARABIC </w:instrText>
      </w:r>
      <w:r w:rsidRPr="00D82283">
        <w:rPr>
          <w:rFonts w:asciiTheme="majorHAnsi" w:hAnsiTheme="majorHAnsi"/>
          <w:sz w:val="20"/>
        </w:rPr>
        <w:fldChar w:fldCharType="separate"/>
      </w:r>
      <w:r w:rsidRPr="00D82283">
        <w:rPr>
          <w:rFonts w:asciiTheme="majorHAnsi" w:hAnsiTheme="majorHAnsi"/>
          <w:sz w:val="20"/>
        </w:rPr>
        <w:t>1</w:t>
      </w:r>
      <w:r w:rsidRPr="00D82283">
        <w:rPr>
          <w:rFonts w:asciiTheme="majorHAnsi" w:hAnsiTheme="majorHAnsi"/>
          <w:sz w:val="20"/>
        </w:rPr>
        <w:fldChar w:fldCharType="end"/>
      </w:r>
      <w:r w:rsidRPr="00D82283">
        <w:rPr>
          <w:rFonts w:asciiTheme="majorHAnsi" w:hAnsiTheme="majorHAnsi"/>
          <w:sz w:val="20"/>
        </w:rPr>
        <w:t xml:space="preserve">. </w:t>
      </w:r>
      <w:bookmarkEnd w:id="1"/>
      <w:r w:rsidRPr="00D82283">
        <w:rPr>
          <w:rFonts w:asciiTheme="majorHAnsi" w:hAnsiTheme="majorHAnsi"/>
          <w:b w:val="0"/>
          <w:sz w:val="20"/>
        </w:rPr>
        <w:t>Liste des partenaires et centres régionaux</w:t>
      </w:r>
    </w:p>
    <w:tbl>
      <w:tblPr>
        <w:tblStyle w:val="TableGrid"/>
        <w:tblW w:w="0" w:type="auto"/>
        <w:tblLook w:val="04A0" w:firstRow="1" w:lastRow="0" w:firstColumn="1" w:lastColumn="0" w:noHBand="0" w:noVBand="1"/>
      </w:tblPr>
      <w:tblGrid>
        <w:gridCol w:w="2547"/>
        <w:gridCol w:w="2693"/>
        <w:gridCol w:w="3776"/>
      </w:tblGrid>
      <w:tr w:rsidR="007711A6" w:rsidRPr="007711A6" w14:paraId="10D69F85" w14:textId="77777777" w:rsidTr="00A02F93">
        <w:trPr>
          <w:trHeight w:val="523"/>
        </w:trPr>
        <w:tc>
          <w:tcPr>
            <w:tcW w:w="2547" w:type="dxa"/>
            <w:shd w:val="clear" w:color="auto" w:fill="DBE5F1" w:themeFill="accent1" w:themeFillTint="33"/>
            <w:vAlign w:val="center"/>
          </w:tcPr>
          <w:p w14:paraId="33F0BCDD" w14:textId="77777777" w:rsidR="007711A6" w:rsidRPr="009E60C4" w:rsidRDefault="007711A6" w:rsidP="00F36743">
            <w:pPr>
              <w:pStyle w:val="TableTitleRow"/>
              <w:jc w:val="both"/>
              <w:rPr>
                <w:rFonts w:asciiTheme="majorHAnsi" w:hAnsiTheme="majorHAnsi"/>
                <w:i/>
                <w:iCs/>
              </w:rPr>
            </w:pPr>
            <w:r>
              <w:rPr>
                <w:rFonts w:asciiTheme="majorHAnsi" w:hAnsiTheme="majorHAnsi"/>
                <w:i/>
              </w:rPr>
              <w:t>Région</w:t>
            </w:r>
          </w:p>
        </w:tc>
        <w:tc>
          <w:tcPr>
            <w:tcW w:w="2693" w:type="dxa"/>
            <w:shd w:val="clear" w:color="auto" w:fill="DBE5F1" w:themeFill="accent1" w:themeFillTint="33"/>
            <w:vAlign w:val="center"/>
          </w:tcPr>
          <w:p w14:paraId="358A4732" w14:textId="77777777" w:rsidR="007711A6" w:rsidRPr="009E60C4" w:rsidRDefault="007711A6" w:rsidP="00F36743">
            <w:pPr>
              <w:pStyle w:val="TableTitleRow"/>
              <w:jc w:val="both"/>
              <w:rPr>
                <w:rFonts w:asciiTheme="majorHAnsi" w:hAnsiTheme="majorHAnsi"/>
                <w:i/>
                <w:iCs/>
              </w:rPr>
            </w:pPr>
            <w:r>
              <w:rPr>
                <w:rFonts w:asciiTheme="majorHAnsi" w:hAnsiTheme="majorHAnsi"/>
                <w:i/>
              </w:rPr>
              <w:t>Couverture de la CPC</w:t>
            </w:r>
          </w:p>
        </w:tc>
        <w:tc>
          <w:tcPr>
            <w:tcW w:w="3776" w:type="dxa"/>
            <w:shd w:val="clear" w:color="auto" w:fill="DBE5F1" w:themeFill="accent1" w:themeFillTint="33"/>
            <w:vAlign w:val="center"/>
          </w:tcPr>
          <w:p w14:paraId="14DA2BFF" w14:textId="77777777" w:rsidR="007711A6" w:rsidRPr="009E60C4" w:rsidRDefault="007711A6" w:rsidP="00F36743">
            <w:pPr>
              <w:pStyle w:val="TableTitleRow"/>
              <w:jc w:val="both"/>
              <w:rPr>
                <w:rFonts w:asciiTheme="majorHAnsi" w:hAnsiTheme="majorHAnsi"/>
                <w:i/>
                <w:iCs/>
              </w:rPr>
            </w:pPr>
            <w:r>
              <w:rPr>
                <w:rFonts w:asciiTheme="majorHAnsi" w:hAnsiTheme="majorHAnsi"/>
                <w:i/>
              </w:rPr>
              <w:t>Couverture du Consortium et de ses associés</w:t>
            </w:r>
          </w:p>
        </w:tc>
      </w:tr>
      <w:tr w:rsidR="007711A6" w:rsidRPr="007711A6" w14:paraId="2B352B93" w14:textId="77777777" w:rsidTr="00A02F93">
        <w:trPr>
          <w:trHeight w:val="828"/>
        </w:trPr>
        <w:tc>
          <w:tcPr>
            <w:tcW w:w="2547" w:type="dxa"/>
            <w:vAlign w:val="center"/>
          </w:tcPr>
          <w:p w14:paraId="14B2688B" w14:textId="77777777" w:rsidR="007711A6" w:rsidRPr="00C75467" w:rsidRDefault="007711A6" w:rsidP="00F36743">
            <w:pPr>
              <w:jc w:val="both"/>
              <w:rPr>
                <w:rFonts w:asciiTheme="majorHAnsi" w:hAnsiTheme="majorHAnsi"/>
                <w:sz w:val="20"/>
                <w:szCs w:val="20"/>
              </w:rPr>
            </w:pPr>
            <w:r>
              <w:rPr>
                <w:rFonts w:asciiTheme="majorHAnsi" w:hAnsiTheme="majorHAnsi"/>
                <w:sz w:val="20"/>
              </w:rPr>
              <w:t>Mer Méditerranée et mer Adriatique</w:t>
            </w:r>
          </w:p>
        </w:tc>
        <w:tc>
          <w:tcPr>
            <w:tcW w:w="2693" w:type="dxa"/>
            <w:vAlign w:val="center"/>
          </w:tcPr>
          <w:p w14:paraId="1B614AF4" w14:textId="77777777" w:rsidR="007711A6" w:rsidRPr="00C75467" w:rsidRDefault="007711A6" w:rsidP="00F36743">
            <w:pPr>
              <w:keepNext/>
              <w:ind w:firstLine="131"/>
              <w:jc w:val="both"/>
              <w:rPr>
                <w:rFonts w:asciiTheme="majorHAnsi" w:hAnsiTheme="majorHAnsi"/>
                <w:sz w:val="20"/>
                <w:szCs w:val="20"/>
              </w:rPr>
            </w:pPr>
            <w:r>
              <w:rPr>
                <w:rFonts w:asciiTheme="majorHAnsi" w:hAnsiTheme="majorHAnsi"/>
                <w:sz w:val="20"/>
              </w:rPr>
              <w:t>UE-Croatie</w:t>
            </w:r>
          </w:p>
          <w:p w14:paraId="7E853DCA" w14:textId="77777777" w:rsidR="007711A6" w:rsidRPr="00C75467" w:rsidRDefault="007711A6" w:rsidP="00F36743">
            <w:pPr>
              <w:keepNext/>
              <w:ind w:firstLine="131"/>
              <w:jc w:val="both"/>
              <w:rPr>
                <w:rFonts w:asciiTheme="majorHAnsi" w:hAnsiTheme="majorHAnsi"/>
                <w:sz w:val="20"/>
                <w:szCs w:val="20"/>
              </w:rPr>
            </w:pPr>
            <w:r>
              <w:rPr>
                <w:rFonts w:asciiTheme="majorHAnsi" w:hAnsiTheme="majorHAnsi"/>
                <w:sz w:val="20"/>
              </w:rPr>
              <w:t>Türkiye</w:t>
            </w:r>
          </w:p>
        </w:tc>
        <w:tc>
          <w:tcPr>
            <w:tcW w:w="3776" w:type="dxa"/>
            <w:vAlign w:val="center"/>
          </w:tcPr>
          <w:p w14:paraId="58A075B4" w14:textId="77777777" w:rsidR="007711A6" w:rsidRPr="00C75467" w:rsidRDefault="007711A6" w:rsidP="00F36743">
            <w:pPr>
              <w:keepNext/>
              <w:jc w:val="both"/>
              <w:rPr>
                <w:rFonts w:asciiTheme="majorHAnsi" w:hAnsiTheme="majorHAnsi"/>
                <w:sz w:val="20"/>
                <w:szCs w:val="20"/>
              </w:rPr>
            </w:pPr>
            <w:r>
              <w:rPr>
                <w:rFonts w:asciiTheme="majorHAnsi" w:hAnsiTheme="majorHAnsi"/>
                <w:sz w:val="20"/>
              </w:rPr>
              <w:t>MRAG (RU)</w:t>
            </w:r>
          </w:p>
          <w:p w14:paraId="1ED05608" w14:textId="77777777" w:rsidR="007711A6" w:rsidRPr="00C75467" w:rsidRDefault="007711A6" w:rsidP="00F36743">
            <w:pPr>
              <w:keepNext/>
              <w:jc w:val="both"/>
              <w:rPr>
                <w:rFonts w:asciiTheme="majorHAnsi" w:hAnsiTheme="majorHAnsi"/>
                <w:sz w:val="20"/>
                <w:szCs w:val="20"/>
              </w:rPr>
            </w:pPr>
            <w:proofErr w:type="spellStart"/>
            <w:r>
              <w:rPr>
                <w:rFonts w:asciiTheme="majorHAnsi" w:hAnsiTheme="majorHAnsi"/>
                <w:sz w:val="20"/>
              </w:rPr>
              <w:t>Sür</w:t>
            </w:r>
            <w:proofErr w:type="spellEnd"/>
            <w:r>
              <w:rPr>
                <w:rFonts w:asciiTheme="majorHAnsi" w:hAnsiTheme="majorHAnsi"/>
                <w:sz w:val="20"/>
              </w:rPr>
              <w:t>-Koop (Türkiye)</w:t>
            </w:r>
          </w:p>
          <w:p w14:paraId="39812A01" w14:textId="77777777" w:rsidR="007711A6" w:rsidRPr="00C75467" w:rsidRDefault="007711A6" w:rsidP="00F36743">
            <w:pPr>
              <w:keepNext/>
              <w:jc w:val="both"/>
              <w:rPr>
                <w:rFonts w:asciiTheme="majorHAnsi" w:hAnsiTheme="majorHAnsi"/>
                <w:sz w:val="20"/>
                <w:szCs w:val="20"/>
              </w:rPr>
            </w:pPr>
            <w:r>
              <w:rPr>
                <w:rFonts w:asciiTheme="majorHAnsi" w:hAnsiTheme="majorHAnsi"/>
                <w:sz w:val="20"/>
              </w:rPr>
              <w:t>Personnel associé de MRAG (Croatie)</w:t>
            </w:r>
          </w:p>
        </w:tc>
      </w:tr>
      <w:tr w:rsidR="007711A6" w:rsidRPr="00B66F43" w14:paraId="1EFB9AE3" w14:textId="77777777" w:rsidTr="00A02F93">
        <w:trPr>
          <w:trHeight w:val="828"/>
        </w:trPr>
        <w:tc>
          <w:tcPr>
            <w:tcW w:w="2547" w:type="dxa"/>
            <w:vAlign w:val="center"/>
          </w:tcPr>
          <w:p w14:paraId="31D57D9F" w14:textId="77777777" w:rsidR="007711A6" w:rsidRPr="00C75467" w:rsidRDefault="007711A6" w:rsidP="00F36743">
            <w:pPr>
              <w:jc w:val="both"/>
              <w:rPr>
                <w:rFonts w:asciiTheme="majorHAnsi" w:hAnsiTheme="majorHAnsi"/>
                <w:sz w:val="20"/>
                <w:szCs w:val="20"/>
              </w:rPr>
            </w:pPr>
            <w:r>
              <w:rPr>
                <w:rFonts w:asciiTheme="majorHAnsi" w:hAnsiTheme="majorHAnsi"/>
                <w:sz w:val="20"/>
              </w:rPr>
              <w:t>Méditerranée centre et sud</w:t>
            </w:r>
          </w:p>
        </w:tc>
        <w:tc>
          <w:tcPr>
            <w:tcW w:w="2693" w:type="dxa"/>
            <w:vAlign w:val="center"/>
          </w:tcPr>
          <w:p w14:paraId="664100B8" w14:textId="77777777" w:rsidR="007711A6" w:rsidRPr="00C75467" w:rsidRDefault="007711A6" w:rsidP="00F36743">
            <w:pPr>
              <w:keepNext/>
              <w:ind w:firstLine="131"/>
              <w:jc w:val="both"/>
              <w:rPr>
                <w:rFonts w:asciiTheme="majorHAnsi" w:hAnsiTheme="majorHAnsi"/>
                <w:sz w:val="20"/>
                <w:szCs w:val="20"/>
              </w:rPr>
            </w:pPr>
            <w:r>
              <w:rPr>
                <w:rFonts w:asciiTheme="majorHAnsi" w:hAnsiTheme="majorHAnsi"/>
                <w:sz w:val="20"/>
              </w:rPr>
              <w:t>Albanie</w:t>
            </w:r>
          </w:p>
          <w:p w14:paraId="66C58961" w14:textId="77777777" w:rsidR="007711A6" w:rsidRPr="00C75467" w:rsidRDefault="007711A6" w:rsidP="00F36743">
            <w:pPr>
              <w:keepNext/>
              <w:ind w:firstLine="131"/>
              <w:jc w:val="both"/>
              <w:rPr>
                <w:rFonts w:asciiTheme="majorHAnsi" w:hAnsiTheme="majorHAnsi"/>
                <w:sz w:val="20"/>
                <w:szCs w:val="20"/>
              </w:rPr>
            </w:pPr>
            <w:r>
              <w:rPr>
                <w:rFonts w:asciiTheme="majorHAnsi" w:hAnsiTheme="majorHAnsi"/>
                <w:sz w:val="20"/>
              </w:rPr>
              <w:t>Algérie</w:t>
            </w:r>
          </w:p>
          <w:p w14:paraId="433435B7" w14:textId="77777777" w:rsidR="007711A6" w:rsidRPr="00C75467" w:rsidRDefault="007711A6" w:rsidP="00F36743">
            <w:pPr>
              <w:keepNext/>
              <w:ind w:firstLine="131"/>
              <w:jc w:val="both"/>
              <w:rPr>
                <w:rFonts w:asciiTheme="majorHAnsi" w:hAnsiTheme="majorHAnsi"/>
                <w:sz w:val="20"/>
                <w:szCs w:val="20"/>
              </w:rPr>
            </w:pPr>
            <w:r>
              <w:rPr>
                <w:rFonts w:asciiTheme="majorHAnsi" w:hAnsiTheme="majorHAnsi"/>
                <w:sz w:val="20"/>
              </w:rPr>
              <w:t>UE-Chypre</w:t>
            </w:r>
          </w:p>
          <w:p w14:paraId="44FD8166" w14:textId="77777777" w:rsidR="007711A6" w:rsidRPr="00C75467" w:rsidRDefault="007711A6" w:rsidP="00F36743">
            <w:pPr>
              <w:keepNext/>
              <w:ind w:firstLine="131"/>
              <w:jc w:val="both"/>
              <w:rPr>
                <w:rFonts w:asciiTheme="majorHAnsi" w:hAnsiTheme="majorHAnsi"/>
                <w:sz w:val="20"/>
                <w:szCs w:val="20"/>
              </w:rPr>
            </w:pPr>
            <w:r>
              <w:rPr>
                <w:rFonts w:asciiTheme="majorHAnsi" w:hAnsiTheme="majorHAnsi"/>
                <w:sz w:val="20"/>
              </w:rPr>
              <w:t>UE-Malte</w:t>
            </w:r>
          </w:p>
          <w:p w14:paraId="4C5A10AD" w14:textId="77777777" w:rsidR="007711A6" w:rsidRPr="00C75467" w:rsidRDefault="007711A6" w:rsidP="00F36743">
            <w:pPr>
              <w:keepNext/>
              <w:ind w:firstLine="131"/>
              <w:jc w:val="both"/>
              <w:rPr>
                <w:rFonts w:asciiTheme="majorHAnsi" w:hAnsiTheme="majorHAnsi"/>
                <w:sz w:val="20"/>
                <w:szCs w:val="20"/>
              </w:rPr>
            </w:pPr>
            <w:r>
              <w:rPr>
                <w:rFonts w:asciiTheme="majorHAnsi" w:hAnsiTheme="majorHAnsi"/>
                <w:sz w:val="20"/>
              </w:rPr>
              <w:t>UE-Italie</w:t>
            </w:r>
          </w:p>
          <w:p w14:paraId="363EA8E5" w14:textId="77777777" w:rsidR="007711A6" w:rsidRPr="00C75467" w:rsidRDefault="007711A6" w:rsidP="00F36743">
            <w:pPr>
              <w:keepNext/>
              <w:ind w:firstLine="131"/>
              <w:jc w:val="both"/>
              <w:rPr>
                <w:rFonts w:asciiTheme="majorHAnsi" w:hAnsiTheme="majorHAnsi"/>
                <w:sz w:val="20"/>
                <w:szCs w:val="20"/>
              </w:rPr>
            </w:pPr>
            <w:r>
              <w:rPr>
                <w:rFonts w:asciiTheme="majorHAnsi" w:hAnsiTheme="majorHAnsi"/>
                <w:sz w:val="20"/>
              </w:rPr>
              <w:t>Libye</w:t>
            </w:r>
          </w:p>
          <w:p w14:paraId="1CE23030" w14:textId="77777777" w:rsidR="007711A6" w:rsidRPr="00C75467" w:rsidRDefault="007711A6" w:rsidP="00F36743">
            <w:pPr>
              <w:keepNext/>
              <w:ind w:firstLine="131"/>
              <w:jc w:val="both"/>
              <w:rPr>
                <w:rFonts w:asciiTheme="majorHAnsi" w:hAnsiTheme="majorHAnsi"/>
                <w:sz w:val="20"/>
                <w:szCs w:val="20"/>
              </w:rPr>
            </w:pPr>
            <w:r>
              <w:rPr>
                <w:rFonts w:asciiTheme="majorHAnsi" w:hAnsiTheme="majorHAnsi"/>
                <w:sz w:val="20"/>
              </w:rPr>
              <w:t>Maroc</w:t>
            </w:r>
          </w:p>
          <w:p w14:paraId="2C5F507E" w14:textId="77777777" w:rsidR="007711A6" w:rsidRPr="00C75467" w:rsidRDefault="007711A6" w:rsidP="00F36743">
            <w:pPr>
              <w:keepNext/>
              <w:ind w:firstLine="131"/>
              <w:jc w:val="both"/>
              <w:rPr>
                <w:rFonts w:asciiTheme="majorHAnsi" w:hAnsiTheme="majorHAnsi"/>
                <w:sz w:val="20"/>
                <w:szCs w:val="20"/>
              </w:rPr>
            </w:pPr>
            <w:r>
              <w:rPr>
                <w:rFonts w:asciiTheme="majorHAnsi" w:hAnsiTheme="majorHAnsi"/>
                <w:sz w:val="20"/>
              </w:rPr>
              <w:t>Tunisie</w:t>
            </w:r>
          </w:p>
          <w:p w14:paraId="5F9FCE4F" w14:textId="77777777" w:rsidR="007711A6" w:rsidRPr="00C75467" w:rsidRDefault="007711A6" w:rsidP="00F36743">
            <w:pPr>
              <w:keepNext/>
              <w:ind w:firstLine="131"/>
              <w:jc w:val="both"/>
              <w:rPr>
                <w:rFonts w:asciiTheme="majorHAnsi" w:hAnsiTheme="majorHAnsi"/>
                <w:sz w:val="20"/>
                <w:szCs w:val="20"/>
              </w:rPr>
            </w:pPr>
            <w:r>
              <w:rPr>
                <w:rFonts w:asciiTheme="majorHAnsi" w:hAnsiTheme="majorHAnsi"/>
                <w:sz w:val="20"/>
              </w:rPr>
              <w:t>Türkiye</w:t>
            </w:r>
          </w:p>
        </w:tc>
        <w:tc>
          <w:tcPr>
            <w:tcW w:w="3776" w:type="dxa"/>
            <w:vAlign w:val="center"/>
          </w:tcPr>
          <w:p w14:paraId="10BA930E" w14:textId="77777777" w:rsidR="007711A6" w:rsidRPr="00C75467" w:rsidRDefault="007711A6" w:rsidP="00F36743">
            <w:pPr>
              <w:keepNext/>
              <w:jc w:val="both"/>
              <w:rPr>
                <w:rFonts w:asciiTheme="majorHAnsi" w:hAnsiTheme="majorHAnsi"/>
                <w:sz w:val="20"/>
                <w:szCs w:val="20"/>
              </w:rPr>
            </w:pPr>
            <w:r>
              <w:rPr>
                <w:rFonts w:asciiTheme="majorHAnsi" w:hAnsiTheme="majorHAnsi"/>
                <w:sz w:val="20"/>
              </w:rPr>
              <w:t>MRAG (RU)</w:t>
            </w:r>
          </w:p>
          <w:p w14:paraId="60A83835" w14:textId="77777777" w:rsidR="007711A6" w:rsidRPr="00C75467" w:rsidRDefault="007711A6" w:rsidP="00F36743">
            <w:pPr>
              <w:keepNext/>
              <w:jc w:val="both"/>
              <w:rPr>
                <w:rFonts w:asciiTheme="majorHAnsi" w:hAnsiTheme="majorHAnsi"/>
                <w:sz w:val="20"/>
                <w:szCs w:val="20"/>
              </w:rPr>
            </w:pPr>
            <w:r>
              <w:rPr>
                <w:rFonts w:asciiTheme="majorHAnsi" w:hAnsiTheme="majorHAnsi"/>
                <w:sz w:val="20"/>
              </w:rPr>
              <w:t>Personnel associé de MRAG (Croatie)</w:t>
            </w:r>
          </w:p>
          <w:p w14:paraId="308124F8" w14:textId="77777777" w:rsidR="007711A6" w:rsidRPr="00C75467" w:rsidRDefault="007711A6" w:rsidP="00F36743">
            <w:pPr>
              <w:keepNext/>
              <w:jc w:val="both"/>
              <w:rPr>
                <w:rFonts w:asciiTheme="majorHAnsi" w:hAnsiTheme="majorHAnsi"/>
                <w:sz w:val="20"/>
                <w:szCs w:val="20"/>
              </w:rPr>
            </w:pPr>
            <w:r>
              <w:rPr>
                <w:rFonts w:asciiTheme="majorHAnsi" w:hAnsiTheme="majorHAnsi"/>
                <w:sz w:val="20"/>
              </w:rPr>
              <w:t>Personnel associé de MRAG (Espagne)</w:t>
            </w:r>
          </w:p>
          <w:p w14:paraId="6573FE28" w14:textId="77777777" w:rsidR="007711A6" w:rsidRPr="00C75467" w:rsidRDefault="007711A6" w:rsidP="00F36743">
            <w:pPr>
              <w:keepNext/>
              <w:jc w:val="both"/>
              <w:rPr>
                <w:rFonts w:asciiTheme="majorHAnsi" w:hAnsiTheme="majorHAnsi"/>
                <w:sz w:val="20"/>
                <w:szCs w:val="20"/>
              </w:rPr>
            </w:pPr>
            <w:proofErr w:type="spellStart"/>
            <w:r>
              <w:rPr>
                <w:rFonts w:asciiTheme="majorHAnsi" w:hAnsiTheme="majorHAnsi"/>
                <w:sz w:val="20"/>
              </w:rPr>
              <w:t>Cofrepeche</w:t>
            </w:r>
            <w:proofErr w:type="spellEnd"/>
            <w:r>
              <w:rPr>
                <w:rFonts w:asciiTheme="majorHAnsi" w:hAnsiTheme="majorHAnsi"/>
                <w:sz w:val="20"/>
              </w:rPr>
              <w:t xml:space="preserve"> (France)</w:t>
            </w:r>
          </w:p>
          <w:p w14:paraId="2DEA29FC" w14:textId="77777777" w:rsidR="007711A6" w:rsidRPr="00C75467" w:rsidRDefault="007711A6" w:rsidP="00F36743">
            <w:pPr>
              <w:keepNext/>
              <w:jc w:val="both"/>
              <w:rPr>
                <w:rFonts w:asciiTheme="majorHAnsi" w:hAnsiTheme="majorHAnsi"/>
                <w:sz w:val="20"/>
                <w:szCs w:val="20"/>
              </w:rPr>
            </w:pPr>
            <w:r>
              <w:rPr>
                <w:rFonts w:asciiTheme="majorHAnsi" w:hAnsiTheme="majorHAnsi"/>
                <w:sz w:val="20"/>
              </w:rPr>
              <w:t xml:space="preserve">Personnel associé de </w:t>
            </w:r>
            <w:proofErr w:type="spellStart"/>
            <w:r>
              <w:rPr>
                <w:rFonts w:asciiTheme="majorHAnsi" w:hAnsiTheme="majorHAnsi"/>
                <w:sz w:val="20"/>
              </w:rPr>
              <w:t>Cofrepeche</w:t>
            </w:r>
            <w:proofErr w:type="spellEnd"/>
            <w:r>
              <w:rPr>
                <w:rFonts w:asciiTheme="majorHAnsi" w:hAnsiTheme="majorHAnsi"/>
                <w:sz w:val="20"/>
              </w:rPr>
              <w:t xml:space="preserve"> (Algérie et Tunisie)</w:t>
            </w:r>
          </w:p>
          <w:p w14:paraId="0B598024" w14:textId="77777777" w:rsidR="007711A6" w:rsidRPr="000E7778" w:rsidRDefault="007711A6" w:rsidP="00F36743">
            <w:pPr>
              <w:keepNext/>
              <w:jc w:val="both"/>
              <w:rPr>
                <w:rFonts w:asciiTheme="majorHAnsi" w:hAnsiTheme="majorHAnsi"/>
                <w:sz w:val="20"/>
                <w:szCs w:val="20"/>
                <w:lang w:val="en-US"/>
              </w:rPr>
            </w:pPr>
            <w:proofErr w:type="spellStart"/>
            <w:r w:rsidRPr="000E7778">
              <w:rPr>
                <w:rFonts w:asciiTheme="majorHAnsi" w:hAnsiTheme="majorHAnsi"/>
                <w:sz w:val="20"/>
                <w:lang w:val="en-US"/>
              </w:rPr>
              <w:t>Sür</w:t>
            </w:r>
            <w:proofErr w:type="spellEnd"/>
            <w:r w:rsidRPr="000E7778">
              <w:rPr>
                <w:rFonts w:asciiTheme="majorHAnsi" w:hAnsiTheme="majorHAnsi"/>
                <w:sz w:val="20"/>
                <w:lang w:val="en-US"/>
              </w:rPr>
              <w:t>-Koop (Türkiye)</w:t>
            </w:r>
          </w:p>
          <w:p w14:paraId="0395A585" w14:textId="77777777" w:rsidR="007711A6" w:rsidRPr="000E7778" w:rsidRDefault="007711A6" w:rsidP="00F36743">
            <w:pPr>
              <w:keepNext/>
              <w:jc w:val="both"/>
              <w:rPr>
                <w:rFonts w:asciiTheme="majorHAnsi" w:hAnsiTheme="majorHAnsi"/>
                <w:sz w:val="20"/>
                <w:szCs w:val="20"/>
                <w:lang w:val="en-US"/>
              </w:rPr>
            </w:pPr>
            <w:proofErr w:type="spellStart"/>
            <w:r w:rsidRPr="000E7778">
              <w:rPr>
                <w:rFonts w:asciiTheme="majorHAnsi" w:hAnsiTheme="majorHAnsi"/>
                <w:sz w:val="20"/>
                <w:lang w:val="en-US"/>
              </w:rPr>
              <w:t>Oceanis</w:t>
            </w:r>
            <w:proofErr w:type="spellEnd"/>
            <w:r w:rsidRPr="000E7778">
              <w:rPr>
                <w:rFonts w:asciiTheme="majorHAnsi" w:hAnsiTheme="majorHAnsi"/>
                <w:sz w:val="20"/>
                <w:lang w:val="en-US"/>
              </w:rPr>
              <w:t xml:space="preserve"> (Italie)</w:t>
            </w:r>
          </w:p>
        </w:tc>
      </w:tr>
      <w:tr w:rsidR="007711A6" w:rsidRPr="007711A6" w14:paraId="0D2EB9F5" w14:textId="77777777" w:rsidTr="00A02F93">
        <w:trPr>
          <w:trHeight w:val="828"/>
        </w:trPr>
        <w:tc>
          <w:tcPr>
            <w:tcW w:w="2547" w:type="dxa"/>
            <w:vAlign w:val="center"/>
          </w:tcPr>
          <w:p w14:paraId="3571B974" w14:textId="77777777" w:rsidR="007711A6" w:rsidRPr="00C75467" w:rsidRDefault="007711A6" w:rsidP="00F36743">
            <w:pPr>
              <w:jc w:val="both"/>
              <w:rPr>
                <w:rFonts w:asciiTheme="majorHAnsi" w:hAnsiTheme="majorHAnsi"/>
                <w:sz w:val="20"/>
                <w:szCs w:val="20"/>
              </w:rPr>
            </w:pPr>
            <w:r>
              <w:rPr>
                <w:rFonts w:asciiTheme="majorHAnsi" w:hAnsiTheme="majorHAnsi"/>
                <w:sz w:val="20"/>
              </w:rPr>
              <w:t>Méditerranée de l’Ouest</w:t>
            </w:r>
          </w:p>
        </w:tc>
        <w:tc>
          <w:tcPr>
            <w:tcW w:w="2693" w:type="dxa"/>
            <w:vAlign w:val="center"/>
          </w:tcPr>
          <w:p w14:paraId="66E45973" w14:textId="77777777" w:rsidR="007711A6" w:rsidRPr="00C75467" w:rsidRDefault="007711A6" w:rsidP="00F36743">
            <w:pPr>
              <w:keepNext/>
              <w:ind w:firstLine="131"/>
              <w:jc w:val="both"/>
              <w:rPr>
                <w:rFonts w:asciiTheme="majorHAnsi" w:hAnsiTheme="majorHAnsi"/>
                <w:sz w:val="20"/>
                <w:szCs w:val="20"/>
              </w:rPr>
            </w:pPr>
            <w:r>
              <w:rPr>
                <w:rFonts w:asciiTheme="majorHAnsi" w:hAnsiTheme="majorHAnsi"/>
                <w:sz w:val="20"/>
              </w:rPr>
              <w:t>UE-France</w:t>
            </w:r>
          </w:p>
          <w:p w14:paraId="61488776" w14:textId="77777777" w:rsidR="007711A6" w:rsidRPr="00C75467" w:rsidRDefault="007711A6" w:rsidP="00F36743">
            <w:pPr>
              <w:keepNext/>
              <w:ind w:firstLine="131"/>
              <w:jc w:val="both"/>
              <w:rPr>
                <w:rFonts w:asciiTheme="majorHAnsi" w:hAnsiTheme="majorHAnsi"/>
                <w:sz w:val="20"/>
                <w:szCs w:val="20"/>
              </w:rPr>
            </w:pPr>
            <w:r>
              <w:rPr>
                <w:rFonts w:asciiTheme="majorHAnsi" w:hAnsiTheme="majorHAnsi"/>
                <w:sz w:val="20"/>
              </w:rPr>
              <w:t>UE-Italie</w:t>
            </w:r>
          </w:p>
          <w:p w14:paraId="3681AF48" w14:textId="77777777" w:rsidR="007711A6" w:rsidRPr="00C75467" w:rsidRDefault="007711A6" w:rsidP="00F36743">
            <w:pPr>
              <w:keepNext/>
              <w:ind w:firstLine="131"/>
              <w:jc w:val="both"/>
              <w:rPr>
                <w:rFonts w:asciiTheme="majorHAnsi" w:hAnsiTheme="majorHAnsi"/>
                <w:sz w:val="20"/>
                <w:szCs w:val="20"/>
              </w:rPr>
            </w:pPr>
            <w:r>
              <w:rPr>
                <w:rFonts w:asciiTheme="majorHAnsi" w:hAnsiTheme="majorHAnsi"/>
                <w:sz w:val="20"/>
              </w:rPr>
              <w:t>UE-Portugal</w:t>
            </w:r>
          </w:p>
          <w:p w14:paraId="282E28D6" w14:textId="77777777" w:rsidR="007711A6" w:rsidRPr="00C75467" w:rsidRDefault="007711A6" w:rsidP="00F36743">
            <w:pPr>
              <w:keepNext/>
              <w:ind w:firstLine="131"/>
              <w:jc w:val="both"/>
              <w:rPr>
                <w:rFonts w:asciiTheme="majorHAnsi" w:hAnsiTheme="majorHAnsi"/>
                <w:sz w:val="20"/>
                <w:szCs w:val="20"/>
              </w:rPr>
            </w:pPr>
            <w:r>
              <w:rPr>
                <w:rFonts w:asciiTheme="majorHAnsi" w:hAnsiTheme="majorHAnsi"/>
                <w:sz w:val="20"/>
              </w:rPr>
              <w:t>UE-Espagne</w:t>
            </w:r>
          </w:p>
        </w:tc>
        <w:tc>
          <w:tcPr>
            <w:tcW w:w="3776" w:type="dxa"/>
            <w:vAlign w:val="center"/>
          </w:tcPr>
          <w:p w14:paraId="0DE15EC1" w14:textId="77777777" w:rsidR="007711A6" w:rsidRPr="00C75467" w:rsidRDefault="007711A6" w:rsidP="00F36743">
            <w:pPr>
              <w:keepNext/>
              <w:jc w:val="both"/>
              <w:rPr>
                <w:rFonts w:asciiTheme="majorHAnsi" w:hAnsiTheme="majorHAnsi"/>
                <w:sz w:val="20"/>
                <w:szCs w:val="20"/>
              </w:rPr>
            </w:pPr>
            <w:r>
              <w:rPr>
                <w:rFonts w:asciiTheme="majorHAnsi" w:hAnsiTheme="majorHAnsi"/>
                <w:sz w:val="20"/>
              </w:rPr>
              <w:t>MRAG (RU)</w:t>
            </w:r>
          </w:p>
          <w:p w14:paraId="19FCD0C2" w14:textId="77777777" w:rsidR="007711A6" w:rsidRPr="00C75467" w:rsidRDefault="007711A6" w:rsidP="00F36743">
            <w:pPr>
              <w:keepNext/>
              <w:jc w:val="both"/>
              <w:rPr>
                <w:rFonts w:asciiTheme="majorHAnsi" w:hAnsiTheme="majorHAnsi"/>
                <w:sz w:val="20"/>
                <w:szCs w:val="20"/>
              </w:rPr>
            </w:pPr>
            <w:proofErr w:type="spellStart"/>
            <w:r>
              <w:rPr>
                <w:rFonts w:asciiTheme="majorHAnsi" w:hAnsiTheme="majorHAnsi"/>
                <w:sz w:val="20"/>
              </w:rPr>
              <w:t>Cofrepeche</w:t>
            </w:r>
            <w:proofErr w:type="spellEnd"/>
            <w:r>
              <w:rPr>
                <w:rFonts w:asciiTheme="majorHAnsi" w:hAnsiTheme="majorHAnsi"/>
                <w:sz w:val="20"/>
              </w:rPr>
              <w:t xml:space="preserve"> (France)</w:t>
            </w:r>
          </w:p>
          <w:p w14:paraId="12E15043" w14:textId="77777777" w:rsidR="007711A6" w:rsidRPr="00C75467" w:rsidRDefault="007711A6" w:rsidP="00F36743">
            <w:pPr>
              <w:keepNext/>
              <w:jc w:val="both"/>
              <w:rPr>
                <w:rFonts w:asciiTheme="majorHAnsi" w:hAnsiTheme="majorHAnsi"/>
                <w:sz w:val="20"/>
                <w:szCs w:val="20"/>
              </w:rPr>
            </w:pPr>
            <w:r>
              <w:rPr>
                <w:rFonts w:asciiTheme="majorHAnsi" w:hAnsiTheme="majorHAnsi"/>
                <w:sz w:val="20"/>
              </w:rPr>
              <w:t>Personnel associé de MRAG (Espagne)</w:t>
            </w:r>
          </w:p>
          <w:p w14:paraId="68D0CD24" w14:textId="77777777" w:rsidR="007711A6" w:rsidRPr="00C75467" w:rsidRDefault="007711A6" w:rsidP="00F36743">
            <w:pPr>
              <w:keepNext/>
              <w:jc w:val="both"/>
              <w:rPr>
                <w:rFonts w:asciiTheme="majorHAnsi" w:hAnsiTheme="majorHAnsi"/>
                <w:sz w:val="20"/>
                <w:szCs w:val="20"/>
              </w:rPr>
            </w:pPr>
            <w:r>
              <w:rPr>
                <w:rFonts w:asciiTheme="majorHAnsi" w:hAnsiTheme="majorHAnsi"/>
                <w:sz w:val="20"/>
              </w:rPr>
              <w:t>Personnel associé de MRAG (Portugal)</w:t>
            </w:r>
          </w:p>
          <w:p w14:paraId="2D5ABDC3" w14:textId="77777777" w:rsidR="007711A6" w:rsidRPr="00C75467" w:rsidRDefault="007711A6" w:rsidP="00F36743">
            <w:pPr>
              <w:keepNext/>
              <w:jc w:val="both"/>
              <w:rPr>
                <w:rFonts w:asciiTheme="majorHAnsi" w:hAnsiTheme="majorHAnsi"/>
                <w:sz w:val="20"/>
                <w:szCs w:val="20"/>
              </w:rPr>
            </w:pPr>
            <w:proofErr w:type="spellStart"/>
            <w:r>
              <w:rPr>
                <w:rFonts w:asciiTheme="majorHAnsi" w:hAnsiTheme="majorHAnsi"/>
                <w:sz w:val="20"/>
              </w:rPr>
              <w:t>Oceanis</w:t>
            </w:r>
            <w:proofErr w:type="spellEnd"/>
            <w:r>
              <w:rPr>
                <w:rFonts w:asciiTheme="majorHAnsi" w:hAnsiTheme="majorHAnsi"/>
                <w:sz w:val="20"/>
              </w:rPr>
              <w:t xml:space="preserve"> (Italie)</w:t>
            </w:r>
          </w:p>
        </w:tc>
      </w:tr>
      <w:tr w:rsidR="007711A6" w:rsidRPr="007711A6" w14:paraId="354B3044" w14:textId="77777777" w:rsidTr="00062DD1">
        <w:trPr>
          <w:trHeight w:val="602"/>
        </w:trPr>
        <w:tc>
          <w:tcPr>
            <w:tcW w:w="2547" w:type="dxa"/>
            <w:vAlign w:val="center"/>
          </w:tcPr>
          <w:p w14:paraId="54A0B6DB" w14:textId="77777777" w:rsidR="007711A6" w:rsidRPr="00C75467" w:rsidRDefault="007711A6" w:rsidP="00F36743">
            <w:pPr>
              <w:jc w:val="both"/>
              <w:rPr>
                <w:rFonts w:asciiTheme="majorHAnsi" w:hAnsiTheme="majorHAnsi"/>
                <w:sz w:val="20"/>
                <w:szCs w:val="20"/>
              </w:rPr>
            </w:pPr>
            <w:r>
              <w:rPr>
                <w:rFonts w:asciiTheme="majorHAnsi" w:hAnsiTheme="majorHAnsi"/>
                <w:sz w:val="20"/>
              </w:rPr>
              <w:t>Mer cantabrique</w:t>
            </w:r>
          </w:p>
        </w:tc>
        <w:tc>
          <w:tcPr>
            <w:tcW w:w="2693" w:type="dxa"/>
            <w:vAlign w:val="center"/>
          </w:tcPr>
          <w:p w14:paraId="3493DB02" w14:textId="77777777" w:rsidR="007711A6" w:rsidRPr="00C75467" w:rsidDel="006478F8" w:rsidRDefault="007711A6" w:rsidP="00F36743">
            <w:pPr>
              <w:keepNext/>
              <w:ind w:firstLine="131"/>
              <w:jc w:val="both"/>
              <w:rPr>
                <w:rFonts w:asciiTheme="majorHAnsi" w:hAnsiTheme="majorHAnsi"/>
                <w:sz w:val="20"/>
                <w:szCs w:val="20"/>
              </w:rPr>
            </w:pPr>
            <w:r>
              <w:rPr>
                <w:rFonts w:asciiTheme="majorHAnsi" w:hAnsiTheme="majorHAnsi"/>
                <w:sz w:val="20"/>
              </w:rPr>
              <w:t>UE-Espagne</w:t>
            </w:r>
          </w:p>
        </w:tc>
        <w:tc>
          <w:tcPr>
            <w:tcW w:w="3776" w:type="dxa"/>
            <w:vAlign w:val="center"/>
          </w:tcPr>
          <w:p w14:paraId="2745A156" w14:textId="77777777" w:rsidR="007711A6" w:rsidRPr="00C75467" w:rsidRDefault="007711A6" w:rsidP="00F36743">
            <w:pPr>
              <w:keepNext/>
              <w:jc w:val="both"/>
              <w:rPr>
                <w:rFonts w:asciiTheme="majorHAnsi" w:hAnsiTheme="majorHAnsi"/>
                <w:sz w:val="20"/>
                <w:szCs w:val="20"/>
              </w:rPr>
            </w:pPr>
            <w:r>
              <w:rPr>
                <w:rFonts w:asciiTheme="majorHAnsi" w:hAnsiTheme="majorHAnsi"/>
                <w:sz w:val="20"/>
              </w:rPr>
              <w:t>Personnel associé de MRAG (Espagne)</w:t>
            </w:r>
          </w:p>
        </w:tc>
      </w:tr>
      <w:tr w:rsidR="007711A6" w:rsidRPr="007711A6" w14:paraId="6CA7700F" w14:textId="77777777" w:rsidTr="00A02F93">
        <w:trPr>
          <w:trHeight w:val="465"/>
        </w:trPr>
        <w:tc>
          <w:tcPr>
            <w:tcW w:w="2547" w:type="dxa"/>
            <w:vAlign w:val="center"/>
          </w:tcPr>
          <w:p w14:paraId="20877A3F" w14:textId="77777777" w:rsidR="007711A6" w:rsidRPr="00C75467" w:rsidRDefault="007711A6" w:rsidP="00F36743">
            <w:pPr>
              <w:jc w:val="both"/>
              <w:rPr>
                <w:rFonts w:asciiTheme="majorHAnsi" w:hAnsiTheme="majorHAnsi"/>
                <w:sz w:val="20"/>
                <w:szCs w:val="20"/>
              </w:rPr>
            </w:pPr>
            <w:r>
              <w:rPr>
                <w:rFonts w:asciiTheme="majorHAnsi" w:hAnsiTheme="majorHAnsi"/>
                <w:sz w:val="20"/>
              </w:rPr>
              <w:t>Norvège</w:t>
            </w:r>
          </w:p>
        </w:tc>
        <w:tc>
          <w:tcPr>
            <w:tcW w:w="2693" w:type="dxa"/>
            <w:vAlign w:val="center"/>
          </w:tcPr>
          <w:p w14:paraId="086978B0" w14:textId="77777777" w:rsidR="007711A6" w:rsidRPr="00C75467" w:rsidRDefault="007711A6" w:rsidP="00F36743">
            <w:pPr>
              <w:keepNext/>
              <w:ind w:firstLine="131"/>
              <w:jc w:val="both"/>
              <w:rPr>
                <w:rFonts w:asciiTheme="majorHAnsi" w:hAnsiTheme="majorHAnsi"/>
                <w:sz w:val="20"/>
                <w:szCs w:val="20"/>
              </w:rPr>
            </w:pPr>
            <w:r>
              <w:rPr>
                <w:rFonts w:asciiTheme="majorHAnsi" w:hAnsiTheme="majorHAnsi"/>
                <w:sz w:val="20"/>
              </w:rPr>
              <w:t>Norvège</w:t>
            </w:r>
          </w:p>
        </w:tc>
        <w:tc>
          <w:tcPr>
            <w:tcW w:w="3776" w:type="dxa"/>
            <w:vAlign w:val="center"/>
          </w:tcPr>
          <w:p w14:paraId="5147BB72" w14:textId="77777777" w:rsidR="007711A6" w:rsidRPr="00C75467" w:rsidRDefault="007711A6" w:rsidP="00F36743">
            <w:pPr>
              <w:keepNext/>
              <w:jc w:val="both"/>
              <w:rPr>
                <w:rFonts w:asciiTheme="majorHAnsi" w:hAnsiTheme="majorHAnsi"/>
                <w:sz w:val="20"/>
                <w:szCs w:val="20"/>
              </w:rPr>
            </w:pPr>
            <w:r>
              <w:rPr>
                <w:rFonts w:asciiTheme="majorHAnsi" w:hAnsiTheme="majorHAnsi"/>
                <w:sz w:val="20"/>
              </w:rPr>
              <w:t>MRAG (UK)</w:t>
            </w:r>
          </w:p>
          <w:p w14:paraId="47EEF781" w14:textId="77777777" w:rsidR="007711A6" w:rsidRPr="00C75467" w:rsidRDefault="007711A6" w:rsidP="00F36743">
            <w:pPr>
              <w:keepNext/>
              <w:jc w:val="both"/>
              <w:rPr>
                <w:rFonts w:asciiTheme="majorHAnsi" w:hAnsiTheme="majorHAnsi"/>
                <w:sz w:val="20"/>
                <w:szCs w:val="20"/>
              </w:rPr>
            </w:pPr>
            <w:r>
              <w:rPr>
                <w:rFonts w:asciiTheme="majorHAnsi" w:hAnsiTheme="majorHAnsi"/>
                <w:sz w:val="20"/>
              </w:rPr>
              <w:t>Personnel associé de MRAG (Espagne)</w:t>
            </w:r>
          </w:p>
          <w:p w14:paraId="3599E9B4" w14:textId="77777777" w:rsidR="007711A6" w:rsidRPr="00C75467" w:rsidRDefault="007711A6" w:rsidP="00F36743">
            <w:pPr>
              <w:keepNext/>
              <w:jc w:val="both"/>
              <w:rPr>
                <w:rFonts w:asciiTheme="majorHAnsi" w:hAnsiTheme="majorHAnsi"/>
                <w:sz w:val="20"/>
                <w:szCs w:val="20"/>
              </w:rPr>
            </w:pPr>
            <w:r>
              <w:rPr>
                <w:rFonts w:asciiTheme="majorHAnsi" w:hAnsiTheme="majorHAnsi"/>
                <w:sz w:val="20"/>
              </w:rPr>
              <w:t>Personnel associé de MRAG (Croatie)</w:t>
            </w:r>
          </w:p>
        </w:tc>
      </w:tr>
    </w:tbl>
    <w:p w14:paraId="2EFFABBA" w14:textId="77777777" w:rsidR="001A6516" w:rsidRDefault="001A6516" w:rsidP="00F36743">
      <w:pPr>
        <w:jc w:val="both"/>
        <w:rPr>
          <w:rFonts w:asciiTheme="majorHAnsi" w:hAnsiTheme="majorHAnsi"/>
          <w:sz w:val="20"/>
          <w:szCs w:val="20"/>
        </w:rPr>
      </w:pPr>
    </w:p>
    <w:p w14:paraId="6E82EF33" w14:textId="4701E6CA" w:rsidR="007711A6" w:rsidRDefault="007711A6" w:rsidP="00F36743">
      <w:pPr>
        <w:jc w:val="both"/>
        <w:rPr>
          <w:rFonts w:asciiTheme="majorHAnsi" w:hAnsiTheme="majorHAnsi"/>
          <w:sz w:val="20"/>
          <w:szCs w:val="20"/>
        </w:rPr>
      </w:pPr>
      <w:r>
        <w:rPr>
          <w:rFonts w:asciiTheme="majorHAnsi" w:hAnsiTheme="majorHAnsi"/>
          <w:sz w:val="20"/>
        </w:rPr>
        <w:t xml:space="preserve">Le Programme permet à l’ICCAT d'évaluer l'application du cadre réglementaire. Ce rapport résume un total de 212 déploiements sur les senneurs autorisés pendant la saison de pêche 2025 ainsi que dans 38 fermes, réalisés à ce jour depuis le début du contrat actuel. En outre, 29 déploiements dans des fermes sont inclus de la saison précédente faisant suite à la soumission du dernier rapport annuel et au début du contrat de services actuel. </w:t>
      </w:r>
    </w:p>
    <w:p w14:paraId="72F69EA8" w14:textId="77777777" w:rsidR="001A6516" w:rsidRPr="00C75467" w:rsidRDefault="001A6516" w:rsidP="00F36743">
      <w:pPr>
        <w:jc w:val="both"/>
        <w:rPr>
          <w:rFonts w:asciiTheme="majorHAnsi" w:hAnsiTheme="majorHAnsi"/>
          <w:sz w:val="20"/>
          <w:szCs w:val="20"/>
        </w:rPr>
      </w:pPr>
    </w:p>
    <w:p w14:paraId="301F6C31" w14:textId="77777777" w:rsidR="007711A6" w:rsidRDefault="007711A6" w:rsidP="00F36743">
      <w:pPr>
        <w:jc w:val="both"/>
        <w:rPr>
          <w:rFonts w:asciiTheme="majorHAnsi" w:hAnsiTheme="majorHAnsi"/>
          <w:sz w:val="20"/>
          <w:szCs w:val="20"/>
        </w:rPr>
      </w:pPr>
      <w:r>
        <w:rPr>
          <w:rFonts w:asciiTheme="majorHAnsi" w:hAnsiTheme="majorHAnsi"/>
          <w:sz w:val="20"/>
        </w:rPr>
        <w:t xml:space="preserve">Une couverture d’observateurs de cent pour cent a été atteinte sur l’ensemble des senneurs, fermes et </w:t>
      </w:r>
      <w:proofErr w:type="gramStart"/>
      <w:r>
        <w:rPr>
          <w:rFonts w:asciiTheme="majorHAnsi" w:hAnsiTheme="majorHAnsi"/>
          <w:sz w:val="20"/>
        </w:rPr>
        <w:t>madragues autorisés</w:t>
      </w:r>
      <w:proofErr w:type="gramEnd"/>
      <w:r>
        <w:rPr>
          <w:rFonts w:asciiTheme="majorHAnsi" w:hAnsiTheme="majorHAnsi"/>
          <w:sz w:val="20"/>
        </w:rPr>
        <w:t xml:space="preserve"> relevant du mandat du programme, ce qui a consisté au suivi des activités de pêche, de transfert, de mise en cage, de libération et de mise à mort.</w:t>
      </w:r>
    </w:p>
    <w:p w14:paraId="7D284AEC" w14:textId="77777777" w:rsidR="001A6516" w:rsidRPr="00C75467" w:rsidRDefault="001A6516" w:rsidP="00F36743">
      <w:pPr>
        <w:jc w:val="both"/>
        <w:rPr>
          <w:rFonts w:asciiTheme="majorHAnsi" w:hAnsiTheme="majorHAnsi"/>
          <w:sz w:val="20"/>
          <w:szCs w:val="20"/>
        </w:rPr>
      </w:pPr>
    </w:p>
    <w:p w14:paraId="40866699" w14:textId="77777777" w:rsidR="007711A6" w:rsidRPr="00D22E76" w:rsidRDefault="007711A6" w:rsidP="00F36743">
      <w:pPr>
        <w:jc w:val="both"/>
        <w:rPr>
          <w:rFonts w:asciiTheme="majorHAnsi" w:hAnsiTheme="majorHAnsi"/>
          <w:sz w:val="20"/>
          <w:szCs w:val="20"/>
        </w:rPr>
      </w:pPr>
      <w:r w:rsidRPr="00D22E76">
        <w:rPr>
          <w:rFonts w:asciiTheme="majorHAnsi" w:hAnsiTheme="majorHAnsi"/>
          <w:sz w:val="20"/>
          <w:szCs w:val="20"/>
        </w:rPr>
        <w:t>Ce rapport décrit les principaux problèmes et développements dans la mise en œuvre du Programme dans sa quinzième année, conformément aux exigences. Ils sont divisés en catégories opérationnelles et techniques et fournissent des points de vue sur les problèmes ayant affecté la mission des observateurs lors des déploiements. La capacité des observateurs à estimer le nombre de thons et les comparaisons avec les estimations officielles pendant les opérations de transfert et de mise en cage sont examinées. Les cas de non-application potentielle (PNC) enregistrés par les observateurs sont ici résumés, y compris ceux signalés pour les opérations de transfert et de mise en cage ainsi que pour des événements généraux.</w:t>
      </w:r>
    </w:p>
    <w:p w14:paraId="57E4F1BE" w14:textId="77777777" w:rsidR="00C1114A" w:rsidRPr="00D15906" w:rsidRDefault="00C1114A" w:rsidP="00F36743">
      <w:pPr>
        <w:jc w:val="center"/>
        <w:rPr>
          <w:rFonts w:ascii="Cambria" w:hAnsi="Cambria"/>
          <w:i/>
          <w:sz w:val="20"/>
          <w:szCs w:val="20"/>
        </w:rPr>
      </w:pPr>
    </w:p>
    <w:sectPr w:rsidR="00C1114A" w:rsidRPr="00D15906" w:rsidSect="006C243B">
      <w:headerReference w:type="default" r:id="rId14"/>
      <w:footerReference w:type="default" r:id="rId15"/>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DBEA2" w14:textId="77777777" w:rsidR="004761C1" w:rsidRDefault="004761C1">
      <w:r>
        <w:separator/>
      </w:r>
    </w:p>
  </w:endnote>
  <w:endnote w:type="continuationSeparator" w:id="0">
    <w:p w14:paraId="3ACD58AB" w14:textId="77777777" w:rsidR="004761C1" w:rsidRDefault="0047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E131" w14:textId="79E3161F" w:rsidR="00035802" w:rsidRPr="00797CFD" w:rsidRDefault="00062DD1" w:rsidP="00797CFD">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810910487"/>
        <w:docPartObj>
          <w:docPartGallery w:val="Page Numbers (Top of Page)"/>
          <w:docPartUnique/>
        </w:docPartObj>
      </w:sdtPr>
      <w:sdtEndPr/>
      <w:sdtContent>
        <w:r w:rsidR="00797CFD" w:rsidRPr="00713AD4">
          <w:rPr>
            <w:rFonts w:ascii="Cambria" w:eastAsia="Calibri" w:hAnsi="Cambria" w:cs="Calibri"/>
            <w:sz w:val="20"/>
          </w:rPr>
          <w:fldChar w:fldCharType="begin"/>
        </w:r>
        <w:r w:rsidR="00797CFD" w:rsidRPr="00713AD4">
          <w:rPr>
            <w:rFonts w:ascii="Cambria" w:eastAsia="Calibri" w:hAnsi="Cambria" w:cs="Calibri"/>
            <w:sz w:val="20"/>
          </w:rPr>
          <w:instrText xml:space="preserve"> PAGE </w:instrText>
        </w:r>
        <w:r w:rsidR="00797CFD" w:rsidRPr="00713AD4">
          <w:rPr>
            <w:rFonts w:ascii="Cambria" w:eastAsia="Calibri" w:hAnsi="Cambria" w:cs="Calibri"/>
            <w:sz w:val="20"/>
          </w:rPr>
          <w:fldChar w:fldCharType="separate"/>
        </w:r>
        <w:r w:rsidR="00797CFD">
          <w:rPr>
            <w:rFonts w:ascii="Cambria" w:eastAsia="Calibri" w:hAnsi="Cambria" w:cs="Calibri"/>
            <w:sz w:val="20"/>
          </w:rPr>
          <w:t>1</w:t>
        </w:r>
        <w:r w:rsidR="00797CFD" w:rsidRPr="00713AD4">
          <w:rPr>
            <w:rFonts w:ascii="Cambria" w:eastAsia="Calibri" w:hAnsi="Cambria" w:cs="Calibri"/>
            <w:sz w:val="20"/>
          </w:rPr>
          <w:fldChar w:fldCharType="end"/>
        </w:r>
        <w:r w:rsidR="00870115">
          <w:rPr>
            <w:rFonts w:ascii="Cambria" w:hAnsi="Cambria"/>
            <w:sz w:val="20"/>
          </w:rPr>
          <w:t xml:space="preserve"> / </w:t>
        </w:r>
        <w:r w:rsidR="00797CFD" w:rsidRPr="00713AD4">
          <w:rPr>
            <w:rFonts w:ascii="Cambria" w:eastAsia="Calibri" w:hAnsi="Cambria" w:cs="Calibri"/>
            <w:sz w:val="20"/>
          </w:rPr>
          <w:fldChar w:fldCharType="begin"/>
        </w:r>
        <w:r w:rsidR="00797CFD" w:rsidRPr="00713AD4">
          <w:rPr>
            <w:rFonts w:ascii="Cambria" w:eastAsia="Calibri" w:hAnsi="Cambria" w:cs="Calibri"/>
            <w:sz w:val="20"/>
          </w:rPr>
          <w:instrText xml:space="preserve"> NUMPAGES  </w:instrText>
        </w:r>
        <w:r w:rsidR="00797CFD" w:rsidRPr="00713AD4">
          <w:rPr>
            <w:rFonts w:ascii="Cambria" w:eastAsia="Calibri" w:hAnsi="Cambria" w:cs="Calibri"/>
            <w:sz w:val="20"/>
          </w:rPr>
          <w:fldChar w:fldCharType="separate"/>
        </w:r>
        <w:r w:rsidR="00797CFD">
          <w:rPr>
            <w:rFonts w:ascii="Cambria" w:eastAsia="Calibri" w:hAnsi="Cambria" w:cs="Calibri"/>
            <w:sz w:val="20"/>
          </w:rPr>
          <w:t>1</w:t>
        </w:r>
        <w:r w:rsidR="00797CFD" w:rsidRPr="00713AD4">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AC199" w14:textId="77777777" w:rsidR="004761C1" w:rsidRDefault="004761C1">
      <w:r>
        <w:separator/>
      </w:r>
    </w:p>
  </w:footnote>
  <w:footnote w:type="continuationSeparator" w:id="0">
    <w:p w14:paraId="311E5CB9" w14:textId="77777777" w:rsidR="004761C1" w:rsidRDefault="004761C1">
      <w:r>
        <w:continuationSeparator/>
      </w:r>
    </w:p>
  </w:footnote>
  <w:footnote w:id="1">
    <w:p w14:paraId="08BE0484" w14:textId="643EB179" w:rsidR="00035802" w:rsidRPr="00F476C9" w:rsidRDefault="00035802" w:rsidP="00F476C9">
      <w:pPr>
        <w:pStyle w:val="FootnoteText"/>
        <w:jc w:val="both"/>
        <w:rPr>
          <w:rFonts w:ascii="Cambria" w:hAnsi="Cambria"/>
          <w:sz w:val="16"/>
          <w:szCs w:val="16"/>
        </w:rPr>
      </w:pPr>
      <w:r>
        <w:rPr>
          <w:rStyle w:val="FootnoteReference"/>
          <w:rFonts w:ascii="Cambria" w:hAnsi="Cambria"/>
          <w:sz w:val="16"/>
          <w:szCs w:val="16"/>
        </w:rPr>
        <w:footnoteRef/>
      </w:r>
      <w:r>
        <w:rPr>
          <w:rFonts w:ascii="Cambria" w:hAnsi="Cambria"/>
          <w:sz w:val="16"/>
        </w:rPr>
        <w:t xml:space="preserve"> En date du 17 octobre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3137" w14:textId="3A210CE6" w:rsidR="00797CFD" w:rsidRPr="00793F38" w:rsidRDefault="009C30F8" w:rsidP="00797CFD">
    <w:pPr>
      <w:tabs>
        <w:tab w:val="center" w:pos="4680"/>
        <w:tab w:val="left" w:pos="6520"/>
        <w:tab w:val="right" w:pos="9360"/>
        <w:tab w:val="right" w:pos="14240"/>
      </w:tabs>
      <w:jc w:val="right"/>
      <w:rPr>
        <w:rFonts w:ascii="Cambria" w:eastAsia="Calibri" w:hAnsi="Cambria"/>
        <w:b/>
        <w:bCs/>
        <w:sz w:val="20"/>
        <w:szCs w:val="20"/>
      </w:rPr>
    </w:pPr>
    <w:bookmarkStart w:id="2" w:name="_Hlk107908354"/>
    <w:bookmarkStart w:id="3" w:name="_Hlk107908355"/>
    <w:bookmarkStart w:id="4" w:name="_Hlk107908359"/>
    <w:bookmarkStart w:id="5" w:name="_Hlk107908360"/>
    <w:bookmarkStart w:id="6" w:name="_Hlk107908361"/>
    <w:bookmarkStart w:id="7" w:name="_Hlk107908362"/>
    <w:r>
      <w:rPr>
        <w:rFonts w:ascii="Cambria" w:hAnsi="Cambria"/>
        <w:b/>
        <w:sz w:val="20"/>
      </w:rPr>
      <w:t>PA2_601/2025</w:t>
    </w:r>
  </w:p>
  <w:p w14:paraId="1FF46B88" w14:textId="7E9F7538" w:rsidR="00035802" w:rsidRPr="00500541" w:rsidRDefault="00797CFD" w:rsidP="00797CFD">
    <w:pPr>
      <w:spacing w:line="240" w:lineRule="exact"/>
      <w:jc w:val="right"/>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A4772E">
      <w:rPr>
        <w:rFonts w:ascii="Cambria" w:hAnsi="Cambria"/>
        <w:b/>
        <w:noProof/>
        <w:sz w:val="16"/>
      </w:rPr>
      <w:t>15/11/2025 16:52</w:t>
    </w:r>
    <w:r w:rsidRPr="00793F38">
      <w:rPr>
        <w:rFonts w:ascii="Cambria" w:hAnsi="Cambria"/>
        <w:b/>
        <w:bCs/>
        <w:sz w:val="16"/>
        <w:szCs w:val="16"/>
        <w:lang w:val="es-ES_tradnl"/>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06D6"/>
    <w:multiLevelType w:val="multilevel"/>
    <w:tmpl w:val="F8C64D72"/>
    <w:lvl w:ilvl="0">
      <w:start w:val="6"/>
      <w:numFmt w:val="decimal"/>
      <w:lvlText w:val="%1"/>
      <w:lvlJc w:val="left"/>
      <w:pPr>
        <w:tabs>
          <w:tab w:val="num" w:pos="405"/>
        </w:tabs>
        <w:ind w:left="405" w:hanging="405"/>
      </w:pPr>
      <w:rPr>
        <w:rFonts w:hint="default"/>
      </w:rPr>
    </w:lvl>
    <w:lvl w:ilvl="1">
      <w:start w:val="5"/>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1" w15:restartNumberingAfterBreak="0">
    <w:nsid w:val="0FD762B4"/>
    <w:multiLevelType w:val="multilevel"/>
    <w:tmpl w:val="9A706B4A"/>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 w15:restartNumberingAfterBreak="0">
    <w:nsid w:val="16834BF0"/>
    <w:multiLevelType w:val="hybridMultilevel"/>
    <w:tmpl w:val="77E29956"/>
    <w:lvl w:ilvl="0" w:tplc="B6E4C42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F9072AF"/>
    <w:multiLevelType w:val="multilevel"/>
    <w:tmpl w:val="E4EE2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C375AE"/>
    <w:multiLevelType w:val="hybridMultilevel"/>
    <w:tmpl w:val="149CEC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7526C"/>
    <w:multiLevelType w:val="multilevel"/>
    <w:tmpl w:val="A394D11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6" w15:restartNumberingAfterBreak="0">
    <w:nsid w:val="3DD846C9"/>
    <w:multiLevelType w:val="hybridMultilevel"/>
    <w:tmpl w:val="5852C18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0037A91"/>
    <w:multiLevelType w:val="hybridMultilevel"/>
    <w:tmpl w:val="75E8BD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021904"/>
    <w:multiLevelType w:val="multilevel"/>
    <w:tmpl w:val="D95C4966"/>
    <w:lvl w:ilvl="0">
      <w:start w:val="8"/>
      <w:numFmt w:val="decimal"/>
      <w:lvlText w:val="%1"/>
      <w:lvlJc w:val="left"/>
      <w:pPr>
        <w:tabs>
          <w:tab w:val="num" w:pos="405"/>
        </w:tabs>
        <w:ind w:left="405" w:hanging="405"/>
      </w:pPr>
      <w:rPr>
        <w:rFonts w:hint="default"/>
      </w:rPr>
    </w:lvl>
    <w:lvl w:ilvl="1">
      <w:start w:val="1"/>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9" w15:restartNumberingAfterBreak="0">
    <w:nsid w:val="4D684F4F"/>
    <w:multiLevelType w:val="hybridMultilevel"/>
    <w:tmpl w:val="B8342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09610F"/>
    <w:multiLevelType w:val="hybridMultilevel"/>
    <w:tmpl w:val="8C1224F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68664D7D"/>
    <w:multiLevelType w:val="multilevel"/>
    <w:tmpl w:val="E81CF80E"/>
    <w:lvl w:ilvl="0">
      <w:start w:val="1"/>
      <w:numFmt w:val="decimal"/>
      <w:lvlText w:val="%1"/>
      <w:lvlJc w:val="left"/>
      <w:pPr>
        <w:ind w:left="3312" w:hanging="432"/>
      </w:pPr>
    </w:lvl>
    <w:lvl w:ilvl="1">
      <w:start w:val="1"/>
      <w:numFmt w:val="decimal"/>
      <w:lvlText w:val="%1.%2"/>
      <w:lvlJc w:val="left"/>
      <w:pPr>
        <w:ind w:left="3456" w:hanging="576"/>
      </w:pPr>
    </w:lvl>
    <w:lvl w:ilvl="2">
      <w:start w:val="1"/>
      <w:numFmt w:val="decimal"/>
      <w:lvlText w:val="%1.%2.%3"/>
      <w:lvlJc w:val="left"/>
      <w:pPr>
        <w:ind w:left="3600" w:hanging="720"/>
      </w:pPr>
    </w:lvl>
    <w:lvl w:ilvl="3">
      <w:start w:val="1"/>
      <w:numFmt w:val="decimal"/>
      <w:lvlText w:val="%1.%2.%3.%4"/>
      <w:lvlJc w:val="left"/>
      <w:pPr>
        <w:ind w:left="3744" w:hanging="86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888" w:hanging="1008"/>
      </w:pPr>
    </w:lvl>
    <w:lvl w:ilvl="5">
      <w:start w:val="1"/>
      <w:numFmt w:val="decimal"/>
      <w:lvlText w:val="%1.%2.%3.%4.%5.%6"/>
      <w:lvlJc w:val="left"/>
      <w:pPr>
        <w:ind w:left="4032" w:hanging="1152"/>
      </w:pPr>
    </w:lvl>
    <w:lvl w:ilvl="6">
      <w:start w:val="1"/>
      <w:numFmt w:val="decimal"/>
      <w:lvlText w:val="%1.%2.%3.%4.%5.%6.%7"/>
      <w:lvlJc w:val="left"/>
      <w:pPr>
        <w:ind w:left="4176" w:hanging="1296"/>
      </w:pPr>
    </w:lvl>
    <w:lvl w:ilvl="7">
      <w:start w:val="1"/>
      <w:numFmt w:val="decimal"/>
      <w:lvlText w:val="%1.%2.%3.%4.%5.%6.%7.%8"/>
      <w:lvlJc w:val="left"/>
      <w:pPr>
        <w:ind w:left="4320" w:hanging="1440"/>
      </w:pPr>
    </w:lvl>
    <w:lvl w:ilvl="8">
      <w:start w:val="1"/>
      <w:numFmt w:val="decimal"/>
      <w:lvlText w:val="%1.%2.%3.%4.%5.%6.%7.%8.%9"/>
      <w:lvlJc w:val="left"/>
      <w:pPr>
        <w:ind w:left="4464" w:hanging="1584"/>
      </w:pPr>
    </w:lvl>
  </w:abstractNum>
  <w:abstractNum w:abstractNumId="12" w15:restartNumberingAfterBreak="0">
    <w:nsid w:val="6A120BA9"/>
    <w:multiLevelType w:val="hybridMultilevel"/>
    <w:tmpl w:val="F7C01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7C327C"/>
    <w:multiLevelType w:val="hybridMultilevel"/>
    <w:tmpl w:val="F1A03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9522397">
    <w:abstractNumId w:val="0"/>
  </w:num>
  <w:num w:numId="2" w16cid:durableId="2116437017">
    <w:abstractNumId w:val="8"/>
  </w:num>
  <w:num w:numId="3" w16cid:durableId="1505170708">
    <w:abstractNumId w:val="5"/>
  </w:num>
  <w:num w:numId="4" w16cid:durableId="1565678240">
    <w:abstractNumId w:val="10"/>
  </w:num>
  <w:num w:numId="5" w16cid:durableId="123088331">
    <w:abstractNumId w:val="12"/>
  </w:num>
  <w:num w:numId="6" w16cid:durableId="1636518567">
    <w:abstractNumId w:val="13"/>
  </w:num>
  <w:num w:numId="7" w16cid:durableId="998338853">
    <w:abstractNumId w:val="9"/>
  </w:num>
  <w:num w:numId="8" w16cid:durableId="1481269680">
    <w:abstractNumId w:val="7"/>
  </w:num>
  <w:num w:numId="9" w16cid:durableId="1666936537">
    <w:abstractNumId w:val="3"/>
  </w:num>
  <w:num w:numId="10" w16cid:durableId="1217352033">
    <w:abstractNumId w:val="1"/>
  </w:num>
  <w:num w:numId="11" w16cid:durableId="1673142053">
    <w:abstractNumId w:val="2"/>
  </w:num>
  <w:num w:numId="12" w16cid:durableId="2019579462">
    <w:abstractNumId w:val="4"/>
  </w:num>
  <w:num w:numId="13" w16cid:durableId="670987012">
    <w:abstractNumId w:val="11"/>
  </w:num>
  <w:num w:numId="14" w16cid:durableId="15306763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DF"/>
    <w:rsid w:val="00000865"/>
    <w:rsid w:val="00013B36"/>
    <w:rsid w:val="000217D6"/>
    <w:rsid w:val="000233BB"/>
    <w:rsid w:val="000279EF"/>
    <w:rsid w:val="000327F9"/>
    <w:rsid w:val="000345A2"/>
    <w:rsid w:val="00035802"/>
    <w:rsid w:val="000361DC"/>
    <w:rsid w:val="0004012A"/>
    <w:rsid w:val="000431C6"/>
    <w:rsid w:val="000434A7"/>
    <w:rsid w:val="00047F55"/>
    <w:rsid w:val="00050080"/>
    <w:rsid w:val="00055471"/>
    <w:rsid w:val="00056C0F"/>
    <w:rsid w:val="000620AB"/>
    <w:rsid w:val="00062DD1"/>
    <w:rsid w:val="00063486"/>
    <w:rsid w:val="00065FB7"/>
    <w:rsid w:val="00070180"/>
    <w:rsid w:val="00082D58"/>
    <w:rsid w:val="000839C3"/>
    <w:rsid w:val="00086BF9"/>
    <w:rsid w:val="000900D2"/>
    <w:rsid w:val="00090FA8"/>
    <w:rsid w:val="00091D6E"/>
    <w:rsid w:val="000946E2"/>
    <w:rsid w:val="00094A80"/>
    <w:rsid w:val="000A6A5C"/>
    <w:rsid w:val="000A7C53"/>
    <w:rsid w:val="000B49D4"/>
    <w:rsid w:val="000B72FD"/>
    <w:rsid w:val="000B75DD"/>
    <w:rsid w:val="000B7E6F"/>
    <w:rsid w:val="000C04E5"/>
    <w:rsid w:val="000C1222"/>
    <w:rsid w:val="000C24C8"/>
    <w:rsid w:val="000C5352"/>
    <w:rsid w:val="000C6C3C"/>
    <w:rsid w:val="000D2A61"/>
    <w:rsid w:val="000E00F4"/>
    <w:rsid w:val="000E57D0"/>
    <w:rsid w:val="000E7778"/>
    <w:rsid w:val="000F7C6C"/>
    <w:rsid w:val="00100385"/>
    <w:rsid w:val="00104F54"/>
    <w:rsid w:val="0010635A"/>
    <w:rsid w:val="00110427"/>
    <w:rsid w:val="001104F4"/>
    <w:rsid w:val="00110CE8"/>
    <w:rsid w:val="00111504"/>
    <w:rsid w:val="00113EFF"/>
    <w:rsid w:val="0012489E"/>
    <w:rsid w:val="00126DBB"/>
    <w:rsid w:val="001363C4"/>
    <w:rsid w:val="001422A4"/>
    <w:rsid w:val="00143F2E"/>
    <w:rsid w:val="001465EC"/>
    <w:rsid w:val="00156229"/>
    <w:rsid w:val="00162032"/>
    <w:rsid w:val="0016366B"/>
    <w:rsid w:val="00165BE7"/>
    <w:rsid w:val="001774E0"/>
    <w:rsid w:val="00180FE5"/>
    <w:rsid w:val="0018733C"/>
    <w:rsid w:val="0018794A"/>
    <w:rsid w:val="001943C4"/>
    <w:rsid w:val="001954FD"/>
    <w:rsid w:val="001958EE"/>
    <w:rsid w:val="00195E29"/>
    <w:rsid w:val="001960F2"/>
    <w:rsid w:val="001A01E0"/>
    <w:rsid w:val="001A1C8D"/>
    <w:rsid w:val="001A6516"/>
    <w:rsid w:val="001A6E7F"/>
    <w:rsid w:val="001A7EEE"/>
    <w:rsid w:val="001B1FFA"/>
    <w:rsid w:val="001B2B2E"/>
    <w:rsid w:val="001B501A"/>
    <w:rsid w:val="001C4DD5"/>
    <w:rsid w:val="001D271A"/>
    <w:rsid w:val="001D37E6"/>
    <w:rsid w:val="001D76CE"/>
    <w:rsid w:val="001E21FE"/>
    <w:rsid w:val="001E5CA0"/>
    <w:rsid w:val="001E7AD9"/>
    <w:rsid w:val="001F295A"/>
    <w:rsid w:val="001F39CB"/>
    <w:rsid w:val="00200BF7"/>
    <w:rsid w:val="00202AC4"/>
    <w:rsid w:val="00203884"/>
    <w:rsid w:val="00207877"/>
    <w:rsid w:val="002100A3"/>
    <w:rsid w:val="00211570"/>
    <w:rsid w:val="002119C6"/>
    <w:rsid w:val="0022239F"/>
    <w:rsid w:val="002244D0"/>
    <w:rsid w:val="00225506"/>
    <w:rsid w:val="00230F1C"/>
    <w:rsid w:val="0023589D"/>
    <w:rsid w:val="00236B44"/>
    <w:rsid w:val="00240351"/>
    <w:rsid w:val="0024145E"/>
    <w:rsid w:val="00241CF3"/>
    <w:rsid w:val="002507F5"/>
    <w:rsid w:val="00251B35"/>
    <w:rsid w:val="00257A11"/>
    <w:rsid w:val="002607C5"/>
    <w:rsid w:val="002636A1"/>
    <w:rsid w:val="00265435"/>
    <w:rsid w:val="00266C90"/>
    <w:rsid w:val="00266F44"/>
    <w:rsid w:val="00271B3B"/>
    <w:rsid w:val="00274BA3"/>
    <w:rsid w:val="002762C0"/>
    <w:rsid w:val="00277637"/>
    <w:rsid w:val="00281BE8"/>
    <w:rsid w:val="0028201F"/>
    <w:rsid w:val="002838EF"/>
    <w:rsid w:val="0028448A"/>
    <w:rsid w:val="002847E5"/>
    <w:rsid w:val="00292308"/>
    <w:rsid w:val="002966F7"/>
    <w:rsid w:val="002A0F51"/>
    <w:rsid w:val="002A6797"/>
    <w:rsid w:val="002B1AC3"/>
    <w:rsid w:val="002B242C"/>
    <w:rsid w:val="002B52F2"/>
    <w:rsid w:val="002B67DA"/>
    <w:rsid w:val="002B6843"/>
    <w:rsid w:val="002B7A24"/>
    <w:rsid w:val="002C0E98"/>
    <w:rsid w:val="002C0FBC"/>
    <w:rsid w:val="002C2422"/>
    <w:rsid w:val="002C42CB"/>
    <w:rsid w:val="002D4C84"/>
    <w:rsid w:val="002E10C8"/>
    <w:rsid w:val="002E16D2"/>
    <w:rsid w:val="002E1C4A"/>
    <w:rsid w:val="002E58C9"/>
    <w:rsid w:val="002F10E0"/>
    <w:rsid w:val="002F1B7B"/>
    <w:rsid w:val="00301742"/>
    <w:rsid w:val="003036B6"/>
    <w:rsid w:val="003041CF"/>
    <w:rsid w:val="003043AB"/>
    <w:rsid w:val="00311FD3"/>
    <w:rsid w:val="0031554E"/>
    <w:rsid w:val="003168FC"/>
    <w:rsid w:val="00316DB7"/>
    <w:rsid w:val="00317467"/>
    <w:rsid w:val="003209E2"/>
    <w:rsid w:val="0032211A"/>
    <w:rsid w:val="00323003"/>
    <w:rsid w:val="003254C7"/>
    <w:rsid w:val="00331116"/>
    <w:rsid w:val="00337865"/>
    <w:rsid w:val="0034322B"/>
    <w:rsid w:val="003432A2"/>
    <w:rsid w:val="003453C5"/>
    <w:rsid w:val="00345559"/>
    <w:rsid w:val="003464A5"/>
    <w:rsid w:val="0035024F"/>
    <w:rsid w:val="003509DE"/>
    <w:rsid w:val="00351341"/>
    <w:rsid w:val="003537A6"/>
    <w:rsid w:val="00357522"/>
    <w:rsid w:val="00371B6E"/>
    <w:rsid w:val="00372159"/>
    <w:rsid w:val="003729A4"/>
    <w:rsid w:val="00375557"/>
    <w:rsid w:val="00375E61"/>
    <w:rsid w:val="003828BB"/>
    <w:rsid w:val="00382B71"/>
    <w:rsid w:val="0038792F"/>
    <w:rsid w:val="00387B81"/>
    <w:rsid w:val="00390A08"/>
    <w:rsid w:val="00393F3A"/>
    <w:rsid w:val="00395E0B"/>
    <w:rsid w:val="0039710E"/>
    <w:rsid w:val="003A1035"/>
    <w:rsid w:val="003C030B"/>
    <w:rsid w:val="003C2783"/>
    <w:rsid w:val="003C5F5D"/>
    <w:rsid w:val="003C7410"/>
    <w:rsid w:val="003D009B"/>
    <w:rsid w:val="003D22C4"/>
    <w:rsid w:val="003D2D06"/>
    <w:rsid w:val="003D4DCC"/>
    <w:rsid w:val="003E06AF"/>
    <w:rsid w:val="003E2D93"/>
    <w:rsid w:val="003E4481"/>
    <w:rsid w:val="003E4829"/>
    <w:rsid w:val="003E7923"/>
    <w:rsid w:val="003F214C"/>
    <w:rsid w:val="003F43BC"/>
    <w:rsid w:val="004014CF"/>
    <w:rsid w:val="00405708"/>
    <w:rsid w:val="00413F16"/>
    <w:rsid w:val="00417BCC"/>
    <w:rsid w:val="0043194D"/>
    <w:rsid w:val="0043195B"/>
    <w:rsid w:val="00443ACB"/>
    <w:rsid w:val="00444C34"/>
    <w:rsid w:val="00450698"/>
    <w:rsid w:val="00453900"/>
    <w:rsid w:val="00455F09"/>
    <w:rsid w:val="00465D35"/>
    <w:rsid w:val="00471200"/>
    <w:rsid w:val="00471815"/>
    <w:rsid w:val="00473073"/>
    <w:rsid w:val="004761C1"/>
    <w:rsid w:val="00477DF7"/>
    <w:rsid w:val="0048149F"/>
    <w:rsid w:val="00483DAE"/>
    <w:rsid w:val="00483DB3"/>
    <w:rsid w:val="00486E54"/>
    <w:rsid w:val="00490505"/>
    <w:rsid w:val="00494E89"/>
    <w:rsid w:val="004A3205"/>
    <w:rsid w:val="004D29B8"/>
    <w:rsid w:val="004D4640"/>
    <w:rsid w:val="004D5C45"/>
    <w:rsid w:val="004D6176"/>
    <w:rsid w:val="004E0B56"/>
    <w:rsid w:val="004E1D1B"/>
    <w:rsid w:val="004E568D"/>
    <w:rsid w:val="004F39BB"/>
    <w:rsid w:val="004F4788"/>
    <w:rsid w:val="004F6E56"/>
    <w:rsid w:val="00503DCC"/>
    <w:rsid w:val="00504007"/>
    <w:rsid w:val="005049CF"/>
    <w:rsid w:val="00514D0E"/>
    <w:rsid w:val="00515891"/>
    <w:rsid w:val="005160FB"/>
    <w:rsid w:val="00521AC0"/>
    <w:rsid w:val="00522BF4"/>
    <w:rsid w:val="005252A2"/>
    <w:rsid w:val="00530373"/>
    <w:rsid w:val="00530C06"/>
    <w:rsid w:val="005328D7"/>
    <w:rsid w:val="00533C52"/>
    <w:rsid w:val="00535519"/>
    <w:rsid w:val="00544A57"/>
    <w:rsid w:val="0054663A"/>
    <w:rsid w:val="005535AF"/>
    <w:rsid w:val="00553A93"/>
    <w:rsid w:val="00560416"/>
    <w:rsid w:val="00562209"/>
    <w:rsid w:val="00565395"/>
    <w:rsid w:val="00567654"/>
    <w:rsid w:val="00570E1B"/>
    <w:rsid w:val="00571A67"/>
    <w:rsid w:val="00572062"/>
    <w:rsid w:val="0057550D"/>
    <w:rsid w:val="0057791A"/>
    <w:rsid w:val="00582D31"/>
    <w:rsid w:val="0058443D"/>
    <w:rsid w:val="005862EE"/>
    <w:rsid w:val="005869FB"/>
    <w:rsid w:val="005955B6"/>
    <w:rsid w:val="005A05FD"/>
    <w:rsid w:val="005A2B44"/>
    <w:rsid w:val="005A525C"/>
    <w:rsid w:val="005B1135"/>
    <w:rsid w:val="005B1846"/>
    <w:rsid w:val="005C03C9"/>
    <w:rsid w:val="005C15A8"/>
    <w:rsid w:val="005C2E77"/>
    <w:rsid w:val="005C3615"/>
    <w:rsid w:val="005D6109"/>
    <w:rsid w:val="005D6884"/>
    <w:rsid w:val="005E19FA"/>
    <w:rsid w:val="005E3E2F"/>
    <w:rsid w:val="005E4981"/>
    <w:rsid w:val="005F1DB0"/>
    <w:rsid w:val="005F3541"/>
    <w:rsid w:val="005F6224"/>
    <w:rsid w:val="00602CB5"/>
    <w:rsid w:val="00603814"/>
    <w:rsid w:val="00613E0F"/>
    <w:rsid w:val="00614F34"/>
    <w:rsid w:val="0061655F"/>
    <w:rsid w:val="00616FDC"/>
    <w:rsid w:val="00623E01"/>
    <w:rsid w:val="00624A90"/>
    <w:rsid w:val="00624BE1"/>
    <w:rsid w:val="00625B0E"/>
    <w:rsid w:val="00630AB7"/>
    <w:rsid w:val="006339F0"/>
    <w:rsid w:val="00645659"/>
    <w:rsid w:val="00650884"/>
    <w:rsid w:val="00655A6C"/>
    <w:rsid w:val="00662867"/>
    <w:rsid w:val="0066296B"/>
    <w:rsid w:val="00664A1A"/>
    <w:rsid w:val="00667C03"/>
    <w:rsid w:val="00670385"/>
    <w:rsid w:val="00671060"/>
    <w:rsid w:val="006724E5"/>
    <w:rsid w:val="00675EFE"/>
    <w:rsid w:val="006768DE"/>
    <w:rsid w:val="00680FDF"/>
    <w:rsid w:val="00683214"/>
    <w:rsid w:val="00684C04"/>
    <w:rsid w:val="00687A29"/>
    <w:rsid w:val="00690F96"/>
    <w:rsid w:val="006953CF"/>
    <w:rsid w:val="006A3998"/>
    <w:rsid w:val="006A3BFF"/>
    <w:rsid w:val="006A5E8E"/>
    <w:rsid w:val="006A69C7"/>
    <w:rsid w:val="006A7B00"/>
    <w:rsid w:val="006C130C"/>
    <w:rsid w:val="006C243B"/>
    <w:rsid w:val="006C6999"/>
    <w:rsid w:val="006D1F41"/>
    <w:rsid w:val="006D569A"/>
    <w:rsid w:val="006D5DA3"/>
    <w:rsid w:val="006E64D8"/>
    <w:rsid w:val="006F0367"/>
    <w:rsid w:val="006F65F9"/>
    <w:rsid w:val="007009E7"/>
    <w:rsid w:val="00703BC7"/>
    <w:rsid w:val="0070561F"/>
    <w:rsid w:val="007101AB"/>
    <w:rsid w:val="00714CE7"/>
    <w:rsid w:val="00715469"/>
    <w:rsid w:val="00715545"/>
    <w:rsid w:val="007160E0"/>
    <w:rsid w:val="0071684F"/>
    <w:rsid w:val="00726123"/>
    <w:rsid w:val="00727D60"/>
    <w:rsid w:val="0073483A"/>
    <w:rsid w:val="0073708D"/>
    <w:rsid w:val="00741284"/>
    <w:rsid w:val="007430AA"/>
    <w:rsid w:val="007463E4"/>
    <w:rsid w:val="007467FE"/>
    <w:rsid w:val="007468AC"/>
    <w:rsid w:val="007578E5"/>
    <w:rsid w:val="00761ED3"/>
    <w:rsid w:val="0076211F"/>
    <w:rsid w:val="007639DA"/>
    <w:rsid w:val="007647A5"/>
    <w:rsid w:val="007705CB"/>
    <w:rsid w:val="007711A6"/>
    <w:rsid w:val="0077362E"/>
    <w:rsid w:val="00780795"/>
    <w:rsid w:val="00785274"/>
    <w:rsid w:val="00790387"/>
    <w:rsid w:val="0079518A"/>
    <w:rsid w:val="00796B6F"/>
    <w:rsid w:val="00797CFD"/>
    <w:rsid w:val="007A1E29"/>
    <w:rsid w:val="007A6FF4"/>
    <w:rsid w:val="007B27D7"/>
    <w:rsid w:val="007B27DF"/>
    <w:rsid w:val="007B29C8"/>
    <w:rsid w:val="007B53AF"/>
    <w:rsid w:val="007B5F2B"/>
    <w:rsid w:val="007B78B1"/>
    <w:rsid w:val="007C3949"/>
    <w:rsid w:val="007C6B2F"/>
    <w:rsid w:val="007C7313"/>
    <w:rsid w:val="007D0C9A"/>
    <w:rsid w:val="007D354D"/>
    <w:rsid w:val="007D4192"/>
    <w:rsid w:val="007E3547"/>
    <w:rsid w:val="007E3699"/>
    <w:rsid w:val="00800003"/>
    <w:rsid w:val="00804604"/>
    <w:rsid w:val="00805353"/>
    <w:rsid w:val="008065B2"/>
    <w:rsid w:val="00810955"/>
    <w:rsid w:val="0081134B"/>
    <w:rsid w:val="00824A69"/>
    <w:rsid w:val="00824D9B"/>
    <w:rsid w:val="00830E46"/>
    <w:rsid w:val="0083325D"/>
    <w:rsid w:val="00834EB5"/>
    <w:rsid w:val="008354FB"/>
    <w:rsid w:val="0083644F"/>
    <w:rsid w:val="00845FE0"/>
    <w:rsid w:val="00851B21"/>
    <w:rsid w:val="00851B68"/>
    <w:rsid w:val="00854BCC"/>
    <w:rsid w:val="008639C3"/>
    <w:rsid w:val="00870115"/>
    <w:rsid w:val="00873141"/>
    <w:rsid w:val="00876E7F"/>
    <w:rsid w:val="00880282"/>
    <w:rsid w:val="00881C73"/>
    <w:rsid w:val="0088393E"/>
    <w:rsid w:val="00883F71"/>
    <w:rsid w:val="008876E0"/>
    <w:rsid w:val="00891553"/>
    <w:rsid w:val="00894E45"/>
    <w:rsid w:val="008A1AF8"/>
    <w:rsid w:val="008A5665"/>
    <w:rsid w:val="008A69FE"/>
    <w:rsid w:val="008B10B1"/>
    <w:rsid w:val="008B3507"/>
    <w:rsid w:val="008B7D7A"/>
    <w:rsid w:val="008C1EAA"/>
    <w:rsid w:val="008C2F74"/>
    <w:rsid w:val="008C45E4"/>
    <w:rsid w:val="008C4755"/>
    <w:rsid w:val="008C511F"/>
    <w:rsid w:val="008C51C6"/>
    <w:rsid w:val="008D1AC0"/>
    <w:rsid w:val="008D5E10"/>
    <w:rsid w:val="008D67E7"/>
    <w:rsid w:val="008E05F4"/>
    <w:rsid w:val="008E12A6"/>
    <w:rsid w:val="008E2F7A"/>
    <w:rsid w:val="008E5924"/>
    <w:rsid w:val="008F13A2"/>
    <w:rsid w:val="008F2D9E"/>
    <w:rsid w:val="008F2F63"/>
    <w:rsid w:val="009202E7"/>
    <w:rsid w:val="009208D7"/>
    <w:rsid w:val="0092115B"/>
    <w:rsid w:val="00924EE7"/>
    <w:rsid w:val="00925C45"/>
    <w:rsid w:val="00930BDC"/>
    <w:rsid w:val="00930F7D"/>
    <w:rsid w:val="00931B6F"/>
    <w:rsid w:val="00936448"/>
    <w:rsid w:val="00940A87"/>
    <w:rsid w:val="00943B38"/>
    <w:rsid w:val="00946D6B"/>
    <w:rsid w:val="00962CE4"/>
    <w:rsid w:val="00964DFC"/>
    <w:rsid w:val="00964EB6"/>
    <w:rsid w:val="00967495"/>
    <w:rsid w:val="00970592"/>
    <w:rsid w:val="00971263"/>
    <w:rsid w:val="00977AB3"/>
    <w:rsid w:val="00982B16"/>
    <w:rsid w:val="00982BE9"/>
    <w:rsid w:val="0098447F"/>
    <w:rsid w:val="0098494E"/>
    <w:rsid w:val="00985407"/>
    <w:rsid w:val="00987FBD"/>
    <w:rsid w:val="00991CF7"/>
    <w:rsid w:val="00992E06"/>
    <w:rsid w:val="009A2C7E"/>
    <w:rsid w:val="009A4ACB"/>
    <w:rsid w:val="009A5D82"/>
    <w:rsid w:val="009B3E13"/>
    <w:rsid w:val="009C1254"/>
    <w:rsid w:val="009C2475"/>
    <w:rsid w:val="009C2935"/>
    <w:rsid w:val="009C30F8"/>
    <w:rsid w:val="009C51B6"/>
    <w:rsid w:val="009C7F23"/>
    <w:rsid w:val="009D1F61"/>
    <w:rsid w:val="009D2245"/>
    <w:rsid w:val="009D3D7F"/>
    <w:rsid w:val="009D3EBF"/>
    <w:rsid w:val="009D6D96"/>
    <w:rsid w:val="009D7EA2"/>
    <w:rsid w:val="009E014C"/>
    <w:rsid w:val="009E60C4"/>
    <w:rsid w:val="009F0062"/>
    <w:rsid w:val="009F7932"/>
    <w:rsid w:val="00A00258"/>
    <w:rsid w:val="00A02F93"/>
    <w:rsid w:val="00A076B6"/>
    <w:rsid w:val="00A13EE9"/>
    <w:rsid w:val="00A150C0"/>
    <w:rsid w:val="00A30C7E"/>
    <w:rsid w:val="00A321F4"/>
    <w:rsid w:val="00A407F5"/>
    <w:rsid w:val="00A432E2"/>
    <w:rsid w:val="00A45242"/>
    <w:rsid w:val="00A46BC8"/>
    <w:rsid w:val="00A4772E"/>
    <w:rsid w:val="00A670FA"/>
    <w:rsid w:val="00A71BA7"/>
    <w:rsid w:val="00A730EF"/>
    <w:rsid w:val="00A84005"/>
    <w:rsid w:val="00A87649"/>
    <w:rsid w:val="00A90BCB"/>
    <w:rsid w:val="00A94EBE"/>
    <w:rsid w:val="00A96A68"/>
    <w:rsid w:val="00AA082C"/>
    <w:rsid w:val="00AA281E"/>
    <w:rsid w:val="00AA3C75"/>
    <w:rsid w:val="00AA7767"/>
    <w:rsid w:val="00AA7F82"/>
    <w:rsid w:val="00AB26D5"/>
    <w:rsid w:val="00AC0F61"/>
    <w:rsid w:val="00AD386D"/>
    <w:rsid w:val="00AE0113"/>
    <w:rsid w:val="00AE1CF2"/>
    <w:rsid w:val="00AE33C1"/>
    <w:rsid w:val="00AF2A84"/>
    <w:rsid w:val="00AF5590"/>
    <w:rsid w:val="00AF5E07"/>
    <w:rsid w:val="00AF6B09"/>
    <w:rsid w:val="00AF7E40"/>
    <w:rsid w:val="00B017DA"/>
    <w:rsid w:val="00B01901"/>
    <w:rsid w:val="00B03B27"/>
    <w:rsid w:val="00B050BB"/>
    <w:rsid w:val="00B1260E"/>
    <w:rsid w:val="00B135FD"/>
    <w:rsid w:val="00B1734B"/>
    <w:rsid w:val="00B20DB0"/>
    <w:rsid w:val="00B212FD"/>
    <w:rsid w:val="00B219EE"/>
    <w:rsid w:val="00B260A3"/>
    <w:rsid w:val="00B2668E"/>
    <w:rsid w:val="00B27EDF"/>
    <w:rsid w:val="00B334B0"/>
    <w:rsid w:val="00B34868"/>
    <w:rsid w:val="00B34A71"/>
    <w:rsid w:val="00B37F3D"/>
    <w:rsid w:val="00B46E55"/>
    <w:rsid w:val="00B46F4F"/>
    <w:rsid w:val="00B47FC4"/>
    <w:rsid w:val="00B527DF"/>
    <w:rsid w:val="00B605B2"/>
    <w:rsid w:val="00B61AF9"/>
    <w:rsid w:val="00B61D5A"/>
    <w:rsid w:val="00B6231A"/>
    <w:rsid w:val="00B6420A"/>
    <w:rsid w:val="00B66F43"/>
    <w:rsid w:val="00B672A0"/>
    <w:rsid w:val="00B74906"/>
    <w:rsid w:val="00B8038B"/>
    <w:rsid w:val="00B81625"/>
    <w:rsid w:val="00B81C07"/>
    <w:rsid w:val="00B829B8"/>
    <w:rsid w:val="00B830CB"/>
    <w:rsid w:val="00B83486"/>
    <w:rsid w:val="00B8388F"/>
    <w:rsid w:val="00B8717B"/>
    <w:rsid w:val="00B93D4B"/>
    <w:rsid w:val="00B9407A"/>
    <w:rsid w:val="00B94230"/>
    <w:rsid w:val="00B973A4"/>
    <w:rsid w:val="00BA6DE8"/>
    <w:rsid w:val="00BB2928"/>
    <w:rsid w:val="00BB4983"/>
    <w:rsid w:val="00BB569C"/>
    <w:rsid w:val="00BB587C"/>
    <w:rsid w:val="00BB5A61"/>
    <w:rsid w:val="00BB64D7"/>
    <w:rsid w:val="00BC2361"/>
    <w:rsid w:val="00BC2FCF"/>
    <w:rsid w:val="00BC6110"/>
    <w:rsid w:val="00BD3433"/>
    <w:rsid w:val="00BE0E17"/>
    <w:rsid w:val="00BE38AF"/>
    <w:rsid w:val="00BE3FE5"/>
    <w:rsid w:val="00BE49E8"/>
    <w:rsid w:val="00BE586E"/>
    <w:rsid w:val="00BF0F38"/>
    <w:rsid w:val="00BF1321"/>
    <w:rsid w:val="00BF307D"/>
    <w:rsid w:val="00BF67D5"/>
    <w:rsid w:val="00BF6959"/>
    <w:rsid w:val="00BF6CC5"/>
    <w:rsid w:val="00BF6E90"/>
    <w:rsid w:val="00C02195"/>
    <w:rsid w:val="00C02495"/>
    <w:rsid w:val="00C03872"/>
    <w:rsid w:val="00C051C5"/>
    <w:rsid w:val="00C1114A"/>
    <w:rsid w:val="00C14AE2"/>
    <w:rsid w:val="00C16C63"/>
    <w:rsid w:val="00C20D9E"/>
    <w:rsid w:val="00C2774B"/>
    <w:rsid w:val="00C27D6A"/>
    <w:rsid w:val="00C31926"/>
    <w:rsid w:val="00C32F23"/>
    <w:rsid w:val="00C41D72"/>
    <w:rsid w:val="00C505C9"/>
    <w:rsid w:val="00C50D25"/>
    <w:rsid w:val="00C52554"/>
    <w:rsid w:val="00C56CDC"/>
    <w:rsid w:val="00C618FA"/>
    <w:rsid w:val="00C644CC"/>
    <w:rsid w:val="00C64EE4"/>
    <w:rsid w:val="00C64F91"/>
    <w:rsid w:val="00C6581F"/>
    <w:rsid w:val="00C70E12"/>
    <w:rsid w:val="00C71247"/>
    <w:rsid w:val="00C75467"/>
    <w:rsid w:val="00C81836"/>
    <w:rsid w:val="00C84024"/>
    <w:rsid w:val="00C87ABE"/>
    <w:rsid w:val="00C921A1"/>
    <w:rsid w:val="00C9446F"/>
    <w:rsid w:val="00C96552"/>
    <w:rsid w:val="00CA22F5"/>
    <w:rsid w:val="00CA5A6D"/>
    <w:rsid w:val="00CC2BFD"/>
    <w:rsid w:val="00CC2DA0"/>
    <w:rsid w:val="00CC4F88"/>
    <w:rsid w:val="00CD06B8"/>
    <w:rsid w:val="00CD104E"/>
    <w:rsid w:val="00CE0AB9"/>
    <w:rsid w:val="00CE45D6"/>
    <w:rsid w:val="00CF1528"/>
    <w:rsid w:val="00CF1BD8"/>
    <w:rsid w:val="00D06E7F"/>
    <w:rsid w:val="00D07FB9"/>
    <w:rsid w:val="00D1429F"/>
    <w:rsid w:val="00D15906"/>
    <w:rsid w:val="00D22E76"/>
    <w:rsid w:val="00D23708"/>
    <w:rsid w:val="00D25DC8"/>
    <w:rsid w:val="00D32508"/>
    <w:rsid w:val="00D3323C"/>
    <w:rsid w:val="00D3469D"/>
    <w:rsid w:val="00D37708"/>
    <w:rsid w:val="00D43015"/>
    <w:rsid w:val="00D437D1"/>
    <w:rsid w:val="00D43EF8"/>
    <w:rsid w:val="00D45F00"/>
    <w:rsid w:val="00D468F8"/>
    <w:rsid w:val="00D50C2E"/>
    <w:rsid w:val="00D53AEB"/>
    <w:rsid w:val="00D548B6"/>
    <w:rsid w:val="00D56066"/>
    <w:rsid w:val="00D6188B"/>
    <w:rsid w:val="00D62F1D"/>
    <w:rsid w:val="00D70580"/>
    <w:rsid w:val="00D72A62"/>
    <w:rsid w:val="00D7477E"/>
    <w:rsid w:val="00D75685"/>
    <w:rsid w:val="00D81630"/>
    <w:rsid w:val="00D81E33"/>
    <w:rsid w:val="00D82283"/>
    <w:rsid w:val="00D907E8"/>
    <w:rsid w:val="00D91A2E"/>
    <w:rsid w:val="00D94791"/>
    <w:rsid w:val="00D94AE4"/>
    <w:rsid w:val="00D96FBE"/>
    <w:rsid w:val="00D974DF"/>
    <w:rsid w:val="00DA190F"/>
    <w:rsid w:val="00DA2AD4"/>
    <w:rsid w:val="00DA6D30"/>
    <w:rsid w:val="00DA6DBE"/>
    <w:rsid w:val="00DA7638"/>
    <w:rsid w:val="00DB09C5"/>
    <w:rsid w:val="00DB0B92"/>
    <w:rsid w:val="00DB5F06"/>
    <w:rsid w:val="00DB6BDD"/>
    <w:rsid w:val="00DC272F"/>
    <w:rsid w:val="00DC3101"/>
    <w:rsid w:val="00DC51C0"/>
    <w:rsid w:val="00DD2150"/>
    <w:rsid w:val="00DD47CA"/>
    <w:rsid w:val="00DE2976"/>
    <w:rsid w:val="00DE5EA6"/>
    <w:rsid w:val="00DE6E3E"/>
    <w:rsid w:val="00DF013B"/>
    <w:rsid w:val="00DF7BEA"/>
    <w:rsid w:val="00E011B6"/>
    <w:rsid w:val="00E02FDE"/>
    <w:rsid w:val="00E033C7"/>
    <w:rsid w:val="00E0511A"/>
    <w:rsid w:val="00E063A4"/>
    <w:rsid w:val="00E074F1"/>
    <w:rsid w:val="00E12D30"/>
    <w:rsid w:val="00E178BD"/>
    <w:rsid w:val="00E36970"/>
    <w:rsid w:val="00E37B82"/>
    <w:rsid w:val="00E432A9"/>
    <w:rsid w:val="00E4337D"/>
    <w:rsid w:val="00E4411D"/>
    <w:rsid w:val="00E45E4D"/>
    <w:rsid w:val="00E5413E"/>
    <w:rsid w:val="00E5507E"/>
    <w:rsid w:val="00E56A99"/>
    <w:rsid w:val="00E61E50"/>
    <w:rsid w:val="00E62203"/>
    <w:rsid w:val="00E63B67"/>
    <w:rsid w:val="00E650FD"/>
    <w:rsid w:val="00E65154"/>
    <w:rsid w:val="00E66A5B"/>
    <w:rsid w:val="00E70793"/>
    <w:rsid w:val="00E81C8D"/>
    <w:rsid w:val="00E828F5"/>
    <w:rsid w:val="00E82E69"/>
    <w:rsid w:val="00E870AB"/>
    <w:rsid w:val="00EA5600"/>
    <w:rsid w:val="00EA6C30"/>
    <w:rsid w:val="00EB021D"/>
    <w:rsid w:val="00EB190A"/>
    <w:rsid w:val="00EB5A49"/>
    <w:rsid w:val="00EC5D7D"/>
    <w:rsid w:val="00ED050B"/>
    <w:rsid w:val="00ED3C96"/>
    <w:rsid w:val="00ED5C1F"/>
    <w:rsid w:val="00EE108A"/>
    <w:rsid w:val="00EE1723"/>
    <w:rsid w:val="00EE430E"/>
    <w:rsid w:val="00EE574B"/>
    <w:rsid w:val="00EE73F0"/>
    <w:rsid w:val="00EF3E91"/>
    <w:rsid w:val="00EF5ED1"/>
    <w:rsid w:val="00EF67B8"/>
    <w:rsid w:val="00F00083"/>
    <w:rsid w:val="00F02D38"/>
    <w:rsid w:val="00F077A4"/>
    <w:rsid w:val="00F07F80"/>
    <w:rsid w:val="00F101EB"/>
    <w:rsid w:val="00F13907"/>
    <w:rsid w:val="00F22306"/>
    <w:rsid w:val="00F25173"/>
    <w:rsid w:val="00F27928"/>
    <w:rsid w:val="00F27A0A"/>
    <w:rsid w:val="00F32471"/>
    <w:rsid w:val="00F326FA"/>
    <w:rsid w:val="00F36743"/>
    <w:rsid w:val="00F4232F"/>
    <w:rsid w:val="00F430CD"/>
    <w:rsid w:val="00F476C9"/>
    <w:rsid w:val="00F52718"/>
    <w:rsid w:val="00F56D47"/>
    <w:rsid w:val="00F64814"/>
    <w:rsid w:val="00F746AA"/>
    <w:rsid w:val="00F763B6"/>
    <w:rsid w:val="00F777BA"/>
    <w:rsid w:val="00F80FD4"/>
    <w:rsid w:val="00F81DDF"/>
    <w:rsid w:val="00F82ABA"/>
    <w:rsid w:val="00F8442D"/>
    <w:rsid w:val="00F939F5"/>
    <w:rsid w:val="00FA1031"/>
    <w:rsid w:val="00FA227F"/>
    <w:rsid w:val="00FA27EF"/>
    <w:rsid w:val="00FA3E00"/>
    <w:rsid w:val="00FA5628"/>
    <w:rsid w:val="00FA5D56"/>
    <w:rsid w:val="00FB0ADA"/>
    <w:rsid w:val="00FB0F3F"/>
    <w:rsid w:val="00FC1427"/>
    <w:rsid w:val="00FC3246"/>
    <w:rsid w:val="00FE27BB"/>
    <w:rsid w:val="00FE41FF"/>
    <w:rsid w:val="00FE7B60"/>
    <w:rsid w:val="00FE7FC2"/>
    <w:rsid w:val="00FF01B6"/>
    <w:rsid w:val="00FF3E6B"/>
    <w:rsid w:val="00FF3F57"/>
    <w:rsid w:val="00FF50DF"/>
    <w:rsid w:val="00FF74B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B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F3D"/>
    <w:rPr>
      <w:sz w:val="24"/>
      <w:szCs w:val="24"/>
      <w:lang w:eastAsia="en-US"/>
    </w:rPr>
  </w:style>
  <w:style w:type="paragraph" w:styleId="Heading1">
    <w:name w:val="heading 1"/>
    <w:basedOn w:val="Normal"/>
    <w:next w:val="Normal"/>
    <w:link w:val="Heading1Char"/>
    <w:uiPriority w:val="99"/>
    <w:qFormat/>
    <w:rsid w:val="003F43BC"/>
    <w:pPr>
      <w:keepNext/>
      <w:keepLines/>
      <w:numPr>
        <w:numId w:val="10"/>
      </w:numPr>
      <w:spacing w:before="480"/>
      <w:jc w:val="both"/>
      <w:outlineLvl w:val="0"/>
    </w:pPr>
    <w:rPr>
      <w:rFonts w:ascii="Arial" w:hAnsi="Arial"/>
      <w:b/>
      <w:bCs/>
      <w:color w:val="000000"/>
      <w:sz w:val="28"/>
      <w:szCs w:val="28"/>
    </w:rPr>
  </w:style>
  <w:style w:type="paragraph" w:styleId="Heading2">
    <w:name w:val="heading 2"/>
    <w:basedOn w:val="Normal"/>
    <w:next w:val="Normal"/>
    <w:link w:val="Heading2Char"/>
    <w:autoRedefine/>
    <w:uiPriority w:val="99"/>
    <w:qFormat/>
    <w:rsid w:val="003F43BC"/>
    <w:pPr>
      <w:widowControl w:val="0"/>
      <w:numPr>
        <w:ilvl w:val="1"/>
        <w:numId w:val="10"/>
      </w:numPr>
      <w:spacing w:before="200"/>
      <w:jc w:val="both"/>
      <w:outlineLvl w:val="1"/>
    </w:pPr>
    <w:rPr>
      <w:rFonts w:ascii="Arial" w:hAnsi="Arial"/>
      <w:b/>
      <w:bCs/>
      <w:color w:val="000000"/>
      <w:sz w:val="26"/>
      <w:szCs w:val="26"/>
    </w:rPr>
  </w:style>
  <w:style w:type="paragraph" w:styleId="Heading3">
    <w:name w:val="heading 3"/>
    <w:basedOn w:val="Normal"/>
    <w:next w:val="Normal"/>
    <w:link w:val="Heading3Char"/>
    <w:uiPriority w:val="99"/>
    <w:qFormat/>
    <w:rsid w:val="003F43BC"/>
    <w:pPr>
      <w:keepNext/>
      <w:keepLines/>
      <w:numPr>
        <w:ilvl w:val="2"/>
        <w:numId w:val="10"/>
      </w:numPr>
      <w:spacing w:before="200"/>
      <w:jc w:val="both"/>
      <w:outlineLvl w:val="2"/>
    </w:pPr>
    <w:rPr>
      <w:rFonts w:ascii="Arial" w:hAnsi="Arial"/>
      <w:b/>
      <w:bCs/>
      <w:sz w:val="22"/>
      <w:szCs w:val="22"/>
    </w:rPr>
  </w:style>
  <w:style w:type="paragraph" w:styleId="Heading4">
    <w:name w:val="heading 4"/>
    <w:basedOn w:val="Normal"/>
    <w:next w:val="Normal"/>
    <w:link w:val="Heading4Char"/>
    <w:uiPriority w:val="99"/>
    <w:qFormat/>
    <w:rsid w:val="003F43BC"/>
    <w:pPr>
      <w:keepNext/>
      <w:keepLines/>
      <w:numPr>
        <w:ilvl w:val="3"/>
        <w:numId w:val="10"/>
      </w:numPr>
      <w:spacing w:before="200"/>
      <w:jc w:val="both"/>
      <w:outlineLvl w:val="3"/>
    </w:pPr>
    <w:rPr>
      <w:rFonts w:ascii="Arial" w:hAnsi="Arial"/>
      <w:b/>
      <w:bCs/>
      <w:iCs/>
      <w:sz w:val="22"/>
      <w:szCs w:val="22"/>
    </w:rPr>
  </w:style>
  <w:style w:type="paragraph" w:styleId="Heading5">
    <w:name w:val="heading 5"/>
    <w:basedOn w:val="Normal"/>
    <w:next w:val="Normal"/>
    <w:link w:val="Heading5Char"/>
    <w:autoRedefine/>
    <w:uiPriority w:val="99"/>
    <w:qFormat/>
    <w:rsid w:val="003F43BC"/>
    <w:pPr>
      <w:keepNext/>
      <w:keepLines/>
      <w:numPr>
        <w:ilvl w:val="4"/>
        <w:numId w:val="10"/>
      </w:numPr>
      <w:spacing w:before="200"/>
      <w:jc w:val="both"/>
      <w:outlineLvl w:val="4"/>
    </w:pPr>
    <w:rPr>
      <w:rFonts w:ascii="Arial" w:hAnsi="Arial"/>
      <w:sz w:val="22"/>
      <w:szCs w:val="22"/>
    </w:rPr>
  </w:style>
  <w:style w:type="paragraph" w:styleId="Heading6">
    <w:name w:val="heading 6"/>
    <w:basedOn w:val="Normal"/>
    <w:next w:val="Normal"/>
    <w:link w:val="Heading6Char"/>
    <w:uiPriority w:val="9"/>
    <w:unhideWhenUsed/>
    <w:qFormat/>
    <w:rsid w:val="00533C52"/>
    <w:pPr>
      <w:spacing w:line="271" w:lineRule="auto"/>
      <w:ind w:left="1152" w:hanging="1152"/>
      <w:jc w:val="both"/>
      <w:outlineLvl w:val="5"/>
    </w:pPr>
    <w:rPr>
      <w:rFonts w:ascii="Cambria" w:hAnsi="Cambria"/>
      <w:b/>
      <w:bCs/>
      <w:i/>
      <w:iCs/>
      <w:color w:val="7F7F7F"/>
      <w:sz w:val="20"/>
      <w:szCs w:val="20"/>
    </w:rPr>
  </w:style>
  <w:style w:type="paragraph" w:styleId="Heading7">
    <w:name w:val="heading 7"/>
    <w:basedOn w:val="Normal"/>
    <w:next w:val="Normal"/>
    <w:link w:val="Heading7Char"/>
    <w:uiPriority w:val="9"/>
    <w:unhideWhenUsed/>
    <w:qFormat/>
    <w:rsid w:val="00533C52"/>
    <w:pPr>
      <w:ind w:left="1296" w:hanging="1296"/>
      <w:jc w:val="both"/>
      <w:outlineLvl w:val="6"/>
    </w:pPr>
    <w:rPr>
      <w:rFonts w:ascii="Cambria" w:hAnsi="Cambria"/>
      <w:i/>
      <w:iCs/>
      <w:sz w:val="20"/>
      <w:szCs w:val="20"/>
    </w:rPr>
  </w:style>
  <w:style w:type="paragraph" w:styleId="Heading8">
    <w:name w:val="heading 8"/>
    <w:basedOn w:val="Normal"/>
    <w:next w:val="Normal"/>
    <w:link w:val="Heading8Char"/>
    <w:uiPriority w:val="9"/>
    <w:unhideWhenUsed/>
    <w:qFormat/>
    <w:rsid w:val="00533C52"/>
    <w:pPr>
      <w:ind w:left="4320" w:hanging="1440"/>
      <w:jc w:val="both"/>
      <w:outlineLvl w:val="7"/>
    </w:pPr>
    <w:rPr>
      <w:rFonts w:ascii="Cambria" w:hAnsi="Cambria"/>
      <w:sz w:val="20"/>
      <w:szCs w:val="20"/>
    </w:rPr>
  </w:style>
  <w:style w:type="paragraph" w:styleId="Heading9">
    <w:name w:val="heading 9"/>
    <w:basedOn w:val="Normal"/>
    <w:next w:val="Normal"/>
    <w:link w:val="Heading9Char"/>
    <w:uiPriority w:val="9"/>
    <w:unhideWhenUsed/>
    <w:qFormat/>
    <w:rsid w:val="00533C52"/>
    <w:pPr>
      <w:ind w:left="4464" w:hanging="1584"/>
      <w:jc w:val="both"/>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37F3D"/>
    <w:pPr>
      <w:jc w:val="center"/>
    </w:pPr>
    <w:rPr>
      <w:b/>
      <w:bCs/>
      <w:lang w:eastAsia="es-ES"/>
    </w:rPr>
  </w:style>
  <w:style w:type="paragraph" w:styleId="Header">
    <w:name w:val="header"/>
    <w:basedOn w:val="Normal"/>
    <w:link w:val="HeaderChar"/>
    <w:uiPriority w:val="99"/>
    <w:rsid w:val="00B37F3D"/>
    <w:pPr>
      <w:tabs>
        <w:tab w:val="center" w:pos="4153"/>
        <w:tab w:val="right" w:pos="8306"/>
      </w:tabs>
    </w:pPr>
    <w:rPr>
      <w:lang w:eastAsia="es-ES"/>
    </w:rPr>
  </w:style>
  <w:style w:type="paragraph" w:styleId="BodyText3">
    <w:name w:val="Body Text 3"/>
    <w:basedOn w:val="Normal"/>
    <w:rsid w:val="00B37F3D"/>
    <w:pPr>
      <w:tabs>
        <w:tab w:val="left" w:pos="300"/>
      </w:tabs>
    </w:pPr>
    <w:rPr>
      <w:sz w:val="22"/>
    </w:rPr>
  </w:style>
  <w:style w:type="paragraph" w:styleId="Footer">
    <w:name w:val="footer"/>
    <w:basedOn w:val="Normal"/>
    <w:link w:val="FooterChar"/>
    <w:uiPriority w:val="99"/>
    <w:rsid w:val="00B37F3D"/>
    <w:pPr>
      <w:tabs>
        <w:tab w:val="center" w:pos="4153"/>
        <w:tab w:val="right" w:pos="8306"/>
      </w:tabs>
    </w:pPr>
    <w:rPr>
      <w:sz w:val="20"/>
    </w:rPr>
  </w:style>
  <w:style w:type="character" w:styleId="PageNumber">
    <w:name w:val="page number"/>
    <w:basedOn w:val="DefaultParagraphFont"/>
    <w:rsid w:val="00B37F3D"/>
  </w:style>
  <w:style w:type="paragraph" w:styleId="BodyTextIndent">
    <w:name w:val="Body Text Indent"/>
    <w:basedOn w:val="Normal"/>
    <w:rsid w:val="00B37F3D"/>
    <w:pPr>
      <w:spacing w:after="120"/>
      <w:ind w:left="360"/>
    </w:pPr>
  </w:style>
  <w:style w:type="paragraph" w:styleId="BalloonText">
    <w:name w:val="Balloon Text"/>
    <w:basedOn w:val="Normal"/>
    <w:semiHidden/>
    <w:rsid w:val="00B37F3D"/>
    <w:rPr>
      <w:rFonts w:ascii="Tahoma" w:hAnsi="Tahoma" w:cs="Tahoma"/>
      <w:sz w:val="16"/>
      <w:szCs w:val="16"/>
    </w:rPr>
  </w:style>
  <w:style w:type="paragraph" w:styleId="Title">
    <w:name w:val="Title"/>
    <w:basedOn w:val="Normal"/>
    <w:link w:val="TitleChar"/>
    <w:qFormat/>
    <w:rsid w:val="00E828F5"/>
    <w:pPr>
      <w:jc w:val="center"/>
    </w:pPr>
    <w:rPr>
      <w:rFonts w:eastAsia="MS Mincho"/>
      <w:b/>
      <w:caps/>
      <w:sz w:val="20"/>
      <w:lang w:eastAsia="ja-JP"/>
    </w:rPr>
  </w:style>
  <w:style w:type="character" w:customStyle="1" w:styleId="TitleChar">
    <w:name w:val="Title Char"/>
    <w:basedOn w:val="DefaultParagraphFont"/>
    <w:link w:val="Title"/>
    <w:rsid w:val="00E828F5"/>
    <w:rPr>
      <w:rFonts w:eastAsia="MS Mincho"/>
      <w:b/>
      <w:caps/>
      <w:szCs w:val="24"/>
      <w:lang w:val="fr-FR" w:eastAsia="ja-JP"/>
    </w:rPr>
  </w:style>
  <w:style w:type="character" w:styleId="CommentReference">
    <w:name w:val="annotation reference"/>
    <w:basedOn w:val="DefaultParagraphFont"/>
    <w:rsid w:val="00851B21"/>
    <w:rPr>
      <w:sz w:val="16"/>
      <w:szCs w:val="16"/>
    </w:rPr>
  </w:style>
  <w:style w:type="paragraph" w:styleId="CommentText">
    <w:name w:val="annotation text"/>
    <w:basedOn w:val="Normal"/>
    <w:link w:val="CommentTextChar"/>
    <w:rsid w:val="00851B21"/>
    <w:rPr>
      <w:sz w:val="20"/>
      <w:szCs w:val="20"/>
    </w:rPr>
  </w:style>
  <w:style w:type="character" w:customStyle="1" w:styleId="CommentTextChar">
    <w:name w:val="Comment Text Char"/>
    <w:basedOn w:val="DefaultParagraphFont"/>
    <w:link w:val="CommentText"/>
    <w:rsid w:val="00851B21"/>
    <w:rPr>
      <w:lang w:val="fr-FR" w:eastAsia="en-US"/>
    </w:rPr>
  </w:style>
  <w:style w:type="paragraph" w:styleId="CommentSubject">
    <w:name w:val="annotation subject"/>
    <w:basedOn w:val="CommentText"/>
    <w:next w:val="CommentText"/>
    <w:link w:val="CommentSubjectChar"/>
    <w:rsid w:val="00851B21"/>
    <w:rPr>
      <w:b/>
      <w:bCs/>
    </w:rPr>
  </w:style>
  <w:style w:type="character" w:customStyle="1" w:styleId="CommentSubjectChar">
    <w:name w:val="Comment Subject Char"/>
    <w:basedOn w:val="CommentTextChar"/>
    <w:link w:val="CommentSubject"/>
    <w:rsid w:val="00851B21"/>
    <w:rPr>
      <w:b/>
      <w:bCs/>
      <w:lang w:val="fr-FR" w:eastAsia="en-US"/>
    </w:rPr>
  </w:style>
  <w:style w:type="paragraph" w:styleId="FootnoteText">
    <w:name w:val="footnote text"/>
    <w:basedOn w:val="Normal"/>
    <w:link w:val="FootnoteTextChar"/>
    <w:rsid w:val="00104F54"/>
    <w:rPr>
      <w:sz w:val="20"/>
      <w:szCs w:val="20"/>
    </w:rPr>
  </w:style>
  <w:style w:type="character" w:customStyle="1" w:styleId="FootnoteTextChar">
    <w:name w:val="Footnote Text Char"/>
    <w:basedOn w:val="DefaultParagraphFont"/>
    <w:link w:val="FootnoteText"/>
    <w:rsid w:val="00104F54"/>
    <w:rPr>
      <w:lang w:val="fr-FR" w:eastAsia="en-US"/>
    </w:rPr>
  </w:style>
  <w:style w:type="character" w:styleId="FootnoteReference">
    <w:name w:val="footnote reference"/>
    <w:basedOn w:val="DefaultParagraphFont"/>
    <w:rsid w:val="00104F54"/>
    <w:rPr>
      <w:vertAlign w:val="superscript"/>
    </w:rPr>
  </w:style>
  <w:style w:type="character" w:customStyle="1" w:styleId="HeaderChar">
    <w:name w:val="Header Char"/>
    <w:basedOn w:val="DefaultParagraphFont"/>
    <w:link w:val="Header"/>
    <w:uiPriority w:val="99"/>
    <w:rsid w:val="00471200"/>
    <w:rPr>
      <w:sz w:val="24"/>
      <w:szCs w:val="24"/>
      <w:lang w:val="fr-FR" w:eastAsia="es-ES"/>
    </w:rPr>
  </w:style>
  <w:style w:type="paragraph" w:styleId="NormalWeb">
    <w:name w:val="Normal (Web)"/>
    <w:basedOn w:val="Normal"/>
    <w:uiPriority w:val="99"/>
    <w:unhideWhenUsed/>
    <w:rsid w:val="00203884"/>
    <w:pPr>
      <w:spacing w:before="240" w:after="240"/>
    </w:pPr>
  </w:style>
  <w:style w:type="character" w:customStyle="1" w:styleId="FooterChar">
    <w:name w:val="Footer Char"/>
    <w:basedOn w:val="DefaultParagraphFont"/>
    <w:link w:val="Footer"/>
    <w:uiPriority w:val="99"/>
    <w:rsid w:val="003464A5"/>
    <w:rPr>
      <w:szCs w:val="24"/>
      <w:lang w:val="fr-FR" w:eastAsia="en-US"/>
    </w:rPr>
  </w:style>
  <w:style w:type="character" w:customStyle="1" w:styleId="BodyTextChar">
    <w:name w:val="Body Text Char"/>
    <w:basedOn w:val="DefaultParagraphFont"/>
    <w:link w:val="BodyText"/>
    <w:rsid w:val="00B83486"/>
    <w:rPr>
      <w:b/>
      <w:bCs/>
      <w:sz w:val="24"/>
      <w:szCs w:val="24"/>
      <w:lang w:val="fr-FR" w:eastAsia="es-ES"/>
    </w:rPr>
  </w:style>
  <w:style w:type="character" w:customStyle="1" w:styleId="Heading1Char">
    <w:name w:val="Heading 1 Char"/>
    <w:basedOn w:val="DefaultParagraphFont"/>
    <w:link w:val="Heading1"/>
    <w:uiPriority w:val="99"/>
    <w:rsid w:val="003F43BC"/>
    <w:rPr>
      <w:rFonts w:ascii="Arial" w:hAnsi="Arial"/>
      <w:b/>
      <w:bCs/>
      <w:color w:val="000000"/>
      <w:sz w:val="28"/>
      <w:szCs w:val="28"/>
      <w:lang w:eastAsia="en-US"/>
    </w:rPr>
  </w:style>
  <w:style w:type="character" w:customStyle="1" w:styleId="Heading2Char">
    <w:name w:val="Heading 2 Char"/>
    <w:basedOn w:val="DefaultParagraphFont"/>
    <w:link w:val="Heading2"/>
    <w:uiPriority w:val="99"/>
    <w:rsid w:val="003F43BC"/>
    <w:rPr>
      <w:rFonts w:ascii="Arial" w:hAnsi="Arial"/>
      <w:b/>
      <w:bCs/>
      <w:color w:val="000000"/>
      <w:sz w:val="26"/>
      <w:szCs w:val="26"/>
      <w:lang w:eastAsia="en-US"/>
    </w:rPr>
  </w:style>
  <w:style w:type="character" w:customStyle="1" w:styleId="Heading3Char">
    <w:name w:val="Heading 3 Char"/>
    <w:basedOn w:val="DefaultParagraphFont"/>
    <w:link w:val="Heading3"/>
    <w:uiPriority w:val="99"/>
    <w:rsid w:val="003F43BC"/>
    <w:rPr>
      <w:rFonts w:ascii="Arial" w:hAnsi="Arial"/>
      <w:b/>
      <w:bCs/>
      <w:sz w:val="22"/>
      <w:szCs w:val="22"/>
      <w:lang w:eastAsia="en-US"/>
    </w:rPr>
  </w:style>
  <w:style w:type="character" w:customStyle="1" w:styleId="Heading4Char">
    <w:name w:val="Heading 4 Char"/>
    <w:basedOn w:val="DefaultParagraphFont"/>
    <w:link w:val="Heading4"/>
    <w:uiPriority w:val="99"/>
    <w:rsid w:val="003F43BC"/>
    <w:rPr>
      <w:rFonts w:ascii="Arial" w:hAnsi="Arial"/>
      <w:b/>
      <w:bCs/>
      <w:iCs/>
      <w:sz w:val="22"/>
      <w:szCs w:val="22"/>
      <w:lang w:eastAsia="en-US"/>
    </w:rPr>
  </w:style>
  <w:style w:type="character" w:customStyle="1" w:styleId="Heading5Char">
    <w:name w:val="Heading 5 Char"/>
    <w:basedOn w:val="DefaultParagraphFont"/>
    <w:link w:val="Heading5"/>
    <w:uiPriority w:val="99"/>
    <w:rsid w:val="003F43BC"/>
    <w:rPr>
      <w:rFonts w:ascii="Arial" w:hAnsi="Arial"/>
      <w:sz w:val="22"/>
      <w:szCs w:val="22"/>
      <w:lang w:eastAsia="en-US"/>
    </w:rPr>
  </w:style>
  <w:style w:type="paragraph" w:styleId="ListParagraph">
    <w:name w:val="List Paragraph"/>
    <w:basedOn w:val="Normal"/>
    <w:uiPriority w:val="34"/>
    <w:qFormat/>
    <w:rsid w:val="00F077A4"/>
    <w:pPr>
      <w:ind w:left="720"/>
      <w:contextualSpacing/>
    </w:pPr>
  </w:style>
  <w:style w:type="table" w:styleId="TableGrid">
    <w:name w:val="Table Grid"/>
    <w:aliases w:val="MRAG Table Style"/>
    <w:basedOn w:val="TableNormal"/>
    <w:uiPriority w:val="39"/>
    <w:rsid w:val="00A43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AE1CF2"/>
    <w:rPr>
      <w:vertAlign w:val="superscript"/>
    </w:rPr>
  </w:style>
  <w:style w:type="character" w:customStyle="1" w:styleId="Heading6Char">
    <w:name w:val="Heading 6 Char"/>
    <w:basedOn w:val="DefaultParagraphFont"/>
    <w:link w:val="Heading6"/>
    <w:uiPriority w:val="9"/>
    <w:rsid w:val="00533C52"/>
    <w:rPr>
      <w:rFonts w:ascii="Cambria" w:hAnsi="Cambria"/>
      <w:b/>
      <w:bCs/>
      <w:i/>
      <w:iCs/>
      <w:color w:val="7F7F7F"/>
      <w:lang w:eastAsia="en-US"/>
    </w:rPr>
  </w:style>
  <w:style w:type="character" w:customStyle="1" w:styleId="Heading7Char">
    <w:name w:val="Heading 7 Char"/>
    <w:basedOn w:val="DefaultParagraphFont"/>
    <w:link w:val="Heading7"/>
    <w:uiPriority w:val="9"/>
    <w:rsid w:val="00533C52"/>
    <w:rPr>
      <w:rFonts w:ascii="Cambria" w:hAnsi="Cambria"/>
      <w:i/>
      <w:iCs/>
      <w:lang w:eastAsia="en-US"/>
    </w:rPr>
  </w:style>
  <w:style w:type="character" w:customStyle="1" w:styleId="Heading8Char">
    <w:name w:val="Heading 8 Char"/>
    <w:basedOn w:val="DefaultParagraphFont"/>
    <w:link w:val="Heading8"/>
    <w:uiPriority w:val="9"/>
    <w:rsid w:val="00533C52"/>
    <w:rPr>
      <w:rFonts w:ascii="Cambria" w:hAnsi="Cambria"/>
      <w:lang w:eastAsia="en-US"/>
    </w:rPr>
  </w:style>
  <w:style w:type="character" w:customStyle="1" w:styleId="Heading9Char">
    <w:name w:val="Heading 9 Char"/>
    <w:basedOn w:val="DefaultParagraphFont"/>
    <w:link w:val="Heading9"/>
    <w:uiPriority w:val="9"/>
    <w:rsid w:val="00533C52"/>
    <w:rPr>
      <w:rFonts w:ascii="Cambria" w:hAnsi="Cambria"/>
      <w:i/>
      <w:iCs/>
      <w:spacing w:val="5"/>
      <w:lang w:eastAsia="en-US"/>
    </w:rPr>
  </w:style>
  <w:style w:type="character" w:styleId="Hyperlink">
    <w:name w:val="Hyperlink"/>
    <w:basedOn w:val="DefaultParagraphFont"/>
    <w:uiPriority w:val="99"/>
    <w:unhideWhenUsed/>
    <w:rsid w:val="00047F55"/>
    <w:rPr>
      <w:color w:val="0000FF"/>
      <w:u w:val="single"/>
    </w:rPr>
  </w:style>
  <w:style w:type="character" w:styleId="FollowedHyperlink">
    <w:name w:val="FollowedHyperlink"/>
    <w:basedOn w:val="DefaultParagraphFont"/>
    <w:uiPriority w:val="99"/>
    <w:semiHidden/>
    <w:unhideWhenUsed/>
    <w:rsid w:val="004F6E56"/>
    <w:rPr>
      <w:color w:val="800080" w:themeColor="followedHyperlink"/>
      <w:u w:val="single"/>
    </w:rPr>
  </w:style>
  <w:style w:type="character" w:styleId="UnresolvedMention">
    <w:name w:val="Unresolved Mention"/>
    <w:basedOn w:val="DefaultParagraphFont"/>
    <w:uiPriority w:val="99"/>
    <w:semiHidden/>
    <w:unhideWhenUsed/>
    <w:rsid w:val="000434A7"/>
    <w:rPr>
      <w:color w:val="605E5C"/>
      <w:shd w:val="clear" w:color="auto" w:fill="E1DFDD"/>
    </w:rPr>
  </w:style>
  <w:style w:type="paragraph" w:styleId="Caption">
    <w:name w:val="caption"/>
    <w:basedOn w:val="Normal"/>
    <w:next w:val="Normal"/>
    <w:link w:val="CaptionChar"/>
    <w:uiPriority w:val="35"/>
    <w:unhideWhenUsed/>
    <w:qFormat/>
    <w:rsid w:val="00C1114A"/>
    <w:pPr>
      <w:spacing w:after="200"/>
      <w:jc w:val="both"/>
    </w:pPr>
    <w:rPr>
      <w:rFonts w:ascii="Arial" w:hAnsi="Arial"/>
      <w:b/>
      <w:bCs/>
      <w:sz w:val="22"/>
      <w:szCs w:val="20"/>
      <w:lang w:bidi="en-US"/>
    </w:rPr>
  </w:style>
  <w:style w:type="paragraph" w:customStyle="1" w:styleId="TableTitleRow">
    <w:name w:val="Table Title Row"/>
    <w:basedOn w:val="Normal"/>
    <w:qFormat/>
    <w:rsid w:val="00C1114A"/>
    <w:rPr>
      <w:rFonts w:ascii="Arial" w:hAnsi="Arial"/>
      <w:b/>
      <w:sz w:val="20"/>
      <w:szCs w:val="20"/>
      <w:lang w:bidi="en-US"/>
    </w:rPr>
  </w:style>
  <w:style w:type="character" w:customStyle="1" w:styleId="CaptionChar">
    <w:name w:val="Caption Char"/>
    <w:basedOn w:val="DefaultParagraphFont"/>
    <w:link w:val="Caption"/>
    <w:uiPriority w:val="35"/>
    <w:rsid w:val="00C1114A"/>
    <w:rPr>
      <w:rFonts w:ascii="Arial" w:hAnsi="Arial"/>
      <w:b/>
      <w:bCs/>
      <w:sz w:val="22"/>
      <w:lang w:eastAsia="en-US" w:bidi="en-US"/>
    </w:rPr>
  </w:style>
  <w:style w:type="paragraph" w:styleId="Revision">
    <w:name w:val="Revision"/>
    <w:hidden/>
    <w:uiPriority w:val="99"/>
    <w:semiHidden/>
    <w:rsid w:val="00230F1C"/>
    <w:rPr>
      <w:sz w:val="24"/>
      <w:szCs w:val="24"/>
      <w:lang w:eastAsia="en-US"/>
    </w:rPr>
  </w:style>
  <w:style w:type="paragraph" w:customStyle="1" w:styleId="msonormal0">
    <w:name w:val="msonormal"/>
    <w:basedOn w:val="Normal"/>
    <w:rsid w:val="00C27D6A"/>
    <w:pPr>
      <w:spacing w:before="100" w:beforeAutospacing="1" w:after="100" w:afterAutospacing="1"/>
    </w:pPr>
    <w:rPr>
      <w:lang w:eastAsia="en-GB"/>
    </w:rPr>
  </w:style>
  <w:style w:type="paragraph" w:customStyle="1" w:styleId="xl65">
    <w:name w:val="xl65"/>
    <w:basedOn w:val="Normal"/>
    <w:rsid w:val="00C27D6A"/>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106">
      <w:bodyDiv w:val="1"/>
      <w:marLeft w:val="0"/>
      <w:marRight w:val="0"/>
      <w:marTop w:val="0"/>
      <w:marBottom w:val="0"/>
      <w:divBdr>
        <w:top w:val="none" w:sz="0" w:space="0" w:color="auto"/>
        <w:left w:val="none" w:sz="0" w:space="0" w:color="auto"/>
        <w:bottom w:val="none" w:sz="0" w:space="0" w:color="auto"/>
        <w:right w:val="none" w:sz="0" w:space="0" w:color="auto"/>
      </w:divBdr>
    </w:div>
    <w:div w:id="14163609">
      <w:bodyDiv w:val="1"/>
      <w:marLeft w:val="0"/>
      <w:marRight w:val="0"/>
      <w:marTop w:val="0"/>
      <w:marBottom w:val="0"/>
      <w:divBdr>
        <w:top w:val="none" w:sz="0" w:space="0" w:color="auto"/>
        <w:left w:val="none" w:sz="0" w:space="0" w:color="auto"/>
        <w:bottom w:val="none" w:sz="0" w:space="0" w:color="auto"/>
        <w:right w:val="none" w:sz="0" w:space="0" w:color="auto"/>
      </w:divBdr>
    </w:div>
    <w:div w:id="146242184">
      <w:bodyDiv w:val="1"/>
      <w:marLeft w:val="0"/>
      <w:marRight w:val="0"/>
      <w:marTop w:val="0"/>
      <w:marBottom w:val="0"/>
      <w:divBdr>
        <w:top w:val="none" w:sz="0" w:space="0" w:color="auto"/>
        <w:left w:val="none" w:sz="0" w:space="0" w:color="auto"/>
        <w:bottom w:val="none" w:sz="0" w:space="0" w:color="auto"/>
        <w:right w:val="none" w:sz="0" w:space="0" w:color="auto"/>
      </w:divBdr>
    </w:div>
    <w:div w:id="235090324">
      <w:bodyDiv w:val="1"/>
      <w:marLeft w:val="0"/>
      <w:marRight w:val="0"/>
      <w:marTop w:val="0"/>
      <w:marBottom w:val="0"/>
      <w:divBdr>
        <w:top w:val="none" w:sz="0" w:space="0" w:color="auto"/>
        <w:left w:val="none" w:sz="0" w:space="0" w:color="auto"/>
        <w:bottom w:val="none" w:sz="0" w:space="0" w:color="auto"/>
        <w:right w:val="none" w:sz="0" w:space="0" w:color="auto"/>
      </w:divBdr>
    </w:div>
    <w:div w:id="274756724">
      <w:bodyDiv w:val="1"/>
      <w:marLeft w:val="0"/>
      <w:marRight w:val="0"/>
      <w:marTop w:val="0"/>
      <w:marBottom w:val="0"/>
      <w:divBdr>
        <w:top w:val="none" w:sz="0" w:space="0" w:color="auto"/>
        <w:left w:val="none" w:sz="0" w:space="0" w:color="auto"/>
        <w:bottom w:val="none" w:sz="0" w:space="0" w:color="auto"/>
        <w:right w:val="none" w:sz="0" w:space="0" w:color="auto"/>
      </w:divBdr>
    </w:div>
    <w:div w:id="322852494">
      <w:bodyDiv w:val="1"/>
      <w:marLeft w:val="0"/>
      <w:marRight w:val="0"/>
      <w:marTop w:val="0"/>
      <w:marBottom w:val="0"/>
      <w:divBdr>
        <w:top w:val="none" w:sz="0" w:space="0" w:color="auto"/>
        <w:left w:val="none" w:sz="0" w:space="0" w:color="auto"/>
        <w:bottom w:val="none" w:sz="0" w:space="0" w:color="auto"/>
        <w:right w:val="none" w:sz="0" w:space="0" w:color="auto"/>
      </w:divBdr>
    </w:div>
    <w:div w:id="395277956">
      <w:bodyDiv w:val="1"/>
      <w:marLeft w:val="0"/>
      <w:marRight w:val="0"/>
      <w:marTop w:val="0"/>
      <w:marBottom w:val="0"/>
      <w:divBdr>
        <w:top w:val="none" w:sz="0" w:space="0" w:color="auto"/>
        <w:left w:val="none" w:sz="0" w:space="0" w:color="auto"/>
        <w:bottom w:val="none" w:sz="0" w:space="0" w:color="auto"/>
        <w:right w:val="none" w:sz="0" w:space="0" w:color="auto"/>
      </w:divBdr>
    </w:div>
    <w:div w:id="397942876">
      <w:bodyDiv w:val="1"/>
      <w:marLeft w:val="0"/>
      <w:marRight w:val="0"/>
      <w:marTop w:val="0"/>
      <w:marBottom w:val="0"/>
      <w:divBdr>
        <w:top w:val="none" w:sz="0" w:space="0" w:color="auto"/>
        <w:left w:val="none" w:sz="0" w:space="0" w:color="auto"/>
        <w:bottom w:val="none" w:sz="0" w:space="0" w:color="auto"/>
        <w:right w:val="none" w:sz="0" w:space="0" w:color="auto"/>
      </w:divBdr>
    </w:div>
    <w:div w:id="448167684">
      <w:bodyDiv w:val="1"/>
      <w:marLeft w:val="0"/>
      <w:marRight w:val="0"/>
      <w:marTop w:val="0"/>
      <w:marBottom w:val="0"/>
      <w:divBdr>
        <w:top w:val="none" w:sz="0" w:space="0" w:color="auto"/>
        <w:left w:val="none" w:sz="0" w:space="0" w:color="auto"/>
        <w:bottom w:val="none" w:sz="0" w:space="0" w:color="auto"/>
        <w:right w:val="none" w:sz="0" w:space="0" w:color="auto"/>
      </w:divBdr>
    </w:div>
    <w:div w:id="456608236">
      <w:bodyDiv w:val="1"/>
      <w:marLeft w:val="0"/>
      <w:marRight w:val="0"/>
      <w:marTop w:val="0"/>
      <w:marBottom w:val="0"/>
      <w:divBdr>
        <w:top w:val="none" w:sz="0" w:space="0" w:color="auto"/>
        <w:left w:val="none" w:sz="0" w:space="0" w:color="auto"/>
        <w:bottom w:val="none" w:sz="0" w:space="0" w:color="auto"/>
        <w:right w:val="none" w:sz="0" w:space="0" w:color="auto"/>
      </w:divBdr>
    </w:div>
    <w:div w:id="466975264">
      <w:bodyDiv w:val="1"/>
      <w:marLeft w:val="0"/>
      <w:marRight w:val="0"/>
      <w:marTop w:val="0"/>
      <w:marBottom w:val="0"/>
      <w:divBdr>
        <w:top w:val="none" w:sz="0" w:space="0" w:color="auto"/>
        <w:left w:val="none" w:sz="0" w:space="0" w:color="auto"/>
        <w:bottom w:val="none" w:sz="0" w:space="0" w:color="auto"/>
        <w:right w:val="none" w:sz="0" w:space="0" w:color="auto"/>
      </w:divBdr>
    </w:div>
    <w:div w:id="473986063">
      <w:bodyDiv w:val="1"/>
      <w:marLeft w:val="0"/>
      <w:marRight w:val="0"/>
      <w:marTop w:val="0"/>
      <w:marBottom w:val="0"/>
      <w:divBdr>
        <w:top w:val="none" w:sz="0" w:space="0" w:color="auto"/>
        <w:left w:val="none" w:sz="0" w:space="0" w:color="auto"/>
        <w:bottom w:val="none" w:sz="0" w:space="0" w:color="auto"/>
        <w:right w:val="none" w:sz="0" w:space="0" w:color="auto"/>
      </w:divBdr>
    </w:div>
    <w:div w:id="525946817">
      <w:bodyDiv w:val="1"/>
      <w:marLeft w:val="0"/>
      <w:marRight w:val="0"/>
      <w:marTop w:val="0"/>
      <w:marBottom w:val="0"/>
      <w:divBdr>
        <w:top w:val="none" w:sz="0" w:space="0" w:color="auto"/>
        <w:left w:val="none" w:sz="0" w:space="0" w:color="auto"/>
        <w:bottom w:val="none" w:sz="0" w:space="0" w:color="auto"/>
        <w:right w:val="none" w:sz="0" w:space="0" w:color="auto"/>
      </w:divBdr>
    </w:div>
    <w:div w:id="545482926">
      <w:bodyDiv w:val="1"/>
      <w:marLeft w:val="0"/>
      <w:marRight w:val="0"/>
      <w:marTop w:val="0"/>
      <w:marBottom w:val="0"/>
      <w:divBdr>
        <w:top w:val="none" w:sz="0" w:space="0" w:color="auto"/>
        <w:left w:val="none" w:sz="0" w:space="0" w:color="auto"/>
        <w:bottom w:val="none" w:sz="0" w:space="0" w:color="auto"/>
        <w:right w:val="none" w:sz="0" w:space="0" w:color="auto"/>
      </w:divBdr>
    </w:div>
    <w:div w:id="652416141">
      <w:bodyDiv w:val="1"/>
      <w:marLeft w:val="0"/>
      <w:marRight w:val="0"/>
      <w:marTop w:val="0"/>
      <w:marBottom w:val="0"/>
      <w:divBdr>
        <w:top w:val="none" w:sz="0" w:space="0" w:color="auto"/>
        <w:left w:val="none" w:sz="0" w:space="0" w:color="auto"/>
        <w:bottom w:val="none" w:sz="0" w:space="0" w:color="auto"/>
        <w:right w:val="none" w:sz="0" w:space="0" w:color="auto"/>
      </w:divBdr>
    </w:div>
    <w:div w:id="829902816">
      <w:bodyDiv w:val="1"/>
      <w:marLeft w:val="0"/>
      <w:marRight w:val="0"/>
      <w:marTop w:val="0"/>
      <w:marBottom w:val="0"/>
      <w:divBdr>
        <w:top w:val="none" w:sz="0" w:space="0" w:color="auto"/>
        <w:left w:val="none" w:sz="0" w:space="0" w:color="auto"/>
        <w:bottom w:val="none" w:sz="0" w:space="0" w:color="auto"/>
        <w:right w:val="none" w:sz="0" w:space="0" w:color="auto"/>
      </w:divBdr>
    </w:div>
    <w:div w:id="883716659">
      <w:bodyDiv w:val="1"/>
      <w:marLeft w:val="0"/>
      <w:marRight w:val="0"/>
      <w:marTop w:val="0"/>
      <w:marBottom w:val="0"/>
      <w:divBdr>
        <w:top w:val="none" w:sz="0" w:space="0" w:color="auto"/>
        <w:left w:val="none" w:sz="0" w:space="0" w:color="auto"/>
        <w:bottom w:val="none" w:sz="0" w:space="0" w:color="auto"/>
        <w:right w:val="none" w:sz="0" w:space="0" w:color="auto"/>
      </w:divBdr>
    </w:div>
    <w:div w:id="920069500">
      <w:bodyDiv w:val="1"/>
      <w:marLeft w:val="0"/>
      <w:marRight w:val="0"/>
      <w:marTop w:val="0"/>
      <w:marBottom w:val="0"/>
      <w:divBdr>
        <w:top w:val="none" w:sz="0" w:space="0" w:color="auto"/>
        <w:left w:val="none" w:sz="0" w:space="0" w:color="auto"/>
        <w:bottom w:val="none" w:sz="0" w:space="0" w:color="auto"/>
        <w:right w:val="none" w:sz="0" w:space="0" w:color="auto"/>
      </w:divBdr>
    </w:div>
    <w:div w:id="928662971">
      <w:bodyDiv w:val="1"/>
      <w:marLeft w:val="0"/>
      <w:marRight w:val="0"/>
      <w:marTop w:val="0"/>
      <w:marBottom w:val="0"/>
      <w:divBdr>
        <w:top w:val="none" w:sz="0" w:space="0" w:color="auto"/>
        <w:left w:val="none" w:sz="0" w:space="0" w:color="auto"/>
        <w:bottom w:val="none" w:sz="0" w:space="0" w:color="auto"/>
        <w:right w:val="none" w:sz="0" w:space="0" w:color="auto"/>
      </w:divBdr>
    </w:div>
    <w:div w:id="929118690">
      <w:bodyDiv w:val="1"/>
      <w:marLeft w:val="0"/>
      <w:marRight w:val="0"/>
      <w:marTop w:val="0"/>
      <w:marBottom w:val="0"/>
      <w:divBdr>
        <w:top w:val="none" w:sz="0" w:space="0" w:color="auto"/>
        <w:left w:val="none" w:sz="0" w:space="0" w:color="auto"/>
        <w:bottom w:val="none" w:sz="0" w:space="0" w:color="auto"/>
        <w:right w:val="none" w:sz="0" w:space="0" w:color="auto"/>
      </w:divBdr>
    </w:div>
    <w:div w:id="1129469010">
      <w:bodyDiv w:val="1"/>
      <w:marLeft w:val="0"/>
      <w:marRight w:val="0"/>
      <w:marTop w:val="0"/>
      <w:marBottom w:val="0"/>
      <w:divBdr>
        <w:top w:val="none" w:sz="0" w:space="0" w:color="auto"/>
        <w:left w:val="none" w:sz="0" w:space="0" w:color="auto"/>
        <w:bottom w:val="none" w:sz="0" w:space="0" w:color="auto"/>
        <w:right w:val="none" w:sz="0" w:space="0" w:color="auto"/>
      </w:divBdr>
    </w:div>
    <w:div w:id="1163203135">
      <w:bodyDiv w:val="1"/>
      <w:marLeft w:val="0"/>
      <w:marRight w:val="0"/>
      <w:marTop w:val="0"/>
      <w:marBottom w:val="0"/>
      <w:divBdr>
        <w:top w:val="none" w:sz="0" w:space="0" w:color="auto"/>
        <w:left w:val="none" w:sz="0" w:space="0" w:color="auto"/>
        <w:bottom w:val="none" w:sz="0" w:space="0" w:color="auto"/>
        <w:right w:val="none" w:sz="0" w:space="0" w:color="auto"/>
      </w:divBdr>
    </w:div>
    <w:div w:id="1191870383">
      <w:bodyDiv w:val="1"/>
      <w:marLeft w:val="0"/>
      <w:marRight w:val="0"/>
      <w:marTop w:val="0"/>
      <w:marBottom w:val="0"/>
      <w:divBdr>
        <w:top w:val="none" w:sz="0" w:space="0" w:color="auto"/>
        <w:left w:val="none" w:sz="0" w:space="0" w:color="auto"/>
        <w:bottom w:val="none" w:sz="0" w:space="0" w:color="auto"/>
        <w:right w:val="none" w:sz="0" w:space="0" w:color="auto"/>
      </w:divBdr>
    </w:div>
    <w:div w:id="1256401094">
      <w:bodyDiv w:val="1"/>
      <w:marLeft w:val="0"/>
      <w:marRight w:val="0"/>
      <w:marTop w:val="0"/>
      <w:marBottom w:val="0"/>
      <w:divBdr>
        <w:top w:val="none" w:sz="0" w:space="0" w:color="auto"/>
        <w:left w:val="none" w:sz="0" w:space="0" w:color="auto"/>
        <w:bottom w:val="none" w:sz="0" w:space="0" w:color="auto"/>
        <w:right w:val="none" w:sz="0" w:space="0" w:color="auto"/>
      </w:divBdr>
      <w:divsChild>
        <w:div w:id="1883513680">
          <w:marLeft w:val="0"/>
          <w:marRight w:val="0"/>
          <w:marTop w:val="0"/>
          <w:marBottom w:val="0"/>
          <w:divBdr>
            <w:top w:val="none" w:sz="0" w:space="0" w:color="auto"/>
            <w:left w:val="none" w:sz="0" w:space="0" w:color="auto"/>
            <w:bottom w:val="none" w:sz="0" w:space="0" w:color="auto"/>
            <w:right w:val="none" w:sz="0" w:space="0" w:color="auto"/>
          </w:divBdr>
          <w:divsChild>
            <w:div w:id="234055186">
              <w:marLeft w:val="0"/>
              <w:marRight w:val="0"/>
              <w:marTop w:val="0"/>
              <w:marBottom w:val="0"/>
              <w:divBdr>
                <w:top w:val="none" w:sz="0" w:space="0" w:color="auto"/>
                <w:left w:val="none" w:sz="0" w:space="0" w:color="auto"/>
                <w:bottom w:val="none" w:sz="0" w:space="0" w:color="auto"/>
                <w:right w:val="none" w:sz="0" w:space="0" w:color="auto"/>
              </w:divBdr>
              <w:divsChild>
                <w:div w:id="102505261">
                  <w:marLeft w:val="-8"/>
                  <w:marRight w:val="0"/>
                  <w:marTop w:val="0"/>
                  <w:marBottom w:val="0"/>
                  <w:divBdr>
                    <w:top w:val="none" w:sz="0" w:space="0" w:color="auto"/>
                    <w:left w:val="none" w:sz="0" w:space="0" w:color="auto"/>
                    <w:bottom w:val="none" w:sz="0" w:space="0" w:color="auto"/>
                    <w:right w:val="none" w:sz="0" w:space="0" w:color="auto"/>
                  </w:divBdr>
                  <w:divsChild>
                    <w:div w:id="884022084">
                      <w:marLeft w:val="0"/>
                      <w:marRight w:val="0"/>
                      <w:marTop w:val="0"/>
                      <w:marBottom w:val="0"/>
                      <w:divBdr>
                        <w:top w:val="none" w:sz="0" w:space="0" w:color="auto"/>
                        <w:left w:val="none" w:sz="0" w:space="0" w:color="auto"/>
                        <w:bottom w:val="none" w:sz="0" w:space="0" w:color="auto"/>
                        <w:right w:val="none" w:sz="0" w:space="0" w:color="auto"/>
                      </w:divBdr>
                      <w:divsChild>
                        <w:div w:id="1707290799">
                          <w:marLeft w:val="0"/>
                          <w:marRight w:val="-8"/>
                          <w:marTop w:val="0"/>
                          <w:marBottom w:val="0"/>
                          <w:divBdr>
                            <w:top w:val="none" w:sz="0" w:space="0" w:color="auto"/>
                            <w:left w:val="none" w:sz="0" w:space="0" w:color="auto"/>
                            <w:bottom w:val="none" w:sz="0" w:space="0" w:color="auto"/>
                            <w:right w:val="none" w:sz="0" w:space="0" w:color="auto"/>
                          </w:divBdr>
                          <w:divsChild>
                            <w:div w:id="1230654041">
                              <w:marLeft w:val="0"/>
                              <w:marRight w:val="0"/>
                              <w:marTop w:val="0"/>
                              <w:marBottom w:val="0"/>
                              <w:divBdr>
                                <w:top w:val="none" w:sz="0" w:space="0" w:color="auto"/>
                                <w:left w:val="none" w:sz="0" w:space="0" w:color="auto"/>
                                <w:bottom w:val="none" w:sz="0" w:space="0" w:color="auto"/>
                                <w:right w:val="none" w:sz="0" w:space="0" w:color="auto"/>
                              </w:divBdr>
                              <w:divsChild>
                                <w:div w:id="2074808330">
                                  <w:marLeft w:val="0"/>
                                  <w:marRight w:val="0"/>
                                  <w:marTop w:val="0"/>
                                  <w:marBottom w:val="0"/>
                                  <w:divBdr>
                                    <w:top w:val="none" w:sz="0" w:space="0" w:color="auto"/>
                                    <w:left w:val="none" w:sz="0" w:space="0" w:color="auto"/>
                                    <w:bottom w:val="none" w:sz="0" w:space="0" w:color="auto"/>
                                    <w:right w:val="none" w:sz="0" w:space="0" w:color="auto"/>
                                  </w:divBdr>
                                  <w:divsChild>
                                    <w:div w:id="289823233">
                                      <w:marLeft w:val="0"/>
                                      <w:marRight w:val="0"/>
                                      <w:marTop w:val="0"/>
                                      <w:marBottom w:val="0"/>
                                      <w:divBdr>
                                        <w:top w:val="none" w:sz="0" w:space="0" w:color="auto"/>
                                        <w:left w:val="none" w:sz="0" w:space="0" w:color="auto"/>
                                        <w:bottom w:val="none" w:sz="0" w:space="0" w:color="auto"/>
                                        <w:right w:val="none" w:sz="0" w:space="0" w:color="auto"/>
                                      </w:divBdr>
                                      <w:divsChild>
                                        <w:div w:id="164901568">
                                          <w:marLeft w:val="0"/>
                                          <w:marRight w:val="0"/>
                                          <w:marTop w:val="0"/>
                                          <w:marBottom w:val="0"/>
                                          <w:divBdr>
                                            <w:top w:val="none" w:sz="0" w:space="0" w:color="auto"/>
                                            <w:left w:val="none" w:sz="0" w:space="0" w:color="auto"/>
                                            <w:bottom w:val="none" w:sz="0" w:space="0" w:color="auto"/>
                                            <w:right w:val="none" w:sz="0" w:space="0" w:color="auto"/>
                                          </w:divBdr>
                                          <w:divsChild>
                                            <w:div w:id="1368608116">
                                              <w:marLeft w:val="0"/>
                                              <w:marRight w:val="0"/>
                                              <w:marTop w:val="0"/>
                                              <w:marBottom w:val="0"/>
                                              <w:divBdr>
                                                <w:top w:val="none" w:sz="0" w:space="0" w:color="auto"/>
                                                <w:left w:val="none" w:sz="0" w:space="0" w:color="auto"/>
                                                <w:bottom w:val="none" w:sz="0" w:space="0" w:color="auto"/>
                                                <w:right w:val="none" w:sz="0" w:space="0" w:color="auto"/>
                                              </w:divBdr>
                                              <w:divsChild>
                                                <w:div w:id="1837647519">
                                                  <w:marLeft w:val="0"/>
                                                  <w:marRight w:val="0"/>
                                                  <w:marTop w:val="0"/>
                                                  <w:marBottom w:val="0"/>
                                                  <w:divBdr>
                                                    <w:top w:val="none" w:sz="0" w:space="0" w:color="auto"/>
                                                    <w:left w:val="none" w:sz="0" w:space="0" w:color="auto"/>
                                                    <w:bottom w:val="none" w:sz="0" w:space="0" w:color="auto"/>
                                                    <w:right w:val="none" w:sz="0" w:space="0" w:color="auto"/>
                                                  </w:divBdr>
                                                  <w:divsChild>
                                                    <w:div w:id="1373115503">
                                                      <w:marLeft w:val="0"/>
                                                      <w:marRight w:val="0"/>
                                                      <w:marTop w:val="0"/>
                                                      <w:marBottom w:val="75"/>
                                                      <w:divBdr>
                                                        <w:top w:val="none" w:sz="0" w:space="0" w:color="auto"/>
                                                        <w:left w:val="none" w:sz="0" w:space="0" w:color="auto"/>
                                                        <w:bottom w:val="none" w:sz="0" w:space="0" w:color="auto"/>
                                                        <w:right w:val="none" w:sz="0" w:space="0" w:color="auto"/>
                                                      </w:divBdr>
                                                      <w:divsChild>
                                                        <w:div w:id="1801412857">
                                                          <w:marLeft w:val="0"/>
                                                          <w:marRight w:val="0"/>
                                                          <w:marTop w:val="0"/>
                                                          <w:marBottom w:val="0"/>
                                                          <w:divBdr>
                                                            <w:top w:val="none" w:sz="0" w:space="0" w:color="auto"/>
                                                            <w:left w:val="none" w:sz="0" w:space="0" w:color="auto"/>
                                                            <w:bottom w:val="none" w:sz="0" w:space="0" w:color="auto"/>
                                                            <w:right w:val="none" w:sz="0" w:space="0" w:color="auto"/>
                                                          </w:divBdr>
                                                          <w:divsChild>
                                                            <w:div w:id="159195885">
                                                              <w:marLeft w:val="0"/>
                                                              <w:marRight w:val="0"/>
                                                              <w:marTop w:val="0"/>
                                                              <w:marBottom w:val="0"/>
                                                              <w:divBdr>
                                                                <w:top w:val="none" w:sz="0" w:space="0" w:color="auto"/>
                                                                <w:left w:val="none" w:sz="0" w:space="0" w:color="auto"/>
                                                                <w:bottom w:val="none" w:sz="0" w:space="0" w:color="auto"/>
                                                                <w:right w:val="none" w:sz="0" w:space="0" w:color="auto"/>
                                                              </w:divBdr>
                                                              <w:divsChild>
                                                                <w:div w:id="387338219">
                                                                  <w:marLeft w:val="0"/>
                                                                  <w:marRight w:val="0"/>
                                                                  <w:marTop w:val="0"/>
                                                                  <w:marBottom w:val="0"/>
                                                                  <w:divBdr>
                                                                    <w:top w:val="none" w:sz="0" w:space="0" w:color="auto"/>
                                                                    <w:left w:val="none" w:sz="0" w:space="0" w:color="auto"/>
                                                                    <w:bottom w:val="none" w:sz="0" w:space="0" w:color="auto"/>
                                                                    <w:right w:val="none" w:sz="0" w:space="0" w:color="auto"/>
                                                                  </w:divBdr>
                                                                  <w:divsChild>
                                                                    <w:div w:id="1370109252">
                                                                      <w:marLeft w:val="0"/>
                                                                      <w:marRight w:val="0"/>
                                                                      <w:marTop w:val="0"/>
                                                                      <w:marBottom w:val="0"/>
                                                                      <w:divBdr>
                                                                        <w:top w:val="none" w:sz="0" w:space="0" w:color="auto"/>
                                                                        <w:left w:val="none" w:sz="0" w:space="0" w:color="auto"/>
                                                                        <w:bottom w:val="none" w:sz="0" w:space="0" w:color="auto"/>
                                                                        <w:right w:val="none" w:sz="0" w:space="0" w:color="auto"/>
                                                                      </w:divBdr>
                                                                      <w:divsChild>
                                                                        <w:div w:id="789738246">
                                                                          <w:marLeft w:val="0"/>
                                                                          <w:marRight w:val="0"/>
                                                                          <w:marTop w:val="0"/>
                                                                          <w:marBottom w:val="0"/>
                                                                          <w:divBdr>
                                                                            <w:top w:val="none" w:sz="0" w:space="0" w:color="auto"/>
                                                                            <w:left w:val="none" w:sz="0" w:space="0" w:color="auto"/>
                                                                            <w:bottom w:val="none" w:sz="0" w:space="0" w:color="auto"/>
                                                                            <w:right w:val="none" w:sz="0" w:space="0" w:color="auto"/>
                                                                          </w:divBdr>
                                                                          <w:divsChild>
                                                                            <w:div w:id="181779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9564254">
      <w:bodyDiv w:val="1"/>
      <w:marLeft w:val="0"/>
      <w:marRight w:val="0"/>
      <w:marTop w:val="0"/>
      <w:marBottom w:val="0"/>
      <w:divBdr>
        <w:top w:val="none" w:sz="0" w:space="0" w:color="auto"/>
        <w:left w:val="none" w:sz="0" w:space="0" w:color="auto"/>
        <w:bottom w:val="none" w:sz="0" w:space="0" w:color="auto"/>
        <w:right w:val="none" w:sz="0" w:space="0" w:color="auto"/>
      </w:divBdr>
    </w:div>
    <w:div w:id="1310473426">
      <w:bodyDiv w:val="1"/>
      <w:marLeft w:val="0"/>
      <w:marRight w:val="0"/>
      <w:marTop w:val="0"/>
      <w:marBottom w:val="0"/>
      <w:divBdr>
        <w:top w:val="none" w:sz="0" w:space="0" w:color="auto"/>
        <w:left w:val="none" w:sz="0" w:space="0" w:color="auto"/>
        <w:bottom w:val="none" w:sz="0" w:space="0" w:color="auto"/>
        <w:right w:val="none" w:sz="0" w:space="0" w:color="auto"/>
      </w:divBdr>
    </w:div>
    <w:div w:id="1365980448">
      <w:bodyDiv w:val="1"/>
      <w:marLeft w:val="0"/>
      <w:marRight w:val="0"/>
      <w:marTop w:val="0"/>
      <w:marBottom w:val="0"/>
      <w:divBdr>
        <w:top w:val="none" w:sz="0" w:space="0" w:color="auto"/>
        <w:left w:val="none" w:sz="0" w:space="0" w:color="auto"/>
        <w:bottom w:val="none" w:sz="0" w:space="0" w:color="auto"/>
        <w:right w:val="none" w:sz="0" w:space="0" w:color="auto"/>
      </w:divBdr>
    </w:div>
    <w:div w:id="1479764596">
      <w:bodyDiv w:val="1"/>
      <w:marLeft w:val="0"/>
      <w:marRight w:val="0"/>
      <w:marTop w:val="0"/>
      <w:marBottom w:val="0"/>
      <w:divBdr>
        <w:top w:val="none" w:sz="0" w:space="0" w:color="auto"/>
        <w:left w:val="none" w:sz="0" w:space="0" w:color="auto"/>
        <w:bottom w:val="none" w:sz="0" w:space="0" w:color="auto"/>
        <w:right w:val="none" w:sz="0" w:space="0" w:color="auto"/>
      </w:divBdr>
    </w:div>
    <w:div w:id="1510557110">
      <w:bodyDiv w:val="1"/>
      <w:marLeft w:val="0"/>
      <w:marRight w:val="0"/>
      <w:marTop w:val="0"/>
      <w:marBottom w:val="0"/>
      <w:divBdr>
        <w:top w:val="none" w:sz="0" w:space="0" w:color="auto"/>
        <w:left w:val="none" w:sz="0" w:space="0" w:color="auto"/>
        <w:bottom w:val="none" w:sz="0" w:space="0" w:color="auto"/>
        <w:right w:val="none" w:sz="0" w:space="0" w:color="auto"/>
      </w:divBdr>
    </w:div>
    <w:div w:id="1520002199">
      <w:bodyDiv w:val="1"/>
      <w:marLeft w:val="0"/>
      <w:marRight w:val="0"/>
      <w:marTop w:val="0"/>
      <w:marBottom w:val="0"/>
      <w:divBdr>
        <w:top w:val="none" w:sz="0" w:space="0" w:color="auto"/>
        <w:left w:val="none" w:sz="0" w:space="0" w:color="auto"/>
        <w:bottom w:val="none" w:sz="0" w:space="0" w:color="auto"/>
        <w:right w:val="none" w:sz="0" w:space="0" w:color="auto"/>
      </w:divBdr>
    </w:div>
    <w:div w:id="1564831686">
      <w:bodyDiv w:val="1"/>
      <w:marLeft w:val="0"/>
      <w:marRight w:val="0"/>
      <w:marTop w:val="0"/>
      <w:marBottom w:val="0"/>
      <w:divBdr>
        <w:top w:val="none" w:sz="0" w:space="0" w:color="auto"/>
        <w:left w:val="none" w:sz="0" w:space="0" w:color="auto"/>
        <w:bottom w:val="none" w:sz="0" w:space="0" w:color="auto"/>
        <w:right w:val="none" w:sz="0" w:space="0" w:color="auto"/>
      </w:divBdr>
    </w:div>
    <w:div w:id="1589727151">
      <w:bodyDiv w:val="1"/>
      <w:marLeft w:val="0"/>
      <w:marRight w:val="0"/>
      <w:marTop w:val="0"/>
      <w:marBottom w:val="0"/>
      <w:divBdr>
        <w:top w:val="none" w:sz="0" w:space="0" w:color="auto"/>
        <w:left w:val="none" w:sz="0" w:space="0" w:color="auto"/>
        <w:bottom w:val="none" w:sz="0" w:space="0" w:color="auto"/>
        <w:right w:val="none" w:sz="0" w:space="0" w:color="auto"/>
      </w:divBdr>
      <w:divsChild>
        <w:div w:id="2082286280">
          <w:marLeft w:val="0"/>
          <w:marRight w:val="0"/>
          <w:marTop w:val="0"/>
          <w:marBottom w:val="0"/>
          <w:divBdr>
            <w:top w:val="none" w:sz="0" w:space="0" w:color="auto"/>
            <w:left w:val="none" w:sz="0" w:space="0" w:color="auto"/>
            <w:bottom w:val="none" w:sz="0" w:space="0" w:color="auto"/>
            <w:right w:val="none" w:sz="0" w:space="0" w:color="auto"/>
          </w:divBdr>
          <w:divsChild>
            <w:div w:id="1091270397">
              <w:marLeft w:val="0"/>
              <w:marRight w:val="0"/>
              <w:marTop w:val="0"/>
              <w:marBottom w:val="0"/>
              <w:divBdr>
                <w:top w:val="none" w:sz="0" w:space="0" w:color="auto"/>
                <w:left w:val="none" w:sz="0" w:space="0" w:color="auto"/>
                <w:bottom w:val="none" w:sz="0" w:space="0" w:color="auto"/>
                <w:right w:val="none" w:sz="0" w:space="0" w:color="auto"/>
              </w:divBdr>
              <w:divsChild>
                <w:div w:id="1695963060">
                  <w:marLeft w:val="-8"/>
                  <w:marRight w:val="0"/>
                  <w:marTop w:val="0"/>
                  <w:marBottom w:val="0"/>
                  <w:divBdr>
                    <w:top w:val="none" w:sz="0" w:space="0" w:color="auto"/>
                    <w:left w:val="none" w:sz="0" w:space="0" w:color="auto"/>
                    <w:bottom w:val="none" w:sz="0" w:space="0" w:color="auto"/>
                    <w:right w:val="none" w:sz="0" w:space="0" w:color="auto"/>
                  </w:divBdr>
                  <w:divsChild>
                    <w:div w:id="323360842">
                      <w:marLeft w:val="0"/>
                      <w:marRight w:val="0"/>
                      <w:marTop w:val="0"/>
                      <w:marBottom w:val="0"/>
                      <w:divBdr>
                        <w:top w:val="none" w:sz="0" w:space="0" w:color="auto"/>
                        <w:left w:val="none" w:sz="0" w:space="0" w:color="auto"/>
                        <w:bottom w:val="none" w:sz="0" w:space="0" w:color="auto"/>
                        <w:right w:val="none" w:sz="0" w:space="0" w:color="auto"/>
                      </w:divBdr>
                      <w:divsChild>
                        <w:div w:id="49816746">
                          <w:marLeft w:val="0"/>
                          <w:marRight w:val="-8"/>
                          <w:marTop w:val="0"/>
                          <w:marBottom w:val="0"/>
                          <w:divBdr>
                            <w:top w:val="none" w:sz="0" w:space="0" w:color="auto"/>
                            <w:left w:val="none" w:sz="0" w:space="0" w:color="auto"/>
                            <w:bottom w:val="none" w:sz="0" w:space="0" w:color="auto"/>
                            <w:right w:val="none" w:sz="0" w:space="0" w:color="auto"/>
                          </w:divBdr>
                          <w:divsChild>
                            <w:div w:id="1750690046">
                              <w:marLeft w:val="0"/>
                              <w:marRight w:val="0"/>
                              <w:marTop w:val="0"/>
                              <w:marBottom w:val="0"/>
                              <w:divBdr>
                                <w:top w:val="none" w:sz="0" w:space="0" w:color="auto"/>
                                <w:left w:val="none" w:sz="0" w:space="0" w:color="auto"/>
                                <w:bottom w:val="none" w:sz="0" w:space="0" w:color="auto"/>
                                <w:right w:val="none" w:sz="0" w:space="0" w:color="auto"/>
                              </w:divBdr>
                              <w:divsChild>
                                <w:div w:id="395053042">
                                  <w:marLeft w:val="0"/>
                                  <w:marRight w:val="0"/>
                                  <w:marTop w:val="0"/>
                                  <w:marBottom w:val="0"/>
                                  <w:divBdr>
                                    <w:top w:val="none" w:sz="0" w:space="0" w:color="auto"/>
                                    <w:left w:val="none" w:sz="0" w:space="0" w:color="auto"/>
                                    <w:bottom w:val="none" w:sz="0" w:space="0" w:color="auto"/>
                                    <w:right w:val="none" w:sz="0" w:space="0" w:color="auto"/>
                                  </w:divBdr>
                                  <w:divsChild>
                                    <w:div w:id="1702703698">
                                      <w:marLeft w:val="0"/>
                                      <w:marRight w:val="0"/>
                                      <w:marTop w:val="0"/>
                                      <w:marBottom w:val="0"/>
                                      <w:divBdr>
                                        <w:top w:val="none" w:sz="0" w:space="0" w:color="auto"/>
                                        <w:left w:val="none" w:sz="0" w:space="0" w:color="auto"/>
                                        <w:bottom w:val="none" w:sz="0" w:space="0" w:color="auto"/>
                                        <w:right w:val="none" w:sz="0" w:space="0" w:color="auto"/>
                                      </w:divBdr>
                                      <w:divsChild>
                                        <w:div w:id="354114946">
                                          <w:marLeft w:val="0"/>
                                          <w:marRight w:val="0"/>
                                          <w:marTop w:val="0"/>
                                          <w:marBottom w:val="0"/>
                                          <w:divBdr>
                                            <w:top w:val="none" w:sz="0" w:space="0" w:color="auto"/>
                                            <w:left w:val="none" w:sz="0" w:space="0" w:color="auto"/>
                                            <w:bottom w:val="none" w:sz="0" w:space="0" w:color="auto"/>
                                            <w:right w:val="none" w:sz="0" w:space="0" w:color="auto"/>
                                          </w:divBdr>
                                          <w:divsChild>
                                            <w:div w:id="909343433">
                                              <w:marLeft w:val="0"/>
                                              <w:marRight w:val="0"/>
                                              <w:marTop w:val="0"/>
                                              <w:marBottom w:val="0"/>
                                              <w:divBdr>
                                                <w:top w:val="none" w:sz="0" w:space="0" w:color="auto"/>
                                                <w:left w:val="none" w:sz="0" w:space="0" w:color="auto"/>
                                                <w:bottom w:val="none" w:sz="0" w:space="0" w:color="auto"/>
                                                <w:right w:val="none" w:sz="0" w:space="0" w:color="auto"/>
                                              </w:divBdr>
                                              <w:divsChild>
                                                <w:div w:id="1337540447">
                                                  <w:marLeft w:val="0"/>
                                                  <w:marRight w:val="0"/>
                                                  <w:marTop w:val="0"/>
                                                  <w:marBottom w:val="0"/>
                                                  <w:divBdr>
                                                    <w:top w:val="none" w:sz="0" w:space="0" w:color="auto"/>
                                                    <w:left w:val="none" w:sz="0" w:space="0" w:color="auto"/>
                                                    <w:bottom w:val="none" w:sz="0" w:space="0" w:color="auto"/>
                                                    <w:right w:val="none" w:sz="0" w:space="0" w:color="auto"/>
                                                  </w:divBdr>
                                                  <w:divsChild>
                                                    <w:div w:id="1832868552">
                                                      <w:marLeft w:val="0"/>
                                                      <w:marRight w:val="0"/>
                                                      <w:marTop w:val="0"/>
                                                      <w:marBottom w:val="75"/>
                                                      <w:divBdr>
                                                        <w:top w:val="none" w:sz="0" w:space="0" w:color="auto"/>
                                                        <w:left w:val="none" w:sz="0" w:space="0" w:color="auto"/>
                                                        <w:bottom w:val="none" w:sz="0" w:space="0" w:color="auto"/>
                                                        <w:right w:val="none" w:sz="0" w:space="0" w:color="auto"/>
                                                      </w:divBdr>
                                                      <w:divsChild>
                                                        <w:div w:id="1074593998">
                                                          <w:marLeft w:val="0"/>
                                                          <w:marRight w:val="0"/>
                                                          <w:marTop w:val="0"/>
                                                          <w:marBottom w:val="0"/>
                                                          <w:divBdr>
                                                            <w:top w:val="none" w:sz="0" w:space="0" w:color="auto"/>
                                                            <w:left w:val="none" w:sz="0" w:space="0" w:color="auto"/>
                                                            <w:bottom w:val="none" w:sz="0" w:space="0" w:color="auto"/>
                                                            <w:right w:val="none" w:sz="0" w:space="0" w:color="auto"/>
                                                          </w:divBdr>
                                                          <w:divsChild>
                                                            <w:div w:id="2027948288">
                                                              <w:marLeft w:val="0"/>
                                                              <w:marRight w:val="0"/>
                                                              <w:marTop w:val="0"/>
                                                              <w:marBottom w:val="0"/>
                                                              <w:divBdr>
                                                                <w:top w:val="none" w:sz="0" w:space="0" w:color="auto"/>
                                                                <w:left w:val="none" w:sz="0" w:space="0" w:color="auto"/>
                                                                <w:bottom w:val="none" w:sz="0" w:space="0" w:color="auto"/>
                                                                <w:right w:val="none" w:sz="0" w:space="0" w:color="auto"/>
                                                              </w:divBdr>
                                                              <w:divsChild>
                                                                <w:div w:id="2075353878">
                                                                  <w:marLeft w:val="0"/>
                                                                  <w:marRight w:val="0"/>
                                                                  <w:marTop w:val="0"/>
                                                                  <w:marBottom w:val="0"/>
                                                                  <w:divBdr>
                                                                    <w:top w:val="none" w:sz="0" w:space="0" w:color="auto"/>
                                                                    <w:left w:val="none" w:sz="0" w:space="0" w:color="auto"/>
                                                                    <w:bottom w:val="none" w:sz="0" w:space="0" w:color="auto"/>
                                                                    <w:right w:val="none" w:sz="0" w:space="0" w:color="auto"/>
                                                                  </w:divBdr>
                                                                  <w:divsChild>
                                                                    <w:div w:id="1283457254">
                                                                      <w:marLeft w:val="0"/>
                                                                      <w:marRight w:val="0"/>
                                                                      <w:marTop w:val="0"/>
                                                                      <w:marBottom w:val="0"/>
                                                                      <w:divBdr>
                                                                        <w:top w:val="none" w:sz="0" w:space="0" w:color="auto"/>
                                                                        <w:left w:val="none" w:sz="0" w:space="0" w:color="auto"/>
                                                                        <w:bottom w:val="none" w:sz="0" w:space="0" w:color="auto"/>
                                                                        <w:right w:val="none" w:sz="0" w:space="0" w:color="auto"/>
                                                                      </w:divBdr>
                                                                      <w:divsChild>
                                                                        <w:div w:id="608052949">
                                                                          <w:marLeft w:val="0"/>
                                                                          <w:marRight w:val="0"/>
                                                                          <w:marTop w:val="0"/>
                                                                          <w:marBottom w:val="0"/>
                                                                          <w:divBdr>
                                                                            <w:top w:val="none" w:sz="0" w:space="0" w:color="auto"/>
                                                                            <w:left w:val="none" w:sz="0" w:space="0" w:color="auto"/>
                                                                            <w:bottom w:val="none" w:sz="0" w:space="0" w:color="auto"/>
                                                                            <w:right w:val="none" w:sz="0" w:space="0" w:color="auto"/>
                                                                          </w:divBdr>
                                                                          <w:divsChild>
                                                                            <w:div w:id="9740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6880872">
      <w:bodyDiv w:val="1"/>
      <w:marLeft w:val="0"/>
      <w:marRight w:val="0"/>
      <w:marTop w:val="0"/>
      <w:marBottom w:val="0"/>
      <w:divBdr>
        <w:top w:val="none" w:sz="0" w:space="0" w:color="auto"/>
        <w:left w:val="none" w:sz="0" w:space="0" w:color="auto"/>
        <w:bottom w:val="none" w:sz="0" w:space="0" w:color="auto"/>
        <w:right w:val="none" w:sz="0" w:space="0" w:color="auto"/>
      </w:divBdr>
    </w:div>
    <w:div w:id="1792553392">
      <w:bodyDiv w:val="1"/>
      <w:marLeft w:val="0"/>
      <w:marRight w:val="0"/>
      <w:marTop w:val="0"/>
      <w:marBottom w:val="0"/>
      <w:divBdr>
        <w:top w:val="none" w:sz="0" w:space="0" w:color="auto"/>
        <w:left w:val="none" w:sz="0" w:space="0" w:color="auto"/>
        <w:bottom w:val="none" w:sz="0" w:space="0" w:color="auto"/>
        <w:right w:val="none" w:sz="0" w:space="0" w:color="auto"/>
      </w:divBdr>
    </w:div>
    <w:div w:id="1812668814">
      <w:bodyDiv w:val="1"/>
      <w:marLeft w:val="0"/>
      <w:marRight w:val="0"/>
      <w:marTop w:val="0"/>
      <w:marBottom w:val="0"/>
      <w:divBdr>
        <w:top w:val="none" w:sz="0" w:space="0" w:color="auto"/>
        <w:left w:val="none" w:sz="0" w:space="0" w:color="auto"/>
        <w:bottom w:val="none" w:sz="0" w:space="0" w:color="auto"/>
        <w:right w:val="none" w:sz="0" w:space="0" w:color="auto"/>
      </w:divBdr>
    </w:div>
    <w:div w:id="1900893707">
      <w:bodyDiv w:val="1"/>
      <w:marLeft w:val="0"/>
      <w:marRight w:val="0"/>
      <w:marTop w:val="0"/>
      <w:marBottom w:val="0"/>
      <w:divBdr>
        <w:top w:val="none" w:sz="0" w:space="0" w:color="auto"/>
        <w:left w:val="none" w:sz="0" w:space="0" w:color="auto"/>
        <w:bottom w:val="none" w:sz="0" w:space="0" w:color="auto"/>
        <w:right w:val="none" w:sz="0" w:space="0" w:color="auto"/>
      </w:divBdr>
    </w:div>
    <w:div w:id="1945726070">
      <w:bodyDiv w:val="1"/>
      <w:marLeft w:val="0"/>
      <w:marRight w:val="0"/>
      <w:marTop w:val="0"/>
      <w:marBottom w:val="0"/>
      <w:divBdr>
        <w:top w:val="none" w:sz="0" w:space="0" w:color="auto"/>
        <w:left w:val="none" w:sz="0" w:space="0" w:color="auto"/>
        <w:bottom w:val="none" w:sz="0" w:space="0" w:color="auto"/>
        <w:right w:val="none" w:sz="0" w:space="0" w:color="auto"/>
      </w:divBdr>
    </w:div>
    <w:div w:id="1976174332">
      <w:bodyDiv w:val="1"/>
      <w:marLeft w:val="0"/>
      <w:marRight w:val="0"/>
      <w:marTop w:val="0"/>
      <w:marBottom w:val="0"/>
      <w:divBdr>
        <w:top w:val="none" w:sz="0" w:space="0" w:color="auto"/>
        <w:left w:val="none" w:sz="0" w:space="0" w:color="auto"/>
        <w:bottom w:val="none" w:sz="0" w:space="0" w:color="auto"/>
        <w:right w:val="none" w:sz="0" w:space="0" w:color="auto"/>
      </w:divBdr>
    </w:div>
    <w:div w:id="208352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f/2024-05-f.pdf" TargetMode="External"/><Relationship Id="rId13" Type="http://schemas.openxmlformats.org/officeDocument/2006/relationships/hyperlink" Target="https://www.iccat.int/Documents/Recs/compendiopdf-f/2024-05-f.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cat.int/Documents/Recs/compendiopdf-f/2023-06-f.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f/2023-06-f.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ccat.int/Documents/Recs/compendiopdf-f/2022-08-f.pdf" TargetMode="External"/><Relationship Id="rId4" Type="http://schemas.openxmlformats.org/officeDocument/2006/relationships/settings" Target="settings.xml"/><Relationship Id="rId9" Type="http://schemas.openxmlformats.org/officeDocument/2006/relationships/hyperlink" Target="https://www.iccat.int/Documents/Recs/compendiopdf-f/2024-05-f.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5A63E-EB29-44E0-9930-5685EA257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3007</Words>
  <Characters>17145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2025-11-15T10:50:00Z</dcterms:created>
  <dcterms:modified xsi:type="dcterms:W3CDTF">2025-11-15T15:58:00Z</dcterms:modified>
</cp:coreProperties>
</file>