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6BB0" w14:textId="5352965F" w:rsidR="00484725" w:rsidRPr="00D1392F" w:rsidRDefault="00484725" w:rsidP="00484725">
      <w:pPr>
        <w:ind w:right="392"/>
        <w:jc w:val="center"/>
        <w:rPr>
          <w:rFonts w:asciiTheme="majorHAnsi" w:eastAsia="Cambria" w:hAnsiTheme="majorHAnsi" w:cs="Cambria"/>
          <w:b/>
          <w:sz w:val="20"/>
          <w:szCs w:val="20"/>
          <w:lang w:eastAsia="en-US"/>
        </w:rPr>
      </w:pPr>
      <w:r w:rsidRPr="00D1392F">
        <w:rPr>
          <w:rFonts w:asciiTheme="majorHAnsi" w:eastAsia="Aptos" w:hAnsiTheme="majorHAnsi"/>
          <w:b/>
          <w:kern w:val="2"/>
          <w:sz w:val="20"/>
          <w:szCs w:val="20"/>
          <w:lang w:eastAsia="en-US"/>
          <w14:ligatures w14:val="standardContextual"/>
        </w:rPr>
        <w:t>Portada para acompañar nuevas propuestas</w:t>
      </w:r>
    </w:p>
    <w:p w14:paraId="07DA2B23" w14:textId="77777777" w:rsidR="00484725" w:rsidRPr="00484725" w:rsidRDefault="00484725" w:rsidP="00484725">
      <w:pPr>
        <w:widowControl w:val="0"/>
        <w:jc w:val="center"/>
        <w:rPr>
          <w:rFonts w:asciiTheme="majorHAnsi" w:eastAsia="Cambria" w:hAnsiTheme="majorHAnsi" w:cs="Cambria"/>
          <w:sz w:val="20"/>
          <w:szCs w:val="20"/>
          <w:lang w:eastAsia="en-US"/>
        </w:rPr>
      </w:pPr>
    </w:p>
    <w:p w14:paraId="57B59C47" w14:textId="290FEF91" w:rsidR="00484725" w:rsidRPr="00484725" w:rsidRDefault="00484725" w:rsidP="00484725">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007F4951"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p>
    <w:p w14:paraId="6D394354" w14:textId="77777777" w:rsidR="00484725" w:rsidRPr="00484725" w:rsidRDefault="00484725" w:rsidP="00484725">
      <w:pPr>
        <w:widowControl w:val="0"/>
        <w:jc w:val="center"/>
        <w:rPr>
          <w:rFonts w:asciiTheme="majorHAnsi" w:eastAsia="Cambria" w:hAnsiTheme="majorHAnsi" w:cs="Cambria"/>
          <w:i/>
          <w:iCs/>
          <w:sz w:val="20"/>
          <w:szCs w:val="20"/>
          <w:lang w:eastAsia="en-US"/>
        </w:rPr>
      </w:pPr>
    </w:p>
    <w:p w14:paraId="48D8F12A" w14:textId="77777777" w:rsidR="00484725" w:rsidRPr="00484725" w:rsidRDefault="00484725" w:rsidP="00484725">
      <w:pPr>
        <w:widowControl w:val="0"/>
        <w:rPr>
          <w:rFonts w:asciiTheme="majorHAnsi" w:eastAsia="Cambria" w:hAnsiTheme="majorHAnsi" w:cs="Cambria"/>
          <w:b/>
          <w:sz w:val="20"/>
          <w:szCs w:val="20"/>
          <w:lang w:eastAsia="en-US"/>
        </w:rPr>
      </w:pPr>
    </w:p>
    <w:p w14:paraId="45A8B7A4"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b/>
          <w:kern w:val="2"/>
          <w:sz w:val="20"/>
          <w:szCs w:val="20"/>
          <w:lang w:eastAsia="en-US"/>
          <w14:ligatures w14:val="standardContextual"/>
        </w:rPr>
        <w:t xml:space="preserve">Título de la propuesta de Proyecto de Recomendación/Resolución: </w:t>
      </w:r>
      <w:r w:rsidRPr="00484725">
        <w:rPr>
          <w:rFonts w:asciiTheme="majorHAnsi" w:eastAsia="Aptos" w:hAnsiTheme="majorHAnsi"/>
          <w:color w:val="FF0000"/>
          <w:kern w:val="2"/>
          <w:sz w:val="20"/>
          <w:szCs w:val="20"/>
          <w:lang w:eastAsia="en-US"/>
          <w14:ligatures w14:val="standardContextual"/>
        </w:rPr>
        <w:t>Proyecto de Recomendación de ICCAT sobre un procedimiento de ordenación candidato para el listado del Atlántico occidental</w:t>
      </w:r>
    </w:p>
    <w:p w14:paraId="7499F12E"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50C67369" w14:textId="77777777" w:rsidR="00484725" w:rsidRPr="00484725" w:rsidRDefault="00484725" w:rsidP="00484725">
      <w:pPr>
        <w:widowControl w:val="0"/>
        <w:jc w:val="both"/>
        <w:rPr>
          <w:rFonts w:asciiTheme="majorHAnsi" w:eastAsia="Cambria" w:hAnsiTheme="majorHAnsi" w:cs="Cambria"/>
          <w:b/>
          <w:bCs/>
          <w:sz w:val="20"/>
          <w:szCs w:val="20"/>
          <w:lang w:eastAsia="en-US"/>
        </w:rPr>
      </w:pPr>
      <w:r w:rsidRPr="00484725">
        <w:rPr>
          <w:rFonts w:asciiTheme="majorHAnsi" w:eastAsia="Aptos" w:hAnsiTheme="majorHAnsi"/>
          <w:b/>
          <w:kern w:val="2"/>
          <w:sz w:val="20"/>
          <w:szCs w:val="20"/>
          <w:lang w:eastAsia="en-US"/>
          <w14:ligatures w14:val="standardContextual"/>
        </w:rPr>
        <w:t>Título de la(s) recomendación(es) o resolución(es) actualmente vigente(s) que aborda(n) la misma cuestión o cuestiones relacionadas:</w:t>
      </w:r>
    </w:p>
    <w:p w14:paraId="68466D2A"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r w:rsidRPr="00484725">
        <w:rPr>
          <w:rFonts w:asciiTheme="majorHAnsi" w:eastAsia="Aptos" w:hAnsiTheme="majorHAnsi"/>
          <w:i/>
          <w:color w:val="FF0000"/>
          <w:kern w:val="2"/>
          <w:sz w:val="20"/>
          <w:szCs w:val="20"/>
          <w:lang w:eastAsia="en-US"/>
          <w14:ligatures w14:val="standardContextual"/>
        </w:rPr>
        <w:t xml:space="preserve">Recomendación de ICCAT sobre un procedimiento de ordenación candidato para el listado del Atlántico occidental </w:t>
      </w:r>
      <w:r w:rsidRPr="00484725">
        <w:rPr>
          <w:rFonts w:asciiTheme="majorHAnsi" w:eastAsia="Aptos" w:hAnsiTheme="majorHAnsi"/>
          <w:color w:val="FF0000"/>
          <w:kern w:val="2"/>
          <w:sz w:val="20"/>
          <w:szCs w:val="20"/>
          <w:lang w:eastAsia="en-US"/>
          <w14:ligatures w14:val="standardContextual"/>
        </w:rPr>
        <w:t>(Rec. 24-04)</w:t>
      </w:r>
    </w:p>
    <w:p w14:paraId="70D6E548" w14:textId="77777777" w:rsidR="00484725" w:rsidRPr="00484725" w:rsidRDefault="00484725" w:rsidP="00484725">
      <w:pPr>
        <w:widowControl w:val="0"/>
        <w:jc w:val="both"/>
        <w:rPr>
          <w:rFonts w:asciiTheme="majorHAnsi" w:eastAsia="Cambria" w:hAnsiTheme="majorHAnsi" w:cs="Cambria"/>
          <w:color w:val="FF0000"/>
          <w:sz w:val="20"/>
          <w:szCs w:val="20"/>
          <w:lang w:eastAsia="en-US"/>
        </w:rPr>
      </w:pPr>
    </w:p>
    <w:p w14:paraId="7F26F31D"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14499866" w14:textId="1C262295"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¿Crea nuevas </w:t>
      </w:r>
      <w:r w:rsidRPr="00484725">
        <w:rPr>
          <w:rFonts w:asciiTheme="majorHAnsi" w:eastAsia="Aptos" w:hAnsiTheme="majorHAnsi"/>
          <w:b/>
          <w:bCs/>
          <w:kern w:val="2"/>
          <w:sz w:val="20"/>
          <w:szCs w:val="20"/>
          <w:lang w:eastAsia="en-US"/>
          <w14:ligatures w14:val="standardContextual"/>
        </w:rPr>
        <w:t>obligaciones de comunicación</w:t>
      </w:r>
      <w:r w:rsidRPr="00484725">
        <w:rPr>
          <w:rFonts w:asciiTheme="majorHAnsi" w:eastAsia="Aptos" w:hAnsiTheme="majorHAnsi"/>
          <w:kern w:val="2"/>
          <w:sz w:val="20"/>
          <w:szCs w:val="20"/>
          <w:lang w:eastAsia="en-US"/>
          <w14:ligatures w14:val="standardContextual"/>
        </w:rPr>
        <w:t xml:space="preserve"> para las CPC?     </w:t>
      </w:r>
      <w:bookmarkStart w:id="0" w:name="_Hlk213753802"/>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r w:rsidRPr="00484725">
        <w:rPr>
          <w:rFonts w:asciiTheme="majorHAnsi" w:eastAsia="Aptos" w:hAnsiTheme="majorHAnsi"/>
          <w:color w:val="EE0000"/>
          <w:kern w:val="2"/>
          <w:sz w:val="20"/>
          <w:szCs w:val="20"/>
          <w:lang w:eastAsia="en-US"/>
          <w14:ligatures w14:val="standardContextual"/>
        </w:rPr>
        <w:t xml:space="preserve">   </w:t>
      </w:r>
      <w:r w:rsidR="00C54222" w:rsidRPr="00D1392F">
        <w:rPr>
          <w:rFonts w:asciiTheme="majorHAnsi" w:eastAsia="Aptos" w:hAnsiTheme="majorHAnsi"/>
          <w:color w:val="EE0000"/>
          <w:kern w:val="2"/>
          <w:sz w:val="20"/>
          <w:szCs w:val="20"/>
          <w:lang w:eastAsia="en-US"/>
          <w14:ligatures w14:val="standardContextual"/>
        </w:rPr>
        <w:t xml:space="preserve">              </w:t>
      </w:r>
      <w:r w:rsidRPr="00484725">
        <w:rPr>
          <w:rFonts w:asciiTheme="majorHAnsi" w:eastAsia="Aptos" w:hAnsiTheme="majorHAnsi"/>
          <w:color w:val="000000"/>
          <w:kern w:val="2"/>
          <w:sz w:val="20"/>
          <w:szCs w:val="20"/>
          <w:lang w:eastAsia="en-US"/>
          <w14:ligatures w14:val="standardContextual"/>
        </w:rPr>
        <w:t xml:space="preserve">No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p>
    <w:bookmarkEnd w:id="0"/>
    <w:p w14:paraId="66683414"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46A2D7DB"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 la(s) nueva(s) obligación(es) de comunicación:</w:t>
      </w:r>
    </w:p>
    <w:p w14:paraId="703FB84F" w14:textId="77777777" w:rsidR="00484725" w:rsidRPr="00484725" w:rsidRDefault="00484725" w:rsidP="00484725">
      <w:pPr>
        <w:widowControl w:val="0"/>
        <w:jc w:val="both"/>
        <w:rPr>
          <w:rFonts w:asciiTheme="majorHAnsi" w:eastAsia="Cambria" w:hAnsiTheme="majorHAnsi" w:cs="Cambria"/>
          <w:sz w:val="20"/>
          <w:szCs w:val="20"/>
          <w:lang w:eastAsia="en-US"/>
        </w:rPr>
      </w:pPr>
    </w:p>
    <w:p w14:paraId="578EA10A" w14:textId="29038648"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La definición de</w:t>
      </w:r>
      <w:r w:rsidR="00A04D03" w:rsidRPr="00D1392F">
        <w:rPr>
          <w:rFonts w:asciiTheme="majorHAnsi" w:eastAsia="Aptos" w:hAnsiTheme="majorHAnsi"/>
          <w:color w:val="FF0000"/>
          <w:kern w:val="2"/>
          <w:sz w:val="20"/>
          <w:szCs w:val="20"/>
          <w:lang w:eastAsia="en-US"/>
          <w14:ligatures w14:val="standardContextual"/>
        </w:rPr>
        <w:t xml:space="preserve"> </w:t>
      </w:r>
      <w:r w:rsidRPr="00484725">
        <w:rPr>
          <w:rFonts w:asciiTheme="majorHAnsi" w:eastAsia="Aptos" w:hAnsiTheme="majorHAnsi"/>
          <w:color w:val="FF0000"/>
          <w:kern w:val="2"/>
          <w:sz w:val="20"/>
          <w:szCs w:val="20"/>
          <w:lang w:eastAsia="en-US"/>
          <w14:ligatures w14:val="standardContextual"/>
        </w:rPr>
        <w:t>procedimiento de ordenación y total admisible de capturas (TAC) será adoptada para cualquier CPC que participe en la captura de SKJ-W a partir del próximo año, 2026.</w:t>
      </w:r>
    </w:p>
    <w:p w14:paraId="15C4DDA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3C78A537"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color w:val="000000"/>
          <w:kern w:val="2"/>
          <w:sz w:val="20"/>
          <w:szCs w:val="20"/>
          <w:lang w:eastAsia="en-US"/>
          <w14:ligatures w14:val="standardContextual"/>
        </w:rPr>
      </w:pPr>
      <w:r w:rsidRPr="00484725">
        <w:rPr>
          <w:rFonts w:asciiTheme="majorHAnsi" w:eastAsia="Aptos" w:hAnsiTheme="majorHAnsi"/>
          <w:kern w:val="2"/>
          <w:sz w:val="20"/>
          <w:szCs w:val="20"/>
          <w:lang w:eastAsia="en-US"/>
          <w14:ligatures w14:val="standardContextual"/>
        </w:rPr>
        <w:t xml:space="preserve">¿Requiere aportaciones o trabajo adicional por parte del SCRS?    </w:t>
      </w: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7B66FC61"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8ED076E" w14:textId="4F00FED0"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¿Está este trabajo ya incluido en el Plan de trabajo actual del SCRS?     </w:t>
      </w:r>
      <w:r w:rsidRPr="00484725">
        <w:rPr>
          <w:rFonts w:asciiTheme="majorHAnsi" w:eastAsia="Aptos" w:hAnsiTheme="majorHAnsi"/>
          <w:color w:val="EE0000"/>
          <w:kern w:val="2"/>
          <w:sz w:val="20"/>
          <w:szCs w:val="20"/>
          <w:lang w:eastAsia="en-US"/>
          <w14:ligatures w14:val="standardContextual"/>
        </w:rPr>
        <w:t xml:space="preserve">Sí  </w:t>
      </w:r>
      <w:r w:rsidRPr="00484725">
        <w:rPr>
          <w:rFonts w:ascii="Segoe UI Symbol" w:eastAsia="Aptos" w:hAnsi="Segoe UI Symbol" w:cs="Segoe UI Symbol"/>
          <w:color w:val="EE0000"/>
          <w:kern w:val="2"/>
          <w:sz w:val="20"/>
          <w:szCs w:val="20"/>
          <w:lang w:eastAsia="en-US"/>
          <w14:ligatures w14:val="standardContextual"/>
        </w:rPr>
        <w:t>☒</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t xml:space="preserve">No  </w:t>
      </w:r>
      <w:r w:rsidRPr="00484725">
        <w:rPr>
          <w:rFonts w:ascii="Segoe UI Symbol" w:eastAsia="Aptos" w:hAnsi="Segoe UI Symbol" w:cs="Segoe UI Symbol"/>
          <w:kern w:val="2"/>
          <w:sz w:val="20"/>
          <w:szCs w:val="20"/>
          <w:lang w:eastAsia="en-US"/>
          <w14:ligatures w14:val="standardContextual"/>
        </w:rPr>
        <w:t>☐</w:t>
      </w:r>
    </w:p>
    <w:p w14:paraId="7842D9E7" w14:textId="77777777" w:rsidR="00484725" w:rsidRPr="00484725" w:rsidRDefault="00484725" w:rsidP="00484725">
      <w:pPr>
        <w:widowControl w:val="0"/>
        <w:ind w:left="360"/>
        <w:jc w:val="both"/>
        <w:rPr>
          <w:rFonts w:asciiTheme="majorHAnsi" w:eastAsia="Cambria" w:hAnsiTheme="majorHAnsi" w:cs="Cambria"/>
          <w:sz w:val="20"/>
          <w:szCs w:val="20"/>
          <w:lang w:eastAsia="en-US"/>
        </w:rPr>
      </w:pPr>
    </w:p>
    <w:p w14:paraId="37AE760B" w14:textId="77777777" w:rsidR="00484725" w:rsidRPr="00484725" w:rsidRDefault="00484725" w:rsidP="00484725">
      <w:pPr>
        <w:widowControl w:val="0"/>
        <w:ind w:left="360" w:firstLine="66"/>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científico necesario (es decir, evaluación del stock, análisis, consultor externo):</w:t>
      </w:r>
    </w:p>
    <w:p w14:paraId="3AF3590A" w14:textId="77777777" w:rsidR="00484725" w:rsidRPr="00484725" w:rsidRDefault="00484725" w:rsidP="00484725">
      <w:pPr>
        <w:widowControl w:val="0"/>
        <w:ind w:left="426"/>
        <w:jc w:val="both"/>
        <w:rPr>
          <w:rFonts w:asciiTheme="majorHAnsi" w:eastAsia="Cambria" w:hAnsiTheme="majorHAnsi" w:cs="Cambria"/>
          <w:color w:val="FF0000"/>
          <w:sz w:val="20"/>
          <w:szCs w:val="20"/>
          <w:lang w:eastAsia="en-US"/>
        </w:rPr>
      </w:pPr>
    </w:p>
    <w:p w14:paraId="24ABB4B1" w14:textId="22EE74B6" w:rsidR="00484725" w:rsidRPr="006C060A" w:rsidRDefault="00484725" w:rsidP="00484725">
      <w:pPr>
        <w:widowControl w:val="0"/>
        <w:ind w:left="426"/>
        <w:jc w:val="both"/>
        <w:rPr>
          <w:rFonts w:asciiTheme="majorHAnsi" w:eastAsia="Cambria" w:hAnsiTheme="majorHAnsi" w:cs="Cambria"/>
          <w:color w:val="FF0000"/>
          <w:sz w:val="20"/>
          <w:szCs w:val="20"/>
          <w:lang w:eastAsia="en-US"/>
        </w:rPr>
      </w:pPr>
      <w:r w:rsidRPr="00484725">
        <w:rPr>
          <w:rFonts w:asciiTheme="majorHAnsi" w:eastAsia="Aptos" w:hAnsiTheme="majorHAnsi"/>
          <w:color w:val="FF0000"/>
          <w:kern w:val="2"/>
          <w:sz w:val="20"/>
          <w:szCs w:val="20"/>
          <w:lang w:eastAsia="en-US"/>
          <w14:ligatures w14:val="standardContextual"/>
        </w:rPr>
        <w:t xml:space="preserve">El Plan de </w:t>
      </w:r>
      <w:r w:rsidR="00087701" w:rsidRPr="00D1392F">
        <w:rPr>
          <w:rFonts w:asciiTheme="majorHAnsi" w:eastAsia="Aptos" w:hAnsiTheme="majorHAnsi"/>
          <w:color w:val="FF0000"/>
          <w:kern w:val="2"/>
          <w:sz w:val="20"/>
          <w:szCs w:val="20"/>
          <w:lang w:eastAsia="en-US"/>
          <w14:ligatures w14:val="standardContextual"/>
        </w:rPr>
        <w:t xml:space="preserve">trabajo para los </w:t>
      </w:r>
      <w:r w:rsidRPr="00484725">
        <w:rPr>
          <w:rFonts w:asciiTheme="majorHAnsi" w:eastAsia="Aptos" w:hAnsiTheme="majorHAnsi"/>
          <w:color w:val="FF0000"/>
          <w:kern w:val="2"/>
          <w:sz w:val="20"/>
          <w:szCs w:val="20"/>
          <w:lang w:eastAsia="en-US"/>
          <w14:ligatures w14:val="standardContextual"/>
        </w:rPr>
        <w:t>túnidos tropic</w:t>
      </w:r>
      <w:r w:rsidRPr="006C060A">
        <w:rPr>
          <w:rFonts w:asciiTheme="majorHAnsi" w:eastAsia="Aptos" w:hAnsiTheme="majorHAnsi"/>
          <w:color w:val="FF0000"/>
          <w:kern w:val="2"/>
          <w:sz w:val="20"/>
          <w:szCs w:val="20"/>
          <w:lang w:eastAsia="en-US"/>
          <w14:ligatures w14:val="standardContextual"/>
        </w:rPr>
        <w:t>ale</w:t>
      </w:r>
      <w:r w:rsidRPr="006C060A">
        <w:rPr>
          <w:rFonts w:asciiTheme="majorHAnsi" w:eastAsia="Aptos" w:hAnsiTheme="majorHAnsi"/>
          <w:color w:val="FF0000"/>
          <w:kern w:val="2"/>
          <w:sz w:val="20"/>
          <w:szCs w:val="20"/>
          <w:u w:val="single"/>
          <w:lang w:eastAsia="en-US"/>
          <w14:ligatures w14:val="standardContextual"/>
        </w:rPr>
        <w:t>s i</w:t>
      </w:r>
      <w:r w:rsidRPr="006C060A">
        <w:rPr>
          <w:rFonts w:asciiTheme="majorHAnsi" w:eastAsia="Aptos" w:hAnsiTheme="majorHAnsi"/>
          <w:color w:val="FF0000"/>
          <w:kern w:val="2"/>
          <w:sz w:val="20"/>
          <w:szCs w:val="20"/>
          <w:lang w:eastAsia="en-US"/>
          <w14:ligatures w14:val="standardContextual"/>
        </w:rPr>
        <w:t>ncluye actualmente el desarrollo de un protocolo para circunstancias excepcionale</w:t>
      </w:r>
      <w:r w:rsidRPr="006C060A">
        <w:rPr>
          <w:rFonts w:asciiTheme="majorHAnsi" w:eastAsia="Aptos" w:hAnsiTheme="majorHAnsi"/>
          <w:color w:val="FF0000"/>
          <w:kern w:val="2"/>
          <w:sz w:val="20"/>
          <w:szCs w:val="20"/>
          <w:u w:val="single"/>
          <w:lang w:eastAsia="en-US"/>
          <w14:ligatures w14:val="standardContextual"/>
        </w:rPr>
        <w:t>s p</w:t>
      </w:r>
      <w:r w:rsidRPr="006C060A">
        <w:rPr>
          <w:rFonts w:asciiTheme="majorHAnsi" w:eastAsia="Aptos" w:hAnsiTheme="majorHAnsi"/>
          <w:color w:val="FF0000"/>
          <w:kern w:val="2"/>
          <w:sz w:val="20"/>
          <w:szCs w:val="20"/>
          <w:lang w:eastAsia="en-US"/>
          <w14:ligatures w14:val="standardContextual"/>
        </w:rPr>
        <w:t>ara la evaluación de estrategias de ordenación para el listado del Atlántico occidental</w:t>
      </w:r>
      <w:r w:rsidR="001E3665" w:rsidRPr="006C060A">
        <w:rPr>
          <w:rFonts w:asciiTheme="majorHAnsi" w:eastAsia="Aptos" w:hAnsiTheme="majorHAnsi"/>
          <w:color w:val="FF0000"/>
          <w:kern w:val="2"/>
          <w:sz w:val="20"/>
          <w:szCs w:val="20"/>
          <w:lang w:eastAsia="en-US"/>
          <w14:ligatures w14:val="standardContextual"/>
        </w:rPr>
        <w:t xml:space="preserve"> </w:t>
      </w:r>
      <w:r w:rsidR="001E3665" w:rsidRPr="006C060A">
        <w:rPr>
          <w:rFonts w:asciiTheme="majorHAnsi" w:eastAsia="Aptos" w:hAnsiTheme="majorHAnsi"/>
          <w:color w:val="FF0000"/>
          <w:kern w:val="2"/>
          <w:sz w:val="20"/>
          <w:szCs w:val="20"/>
          <w:u w:val="single"/>
          <w:lang w:eastAsia="en-US"/>
          <w14:ligatures w14:val="standardContextual"/>
        </w:rPr>
        <w:t>para 2026</w:t>
      </w:r>
      <w:r w:rsidRPr="006C060A">
        <w:rPr>
          <w:rFonts w:asciiTheme="majorHAnsi" w:eastAsia="Aptos" w:hAnsiTheme="majorHAnsi"/>
          <w:color w:val="FF0000"/>
          <w:kern w:val="2"/>
          <w:sz w:val="20"/>
          <w:szCs w:val="20"/>
          <w:lang w:eastAsia="en-US"/>
          <w14:ligatures w14:val="standardContextual"/>
        </w:rPr>
        <w:t>. Este trabajo ya está incluido en el plan de trabajo del SCRS y continuará a partir del próximo año tras la adopción del MP.</w:t>
      </w:r>
    </w:p>
    <w:p w14:paraId="6A3FBEE4" w14:textId="77777777" w:rsidR="00484725" w:rsidRPr="006C060A" w:rsidRDefault="00484725" w:rsidP="00484725">
      <w:pPr>
        <w:widowControl w:val="0"/>
        <w:ind w:left="318"/>
        <w:jc w:val="both"/>
        <w:rPr>
          <w:rFonts w:asciiTheme="majorHAnsi" w:eastAsia="Cambria" w:hAnsiTheme="majorHAnsi" w:cs="Cambria"/>
          <w:color w:val="FF0000"/>
          <w:sz w:val="20"/>
          <w:szCs w:val="20"/>
          <w:lang w:eastAsia="en-US"/>
        </w:rPr>
      </w:pPr>
    </w:p>
    <w:p w14:paraId="2A8B33CE"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6C060A">
        <w:rPr>
          <w:rFonts w:asciiTheme="majorHAnsi" w:eastAsia="Aptos" w:hAnsiTheme="majorHAnsi"/>
          <w:kern w:val="2"/>
          <w:sz w:val="20"/>
          <w:szCs w:val="20"/>
          <w:lang w:eastAsia="en-US"/>
          <w14:ligatures w14:val="standardContextual"/>
        </w:rPr>
        <w:t xml:space="preserve">¿Implica la creación de un </w:t>
      </w:r>
      <w:r w:rsidRPr="006C060A">
        <w:rPr>
          <w:rFonts w:asciiTheme="majorHAnsi" w:eastAsia="Aptos" w:hAnsiTheme="majorHAnsi"/>
          <w:b/>
          <w:bCs/>
          <w:kern w:val="2"/>
          <w:sz w:val="20"/>
          <w:szCs w:val="20"/>
          <w:lang w:eastAsia="en-US"/>
          <w14:ligatures w14:val="standardContextual"/>
        </w:rPr>
        <w:t>nuevo grupo de trabajo o</w:t>
      </w:r>
      <w:r w:rsidRPr="00484725">
        <w:rPr>
          <w:rFonts w:asciiTheme="majorHAnsi" w:eastAsia="Aptos" w:hAnsiTheme="majorHAnsi"/>
          <w:b/>
          <w:bCs/>
          <w:kern w:val="2"/>
          <w:sz w:val="20"/>
          <w:szCs w:val="20"/>
          <w:lang w:eastAsia="en-US"/>
          <w14:ligatures w14:val="standardContextual"/>
        </w:rPr>
        <w:t xml:space="preserve"> proceso intersesiones</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 xml:space="preserve">      </w:t>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394F2CCB"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2D76421C"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z w:val="20"/>
          <w:szCs w:val="20"/>
          <w:lang w:eastAsia="en-US"/>
        </w:rPr>
      </w:pPr>
      <w:r w:rsidRPr="00484725">
        <w:rPr>
          <w:rFonts w:asciiTheme="majorHAnsi" w:eastAsia="Aptos" w:hAnsiTheme="majorHAnsi"/>
          <w:kern w:val="2"/>
          <w:sz w:val="20"/>
          <w:szCs w:val="20"/>
          <w:lang w:eastAsia="en-US"/>
          <w14:ligatures w14:val="standardContextual"/>
        </w:rPr>
        <w:t xml:space="preserve">¿Requiere un nuevo programa o actividades adicionales que deba gestionar la Secretaría?  </w:t>
      </w:r>
    </w:p>
    <w:p w14:paraId="2CD30843"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6F0AEE2" w14:textId="77777777" w:rsidR="00484725" w:rsidRPr="00484725" w:rsidRDefault="00484725" w:rsidP="00484725">
      <w:pPr>
        <w:widowControl w:val="0"/>
        <w:ind w:left="426"/>
        <w:jc w:val="both"/>
        <w:rPr>
          <w:rFonts w:asciiTheme="majorHAnsi" w:eastAsia="Cambria" w:hAnsiTheme="majorHAnsi" w:cs="Cambria"/>
          <w:sz w:val="20"/>
          <w:szCs w:val="20"/>
          <w:lang w:eastAsia="en-US"/>
        </w:rPr>
      </w:pPr>
      <w:r w:rsidRPr="00484725">
        <w:rPr>
          <w:rFonts w:asciiTheme="majorHAnsi" w:eastAsia="Aptos" w:hAnsiTheme="majorHAnsi"/>
          <w:color w:val="000000"/>
          <w:kern w:val="2"/>
          <w:sz w:val="20"/>
          <w:szCs w:val="20"/>
          <w:lang w:eastAsia="en-US"/>
          <w14:ligatures w14:val="standardContextual"/>
        </w:rPr>
        <w:t xml:space="preserve">Sí  </w:t>
      </w:r>
      <w:r w:rsidRPr="00484725">
        <w:rPr>
          <w:rFonts w:ascii="Segoe UI Symbol" w:eastAsia="Aptos" w:hAnsi="Segoe UI Symbol" w:cs="Segoe UI Symbol"/>
          <w:color w:val="000000"/>
          <w:kern w:val="2"/>
          <w:sz w:val="20"/>
          <w:szCs w:val="20"/>
          <w:lang w:eastAsia="en-US"/>
          <w14:ligatures w14:val="standardContextual"/>
        </w:rPr>
        <w:t>☐</w:t>
      </w:r>
      <w:r w:rsidRPr="00484725">
        <w:rPr>
          <w:rFonts w:asciiTheme="majorHAnsi" w:eastAsia="Aptos" w:hAnsiTheme="majorHAnsi"/>
          <w:color w:val="000000"/>
          <w:kern w:val="2"/>
          <w:sz w:val="20"/>
          <w:szCs w:val="20"/>
          <w:lang w:eastAsia="en-US"/>
          <w14:ligatures w14:val="standardContextual"/>
        </w:rPr>
        <w:t xml:space="preserve"> </w:t>
      </w:r>
      <w:r w:rsidRPr="00484725">
        <w:rPr>
          <w:rFonts w:asciiTheme="majorHAnsi" w:eastAsia="Aptos" w:hAnsiTheme="majorHAnsi"/>
          <w:kern w:val="2"/>
          <w:sz w:val="20"/>
          <w:szCs w:val="20"/>
          <w:lang w:eastAsia="en-US"/>
          <w14:ligatures w14:val="standardContextual"/>
        </w:rPr>
        <w:tab/>
      </w:r>
      <w:r w:rsidRPr="00484725">
        <w:rPr>
          <w:rFonts w:asciiTheme="majorHAnsi" w:eastAsia="Aptos" w:hAnsiTheme="majorHAnsi"/>
          <w:kern w:val="2"/>
          <w:sz w:val="20"/>
          <w:szCs w:val="20"/>
          <w:lang w:eastAsia="en-US"/>
          <w14:ligatures w14:val="standardContextual"/>
        </w:rPr>
        <w:tab/>
      </w:r>
      <w:r w:rsidRPr="00484725">
        <w:rPr>
          <w:rFonts w:asciiTheme="majorHAnsi" w:eastAsia="Aptos" w:hAnsiTheme="majorHAnsi"/>
          <w:color w:val="EE0000"/>
          <w:kern w:val="2"/>
          <w:sz w:val="20"/>
          <w:szCs w:val="20"/>
          <w:lang w:eastAsia="en-US"/>
          <w14:ligatures w14:val="standardContextual"/>
        </w:rPr>
        <w:t xml:space="preserve">No  </w:t>
      </w:r>
      <w:r w:rsidRPr="00484725">
        <w:rPr>
          <w:rFonts w:ascii="Segoe UI Symbol" w:eastAsia="Aptos" w:hAnsi="Segoe UI Symbol" w:cs="Segoe UI Symbol"/>
          <w:color w:val="EE0000"/>
          <w:kern w:val="2"/>
          <w:sz w:val="20"/>
          <w:szCs w:val="20"/>
          <w:lang w:eastAsia="en-US"/>
          <w14:ligatures w14:val="standardContextual"/>
        </w:rPr>
        <w:t>☒</w:t>
      </w:r>
    </w:p>
    <w:p w14:paraId="4A71E4F3" w14:textId="77777777" w:rsidR="00484725" w:rsidRPr="00484725" w:rsidRDefault="00484725" w:rsidP="00484725">
      <w:pPr>
        <w:widowControl w:val="0"/>
        <w:ind w:left="318"/>
        <w:jc w:val="both"/>
        <w:rPr>
          <w:rFonts w:asciiTheme="majorHAnsi" w:eastAsia="Cambria" w:hAnsiTheme="majorHAnsi" w:cs="Cambria"/>
          <w:sz w:val="20"/>
          <w:szCs w:val="20"/>
          <w:lang w:eastAsia="en-US"/>
        </w:rPr>
      </w:pPr>
    </w:p>
    <w:p w14:paraId="0E6917BF" w14:textId="77777777" w:rsidR="00484725" w:rsidRPr="00484725" w:rsidRDefault="00484725" w:rsidP="00484725">
      <w:pPr>
        <w:widowControl w:val="0"/>
        <w:ind w:left="360" w:firstLine="66"/>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Breve descripción del nuevo trabajo necesario de la Secretaría:</w:t>
      </w:r>
    </w:p>
    <w:p w14:paraId="70C0A9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2A2890FA"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714E932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¿Cuál es el calendario propuesto para la implementación? ¿Existen distintos calendarios específicos para determinadas CPC, pesquerías, regiones, etc.?</w:t>
      </w:r>
    </w:p>
    <w:p w14:paraId="6E70DC58" w14:textId="77777777" w:rsidR="00484725" w:rsidRPr="00484725" w:rsidRDefault="00484725" w:rsidP="00484725">
      <w:pPr>
        <w:widowControl w:val="0"/>
        <w:suppressAutoHyphens w:val="0"/>
        <w:ind w:left="426"/>
        <w:contextualSpacing/>
        <w:jc w:val="both"/>
        <w:rPr>
          <w:rFonts w:asciiTheme="majorHAnsi" w:eastAsia="Cambria" w:hAnsiTheme="majorHAnsi" w:cs="Cambria"/>
          <w:spacing w:val="-2"/>
          <w:sz w:val="20"/>
          <w:szCs w:val="20"/>
          <w:lang w:eastAsia="en-US"/>
        </w:rPr>
      </w:pPr>
    </w:p>
    <w:p w14:paraId="7AC20264" w14:textId="77777777" w:rsidR="00484725" w:rsidRPr="00484725" w:rsidRDefault="00484725" w:rsidP="00484725">
      <w:pPr>
        <w:widowControl w:val="0"/>
        <w:ind w:left="426"/>
        <w:jc w:val="both"/>
        <w:rPr>
          <w:rFonts w:asciiTheme="majorHAnsi" w:eastAsia="Cambria" w:hAnsiTheme="majorHAnsi" w:cs="Cambria"/>
          <w:color w:val="FF0000"/>
          <w:spacing w:val="-2"/>
          <w:sz w:val="20"/>
          <w:szCs w:val="20"/>
          <w:lang w:eastAsia="en-US"/>
        </w:rPr>
      </w:pPr>
      <w:r w:rsidRPr="00484725">
        <w:rPr>
          <w:rFonts w:asciiTheme="majorHAnsi" w:eastAsia="Aptos" w:hAnsiTheme="majorHAnsi"/>
          <w:color w:val="FF0000"/>
          <w:kern w:val="2"/>
          <w:sz w:val="20"/>
          <w:szCs w:val="20"/>
          <w:lang w:eastAsia="en-US"/>
          <w14:ligatures w14:val="standardContextual"/>
        </w:rPr>
        <w:t>La Recomendación se implementaría en 2026.</w:t>
      </w:r>
    </w:p>
    <w:p w14:paraId="7FE2C237" w14:textId="77777777" w:rsidR="00484725" w:rsidRPr="00484725" w:rsidRDefault="00484725" w:rsidP="00484725">
      <w:pPr>
        <w:widowControl w:val="0"/>
        <w:jc w:val="both"/>
        <w:rPr>
          <w:rFonts w:asciiTheme="majorHAnsi" w:eastAsia="Cambria" w:hAnsiTheme="majorHAnsi" w:cs="Cambria"/>
          <w:spacing w:val="-2"/>
          <w:sz w:val="20"/>
          <w:szCs w:val="20"/>
          <w:lang w:eastAsia="en-US"/>
        </w:rPr>
      </w:pPr>
    </w:p>
    <w:p w14:paraId="3941BCFB" w14:textId="77777777" w:rsidR="00484725" w:rsidRPr="00484725" w:rsidRDefault="00484725" w:rsidP="00484725">
      <w:pPr>
        <w:widowControl w:val="0"/>
        <w:numPr>
          <w:ilvl w:val="0"/>
          <w:numId w:val="8"/>
        </w:numPr>
        <w:suppressAutoHyphens w:val="0"/>
        <w:spacing w:after="160" w:line="278" w:lineRule="auto"/>
        <w:ind w:left="426" w:hanging="426"/>
        <w:contextualSpacing/>
        <w:jc w:val="both"/>
        <w:rPr>
          <w:rFonts w:asciiTheme="majorHAnsi" w:eastAsia="Cambria" w:hAnsiTheme="majorHAnsi" w:cs="Cambria"/>
          <w:spacing w:val="-2"/>
          <w:sz w:val="20"/>
          <w:szCs w:val="20"/>
          <w:lang w:eastAsia="en-US"/>
        </w:rPr>
      </w:pPr>
      <w:r w:rsidRPr="00484725">
        <w:rPr>
          <w:rFonts w:asciiTheme="majorHAnsi" w:eastAsia="Aptos" w:hAnsiTheme="majorHAnsi"/>
          <w:kern w:val="2"/>
          <w:sz w:val="20"/>
          <w:szCs w:val="20"/>
          <w:lang w:eastAsia="en-US"/>
          <w14:ligatures w14:val="standardContextual"/>
        </w:rPr>
        <w:t>Hay alguna otra información pertinente sobre las repercusiones de la propuesta en lo referente a los recursos y a la carga de trabajo?</w:t>
      </w:r>
    </w:p>
    <w:p w14:paraId="29FBAC8C" w14:textId="77777777" w:rsidR="00484725" w:rsidRPr="00484725" w:rsidRDefault="00484725" w:rsidP="00484725">
      <w:pPr>
        <w:widowControl w:val="0"/>
        <w:ind w:left="426"/>
        <w:jc w:val="both"/>
        <w:rPr>
          <w:rFonts w:asciiTheme="majorHAnsi" w:eastAsia="Cambria" w:hAnsiTheme="majorHAnsi" w:cs="Cambria"/>
          <w:spacing w:val="-2"/>
          <w:sz w:val="20"/>
          <w:szCs w:val="20"/>
          <w:lang w:eastAsia="en-US"/>
        </w:rPr>
      </w:pPr>
    </w:p>
    <w:p w14:paraId="371735A6" w14:textId="77777777" w:rsidR="00484725" w:rsidRPr="00484725" w:rsidRDefault="00484725" w:rsidP="00484725">
      <w:pPr>
        <w:suppressAutoHyphens w:val="0"/>
        <w:spacing w:after="160" w:line="278" w:lineRule="auto"/>
        <w:rPr>
          <w:rFonts w:asciiTheme="majorHAnsi" w:eastAsia="Cambria" w:hAnsiTheme="majorHAnsi" w:cs="Cambria"/>
          <w:color w:val="FF0000"/>
          <w:spacing w:val="-2"/>
          <w:sz w:val="20"/>
          <w:szCs w:val="20"/>
          <w:lang w:eastAsia="en-US"/>
        </w:rPr>
      </w:pPr>
      <w:r w:rsidRPr="00484725">
        <w:rPr>
          <w:rFonts w:asciiTheme="majorHAnsi" w:eastAsia="Aptos" w:hAnsiTheme="majorHAnsi"/>
          <w:color w:val="FF0000"/>
          <w:kern w:val="2"/>
          <w:sz w:val="20"/>
          <w:szCs w:val="20"/>
          <w:lang w:eastAsia="en-US"/>
          <w14:ligatures w14:val="standardContextual"/>
        </w:rPr>
        <w:t>No.</w:t>
      </w:r>
    </w:p>
    <w:p w14:paraId="32055952" w14:textId="5CFB5065" w:rsidR="00A80C66" w:rsidRPr="00D1392F" w:rsidRDefault="00484725" w:rsidP="00A04D03">
      <w:pPr>
        <w:suppressAutoHyphens w:val="0"/>
        <w:spacing w:after="160" w:line="278" w:lineRule="auto"/>
        <w:rPr>
          <w:rFonts w:asciiTheme="majorHAnsi" w:eastAsia="Cambria" w:hAnsiTheme="majorHAnsi" w:cs="Cambria"/>
          <w:color w:val="FF0000"/>
          <w:spacing w:val="-2"/>
          <w:sz w:val="20"/>
          <w:szCs w:val="20"/>
          <w:lang w:eastAsia="en-US"/>
        </w:rPr>
      </w:pPr>
      <w:r w:rsidRPr="00484725">
        <w:rPr>
          <w:rFonts w:asciiTheme="majorHAnsi" w:eastAsia="Aptos" w:hAnsiTheme="majorHAnsi"/>
          <w:kern w:val="2"/>
          <w:sz w:val="20"/>
          <w:szCs w:val="20"/>
          <w:lang w:eastAsia="en-US"/>
          <w14:ligatures w14:val="standardContextual"/>
        </w:rPr>
        <w:br w:type="page"/>
      </w:r>
    </w:p>
    <w:p w14:paraId="1AE28BBD" w14:textId="5B8112C2"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lastRenderedPageBreak/>
        <w:t>Original: inglés</w:t>
      </w:r>
    </w:p>
    <w:p w14:paraId="44A08037" w14:textId="77777777" w:rsidR="006065CA" w:rsidRPr="00D1392F" w:rsidRDefault="006065CA" w:rsidP="006065CA">
      <w:pPr>
        <w:tabs>
          <w:tab w:val="left" w:pos="8505"/>
        </w:tabs>
        <w:suppressAutoHyphens w:val="0"/>
        <w:autoSpaceDE w:val="0"/>
        <w:autoSpaceDN w:val="0"/>
        <w:adjustRightInd w:val="0"/>
        <w:jc w:val="right"/>
        <w:rPr>
          <w:rFonts w:asciiTheme="majorHAnsi" w:eastAsia="Calibri" w:hAnsiTheme="majorHAnsi" w:cs="Calibri"/>
          <w:b/>
          <w:sz w:val="20"/>
          <w:szCs w:val="20"/>
          <w:lang w:eastAsia="en-US"/>
        </w:rPr>
      </w:pPr>
    </w:p>
    <w:p w14:paraId="12106C7E" w14:textId="4819A52D" w:rsidR="00BC03F2"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Proyecto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Recomendación </w:t>
      </w:r>
      <w:r w:rsidR="00A04D03" w:rsidRPr="00D1392F">
        <w:rPr>
          <w:rFonts w:asciiTheme="majorHAnsi" w:eastAsia="Calibri" w:hAnsiTheme="majorHAnsi" w:cs="Calibri"/>
          <w:b/>
          <w:sz w:val="20"/>
          <w:szCs w:val="20"/>
          <w:lang w:eastAsia="en-US"/>
        </w:rPr>
        <w:t xml:space="preserve">de </w:t>
      </w:r>
      <w:r w:rsidRPr="00D1392F">
        <w:rPr>
          <w:rFonts w:asciiTheme="majorHAnsi" w:eastAsia="Calibri" w:hAnsiTheme="majorHAnsi" w:cs="Calibri"/>
          <w:b/>
          <w:sz w:val="20"/>
          <w:szCs w:val="20"/>
          <w:lang w:eastAsia="en-US"/>
        </w:rPr>
        <w:t xml:space="preserve">ICCAT </w:t>
      </w:r>
      <w:r w:rsidR="00A04D03" w:rsidRPr="00D1392F">
        <w:rPr>
          <w:rFonts w:asciiTheme="majorHAnsi" w:eastAsia="Calibri" w:hAnsiTheme="majorHAnsi" w:cs="Calibri"/>
          <w:b/>
          <w:sz w:val="20"/>
          <w:szCs w:val="20"/>
          <w:lang w:eastAsia="en-US"/>
        </w:rPr>
        <w:t>sobre un procedimiento de ordenación</w:t>
      </w:r>
    </w:p>
    <w:p w14:paraId="08D56FD9" w14:textId="2E9F7397" w:rsidR="00BC03F2" w:rsidRPr="00D1392F" w:rsidRDefault="00A04D03"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r w:rsidRPr="00D1392F">
        <w:rPr>
          <w:rFonts w:asciiTheme="majorHAnsi" w:eastAsia="Calibri" w:hAnsiTheme="majorHAnsi" w:cs="Calibri"/>
          <w:b/>
          <w:sz w:val="20"/>
          <w:szCs w:val="20"/>
          <w:lang w:eastAsia="en-US"/>
        </w:rPr>
        <w:t xml:space="preserve">candidato para el listado del </w:t>
      </w:r>
      <w:r w:rsidR="007F4951" w:rsidRPr="00D1392F">
        <w:rPr>
          <w:rFonts w:asciiTheme="majorHAnsi" w:eastAsia="Calibri" w:hAnsiTheme="majorHAnsi" w:cs="Calibri"/>
          <w:b/>
          <w:sz w:val="20"/>
          <w:szCs w:val="20"/>
          <w:lang w:eastAsia="en-US"/>
        </w:rPr>
        <w:t xml:space="preserve">Atlántico </w:t>
      </w:r>
      <w:r w:rsidRPr="00D1392F">
        <w:rPr>
          <w:rFonts w:asciiTheme="majorHAnsi" w:eastAsia="Calibri" w:hAnsiTheme="majorHAnsi" w:cs="Calibri"/>
          <w:b/>
          <w:sz w:val="20"/>
          <w:szCs w:val="20"/>
          <w:lang w:eastAsia="en-US"/>
        </w:rPr>
        <w:t>occidental</w:t>
      </w:r>
    </w:p>
    <w:p w14:paraId="62EFE122"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13BFBA72" w14:textId="77777777" w:rsidR="007F4951" w:rsidRPr="00484725" w:rsidRDefault="007F4951" w:rsidP="007F4951">
      <w:pPr>
        <w:widowControl w:val="0"/>
        <w:jc w:val="center"/>
        <w:rPr>
          <w:rFonts w:asciiTheme="majorHAnsi" w:eastAsia="Cambria" w:hAnsiTheme="majorHAnsi" w:cs="Cambria"/>
          <w:i/>
          <w:iCs/>
          <w:sz w:val="20"/>
          <w:szCs w:val="20"/>
          <w:lang w:eastAsia="en-US"/>
        </w:rPr>
      </w:pPr>
      <w:r w:rsidRPr="00484725">
        <w:rPr>
          <w:rFonts w:asciiTheme="majorHAnsi" w:eastAsia="Aptos" w:hAnsiTheme="majorHAnsi"/>
          <w:i/>
          <w:kern w:val="2"/>
          <w:sz w:val="20"/>
          <w:szCs w:val="20"/>
          <w:lang w:eastAsia="en-US"/>
          <w14:ligatures w14:val="standardContextual"/>
        </w:rPr>
        <w:t>(</w:t>
      </w:r>
      <w:r w:rsidRPr="00D1392F">
        <w:rPr>
          <w:rFonts w:asciiTheme="majorHAnsi" w:eastAsia="Aptos" w:hAnsiTheme="majorHAnsi"/>
          <w:i/>
          <w:kern w:val="2"/>
          <w:sz w:val="20"/>
          <w:szCs w:val="20"/>
          <w:lang w:eastAsia="en-US"/>
          <w14:ligatures w14:val="standardContextual"/>
        </w:rPr>
        <w:t>Documento pres</w:t>
      </w:r>
      <w:r w:rsidRPr="00484725">
        <w:rPr>
          <w:rFonts w:asciiTheme="majorHAnsi" w:eastAsia="Aptos" w:hAnsiTheme="majorHAnsi"/>
          <w:i/>
          <w:kern w:val="2"/>
          <w:sz w:val="20"/>
          <w:szCs w:val="20"/>
          <w:lang w:eastAsia="en-US"/>
          <w14:ligatures w14:val="standardContextual"/>
        </w:rPr>
        <w:t>entado por Brasil)</w:t>
      </w:r>
    </w:p>
    <w:p w14:paraId="45CAE4FE" w14:textId="77777777" w:rsidR="007F4951" w:rsidRPr="00D1392F" w:rsidRDefault="007F4951" w:rsidP="00A04D03">
      <w:pPr>
        <w:tabs>
          <w:tab w:val="left" w:pos="8505"/>
        </w:tabs>
        <w:suppressAutoHyphens w:val="0"/>
        <w:autoSpaceDE w:val="0"/>
        <w:autoSpaceDN w:val="0"/>
        <w:adjustRightInd w:val="0"/>
        <w:jc w:val="center"/>
        <w:rPr>
          <w:rFonts w:asciiTheme="majorHAnsi" w:eastAsia="Calibri" w:hAnsiTheme="majorHAnsi" w:cs="Calibri"/>
          <w:b/>
          <w:sz w:val="20"/>
          <w:szCs w:val="20"/>
          <w:lang w:eastAsia="en-US"/>
        </w:rPr>
      </w:pPr>
    </w:p>
    <w:p w14:paraId="3A12C7C1" w14:textId="77777777" w:rsidR="00DB0090" w:rsidRPr="00D1392F" w:rsidRDefault="00DB0090">
      <w:pPr>
        <w:spacing w:line="234" w:lineRule="exact"/>
        <w:ind w:right="68"/>
        <w:rPr>
          <w:rFonts w:asciiTheme="majorHAnsi" w:hAnsiTheme="majorHAnsi"/>
          <w:b/>
          <w:sz w:val="20"/>
          <w:szCs w:val="20"/>
        </w:rPr>
      </w:pPr>
    </w:p>
    <w:p w14:paraId="7F3088FB" w14:textId="116D3545"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RECORDANDO</w:t>
      </w:r>
      <w:r w:rsidRPr="00D1392F">
        <w:rPr>
          <w:rFonts w:asciiTheme="majorHAnsi" w:hAnsiTheme="majorHAnsi"/>
        </w:rPr>
        <w:t xml:space="preserve"> la intención de la Comisión de adoptar procedimientos de ordenación (MP) probados mediante la evaluación de estrategias de ordenación (MSE) para stock</w:t>
      </w:r>
      <w:r w:rsidR="00A16535" w:rsidRPr="00D1392F">
        <w:rPr>
          <w:rFonts w:asciiTheme="majorHAnsi" w:hAnsiTheme="majorHAnsi"/>
        </w:rPr>
        <w:t>s</w:t>
      </w:r>
      <w:r w:rsidRPr="00D1392F">
        <w:rPr>
          <w:rFonts w:asciiTheme="majorHAnsi" w:hAnsiTheme="majorHAnsi"/>
        </w:rPr>
        <w:t xml:space="preserve"> prioritarios, lo que incluye el listado occidental, tal y como se establece en la</w:t>
      </w:r>
      <w:r w:rsidRPr="00D1392F">
        <w:rPr>
          <w:rFonts w:asciiTheme="majorHAnsi" w:hAnsiTheme="majorHAnsi"/>
          <w:i/>
        </w:rPr>
        <w:t xml:space="preserve"> Recomendación de ICCAT sobre el desarrollo de normas de control de la captura y de evaluación de estrategias de ordenación</w:t>
      </w:r>
      <w:r w:rsidRPr="00D1392F">
        <w:rPr>
          <w:rFonts w:asciiTheme="majorHAnsi" w:hAnsiTheme="majorHAnsi"/>
        </w:rPr>
        <w:t xml:space="preserve"> (Rec. 15-07) para una ordenación más eficaz de la pesquerías frente a las incertidumbres identificadas; </w:t>
      </w:r>
    </w:p>
    <w:p w14:paraId="04040B62" w14:textId="77777777" w:rsidR="00BC03F2" w:rsidRPr="00D1392F" w:rsidRDefault="00BC03F2" w:rsidP="00566B70">
      <w:pPr>
        <w:pStyle w:val="BodyText"/>
        <w:ind w:right="-1" w:firstLine="432"/>
        <w:jc w:val="both"/>
        <w:rPr>
          <w:rFonts w:asciiTheme="majorHAnsi" w:hAnsiTheme="majorHAnsi"/>
        </w:rPr>
      </w:pPr>
    </w:p>
    <w:p w14:paraId="2A356E5E"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 xml:space="preserve">RECORDANDO </w:t>
      </w:r>
      <w:r w:rsidRPr="00D1392F">
        <w:rPr>
          <w:rFonts w:asciiTheme="majorHAnsi" w:hAnsiTheme="majorHAnsi"/>
        </w:rPr>
        <w:t>la</w:t>
      </w:r>
      <w:r w:rsidRPr="00D1392F">
        <w:rPr>
          <w:rFonts w:asciiTheme="majorHAnsi" w:hAnsiTheme="majorHAnsi"/>
          <w:i/>
        </w:rPr>
        <w:t xml:space="preserve"> </w:t>
      </w:r>
      <w:r w:rsidRPr="00D1392F">
        <w:rPr>
          <w:rFonts w:asciiTheme="majorHAnsi" w:hAnsiTheme="majorHAnsi"/>
        </w:rPr>
        <w:t xml:space="preserve">aplicación del enfoque precautorio de conformidad con las normas internacionales pertinentes tal y como se establece en la </w:t>
      </w:r>
      <w:r w:rsidRPr="00D1392F">
        <w:rPr>
          <w:rFonts w:asciiTheme="majorHAnsi" w:hAnsiTheme="majorHAnsi"/>
          <w:i/>
          <w:iCs/>
        </w:rPr>
        <w:t>Resolución de ICCAT sobre el uso del enfoque precautorio en la implementación de las medidas de conservación y ordenación de ICCAT</w:t>
      </w:r>
      <w:r w:rsidRPr="00D1392F">
        <w:rPr>
          <w:rFonts w:asciiTheme="majorHAnsi" w:hAnsiTheme="majorHAnsi"/>
        </w:rPr>
        <w:t xml:space="preserve"> (Res. 15-12); </w:t>
      </w:r>
    </w:p>
    <w:p w14:paraId="5ED7D5BA" w14:textId="77777777" w:rsidR="00BC03F2" w:rsidRPr="00D1392F" w:rsidRDefault="00BC03F2" w:rsidP="00566B70">
      <w:pPr>
        <w:pStyle w:val="BodyText"/>
        <w:ind w:right="-1" w:firstLine="432"/>
        <w:jc w:val="both"/>
        <w:rPr>
          <w:rFonts w:asciiTheme="majorHAnsi" w:hAnsiTheme="majorHAnsi"/>
        </w:rPr>
      </w:pPr>
    </w:p>
    <w:p w14:paraId="192F28A6"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TENIENDO EN CUENTA</w:t>
      </w:r>
      <w:r w:rsidRPr="00D1392F">
        <w:rPr>
          <w:rFonts w:asciiTheme="majorHAnsi" w:hAnsiTheme="majorHAnsi"/>
        </w:rPr>
        <w:t xml:space="preserve"> los esfuerzos para una ordenación sostenible del stock de listado del Atlántico occidental, de un modo coherente con los objetivos del Convenio y con la </w:t>
      </w:r>
      <w:r w:rsidRPr="00D1392F">
        <w:rPr>
          <w:rFonts w:asciiTheme="majorHAnsi" w:hAnsiTheme="majorHAnsi"/>
          <w:i/>
        </w:rPr>
        <w:t xml:space="preserve">Recomendación de ICCAT sobre los principios de toma de decisiones para las medidas de conservación y ordenación de ICCAT </w:t>
      </w:r>
      <w:r w:rsidRPr="00D1392F">
        <w:rPr>
          <w:rFonts w:asciiTheme="majorHAnsi" w:hAnsiTheme="majorHAnsi"/>
        </w:rPr>
        <w:t xml:space="preserve"> (Rec. 11-13); </w:t>
      </w:r>
    </w:p>
    <w:p w14:paraId="4F00A287" w14:textId="77777777" w:rsidR="001E4308" w:rsidRPr="00D1392F" w:rsidRDefault="001E4308" w:rsidP="00566B70">
      <w:pPr>
        <w:pStyle w:val="BodyText"/>
        <w:ind w:right="-1" w:firstLine="432"/>
        <w:jc w:val="both"/>
        <w:rPr>
          <w:rFonts w:asciiTheme="majorHAnsi" w:hAnsiTheme="majorHAnsi"/>
        </w:rPr>
      </w:pPr>
    </w:p>
    <w:p w14:paraId="3A727ABA" w14:textId="7E25161B" w:rsidR="001E4308" w:rsidRPr="00D1392F" w:rsidRDefault="001E4308" w:rsidP="00566B70">
      <w:pPr>
        <w:pStyle w:val="BodyText"/>
        <w:ind w:right="-1" w:firstLine="432"/>
        <w:jc w:val="both"/>
        <w:rPr>
          <w:rFonts w:asciiTheme="majorHAnsi" w:hAnsiTheme="majorHAnsi"/>
        </w:rPr>
      </w:pPr>
      <w:r w:rsidRPr="00D1392F">
        <w:rPr>
          <w:rFonts w:asciiTheme="majorHAnsi" w:hAnsiTheme="majorHAnsi"/>
          <w:i/>
          <w:iCs/>
        </w:rPr>
        <w:t xml:space="preserve">TENIENDO EN CUENTA ADEMÁS </w:t>
      </w:r>
      <w:r w:rsidRPr="00D1392F">
        <w:rPr>
          <w:rFonts w:asciiTheme="majorHAnsi" w:hAnsiTheme="majorHAnsi"/>
        </w:rPr>
        <w:t>el ciclo vital relativamente corto y la dinámica de población altamente variable de la especie de listado;</w:t>
      </w:r>
    </w:p>
    <w:p w14:paraId="4137273F" w14:textId="77777777" w:rsidR="00BC03F2" w:rsidRPr="00D1392F" w:rsidRDefault="00BC03F2" w:rsidP="00566B70">
      <w:pPr>
        <w:pStyle w:val="BodyText"/>
        <w:ind w:right="-1" w:firstLine="432"/>
        <w:jc w:val="both"/>
        <w:rPr>
          <w:rFonts w:asciiTheme="majorHAnsi" w:hAnsiTheme="majorHAnsi"/>
        </w:rPr>
      </w:pPr>
    </w:p>
    <w:p w14:paraId="7BE9658A" w14:textId="70FC81FD"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la conclusión de la evaluación de stock de 2022 del Comité Permanente de Estadísticas e Investigación (SCRS) de ICCAT que </w:t>
      </w:r>
      <w:r w:rsidR="00C87A5A" w:rsidRPr="00D1392F">
        <w:rPr>
          <w:rFonts w:asciiTheme="majorHAnsi" w:hAnsiTheme="majorHAnsi"/>
        </w:rPr>
        <w:t>señalaba</w:t>
      </w:r>
      <w:r w:rsidRPr="00D1392F">
        <w:rPr>
          <w:rFonts w:asciiTheme="majorHAnsi" w:hAnsiTheme="majorHAnsi"/>
        </w:rPr>
        <w:t xml:space="preserve"> que es muy probable que el stock de listado del Atlántico occidental esté situado en el cuadrante verde del diagrama de Kobe, lo que indica que el stock no está sobrepescado ni se está produciendo sobrepesca; </w:t>
      </w:r>
    </w:p>
    <w:p w14:paraId="43E94E2D" w14:textId="77777777" w:rsidR="00BC03F2" w:rsidRPr="00D1392F" w:rsidRDefault="00BC03F2" w:rsidP="00566B70">
      <w:pPr>
        <w:pStyle w:val="BodyText"/>
        <w:ind w:right="-1" w:firstLine="432"/>
        <w:jc w:val="both"/>
        <w:rPr>
          <w:rFonts w:asciiTheme="majorHAnsi" w:hAnsiTheme="majorHAnsi"/>
        </w:rPr>
      </w:pPr>
    </w:p>
    <w:p w14:paraId="6868F5AD"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los indicadores preliminares de desempeño acordados por la Comisión para los túnidos tropicales, tal y como se indica en la </w:t>
      </w:r>
      <w:r w:rsidRPr="00D1392F">
        <w:rPr>
          <w:rFonts w:asciiTheme="majorHAnsi" w:hAnsiTheme="majorHAnsi"/>
          <w:i/>
          <w:iCs/>
        </w:rPr>
        <w:t>Recomendación de ICCAT sobre un programa plurianual de conservación y ordenación de túnidos tropicales</w:t>
      </w:r>
      <w:r w:rsidRPr="00D1392F">
        <w:rPr>
          <w:rFonts w:asciiTheme="majorHAnsi" w:hAnsiTheme="majorHAnsi"/>
        </w:rPr>
        <w:t xml:space="preserve"> (Rec. 16-01), incluían cuatro categorías de objetivos de ordenación, a saber, estado, seguridad, rendimiento y estabilidad;</w:t>
      </w:r>
    </w:p>
    <w:p w14:paraId="1DA5EC2E" w14:textId="77777777" w:rsidR="00BC03F2" w:rsidRPr="00D1392F" w:rsidRDefault="00BC03F2" w:rsidP="00566B70">
      <w:pPr>
        <w:pStyle w:val="BodyText"/>
        <w:ind w:right="-1" w:firstLine="432"/>
        <w:jc w:val="both"/>
        <w:rPr>
          <w:rFonts w:asciiTheme="majorHAnsi" w:hAnsiTheme="majorHAnsi"/>
        </w:rPr>
      </w:pPr>
    </w:p>
    <w:p w14:paraId="01625DA2" w14:textId="15A12F7A"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los objetivos de ordenación conceptuales acordados por ICCAT para el stock de listado occidental en la</w:t>
      </w:r>
      <w:r w:rsidRPr="00D1392F">
        <w:rPr>
          <w:rFonts w:asciiTheme="majorHAnsi" w:hAnsiTheme="majorHAnsi"/>
          <w:i/>
          <w:iCs/>
        </w:rPr>
        <w:t xml:space="preserve"> Resolución de ICCAT sobre el desarrollo de objetivos de ordenación conceptuales iniciales para el listado del Atlántico occidental</w:t>
      </w:r>
      <w:r w:rsidR="00356C25" w:rsidRPr="00D1392F">
        <w:rPr>
          <w:rFonts w:asciiTheme="majorHAnsi" w:hAnsiTheme="majorHAnsi"/>
          <w:i/>
          <w:iCs/>
        </w:rPr>
        <w:t xml:space="preserve"> </w:t>
      </w:r>
      <w:r w:rsidRPr="00D1392F">
        <w:rPr>
          <w:rFonts w:asciiTheme="majorHAnsi" w:hAnsiTheme="majorHAnsi"/>
        </w:rPr>
        <w:t xml:space="preserve">(Res. 22-02); </w:t>
      </w:r>
    </w:p>
    <w:p w14:paraId="35AEB6D1" w14:textId="77777777" w:rsidR="00BC03F2" w:rsidRPr="00D1392F" w:rsidRDefault="00BC03F2" w:rsidP="00566B70">
      <w:pPr>
        <w:pStyle w:val="BodyText"/>
        <w:ind w:right="-1" w:firstLine="432"/>
        <w:jc w:val="both"/>
        <w:rPr>
          <w:rFonts w:asciiTheme="majorHAnsi" w:hAnsiTheme="majorHAnsi"/>
        </w:rPr>
      </w:pPr>
    </w:p>
    <w:p w14:paraId="0AA834CA" w14:textId="77777777" w:rsidR="00BC03F2" w:rsidRPr="00D1392F" w:rsidRDefault="009A5C6B" w:rsidP="00566B70">
      <w:pPr>
        <w:pStyle w:val="BodyText"/>
        <w:ind w:right="-1" w:firstLine="432"/>
        <w:jc w:val="both"/>
        <w:rPr>
          <w:rFonts w:asciiTheme="majorHAnsi" w:hAnsiTheme="majorHAnsi"/>
        </w:rPr>
      </w:pPr>
      <w:r w:rsidRPr="00D1392F">
        <w:rPr>
          <w:rFonts w:asciiTheme="majorHAnsi" w:hAnsiTheme="majorHAnsi"/>
          <w:i/>
        </w:rPr>
        <w:t>CONSTATANDO</w:t>
      </w:r>
      <w:r w:rsidRPr="00D1392F">
        <w:rPr>
          <w:rFonts w:asciiTheme="majorHAnsi" w:hAnsiTheme="majorHAnsi"/>
        </w:rPr>
        <w:t xml:space="preserve"> que el objetivo del Convenio es mantener las poblaciones de túnidos y especies afines en niveles que permitan la captura máxima sostenible (generalmente denominada rendimiento máximo sostenible (RMS));</w:t>
      </w:r>
    </w:p>
    <w:p w14:paraId="71FDE58C" w14:textId="77777777" w:rsidR="00BC03F2" w:rsidRPr="00D1392F" w:rsidRDefault="00BC03F2" w:rsidP="00566B70">
      <w:pPr>
        <w:pStyle w:val="BodyText"/>
        <w:spacing w:before="1"/>
        <w:ind w:right="-1"/>
        <w:rPr>
          <w:rFonts w:asciiTheme="majorHAnsi" w:hAnsiTheme="majorHAnsi"/>
        </w:rPr>
      </w:pPr>
    </w:p>
    <w:p w14:paraId="345C2698" w14:textId="11864EB8"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CONSIDERANDO</w:t>
      </w:r>
      <w:r w:rsidRPr="00D1392F">
        <w:rPr>
          <w:rFonts w:asciiTheme="majorHAnsi" w:hAnsiTheme="majorHAnsi"/>
        </w:rPr>
        <w:t xml:space="preserve"> los trabajos realizados por el SCRS desde 2020 para probar mediante la MSE varios MP candidatos;</w:t>
      </w:r>
    </w:p>
    <w:p w14:paraId="4E415D13" w14:textId="77777777" w:rsidR="00BC03F2" w:rsidRPr="00D1392F" w:rsidRDefault="00BC03F2">
      <w:pPr>
        <w:pStyle w:val="BodyText"/>
        <w:ind w:right="68" w:firstLine="427"/>
        <w:jc w:val="both"/>
        <w:rPr>
          <w:rFonts w:asciiTheme="majorHAnsi" w:hAnsiTheme="majorHAnsi"/>
        </w:rPr>
      </w:pPr>
    </w:p>
    <w:p w14:paraId="3C9C8329" w14:textId="4427944A"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t>RECORDANDO</w:t>
      </w:r>
      <w:r w:rsidRPr="00D1392F">
        <w:rPr>
          <w:rFonts w:asciiTheme="majorHAnsi" w:hAnsiTheme="majorHAnsi"/>
        </w:rPr>
        <w:t xml:space="preserve"> que la Comisión solicitó al SCRS que siguiera probando varios MP candidatos en 2024, y que se reuniera con la Subcomisión 1 para examinar los resultados y apoyar a la Subcomisión en la selección de uno para su adopción en 2024 y que a este efecto la Subcomisión 1 celebró tres reuniones intersesiones en 2024, una de ellas dedicada a la MSE para el listado occidental;</w:t>
      </w:r>
    </w:p>
    <w:p w14:paraId="7EB5ADCE" w14:textId="77777777" w:rsidR="00584110" w:rsidRPr="00584110" w:rsidRDefault="00584110" w:rsidP="00584110">
      <w:pPr>
        <w:widowControl w:val="0"/>
        <w:jc w:val="right"/>
        <w:rPr>
          <w:rFonts w:asciiTheme="majorHAnsi" w:eastAsia="Cambria" w:hAnsiTheme="majorHAnsi" w:cs="Cambria"/>
          <w:b/>
          <w:bCs/>
          <w:sz w:val="20"/>
          <w:szCs w:val="20"/>
          <w:lang w:eastAsia="en-US"/>
        </w:rPr>
      </w:pPr>
    </w:p>
    <w:p w14:paraId="1AD9AC80" w14:textId="79132022"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iCs/>
          <w:kern w:val="2"/>
          <w:sz w:val="20"/>
          <w:szCs w:val="20"/>
          <w:u w:val="single"/>
          <w:lang w:eastAsia="en-US"/>
          <w14:ligatures w14:val="standardContextual"/>
        </w:rPr>
        <w:t>RECONOCIENDO</w:t>
      </w:r>
      <w:r w:rsidRPr="00584110">
        <w:rPr>
          <w:rFonts w:asciiTheme="majorHAnsi" w:eastAsia="Aptos" w:hAnsiTheme="majorHAnsi"/>
          <w:kern w:val="2"/>
          <w:sz w:val="20"/>
          <w:szCs w:val="20"/>
          <w:u w:val="single"/>
          <w:lang w:eastAsia="en-US"/>
          <w14:ligatures w14:val="standardContextual"/>
        </w:rPr>
        <w:t xml:space="preserve"> que el párrafo 8) de la R</w:t>
      </w:r>
      <w:r w:rsidRPr="00584110">
        <w:rPr>
          <w:rFonts w:asciiTheme="majorHAnsi" w:eastAsia="Aptos" w:hAnsiTheme="majorHAnsi"/>
          <w:i/>
          <w:iCs/>
          <w:kern w:val="2"/>
          <w:sz w:val="20"/>
          <w:szCs w:val="20"/>
          <w:u w:val="single"/>
          <w:lang w:eastAsia="en-US"/>
          <w14:ligatures w14:val="standardContextual"/>
        </w:rPr>
        <w:t>ecomendación de ICCAT sobre un procedimiento de ordenación candidato para el listado del Atlántico occidental</w:t>
      </w:r>
      <w:r w:rsidRPr="00584110">
        <w:rPr>
          <w:rFonts w:asciiTheme="majorHAnsi" w:eastAsia="Aptos" w:hAnsiTheme="majorHAnsi"/>
          <w:kern w:val="2"/>
          <w:sz w:val="20"/>
          <w:szCs w:val="20"/>
          <w:u w:val="single"/>
          <w:lang w:eastAsia="en-US"/>
          <w14:ligatures w14:val="standardContextual"/>
        </w:rPr>
        <w:t xml:space="preserve"> (Rec. 24-04) instaba al SCRS a finalizar la </w:t>
      </w:r>
      <w:r w:rsidR="00221195" w:rsidRPr="00F8043C">
        <w:rPr>
          <w:rFonts w:asciiTheme="majorHAnsi" w:eastAsia="Aptos" w:hAnsiTheme="majorHAnsi"/>
          <w:kern w:val="2"/>
          <w:sz w:val="20"/>
          <w:szCs w:val="20"/>
          <w:u w:val="single"/>
          <w:lang w:eastAsia="en-US"/>
          <w14:ligatures w14:val="standardContextual"/>
        </w:rPr>
        <w:t>calibración</w:t>
      </w:r>
      <w:r w:rsidRPr="00584110">
        <w:rPr>
          <w:rFonts w:asciiTheme="majorHAnsi" w:eastAsia="Aptos" w:hAnsiTheme="majorHAnsi"/>
          <w:kern w:val="2"/>
          <w:sz w:val="20"/>
          <w:szCs w:val="20"/>
          <w:u w:val="single"/>
          <w:lang w:eastAsia="en-US"/>
          <w14:ligatures w14:val="standardContextual"/>
        </w:rPr>
        <w:t xml:space="preserve"> del MP y a la Comisión a adoptar un MP para el listado del Atlántico occidental en 2025 y aplicar el MP para establecer el total admisible de capturas (TAC) para 2026-2028 y años futuros;</w:t>
      </w:r>
    </w:p>
    <w:p w14:paraId="2BBB7D4C" w14:textId="77777777" w:rsidR="00584110" w:rsidRPr="00584110" w:rsidRDefault="00584110" w:rsidP="00584110">
      <w:pPr>
        <w:widowControl w:val="0"/>
        <w:ind w:firstLine="426"/>
        <w:jc w:val="both"/>
        <w:rPr>
          <w:rFonts w:asciiTheme="majorHAnsi" w:eastAsia="Cambria" w:hAnsiTheme="majorHAnsi" w:cs="Cambria"/>
          <w:sz w:val="20"/>
          <w:szCs w:val="20"/>
          <w:lang w:eastAsia="en-US"/>
        </w:rPr>
      </w:pPr>
    </w:p>
    <w:p w14:paraId="52C29B6F" w14:textId="77777777" w:rsidR="00584110" w:rsidRPr="00584110" w:rsidRDefault="00584110" w:rsidP="00584110">
      <w:pPr>
        <w:widowControl w:val="0"/>
        <w:ind w:firstLine="426"/>
        <w:jc w:val="both"/>
        <w:rPr>
          <w:rFonts w:asciiTheme="majorHAnsi" w:eastAsia="Cambria" w:hAnsiTheme="majorHAnsi" w:cs="Cambria"/>
          <w:sz w:val="20"/>
          <w:szCs w:val="20"/>
          <w:u w:val="single"/>
          <w:lang w:eastAsia="en-US"/>
        </w:rPr>
      </w:pPr>
      <w:r w:rsidRPr="00584110">
        <w:rPr>
          <w:rFonts w:asciiTheme="majorHAnsi" w:eastAsia="Aptos" w:hAnsiTheme="majorHAnsi"/>
          <w:i/>
          <w:kern w:val="2"/>
          <w:sz w:val="20"/>
          <w:szCs w:val="20"/>
          <w:u w:val="single"/>
          <w:lang w:eastAsia="en-US"/>
          <w14:ligatures w14:val="standardContextual"/>
        </w:rPr>
        <w:t>OBSERVANDO</w:t>
      </w:r>
      <w:r w:rsidRPr="00584110">
        <w:rPr>
          <w:rFonts w:asciiTheme="majorHAnsi" w:eastAsia="Aptos" w:hAnsiTheme="majorHAnsi"/>
          <w:kern w:val="2"/>
          <w:sz w:val="20"/>
          <w:szCs w:val="20"/>
          <w:u w:val="single"/>
          <w:lang w:eastAsia="en-US"/>
          <w14:ligatures w14:val="standardContextual"/>
        </w:rPr>
        <w:t xml:space="preserve"> la importancia de establecer un protocolo de circunstancias excepcionales en 2026 que podría dar lugar a la suspensión o modificación de la aplicación del MP;</w:t>
      </w:r>
    </w:p>
    <w:p w14:paraId="250BAA96" w14:textId="77777777" w:rsidR="00584110" w:rsidRPr="00D1392F" w:rsidRDefault="00584110" w:rsidP="00566B70">
      <w:pPr>
        <w:pStyle w:val="BodyText"/>
        <w:ind w:right="-1" w:firstLine="427"/>
        <w:jc w:val="both"/>
        <w:rPr>
          <w:rFonts w:asciiTheme="majorHAnsi" w:hAnsiTheme="majorHAnsi"/>
        </w:rPr>
      </w:pPr>
    </w:p>
    <w:p w14:paraId="2209EE3B" w14:textId="77777777" w:rsidR="00BC03F2" w:rsidRPr="00D1392F" w:rsidRDefault="009A5C6B" w:rsidP="00566B70">
      <w:pPr>
        <w:pStyle w:val="BodyText"/>
        <w:ind w:right="-1" w:firstLine="427"/>
        <w:jc w:val="both"/>
        <w:rPr>
          <w:rFonts w:asciiTheme="majorHAnsi" w:hAnsiTheme="majorHAnsi"/>
        </w:rPr>
      </w:pPr>
      <w:r w:rsidRPr="00D1392F">
        <w:rPr>
          <w:rFonts w:asciiTheme="majorHAnsi" w:hAnsiTheme="majorHAnsi"/>
          <w:i/>
          <w:iCs/>
        </w:rPr>
        <w:lastRenderedPageBreak/>
        <w:t>RECONOCIENDO</w:t>
      </w:r>
      <w:r w:rsidRPr="00D1392F">
        <w:rPr>
          <w:rFonts w:asciiTheme="majorHAnsi" w:hAnsiTheme="majorHAnsi"/>
        </w:rPr>
        <w:t xml:space="preserve"> que tras seis años de aplicación del MP es conveniente revisarlo;</w:t>
      </w:r>
    </w:p>
    <w:p w14:paraId="48D21058" w14:textId="77777777" w:rsidR="00BC03F2" w:rsidRPr="00D1392F" w:rsidRDefault="00BC03F2" w:rsidP="00566B70">
      <w:pPr>
        <w:pStyle w:val="BodyText"/>
        <w:spacing w:before="1"/>
        <w:ind w:right="-1"/>
        <w:rPr>
          <w:rFonts w:asciiTheme="majorHAnsi" w:hAnsiTheme="majorHAnsi"/>
        </w:rPr>
      </w:pPr>
    </w:p>
    <w:p w14:paraId="2B3E2846" w14:textId="6B8C70C0" w:rsidR="00765CB3" w:rsidRPr="00D1392F" w:rsidRDefault="009A5C6B" w:rsidP="00584110">
      <w:pPr>
        <w:jc w:val="center"/>
        <w:rPr>
          <w:rFonts w:asciiTheme="majorHAnsi" w:hAnsiTheme="majorHAnsi"/>
          <w:sz w:val="20"/>
          <w:szCs w:val="20"/>
        </w:rPr>
      </w:pPr>
      <w:r w:rsidRPr="00D1392F">
        <w:rPr>
          <w:rFonts w:asciiTheme="majorHAnsi" w:hAnsiTheme="majorHAnsi"/>
          <w:sz w:val="20"/>
          <w:szCs w:val="20"/>
        </w:rPr>
        <w:t>LA COMISIÓN INTERNACIONAL PARA LA CONSERVACIÓN DEL ATÚN ATLÁNTICO (ICCAT)</w:t>
      </w:r>
    </w:p>
    <w:p w14:paraId="4D92A929" w14:textId="6B3C79FD" w:rsidR="00BC03F2" w:rsidRPr="00D1392F" w:rsidRDefault="009A5C6B" w:rsidP="00A80C66">
      <w:pPr>
        <w:pStyle w:val="BodyText"/>
        <w:ind w:right="-1"/>
        <w:jc w:val="center"/>
        <w:rPr>
          <w:rFonts w:asciiTheme="majorHAnsi" w:hAnsiTheme="majorHAnsi"/>
        </w:rPr>
      </w:pPr>
      <w:r w:rsidRPr="00D1392F">
        <w:rPr>
          <w:rFonts w:asciiTheme="majorHAnsi" w:hAnsiTheme="majorHAnsi"/>
        </w:rPr>
        <w:t>RECOMIENDA LO SIGUIENTE:</w:t>
      </w:r>
    </w:p>
    <w:p w14:paraId="267BB6FB" w14:textId="77777777" w:rsidR="00A80C66" w:rsidRPr="00D1392F" w:rsidRDefault="00A80C66" w:rsidP="00A80C66">
      <w:pPr>
        <w:pStyle w:val="BodyText"/>
        <w:ind w:right="-1"/>
        <w:jc w:val="center"/>
        <w:rPr>
          <w:rFonts w:asciiTheme="majorHAnsi" w:hAnsiTheme="majorHAnsi"/>
        </w:rPr>
      </w:pPr>
    </w:p>
    <w:p w14:paraId="1B2AD355" w14:textId="05A144B5" w:rsidR="00566B70" w:rsidRPr="00D1392F" w:rsidRDefault="00876B3D" w:rsidP="00566B70">
      <w:pPr>
        <w:pStyle w:val="Heading1"/>
        <w:spacing w:before="0"/>
        <w:ind w:left="360" w:right="-1"/>
        <w:jc w:val="center"/>
        <w:rPr>
          <w:rFonts w:asciiTheme="majorHAnsi" w:hAnsiTheme="majorHAnsi"/>
          <w:spacing w:val="1"/>
        </w:rPr>
      </w:pPr>
      <w:r w:rsidRPr="00D1392F">
        <w:rPr>
          <w:rFonts w:asciiTheme="majorHAnsi" w:hAnsiTheme="majorHAnsi"/>
        </w:rPr>
        <w:t xml:space="preserve">Parte </w:t>
      </w:r>
      <w:r w:rsidR="009A5C6B" w:rsidRPr="00D1392F">
        <w:rPr>
          <w:rFonts w:asciiTheme="majorHAnsi" w:hAnsiTheme="majorHAnsi"/>
        </w:rPr>
        <w:t xml:space="preserve">I </w:t>
      </w:r>
    </w:p>
    <w:p w14:paraId="0E70654F" w14:textId="5374BF17" w:rsidR="00BC03F2" w:rsidRPr="00D1392F" w:rsidRDefault="00876B3D" w:rsidP="00566B70">
      <w:pPr>
        <w:pStyle w:val="Heading1"/>
        <w:spacing w:before="0"/>
        <w:ind w:left="360" w:right="-1"/>
        <w:jc w:val="center"/>
        <w:rPr>
          <w:rFonts w:asciiTheme="majorHAnsi" w:hAnsiTheme="majorHAnsi"/>
        </w:rPr>
      </w:pPr>
      <w:r w:rsidRPr="00D1392F">
        <w:rPr>
          <w:rFonts w:asciiTheme="majorHAnsi" w:hAnsiTheme="majorHAnsi"/>
        </w:rPr>
        <w:t>Disposiciones generales</w:t>
      </w:r>
    </w:p>
    <w:p w14:paraId="08EB5242" w14:textId="77777777" w:rsidR="00BC03F2" w:rsidRPr="00D1392F" w:rsidRDefault="00BC03F2" w:rsidP="00566B70">
      <w:pPr>
        <w:pStyle w:val="BodyText"/>
        <w:ind w:left="360" w:right="-1"/>
        <w:rPr>
          <w:rFonts w:asciiTheme="majorHAnsi" w:hAnsiTheme="majorHAnsi"/>
          <w:b/>
        </w:rPr>
      </w:pPr>
    </w:p>
    <w:p w14:paraId="46BF5730" w14:textId="221A5923" w:rsidR="00BC03F2" w:rsidRPr="00D1392F" w:rsidRDefault="009A5C6B" w:rsidP="00566B70">
      <w:pPr>
        <w:pStyle w:val="ListParagraph"/>
        <w:numPr>
          <w:ilvl w:val="0"/>
          <w:numId w:val="3"/>
        </w:numPr>
        <w:tabs>
          <w:tab w:val="left" w:pos="426"/>
        </w:tabs>
        <w:ind w:left="426" w:right="-1" w:hanging="494"/>
        <w:jc w:val="both"/>
        <w:rPr>
          <w:rFonts w:asciiTheme="majorHAnsi" w:hAnsiTheme="majorHAnsi"/>
          <w:sz w:val="20"/>
          <w:szCs w:val="20"/>
        </w:rPr>
      </w:pPr>
      <w:r w:rsidRPr="00D1392F">
        <w:rPr>
          <w:rFonts w:asciiTheme="majorHAnsi" w:hAnsiTheme="majorHAnsi"/>
          <w:sz w:val="20"/>
          <w:szCs w:val="20"/>
        </w:rPr>
        <w:t xml:space="preserve">Las Partes contratantes y las Partes, Entidades o Entidades pesqueras no contratantes colaboradoras (CPC) cuyos buques pesquen listado del Atlántico occidental en la zona del Convenio implementarán el </w:t>
      </w:r>
      <w:r w:rsidRPr="005E03DE">
        <w:rPr>
          <w:rFonts w:asciiTheme="majorHAnsi" w:hAnsiTheme="majorHAnsi"/>
          <w:sz w:val="20"/>
          <w:szCs w:val="20"/>
          <w:u w:val="single"/>
        </w:rPr>
        <w:t>MP</w:t>
      </w:r>
      <w:r w:rsidR="000F086F" w:rsidRPr="005E03DE">
        <w:rPr>
          <w:rFonts w:asciiTheme="majorHAnsi" w:hAnsiTheme="majorHAnsi"/>
          <w:sz w:val="20"/>
          <w:szCs w:val="20"/>
          <w:u w:val="single"/>
        </w:rPr>
        <w:t xml:space="preserve"> establecido en el </w:t>
      </w:r>
      <w:r w:rsidR="000F086F" w:rsidRPr="005E03DE">
        <w:rPr>
          <w:rFonts w:asciiTheme="majorHAnsi" w:hAnsiTheme="majorHAnsi"/>
          <w:b/>
          <w:bCs/>
          <w:sz w:val="20"/>
          <w:szCs w:val="20"/>
          <w:u w:val="single"/>
        </w:rPr>
        <w:t>Anexo 1</w:t>
      </w:r>
      <w:r w:rsidR="000F086F" w:rsidRPr="00D1392F">
        <w:rPr>
          <w:rFonts w:asciiTheme="majorHAnsi" w:hAnsiTheme="majorHAnsi"/>
          <w:sz w:val="20"/>
          <w:szCs w:val="20"/>
        </w:rPr>
        <w:t xml:space="preserve">. Dicho </w:t>
      </w:r>
      <w:r w:rsidRPr="005E03DE">
        <w:rPr>
          <w:rFonts w:asciiTheme="majorHAnsi" w:hAnsiTheme="majorHAnsi"/>
          <w:sz w:val="20"/>
          <w:szCs w:val="20"/>
          <w:u w:val="single"/>
        </w:rPr>
        <w:t>M</w:t>
      </w:r>
      <w:r w:rsidR="006B77B3" w:rsidRPr="005E03DE">
        <w:rPr>
          <w:rFonts w:asciiTheme="majorHAnsi" w:hAnsiTheme="majorHAnsi"/>
          <w:sz w:val="20"/>
          <w:szCs w:val="20"/>
          <w:u w:val="single"/>
        </w:rPr>
        <w:t>P</w:t>
      </w:r>
      <w:r w:rsidR="000F086F" w:rsidRPr="00D1392F">
        <w:rPr>
          <w:rFonts w:asciiTheme="majorHAnsi" w:hAnsiTheme="majorHAnsi"/>
          <w:sz w:val="20"/>
          <w:szCs w:val="20"/>
        </w:rPr>
        <w:t xml:space="preserve"> </w:t>
      </w:r>
      <w:r w:rsidRPr="00D1392F">
        <w:rPr>
          <w:rFonts w:asciiTheme="majorHAnsi" w:hAnsiTheme="majorHAnsi"/>
          <w:sz w:val="20"/>
          <w:szCs w:val="20"/>
        </w:rPr>
        <w:t>se utilizará para calcular el total admisible de capturas (TAC) para la zona de ordenación del Atlántico occidental</w:t>
      </w:r>
      <w:r w:rsidR="00FC74A3" w:rsidRPr="00D1392F">
        <w:rPr>
          <w:rFonts w:asciiTheme="majorHAnsi" w:hAnsiTheme="majorHAnsi"/>
          <w:sz w:val="20"/>
          <w:szCs w:val="20"/>
        </w:rPr>
        <w:t xml:space="preserve"> para 2026 y años posteriores.</w:t>
      </w:r>
    </w:p>
    <w:p w14:paraId="3580A288" w14:textId="77777777" w:rsidR="00BC03F2" w:rsidRPr="00D1392F" w:rsidRDefault="00BC03F2" w:rsidP="00BF2E2E">
      <w:pPr>
        <w:pStyle w:val="BodyText"/>
        <w:spacing w:before="11"/>
        <w:ind w:left="360" w:right="68"/>
        <w:rPr>
          <w:rFonts w:asciiTheme="majorHAnsi" w:hAnsiTheme="majorHAnsi"/>
        </w:rPr>
      </w:pPr>
    </w:p>
    <w:p w14:paraId="22E809EF" w14:textId="77777777"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Objetivos de ordenación</w:t>
      </w:r>
    </w:p>
    <w:p w14:paraId="3AD1D716" w14:textId="77777777" w:rsidR="00BC03F2" w:rsidRPr="00D1392F" w:rsidRDefault="00BC03F2" w:rsidP="00566B70">
      <w:pPr>
        <w:pStyle w:val="BodyText"/>
        <w:spacing w:before="1"/>
        <w:ind w:left="360" w:right="-1"/>
        <w:rPr>
          <w:rFonts w:asciiTheme="majorHAnsi" w:hAnsiTheme="majorHAnsi"/>
          <w:b/>
          <w:i/>
        </w:rPr>
      </w:pPr>
    </w:p>
    <w:p w14:paraId="1F3548DA" w14:textId="26487BA6" w:rsidR="00BC03F2" w:rsidRPr="00D1392F" w:rsidRDefault="009A5C6B" w:rsidP="00765CB3">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Los objetivos de </w:t>
      </w:r>
      <w:r w:rsidR="002B7C18" w:rsidRPr="00D1392F">
        <w:rPr>
          <w:rFonts w:asciiTheme="majorHAnsi" w:hAnsiTheme="majorHAnsi"/>
          <w:sz w:val="20"/>
          <w:szCs w:val="20"/>
        </w:rPr>
        <w:t>ordenación para</w:t>
      </w:r>
      <w:r w:rsidRPr="00D1392F">
        <w:rPr>
          <w:rFonts w:asciiTheme="majorHAnsi" w:hAnsiTheme="majorHAnsi"/>
          <w:sz w:val="20"/>
          <w:szCs w:val="20"/>
        </w:rPr>
        <w:t xml:space="preserve"> el stock de listado del Atlántico occidental son:</w:t>
      </w:r>
    </w:p>
    <w:p w14:paraId="5A388F36" w14:textId="77777777" w:rsidR="00BC03F2" w:rsidRPr="00D1392F" w:rsidRDefault="00BC03F2" w:rsidP="00566B70">
      <w:pPr>
        <w:pStyle w:val="BodyText"/>
        <w:spacing w:before="11"/>
        <w:ind w:left="360" w:right="-1"/>
        <w:rPr>
          <w:rFonts w:asciiTheme="majorHAnsi" w:hAnsiTheme="majorHAnsi"/>
        </w:rPr>
      </w:pPr>
    </w:p>
    <w:p w14:paraId="59526D75" w14:textId="1A0A102E"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Estado del stock: El stock debería tener una probabilidad del 60 % o superior de situarse en el cuadrante verde de la matriz de Kobe a medio plazo (4-10 años) utilizando periodos de proyección de 30 años</w:t>
      </w:r>
      <w:r w:rsidR="002943AC" w:rsidRPr="00D1392F">
        <w:rPr>
          <w:rFonts w:asciiTheme="majorHAnsi" w:hAnsiTheme="majorHAnsi"/>
          <w:sz w:val="20"/>
          <w:szCs w:val="20"/>
        </w:rPr>
        <w:t>.</w:t>
      </w:r>
    </w:p>
    <w:p w14:paraId="4A3DF413" w14:textId="77777777" w:rsidR="00BC03F2" w:rsidRPr="00D1392F" w:rsidRDefault="00BC03F2" w:rsidP="00765CB3">
      <w:pPr>
        <w:pStyle w:val="BodyText"/>
        <w:ind w:left="720" w:right="-1" w:hanging="294"/>
        <w:rPr>
          <w:rFonts w:asciiTheme="majorHAnsi" w:hAnsiTheme="majorHAnsi"/>
        </w:rPr>
      </w:pPr>
    </w:p>
    <w:p w14:paraId="5908BD92" w14:textId="50765454"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Seguridad: 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p w14:paraId="3F5D80A7" w14:textId="77777777" w:rsidR="00BC03F2" w:rsidRPr="00D1392F" w:rsidRDefault="00BC03F2" w:rsidP="00765CB3">
      <w:pPr>
        <w:pStyle w:val="ListParagraph"/>
        <w:ind w:left="720" w:right="-1" w:hanging="294"/>
        <w:rPr>
          <w:rFonts w:asciiTheme="majorHAnsi" w:hAnsiTheme="majorHAnsi"/>
          <w:sz w:val="20"/>
          <w:szCs w:val="20"/>
        </w:rPr>
      </w:pPr>
    </w:p>
    <w:p w14:paraId="0173BC1D" w14:textId="386044AD" w:rsidR="002943AC"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Rendimiento: Maximizar los niveles globales de capturas</w:t>
      </w:r>
      <w:r w:rsidR="00135F09" w:rsidRPr="00D1392F">
        <w:rPr>
          <w:rFonts w:asciiTheme="majorHAnsi" w:hAnsiTheme="majorHAnsi"/>
          <w:sz w:val="20"/>
          <w:szCs w:val="20"/>
        </w:rPr>
        <w:t>.</w:t>
      </w:r>
      <w:r w:rsidRPr="00D1392F">
        <w:rPr>
          <w:rFonts w:asciiTheme="majorHAnsi" w:hAnsiTheme="majorHAnsi"/>
          <w:sz w:val="20"/>
          <w:szCs w:val="20"/>
        </w:rPr>
        <w:t xml:space="preserve"> </w:t>
      </w:r>
    </w:p>
    <w:p w14:paraId="50045E74" w14:textId="77777777" w:rsidR="002943AC" w:rsidRPr="00D1392F" w:rsidRDefault="002943AC" w:rsidP="002943AC">
      <w:pPr>
        <w:pStyle w:val="ListParagraph"/>
        <w:rPr>
          <w:rFonts w:asciiTheme="majorHAnsi" w:hAnsiTheme="majorHAnsi"/>
          <w:sz w:val="20"/>
          <w:szCs w:val="20"/>
        </w:rPr>
      </w:pPr>
    </w:p>
    <w:p w14:paraId="3B34D098" w14:textId="5863A312" w:rsidR="00BC03F2" w:rsidRPr="00D1392F" w:rsidRDefault="009A5C6B" w:rsidP="00765CB3">
      <w:pPr>
        <w:pStyle w:val="ListParagraph"/>
        <w:numPr>
          <w:ilvl w:val="0"/>
          <w:numId w:val="7"/>
        </w:numPr>
        <w:tabs>
          <w:tab w:val="left" w:pos="972"/>
        </w:tabs>
        <w:ind w:right="-1" w:hanging="294"/>
        <w:jc w:val="both"/>
        <w:rPr>
          <w:rFonts w:asciiTheme="majorHAnsi" w:hAnsiTheme="majorHAnsi"/>
          <w:sz w:val="20"/>
          <w:szCs w:val="20"/>
        </w:rPr>
      </w:pPr>
      <w:r w:rsidRPr="00D1392F">
        <w:rPr>
          <w:rFonts w:asciiTheme="majorHAnsi" w:hAnsiTheme="majorHAnsi"/>
          <w:sz w:val="20"/>
          <w:szCs w:val="20"/>
        </w:rPr>
        <w:t xml:space="preserve">Estabilidad: Cualquier cambio en el TAC entre periodos de ordenación debería ser de un </w:t>
      </w:r>
      <w:r w:rsidR="006B77B3" w:rsidRPr="00D1392F">
        <w:rPr>
          <w:rFonts w:asciiTheme="majorHAnsi" w:hAnsiTheme="majorHAnsi"/>
          <w:sz w:val="20"/>
          <w:szCs w:val="20"/>
        </w:rPr>
        <w:t xml:space="preserve">25 % </w:t>
      </w:r>
      <w:r w:rsidRPr="00D1392F">
        <w:rPr>
          <w:rFonts w:asciiTheme="majorHAnsi" w:hAnsiTheme="majorHAnsi"/>
          <w:sz w:val="20"/>
          <w:szCs w:val="20"/>
        </w:rPr>
        <w:t>o inferior.</w:t>
      </w:r>
    </w:p>
    <w:p w14:paraId="74331DCC" w14:textId="77777777" w:rsidR="00BC03F2" w:rsidRPr="00D1392F" w:rsidRDefault="00BC03F2" w:rsidP="00566B70">
      <w:pPr>
        <w:tabs>
          <w:tab w:val="left" w:pos="1440"/>
        </w:tabs>
        <w:ind w:left="360" w:right="-1"/>
        <w:rPr>
          <w:rFonts w:asciiTheme="majorHAnsi" w:hAnsiTheme="majorHAnsi"/>
          <w:sz w:val="20"/>
          <w:szCs w:val="20"/>
        </w:rPr>
      </w:pPr>
    </w:p>
    <w:p w14:paraId="680B1F5B" w14:textId="0EB7DF02" w:rsidR="00BC03F2" w:rsidRPr="00D1392F" w:rsidRDefault="009A5C6B" w:rsidP="000B7312">
      <w:pPr>
        <w:tabs>
          <w:tab w:val="left" w:pos="1440"/>
        </w:tabs>
        <w:ind w:left="426" w:right="-1"/>
        <w:rPr>
          <w:rFonts w:asciiTheme="majorHAnsi" w:hAnsiTheme="majorHAnsi"/>
          <w:sz w:val="20"/>
          <w:szCs w:val="20"/>
        </w:rPr>
      </w:pPr>
      <w:r w:rsidRPr="00D1392F">
        <w:rPr>
          <w:rFonts w:asciiTheme="majorHAnsi" w:hAnsiTheme="majorHAnsi"/>
          <w:sz w:val="20"/>
          <w:szCs w:val="20"/>
        </w:rPr>
        <w:t>Los indicadores de desempeño utilizados para evaluar el desempeño del MP para cada objetivo de ordenación pueden consultarse en el</w:t>
      </w:r>
      <w:r w:rsidRPr="00D1392F">
        <w:rPr>
          <w:rFonts w:asciiTheme="majorHAnsi" w:hAnsiTheme="majorHAnsi"/>
          <w:b/>
          <w:bCs/>
          <w:sz w:val="20"/>
          <w:szCs w:val="20"/>
        </w:rPr>
        <w:t xml:space="preserve"> Anexo </w:t>
      </w:r>
      <w:r w:rsidR="00240BE4" w:rsidRPr="00923245">
        <w:rPr>
          <w:rFonts w:asciiTheme="majorHAnsi" w:hAnsiTheme="majorHAnsi"/>
          <w:b/>
          <w:bCs/>
          <w:sz w:val="20"/>
          <w:szCs w:val="20"/>
          <w:u w:val="single"/>
        </w:rPr>
        <w:t>2</w:t>
      </w:r>
      <w:r w:rsidRPr="00923245">
        <w:rPr>
          <w:rFonts w:asciiTheme="majorHAnsi" w:hAnsiTheme="majorHAnsi"/>
          <w:sz w:val="20"/>
          <w:szCs w:val="20"/>
          <w:u w:val="single"/>
        </w:rPr>
        <w:t>.</w:t>
      </w:r>
    </w:p>
    <w:p w14:paraId="0DBED6D4" w14:textId="77777777" w:rsidR="00BC03F2" w:rsidRPr="00D1392F" w:rsidRDefault="00BC03F2" w:rsidP="00566B70">
      <w:pPr>
        <w:pStyle w:val="BodyText"/>
        <w:spacing w:before="9"/>
        <w:ind w:left="360" w:right="-1"/>
        <w:rPr>
          <w:rFonts w:asciiTheme="majorHAnsi" w:hAnsiTheme="majorHAnsi"/>
        </w:rPr>
      </w:pPr>
    </w:p>
    <w:p w14:paraId="07955EE4" w14:textId="77777777" w:rsidR="005D5C62" w:rsidRPr="00D1392F" w:rsidRDefault="005D5C62" w:rsidP="00566B70">
      <w:pPr>
        <w:pStyle w:val="BodyText"/>
        <w:spacing w:before="9"/>
        <w:ind w:left="360" w:right="-1"/>
        <w:rPr>
          <w:rFonts w:asciiTheme="majorHAnsi" w:hAnsiTheme="majorHAnsi"/>
        </w:rPr>
      </w:pPr>
    </w:p>
    <w:p w14:paraId="6D4444A6" w14:textId="7D088FDF" w:rsidR="00BC03F2" w:rsidRPr="00D1392F" w:rsidRDefault="006A018C" w:rsidP="00566B70">
      <w:pPr>
        <w:pStyle w:val="Heading1"/>
        <w:spacing w:before="1"/>
        <w:ind w:left="360" w:right="-1"/>
        <w:jc w:val="center"/>
        <w:rPr>
          <w:rFonts w:asciiTheme="majorHAnsi" w:hAnsiTheme="majorHAnsi"/>
        </w:rPr>
      </w:pPr>
      <w:r w:rsidRPr="00D1392F">
        <w:rPr>
          <w:rFonts w:asciiTheme="majorHAnsi" w:hAnsiTheme="majorHAnsi"/>
        </w:rPr>
        <w:t xml:space="preserve">Parte </w:t>
      </w:r>
      <w:r w:rsidR="009A5C6B" w:rsidRPr="00D1392F">
        <w:rPr>
          <w:rFonts w:asciiTheme="majorHAnsi" w:hAnsiTheme="majorHAnsi"/>
        </w:rPr>
        <w:t>II</w:t>
      </w:r>
    </w:p>
    <w:p w14:paraId="6F0A9900" w14:textId="7E9AA6BC" w:rsidR="00BC03F2" w:rsidRPr="00D1392F" w:rsidRDefault="009A5C6B" w:rsidP="00566B70">
      <w:pPr>
        <w:ind w:left="360" w:right="-1"/>
        <w:jc w:val="center"/>
        <w:rPr>
          <w:rFonts w:asciiTheme="majorHAnsi" w:hAnsiTheme="majorHAnsi"/>
          <w:b/>
          <w:sz w:val="20"/>
          <w:szCs w:val="20"/>
        </w:rPr>
      </w:pPr>
      <w:r w:rsidRPr="00D1392F">
        <w:rPr>
          <w:rFonts w:asciiTheme="majorHAnsi" w:hAnsiTheme="majorHAnsi"/>
          <w:b/>
          <w:sz w:val="20"/>
          <w:szCs w:val="20"/>
        </w:rPr>
        <w:t>P</w:t>
      </w:r>
      <w:r w:rsidR="006A018C" w:rsidRPr="00D1392F">
        <w:rPr>
          <w:rFonts w:asciiTheme="majorHAnsi" w:hAnsiTheme="majorHAnsi"/>
          <w:b/>
          <w:sz w:val="20"/>
          <w:szCs w:val="20"/>
        </w:rPr>
        <w:t>rocedimiento de ordenación y circunstancias excepcionales</w:t>
      </w:r>
    </w:p>
    <w:p w14:paraId="049C8938" w14:textId="77777777" w:rsidR="00BC03F2" w:rsidRPr="00D1392F" w:rsidRDefault="00BC03F2" w:rsidP="00566B70">
      <w:pPr>
        <w:pStyle w:val="BodyText"/>
        <w:spacing w:before="11"/>
        <w:ind w:left="360" w:right="-1"/>
        <w:rPr>
          <w:rFonts w:asciiTheme="majorHAnsi" w:hAnsiTheme="majorHAnsi"/>
          <w:b/>
        </w:rPr>
      </w:pPr>
    </w:p>
    <w:p w14:paraId="0448D255" w14:textId="52BA27DF" w:rsidR="00BC03F2" w:rsidRPr="00D1392F" w:rsidRDefault="001C4904"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En consonancia con los objetivos de ordenación especificados en el párrafo 2,</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se adoptará</w:t>
      </w:r>
      <w:r w:rsidRPr="00D1392F">
        <w:rPr>
          <w:rFonts w:asciiTheme="majorHAnsi" w:hAnsiTheme="majorHAnsi"/>
          <w:sz w:val="20"/>
          <w:szCs w:val="20"/>
        </w:rPr>
        <w:t xml:space="preserve"> el procedimiento de ordenación</w:t>
      </w:r>
      <w:r w:rsidR="00E9718C" w:rsidRPr="00D1392F">
        <w:rPr>
          <w:rFonts w:asciiTheme="majorHAnsi" w:hAnsiTheme="majorHAnsi"/>
          <w:sz w:val="20"/>
          <w:szCs w:val="20"/>
        </w:rPr>
        <w:t xml:space="preserve"> </w:t>
      </w:r>
      <w:r w:rsidR="00E9718C" w:rsidRPr="00923245">
        <w:rPr>
          <w:rFonts w:asciiTheme="majorHAnsi" w:hAnsiTheme="majorHAnsi"/>
          <w:sz w:val="20"/>
          <w:szCs w:val="20"/>
          <w:u w:val="single"/>
        </w:rPr>
        <w:t>IR</w:t>
      </w:r>
      <w:r w:rsidR="004D047D" w:rsidRPr="00923245">
        <w:rPr>
          <w:rFonts w:asciiTheme="majorHAnsi" w:hAnsiTheme="majorHAnsi"/>
          <w:sz w:val="20"/>
          <w:szCs w:val="20"/>
          <w:u w:val="single"/>
        </w:rPr>
        <w:t xml:space="preserve">. El MP se describe detalladamente en el </w:t>
      </w:r>
      <w:r w:rsidR="004D047D" w:rsidRPr="00923245">
        <w:rPr>
          <w:rFonts w:asciiTheme="majorHAnsi" w:hAnsiTheme="majorHAnsi"/>
          <w:b/>
          <w:bCs/>
          <w:sz w:val="20"/>
          <w:szCs w:val="20"/>
          <w:u w:val="single"/>
        </w:rPr>
        <w:t>Anexo 1</w:t>
      </w:r>
      <w:r w:rsidR="004D047D" w:rsidRPr="00D1392F">
        <w:rPr>
          <w:rFonts w:asciiTheme="majorHAnsi" w:hAnsiTheme="majorHAnsi"/>
          <w:b/>
          <w:bCs/>
          <w:sz w:val="20"/>
          <w:szCs w:val="20"/>
        </w:rPr>
        <w:t>.</w:t>
      </w:r>
    </w:p>
    <w:p w14:paraId="78B9C810" w14:textId="77777777" w:rsidR="00BC03F2" w:rsidRPr="00D1392F" w:rsidRDefault="00BC03F2" w:rsidP="00566B70">
      <w:pPr>
        <w:tabs>
          <w:tab w:val="left" w:pos="900"/>
        </w:tabs>
        <w:ind w:left="450" w:right="-1"/>
        <w:rPr>
          <w:rFonts w:asciiTheme="majorHAnsi" w:hAnsiTheme="majorHAnsi"/>
          <w:sz w:val="20"/>
          <w:szCs w:val="20"/>
        </w:rPr>
      </w:pPr>
    </w:p>
    <w:p w14:paraId="0A3D0F11" w14:textId="3E89FB63" w:rsidR="00BC03F2" w:rsidRPr="00D1392F" w:rsidRDefault="009A5C6B" w:rsidP="00566B70">
      <w:pPr>
        <w:pStyle w:val="Heading2"/>
        <w:ind w:left="360" w:right="68" w:hanging="360"/>
        <w:rPr>
          <w:rFonts w:asciiTheme="majorHAnsi" w:hAnsiTheme="majorHAnsi"/>
          <w:i w:val="0"/>
          <w:iCs w:val="0"/>
        </w:rPr>
      </w:pPr>
      <w:r w:rsidRPr="00D1392F">
        <w:rPr>
          <w:rFonts w:asciiTheme="majorHAnsi" w:hAnsiTheme="majorHAnsi"/>
          <w:i w:val="0"/>
        </w:rPr>
        <w:t>Establecimiento del TAC</w:t>
      </w:r>
    </w:p>
    <w:p w14:paraId="6377BF63" w14:textId="77777777" w:rsidR="00BC03F2" w:rsidRPr="00D1392F" w:rsidRDefault="00BC03F2" w:rsidP="00566B70">
      <w:pPr>
        <w:pStyle w:val="BodyText"/>
        <w:tabs>
          <w:tab w:val="left" w:pos="900"/>
        </w:tabs>
        <w:spacing w:before="2"/>
        <w:ind w:left="450" w:right="-1"/>
        <w:rPr>
          <w:rFonts w:asciiTheme="majorHAnsi" w:hAnsiTheme="majorHAnsi"/>
        </w:rPr>
      </w:pPr>
    </w:p>
    <w:p w14:paraId="03F62C5C" w14:textId="6D0C62F5"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El primer TAC anual constante </w:t>
      </w:r>
      <w:r w:rsidR="00164509" w:rsidRPr="00923245">
        <w:rPr>
          <w:rFonts w:asciiTheme="majorHAnsi" w:hAnsiTheme="majorHAnsi"/>
          <w:sz w:val="20"/>
          <w:szCs w:val="20"/>
          <w:u w:val="single"/>
        </w:rPr>
        <w:t>de 30</w:t>
      </w:r>
      <w:r w:rsidR="008B5955" w:rsidRPr="00923245">
        <w:rPr>
          <w:rFonts w:asciiTheme="majorHAnsi" w:hAnsiTheme="majorHAnsi"/>
          <w:sz w:val="20"/>
          <w:szCs w:val="20"/>
          <w:u w:val="single"/>
        </w:rPr>
        <w:t>.844</w:t>
      </w:r>
      <w:r w:rsidR="008B5955" w:rsidRPr="00D1392F">
        <w:rPr>
          <w:rFonts w:asciiTheme="majorHAnsi" w:hAnsiTheme="majorHAnsi"/>
          <w:sz w:val="20"/>
          <w:szCs w:val="20"/>
        </w:rPr>
        <w:t xml:space="preserve"> t </w:t>
      </w:r>
      <w:r w:rsidRPr="00D1392F">
        <w:rPr>
          <w:rFonts w:asciiTheme="majorHAnsi" w:hAnsiTheme="majorHAnsi"/>
          <w:sz w:val="20"/>
          <w:szCs w:val="20"/>
        </w:rPr>
        <w:t xml:space="preserve">derivado del MP se aplicará en 2026, 2027 y 2028. La duración del ciclo de ordenación será de tres años, por lo que el MP se aplicará cada tres años. El procedimiento para el establecimiento del TAC anual constante de tres años figura en el </w:t>
      </w:r>
      <w:r w:rsidRPr="00D1392F">
        <w:rPr>
          <w:rFonts w:asciiTheme="majorHAnsi" w:hAnsiTheme="majorHAnsi"/>
          <w:b/>
          <w:bCs/>
          <w:sz w:val="20"/>
          <w:szCs w:val="20"/>
        </w:rPr>
        <w:t>Anexo </w:t>
      </w:r>
      <w:r w:rsidR="008B5955" w:rsidRPr="00923245">
        <w:rPr>
          <w:rFonts w:asciiTheme="majorHAnsi" w:hAnsiTheme="majorHAnsi"/>
          <w:b/>
          <w:bCs/>
          <w:sz w:val="20"/>
          <w:szCs w:val="20"/>
          <w:u w:val="single"/>
        </w:rPr>
        <w:t>3</w:t>
      </w:r>
      <w:r w:rsidRPr="00D1392F">
        <w:rPr>
          <w:rFonts w:asciiTheme="majorHAnsi" w:hAnsiTheme="majorHAnsi"/>
          <w:sz w:val="20"/>
          <w:szCs w:val="20"/>
        </w:rPr>
        <w:t>.</w:t>
      </w:r>
    </w:p>
    <w:p w14:paraId="39C3C514" w14:textId="77777777" w:rsidR="008B5955" w:rsidRPr="00D1392F" w:rsidRDefault="008B5955" w:rsidP="008B5955">
      <w:pPr>
        <w:tabs>
          <w:tab w:val="left" w:pos="426"/>
        </w:tabs>
        <w:ind w:right="-1"/>
        <w:jc w:val="both"/>
        <w:rPr>
          <w:rFonts w:asciiTheme="majorHAnsi" w:hAnsiTheme="majorHAnsi"/>
          <w:sz w:val="20"/>
          <w:szCs w:val="20"/>
        </w:rPr>
      </w:pPr>
    </w:p>
    <w:p w14:paraId="06AD0490" w14:textId="77777777" w:rsidR="00B43575" w:rsidRPr="00B43575" w:rsidRDefault="00B43575" w:rsidP="00B43575">
      <w:pPr>
        <w:pStyle w:val="ListParagraph"/>
        <w:numPr>
          <w:ilvl w:val="0"/>
          <w:numId w:val="3"/>
        </w:numPr>
        <w:tabs>
          <w:tab w:val="left" w:pos="426"/>
        </w:tabs>
        <w:ind w:left="426" w:right="-1" w:hanging="426"/>
        <w:jc w:val="both"/>
        <w:rPr>
          <w:color w:val="000000"/>
          <w:sz w:val="20"/>
          <w:szCs w:val="20"/>
          <w:u w:val="single"/>
        </w:rPr>
      </w:pPr>
      <w:r w:rsidRPr="00B43575">
        <w:rPr>
          <w:rFonts w:eastAsia="Aptos"/>
          <w:color w:val="000000"/>
          <w:kern w:val="2"/>
          <w:sz w:val="20"/>
          <w:u w:val="single"/>
          <w14:ligatures w14:val="standardContextual"/>
        </w:rPr>
        <w:t xml:space="preserve">Si el TAC establecido en el párrafo 4 se supera en dos años consecutivos, esta medida se revisará al año siguiente para </w:t>
      </w:r>
      <w:r w:rsidRPr="00B43575">
        <w:rPr>
          <w:rFonts w:asciiTheme="majorHAnsi" w:hAnsiTheme="majorHAnsi"/>
          <w:sz w:val="20"/>
          <w:szCs w:val="20"/>
          <w:u w:val="single"/>
        </w:rPr>
        <w:t>incluir</w:t>
      </w:r>
      <w:r w:rsidRPr="00B43575">
        <w:rPr>
          <w:rFonts w:eastAsia="Aptos"/>
          <w:color w:val="000000"/>
          <w:kern w:val="2"/>
          <w:sz w:val="20"/>
          <w:u w:val="single"/>
          <w14:ligatures w14:val="standardContextual"/>
        </w:rPr>
        <w:t xml:space="preserve"> una tabla de asignación.</w:t>
      </w:r>
    </w:p>
    <w:p w14:paraId="16106E69" w14:textId="77777777" w:rsidR="00BC03F2" w:rsidRPr="00D1392F" w:rsidRDefault="00BC03F2" w:rsidP="00566B70">
      <w:pPr>
        <w:pStyle w:val="ListParagraph"/>
        <w:tabs>
          <w:tab w:val="left" w:pos="900"/>
        </w:tabs>
        <w:ind w:left="450" w:right="-1" w:firstLine="0"/>
        <w:rPr>
          <w:rFonts w:asciiTheme="majorHAnsi" w:hAnsiTheme="majorHAnsi"/>
          <w:sz w:val="20"/>
          <w:szCs w:val="20"/>
        </w:rPr>
      </w:pPr>
    </w:p>
    <w:p w14:paraId="0F687356" w14:textId="1A8DA3AE"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De acuerdo con el calendario establecido en el </w:t>
      </w:r>
      <w:r w:rsidRPr="00D1392F">
        <w:rPr>
          <w:rFonts w:asciiTheme="majorHAnsi" w:hAnsiTheme="majorHAnsi"/>
          <w:b/>
          <w:sz w:val="20"/>
          <w:szCs w:val="20"/>
        </w:rPr>
        <w:t>Anexo</w:t>
      </w:r>
      <w:r w:rsidRPr="00923245">
        <w:rPr>
          <w:rFonts w:asciiTheme="majorHAnsi" w:hAnsiTheme="majorHAnsi"/>
          <w:b/>
          <w:sz w:val="20"/>
          <w:szCs w:val="20"/>
          <w:u w:val="single"/>
        </w:rPr>
        <w:t xml:space="preserve"> </w:t>
      </w:r>
      <w:r w:rsidR="00B43575" w:rsidRPr="00923245">
        <w:rPr>
          <w:rFonts w:asciiTheme="majorHAnsi" w:hAnsiTheme="majorHAnsi"/>
          <w:b/>
          <w:bCs/>
          <w:sz w:val="20"/>
          <w:szCs w:val="20"/>
          <w:u w:val="single"/>
        </w:rPr>
        <w:t>3</w:t>
      </w:r>
      <w:r w:rsidRPr="00D1392F">
        <w:rPr>
          <w:rFonts w:asciiTheme="majorHAnsi" w:hAnsiTheme="majorHAnsi"/>
          <w:sz w:val="20"/>
          <w:szCs w:val="20"/>
        </w:rPr>
        <w:t xml:space="preserve">, el SCRS ejecutará el MP y comunicará a la Comisión el TAC resultante según el proceso especificado en el </w:t>
      </w:r>
      <w:r w:rsidRPr="00D1392F">
        <w:rPr>
          <w:rFonts w:asciiTheme="majorHAnsi" w:hAnsiTheme="majorHAnsi"/>
          <w:b/>
          <w:bCs/>
          <w:sz w:val="20"/>
          <w:szCs w:val="20"/>
        </w:rPr>
        <w:t>Anexo </w:t>
      </w:r>
      <w:r w:rsidR="00B43575" w:rsidRPr="00923245">
        <w:rPr>
          <w:rFonts w:asciiTheme="majorHAnsi" w:hAnsiTheme="majorHAnsi"/>
          <w:b/>
          <w:bCs/>
          <w:sz w:val="20"/>
          <w:szCs w:val="20"/>
          <w:u w:val="single"/>
        </w:rPr>
        <w:t>3</w:t>
      </w:r>
      <w:r w:rsidRPr="00D1392F">
        <w:rPr>
          <w:rFonts w:asciiTheme="majorHAnsi" w:hAnsiTheme="majorHAnsi"/>
          <w:b/>
          <w:bCs/>
          <w:sz w:val="20"/>
          <w:szCs w:val="20"/>
        </w:rPr>
        <w:t>.</w:t>
      </w:r>
      <w:r w:rsidRPr="00D1392F">
        <w:rPr>
          <w:rFonts w:asciiTheme="majorHAnsi" w:hAnsiTheme="majorHAnsi"/>
          <w:sz w:val="20"/>
          <w:szCs w:val="20"/>
        </w:rPr>
        <w:t xml:space="preserve"> </w:t>
      </w:r>
    </w:p>
    <w:p w14:paraId="351D5EC5" w14:textId="77777777" w:rsidR="00BC03F2" w:rsidRPr="00D1392F" w:rsidRDefault="00BC03F2" w:rsidP="00566B70">
      <w:pPr>
        <w:pStyle w:val="ListParagraph"/>
        <w:tabs>
          <w:tab w:val="left" w:pos="900"/>
        </w:tabs>
        <w:ind w:left="450" w:right="-1"/>
        <w:rPr>
          <w:rFonts w:asciiTheme="majorHAnsi" w:hAnsiTheme="majorHAnsi"/>
          <w:sz w:val="20"/>
          <w:szCs w:val="20"/>
        </w:rPr>
      </w:pPr>
    </w:p>
    <w:p w14:paraId="42C96BB5"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A continuación, la Comisión adoptará el TAC basándose en el resultado del MP, a menos que el SCRS identifique circunstancias excepcionales que requieran la consideración de acciones de ordenación alternativas que tenga que emprender la Comisión. </w:t>
      </w:r>
    </w:p>
    <w:p w14:paraId="4435C4D0" w14:textId="77777777" w:rsidR="00BC03F2" w:rsidRPr="00D1392F" w:rsidRDefault="00BC03F2" w:rsidP="00566B70">
      <w:pPr>
        <w:tabs>
          <w:tab w:val="left" w:pos="900"/>
        </w:tabs>
        <w:ind w:right="-1"/>
        <w:rPr>
          <w:rFonts w:asciiTheme="majorHAnsi" w:hAnsiTheme="majorHAnsi"/>
          <w:sz w:val="20"/>
          <w:szCs w:val="20"/>
        </w:rPr>
      </w:pPr>
    </w:p>
    <w:p w14:paraId="5DCC3308" w14:textId="77777777"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El SCRS evaluará anualmente la aparición de circunstancias excepcionales, y la Comisión actuará de acuerdo con el protocolo de circunstancias excepcionales desarrollado sobre la base del asesoramiento científico proporcionado por el SCRS y adoptado por la Comisión.</w:t>
      </w:r>
    </w:p>
    <w:p w14:paraId="7DCEA114"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0B5643F2" w14:textId="232DA16E" w:rsidR="00A80C66" w:rsidRPr="00D1392F" w:rsidRDefault="00A80C66">
      <w:pPr>
        <w:rPr>
          <w:rFonts w:asciiTheme="majorHAnsi" w:eastAsia="Cambria" w:hAnsiTheme="majorHAnsi" w:cs="Cambria"/>
          <w:b/>
          <w:sz w:val="20"/>
          <w:szCs w:val="20"/>
          <w:lang w:eastAsia="en-US"/>
        </w:rPr>
      </w:pPr>
    </w:p>
    <w:p w14:paraId="7B068109" w14:textId="5152A9E1" w:rsidR="00BC03F2" w:rsidRPr="00D1392F" w:rsidRDefault="00E13F57"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 xml:space="preserve">Parte </w:t>
      </w:r>
      <w:r w:rsidR="009A5C6B" w:rsidRPr="00D1392F">
        <w:rPr>
          <w:rFonts w:asciiTheme="majorHAnsi" w:hAnsiTheme="majorHAnsi"/>
          <w:b/>
          <w:sz w:val="20"/>
          <w:szCs w:val="20"/>
        </w:rPr>
        <w:t>III</w:t>
      </w:r>
    </w:p>
    <w:p w14:paraId="43913160" w14:textId="5BB283C6" w:rsidR="00BC03F2" w:rsidRPr="00D1392F" w:rsidRDefault="00566B70" w:rsidP="00BF2E2E">
      <w:pPr>
        <w:pStyle w:val="ListParagraph"/>
        <w:tabs>
          <w:tab w:val="left" w:pos="900"/>
        </w:tabs>
        <w:ind w:left="360" w:right="68" w:firstLine="0"/>
        <w:jc w:val="center"/>
        <w:rPr>
          <w:rFonts w:asciiTheme="majorHAnsi" w:hAnsiTheme="majorHAnsi"/>
          <w:b/>
          <w:bCs/>
          <w:sz w:val="20"/>
          <w:szCs w:val="20"/>
        </w:rPr>
      </w:pPr>
      <w:r w:rsidRPr="00D1392F">
        <w:rPr>
          <w:rFonts w:asciiTheme="majorHAnsi" w:hAnsiTheme="majorHAnsi"/>
          <w:b/>
          <w:sz w:val="20"/>
          <w:szCs w:val="20"/>
        </w:rPr>
        <w:t>D</w:t>
      </w:r>
      <w:r w:rsidR="00E13F57" w:rsidRPr="00D1392F">
        <w:rPr>
          <w:rFonts w:asciiTheme="majorHAnsi" w:hAnsiTheme="majorHAnsi"/>
          <w:b/>
          <w:sz w:val="20"/>
          <w:szCs w:val="20"/>
        </w:rPr>
        <w:t>isposiciones finales</w:t>
      </w:r>
    </w:p>
    <w:p w14:paraId="34201A80" w14:textId="77777777" w:rsidR="00BC03F2" w:rsidRPr="00D1392F" w:rsidRDefault="00BC03F2" w:rsidP="00BF2E2E">
      <w:pPr>
        <w:pStyle w:val="ListParagraph"/>
        <w:tabs>
          <w:tab w:val="left" w:pos="900"/>
        </w:tabs>
        <w:ind w:left="360" w:right="68" w:firstLine="0"/>
        <w:jc w:val="center"/>
        <w:rPr>
          <w:rFonts w:asciiTheme="majorHAnsi" w:hAnsiTheme="majorHAnsi"/>
          <w:b/>
          <w:bCs/>
          <w:sz w:val="20"/>
          <w:szCs w:val="20"/>
        </w:rPr>
      </w:pPr>
    </w:p>
    <w:p w14:paraId="58AC10D1" w14:textId="7D255EB2" w:rsidR="00CD2A07"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53AEE4EB" w14:textId="640580C6" w:rsidR="00C06BE3" w:rsidRPr="00D1392F" w:rsidRDefault="00C06BE3" w:rsidP="00566B70">
      <w:pPr>
        <w:pStyle w:val="ListParagraph"/>
        <w:ind w:right="-1"/>
        <w:rPr>
          <w:rFonts w:asciiTheme="majorHAnsi" w:hAnsiTheme="majorHAnsi"/>
          <w:sz w:val="20"/>
          <w:szCs w:val="20"/>
        </w:rPr>
      </w:pPr>
      <w:r w:rsidRPr="00D1392F">
        <w:rPr>
          <w:rFonts w:asciiTheme="majorHAnsi" w:hAnsiTheme="majorHAnsi"/>
          <w:sz w:val="20"/>
          <w:szCs w:val="20"/>
        </w:rPr>
        <w:t>[…]</w:t>
      </w:r>
    </w:p>
    <w:p w14:paraId="632EB116" w14:textId="77777777" w:rsidR="00C06BE3" w:rsidRPr="00D1392F" w:rsidRDefault="00C06BE3" w:rsidP="00566B70">
      <w:pPr>
        <w:pStyle w:val="ListParagraph"/>
        <w:ind w:right="-1"/>
        <w:rPr>
          <w:rFonts w:asciiTheme="majorHAnsi" w:hAnsiTheme="majorHAnsi"/>
          <w:sz w:val="20"/>
          <w:szCs w:val="20"/>
        </w:rPr>
      </w:pPr>
    </w:p>
    <w:p w14:paraId="6F8BF719" w14:textId="5D3E5094" w:rsidR="00CD2A07" w:rsidRPr="00D1392F" w:rsidRDefault="00CD2A07"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Subcomisión 1, con el asesoramiento científico del SCRS, elaborará el protocolo de circunstancias excepcionales para este MP, para su examen y adopción por la Comisión en su reunión anual de </w:t>
      </w:r>
      <w:r w:rsidRPr="00923245">
        <w:rPr>
          <w:rFonts w:asciiTheme="majorHAnsi" w:hAnsiTheme="majorHAnsi"/>
          <w:sz w:val="20"/>
          <w:szCs w:val="20"/>
          <w:u w:val="single"/>
        </w:rPr>
        <w:t>202</w:t>
      </w:r>
      <w:r w:rsidR="006D139F" w:rsidRPr="00923245">
        <w:rPr>
          <w:rFonts w:asciiTheme="majorHAnsi" w:hAnsiTheme="majorHAnsi"/>
          <w:sz w:val="20"/>
          <w:szCs w:val="20"/>
          <w:u w:val="single"/>
        </w:rPr>
        <w:t>6</w:t>
      </w:r>
      <w:r w:rsidR="00891A12" w:rsidRPr="00D1392F">
        <w:rPr>
          <w:rFonts w:asciiTheme="majorHAnsi" w:hAnsiTheme="majorHAnsi"/>
          <w:sz w:val="20"/>
          <w:szCs w:val="20"/>
        </w:rPr>
        <w:t>, o lo antes posible tras dicha fecha</w:t>
      </w:r>
      <w:r w:rsidRPr="00D1392F">
        <w:rPr>
          <w:rFonts w:asciiTheme="majorHAnsi" w:hAnsiTheme="majorHAnsi"/>
          <w:sz w:val="20"/>
          <w:szCs w:val="20"/>
        </w:rPr>
        <w:t xml:space="preserve">. El protocolo se convertirá en el Anexo 4 de la presente Recomendación una vez que sea adoptado. </w:t>
      </w:r>
    </w:p>
    <w:p w14:paraId="2B4D1392" w14:textId="77777777" w:rsidR="00D41E0A" w:rsidRPr="00D1392F" w:rsidRDefault="00D41E0A" w:rsidP="00D41E0A">
      <w:pPr>
        <w:pStyle w:val="ListParagraph"/>
        <w:rPr>
          <w:rFonts w:asciiTheme="majorHAnsi" w:hAnsiTheme="majorHAnsi"/>
          <w:sz w:val="20"/>
          <w:szCs w:val="20"/>
        </w:rPr>
      </w:pPr>
    </w:p>
    <w:p w14:paraId="4EA5662F" w14:textId="62147958" w:rsidR="00BC03F2" w:rsidRPr="00D1392F" w:rsidRDefault="009A5C6B" w:rsidP="00566B70">
      <w:pPr>
        <w:pStyle w:val="ListParagraph"/>
        <w:numPr>
          <w:ilvl w:val="0"/>
          <w:numId w:val="3"/>
        </w:numPr>
        <w:tabs>
          <w:tab w:val="left" w:pos="426"/>
        </w:tabs>
        <w:ind w:left="426" w:right="-1" w:hanging="426"/>
        <w:jc w:val="both"/>
        <w:rPr>
          <w:rFonts w:asciiTheme="majorHAnsi" w:hAnsiTheme="majorHAnsi"/>
          <w:sz w:val="20"/>
          <w:szCs w:val="20"/>
        </w:rPr>
      </w:pPr>
      <w:r w:rsidRPr="00D1392F">
        <w:rPr>
          <w:rFonts w:asciiTheme="majorHAnsi" w:hAnsiTheme="majorHAnsi"/>
          <w:sz w:val="20"/>
          <w:szCs w:val="20"/>
        </w:rPr>
        <w:t xml:space="preserve">La Comisión y el SCRS llevarán a cabo un examen del desempeño del MP </w:t>
      </w:r>
      <w:r w:rsidR="007D446D" w:rsidRPr="00D1392F">
        <w:rPr>
          <w:rFonts w:asciiTheme="majorHAnsi" w:hAnsiTheme="majorHAnsi"/>
          <w:sz w:val="20"/>
          <w:szCs w:val="20"/>
        </w:rPr>
        <w:t>de aquí a</w:t>
      </w:r>
      <w:r w:rsidRPr="00D1392F">
        <w:rPr>
          <w:rFonts w:asciiTheme="majorHAnsi" w:hAnsiTheme="majorHAnsi"/>
          <w:sz w:val="20"/>
          <w:szCs w:val="20"/>
        </w:rPr>
        <w:t xml:space="preserve"> 2031 y, posteriormente, cada seis años. El objetivo de la revisión es asegurarse de que el MP tiene el desempeño previsto y determinar si existen condiciones que justifiquen su continuidad o que justifiquen el recondicionamiento de los modelos operativos de la MSE, una recalibración del MP existente</w:t>
      </w:r>
      <w:r w:rsidR="00F979F0" w:rsidRPr="00D1392F">
        <w:rPr>
          <w:rFonts w:asciiTheme="majorHAnsi" w:hAnsiTheme="majorHAnsi"/>
          <w:sz w:val="20"/>
          <w:szCs w:val="20"/>
        </w:rPr>
        <w:t>,</w:t>
      </w:r>
      <w:r w:rsidRPr="00D1392F">
        <w:rPr>
          <w:rFonts w:asciiTheme="majorHAnsi" w:hAnsiTheme="majorHAnsi"/>
          <w:sz w:val="20"/>
          <w:szCs w:val="20"/>
        </w:rPr>
        <w:t xml:space="preserve"> </w:t>
      </w:r>
      <w:r w:rsidR="008F52FE" w:rsidRPr="00D1392F">
        <w:rPr>
          <w:rFonts w:asciiTheme="majorHAnsi" w:hAnsiTheme="majorHAnsi"/>
          <w:sz w:val="20"/>
          <w:szCs w:val="20"/>
        </w:rPr>
        <w:t xml:space="preserve">la inclusión de </w:t>
      </w:r>
      <w:r w:rsidRPr="00D1392F">
        <w:rPr>
          <w:rFonts w:asciiTheme="majorHAnsi" w:hAnsiTheme="majorHAnsi"/>
          <w:sz w:val="20"/>
          <w:szCs w:val="20"/>
        </w:rPr>
        <w:t>nuevos índices en un nuevo MP y/o la consideración de procedimientos de ordenación candidatos alternativos o el desarrollo de un nuevo marco de MSE. Basándose en este examen y en el subsiguiente asesoramiento del SCRS, la Comisión decidirá las futuras medidas, enfoques y estrategias de ordenación</w:t>
      </w:r>
      <w:r w:rsidR="00046701" w:rsidRPr="00D1392F">
        <w:rPr>
          <w:rFonts w:asciiTheme="majorHAnsi" w:hAnsiTheme="majorHAnsi"/>
          <w:sz w:val="20"/>
          <w:szCs w:val="20"/>
        </w:rPr>
        <w:t xml:space="preserve"> para el listado del Atlántico occidental</w:t>
      </w:r>
      <w:r w:rsidRPr="00D1392F">
        <w:rPr>
          <w:rFonts w:asciiTheme="majorHAnsi" w:hAnsiTheme="majorHAnsi"/>
          <w:sz w:val="20"/>
          <w:szCs w:val="20"/>
        </w:rPr>
        <w:t>, incluidos, entre otras cosas, los niveles de TAC</w:t>
      </w:r>
      <w:r w:rsidR="008F52FE" w:rsidRPr="00D1392F">
        <w:rPr>
          <w:rFonts w:asciiTheme="majorHAnsi" w:hAnsiTheme="majorHAnsi"/>
          <w:sz w:val="20"/>
          <w:szCs w:val="20"/>
        </w:rPr>
        <w:t>.</w:t>
      </w:r>
    </w:p>
    <w:p w14:paraId="198150C2" w14:textId="77777777" w:rsidR="00BC03F2" w:rsidRPr="00D1392F" w:rsidRDefault="00BC03F2" w:rsidP="00CD2A07">
      <w:pPr>
        <w:ind w:right="68"/>
        <w:rPr>
          <w:rFonts w:asciiTheme="majorHAnsi" w:hAnsiTheme="majorHAnsi"/>
          <w:sz w:val="20"/>
          <w:szCs w:val="20"/>
        </w:rPr>
      </w:pPr>
    </w:p>
    <w:p w14:paraId="5D13CDB7" w14:textId="410FCC62" w:rsidR="00BC03F2" w:rsidRPr="00923245" w:rsidRDefault="009A5C6B" w:rsidP="00F03CB1">
      <w:pPr>
        <w:pStyle w:val="ListParagraph"/>
        <w:numPr>
          <w:ilvl w:val="0"/>
          <w:numId w:val="3"/>
        </w:numPr>
        <w:tabs>
          <w:tab w:val="left" w:pos="426"/>
        </w:tabs>
        <w:ind w:left="426" w:right="-1" w:hanging="426"/>
        <w:jc w:val="both"/>
        <w:rPr>
          <w:rFonts w:asciiTheme="majorHAnsi" w:hAnsiTheme="majorHAnsi"/>
          <w:i/>
          <w:iCs/>
          <w:sz w:val="20"/>
          <w:szCs w:val="20"/>
          <w:u w:val="single"/>
        </w:rPr>
      </w:pPr>
      <w:r w:rsidRPr="00D1392F">
        <w:rPr>
          <w:rFonts w:asciiTheme="majorHAnsi" w:hAnsiTheme="majorHAnsi"/>
          <w:sz w:val="20"/>
          <w:szCs w:val="20"/>
        </w:rPr>
        <w:t xml:space="preserve">Esta Recomendación deroga y sustituye a </w:t>
      </w:r>
      <w:r w:rsidR="00F03CB1" w:rsidRPr="00D1392F">
        <w:rPr>
          <w:rFonts w:asciiTheme="majorHAnsi" w:hAnsiTheme="majorHAnsi"/>
          <w:sz w:val="20"/>
          <w:szCs w:val="20"/>
        </w:rPr>
        <w:t xml:space="preserve">la </w:t>
      </w:r>
      <w:r w:rsidR="00F03CB1" w:rsidRPr="00923245">
        <w:rPr>
          <w:rFonts w:asciiTheme="majorHAnsi" w:hAnsiTheme="majorHAnsi"/>
          <w:i/>
          <w:iCs/>
          <w:sz w:val="20"/>
          <w:szCs w:val="20"/>
          <w:u w:val="single"/>
        </w:rPr>
        <w:t xml:space="preserve">Recomendación de ICCAT sobre un procedimiento de ordenación candidato para el listado del Atlántico occidental </w:t>
      </w:r>
      <w:r w:rsidR="00F03CB1" w:rsidRPr="00923245">
        <w:rPr>
          <w:rFonts w:asciiTheme="majorHAnsi" w:hAnsiTheme="majorHAnsi"/>
          <w:sz w:val="20"/>
          <w:szCs w:val="20"/>
          <w:u w:val="single"/>
        </w:rPr>
        <w:t>(Rec. 24-04)</w:t>
      </w:r>
      <w:r w:rsidR="00BF1860" w:rsidRPr="00923245">
        <w:rPr>
          <w:rFonts w:asciiTheme="majorHAnsi" w:hAnsiTheme="majorHAnsi"/>
          <w:sz w:val="20"/>
          <w:szCs w:val="20"/>
          <w:u w:val="single"/>
        </w:rPr>
        <w:t>.</w:t>
      </w:r>
    </w:p>
    <w:p w14:paraId="5BC7C131" w14:textId="77777777" w:rsidR="00BC03F2" w:rsidRPr="00923245" w:rsidRDefault="009A5C6B">
      <w:pPr>
        <w:ind w:right="68"/>
        <w:rPr>
          <w:rFonts w:asciiTheme="majorHAnsi" w:hAnsiTheme="majorHAnsi"/>
          <w:b/>
          <w:bCs/>
          <w:i/>
          <w:iCs/>
          <w:sz w:val="20"/>
          <w:szCs w:val="20"/>
          <w:u w:val="single"/>
        </w:rPr>
      </w:pPr>
      <w:r w:rsidRPr="00923245">
        <w:rPr>
          <w:rFonts w:asciiTheme="majorHAnsi" w:hAnsiTheme="majorHAnsi"/>
          <w:i/>
          <w:iCs/>
          <w:sz w:val="20"/>
          <w:szCs w:val="20"/>
          <w:u w:val="single"/>
        </w:rPr>
        <w:br w:type="page"/>
      </w:r>
    </w:p>
    <w:p w14:paraId="0BEC0526" w14:textId="26FBAB41" w:rsidR="00B12164" w:rsidRPr="00B12164" w:rsidRDefault="00B12164" w:rsidP="008D7C91">
      <w:pPr>
        <w:jc w:val="right"/>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lastRenderedPageBreak/>
        <w:t>Anexo 1</w:t>
      </w:r>
    </w:p>
    <w:p w14:paraId="788E3DFF" w14:textId="77777777" w:rsidR="00B12164" w:rsidRPr="00B12164" w:rsidRDefault="00B12164" w:rsidP="00B12164">
      <w:pPr>
        <w:suppressAutoHyphens w:val="0"/>
        <w:jc w:val="right"/>
        <w:rPr>
          <w:rFonts w:ascii="Cambria" w:eastAsia="Cambria" w:hAnsi="Cambria" w:cs="Cambria"/>
          <w:b/>
          <w:bCs/>
          <w:sz w:val="20"/>
          <w:szCs w:val="20"/>
          <w:u w:val="single"/>
          <w:lang w:eastAsia="en-US"/>
        </w:rPr>
      </w:pPr>
    </w:p>
    <w:p w14:paraId="03ED4C83" w14:textId="77777777" w:rsidR="00B12164" w:rsidRPr="00B12164" w:rsidRDefault="00B12164" w:rsidP="00B12164">
      <w:pPr>
        <w:widowControl w:val="0"/>
        <w:jc w:val="center"/>
        <w:rPr>
          <w:rFonts w:ascii="Cambria" w:eastAsia="Cambria" w:hAnsi="Cambria" w:cs="Cambria"/>
          <w:b/>
          <w:sz w:val="20"/>
          <w:szCs w:val="20"/>
          <w:u w:val="single"/>
          <w:lang w:eastAsia="en-US"/>
        </w:rPr>
      </w:pPr>
      <w:r w:rsidRPr="00B12164">
        <w:rPr>
          <w:rFonts w:ascii="Cambria" w:eastAsia="Aptos" w:hAnsi="Cambria"/>
          <w:b/>
          <w:kern w:val="2"/>
          <w:sz w:val="20"/>
          <w:u w:val="single"/>
          <w:lang w:eastAsia="en-US"/>
          <w14:ligatures w14:val="standardContextual"/>
        </w:rPr>
        <w:t>Descripción y fórmulas para calcular el total admisible de capturas (TAC) del listado del Atlántico occidental utilizando el procedimiento de ordenación basado en la ratio de índice (IR)</w:t>
      </w:r>
    </w:p>
    <w:p w14:paraId="419CEE38" w14:textId="77777777" w:rsidR="00B12164" w:rsidRPr="00B12164" w:rsidRDefault="00B12164" w:rsidP="00B12164">
      <w:pPr>
        <w:widowControl w:val="0"/>
        <w:jc w:val="center"/>
        <w:rPr>
          <w:rFonts w:ascii="Cambria" w:eastAsia="Cambria" w:hAnsi="Cambria" w:cs="Cambria"/>
          <w:b/>
          <w:sz w:val="20"/>
          <w:szCs w:val="20"/>
          <w:u w:val="single"/>
          <w:lang w:eastAsia="en-US"/>
        </w:rPr>
      </w:pPr>
    </w:p>
    <w:p w14:paraId="3C6BAFC3" w14:textId="52EAA179" w:rsidR="00B12164" w:rsidRPr="00B12164" w:rsidRDefault="00B12164" w:rsidP="00B12164">
      <w:pPr>
        <w:widowControl w:val="0"/>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Ratio de índice (IR)</w:t>
      </w:r>
    </w:p>
    <w:p w14:paraId="0A42A861" w14:textId="77777777" w:rsidR="00B12164" w:rsidRPr="00B12164" w:rsidRDefault="00B12164" w:rsidP="00B12164">
      <w:pPr>
        <w:widowControl w:val="0"/>
        <w:rPr>
          <w:rFonts w:ascii="Cambria" w:eastAsia="Cambria" w:hAnsi="Cambria" w:cs="Cambria"/>
          <w:b/>
          <w:bCs/>
          <w:sz w:val="20"/>
          <w:szCs w:val="20"/>
          <w:u w:val="single"/>
          <w:lang w:eastAsia="en-US"/>
        </w:rPr>
      </w:pPr>
    </w:p>
    <w:p w14:paraId="3A42513A"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 xml:space="preserve">El procedimiento de ordenación IR (ratio de índice) es un MP empírico que utiliza un único índice de abundancia relativa estandarizado (para el SKJ-W, el índice combinado) para estructurar su norma de control de capturas. El principio fundamental del IR MP es ajustar el TAC en proporción a los cambios sistemáticos del índice (por ejemplo, los niveles de captura aumentan cuando el índice muestra una tendencia al alza y disminuyen cuando el índice indica un descenso). Esto se implementa comparando el valor medio del índice en un periodo reciente (es decir, los últimos tres años) con un nivel de referencia histórico (es decir, 2018-2020), lo que da como resultado una ratio que refleja la condición relativa del stock. </w:t>
      </w:r>
    </w:p>
    <w:p w14:paraId="1D32FC8F" w14:textId="77777777" w:rsidR="00B12164" w:rsidRPr="00B12164" w:rsidRDefault="00B12164" w:rsidP="00B12164">
      <w:pPr>
        <w:widowControl w:val="0"/>
        <w:jc w:val="both"/>
        <w:rPr>
          <w:rFonts w:ascii="Cambria" w:eastAsia="Cambria" w:hAnsi="Cambria" w:cs="Cambria"/>
          <w:sz w:val="20"/>
          <w:szCs w:val="20"/>
          <w:u w:val="single"/>
          <w:lang w:eastAsia="en-US"/>
        </w:rPr>
      </w:pPr>
    </w:p>
    <w:p w14:paraId="480FAF4C" w14:textId="10A8DD21"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El multiplicador resultante se escala entonces mediante un parámetro de calibración, que se calibró a través del MSE para equilibrar el objetivo de ordenación definido para el stock de listado occidental. En concreto, la calibración tenía como objetivo maximizar el rendimiento a largo plazo, garantizando al mismo tiempo (i) una probabilidad máxima del 10 % de que el stock se sitúe por debajo de B</w:t>
      </w:r>
      <w:r w:rsidRPr="00B12164">
        <w:rPr>
          <w:rFonts w:ascii="Cambria" w:eastAsia="Aptos" w:hAnsi="Cambria"/>
          <w:kern w:val="2"/>
          <w:sz w:val="20"/>
          <w:u w:val="single"/>
          <w:vertAlign w:val="subscript"/>
          <w:lang w:eastAsia="en-US"/>
          <w14:ligatures w14:val="standardContextual"/>
        </w:rPr>
        <w:t xml:space="preserve">LIM </w:t>
      </w:r>
      <w:r w:rsidRPr="00B12164">
        <w:rPr>
          <w:rFonts w:ascii="Cambria" w:eastAsia="Aptos" w:hAnsi="Cambria"/>
          <w:kern w:val="2"/>
          <w:sz w:val="20"/>
          <w:u w:val="single"/>
          <w:lang w:eastAsia="en-US"/>
          <w14:ligatures w14:val="standardContextual"/>
        </w:rPr>
        <w:t>(0.4*SSB</w:t>
      </w:r>
      <w:r w:rsidRPr="00B12164">
        <w:rPr>
          <w:rFonts w:ascii="Cambria" w:eastAsia="Aptos" w:hAnsi="Cambria"/>
          <w:kern w:val="2"/>
          <w:sz w:val="20"/>
          <w:u w:val="single"/>
          <w:vertAlign w:val="subscript"/>
          <w:lang w:eastAsia="en-US"/>
          <w14:ligatures w14:val="standardContextual"/>
        </w:rPr>
        <w:t>RMS</w:t>
      </w:r>
      <w:r w:rsidRPr="00B12164">
        <w:rPr>
          <w:rFonts w:ascii="Cambria" w:eastAsia="Aptos" w:hAnsi="Cambria"/>
          <w:kern w:val="2"/>
          <w:sz w:val="20"/>
          <w:u w:val="single"/>
          <w:lang w:eastAsia="en-US"/>
          <w14:ligatures w14:val="standardContextual"/>
        </w:rPr>
        <w:t>) durante el periodo de proyección de 30 años y (</w:t>
      </w:r>
      <w:proofErr w:type="spellStart"/>
      <w:r w:rsidRPr="00B12164">
        <w:rPr>
          <w:rFonts w:ascii="Cambria" w:eastAsia="Aptos" w:hAnsi="Cambria"/>
          <w:i/>
          <w:kern w:val="2"/>
          <w:sz w:val="20"/>
          <w:u w:val="single"/>
          <w:lang w:eastAsia="en-US"/>
          <w14:ligatures w14:val="standardContextual"/>
        </w:rPr>
        <w:t>ii</w:t>
      </w:r>
      <w:proofErr w:type="spellEnd"/>
      <w:r w:rsidRPr="00B12164">
        <w:rPr>
          <w:rFonts w:ascii="Cambria" w:eastAsia="Aptos" w:hAnsi="Cambria"/>
          <w:kern w:val="2"/>
          <w:sz w:val="20"/>
          <w:u w:val="single"/>
          <w:lang w:eastAsia="en-US"/>
          <w14:ligatures w14:val="standardContextual"/>
        </w:rPr>
        <w:t xml:space="preserve">) </w:t>
      </w:r>
      <w:r w:rsidR="004D6E85" w:rsidRPr="00B81C15">
        <w:rPr>
          <w:rFonts w:ascii="Cambria" w:eastAsia="Aptos" w:hAnsi="Cambria"/>
          <w:kern w:val="2"/>
          <w:sz w:val="20"/>
          <w:u w:val="single"/>
          <w:lang w:eastAsia="en-US"/>
          <w14:ligatures w14:val="standardContextual"/>
        </w:rPr>
        <w:t>que se alcanza</w:t>
      </w:r>
      <w:r w:rsidRPr="00B12164">
        <w:rPr>
          <w:rFonts w:ascii="Cambria" w:eastAsia="Aptos" w:hAnsi="Cambria"/>
          <w:kern w:val="2"/>
          <w:sz w:val="20"/>
          <w:u w:val="single"/>
          <w:lang w:eastAsia="en-US"/>
          <w14:ligatures w14:val="standardContextual"/>
        </w:rPr>
        <w:t xml:space="preserve"> al menos un 60 % de probabilidad de situar al stock en el cuadrante verde de Kobe. (i.e. SSB≥SSB</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y F≤F</w:t>
      </w:r>
      <w:r w:rsidRPr="00B12164">
        <w:rPr>
          <w:rFonts w:ascii="Cambria" w:eastAsia="Aptos" w:hAnsi="Cambria"/>
          <w:kern w:val="2"/>
          <w:sz w:val="20"/>
          <w:u w:val="single"/>
          <w:vertAlign w:val="subscript"/>
          <w:lang w:eastAsia="en-US"/>
          <w14:ligatures w14:val="standardContextual"/>
        </w:rPr>
        <w:t xml:space="preserve">RMS </w:t>
      </w:r>
      <w:r w:rsidRPr="00B12164">
        <w:rPr>
          <w:rFonts w:ascii="Cambria" w:eastAsia="Aptos" w:hAnsi="Cambria"/>
          <w:kern w:val="2"/>
          <w:sz w:val="20"/>
          <w:u w:val="single"/>
          <w:lang w:eastAsia="en-US"/>
          <w14:ligatures w14:val="standardContextual"/>
        </w:rPr>
        <w:t>) a medio plazo (años 4–10). Se aplicaron salvaguardias de estabilidad, incluidos límites máximos para los ajustes del TAC y límites de aumento interanual, con el fin de evitar cambios bruscos en los niveles de captura y respaldar la viabilidad operativa de este MP.</w:t>
      </w:r>
    </w:p>
    <w:p w14:paraId="1CC4DD0A" w14:textId="77777777" w:rsidR="00B12164" w:rsidRPr="00B12164" w:rsidRDefault="00B12164" w:rsidP="00B12164">
      <w:pPr>
        <w:widowControl w:val="0"/>
        <w:jc w:val="both"/>
        <w:rPr>
          <w:rFonts w:ascii="Cambria" w:eastAsia="Cambria" w:hAnsi="Cambria" w:cs="Cambria"/>
          <w:sz w:val="20"/>
          <w:szCs w:val="20"/>
          <w:u w:val="single"/>
          <w:lang w:eastAsia="en-US"/>
        </w:rPr>
      </w:pPr>
    </w:p>
    <w:p w14:paraId="476087B9" w14:textId="77777777" w:rsidR="00B12164" w:rsidRPr="00B12164" w:rsidRDefault="00B12164" w:rsidP="00B12164">
      <w:pPr>
        <w:widowControl w:val="0"/>
        <w:jc w:val="both"/>
        <w:rPr>
          <w:rFonts w:ascii="Cambria" w:eastAsia="Cambria" w:hAnsi="Cambria"/>
          <w:b/>
          <w:bCs/>
          <w:sz w:val="20"/>
          <w:szCs w:val="20"/>
          <w:u w:val="single"/>
          <w:lang w:eastAsia="en-US"/>
        </w:rPr>
      </w:pPr>
      <w:r w:rsidRPr="00B12164">
        <w:rPr>
          <w:rFonts w:ascii="Cambria" w:eastAsia="Aptos" w:hAnsi="Cambria"/>
          <w:b/>
          <w:kern w:val="2"/>
          <w:sz w:val="20"/>
          <w:u w:val="single"/>
          <w:lang w:eastAsia="en-US"/>
          <w14:ligatures w14:val="standardContextual"/>
        </w:rPr>
        <w:t>Índice de abundancia (el índice combinado)</w:t>
      </w:r>
    </w:p>
    <w:p w14:paraId="5D439BCC"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05BCC7EA" w14:textId="29FD9B1A"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El índice combinado integra los índices de abundancia anual proporcionados por Brasil, Estados Unidos de América y Venezuela, que en conjunto representan más del 95 % del total de capturas declaradas de este stock en el océano Atlántico occidental y abarcan el rango latitudinal </w:t>
      </w:r>
      <w:r w:rsidR="005C7284" w:rsidRPr="00B81C15">
        <w:rPr>
          <w:rFonts w:ascii="Cambria" w:eastAsia="Aptos" w:hAnsi="Cambria"/>
          <w:kern w:val="2"/>
          <w:sz w:val="20"/>
          <w:u w:val="single"/>
          <w:lang w:eastAsia="en-US"/>
          <w14:ligatures w14:val="standardContextual"/>
        </w:rPr>
        <w:t>principal</w:t>
      </w:r>
      <w:r w:rsidRPr="00B12164">
        <w:rPr>
          <w:rFonts w:ascii="Cambria" w:eastAsia="Aptos" w:hAnsi="Cambria"/>
          <w:kern w:val="2"/>
          <w:sz w:val="20"/>
          <w:u w:val="single"/>
          <w:lang w:eastAsia="en-US"/>
          <w14:ligatures w14:val="standardContextual"/>
        </w:rPr>
        <w:t xml:space="preserve"> de la </w:t>
      </w:r>
      <w:r w:rsidR="005C7284" w:rsidRPr="00B81C15">
        <w:rPr>
          <w:rFonts w:ascii="Cambria" w:eastAsia="Aptos" w:hAnsi="Cambria"/>
          <w:kern w:val="2"/>
          <w:sz w:val="20"/>
          <w:u w:val="single"/>
          <w:lang w:eastAsia="en-US"/>
          <w14:ligatures w14:val="standardContextual"/>
        </w:rPr>
        <w:t xml:space="preserve">zona de </w:t>
      </w:r>
      <w:r w:rsidRPr="00B12164">
        <w:rPr>
          <w:rFonts w:ascii="Cambria" w:eastAsia="Aptos" w:hAnsi="Cambria"/>
          <w:kern w:val="2"/>
          <w:sz w:val="20"/>
          <w:u w:val="single"/>
          <w:lang w:eastAsia="en-US"/>
          <w14:ligatures w14:val="standardContextual"/>
        </w:rPr>
        <w:t xml:space="preserve">distribución del listado occidental. Para construir el índice combinado, cada índice individual se pondera por la inversa de su varianza estimada, lo que </w:t>
      </w:r>
      <w:r w:rsidR="00EC44CE" w:rsidRPr="00B81C15">
        <w:rPr>
          <w:rFonts w:ascii="Cambria" w:eastAsia="Aptos" w:hAnsi="Cambria"/>
          <w:kern w:val="2"/>
          <w:sz w:val="20"/>
          <w:u w:val="single"/>
          <w:lang w:eastAsia="en-US"/>
          <w14:ligatures w14:val="standardContextual"/>
        </w:rPr>
        <w:t>confiere</w:t>
      </w:r>
      <w:r w:rsidRPr="00B12164">
        <w:rPr>
          <w:rFonts w:ascii="Cambria" w:eastAsia="Aptos" w:hAnsi="Cambria"/>
          <w:kern w:val="2"/>
          <w:sz w:val="20"/>
          <w:u w:val="single"/>
          <w:lang w:eastAsia="en-US"/>
          <w14:ligatures w14:val="standardContextual"/>
        </w:rPr>
        <w:t xml:space="preserve"> mayor influencia a los índices con mayor precisión y reduce la ponderación de aquellos con mayor incertidumbre (</w:t>
      </w:r>
      <w:hyperlink r:id="rId11">
        <w:r w:rsidRPr="00B12164">
          <w:rPr>
            <w:rFonts w:ascii="Cambria" w:eastAsia="Aptos" w:hAnsi="Cambria"/>
            <w:color w:val="0000FF"/>
            <w:kern w:val="2"/>
            <w:sz w:val="20"/>
            <w:u w:val="single"/>
            <w:lang w:eastAsia="en-US"/>
            <w14:ligatures w14:val="standardContextual"/>
          </w:rPr>
          <w:t>SCRS/2024/162</w:t>
        </w:r>
      </w:hyperlink>
      <w:r w:rsidRPr="00B12164">
        <w:rPr>
          <w:rFonts w:ascii="Cambria" w:eastAsia="Aptos" w:hAnsi="Cambria"/>
          <w:kern w:val="2"/>
          <w:sz w:val="20"/>
          <w:u w:val="single"/>
          <w:lang w:eastAsia="en-US"/>
          <w14:ligatures w14:val="standardContextual"/>
        </w:rPr>
        <w:t xml:space="preserve">).  </w:t>
      </w:r>
    </w:p>
    <w:p w14:paraId="364E1794" w14:textId="77777777" w:rsidR="00B12164" w:rsidRPr="00B12164" w:rsidRDefault="00B12164" w:rsidP="00B12164">
      <w:pPr>
        <w:widowControl w:val="0"/>
        <w:jc w:val="both"/>
        <w:rPr>
          <w:rFonts w:ascii="Cambria" w:eastAsia="Cambria" w:hAnsi="Cambria" w:cs="Cambria"/>
          <w:sz w:val="20"/>
          <w:szCs w:val="20"/>
          <w:u w:val="single"/>
          <w:lang w:eastAsia="en-US"/>
        </w:rPr>
      </w:pPr>
    </w:p>
    <w:p w14:paraId="6CEB4BC0" w14:textId="77777777"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Por último, la serie temporal combinada se estandariza de tal modo que su valor medio a lo largo de los años sea igual a 1, lo que garantiza que todas las comparaciones posteriores reflejen los cambios relativos en la disponibilidad del stock. Esta serie estandarizada se denomina 𝐼.</w:t>
      </w:r>
    </w:p>
    <w:p w14:paraId="19C5ED6D" w14:textId="77777777" w:rsidR="00B12164" w:rsidRPr="00B12164" w:rsidRDefault="00B12164" w:rsidP="00B12164">
      <w:pPr>
        <w:widowControl w:val="0"/>
        <w:jc w:val="both"/>
        <w:rPr>
          <w:rFonts w:ascii="Cambria" w:eastAsia="Cambria" w:hAnsi="Cambria" w:cs="Cambria"/>
          <w:sz w:val="20"/>
          <w:szCs w:val="20"/>
          <w:u w:val="single"/>
          <w:lang w:eastAsia="en-US"/>
        </w:rPr>
      </w:pPr>
    </w:p>
    <w:p w14:paraId="59323EFF" w14:textId="77777777" w:rsidR="00B12164" w:rsidRPr="00B12164" w:rsidRDefault="00B12164" w:rsidP="00B12164">
      <w:pPr>
        <w:widowControl w:val="0"/>
        <w:jc w:val="both"/>
        <w:rPr>
          <w:rFonts w:ascii="Cambria" w:eastAsia="Cambria" w:hAnsi="Cambria" w:cs="Cambria"/>
          <w:b/>
          <w:bCs/>
          <w:sz w:val="20"/>
          <w:szCs w:val="20"/>
          <w:u w:val="single"/>
          <w:lang w:eastAsia="en-US"/>
        </w:rPr>
      </w:pPr>
      <w:r w:rsidRPr="00B12164">
        <w:rPr>
          <w:rFonts w:ascii="Cambria" w:eastAsia="Aptos" w:hAnsi="Cambria"/>
          <w:b/>
          <w:kern w:val="2"/>
          <w:sz w:val="20"/>
          <w:u w:val="single"/>
          <w:lang w:eastAsia="en-US"/>
          <w14:ligatures w14:val="standardContextual"/>
        </w:rPr>
        <w:t>Especificaciones del MP</w:t>
      </w:r>
    </w:p>
    <w:p w14:paraId="77A792A7" w14:textId="77777777" w:rsidR="00B12164" w:rsidRPr="00B12164" w:rsidRDefault="00B12164" w:rsidP="00B12164">
      <w:pPr>
        <w:widowControl w:val="0"/>
        <w:jc w:val="both"/>
        <w:rPr>
          <w:rFonts w:ascii="Cambria" w:eastAsia="Cambria" w:hAnsi="Cambria" w:cs="Cambria"/>
          <w:b/>
          <w:bCs/>
          <w:sz w:val="20"/>
          <w:szCs w:val="20"/>
          <w:u w:val="single"/>
          <w:lang w:eastAsia="en-US"/>
        </w:rPr>
      </w:pPr>
    </w:p>
    <w:p w14:paraId="72B1FE96" w14:textId="3542A1D8"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Este MP utiliza un ciclo de ordenación de tres años de duración. Los datos de entrada (es decir, las capturas y el índice combinado) se incluyen con un desfase de un año (es decir, el TAC para 2026 se fija en 2025 con datos hasta 2024</w:t>
      </w:r>
      <w:r w:rsidR="00BB7348" w:rsidRPr="00B81C15">
        <w:rPr>
          <w:rFonts w:ascii="Cambria" w:eastAsia="Aptos" w:hAnsi="Cambria"/>
          <w:kern w:val="2"/>
          <w:sz w:val="20"/>
          <w:u w:val="single"/>
          <w:lang w:eastAsia="en-US"/>
          <w14:ligatures w14:val="standardContextual"/>
        </w:rPr>
        <w:t xml:space="preserve"> inclusive</w:t>
      </w:r>
      <w:r w:rsidRPr="00B12164">
        <w:rPr>
          <w:rFonts w:ascii="Cambria" w:eastAsia="Aptos" w:hAnsi="Cambria"/>
          <w:kern w:val="2"/>
          <w:sz w:val="20"/>
          <w:u w:val="single"/>
          <w:lang w:eastAsia="en-US"/>
          <w14:ligatures w14:val="standardContextual"/>
        </w:rPr>
        <w:t xml:space="preserve">). </w:t>
      </w:r>
    </w:p>
    <w:p w14:paraId="3180AC51" w14:textId="77777777" w:rsidR="00B12164" w:rsidRPr="00B12164" w:rsidRDefault="00B12164" w:rsidP="00B12164">
      <w:pPr>
        <w:widowControl w:val="0"/>
        <w:jc w:val="both"/>
        <w:rPr>
          <w:rFonts w:ascii="Cambria" w:eastAsia="Cambria" w:hAnsi="Cambria" w:cs="Cambria"/>
          <w:sz w:val="20"/>
          <w:szCs w:val="20"/>
          <w:u w:val="single"/>
          <w:lang w:eastAsia="en-US"/>
        </w:rPr>
      </w:pPr>
    </w:p>
    <w:p w14:paraId="305F6197" w14:textId="77777777" w:rsidR="00B12164" w:rsidRPr="00B12164" w:rsidRDefault="00B12164" w:rsidP="00B12164">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total admisible de capturas (TAC) se calculará a partir de la media de las capturas de los últimos tres años y se ponderará mediante el parámetro θ, según las siguientes ecuaciones:</w:t>
      </w:r>
    </w:p>
    <w:p w14:paraId="562FA03E" w14:textId="77777777" w:rsidR="00B12164" w:rsidRPr="00B12164" w:rsidRDefault="00B12164" w:rsidP="00B12164">
      <w:pPr>
        <w:widowControl w:val="0"/>
        <w:jc w:val="both"/>
        <w:rPr>
          <w:rFonts w:ascii="Cambria" w:eastAsia="Cambria" w:hAnsi="Cambria" w:cs="Cambria"/>
          <w:sz w:val="20"/>
          <w:szCs w:val="20"/>
          <w:u w:val="single"/>
          <w:lang w:eastAsia="en-US"/>
        </w:rPr>
      </w:pPr>
    </w:p>
    <w:p w14:paraId="7C2341D0" w14:textId="77777777" w:rsidR="00B12164" w:rsidRPr="00B12164" w:rsidRDefault="00B12164" w:rsidP="00B12164">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6FA0B9DA" w14:textId="77777777" w:rsidR="00B12164" w:rsidRPr="00B12164" w:rsidRDefault="00B12164" w:rsidP="00B12164">
      <w:pPr>
        <w:widowControl w:val="0"/>
        <w:jc w:val="both"/>
        <w:rPr>
          <w:rFonts w:ascii="Cambria" w:eastAsia="Cambria" w:hAnsi="Cambria"/>
          <w:sz w:val="20"/>
          <w:szCs w:val="20"/>
          <w:lang w:eastAsia="en-US"/>
        </w:rPr>
      </w:pPr>
    </w:p>
    <w:p w14:paraId="0406D29D" w14:textId="7B7EB650" w:rsidR="00B12164" w:rsidRPr="00B12164" w:rsidRDefault="00B12164" w:rsidP="00B12164">
      <w:pPr>
        <w:widowControl w:val="0"/>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 xml:space="preserve">donde θ es el factor de ajuste regulatorio, calculado como la </w:t>
      </w:r>
      <w:r w:rsidR="006759CF" w:rsidRPr="00B81C15">
        <w:rPr>
          <w:rFonts w:ascii="Cambria" w:eastAsia="Aptos" w:hAnsi="Cambria"/>
          <w:kern w:val="2"/>
          <w:sz w:val="20"/>
          <w:u w:val="single"/>
          <w:lang w:eastAsia="en-US"/>
          <w14:ligatures w14:val="standardContextual"/>
        </w:rPr>
        <w:t>ratio</w:t>
      </w:r>
      <w:r w:rsidRPr="00B12164">
        <w:rPr>
          <w:rFonts w:ascii="Cambria" w:eastAsia="Aptos" w:hAnsi="Cambria"/>
          <w:kern w:val="2"/>
          <w:sz w:val="20"/>
          <w:u w:val="single"/>
          <w:lang w:eastAsia="en-US"/>
          <w14:ligatures w14:val="standardContextual"/>
        </w:rPr>
        <w:t xml:space="preserve"> entre el promedio </w:t>
      </w:r>
      <w:r w:rsidR="009C29BC" w:rsidRPr="00B81C15">
        <w:rPr>
          <w:rFonts w:ascii="Cambria" w:eastAsia="Aptos" w:hAnsi="Cambria"/>
          <w:kern w:val="2"/>
          <w:sz w:val="20"/>
          <w:u w:val="single"/>
          <w:lang w:eastAsia="en-US"/>
          <w14:ligatures w14:val="standardContextual"/>
        </w:rPr>
        <w:t xml:space="preserve">reciente </w:t>
      </w:r>
      <w:r w:rsidRPr="00B12164">
        <w:rPr>
          <w:rFonts w:ascii="Cambria" w:eastAsia="Aptos" w:hAnsi="Cambria"/>
          <w:kern w:val="2"/>
          <w:sz w:val="20"/>
          <w:u w:val="single"/>
          <w:lang w:eastAsia="en-US"/>
          <w14:ligatures w14:val="standardContextual"/>
        </w:rPr>
        <w:t>de tres años del índice combinado (𝐼</w:t>
      </w:r>
      <w:proofErr w:type="spellStart"/>
      <w:r w:rsidRPr="00B12164">
        <w:rPr>
          <w:rFonts w:ascii="Cambria" w:eastAsia="Aptos" w:hAnsi="Cambria"/>
          <w:kern w:val="2"/>
          <w:sz w:val="20"/>
          <w:u w:val="single"/>
          <w:lang w:eastAsia="en-US"/>
          <w14:ligatures w14:val="standardContextual"/>
        </w:rPr>
        <w:t>curr</w:t>
      </w:r>
      <w:proofErr w:type="spellEnd"/>
      <w:r w:rsidRPr="00B12164">
        <w:rPr>
          <w:rFonts w:ascii="Cambria" w:eastAsia="Aptos" w:hAnsi="Cambria"/>
          <w:kern w:val="2"/>
          <w:sz w:val="20"/>
          <w:u w:val="single"/>
          <w:lang w:eastAsia="en-US"/>
          <w14:ligatures w14:val="standardContextual"/>
        </w:rPr>
        <w:t>) y un promedio histórico de referencia de tres años (</w:t>
      </w:r>
      <w:proofErr w:type="spellStart"/>
      <w:r w:rsidRPr="00B12164">
        <w:rPr>
          <w:rFonts w:ascii="Cambria" w:eastAsia="Aptos" w:hAnsi="Cambria"/>
          <w:i/>
          <w:iCs/>
          <w:kern w:val="2"/>
          <w:sz w:val="20"/>
          <w:u w:val="single"/>
          <w:lang w:eastAsia="en-US"/>
          <w14:ligatures w14:val="standardContextual"/>
        </w:rPr>
        <w:t>I</w:t>
      </w:r>
      <w:r w:rsidRPr="00B12164">
        <w:rPr>
          <w:rFonts w:ascii="Cambria" w:eastAsia="Aptos" w:hAnsi="Cambria"/>
          <w:kern w:val="2"/>
          <w:sz w:val="20"/>
          <w:u w:val="single"/>
          <w:lang w:eastAsia="en-US"/>
          <w14:ligatures w14:val="standardContextual"/>
        </w:rPr>
        <w:t>hist</w:t>
      </w:r>
      <w:proofErr w:type="spellEnd"/>
      <w:r w:rsidRPr="00B12164">
        <w:rPr>
          <w:rFonts w:ascii="Cambria" w:eastAsia="Aptos" w:hAnsi="Cambria"/>
          <w:kern w:val="2"/>
          <w:sz w:val="20"/>
          <w:u w:val="single"/>
          <w:lang w:eastAsia="en-US"/>
          <w14:ligatures w14:val="standardContextual"/>
        </w:rPr>
        <w:t xml:space="preserve">) del índice combinado, multiplicado por un parámetro de </w:t>
      </w:r>
      <w:r w:rsidR="00E90860"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(λ). El parámetro de </w:t>
      </w:r>
      <w:r w:rsidRPr="00B81C15">
        <w:rPr>
          <w:rFonts w:ascii="Cambria" w:eastAsia="Aptos" w:hAnsi="Cambria"/>
          <w:kern w:val="2"/>
          <w:sz w:val="20"/>
          <w:u w:val="single"/>
          <w:lang w:eastAsia="en-US"/>
          <w14:ligatures w14:val="standardContextual"/>
        </w:rPr>
        <w:t>calibración</w:t>
      </w:r>
      <w:r w:rsidRPr="00B12164">
        <w:rPr>
          <w:rFonts w:ascii="Cambria" w:eastAsia="Aptos" w:hAnsi="Cambria"/>
          <w:kern w:val="2"/>
          <w:sz w:val="20"/>
          <w:u w:val="single"/>
          <w:lang w:eastAsia="en-US"/>
          <w14:ligatures w14:val="standardContextual"/>
        </w:rPr>
        <w:t xml:space="preserve"> para IR MP </w:t>
      </w:r>
      <w:proofErr w:type="spellStart"/>
      <w:r w:rsidRPr="00B12164">
        <w:rPr>
          <w:rFonts w:ascii="Cambria" w:eastAsia="Aptos" w:hAnsi="Cambria"/>
          <w:kern w:val="2"/>
          <w:sz w:val="20"/>
          <w:u w:val="single"/>
          <w:lang w:eastAsia="en-US"/>
          <w14:ligatures w14:val="standardContextual"/>
        </w:rPr>
        <w:t>is</w:t>
      </w:r>
      <w:r w:rsidRPr="00B12164">
        <w:rPr>
          <w:rFonts w:ascii="Cambria" w:eastAsia="Aptos" w:hAnsi="Cambria"/>
          <w:i/>
          <w:kern w:val="2"/>
          <w:sz w:val="20"/>
          <w:u w:val="single"/>
          <w:lang w:eastAsia="en-US"/>
          <w14:ligatures w14:val="standardContextual"/>
        </w:rPr>
        <w:t>λ</w:t>
      </w:r>
      <w:proofErr w:type="spellEnd"/>
      <w:r w:rsidRPr="00B12164">
        <w:rPr>
          <w:rFonts w:ascii="Cambria" w:eastAsia="Aptos" w:hAnsi="Cambria"/>
          <w:i/>
          <w:kern w:val="2"/>
          <w:sz w:val="20"/>
          <w:u w:val="single"/>
          <w:lang w:eastAsia="en-US"/>
          <w14:ligatures w14:val="standardContextual"/>
        </w:rPr>
        <w:t xml:space="preserve">= </w:t>
      </w:r>
      <w:r w:rsidRPr="00B12164">
        <w:rPr>
          <w:rFonts w:ascii="Cambria" w:eastAsia="Aptos" w:hAnsi="Cambria"/>
          <w:kern w:val="2"/>
          <w:sz w:val="20"/>
          <w:u w:val="single"/>
          <w:lang w:eastAsia="en-US"/>
          <w14:ligatures w14:val="standardContextual"/>
        </w:rPr>
        <w:t>1</w:t>
      </w:r>
      <w:r w:rsidR="00E90860" w:rsidRPr="00B81C15">
        <w:rPr>
          <w:rFonts w:ascii="Cambria" w:eastAsia="Aptos" w:hAnsi="Cambria"/>
          <w:kern w:val="2"/>
          <w:sz w:val="20"/>
          <w:u w:val="single"/>
          <w:lang w:eastAsia="en-US"/>
          <w14:ligatures w14:val="standardContextual"/>
        </w:rPr>
        <w:t>,</w:t>
      </w:r>
      <w:r w:rsidRPr="00B12164">
        <w:rPr>
          <w:rFonts w:ascii="Cambria" w:eastAsia="Aptos" w:hAnsi="Cambria"/>
          <w:kern w:val="2"/>
          <w:sz w:val="20"/>
          <w:u w:val="single"/>
          <w:lang w:eastAsia="en-US"/>
          <w14:ligatures w14:val="standardContextual"/>
        </w:rPr>
        <w:t>0341645. Por lo tanto, estas cantidades pueden estimarse de la siguiente manera:</w:t>
      </w:r>
    </w:p>
    <w:p w14:paraId="14CA929A" w14:textId="77777777" w:rsidR="00B12164" w:rsidRPr="00B12164" w:rsidRDefault="00B12164" w:rsidP="00B12164">
      <w:pPr>
        <w:widowControl w:val="0"/>
        <w:jc w:val="both"/>
        <w:rPr>
          <w:rFonts w:ascii="Cambria" w:eastAsia="Cambria" w:hAnsi="Cambria" w:cs="Cambria"/>
          <w:sz w:val="20"/>
          <w:szCs w:val="20"/>
          <w:lang w:eastAsia="en-US"/>
        </w:rPr>
      </w:pPr>
    </w:p>
    <w:p w14:paraId="3A66CEF3" w14:textId="2AA335F9" w:rsidR="00B12164" w:rsidRPr="00B12164" w:rsidRDefault="006C060A" w:rsidP="00B12164">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B12164" w:rsidRPr="00B12164">
        <w:rPr>
          <w:rFonts w:ascii="Cambria" w:eastAsia="Aptos" w:hAnsi="Cambria"/>
          <w:kern w:val="2"/>
          <w:sz w:val="20"/>
          <w:lang w:eastAsia="en-US"/>
          <w14:ligatures w14:val="standardContextual"/>
        </w:rPr>
        <w:t xml:space="preserve"> , </w:t>
      </w:r>
      <w:r w:rsidR="00B12164" w:rsidRPr="00B12164">
        <w:rPr>
          <w:rFonts w:ascii="Cambria" w:eastAsia="Aptos" w:hAnsi="Cambria"/>
          <w:kern w:val="2"/>
          <w:sz w:val="20"/>
          <w:u w:val="single"/>
          <w:lang w:eastAsia="en-US"/>
          <w14:ligatures w14:val="standardContextual"/>
        </w:rPr>
        <w:t>donde</w:t>
      </w:r>
      <w:r w:rsidR="00B12164" w:rsidRPr="00B12164">
        <w:rPr>
          <w:rFonts w:ascii="Cambria" w:eastAsia="Aptos" w:hAnsi="Cambria"/>
          <w:i/>
          <w:iCs/>
          <w:kern w:val="2"/>
          <w:sz w:val="20"/>
          <w:u w:val="single"/>
          <w:lang w:eastAsia="en-US"/>
          <w14:ligatures w14:val="standardContextual"/>
        </w:rPr>
        <w:t xml:space="preserve"> h</w:t>
      </w:r>
      <w:r w:rsidR="00B12164" w:rsidRPr="00B12164">
        <w:rPr>
          <w:rFonts w:ascii="Cambria" w:eastAsia="Aptos" w:hAnsi="Cambria"/>
          <w:kern w:val="2"/>
          <w:sz w:val="20"/>
          <w:u w:val="single"/>
          <w:lang w:eastAsia="en-US"/>
          <w14:ligatures w14:val="standardContextual"/>
        </w:rPr>
        <w:t xml:space="preserve"> pertenece a la ventana temporal de años históricos (Y);</w:t>
      </w:r>
    </w:p>
    <w:p w14:paraId="3DAC1047" w14:textId="3CF1B191" w:rsidR="00B12164" w:rsidRPr="00B12164" w:rsidRDefault="006C060A" w:rsidP="004B763F">
      <w:pPr>
        <w:widowControl w:val="0"/>
        <w:numPr>
          <w:ilvl w:val="0"/>
          <w:numId w:val="11"/>
        </w:numPr>
        <w:tabs>
          <w:tab w:val="num" w:pos="851"/>
        </w:tabs>
        <w:suppressAutoHyphens w:val="0"/>
        <w:spacing w:after="160" w:line="278" w:lineRule="auto"/>
        <w:ind w:left="851" w:hanging="425"/>
        <w:jc w:val="both"/>
        <w:rPr>
          <w:rFonts w:ascii="Cambria" w:eastAsia="Cambria" w:hAnsi="Cambria" w:cs="Cambria"/>
          <w:sz w:val="20"/>
          <w:szCs w:val="20"/>
          <w:lang w:eastAsia="en-US"/>
        </w:rPr>
      </w:pPr>
      <m:oMath>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r>
          <w:rPr>
            <w:rFonts w:ascii="Cambria Math" w:eastAsia="Cambria" w:hAnsi="Cambria Math" w:cs="Cambria"/>
            <w:sz w:val="20"/>
            <w:szCs w:val="20"/>
            <w:lang w:eastAsia="en-US"/>
          </w:rPr>
          <m:t>=</m:t>
        </m:r>
        <m:f>
          <m:fPr>
            <m:ctrlPr>
              <w:rPr>
                <w:rFonts w:ascii="Cambria Math" w:eastAsia="Cambria" w:hAnsi="Cambria Math" w:cs="Cambria"/>
                <w:sz w:val="20"/>
                <w:szCs w:val="20"/>
                <w:lang w:eastAsia="en-US"/>
              </w:rPr>
            </m:ctrlPr>
          </m:fPr>
          <m:num>
            <m:r>
              <w:rPr>
                <w:rFonts w:ascii="Cambria Math" w:eastAsia="Cambria" w:hAnsi="Cambria Math" w:cs="Cambria"/>
                <w:sz w:val="20"/>
                <w:szCs w:val="20"/>
                <w:lang w:eastAsia="en-US"/>
              </w:rPr>
              <m:t>1</m:t>
            </m:r>
          </m:num>
          <m:den>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c</m:t>
                </m:r>
              </m:sub>
            </m:sSub>
          </m:den>
        </m:f>
        <m:nary>
          <m:naryPr>
            <m:chr m:val="∑"/>
            <m:ctrlPr>
              <w:rPr>
                <w:rFonts w:ascii="Cambria Math" w:eastAsia="Cambria" w:hAnsi="Cambria Math" w:cs="Cambria"/>
                <w:sz w:val="20"/>
                <w:szCs w:val="20"/>
                <w:lang w:eastAsia="en-US"/>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m:t>
                </m:r>
              </m:sub>
            </m:sSub>
          </m:e>
        </m:nary>
      </m:oMath>
      <w:r w:rsidR="00B12164" w:rsidRPr="00B12164">
        <w:rPr>
          <w:rFonts w:ascii="Cambria" w:eastAsia="Aptos" w:hAnsi="Cambria"/>
          <w:kern w:val="2"/>
          <w:sz w:val="20"/>
          <w:lang w:eastAsia="en-US"/>
          <w14:ligatures w14:val="standardContextual"/>
        </w:rPr>
        <w:t xml:space="preserve">  , </w:t>
      </w:r>
      <w:r w:rsidR="00B12164" w:rsidRPr="00B12164">
        <w:rPr>
          <w:rFonts w:ascii="Cambria" w:eastAsia="Aptos" w:hAnsi="Cambria"/>
          <w:kern w:val="2"/>
          <w:sz w:val="20"/>
          <w:u w:val="single"/>
          <w:lang w:eastAsia="en-US"/>
          <w14:ligatures w14:val="standardContextual"/>
        </w:rPr>
        <w:t xml:space="preserve">donde </w:t>
      </w:r>
      <w:r w:rsidR="00B12164" w:rsidRPr="00B12164">
        <w:rPr>
          <w:rFonts w:ascii="Cambria" w:eastAsia="Aptos" w:hAnsi="Cambria"/>
          <w:i/>
          <w:iCs/>
          <w:kern w:val="2"/>
          <w:sz w:val="20"/>
          <w:u w:val="single"/>
          <w:lang w:eastAsia="en-US"/>
          <w14:ligatures w14:val="standardContextual"/>
        </w:rPr>
        <w:t xml:space="preserve">c </w:t>
      </w:r>
      <w:r w:rsidR="00B12164" w:rsidRPr="00B12164">
        <w:rPr>
          <w:rFonts w:ascii="Cambria" w:eastAsia="Aptos" w:hAnsi="Cambria"/>
          <w:kern w:val="2"/>
          <w:sz w:val="20"/>
          <w:u w:val="single"/>
          <w:lang w:eastAsia="en-US"/>
          <w14:ligatures w14:val="standardContextual"/>
        </w:rPr>
        <w:t xml:space="preserve">pertenece a la ventana temporal de los años </w:t>
      </w:r>
      <w:r w:rsidR="004B763F" w:rsidRPr="00B81C15">
        <w:rPr>
          <w:rFonts w:ascii="Cambria" w:eastAsia="Aptos" w:hAnsi="Cambria"/>
          <w:kern w:val="2"/>
          <w:sz w:val="20"/>
          <w:u w:val="single"/>
          <w:lang w:eastAsia="en-US"/>
          <w14:ligatures w14:val="standardContextual"/>
        </w:rPr>
        <w:t>en curso</w:t>
      </w:r>
      <w:r w:rsidR="00B12164" w:rsidRPr="00B12164">
        <w:rPr>
          <w:rFonts w:ascii="Cambria" w:eastAsia="Aptos" w:hAnsi="Cambria"/>
          <w:kern w:val="2"/>
          <w:sz w:val="20"/>
          <w:u w:val="single"/>
          <w:lang w:eastAsia="en-US"/>
          <w14:ligatures w14:val="standardContextual"/>
        </w:rPr>
        <w:t xml:space="preserve"> (Y).</w:t>
      </w:r>
    </w:p>
    <w:p w14:paraId="0CF95C06" w14:textId="77777777" w:rsidR="00B12164" w:rsidRPr="00B12164" w:rsidRDefault="00B12164" w:rsidP="00113A42">
      <w:pPr>
        <w:widowControl w:val="0"/>
        <w:jc w:val="both"/>
        <w:rPr>
          <w:rFonts w:ascii="Cambria" w:eastAsia="Cambria" w:hAnsi="Cambria" w:cs="Cambria"/>
          <w:sz w:val="20"/>
          <w:szCs w:val="20"/>
          <w:lang w:eastAsia="en-US"/>
        </w:rPr>
      </w:pPr>
    </w:p>
    <w:p w14:paraId="554BF8B1" w14:textId="77777777" w:rsidR="00B12164" w:rsidRPr="00B81C15" w:rsidRDefault="00B12164" w:rsidP="00113A42">
      <w:pPr>
        <w:widowControl w:val="0"/>
        <w:jc w:val="both"/>
        <w:rPr>
          <w:rFonts w:ascii="Cambria" w:eastAsia="Aptos" w:hAnsi="Cambria"/>
          <w:kern w:val="2"/>
          <w:sz w:val="20"/>
          <w:u w:val="single"/>
          <w:lang w:eastAsia="en-US"/>
          <w14:ligatures w14:val="standardContextual"/>
        </w:rPr>
      </w:pPr>
      <w:r w:rsidRPr="00B12164">
        <w:rPr>
          <w:rFonts w:ascii="Cambria" w:eastAsia="Aptos" w:hAnsi="Cambria"/>
          <w:kern w:val="2"/>
          <w:sz w:val="20"/>
          <w:u w:val="single"/>
          <w:lang w:eastAsia="en-US"/>
          <w14:ligatures w14:val="standardContextual"/>
        </w:rPr>
        <w:t>Y, posteriormente, el factor de ajuste reglamentario puede estimarse como:</w:t>
      </w:r>
    </w:p>
    <w:p w14:paraId="17573DEC" w14:textId="77777777" w:rsidR="000E5023" w:rsidRPr="00B12164" w:rsidRDefault="000E5023" w:rsidP="00113A42">
      <w:pPr>
        <w:widowControl w:val="0"/>
        <w:jc w:val="both"/>
        <w:rPr>
          <w:rFonts w:ascii="Cambria" w:eastAsia="Cambria" w:hAnsi="Cambria" w:cs="Cambria"/>
          <w:sz w:val="20"/>
          <w:szCs w:val="20"/>
          <w:lang w:eastAsia="en-US"/>
        </w:rPr>
      </w:pPr>
    </w:p>
    <w:p w14:paraId="5E908613" w14:textId="77777777" w:rsidR="00B12164" w:rsidRPr="00B12164" w:rsidRDefault="00B12164" w:rsidP="00113A42">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sz w:val="20"/>
                  <w:szCs w:val="20"/>
                  <w:lang w:eastAsia="en-US"/>
                </w:rPr>
              </m:ctrlPr>
            </m:dPr>
            <m:e>
              <m:f>
                <m:fPr>
                  <m:ctrlPr>
                    <w:rPr>
                      <w:rFonts w:ascii="Cambria Math" w:eastAsia="Cambria" w:hAnsi="Cambria Math" w:cs="Cambria"/>
                      <w:sz w:val="20"/>
                      <w:szCs w:val="20"/>
                      <w:lang w:eastAsia="en-US"/>
                    </w:rPr>
                  </m:ctrlPr>
                </m:fPr>
                <m:num>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sz w:val="20"/>
                          <w:szCs w:val="20"/>
                          <w:lang w:eastAsia="en-US"/>
                        </w:rPr>
                      </m:ctrlPr>
                    </m:accPr>
                    <m:e>
                      <m:sSub>
                        <m:sSubPr>
                          <m:ctrlPr>
                            <w:rPr>
                              <w:rFonts w:ascii="Cambria Math" w:eastAsia="Cambria" w:hAnsi="Cambria Math" w:cs="Cambria"/>
                              <w:sz w:val="20"/>
                              <w:szCs w:val="20"/>
                              <w:lang w:eastAsia="en-US"/>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97476B1" w14:textId="77777777" w:rsidR="00B12164" w:rsidRPr="00B12164" w:rsidRDefault="00B12164" w:rsidP="000E5023">
      <w:pPr>
        <w:widowControl w:val="0"/>
        <w:jc w:val="both"/>
        <w:rPr>
          <w:rFonts w:ascii="Cambria" w:eastAsia="Cambria" w:hAnsi="Cambria" w:cs="Cambria"/>
          <w:sz w:val="20"/>
          <w:szCs w:val="20"/>
          <w:lang w:eastAsia="en-US"/>
        </w:rPr>
      </w:pPr>
    </w:p>
    <w:p w14:paraId="33FA64CE" w14:textId="2EBB4523" w:rsidR="00B12164" w:rsidRPr="00B12164" w:rsidRDefault="00B12164" w:rsidP="000E5023">
      <w:pPr>
        <w:widowControl w:val="0"/>
        <w:jc w:val="both"/>
        <w:rPr>
          <w:rFonts w:ascii="Cambria" w:eastAsia="Cambria" w:hAnsi="Cambria"/>
          <w:sz w:val="20"/>
          <w:szCs w:val="20"/>
          <w:u w:val="single"/>
          <w:lang w:eastAsia="en-US"/>
        </w:rPr>
      </w:pPr>
      <w:r w:rsidRPr="00B12164">
        <w:rPr>
          <w:rFonts w:ascii="Cambria" w:eastAsia="Aptos" w:hAnsi="Cambria"/>
          <w:kern w:val="2"/>
          <w:sz w:val="20"/>
          <w:u w:val="single"/>
          <w:lang w:eastAsia="en-US"/>
          <w14:ligatures w14:val="standardContextual"/>
        </w:rPr>
        <w:t>El TAC basado en</w:t>
      </w:r>
      <w:r w:rsidR="00B81C15">
        <w:rPr>
          <w:rFonts w:ascii="Cambria" w:eastAsia="Aptos" w:hAnsi="Cambria"/>
          <w:kern w:val="2"/>
          <w:sz w:val="20"/>
          <w:u w:val="single"/>
          <w:lang w:eastAsia="en-US"/>
          <w14:ligatures w14:val="standardContextual"/>
        </w:rPr>
        <w:t xml:space="preserve"> el</w:t>
      </w:r>
      <w:r w:rsidRPr="00B12164">
        <w:rPr>
          <w:rFonts w:ascii="Cambria" w:eastAsia="Aptos" w:hAnsi="Cambria"/>
          <w:kern w:val="2"/>
          <w:sz w:val="20"/>
          <w:u w:val="single"/>
          <w:lang w:eastAsia="en-US"/>
          <w14:ligatures w14:val="standardContextual"/>
        </w:rPr>
        <w:t xml:space="preserve"> MP está sujeto a las siguientes restricciones adicionales:</w:t>
      </w:r>
    </w:p>
    <w:p w14:paraId="27F9FA05" w14:textId="77777777" w:rsidR="00B12164" w:rsidRPr="00B12164" w:rsidRDefault="00B12164" w:rsidP="000E5023">
      <w:pPr>
        <w:widowControl w:val="0"/>
        <w:jc w:val="both"/>
        <w:rPr>
          <w:rFonts w:ascii="Cambria" w:eastAsia="Cambria" w:hAnsi="Cambria" w:cs="Cambria"/>
          <w:sz w:val="20"/>
          <w:szCs w:val="20"/>
          <w:lang w:eastAsia="en-US"/>
        </w:rPr>
      </w:pPr>
    </w:p>
    <w:p w14:paraId="3BF95AB9" w14:textId="77777777" w:rsidR="00B12164" w:rsidRPr="00B12164" w:rsidRDefault="00B12164" w:rsidP="000E5023">
      <w:pPr>
        <w:widowControl w:val="0"/>
        <w:numPr>
          <w:ilvl w:val="0"/>
          <w:numId w:val="10"/>
        </w:numPr>
        <w:suppressAutoHyphens w:val="0"/>
        <w:spacing w:after="160"/>
        <w:ind w:left="851" w:hanging="446"/>
        <w:jc w:val="both"/>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TAC máximo de 45 000 t; y</w:t>
      </w:r>
    </w:p>
    <w:p w14:paraId="681A3AEE" w14:textId="77777777" w:rsidR="00B12164" w:rsidRPr="00B12164" w:rsidRDefault="00B12164" w:rsidP="000E5023">
      <w:pPr>
        <w:widowControl w:val="0"/>
        <w:ind w:left="765"/>
        <w:jc w:val="both"/>
        <w:rPr>
          <w:rFonts w:ascii="Cambria" w:eastAsia="Cambria" w:hAnsi="Cambria" w:cs="Cambria"/>
          <w:sz w:val="20"/>
          <w:szCs w:val="20"/>
          <w:u w:val="single"/>
          <w:lang w:eastAsia="en-US"/>
        </w:rPr>
      </w:pPr>
    </w:p>
    <w:p w14:paraId="5153A07D" w14:textId="77777777" w:rsidR="00B12164" w:rsidRPr="00B12164" w:rsidRDefault="00B12164" w:rsidP="00923245">
      <w:pPr>
        <w:widowControl w:val="0"/>
        <w:numPr>
          <w:ilvl w:val="0"/>
          <w:numId w:val="10"/>
        </w:numPr>
        <w:suppressAutoHyphens w:val="0"/>
        <w:spacing w:after="160"/>
        <w:ind w:left="851" w:hanging="446"/>
        <w:rPr>
          <w:rFonts w:ascii="Cambria" w:eastAsia="Cambria" w:hAnsi="Cambria" w:cs="Cambria"/>
          <w:sz w:val="20"/>
          <w:szCs w:val="20"/>
          <w:u w:val="single"/>
          <w:lang w:eastAsia="en-US"/>
        </w:rPr>
      </w:pPr>
      <w:r w:rsidRPr="00B12164">
        <w:rPr>
          <w:rFonts w:ascii="Cambria" w:eastAsia="Aptos" w:hAnsi="Cambria"/>
          <w:kern w:val="2"/>
          <w:sz w:val="20"/>
          <w:u w:val="single"/>
          <w:lang w:eastAsia="en-US"/>
          <w14:ligatures w14:val="standardContextual"/>
        </w:rPr>
        <w:t>Un límite del 25 % tanto para los aumentos como para las reducciones del TAC de un ciclo de ordenación a otro.</w:t>
      </w:r>
    </w:p>
    <w:p w14:paraId="1040C80F" w14:textId="77777777" w:rsidR="00B12164" w:rsidRPr="00B12164" w:rsidRDefault="00B12164" w:rsidP="000E5023">
      <w:pPr>
        <w:suppressAutoHyphens w:val="0"/>
        <w:spacing w:after="160"/>
        <w:rPr>
          <w:rFonts w:ascii="Cambria" w:eastAsia="Cambria" w:hAnsi="Cambria" w:cs="Cambria"/>
          <w:b/>
          <w:bCs/>
          <w:sz w:val="20"/>
          <w:szCs w:val="20"/>
          <w:u w:val="single"/>
          <w:lang w:eastAsia="en-US"/>
        </w:rPr>
      </w:pPr>
    </w:p>
    <w:p w14:paraId="165E1EF1" w14:textId="77777777" w:rsidR="00BC03F2" w:rsidRPr="00D1392F" w:rsidRDefault="00BC03F2">
      <w:pPr>
        <w:pStyle w:val="Heading1"/>
        <w:ind w:right="68"/>
        <w:jc w:val="right"/>
        <w:rPr>
          <w:rFonts w:asciiTheme="majorHAnsi" w:hAnsiTheme="majorHAnsi"/>
        </w:rPr>
      </w:pPr>
    </w:p>
    <w:p w14:paraId="7AF7A585" w14:textId="6AD3C29D" w:rsidR="00113A42" w:rsidRPr="00D1392F" w:rsidRDefault="00113A42">
      <w:pPr>
        <w:rPr>
          <w:rFonts w:asciiTheme="majorHAnsi" w:eastAsia="Cambria" w:hAnsiTheme="majorHAnsi" w:cs="Cambria"/>
          <w:b/>
          <w:bCs/>
          <w:sz w:val="20"/>
          <w:szCs w:val="20"/>
          <w:lang w:eastAsia="en-US"/>
        </w:rPr>
      </w:pPr>
      <w:r w:rsidRPr="00D1392F">
        <w:rPr>
          <w:rFonts w:asciiTheme="majorHAnsi" w:hAnsiTheme="majorHAnsi"/>
        </w:rPr>
        <w:br w:type="page"/>
      </w:r>
    </w:p>
    <w:p w14:paraId="58DDEEBB" w14:textId="2CF289BE" w:rsidR="00BC03F2" w:rsidRPr="00B81C15" w:rsidRDefault="00113A42">
      <w:pPr>
        <w:pStyle w:val="Heading1"/>
        <w:ind w:right="68"/>
        <w:jc w:val="right"/>
        <w:rPr>
          <w:rFonts w:asciiTheme="majorHAnsi" w:hAnsiTheme="majorHAnsi"/>
          <w:u w:val="single"/>
        </w:rPr>
      </w:pPr>
      <w:r w:rsidRPr="00D1392F">
        <w:rPr>
          <w:rFonts w:asciiTheme="majorHAnsi" w:hAnsiTheme="majorHAnsi"/>
        </w:rPr>
        <w:lastRenderedPageBreak/>
        <w:t xml:space="preserve">Anexo </w:t>
      </w:r>
      <w:r w:rsidRPr="00B81C15">
        <w:rPr>
          <w:rFonts w:asciiTheme="majorHAnsi" w:hAnsiTheme="majorHAnsi"/>
          <w:u w:val="single"/>
        </w:rPr>
        <w:t>2</w:t>
      </w:r>
    </w:p>
    <w:p w14:paraId="0995DD46" w14:textId="5B4A36E9" w:rsidR="00BC03F2" w:rsidRPr="00D1392F" w:rsidRDefault="009A5C6B">
      <w:pPr>
        <w:pStyle w:val="Heading1"/>
        <w:ind w:right="68"/>
        <w:jc w:val="center"/>
        <w:rPr>
          <w:rFonts w:asciiTheme="majorHAnsi" w:hAnsiTheme="majorHAnsi"/>
        </w:rPr>
      </w:pPr>
      <w:r w:rsidRPr="00D1392F">
        <w:rPr>
          <w:rFonts w:asciiTheme="majorHAnsi" w:hAnsiTheme="majorHAnsi"/>
        </w:rPr>
        <w:t>Tabla de objetivos de ordenación operativos y de indicadores de desempeño</w:t>
      </w:r>
    </w:p>
    <w:p w14:paraId="555686F1" w14:textId="77777777" w:rsidR="00BC03F2" w:rsidRPr="00D1392F" w:rsidRDefault="00BC03F2">
      <w:pPr>
        <w:pStyle w:val="Heading1"/>
        <w:ind w:right="68"/>
        <w:jc w:val="center"/>
        <w:rPr>
          <w:rFonts w:asciiTheme="majorHAnsi" w:hAnsiTheme="majorHAnsi"/>
        </w:rPr>
      </w:pPr>
    </w:p>
    <w:tbl>
      <w:tblPr>
        <w:tblW w:w="8784" w:type="dxa"/>
        <w:jc w:val="center"/>
        <w:tblLayout w:type="fixed"/>
        <w:tblLook w:val="0400" w:firstRow="0" w:lastRow="0" w:firstColumn="0" w:lastColumn="0" w:noHBand="0" w:noVBand="1"/>
      </w:tblPr>
      <w:tblGrid>
        <w:gridCol w:w="3265"/>
        <w:gridCol w:w="5519"/>
      </w:tblGrid>
      <w:tr w:rsidR="00BC03F2" w:rsidRPr="00D1392F" w14:paraId="2831607D"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Objetivos de ordenación</w:t>
            </w:r>
          </w:p>
        </w:tc>
        <w:tc>
          <w:tcPr>
            <w:tcW w:w="551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D1392F" w:rsidRDefault="009A5C6B">
            <w:pPr>
              <w:widowControl w:val="0"/>
              <w:ind w:right="68"/>
              <w:jc w:val="center"/>
              <w:rPr>
                <w:rFonts w:asciiTheme="majorHAnsi" w:hAnsiTheme="majorHAnsi"/>
                <w:b/>
                <w:sz w:val="20"/>
                <w:szCs w:val="20"/>
              </w:rPr>
            </w:pPr>
            <w:r w:rsidRPr="00D1392F">
              <w:rPr>
                <w:rFonts w:asciiTheme="majorHAnsi" w:hAnsiTheme="majorHAnsi"/>
                <w:b/>
                <w:sz w:val="20"/>
                <w:szCs w:val="20"/>
              </w:rPr>
              <w:t>Indicadores de desempeño correspondientes</w:t>
            </w:r>
          </w:p>
        </w:tc>
      </w:tr>
      <w:tr w:rsidR="00BC03F2" w:rsidRPr="00D1392F" w14:paraId="48BCE26B"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Estado</w:t>
            </w:r>
          </w:p>
          <w:p w14:paraId="47691466" w14:textId="7FFAA55E"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El stock debería tener una probabilidad del 60 % o superior de situarse en el cuadrante verde de la matriz de Kobe </w:t>
            </w:r>
            <w:r w:rsidR="009E2AC2" w:rsidRPr="00D1392F">
              <w:rPr>
                <w:rFonts w:asciiTheme="majorHAnsi" w:hAnsiTheme="majorHAnsi"/>
                <w:sz w:val="20"/>
                <w:szCs w:val="20"/>
              </w:rPr>
              <w:t xml:space="preserve">a medio plazo (4-10 años) </w:t>
            </w:r>
            <w:r w:rsidRPr="00D1392F">
              <w:rPr>
                <w:rFonts w:asciiTheme="majorHAnsi" w:hAnsiTheme="majorHAnsi"/>
                <w:sz w:val="20"/>
                <w:szCs w:val="20"/>
              </w:rPr>
              <w:t>utilizando periodos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25405AFB" w14:textId="6F16324A"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w:t>
            </w:r>
            <w:sdt>
              <w:sdtPr>
                <w:rPr>
                  <w:rFonts w:asciiTheme="majorHAnsi" w:hAnsiTheme="majorHAnsi"/>
                  <w:sz w:val="20"/>
                  <w:szCs w:val="20"/>
                </w:rPr>
                <w:id w:val="498176690"/>
              </w:sdtPr>
              <w:sdtEndPr/>
              <w:sdtContent/>
            </w:sdt>
            <w:sdt>
              <w:sdtPr>
                <w:rPr>
                  <w:rFonts w:asciiTheme="majorHAnsi" w:hAnsiTheme="majorHAnsi"/>
                  <w:sz w:val="20"/>
                  <w:szCs w:val="20"/>
                </w:rPr>
                <w:id w:val="949723846"/>
              </w:sdtPr>
              <w:sdtEndPr/>
              <w:sdtContent/>
            </w:sdt>
            <w:sdt>
              <w:sdtPr>
                <w:rPr>
                  <w:rFonts w:asciiTheme="majorHAnsi" w:hAnsiTheme="majorHAnsi"/>
                  <w:sz w:val="20"/>
                  <w:szCs w:val="20"/>
                </w:rPr>
                <w:id w:val="386274167"/>
              </w:sdtPr>
              <w:sdtEndPr/>
              <w:sdtContent/>
            </w:sdt>
            <w:r w:rsidRPr="00D1392F">
              <w:rPr>
                <w:rFonts w:asciiTheme="majorHAnsi" w:hAnsiTheme="majorHAnsi"/>
                <w:sz w:val="20"/>
                <w:szCs w:val="20"/>
              </w:rPr>
              <w:t xml:space="preserve"> 1-3</w:t>
            </w:r>
            <w:r w:rsidR="00ED5176" w:rsidRPr="00D1392F">
              <w:rPr>
                <w:rFonts w:asciiTheme="majorHAnsi" w:hAnsiTheme="majorHAnsi"/>
                <w:sz w:val="20"/>
                <w:szCs w:val="20"/>
              </w:rPr>
              <w:t>.</w:t>
            </w:r>
          </w:p>
          <w:p w14:paraId="30EF256D" w14:textId="7C9AB053"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durante los años 4-10</w:t>
            </w:r>
            <w:r w:rsidR="003A218B" w:rsidRPr="00D1392F">
              <w:rPr>
                <w:rFonts w:asciiTheme="majorHAnsi" w:hAnsiTheme="majorHAnsi"/>
                <w:sz w:val="20"/>
                <w:szCs w:val="20"/>
              </w:rPr>
              <w:t>*</w:t>
            </w:r>
            <w:r w:rsidR="00ED5176" w:rsidRPr="00D1392F">
              <w:rPr>
                <w:rFonts w:asciiTheme="majorHAnsi" w:hAnsiTheme="majorHAnsi"/>
                <w:sz w:val="20"/>
                <w:szCs w:val="20"/>
              </w:rPr>
              <w:t>.</w:t>
            </w:r>
          </w:p>
          <w:p w14:paraId="617BA30F" w14:textId="6BA0C80E"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PGK</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578473703"/>
              </w:sdtPr>
              <w:sdtEndPr/>
              <w:sdtContent/>
            </w:sdt>
            <w:sdt>
              <w:sdtPr>
                <w:rPr>
                  <w:rFonts w:asciiTheme="majorHAnsi" w:hAnsiTheme="majorHAnsi"/>
                  <w:sz w:val="20"/>
                  <w:szCs w:val="20"/>
                </w:rPr>
                <w:id w:val="293084683"/>
              </w:sdtPr>
              <w:sdtEndPr/>
              <w:sdtContent/>
            </w:sdt>
            <w:r w:rsidRPr="00D1392F">
              <w:rPr>
                <w:rFonts w:asciiTheme="majorHAnsi" w:hAnsiTheme="majorHAnsi"/>
                <w:sz w:val="20"/>
                <w:szCs w:val="20"/>
              </w:rPr>
              <w:t>11-30</w:t>
            </w:r>
            <w:r w:rsidR="00ED5176" w:rsidRPr="00D1392F">
              <w:rPr>
                <w:rFonts w:asciiTheme="majorHAnsi" w:hAnsiTheme="majorHAnsi"/>
                <w:sz w:val="20"/>
                <w:szCs w:val="20"/>
              </w:rPr>
              <w:t>.</w:t>
            </w:r>
          </w:p>
          <w:p w14:paraId="5F2B55D5" w14:textId="1227B58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PGK:</w:t>
            </w:r>
            <w:r w:rsidRPr="00D1392F">
              <w:rPr>
                <w:rFonts w:asciiTheme="majorHAnsi" w:hAnsiTheme="majorHAnsi"/>
                <w:sz w:val="20"/>
                <w:szCs w:val="20"/>
              </w:rPr>
              <w:t xml:space="preserve"> Probabilidad de situarse en el cuadrante verde de Kobe (es decir, SSB≥SSB</w:t>
            </w:r>
            <w:r w:rsidRPr="00D1392F">
              <w:rPr>
                <w:rFonts w:asciiTheme="majorHAnsi" w:hAnsiTheme="majorHAnsi"/>
                <w:sz w:val="20"/>
                <w:szCs w:val="20"/>
                <w:vertAlign w:val="subscript"/>
              </w:rPr>
              <w:t>RMS</w:t>
            </w:r>
            <w:r w:rsidRPr="00D1392F">
              <w:rPr>
                <w:rFonts w:asciiTheme="majorHAnsi" w:hAnsiTheme="majorHAnsi"/>
                <w:sz w:val="20"/>
                <w:szCs w:val="20"/>
              </w:rPr>
              <w:t xml:space="preserve"> y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229848512"/>
              </w:sdtPr>
              <w:sdtEndPr/>
              <w:sdtContent/>
            </w:sdt>
            <w:sdt>
              <w:sdtPr>
                <w:rPr>
                  <w:rFonts w:asciiTheme="majorHAnsi" w:hAnsiTheme="majorHAnsi"/>
                  <w:sz w:val="20"/>
                  <w:szCs w:val="20"/>
                </w:rPr>
                <w:id w:val="831401938"/>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p w14:paraId="1C88AEFD" w14:textId="186BBA03"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POF:</w:t>
            </w:r>
            <w:r w:rsidRPr="00D1392F">
              <w:rPr>
                <w:rFonts w:asciiTheme="majorHAnsi" w:hAnsiTheme="majorHAnsi"/>
                <w:sz w:val="20"/>
                <w:szCs w:val="20"/>
              </w:rPr>
              <w:t xml:space="preserve">  Probabilidad de F&gt;F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42ADD4E2" w14:textId="38A306EC"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b/>
                <w:sz w:val="20"/>
                <w:szCs w:val="20"/>
              </w:rPr>
              <w:t>PNOF:</w:t>
            </w:r>
            <w:r w:rsidRPr="00D1392F">
              <w:rPr>
                <w:rFonts w:asciiTheme="majorHAnsi" w:hAnsiTheme="majorHAnsi"/>
                <w:sz w:val="20"/>
                <w:szCs w:val="20"/>
              </w:rPr>
              <w:t xml:space="preserve">  Probabilidad de F&lt;F</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1-30</w:t>
            </w:r>
            <w:r w:rsidR="00ED5176" w:rsidRPr="00D1392F">
              <w:rPr>
                <w:rFonts w:asciiTheme="majorHAnsi" w:hAnsiTheme="majorHAnsi"/>
                <w:sz w:val="20"/>
                <w:szCs w:val="20"/>
              </w:rPr>
              <w:t>.</w:t>
            </w:r>
          </w:p>
          <w:p w14:paraId="21CCCC0D"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6A2E4D86" w14:textId="77777777" w:rsidTr="00ED5176">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Seguridad</w:t>
            </w:r>
          </w:p>
          <w:p w14:paraId="6ABB8AE6" w14:textId="7777777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Debería haber una probabilidad no superior al 10 % de que el stock se sitúe por debajo de B</w:t>
            </w:r>
            <w:r w:rsidRPr="00D1392F">
              <w:rPr>
                <w:rFonts w:asciiTheme="majorHAnsi" w:hAnsiTheme="majorHAnsi"/>
                <w:sz w:val="20"/>
                <w:szCs w:val="20"/>
                <w:vertAlign w:val="subscript"/>
              </w:rPr>
              <w:t>LIM</w:t>
            </w:r>
            <w:r w:rsidRPr="00D1392F">
              <w:rPr>
                <w:rFonts w:asciiTheme="majorHAnsi" w:hAnsiTheme="majorHAnsi"/>
                <w:sz w:val="20"/>
                <w:szCs w:val="20"/>
              </w:rPr>
              <w:t xml:space="preserve"> (0,4*B</w:t>
            </w:r>
            <w:r w:rsidRPr="00D1392F">
              <w:rPr>
                <w:rFonts w:asciiTheme="majorHAnsi" w:hAnsiTheme="majorHAnsi"/>
                <w:sz w:val="20"/>
                <w:szCs w:val="20"/>
                <w:vertAlign w:val="subscript"/>
              </w:rPr>
              <w:t>RMS</w:t>
            </w:r>
            <w:r w:rsidRPr="00D1392F">
              <w:rPr>
                <w:rFonts w:asciiTheme="majorHAnsi" w:hAnsiTheme="majorHAnsi"/>
                <w:sz w:val="20"/>
                <w:szCs w:val="20"/>
              </w:rPr>
              <w:t>) en cualquier momento durante el periodo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37CC95C9" w14:textId="330EEA1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951788017"/>
              </w:sdtPr>
              <w:sdtEndPr/>
              <w:sdtContent/>
            </w:sdt>
            <w:r w:rsidRPr="00D1392F">
              <w:rPr>
                <w:rFonts w:asciiTheme="majorHAnsi" w:hAnsiTheme="majorHAnsi"/>
                <w:sz w:val="20"/>
                <w:szCs w:val="20"/>
              </w:rPr>
              <w:t>1-3</w:t>
            </w:r>
            <w:r w:rsidR="00ED5176" w:rsidRPr="00D1392F">
              <w:rPr>
                <w:rFonts w:asciiTheme="majorHAnsi" w:hAnsiTheme="majorHAnsi"/>
                <w:sz w:val="20"/>
                <w:szCs w:val="20"/>
              </w:rPr>
              <w:t>.</w:t>
            </w:r>
          </w:p>
          <w:p w14:paraId="3E9B2001" w14:textId="5E37EE0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657446502"/>
              </w:sdtPr>
              <w:sdtEndPr/>
              <w:sdtContent/>
            </w:sdt>
            <w:r w:rsidRPr="00D1392F">
              <w:rPr>
                <w:rFonts w:asciiTheme="majorHAnsi" w:hAnsiTheme="majorHAnsi"/>
                <w:sz w:val="20"/>
                <w:szCs w:val="20"/>
              </w:rPr>
              <w:t>4-10</w:t>
            </w:r>
            <w:r w:rsidR="00ED5176" w:rsidRPr="00D1392F">
              <w:rPr>
                <w:rFonts w:asciiTheme="majorHAnsi" w:hAnsiTheme="majorHAnsi"/>
                <w:sz w:val="20"/>
                <w:szCs w:val="20"/>
              </w:rPr>
              <w:t>.</w:t>
            </w:r>
          </w:p>
          <w:p w14:paraId="602793FD" w14:textId="55A7021A" w:rsidR="00BC03F2" w:rsidRPr="00D1392F" w:rsidRDefault="00C004DE"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009A5C6B" w:rsidRPr="00D1392F">
              <w:rPr>
                <w:rFonts w:asciiTheme="majorHAnsi" w:hAnsiTheme="majorHAnsi"/>
                <w:b/>
                <w:sz w:val="20"/>
                <w:szCs w:val="20"/>
                <w:vertAlign w:val="subscript"/>
              </w:rPr>
              <w:t>long</w:t>
            </w:r>
            <w:proofErr w:type="spellEnd"/>
            <w:r w:rsidR="009A5C6B" w:rsidRPr="00D1392F">
              <w:rPr>
                <w:rFonts w:asciiTheme="majorHAnsi" w:hAnsiTheme="majorHAnsi"/>
                <w:sz w:val="20"/>
                <w:szCs w:val="20"/>
              </w:rPr>
              <w:t>: Probabilidad de sobrepasar el punto de referencia límite (a saber, SSB&lt;0</w:t>
            </w:r>
            <w:r w:rsidR="00ED5176" w:rsidRPr="00D1392F">
              <w:rPr>
                <w:rFonts w:asciiTheme="majorHAnsi" w:hAnsiTheme="majorHAnsi"/>
                <w:sz w:val="20"/>
                <w:szCs w:val="20"/>
              </w:rPr>
              <w:t>,</w:t>
            </w:r>
            <w:r w:rsidR="009A5C6B" w:rsidRPr="00D1392F">
              <w:rPr>
                <w:rFonts w:asciiTheme="majorHAnsi" w:hAnsiTheme="majorHAnsi"/>
                <w:sz w:val="20"/>
                <w:szCs w:val="20"/>
              </w:rPr>
              <w:t>4*SSB</w:t>
            </w:r>
            <w:r w:rsidR="009A5C6B" w:rsidRPr="00D1392F">
              <w:rPr>
                <w:rFonts w:asciiTheme="majorHAnsi" w:hAnsiTheme="majorHAnsi"/>
                <w:sz w:val="20"/>
                <w:szCs w:val="20"/>
                <w:vertAlign w:val="subscript"/>
              </w:rPr>
              <w:t>RMS</w:t>
            </w:r>
            <w:r w:rsidR="009A5C6B" w:rsidRPr="00D1392F">
              <w:rPr>
                <w:rFonts w:asciiTheme="majorHAnsi" w:hAnsiTheme="majorHAnsi"/>
                <w:sz w:val="20"/>
                <w:szCs w:val="20"/>
              </w:rPr>
              <w:t xml:space="preserve">) durante los años </w:t>
            </w:r>
            <w:sdt>
              <w:sdtPr>
                <w:rPr>
                  <w:rFonts w:asciiTheme="majorHAnsi" w:hAnsiTheme="majorHAnsi"/>
                  <w:sz w:val="20"/>
                  <w:szCs w:val="20"/>
                </w:rPr>
                <w:id w:val="1808056418"/>
              </w:sdtPr>
              <w:sdtEndPr/>
              <w:sdtContent/>
            </w:sdt>
            <w:r w:rsidR="009A5C6B" w:rsidRPr="00D1392F">
              <w:rPr>
                <w:rFonts w:asciiTheme="majorHAnsi" w:hAnsiTheme="majorHAnsi"/>
                <w:sz w:val="20"/>
                <w:szCs w:val="20"/>
              </w:rPr>
              <w:t>11-30</w:t>
            </w:r>
            <w:r w:rsidR="00ED5176" w:rsidRPr="00D1392F">
              <w:rPr>
                <w:rFonts w:asciiTheme="majorHAnsi" w:hAnsiTheme="majorHAnsi"/>
                <w:sz w:val="20"/>
                <w:szCs w:val="20"/>
              </w:rPr>
              <w:t>.</w:t>
            </w:r>
          </w:p>
          <w:p w14:paraId="696531A4" w14:textId="480388BB"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LRP</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w:t>
            </w:r>
            <w:r w:rsidR="00ED5176" w:rsidRPr="00D1392F">
              <w:rPr>
                <w:rFonts w:asciiTheme="majorHAnsi" w:hAnsiTheme="majorHAnsi"/>
                <w:sz w:val="20"/>
                <w:szCs w:val="20"/>
              </w:rPr>
              <w:t xml:space="preserve"> </w:t>
            </w:r>
            <w:r w:rsidRPr="00D1392F">
              <w:rPr>
                <w:rFonts w:asciiTheme="majorHAnsi" w:hAnsiTheme="majorHAnsi"/>
                <w:sz w:val="20"/>
                <w:szCs w:val="20"/>
              </w:rPr>
              <w:t>Probabilidad de sobrepasar el punto de referencia límite (a saber, SSB&lt;0</w:t>
            </w:r>
            <w:r w:rsidR="00ED5176" w:rsidRPr="00D1392F">
              <w:rPr>
                <w:rFonts w:asciiTheme="majorHAnsi" w:hAnsiTheme="majorHAnsi"/>
                <w:sz w:val="20"/>
                <w:szCs w:val="20"/>
              </w:rPr>
              <w:t>,</w:t>
            </w:r>
            <w:r w:rsidRPr="00D1392F">
              <w:rPr>
                <w:rFonts w:asciiTheme="majorHAnsi" w:hAnsiTheme="majorHAnsi"/>
                <w:sz w:val="20"/>
                <w:szCs w:val="20"/>
              </w:rPr>
              <w:t>4*SSB</w:t>
            </w:r>
            <w:r w:rsidRPr="00D1392F">
              <w:rPr>
                <w:rFonts w:asciiTheme="majorHAnsi" w:hAnsiTheme="majorHAnsi"/>
                <w:sz w:val="20"/>
                <w:szCs w:val="20"/>
                <w:vertAlign w:val="subscript"/>
              </w:rPr>
              <w:t>RMS</w:t>
            </w:r>
            <w:r w:rsidRPr="00D1392F">
              <w:rPr>
                <w:rFonts w:asciiTheme="majorHAnsi" w:hAnsiTheme="majorHAnsi"/>
                <w:sz w:val="20"/>
                <w:szCs w:val="20"/>
              </w:rPr>
              <w:t xml:space="preserve">) durante los años </w:t>
            </w:r>
            <w:sdt>
              <w:sdtPr>
                <w:rPr>
                  <w:rFonts w:asciiTheme="majorHAnsi" w:hAnsiTheme="majorHAnsi"/>
                  <w:sz w:val="20"/>
                  <w:szCs w:val="20"/>
                </w:rPr>
                <w:id w:val="1480987877"/>
              </w:sdtPr>
              <w:sdtEndPr/>
              <w:sdtContent/>
            </w:sdt>
            <w:r w:rsidRPr="00D1392F">
              <w:rPr>
                <w:rFonts w:asciiTheme="majorHAnsi" w:hAnsiTheme="majorHAnsi"/>
                <w:sz w:val="20"/>
                <w:szCs w:val="20"/>
              </w:rPr>
              <w:t>1-30</w:t>
            </w:r>
            <w:r w:rsidR="00ED5176" w:rsidRPr="00D1392F">
              <w:rPr>
                <w:rFonts w:asciiTheme="majorHAnsi" w:hAnsiTheme="majorHAnsi"/>
                <w:sz w:val="20"/>
                <w:szCs w:val="20"/>
              </w:rPr>
              <w:t>.</w:t>
            </w:r>
          </w:p>
        </w:tc>
      </w:tr>
      <w:tr w:rsidR="00BC03F2" w:rsidRPr="00D1392F" w14:paraId="646BBEE3"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Rendimiento</w:t>
            </w:r>
          </w:p>
          <w:p w14:paraId="79ECDB64" w14:textId="19C3D109"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Maximizar los niveles globales de capturas.</w:t>
            </w:r>
          </w:p>
        </w:tc>
        <w:tc>
          <w:tcPr>
            <w:tcW w:w="5519" w:type="dxa"/>
            <w:tcBorders>
              <w:top w:val="single" w:sz="4" w:space="0" w:color="000000"/>
              <w:left w:val="single" w:sz="4" w:space="0" w:color="000000"/>
              <w:bottom w:val="single" w:sz="4" w:space="0" w:color="000000"/>
              <w:right w:val="single" w:sz="4" w:space="0" w:color="000000"/>
            </w:tcBorders>
          </w:tcPr>
          <w:p w14:paraId="0EA99427" w14:textId="4AA15496"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short</w:t>
            </w:r>
            <w:proofErr w:type="spellEnd"/>
            <w:r w:rsidRPr="00D1392F">
              <w:rPr>
                <w:rFonts w:asciiTheme="majorHAnsi" w:hAnsiTheme="majorHAnsi"/>
                <w:sz w:val="20"/>
                <w:szCs w:val="20"/>
              </w:rPr>
              <w:t xml:space="preserve"> – Mediana de las capturas (t) durante los años 1-3</w:t>
            </w:r>
            <w:r w:rsidR="00ED5176" w:rsidRPr="00D1392F">
              <w:rPr>
                <w:rFonts w:asciiTheme="majorHAnsi" w:hAnsiTheme="majorHAnsi"/>
                <w:sz w:val="20"/>
                <w:szCs w:val="20"/>
              </w:rPr>
              <w:t>.</w:t>
            </w:r>
          </w:p>
          <w:p w14:paraId="1AA5435C" w14:textId="2A36D27D"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Mediana de las capturas (t) durante los años 4-10</w:t>
            </w:r>
            <w:r w:rsidR="00ED5176" w:rsidRPr="00D1392F">
              <w:rPr>
                <w:rFonts w:asciiTheme="majorHAnsi" w:hAnsiTheme="majorHAnsi"/>
                <w:sz w:val="20"/>
                <w:szCs w:val="20"/>
              </w:rPr>
              <w:t>.</w:t>
            </w:r>
          </w:p>
          <w:p w14:paraId="5115D3D2" w14:textId="1435D0A4"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AvC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Mediana de las capturas (t) durante los años 11-30</w:t>
            </w:r>
            <w:r w:rsidR="00ED5176" w:rsidRPr="00D1392F">
              <w:rPr>
                <w:rFonts w:asciiTheme="majorHAnsi" w:hAnsiTheme="majorHAnsi"/>
                <w:sz w:val="20"/>
                <w:szCs w:val="20"/>
              </w:rPr>
              <w:t>.</w:t>
            </w:r>
          </w:p>
          <w:p w14:paraId="4D6C105B" w14:textId="77777777" w:rsidR="00BC03F2" w:rsidRPr="00D1392F" w:rsidRDefault="00BC03F2" w:rsidP="00ED5176">
            <w:pPr>
              <w:widowControl w:val="0"/>
              <w:ind w:right="68"/>
              <w:jc w:val="both"/>
              <w:rPr>
                <w:rFonts w:asciiTheme="majorHAnsi" w:hAnsiTheme="majorHAnsi"/>
                <w:sz w:val="20"/>
                <w:szCs w:val="20"/>
              </w:rPr>
            </w:pPr>
          </w:p>
          <w:p w14:paraId="45BC5092" w14:textId="77777777" w:rsidR="00BC03F2" w:rsidRPr="00D1392F" w:rsidRDefault="00BC03F2" w:rsidP="00ED5176">
            <w:pPr>
              <w:widowControl w:val="0"/>
              <w:ind w:right="68"/>
              <w:jc w:val="both"/>
              <w:rPr>
                <w:rFonts w:asciiTheme="majorHAnsi" w:hAnsiTheme="majorHAnsi"/>
                <w:sz w:val="20"/>
                <w:szCs w:val="20"/>
              </w:rPr>
            </w:pPr>
          </w:p>
        </w:tc>
      </w:tr>
      <w:tr w:rsidR="00BC03F2" w:rsidRPr="00D1392F" w14:paraId="551D8F81"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D1392F" w:rsidRDefault="009A5C6B">
            <w:pPr>
              <w:widowControl w:val="0"/>
              <w:ind w:right="68"/>
              <w:rPr>
                <w:rFonts w:asciiTheme="majorHAnsi" w:hAnsiTheme="majorHAnsi"/>
                <w:b/>
                <w:bCs/>
                <w:sz w:val="20"/>
                <w:szCs w:val="20"/>
              </w:rPr>
            </w:pPr>
            <w:r w:rsidRPr="00D1392F">
              <w:rPr>
                <w:rFonts w:asciiTheme="majorHAnsi" w:hAnsiTheme="majorHAnsi"/>
                <w:b/>
                <w:sz w:val="20"/>
                <w:szCs w:val="20"/>
              </w:rPr>
              <w:t>Estabilidad</w:t>
            </w:r>
          </w:p>
          <w:p w14:paraId="1A1BC608" w14:textId="3943F0E7" w:rsidR="00BC03F2" w:rsidRPr="00D1392F" w:rsidRDefault="009A5C6B" w:rsidP="00ED5176">
            <w:pPr>
              <w:widowControl w:val="0"/>
              <w:ind w:right="68"/>
              <w:jc w:val="both"/>
              <w:rPr>
                <w:rFonts w:asciiTheme="majorHAnsi" w:hAnsiTheme="majorHAnsi"/>
                <w:sz w:val="20"/>
                <w:szCs w:val="20"/>
              </w:rPr>
            </w:pPr>
            <w:r w:rsidRPr="00D1392F">
              <w:rPr>
                <w:rFonts w:asciiTheme="majorHAnsi" w:hAnsiTheme="majorHAnsi"/>
                <w:sz w:val="20"/>
                <w:szCs w:val="20"/>
              </w:rPr>
              <w:t xml:space="preserve">Cualquier cambio en el TAC entre periodos de ordenación debería ser de un </w:t>
            </w:r>
            <w:r w:rsidR="006B77B3" w:rsidRPr="00D1392F">
              <w:rPr>
                <w:rFonts w:asciiTheme="majorHAnsi" w:hAnsiTheme="majorHAnsi"/>
                <w:sz w:val="20"/>
                <w:szCs w:val="20"/>
              </w:rPr>
              <w:t>25 %</w:t>
            </w:r>
            <w:r w:rsidRPr="00D1392F">
              <w:rPr>
                <w:rFonts w:asciiTheme="majorHAnsi" w:hAnsiTheme="majorHAnsi"/>
                <w:sz w:val="20"/>
                <w:szCs w:val="20"/>
              </w:rPr>
              <w:t xml:space="preserve"> o inferior.</w:t>
            </w:r>
          </w:p>
        </w:tc>
        <w:tc>
          <w:tcPr>
            <w:tcW w:w="5519" w:type="dxa"/>
            <w:tcBorders>
              <w:top w:val="single" w:sz="4" w:space="0" w:color="000000"/>
              <w:left w:val="single" w:sz="4" w:space="0" w:color="000000"/>
              <w:bottom w:val="single" w:sz="4" w:space="0" w:color="000000"/>
              <w:right w:val="single" w:sz="4" w:space="0" w:color="000000"/>
            </w:tcBorders>
          </w:tcPr>
          <w:p w14:paraId="3688D98E" w14:textId="2C8417C9"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medium</w:t>
            </w:r>
            <w:proofErr w:type="spellEnd"/>
            <w:r w:rsidRPr="00D1392F">
              <w:rPr>
                <w:rFonts w:asciiTheme="majorHAnsi" w:hAnsiTheme="majorHAnsi"/>
                <w:sz w:val="20"/>
                <w:szCs w:val="20"/>
              </w:rPr>
              <w:t xml:space="preserve"> – Variación del TAC (%) entre </w:t>
            </w:r>
            <w:sdt>
              <w:sdtPr>
                <w:rPr>
                  <w:rFonts w:asciiTheme="majorHAnsi" w:hAnsiTheme="majorHAnsi"/>
                  <w:sz w:val="20"/>
                  <w:szCs w:val="20"/>
                </w:rPr>
                <w:id w:val="1698860588"/>
              </w:sdtPr>
              <w:sdtEndPr/>
              <w:sdtContent/>
            </w:sdt>
            <w:sdt>
              <w:sdtPr>
                <w:rPr>
                  <w:rFonts w:asciiTheme="majorHAnsi" w:hAnsiTheme="majorHAnsi"/>
                  <w:sz w:val="20"/>
                  <w:szCs w:val="20"/>
                </w:rPr>
                <w:id w:val="874755206"/>
              </w:sdtPr>
              <w:sdtEndPr/>
              <w:sdtContent/>
            </w:sdt>
            <w:r w:rsidRPr="00D1392F">
              <w:rPr>
                <w:rFonts w:asciiTheme="majorHAnsi" w:hAnsiTheme="majorHAnsi"/>
                <w:sz w:val="20"/>
                <w:szCs w:val="20"/>
              </w:rPr>
              <w:t>ciclos de ordenación durante los años 4-10</w:t>
            </w:r>
            <w:r w:rsidR="00A35755" w:rsidRPr="00D1392F">
              <w:rPr>
                <w:rFonts w:asciiTheme="majorHAnsi" w:hAnsiTheme="majorHAnsi"/>
                <w:sz w:val="20"/>
                <w:szCs w:val="20"/>
              </w:rPr>
              <w:t>.</w:t>
            </w:r>
          </w:p>
          <w:p w14:paraId="3B0EDC5A" w14:textId="7793A6E8"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VarC</w:t>
            </w:r>
            <w:r w:rsidRPr="00D1392F">
              <w:rPr>
                <w:rFonts w:asciiTheme="majorHAnsi" w:hAnsiTheme="majorHAnsi"/>
                <w:b/>
                <w:sz w:val="20"/>
                <w:szCs w:val="20"/>
                <w:vertAlign w:val="subscript"/>
              </w:rPr>
              <w:t>long</w:t>
            </w:r>
            <w:proofErr w:type="spellEnd"/>
            <w:r w:rsidRPr="00D1392F">
              <w:rPr>
                <w:rFonts w:asciiTheme="majorHAnsi" w:hAnsiTheme="majorHAnsi"/>
                <w:sz w:val="20"/>
                <w:szCs w:val="20"/>
              </w:rPr>
              <w:t xml:space="preserve"> – Variación del TAC (%) entre ciclos de ordenación durante los años 11-30</w:t>
            </w:r>
            <w:r w:rsidR="00A35755" w:rsidRPr="00D1392F">
              <w:rPr>
                <w:rFonts w:asciiTheme="majorHAnsi" w:hAnsiTheme="majorHAnsi"/>
                <w:sz w:val="20"/>
                <w:szCs w:val="20"/>
              </w:rPr>
              <w:t>.</w:t>
            </w:r>
          </w:p>
          <w:p w14:paraId="44283246" w14:textId="51A829CF" w:rsidR="00BC03F2" w:rsidRPr="00D1392F" w:rsidRDefault="009A5C6B" w:rsidP="00ED5176">
            <w:pPr>
              <w:widowControl w:val="0"/>
              <w:ind w:right="68"/>
              <w:jc w:val="both"/>
              <w:rPr>
                <w:rFonts w:asciiTheme="majorHAnsi" w:hAnsiTheme="majorHAnsi"/>
                <w:sz w:val="20"/>
                <w:szCs w:val="20"/>
              </w:rPr>
            </w:pPr>
            <w:proofErr w:type="spellStart"/>
            <w:r w:rsidRPr="00D1392F">
              <w:rPr>
                <w:rFonts w:asciiTheme="majorHAnsi" w:hAnsiTheme="majorHAnsi"/>
                <w:b/>
                <w:sz w:val="20"/>
                <w:szCs w:val="20"/>
              </w:rPr>
              <w:t>Var</w:t>
            </w:r>
            <w:r w:rsidRPr="00D1392F">
              <w:rPr>
                <w:rFonts w:asciiTheme="majorHAnsi" w:hAnsiTheme="majorHAnsi"/>
                <w:b/>
                <w:sz w:val="20"/>
                <w:szCs w:val="20"/>
                <w:vertAlign w:val="subscript"/>
              </w:rPr>
              <w:t>all</w:t>
            </w:r>
            <w:proofErr w:type="spellEnd"/>
            <w:r w:rsidRPr="00D1392F">
              <w:rPr>
                <w:rFonts w:asciiTheme="majorHAnsi" w:hAnsiTheme="majorHAnsi"/>
                <w:sz w:val="20"/>
                <w:szCs w:val="20"/>
              </w:rPr>
              <w:t xml:space="preserve"> – Variación del TAC (%) entre ciclos de ordenación durante los años 1-30</w:t>
            </w:r>
            <w:r w:rsidR="00A35755" w:rsidRPr="00D1392F">
              <w:rPr>
                <w:rFonts w:asciiTheme="majorHAnsi" w:hAnsiTheme="majorHAnsi"/>
                <w:sz w:val="20"/>
                <w:szCs w:val="20"/>
              </w:rPr>
              <w:t>.</w:t>
            </w:r>
          </w:p>
        </w:tc>
      </w:tr>
    </w:tbl>
    <w:p w14:paraId="18321476" w14:textId="05B8367B" w:rsidR="00BC03F2" w:rsidRPr="00B81C15" w:rsidRDefault="00B8532A" w:rsidP="007C4F06">
      <w:pPr>
        <w:spacing w:before="120"/>
        <w:ind w:left="142" w:right="68"/>
        <w:rPr>
          <w:rFonts w:asciiTheme="majorHAnsi" w:hAnsiTheme="majorHAnsi"/>
          <w:sz w:val="18"/>
          <w:szCs w:val="18"/>
        </w:rPr>
        <w:sectPr w:rsidR="00BC03F2" w:rsidRPr="00B81C15"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B81C15">
        <w:rPr>
          <w:rFonts w:asciiTheme="majorHAnsi" w:hAnsiTheme="majorHAnsi"/>
          <w:sz w:val="18"/>
          <w:szCs w:val="18"/>
        </w:rPr>
        <w:t xml:space="preserve">*Objetivo de calibración </w:t>
      </w:r>
      <w:r w:rsidR="00533B4E" w:rsidRPr="00B81C15">
        <w:rPr>
          <w:rFonts w:asciiTheme="majorHAnsi" w:hAnsiTheme="majorHAnsi"/>
          <w:sz w:val="18"/>
          <w:szCs w:val="18"/>
          <w:u w:val="single"/>
        </w:rPr>
        <w:t>utilizado</w:t>
      </w:r>
      <w:r w:rsidR="00533B4E" w:rsidRPr="00B81C15">
        <w:rPr>
          <w:rFonts w:asciiTheme="majorHAnsi" w:hAnsiTheme="majorHAnsi"/>
          <w:sz w:val="18"/>
          <w:szCs w:val="18"/>
        </w:rPr>
        <w:t xml:space="preserve"> </w:t>
      </w:r>
      <w:r w:rsidRPr="00B81C15">
        <w:rPr>
          <w:rFonts w:asciiTheme="majorHAnsi" w:hAnsiTheme="majorHAnsi"/>
          <w:sz w:val="18"/>
          <w:szCs w:val="18"/>
        </w:rPr>
        <w:t>para el desarrollo de MP candidatos.</w:t>
      </w:r>
    </w:p>
    <w:p w14:paraId="5447B195" w14:textId="5B9E3A30" w:rsidR="00BC03F2" w:rsidRPr="00D1392F" w:rsidRDefault="009A5C6B">
      <w:pPr>
        <w:pStyle w:val="Heading1"/>
        <w:ind w:right="68"/>
        <w:jc w:val="right"/>
        <w:rPr>
          <w:rFonts w:asciiTheme="majorHAnsi" w:hAnsiTheme="majorHAnsi"/>
        </w:rPr>
      </w:pPr>
      <w:r w:rsidRPr="00D1392F">
        <w:rPr>
          <w:rFonts w:asciiTheme="majorHAnsi" w:hAnsiTheme="majorHAnsi"/>
        </w:rPr>
        <w:lastRenderedPageBreak/>
        <w:t>Anexo </w:t>
      </w:r>
      <w:r w:rsidR="00533B4E" w:rsidRPr="00F8043C">
        <w:rPr>
          <w:rFonts w:asciiTheme="majorHAnsi" w:hAnsiTheme="majorHAnsi"/>
          <w:u w:val="single"/>
        </w:rPr>
        <w:t>3</w:t>
      </w:r>
    </w:p>
    <w:p w14:paraId="5D747C3E" w14:textId="77777777" w:rsidR="00BC03F2" w:rsidRPr="00D1392F" w:rsidRDefault="00BC03F2">
      <w:pPr>
        <w:pStyle w:val="Heading1"/>
        <w:ind w:right="68"/>
        <w:jc w:val="right"/>
        <w:rPr>
          <w:rFonts w:asciiTheme="majorHAnsi" w:hAnsiTheme="majorHAnsi"/>
        </w:rPr>
      </w:pPr>
    </w:p>
    <w:p w14:paraId="58CF2B91" w14:textId="77777777" w:rsidR="00BC03F2" w:rsidRPr="00D1392F" w:rsidRDefault="009A5C6B">
      <w:pPr>
        <w:pStyle w:val="Heading1"/>
        <w:ind w:right="68"/>
        <w:jc w:val="center"/>
        <w:rPr>
          <w:rFonts w:asciiTheme="majorHAnsi" w:hAnsiTheme="majorHAnsi"/>
        </w:rPr>
      </w:pPr>
      <w:r w:rsidRPr="00D1392F">
        <w:rPr>
          <w:rFonts w:asciiTheme="majorHAnsi" w:hAnsiTheme="majorHAnsi"/>
        </w:rPr>
        <w:t>Calendario para la implementación del procedimiento de ordenación</w:t>
      </w:r>
    </w:p>
    <w:p w14:paraId="1EC739BC" w14:textId="77777777" w:rsidR="00BC03F2" w:rsidRPr="00D1392F" w:rsidRDefault="00BC03F2">
      <w:pPr>
        <w:pStyle w:val="Heading1"/>
        <w:ind w:right="68"/>
        <w:jc w:val="center"/>
        <w:rPr>
          <w:rFonts w:asciiTheme="majorHAnsi" w:hAnsiTheme="majorHAnsi"/>
        </w:rPr>
      </w:pPr>
    </w:p>
    <w:p w14:paraId="5BFEB5E4" w14:textId="77777777" w:rsidR="00BC03F2" w:rsidRPr="00D1392F" w:rsidRDefault="009A5C6B">
      <w:pPr>
        <w:pStyle w:val="Heading1"/>
        <w:ind w:right="68"/>
        <w:rPr>
          <w:rFonts w:asciiTheme="majorHAnsi" w:hAnsiTheme="majorHAnsi"/>
        </w:rPr>
      </w:pPr>
      <w:r w:rsidRPr="00D1392F">
        <w:rPr>
          <w:rFonts w:asciiTheme="majorHAnsi" w:hAnsiTheme="majorHAnsi"/>
        </w:rPr>
        <w:t>Ciclo de tres años</w:t>
      </w:r>
    </w:p>
    <w:p w14:paraId="5594C870" w14:textId="77777777" w:rsidR="00BC03F2" w:rsidRPr="00D1392F" w:rsidRDefault="00BC03F2">
      <w:pPr>
        <w:pStyle w:val="Heading1"/>
        <w:ind w:right="68"/>
        <w:rPr>
          <w:rFonts w:asciiTheme="majorHAnsi" w:hAnsiTheme="majorHAnsi"/>
        </w:rPr>
      </w:pPr>
    </w:p>
    <w:tbl>
      <w:tblPr>
        <w:tblStyle w:val="TableGrid"/>
        <w:tblW w:w="8193" w:type="dxa"/>
        <w:jc w:val="center"/>
        <w:tblLayout w:type="fixed"/>
        <w:tblLook w:val="04A0" w:firstRow="1" w:lastRow="0" w:firstColumn="1" w:lastColumn="0" w:noHBand="0" w:noVBand="1"/>
      </w:tblPr>
      <w:tblGrid>
        <w:gridCol w:w="2044"/>
        <w:gridCol w:w="864"/>
        <w:gridCol w:w="891"/>
        <w:gridCol w:w="899"/>
        <w:gridCol w:w="901"/>
        <w:gridCol w:w="864"/>
        <w:gridCol w:w="865"/>
        <w:gridCol w:w="865"/>
      </w:tblGrid>
      <w:tr w:rsidR="00BC03F2" w:rsidRPr="00D1392F" w14:paraId="4D7DEEC3" w14:textId="77777777">
        <w:trPr>
          <w:jc w:val="center"/>
        </w:trPr>
        <w:tc>
          <w:tcPr>
            <w:tcW w:w="2043" w:type="dxa"/>
            <w:shd w:val="clear" w:color="auto" w:fill="CCCCCC"/>
          </w:tcPr>
          <w:p w14:paraId="47DA5E02" w14:textId="77777777" w:rsidR="00BC03F2" w:rsidRPr="00D1392F" w:rsidRDefault="00BC03F2">
            <w:pPr>
              <w:pStyle w:val="Heading1"/>
              <w:jc w:val="center"/>
              <w:rPr>
                <w:rFonts w:asciiTheme="majorHAnsi" w:hAnsiTheme="majorHAnsi"/>
              </w:rPr>
            </w:pPr>
          </w:p>
        </w:tc>
        <w:tc>
          <w:tcPr>
            <w:tcW w:w="864" w:type="dxa"/>
            <w:shd w:val="clear" w:color="auto" w:fill="CCCCCC"/>
          </w:tcPr>
          <w:p w14:paraId="1F554D18" w14:textId="16DB8C6F" w:rsidR="00BC03F2" w:rsidRPr="00D1392F" w:rsidRDefault="009A5C6B">
            <w:pPr>
              <w:pStyle w:val="Heading1"/>
              <w:jc w:val="center"/>
              <w:rPr>
                <w:rFonts w:asciiTheme="majorHAnsi" w:hAnsiTheme="majorHAnsi"/>
              </w:rPr>
            </w:pPr>
            <w:r w:rsidRPr="00D1392F">
              <w:rPr>
                <w:rFonts w:asciiTheme="majorHAnsi" w:hAnsiTheme="majorHAnsi"/>
              </w:rPr>
              <w:t>2025</w:t>
            </w:r>
          </w:p>
        </w:tc>
        <w:tc>
          <w:tcPr>
            <w:tcW w:w="891" w:type="dxa"/>
            <w:shd w:val="clear" w:color="auto" w:fill="CCCCCC"/>
          </w:tcPr>
          <w:p w14:paraId="267B4772" w14:textId="2F56F9A0" w:rsidR="00BC03F2" w:rsidRPr="00D1392F" w:rsidRDefault="009A5C6B">
            <w:pPr>
              <w:pStyle w:val="Heading1"/>
              <w:jc w:val="center"/>
              <w:rPr>
                <w:rFonts w:asciiTheme="majorHAnsi" w:hAnsiTheme="majorHAnsi"/>
              </w:rPr>
            </w:pPr>
            <w:r w:rsidRPr="00D1392F">
              <w:rPr>
                <w:rFonts w:asciiTheme="majorHAnsi" w:hAnsiTheme="majorHAnsi"/>
              </w:rPr>
              <w:t>2026</w:t>
            </w:r>
          </w:p>
        </w:tc>
        <w:tc>
          <w:tcPr>
            <w:tcW w:w="899" w:type="dxa"/>
            <w:shd w:val="clear" w:color="auto" w:fill="CCCCCC"/>
          </w:tcPr>
          <w:p w14:paraId="62709CF4" w14:textId="14E695B8" w:rsidR="00BC03F2" w:rsidRPr="00D1392F" w:rsidRDefault="009A5C6B">
            <w:pPr>
              <w:pStyle w:val="Heading1"/>
              <w:jc w:val="center"/>
              <w:rPr>
                <w:rFonts w:asciiTheme="majorHAnsi" w:hAnsiTheme="majorHAnsi"/>
              </w:rPr>
            </w:pPr>
            <w:r w:rsidRPr="00D1392F">
              <w:rPr>
                <w:rFonts w:asciiTheme="majorHAnsi" w:hAnsiTheme="majorHAnsi"/>
              </w:rPr>
              <w:t>2027</w:t>
            </w:r>
          </w:p>
        </w:tc>
        <w:tc>
          <w:tcPr>
            <w:tcW w:w="901" w:type="dxa"/>
            <w:shd w:val="clear" w:color="auto" w:fill="CCCCCC"/>
          </w:tcPr>
          <w:p w14:paraId="154233DB" w14:textId="4438BA4E" w:rsidR="00BC03F2" w:rsidRPr="00D1392F" w:rsidRDefault="009A5C6B">
            <w:pPr>
              <w:pStyle w:val="Heading1"/>
              <w:jc w:val="center"/>
              <w:rPr>
                <w:rFonts w:asciiTheme="majorHAnsi" w:hAnsiTheme="majorHAnsi"/>
              </w:rPr>
            </w:pPr>
            <w:r w:rsidRPr="00D1392F">
              <w:rPr>
                <w:rFonts w:asciiTheme="majorHAnsi" w:hAnsiTheme="majorHAnsi"/>
              </w:rPr>
              <w:t>2028</w:t>
            </w:r>
          </w:p>
        </w:tc>
        <w:tc>
          <w:tcPr>
            <w:tcW w:w="864" w:type="dxa"/>
            <w:shd w:val="clear" w:color="auto" w:fill="CCCCCC"/>
          </w:tcPr>
          <w:p w14:paraId="27CC0BA9" w14:textId="4EB4C343" w:rsidR="00BC03F2" w:rsidRPr="00D1392F" w:rsidRDefault="009A5C6B">
            <w:pPr>
              <w:pStyle w:val="Heading1"/>
              <w:jc w:val="center"/>
              <w:rPr>
                <w:rFonts w:asciiTheme="majorHAnsi" w:hAnsiTheme="majorHAnsi"/>
              </w:rPr>
            </w:pPr>
            <w:r w:rsidRPr="00D1392F">
              <w:rPr>
                <w:rFonts w:asciiTheme="majorHAnsi" w:hAnsiTheme="majorHAnsi"/>
              </w:rPr>
              <w:t>2029</w:t>
            </w:r>
          </w:p>
        </w:tc>
        <w:tc>
          <w:tcPr>
            <w:tcW w:w="865" w:type="dxa"/>
            <w:shd w:val="clear" w:color="auto" w:fill="CCCCCC"/>
          </w:tcPr>
          <w:p w14:paraId="59E82796" w14:textId="7D024DC5" w:rsidR="00BC03F2" w:rsidRPr="00D1392F" w:rsidRDefault="009A5C6B">
            <w:pPr>
              <w:pStyle w:val="Heading1"/>
              <w:jc w:val="center"/>
              <w:rPr>
                <w:rFonts w:asciiTheme="majorHAnsi" w:hAnsiTheme="majorHAnsi"/>
              </w:rPr>
            </w:pPr>
            <w:r w:rsidRPr="00D1392F">
              <w:rPr>
                <w:rFonts w:asciiTheme="majorHAnsi" w:hAnsiTheme="majorHAnsi"/>
              </w:rPr>
              <w:t>2030</w:t>
            </w:r>
          </w:p>
        </w:tc>
        <w:tc>
          <w:tcPr>
            <w:tcW w:w="865" w:type="dxa"/>
            <w:shd w:val="clear" w:color="auto" w:fill="CCCCCC"/>
          </w:tcPr>
          <w:p w14:paraId="3A43937D" w14:textId="14615025" w:rsidR="00BC03F2" w:rsidRPr="00D1392F" w:rsidRDefault="009A5C6B">
            <w:pPr>
              <w:pStyle w:val="Heading1"/>
              <w:jc w:val="center"/>
              <w:rPr>
                <w:rFonts w:asciiTheme="majorHAnsi" w:hAnsiTheme="majorHAnsi"/>
              </w:rPr>
            </w:pPr>
            <w:r w:rsidRPr="00D1392F">
              <w:rPr>
                <w:rFonts w:asciiTheme="majorHAnsi" w:hAnsiTheme="majorHAnsi"/>
              </w:rPr>
              <w:t>2031</w:t>
            </w:r>
          </w:p>
        </w:tc>
      </w:tr>
      <w:tr w:rsidR="00BC03F2" w:rsidRPr="00D1392F" w14:paraId="5DB17A81" w14:textId="77777777" w:rsidTr="002B7C18">
        <w:trPr>
          <w:trHeight w:val="780"/>
          <w:jc w:val="center"/>
        </w:trPr>
        <w:tc>
          <w:tcPr>
            <w:tcW w:w="2043" w:type="dxa"/>
            <w:vAlign w:val="center"/>
          </w:tcPr>
          <w:p w14:paraId="733D8C33"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comprueba las circunstancias excepcionales</w:t>
            </w:r>
          </w:p>
        </w:tc>
        <w:tc>
          <w:tcPr>
            <w:tcW w:w="864" w:type="dxa"/>
            <w:vAlign w:val="center"/>
          </w:tcPr>
          <w:p w14:paraId="1B3866CF"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DCCC46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vAlign w:val="center"/>
          </w:tcPr>
          <w:p w14:paraId="13987067"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vAlign w:val="center"/>
          </w:tcPr>
          <w:p w14:paraId="5A1CDAFC"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vAlign w:val="center"/>
          </w:tcPr>
          <w:p w14:paraId="2009DEE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35B8DFD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vAlign w:val="center"/>
          </w:tcPr>
          <w:p w14:paraId="107117F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6B77B3" w:rsidRPr="00D1392F" w14:paraId="52CD9850" w14:textId="77777777" w:rsidTr="002B7C18">
        <w:trPr>
          <w:trHeight w:val="780"/>
          <w:jc w:val="center"/>
        </w:trPr>
        <w:tc>
          <w:tcPr>
            <w:tcW w:w="2043" w:type="dxa"/>
            <w:vAlign w:val="center"/>
          </w:tcPr>
          <w:p w14:paraId="6A922DD6" w14:textId="067209D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El SCRS ejecuta MP candidatos</w:t>
            </w:r>
          </w:p>
        </w:tc>
        <w:tc>
          <w:tcPr>
            <w:tcW w:w="864" w:type="dxa"/>
            <w:shd w:val="clear" w:color="auto" w:fill="DBE5F1" w:themeFill="accent1" w:themeFillTint="33"/>
            <w:vAlign w:val="center"/>
          </w:tcPr>
          <w:p w14:paraId="04F552D2" w14:textId="5FEFDE0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5277013A"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3A76FE17"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01FE810A"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1BA9177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40F5872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264F7F26" w14:textId="77777777" w:rsidR="006B77B3" w:rsidRPr="00D1392F" w:rsidRDefault="006B77B3" w:rsidP="00F12C4B">
            <w:pPr>
              <w:pStyle w:val="Heading1"/>
              <w:ind w:right="68"/>
              <w:jc w:val="center"/>
              <w:rPr>
                <w:rFonts w:asciiTheme="majorHAnsi" w:hAnsiTheme="majorHAnsi"/>
                <w:b w:val="0"/>
              </w:rPr>
            </w:pPr>
          </w:p>
        </w:tc>
      </w:tr>
      <w:tr w:rsidR="006B77B3" w:rsidRPr="00D1392F" w14:paraId="1A7A6EA9" w14:textId="77777777" w:rsidTr="002B7C18">
        <w:trPr>
          <w:trHeight w:val="780"/>
          <w:jc w:val="center"/>
        </w:trPr>
        <w:tc>
          <w:tcPr>
            <w:tcW w:w="2043" w:type="dxa"/>
            <w:vAlign w:val="center"/>
          </w:tcPr>
          <w:p w14:paraId="3EDA6517" w14:textId="371F9EC5" w:rsidR="006B77B3" w:rsidRPr="00D1392F" w:rsidRDefault="006B77B3" w:rsidP="002B7C18">
            <w:pPr>
              <w:pStyle w:val="Heading1"/>
              <w:ind w:right="68"/>
              <w:rPr>
                <w:rFonts w:asciiTheme="majorHAnsi" w:hAnsiTheme="majorHAnsi"/>
                <w:b w:val="0"/>
              </w:rPr>
            </w:pPr>
            <w:r w:rsidRPr="00D1392F">
              <w:rPr>
                <w:rFonts w:asciiTheme="majorHAnsi" w:hAnsiTheme="majorHAnsi"/>
                <w:b w:val="0"/>
              </w:rPr>
              <w:t>La Comisión adopta un MP</w:t>
            </w:r>
          </w:p>
        </w:tc>
        <w:tc>
          <w:tcPr>
            <w:tcW w:w="864" w:type="dxa"/>
            <w:shd w:val="clear" w:color="auto" w:fill="DBE5F1" w:themeFill="accent1" w:themeFillTint="33"/>
            <w:vAlign w:val="center"/>
          </w:tcPr>
          <w:p w14:paraId="5B64F254" w14:textId="1024E452" w:rsidR="006B77B3" w:rsidRPr="00D1392F" w:rsidRDefault="006B77B3" w:rsidP="00F12C4B">
            <w:pPr>
              <w:pStyle w:val="Heading1"/>
              <w:ind w:right="68"/>
              <w:jc w:val="center"/>
              <w:rPr>
                <w:rFonts w:asciiTheme="majorHAnsi" w:hAnsiTheme="majorHAnsi"/>
                <w:b w:val="0"/>
              </w:rPr>
            </w:pPr>
            <w:r w:rsidRPr="00D1392F">
              <w:rPr>
                <w:rFonts w:asciiTheme="majorHAnsi" w:hAnsiTheme="majorHAnsi"/>
                <w:b w:val="0"/>
              </w:rPr>
              <w:t>X</w:t>
            </w:r>
          </w:p>
        </w:tc>
        <w:tc>
          <w:tcPr>
            <w:tcW w:w="891" w:type="dxa"/>
            <w:vAlign w:val="center"/>
          </w:tcPr>
          <w:p w14:paraId="4AB16B96" w14:textId="77777777" w:rsidR="006B77B3" w:rsidRPr="00D1392F" w:rsidRDefault="006B77B3" w:rsidP="00F12C4B">
            <w:pPr>
              <w:pStyle w:val="Heading1"/>
              <w:ind w:right="68"/>
              <w:jc w:val="center"/>
              <w:rPr>
                <w:rFonts w:asciiTheme="majorHAnsi" w:hAnsiTheme="majorHAnsi"/>
                <w:b w:val="0"/>
              </w:rPr>
            </w:pPr>
          </w:p>
        </w:tc>
        <w:tc>
          <w:tcPr>
            <w:tcW w:w="899" w:type="dxa"/>
            <w:vAlign w:val="center"/>
          </w:tcPr>
          <w:p w14:paraId="137948FD" w14:textId="77777777" w:rsidR="006B77B3" w:rsidRPr="00D1392F" w:rsidRDefault="006B77B3" w:rsidP="00F12C4B">
            <w:pPr>
              <w:pStyle w:val="Heading1"/>
              <w:ind w:right="68"/>
              <w:jc w:val="center"/>
              <w:rPr>
                <w:rFonts w:asciiTheme="majorHAnsi" w:hAnsiTheme="majorHAnsi"/>
                <w:b w:val="0"/>
              </w:rPr>
            </w:pPr>
          </w:p>
        </w:tc>
        <w:tc>
          <w:tcPr>
            <w:tcW w:w="901" w:type="dxa"/>
            <w:vAlign w:val="center"/>
          </w:tcPr>
          <w:p w14:paraId="2EF1D02D" w14:textId="77777777" w:rsidR="006B77B3" w:rsidRPr="00D1392F" w:rsidRDefault="006B77B3" w:rsidP="00F12C4B">
            <w:pPr>
              <w:pStyle w:val="Heading1"/>
              <w:ind w:right="68"/>
              <w:jc w:val="center"/>
              <w:rPr>
                <w:rFonts w:asciiTheme="majorHAnsi" w:hAnsiTheme="majorHAnsi"/>
                <w:b w:val="0"/>
              </w:rPr>
            </w:pPr>
          </w:p>
        </w:tc>
        <w:tc>
          <w:tcPr>
            <w:tcW w:w="864" w:type="dxa"/>
            <w:vAlign w:val="center"/>
          </w:tcPr>
          <w:p w14:paraId="0DCC2604"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6BDB2EDC" w14:textId="77777777" w:rsidR="006B77B3" w:rsidRPr="00D1392F" w:rsidRDefault="006B77B3" w:rsidP="00F12C4B">
            <w:pPr>
              <w:pStyle w:val="Heading1"/>
              <w:ind w:right="68"/>
              <w:jc w:val="center"/>
              <w:rPr>
                <w:rFonts w:asciiTheme="majorHAnsi" w:hAnsiTheme="majorHAnsi"/>
                <w:b w:val="0"/>
              </w:rPr>
            </w:pPr>
          </w:p>
        </w:tc>
        <w:tc>
          <w:tcPr>
            <w:tcW w:w="865" w:type="dxa"/>
            <w:vAlign w:val="center"/>
          </w:tcPr>
          <w:p w14:paraId="52A18BBB" w14:textId="77777777" w:rsidR="006B77B3" w:rsidRPr="00D1392F" w:rsidRDefault="006B77B3" w:rsidP="00F12C4B">
            <w:pPr>
              <w:pStyle w:val="Heading1"/>
              <w:ind w:right="68"/>
              <w:jc w:val="center"/>
              <w:rPr>
                <w:rFonts w:asciiTheme="majorHAnsi" w:hAnsiTheme="majorHAnsi"/>
                <w:b w:val="0"/>
              </w:rPr>
            </w:pPr>
          </w:p>
        </w:tc>
      </w:tr>
      <w:tr w:rsidR="00BC03F2" w:rsidRPr="00D1392F" w14:paraId="43A7467B" w14:textId="77777777" w:rsidTr="009E2AC2">
        <w:trPr>
          <w:trHeight w:val="780"/>
          <w:jc w:val="center"/>
        </w:trPr>
        <w:tc>
          <w:tcPr>
            <w:tcW w:w="2043" w:type="dxa"/>
            <w:vAlign w:val="center"/>
          </w:tcPr>
          <w:p w14:paraId="7CB598E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ejecuta el MP</w:t>
            </w:r>
          </w:p>
        </w:tc>
        <w:tc>
          <w:tcPr>
            <w:tcW w:w="864" w:type="dxa"/>
            <w:shd w:val="clear" w:color="auto" w:fill="DBE5F1" w:themeFill="accent1" w:themeFillTint="33"/>
            <w:vAlign w:val="center"/>
          </w:tcPr>
          <w:p w14:paraId="5DB7C14A" w14:textId="04EC90A7" w:rsidR="00BC03F2" w:rsidRPr="00D1392F" w:rsidRDefault="009E2AC2"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6D7F18F5"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FED707B"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1300F3B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269306A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71722314"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42B8B93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294D05B" w14:textId="77777777" w:rsidTr="002B7C18">
        <w:trPr>
          <w:trHeight w:val="781"/>
          <w:jc w:val="center"/>
        </w:trPr>
        <w:tc>
          <w:tcPr>
            <w:tcW w:w="2043" w:type="dxa"/>
            <w:vAlign w:val="center"/>
          </w:tcPr>
          <w:p w14:paraId="0347B70D"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adopta el TAC basado en el MP</w:t>
            </w:r>
          </w:p>
        </w:tc>
        <w:tc>
          <w:tcPr>
            <w:tcW w:w="864" w:type="dxa"/>
            <w:shd w:val="clear" w:color="auto" w:fill="DBE5F1" w:themeFill="accent1" w:themeFillTint="33"/>
            <w:vAlign w:val="center"/>
          </w:tcPr>
          <w:p w14:paraId="7146237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1" w:type="dxa"/>
            <w:vAlign w:val="center"/>
          </w:tcPr>
          <w:p w14:paraId="2ACAAF53"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3CB4C4B7" w14:textId="77777777" w:rsidR="00BC03F2" w:rsidRPr="00D1392F" w:rsidRDefault="00BC03F2" w:rsidP="00F12C4B">
            <w:pPr>
              <w:pStyle w:val="Heading1"/>
              <w:ind w:right="68"/>
              <w:jc w:val="center"/>
              <w:rPr>
                <w:rFonts w:asciiTheme="majorHAnsi" w:hAnsiTheme="majorHAnsi"/>
                <w:b w:val="0"/>
                <w:bCs w:val="0"/>
              </w:rPr>
            </w:pPr>
          </w:p>
        </w:tc>
        <w:tc>
          <w:tcPr>
            <w:tcW w:w="901" w:type="dxa"/>
            <w:shd w:val="clear" w:color="auto" w:fill="DBE5F1" w:themeFill="accent1" w:themeFillTint="33"/>
            <w:vAlign w:val="center"/>
          </w:tcPr>
          <w:p w14:paraId="7DEB77D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D6191BA"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33207AF1" w14:textId="77777777" w:rsidR="00BC03F2" w:rsidRPr="00D1392F" w:rsidRDefault="00BC03F2" w:rsidP="00F12C4B">
            <w:pPr>
              <w:pStyle w:val="Heading1"/>
              <w:ind w:right="68"/>
              <w:jc w:val="center"/>
              <w:rPr>
                <w:rFonts w:asciiTheme="majorHAnsi" w:hAnsiTheme="majorHAnsi"/>
                <w:b w:val="0"/>
                <w:bCs w:val="0"/>
              </w:rPr>
            </w:pPr>
          </w:p>
        </w:tc>
        <w:tc>
          <w:tcPr>
            <w:tcW w:w="865" w:type="dxa"/>
            <w:shd w:val="clear" w:color="auto" w:fill="DBE5F1" w:themeFill="accent1" w:themeFillTint="33"/>
            <w:vAlign w:val="center"/>
          </w:tcPr>
          <w:p w14:paraId="00193863"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52E1684" w14:textId="77777777" w:rsidTr="002B7C18">
        <w:trPr>
          <w:trHeight w:val="780"/>
          <w:jc w:val="center"/>
        </w:trPr>
        <w:tc>
          <w:tcPr>
            <w:tcW w:w="2043" w:type="dxa"/>
            <w:vAlign w:val="center"/>
          </w:tcPr>
          <w:p w14:paraId="020A1B37"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TAC en vigor</w:t>
            </w:r>
          </w:p>
        </w:tc>
        <w:tc>
          <w:tcPr>
            <w:tcW w:w="864" w:type="dxa"/>
            <w:vAlign w:val="center"/>
          </w:tcPr>
          <w:p w14:paraId="58C2BA29" w14:textId="77777777" w:rsidR="00BC03F2" w:rsidRPr="00D1392F" w:rsidRDefault="00BC03F2" w:rsidP="00F12C4B">
            <w:pPr>
              <w:pStyle w:val="Heading1"/>
              <w:ind w:right="68"/>
              <w:jc w:val="center"/>
              <w:rPr>
                <w:rFonts w:asciiTheme="majorHAnsi" w:hAnsiTheme="majorHAnsi"/>
                <w:b w:val="0"/>
                <w:bCs w:val="0"/>
              </w:rPr>
            </w:pPr>
          </w:p>
        </w:tc>
        <w:tc>
          <w:tcPr>
            <w:tcW w:w="891" w:type="dxa"/>
            <w:shd w:val="clear" w:color="auto" w:fill="DBE5F1" w:themeFill="accent1" w:themeFillTint="33"/>
            <w:vAlign w:val="center"/>
          </w:tcPr>
          <w:p w14:paraId="416CA50B"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99" w:type="dxa"/>
            <w:shd w:val="clear" w:color="auto" w:fill="DBE5F1" w:themeFill="accent1" w:themeFillTint="33"/>
            <w:vAlign w:val="center"/>
          </w:tcPr>
          <w:p w14:paraId="000461EE"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901" w:type="dxa"/>
            <w:shd w:val="clear" w:color="auto" w:fill="DBE5F1" w:themeFill="accent1" w:themeFillTint="33"/>
            <w:vAlign w:val="center"/>
          </w:tcPr>
          <w:p w14:paraId="432D8D26"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4" w:type="dxa"/>
            <w:shd w:val="clear" w:color="auto" w:fill="DBE5F1" w:themeFill="accent1" w:themeFillTint="33"/>
            <w:vAlign w:val="center"/>
          </w:tcPr>
          <w:p w14:paraId="458CD2A8"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467A554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c>
          <w:tcPr>
            <w:tcW w:w="865" w:type="dxa"/>
            <w:shd w:val="clear" w:color="auto" w:fill="DBE5F1" w:themeFill="accent1" w:themeFillTint="33"/>
            <w:vAlign w:val="center"/>
          </w:tcPr>
          <w:p w14:paraId="5E26E50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1A399E4D" w14:textId="77777777" w:rsidTr="002B7C18">
        <w:trPr>
          <w:trHeight w:val="780"/>
          <w:jc w:val="center"/>
        </w:trPr>
        <w:tc>
          <w:tcPr>
            <w:tcW w:w="2043" w:type="dxa"/>
            <w:vAlign w:val="center"/>
          </w:tcPr>
          <w:p w14:paraId="242283EC"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El SCRS revisa el MP</w:t>
            </w:r>
          </w:p>
        </w:tc>
        <w:tc>
          <w:tcPr>
            <w:tcW w:w="864" w:type="dxa"/>
            <w:vAlign w:val="center"/>
          </w:tcPr>
          <w:p w14:paraId="5B2BB087"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362002E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051D6724"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540A7B29"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123BEBE"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4359599D"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5CFA6AA"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46598FDF" w14:textId="77777777" w:rsidTr="002B7C18">
        <w:trPr>
          <w:trHeight w:val="780"/>
          <w:jc w:val="center"/>
        </w:trPr>
        <w:tc>
          <w:tcPr>
            <w:tcW w:w="2043" w:type="dxa"/>
            <w:vAlign w:val="center"/>
          </w:tcPr>
          <w:p w14:paraId="2F7AC1F2" w14:textId="702F564F"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Comprobación/</w:t>
            </w:r>
            <w:r w:rsidR="006B77B3" w:rsidRPr="00D1392F">
              <w:rPr>
                <w:rFonts w:asciiTheme="majorHAnsi" w:hAnsiTheme="majorHAnsi"/>
                <w:b w:val="0"/>
              </w:rPr>
              <w:t xml:space="preserve"> </w:t>
            </w:r>
            <w:r w:rsidRPr="00D1392F">
              <w:rPr>
                <w:rFonts w:asciiTheme="majorHAnsi" w:hAnsiTheme="majorHAnsi"/>
                <w:b w:val="0"/>
              </w:rPr>
              <w:t>Evaluación del estado</w:t>
            </w:r>
            <w:r w:rsidR="006B77B3" w:rsidRPr="00D1392F">
              <w:rPr>
                <w:rStyle w:val="FootnoteReference"/>
                <w:rFonts w:asciiTheme="majorHAnsi" w:hAnsiTheme="majorHAnsi"/>
                <w:b w:val="0"/>
              </w:rPr>
              <w:footnoteReference w:id="1"/>
            </w:r>
          </w:p>
        </w:tc>
        <w:tc>
          <w:tcPr>
            <w:tcW w:w="864" w:type="dxa"/>
            <w:vAlign w:val="center"/>
          </w:tcPr>
          <w:p w14:paraId="136F2FD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2B8A22AB"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6D60C75F"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34CD6BC4"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47AC198A"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05CAD15"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6E68D252"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r w:rsidR="00BC03F2" w:rsidRPr="00D1392F" w14:paraId="65614A10" w14:textId="77777777" w:rsidTr="002B7C18">
        <w:trPr>
          <w:trHeight w:val="781"/>
          <w:jc w:val="center"/>
        </w:trPr>
        <w:tc>
          <w:tcPr>
            <w:tcW w:w="2043" w:type="dxa"/>
            <w:vAlign w:val="center"/>
          </w:tcPr>
          <w:p w14:paraId="74F1300E" w14:textId="77777777" w:rsidR="00BC03F2" w:rsidRPr="00D1392F" w:rsidRDefault="009A5C6B" w:rsidP="002B7C18">
            <w:pPr>
              <w:pStyle w:val="Heading1"/>
              <w:ind w:right="68"/>
              <w:rPr>
                <w:rFonts w:asciiTheme="majorHAnsi" w:hAnsiTheme="majorHAnsi"/>
                <w:b w:val="0"/>
                <w:bCs w:val="0"/>
              </w:rPr>
            </w:pPr>
            <w:r w:rsidRPr="00D1392F">
              <w:rPr>
                <w:rFonts w:asciiTheme="majorHAnsi" w:hAnsiTheme="majorHAnsi"/>
                <w:b w:val="0"/>
              </w:rPr>
              <w:t>La Comisión evalúa la revisión del SCRS y próximos pasos</w:t>
            </w:r>
          </w:p>
        </w:tc>
        <w:tc>
          <w:tcPr>
            <w:tcW w:w="864" w:type="dxa"/>
            <w:vAlign w:val="center"/>
          </w:tcPr>
          <w:p w14:paraId="63CD8551" w14:textId="77777777" w:rsidR="00BC03F2" w:rsidRPr="00D1392F" w:rsidRDefault="00BC03F2" w:rsidP="00F12C4B">
            <w:pPr>
              <w:pStyle w:val="Heading1"/>
              <w:ind w:right="68"/>
              <w:jc w:val="center"/>
              <w:rPr>
                <w:rFonts w:asciiTheme="majorHAnsi" w:hAnsiTheme="majorHAnsi"/>
                <w:b w:val="0"/>
                <w:bCs w:val="0"/>
              </w:rPr>
            </w:pPr>
          </w:p>
        </w:tc>
        <w:tc>
          <w:tcPr>
            <w:tcW w:w="891" w:type="dxa"/>
            <w:vAlign w:val="center"/>
          </w:tcPr>
          <w:p w14:paraId="5E80548F" w14:textId="77777777" w:rsidR="00BC03F2" w:rsidRPr="00D1392F" w:rsidRDefault="00BC03F2" w:rsidP="00F12C4B">
            <w:pPr>
              <w:pStyle w:val="Heading1"/>
              <w:ind w:right="68"/>
              <w:jc w:val="center"/>
              <w:rPr>
                <w:rFonts w:asciiTheme="majorHAnsi" w:hAnsiTheme="majorHAnsi"/>
                <w:b w:val="0"/>
                <w:bCs w:val="0"/>
              </w:rPr>
            </w:pPr>
          </w:p>
        </w:tc>
        <w:tc>
          <w:tcPr>
            <w:tcW w:w="899" w:type="dxa"/>
            <w:vAlign w:val="center"/>
          </w:tcPr>
          <w:p w14:paraId="7C38CD82" w14:textId="77777777" w:rsidR="00BC03F2" w:rsidRPr="00D1392F" w:rsidRDefault="00BC03F2" w:rsidP="00F12C4B">
            <w:pPr>
              <w:pStyle w:val="Heading1"/>
              <w:ind w:right="68"/>
              <w:jc w:val="center"/>
              <w:rPr>
                <w:rFonts w:asciiTheme="majorHAnsi" w:hAnsiTheme="majorHAnsi"/>
                <w:b w:val="0"/>
                <w:bCs w:val="0"/>
              </w:rPr>
            </w:pPr>
          </w:p>
        </w:tc>
        <w:tc>
          <w:tcPr>
            <w:tcW w:w="901" w:type="dxa"/>
            <w:vAlign w:val="center"/>
          </w:tcPr>
          <w:p w14:paraId="2A30F315" w14:textId="77777777" w:rsidR="00BC03F2" w:rsidRPr="00D1392F" w:rsidRDefault="00BC03F2" w:rsidP="00F12C4B">
            <w:pPr>
              <w:pStyle w:val="Heading1"/>
              <w:ind w:right="68"/>
              <w:jc w:val="center"/>
              <w:rPr>
                <w:rFonts w:asciiTheme="majorHAnsi" w:hAnsiTheme="majorHAnsi"/>
                <w:b w:val="0"/>
                <w:bCs w:val="0"/>
              </w:rPr>
            </w:pPr>
          </w:p>
        </w:tc>
        <w:tc>
          <w:tcPr>
            <w:tcW w:w="864" w:type="dxa"/>
            <w:vAlign w:val="center"/>
          </w:tcPr>
          <w:p w14:paraId="32EA3409"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5DDB1B14" w14:textId="77777777" w:rsidR="00BC03F2" w:rsidRPr="00D1392F" w:rsidRDefault="00BC03F2" w:rsidP="00F12C4B">
            <w:pPr>
              <w:pStyle w:val="Heading1"/>
              <w:ind w:right="68"/>
              <w:jc w:val="center"/>
              <w:rPr>
                <w:rFonts w:asciiTheme="majorHAnsi" w:hAnsiTheme="majorHAnsi"/>
                <w:b w:val="0"/>
                <w:bCs w:val="0"/>
              </w:rPr>
            </w:pPr>
          </w:p>
        </w:tc>
        <w:tc>
          <w:tcPr>
            <w:tcW w:w="865" w:type="dxa"/>
            <w:vAlign w:val="center"/>
          </w:tcPr>
          <w:p w14:paraId="39AAB7FD" w14:textId="77777777" w:rsidR="00BC03F2" w:rsidRPr="00D1392F" w:rsidRDefault="009A5C6B" w:rsidP="00F12C4B">
            <w:pPr>
              <w:pStyle w:val="Heading1"/>
              <w:ind w:right="68"/>
              <w:jc w:val="center"/>
              <w:rPr>
                <w:rFonts w:asciiTheme="majorHAnsi" w:hAnsiTheme="majorHAnsi"/>
                <w:b w:val="0"/>
                <w:bCs w:val="0"/>
              </w:rPr>
            </w:pPr>
            <w:r w:rsidRPr="00D1392F">
              <w:rPr>
                <w:rFonts w:asciiTheme="majorHAnsi" w:hAnsiTheme="majorHAnsi"/>
                <w:b w:val="0"/>
              </w:rPr>
              <w:t>X</w:t>
            </w:r>
          </w:p>
        </w:tc>
      </w:tr>
    </w:tbl>
    <w:p w14:paraId="606329E4" w14:textId="77777777" w:rsidR="00BC03F2" w:rsidRPr="00D1392F" w:rsidRDefault="00BC03F2">
      <w:pPr>
        <w:pStyle w:val="Heading1"/>
        <w:ind w:right="68"/>
        <w:rPr>
          <w:rFonts w:asciiTheme="majorHAnsi" w:hAnsiTheme="majorHAnsi"/>
        </w:rPr>
      </w:pPr>
    </w:p>
    <w:p w14:paraId="470247F7" w14:textId="77777777" w:rsidR="00606ADB" w:rsidRPr="00D1392F" w:rsidRDefault="00606ADB" w:rsidP="00606ADB">
      <w:pPr>
        <w:rPr>
          <w:rFonts w:asciiTheme="majorHAnsi" w:hAnsiTheme="majorHAnsi"/>
          <w:sz w:val="20"/>
          <w:szCs w:val="20"/>
          <w:lang w:eastAsia="en-US"/>
        </w:rPr>
      </w:pPr>
    </w:p>
    <w:p w14:paraId="49E9CA3B" w14:textId="77777777" w:rsidR="00606ADB" w:rsidRPr="00D1392F" w:rsidRDefault="00606ADB" w:rsidP="00606ADB">
      <w:pPr>
        <w:rPr>
          <w:rFonts w:asciiTheme="majorHAnsi" w:hAnsiTheme="majorHAnsi"/>
          <w:sz w:val="20"/>
          <w:szCs w:val="20"/>
          <w:lang w:eastAsia="en-US"/>
        </w:rPr>
      </w:pPr>
    </w:p>
    <w:p w14:paraId="023DFE20" w14:textId="77777777" w:rsidR="00606ADB" w:rsidRPr="00D1392F" w:rsidRDefault="00606ADB" w:rsidP="00606ADB">
      <w:pPr>
        <w:rPr>
          <w:rFonts w:asciiTheme="majorHAnsi" w:hAnsiTheme="majorHAnsi"/>
          <w:sz w:val="20"/>
          <w:szCs w:val="20"/>
          <w:lang w:eastAsia="en-US"/>
        </w:rPr>
      </w:pPr>
    </w:p>
    <w:p w14:paraId="1072DF67" w14:textId="77777777" w:rsidR="00606ADB" w:rsidRPr="00D1392F" w:rsidRDefault="00606ADB" w:rsidP="00606ADB">
      <w:pPr>
        <w:rPr>
          <w:rFonts w:asciiTheme="majorHAnsi" w:hAnsiTheme="majorHAnsi"/>
          <w:sz w:val="20"/>
          <w:szCs w:val="20"/>
          <w:lang w:eastAsia="en-US"/>
        </w:rPr>
      </w:pPr>
    </w:p>
    <w:p w14:paraId="3AD778E8" w14:textId="77777777" w:rsidR="00606ADB" w:rsidRPr="00D1392F" w:rsidRDefault="00606ADB" w:rsidP="00606ADB">
      <w:pPr>
        <w:rPr>
          <w:rFonts w:asciiTheme="majorHAnsi" w:hAnsiTheme="majorHAnsi"/>
          <w:sz w:val="20"/>
          <w:szCs w:val="20"/>
          <w:lang w:eastAsia="en-US"/>
        </w:rPr>
      </w:pPr>
    </w:p>
    <w:p w14:paraId="5C9CA92A" w14:textId="77777777" w:rsidR="00606ADB" w:rsidRPr="00D1392F" w:rsidRDefault="00606ADB" w:rsidP="00606ADB">
      <w:pPr>
        <w:rPr>
          <w:rFonts w:asciiTheme="majorHAnsi" w:eastAsia="Cambria" w:hAnsiTheme="majorHAnsi" w:cs="Cambria"/>
          <w:b/>
          <w:bCs/>
          <w:sz w:val="20"/>
          <w:szCs w:val="20"/>
          <w:lang w:eastAsia="en-US"/>
        </w:rPr>
      </w:pPr>
    </w:p>
    <w:p w14:paraId="4084E487" w14:textId="453FEF7A" w:rsidR="00606ADB" w:rsidRPr="00D1392F" w:rsidRDefault="00606ADB" w:rsidP="00606ADB">
      <w:pPr>
        <w:tabs>
          <w:tab w:val="left" w:pos="1187"/>
        </w:tabs>
        <w:rPr>
          <w:rFonts w:asciiTheme="majorHAnsi" w:hAnsiTheme="majorHAnsi"/>
          <w:sz w:val="20"/>
          <w:szCs w:val="20"/>
          <w:lang w:eastAsia="en-US"/>
        </w:rPr>
      </w:pPr>
      <w:r w:rsidRPr="00D1392F">
        <w:rPr>
          <w:rFonts w:asciiTheme="majorHAnsi" w:hAnsiTheme="majorHAnsi"/>
          <w:sz w:val="20"/>
          <w:szCs w:val="20"/>
          <w:lang w:eastAsia="en-US"/>
        </w:rPr>
        <w:tab/>
      </w:r>
    </w:p>
    <w:sectPr w:rsidR="00606ADB" w:rsidRPr="00D1392F" w:rsidSect="007664B0">
      <w:footerReference w:type="default" r:id="rId14"/>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B7B8" w14:textId="77777777" w:rsidR="00393B71" w:rsidRDefault="00393B71">
      <w:r>
        <w:separator/>
      </w:r>
    </w:p>
  </w:endnote>
  <w:endnote w:type="continuationSeparator" w:id="0">
    <w:p w14:paraId="3B5DD83E" w14:textId="77777777" w:rsidR="00393B71" w:rsidRDefault="003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9DD1" w14:textId="249F2DBB" w:rsidR="007664B0" w:rsidRPr="007664B0" w:rsidRDefault="006C060A"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101737614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sidRPr="007664B0">
          <w:rPr>
            <w:rFonts w:eastAsia="Calibri" w:cs="Times New Roman"/>
            <w:sz w:val="20"/>
          </w:rPr>
          <w:t>1</w:t>
        </w:r>
        <w:r w:rsidR="007664B0" w:rsidRPr="007664B0">
          <w:rPr>
            <w:rFonts w:eastAsia="Calibri" w:cs="Times New Roman"/>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CCDE" w14:textId="605506E0" w:rsidR="007664B0" w:rsidRPr="007664B0" w:rsidRDefault="006C060A"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41906697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Pr>
            <w:rFonts w:eastAsia="Calibri" w:cs="Times New Roman"/>
            <w:sz w:val="20"/>
          </w:rPr>
          <w:t>5</w:t>
        </w:r>
        <w:r w:rsidR="007664B0" w:rsidRPr="007664B0">
          <w:rPr>
            <w:rFonts w:eastAsia="Calibri"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E296" w14:textId="77777777" w:rsidR="00393B71" w:rsidRDefault="00393B71">
      <w:r>
        <w:separator/>
      </w:r>
    </w:p>
  </w:footnote>
  <w:footnote w:type="continuationSeparator" w:id="0">
    <w:p w14:paraId="2AE839D6" w14:textId="77777777" w:rsidR="00393B71" w:rsidRDefault="00393B71">
      <w:r>
        <w:continuationSeparator/>
      </w:r>
    </w:p>
  </w:footnote>
  <w:footnote w:id="1">
    <w:p w14:paraId="630F0A8F" w14:textId="7F5189B4" w:rsidR="006B77B3" w:rsidRPr="00A80C66" w:rsidRDefault="006B77B3">
      <w:pPr>
        <w:pStyle w:val="FootnoteText"/>
        <w:rPr>
          <w:rFonts w:asciiTheme="majorHAnsi" w:hAnsiTheme="majorHAnsi"/>
          <w:sz w:val="16"/>
          <w:szCs w:val="16"/>
        </w:rPr>
      </w:pPr>
      <w:r w:rsidRPr="00A80C66">
        <w:rPr>
          <w:rStyle w:val="FootnoteReference"/>
          <w:rFonts w:asciiTheme="majorHAnsi" w:hAnsiTheme="majorHAnsi"/>
          <w:sz w:val="16"/>
          <w:szCs w:val="16"/>
        </w:rPr>
        <w:footnoteRef/>
      </w:r>
      <w:r w:rsidRPr="00A80C66">
        <w:rPr>
          <w:rFonts w:asciiTheme="majorHAnsi" w:hAnsiTheme="majorHAnsi"/>
          <w:sz w:val="16"/>
          <w:szCs w:val="16"/>
        </w:rPr>
        <w:t xml:space="preserve"> La comprobación/evaluación del estado seguirá la metodología de la evaluación de 2022, ejecutando los modelos SPSS y Stock Synthesis</w:t>
      </w:r>
      <w:r w:rsidR="00606ADB" w:rsidRPr="00A80C66">
        <w:rPr>
          <w:rFonts w:asciiTheme="majorHAnsi" w:hAnsiTheme="majorHAnsi"/>
          <w:sz w:val="16"/>
          <w:szCs w:val="16"/>
        </w:rPr>
        <w:t xml:space="preserve"> (SS3)</w:t>
      </w:r>
      <w:r w:rsidRPr="00A80C66">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15B" w14:textId="380EF77A" w:rsidR="00B94F89" w:rsidRPr="00B94F89" w:rsidRDefault="00B94F89" w:rsidP="00B94F89">
    <w:pPr>
      <w:widowControl w:val="0"/>
      <w:tabs>
        <w:tab w:val="center" w:pos="4680"/>
        <w:tab w:val="left" w:pos="6520"/>
        <w:tab w:val="right" w:pos="9360"/>
        <w:tab w:val="right" w:pos="14240"/>
      </w:tabs>
      <w:suppressAutoHyphens w:val="0"/>
      <w:jc w:val="right"/>
      <w:rPr>
        <w:rFonts w:ascii="Cambria" w:eastAsia="Calibri" w:hAnsi="Cambria"/>
        <w:b/>
        <w:bCs/>
        <w:sz w:val="20"/>
        <w:szCs w:val="20"/>
        <w:lang w:val="en-US" w:eastAsia="en-US"/>
      </w:rPr>
    </w:pPr>
    <w:r w:rsidRPr="00B94F89">
      <w:rPr>
        <w:rFonts w:ascii="Cambria" w:eastAsia="Calibri" w:hAnsi="Cambria"/>
        <w:b/>
        <w:bCs/>
        <w:sz w:val="20"/>
        <w:szCs w:val="20"/>
        <w:lang w:val="en-US" w:eastAsia="en-US"/>
      </w:rPr>
      <w:t>PA</w:t>
    </w:r>
    <w:bookmarkStart w:id="1" w:name="_Hlk107908354"/>
    <w:bookmarkStart w:id="2" w:name="_Hlk107908355"/>
    <w:bookmarkStart w:id="3" w:name="_Hlk107908359"/>
    <w:bookmarkStart w:id="4" w:name="_Hlk107908360"/>
    <w:bookmarkStart w:id="5" w:name="_Hlk107908361"/>
    <w:bookmarkStart w:id="6" w:name="_Hlk107908362"/>
    <w:r w:rsidRPr="00B94F89">
      <w:rPr>
        <w:rFonts w:ascii="Cambria" w:eastAsia="Calibri" w:hAnsi="Cambria"/>
        <w:b/>
        <w:bCs/>
        <w:sz w:val="20"/>
        <w:szCs w:val="20"/>
        <w:lang w:val="en-US" w:eastAsia="en-US"/>
      </w:rPr>
      <w:t>1_505</w:t>
    </w:r>
    <w:r w:rsidR="001E3665">
      <w:rPr>
        <w:rFonts w:ascii="Cambria" w:eastAsia="Calibri" w:hAnsi="Cambria"/>
        <w:b/>
        <w:bCs/>
        <w:sz w:val="20"/>
        <w:szCs w:val="20"/>
        <w:lang w:val="en-US" w:eastAsia="en-US"/>
      </w:rPr>
      <w:t>_REV_1</w:t>
    </w:r>
    <w:r w:rsidRPr="00B94F89">
      <w:rPr>
        <w:rFonts w:ascii="Cambria" w:eastAsia="Calibri" w:hAnsi="Cambria"/>
        <w:b/>
        <w:bCs/>
        <w:sz w:val="20"/>
        <w:szCs w:val="20"/>
        <w:lang w:val="en-US" w:eastAsia="en-US"/>
      </w:rPr>
      <w:t>/2025</w:t>
    </w:r>
  </w:p>
  <w:p w14:paraId="2E6619E6" w14:textId="2B1205A1" w:rsidR="00B94F89" w:rsidRPr="00B94F89" w:rsidRDefault="00B94F89" w:rsidP="00B94F89">
    <w:pPr>
      <w:tabs>
        <w:tab w:val="center" w:pos="4513"/>
        <w:tab w:val="right" w:pos="9026"/>
      </w:tabs>
      <w:suppressAutoHyphens w:val="0"/>
      <w:jc w:val="right"/>
      <w:rPr>
        <w:rFonts w:ascii="Calibri" w:eastAsia="Calibri" w:hAnsi="Calibri"/>
        <w:kern w:val="2"/>
        <w:sz w:val="22"/>
        <w:szCs w:val="22"/>
        <w:lang w:val="en-GB" w:eastAsia="en-US"/>
        <w14:ligatures w14:val="standardContextual"/>
      </w:rPr>
    </w:pPr>
    <w:r w:rsidRPr="00B94F89">
      <w:rPr>
        <w:rFonts w:ascii="Cambria" w:eastAsia="Calibri" w:hAnsi="Cambria"/>
        <w:b/>
        <w:bCs/>
        <w:sz w:val="16"/>
        <w:szCs w:val="16"/>
        <w:lang w:val="es-ES_tradnl" w:eastAsia="en-US"/>
      </w:rPr>
      <w:fldChar w:fldCharType="begin"/>
    </w:r>
    <w:r w:rsidRPr="00B94F89">
      <w:rPr>
        <w:rFonts w:ascii="Cambria" w:eastAsia="Calibri" w:hAnsi="Cambria"/>
        <w:b/>
        <w:bCs/>
        <w:sz w:val="16"/>
        <w:szCs w:val="16"/>
        <w:lang w:val="es-ES_tradnl" w:eastAsia="en-US"/>
      </w:rPr>
      <w:instrText xml:space="preserve"> TIME \@ "dd/MM/yyyy H:mm" </w:instrText>
    </w:r>
    <w:r w:rsidRPr="00B94F89">
      <w:rPr>
        <w:rFonts w:ascii="Cambria" w:eastAsia="Calibri" w:hAnsi="Cambria"/>
        <w:b/>
        <w:bCs/>
        <w:sz w:val="16"/>
        <w:szCs w:val="16"/>
        <w:lang w:val="es-ES_tradnl" w:eastAsia="en-US"/>
      </w:rPr>
      <w:fldChar w:fldCharType="separate"/>
    </w:r>
    <w:r w:rsidR="001E3665">
      <w:rPr>
        <w:rFonts w:ascii="Cambria" w:eastAsia="Calibri" w:hAnsi="Cambria"/>
        <w:b/>
        <w:bCs/>
        <w:noProof/>
        <w:sz w:val="16"/>
        <w:szCs w:val="16"/>
        <w:lang w:val="es-ES_tradnl" w:eastAsia="en-US"/>
      </w:rPr>
      <w:t>13/11/2025 9:17</w:t>
    </w:r>
    <w:r w:rsidRPr="00B94F89">
      <w:rPr>
        <w:rFonts w:ascii="Cambria" w:eastAsia="Calibri" w:hAnsi="Cambria"/>
        <w:b/>
        <w:bCs/>
        <w:sz w:val="16"/>
        <w:szCs w:val="16"/>
        <w:lang w:val="es-ES_tradnl" w:eastAsia="en-US"/>
      </w:rPr>
      <w:fldChar w:fldCharType="end"/>
    </w:r>
    <w:bookmarkEnd w:id="1"/>
    <w:bookmarkEnd w:id="2"/>
    <w:bookmarkEnd w:id="3"/>
    <w:bookmarkEnd w:id="4"/>
    <w:bookmarkEnd w:id="5"/>
    <w:bookmarkEnd w:id="6"/>
  </w:p>
  <w:p w14:paraId="5F334895" w14:textId="77777777" w:rsidR="00B94F89" w:rsidRDefault="00B94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E20"/>
    <w:multiLevelType w:val="multilevel"/>
    <w:tmpl w:val="7ECCE084"/>
    <w:lvl w:ilvl="0">
      <w:start w:val="1"/>
      <w:numFmt w:val="decimal"/>
      <w:lvlText w:val="%1."/>
      <w:lvlJc w:val="left"/>
      <w:pPr>
        <w:tabs>
          <w:tab w:val="num" w:pos="0"/>
        </w:tabs>
        <w:ind w:left="545" w:hanging="428"/>
      </w:pPr>
      <w:rPr>
        <w:rFonts w:ascii="Cambria" w:eastAsia="Cambria" w:hAnsi="Cambria" w:cs="Cambria"/>
        <w:i w:val="0"/>
        <w:iCs w:val="0"/>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8"/>
  </w:num>
  <w:num w:numId="2" w16cid:durableId="1553925195">
    <w:abstractNumId w:val="1"/>
  </w:num>
  <w:num w:numId="3" w16cid:durableId="1828087883">
    <w:abstractNumId w:val="3"/>
  </w:num>
  <w:num w:numId="4" w16cid:durableId="776678806">
    <w:abstractNumId w:val="6"/>
  </w:num>
  <w:num w:numId="5" w16cid:durableId="2132361959">
    <w:abstractNumId w:val="0"/>
  </w:num>
  <w:num w:numId="6" w16cid:durableId="921529323">
    <w:abstractNumId w:val="9"/>
  </w:num>
  <w:num w:numId="7" w16cid:durableId="39787625">
    <w:abstractNumId w:val="2"/>
  </w:num>
  <w:num w:numId="8" w16cid:durableId="384334680">
    <w:abstractNumId w:val="10"/>
  </w:num>
  <w:num w:numId="9" w16cid:durableId="111405336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414716047">
    <w:abstractNumId w:val="7"/>
  </w:num>
  <w:num w:numId="11" w16cid:durableId="1473254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268D5"/>
    <w:rsid w:val="000349F6"/>
    <w:rsid w:val="000417B8"/>
    <w:rsid w:val="00041A90"/>
    <w:rsid w:val="00046701"/>
    <w:rsid w:val="00057DFD"/>
    <w:rsid w:val="000663DF"/>
    <w:rsid w:val="00071025"/>
    <w:rsid w:val="00071F1A"/>
    <w:rsid w:val="00087701"/>
    <w:rsid w:val="000A125A"/>
    <w:rsid w:val="000B6614"/>
    <w:rsid w:val="000B7312"/>
    <w:rsid w:val="000E5023"/>
    <w:rsid w:val="000F086F"/>
    <w:rsid w:val="00113A42"/>
    <w:rsid w:val="001207E7"/>
    <w:rsid w:val="001212E4"/>
    <w:rsid w:val="00135F09"/>
    <w:rsid w:val="00143EE7"/>
    <w:rsid w:val="00146121"/>
    <w:rsid w:val="00164509"/>
    <w:rsid w:val="00185D4C"/>
    <w:rsid w:val="001A7813"/>
    <w:rsid w:val="001C4904"/>
    <w:rsid w:val="001E3665"/>
    <w:rsid w:val="001E4308"/>
    <w:rsid w:val="00221195"/>
    <w:rsid w:val="00233930"/>
    <w:rsid w:val="00237273"/>
    <w:rsid w:val="00240BE4"/>
    <w:rsid w:val="0024267D"/>
    <w:rsid w:val="002722D1"/>
    <w:rsid w:val="0028768B"/>
    <w:rsid w:val="002943AC"/>
    <w:rsid w:val="002A6D17"/>
    <w:rsid w:val="002B4874"/>
    <w:rsid w:val="002B5616"/>
    <w:rsid w:val="002B7C18"/>
    <w:rsid w:val="002D6A08"/>
    <w:rsid w:val="002F69FE"/>
    <w:rsid w:val="00303D9B"/>
    <w:rsid w:val="00312F5C"/>
    <w:rsid w:val="00330D25"/>
    <w:rsid w:val="003340B9"/>
    <w:rsid w:val="00356C25"/>
    <w:rsid w:val="0036761F"/>
    <w:rsid w:val="00393B71"/>
    <w:rsid w:val="003A218B"/>
    <w:rsid w:val="003C43F1"/>
    <w:rsid w:val="003E7785"/>
    <w:rsid w:val="004043E8"/>
    <w:rsid w:val="004052D8"/>
    <w:rsid w:val="00425F79"/>
    <w:rsid w:val="00462783"/>
    <w:rsid w:val="004748C4"/>
    <w:rsid w:val="004828ED"/>
    <w:rsid w:val="00483EAF"/>
    <w:rsid w:val="00484725"/>
    <w:rsid w:val="00486AC4"/>
    <w:rsid w:val="00491525"/>
    <w:rsid w:val="004A0059"/>
    <w:rsid w:val="004B763F"/>
    <w:rsid w:val="004D047D"/>
    <w:rsid w:val="004D6E85"/>
    <w:rsid w:val="0050068B"/>
    <w:rsid w:val="00504A98"/>
    <w:rsid w:val="005101E5"/>
    <w:rsid w:val="00523FAA"/>
    <w:rsid w:val="00533B4E"/>
    <w:rsid w:val="00536F45"/>
    <w:rsid w:val="00566B70"/>
    <w:rsid w:val="00584110"/>
    <w:rsid w:val="005C0577"/>
    <w:rsid w:val="005C7284"/>
    <w:rsid w:val="005D5C62"/>
    <w:rsid w:val="005E03DE"/>
    <w:rsid w:val="006065CA"/>
    <w:rsid w:val="00606ADB"/>
    <w:rsid w:val="00641D1E"/>
    <w:rsid w:val="00646EBE"/>
    <w:rsid w:val="00670AC8"/>
    <w:rsid w:val="00671E87"/>
    <w:rsid w:val="006759CF"/>
    <w:rsid w:val="006827FB"/>
    <w:rsid w:val="006A018C"/>
    <w:rsid w:val="006A2088"/>
    <w:rsid w:val="006B77B3"/>
    <w:rsid w:val="006C060A"/>
    <w:rsid w:val="006C2297"/>
    <w:rsid w:val="006C79BD"/>
    <w:rsid w:val="006D139F"/>
    <w:rsid w:val="006F4D5B"/>
    <w:rsid w:val="006F6AA4"/>
    <w:rsid w:val="0076466B"/>
    <w:rsid w:val="00765CB3"/>
    <w:rsid w:val="007664B0"/>
    <w:rsid w:val="007C4F06"/>
    <w:rsid w:val="007D28D5"/>
    <w:rsid w:val="007D446D"/>
    <w:rsid w:val="007E4B6E"/>
    <w:rsid w:val="007F4951"/>
    <w:rsid w:val="0084000E"/>
    <w:rsid w:val="00876B3D"/>
    <w:rsid w:val="00891A12"/>
    <w:rsid w:val="008B4B9A"/>
    <w:rsid w:val="008B5955"/>
    <w:rsid w:val="008D6530"/>
    <w:rsid w:val="008D7C91"/>
    <w:rsid w:val="008F5283"/>
    <w:rsid w:val="008F52FE"/>
    <w:rsid w:val="00901357"/>
    <w:rsid w:val="0090669B"/>
    <w:rsid w:val="009141F3"/>
    <w:rsid w:val="00920C92"/>
    <w:rsid w:val="00923245"/>
    <w:rsid w:val="0092338E"/>
    <w:rsid w:val="00925674"/>
    <w:rsid w:val="009A0798"/>
    <w:rsid w:val="009A5C6B"/>
    <w:rsid w:val="009B5E4A"/>
    <w:rsid w:val="009C29BC"/>
    <w:rsid w:val="009E2AC2"/>
    <w:rsid w:val="009F3C16"/>
    <w:rsid w:val="00A04D03"/>
    <w:rsid w:val="00A16535"/>
    <w:rsid w:val="00A23501"/>
    <w:rsid w:val="00A35755"/>
    <w:rsid w:val="00A374D5"/>
    <w:rsid w:val="00A7543C"/>
    <w:rsid w:val="00A80C66"/>
    <w:rsid w:val="00AB5033"/>
    <w:rsid w:val="00AC4772"/>
    <w:rsid w:val="00AC6AD4"/>
    <w:rsid w:val="00AE542A"/>
    <w:rsid w:val="00AE6834"/>
    <w:rsid w:val="00B005C1"/>
    <w:rsid w:val="00B12164"/>
    <w:rsid w:val="00B32FD8"/>
    <w:rsid w:val="00B413D5"/>
    <w:rsid w:val="00B43575"/>
    <w:rsid w:val="00B573BE"/>
    <w:rsid w:val="00B81C15"/>
    <w:rsid w:val="00B8532A"/>
    <w:rsid w:val="00B94F89"/>
    <w:rsid w:val="00BB7348"/>
    <w:rsid w:val="00BC03F2"/>
    <w:rsid w:val="00BC44D0"/>
    <w:rsid w:val="00BF1860"/>
    <w:rsid w:val="00BF2E2E"/>
    <w:rsid w:val="00BF7454"/>
    <w:rsid w:val="00C004DE"/>
    <w:rsid w:val="00C06A68"/>
    <w:rsid w:val="00C06BE3"/>
    <w:rsid w:val="00C22B67"/>
    <w:rsid w:val="00C320DE"/>
    <w:rsid w:val="00C41328"/>
    <w:rsid w:val="00C443AD"/>
    <w:rsid w:val="00C479D9"/>
    <w:rsid w:val="00C54222"/>
    <w:rsid w:val="00C87A5A"/>
    <w:rsid w:val="00CA018C"/>
    <w:rsid w:val="00CA6732"/>
    <w:rsid w:val="00CC0D2E"/>
    <w:rsid w:val="00CD2A07"/>
    <w:rsid w:val="00CD45BA"/>
    <w:rsid w:val="00D1392F"/>
    <w:rsid w:val="00D40EDE"/>
    <w:rsid w:val="00D41E0A"/>
    <w:rsid w:val="00D72EC7"/>
    <w:rsid w:val="00DB0090"/>
    <w:rsid w:val="00E0085C"/>
    <w:rsid w:val="00E13F57"/>
    <w:rsid w:val="00E46E7B"/>
    <w:rsid w:val="00E90860"/>
    <w:rsid w:val="00E9718C"/>
    <w:rsid w:val="00EB1C3A"/>
    <w:rsid w:val="00EB658F"/>
    <w:rsid w:val="00EB7D21"/>
    <w:rsid w:val="00EC44CE"/>
    <w:rsid w:val="00ED5176"/>
    <w:rsid w:val="00F03CB1"/>
    <w:rsid w:val="00F1068D"/>
    <w:rsid w:val="00F12C4B"/>
    <w:rsid w:val="00F520C6"/>
    <w:rsid w:val="00F8043C"/>
    <w:rsid w:val="00F81FB9"/>
    <w:rsid w:val="00F95AAA"/>
    <w:rsid w:val="00F979F0"/>
    <w:rsid w:val="00FC7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FC35"/>
  <w15:docId w15:val="{24206869-D44A-40D8-BE57-270F0A9A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es-ES"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es-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2609</Words>
  <Characters>14355</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Author</cp:lastModifiedBy>
  <cp:revision>4</cp:revision>
  <dcterms:created xsi:type="dcterms:W3CDTF">2025-11-11T14:45:00Z</dcterms:created>
  <dcterms:modified xsi:type="dcterms:W3CDTF">2025-11-13T08:26:00Z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