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EAF8" w14:textId="47EEDEBD" w:rsidR="005B6D26" w:rsidRPr="002C5AC0" w:rsidRDefault="005B6D26" w:rsidP="00E23C8A">
      <w:pPr>
        <w:suppressAutoHyphens w:val="0"/>
        <w:ind w:right="392"/>
        <w:jc w:val="center"/>
        <w:rPr>
          <w:rFonts w:ascii="Cambria" w:eastAsia="Cambria" w:hAnsi="Cambria" w:cs="Cambria"/>
          <w:b/>
          <w:sz w:val="20"/>
          <w:szCs w:val="20"/>
          <w:lang w:eastAsia="en-US"/>
        </w:rPr>
      </w:pPr>
      <w:r w:rsidRPr="002C5AC0">
        <w:rPr>
          <w:rFonts w:ascii="Cambria" w:eastAsia="Aptos" w:hAnsi="Cambria"/>
          <w:b/>
          <w:kern w:val="2"/>
          <w:sz w:val="20"/>
          <w:lang w:eastAsia="en-US"/>
          <w14:ligatures w14:val="standardContextual"/>
        </w:rPr>
        <w:t>Page de garde accompagnant les nouvelles propositions</w:t>
      </w:r>
    </w:p>
    <w:p w14:paraId="1F43076F" w14:textId="77777777" w:rsidR="005B6D26" w:rsidRPr="002C5AC0" w:rsidRDefault="005B6D26" w:rsidP="005B6D26">
      <w:pPr>
        <w:widowControl w:val="0"/>
        <w:jc w:val="center"/>
        <w:rPr>
          <w:rFonts w:ascii="Cambria" w:eastAsia="Cambria" w:hAnsi="Cambria" w:cs="Cambria"/>
          <w:sz w:val="22"/>
          <w:szCs w:val="22"/>
          <w:lang w:eastAsia="en-US"/>
        </w:rPr>
      </w:pPr>
    </w:p>
    <w:p w14:paraId="6980F0E8" w14:textId="16BFBA1A" w:rsidR="005B6D26" w:rsidRPr="002C5AC0" w:rsidRDefault="005B6D26" w:rsidP="005B6D26">
      <w:pPr>
        <w:widowControl w:val="0"/>
        <w:jc w:val="center"/>
        <w:rPr>
          <w:rFonts w:ascii="Cambria" w:eastAsia="Cambria" w:hAnsi="Cambria" w:cs="Cambria"/>
          <w:i/>
          <w:iCs/>
          <w:sz w:val="20"/>
          <w:szCs w:val="20"/>
          <w:lang w:eastAsia="en-US"/>
        </w:rPr>
      </w:pPr>
      <w:r w:rsidRPr="002C5AC0">
        <w:rPr>
          <w:rFonts w:ascii="Cambria" w:eastAsia="Aptos" w:hAnsi="Cambria"/>
          <w:i/>
          <w:kern w:val="2"/>
          <w:sz w:val="20"/>
          <w:lang w:eastAsia="en-US"/>
          <w14:ligatures w14:val="standardContextual"/>
        </w:rPr>
        <w:t>(Document présenté par le Brésil</w:t>
      </w:r>
      <w:r w:rsidR="001A7F7F" w:rsidRPr="002C5AC0">
        <w:rPr>
          <w:rFonts w:ascii="Cambria" w:eastAsia="Aptos" w:hAnsi="Cambria"/>
          <w:i/>
          <w:kern w:val="2"/>
          <w:sz w:val="20"/>
          <w:lang w:eastAsia="en-US"/>
          <w14:ligatures w14:val="standardContextual"/>
        </w:rPr>
        <w:t xml:space="preserve"> et les États-Unis</w:t>
      </w:r>
      <w:r w:rsidRPr="002C5AC0">
        <w:rPr>
          <w:rFonts w:ascii="Cambria" w:eastAsia="Aptos" w:hAnsi="Cambria"/>
          <w:i/>
          <w:kern w:val="2"/>
          <w:sz w:val="20"/>
          <w:lang w:eastAsia="en-US"/>
          <w14:ligatures w14:val="standardContextual"/>
        </w:rPr>
        <w:t>)</w:t>
      </w:r>
    </w:p>
    <w:p w14:paraId="29125553" w14:textId="77777777" w:rsidR="005B6D26" w:rsidRPr="002C5AC0" w:rsidRDefault="005B6D26" w:rsidP="005B6D26">
      <w:pPr>
        <w:widowControl w:val="0"/>
        <w:rPr>
          <w:rFonts w:ascii="Cambria" w:eastAsia="Cambria" w:hAnsi="Cambria" w:cs="Cambria"/>
          <w:b/>
          <w:sz w:val="20"/>
          <w:szCs w:val="20"/>
          <w:lang w:eastAsia="en-US"/>
        </w:rPr>
      </w:pPr>
    </w:p>
    <w:p w14:paraId="3F602333" w14:textId="16831972" w:rsidR="005B6D26" w:rsidRPr="002C5AC0" w:rsidRDefault="005B6D26" w:rsidP="005B6D26">
      <w:pPr>
        <w:widowControl w:val="0"/>
        <w:jc w:val="both"/>
        <w:rPr>
          <w:rFonts w:ascii="Cambria" w:eastAsia="Cambria" w:hAnsi="Cambria" w:cs="Cambria"/>
          <w:color w:val="FF0000"/>
          <w:sz w:val="20"/>
          <w:szCs w:val="20"/>
          <w:lang w:eastAsia="en-US"/>
        </w:rPr>
      </w:pPr>
      <w:r w:rsidRPr="002C5AC0">
        <w:rPr>
          <w:rFonts w:ascii="Cambria" w:eastAsia="Aptos" w:hAnsi="Cambria"/>
          <w:b/>
          <w:kern w:val="2"/>
          <w:sz w:val="20"/>
          <w:lang w:eastAsia="en-US"/>
          <w14:ligatures w14:val="standardContextual"/>
        </w:rPr>
        <w:t xml:space="preserve">Titre de la proposition de projet de Recommandation/Résolution : </w:t>
      </w:r>
      <w:r w:rsidR="00A11393" w:rsidRPr="002C5AC0">
        <w:rPr>
          <w:rFonts w:ascii="Cambria" w:eastAsia="Aptos" w:hAnsi="Cambria"/>
          <w:color w:val="FF0000"/>
          <w:kern w:val="2"/>
          <w:sz w:val="20"/>
          <w:lang w:eastAsia="en-US"/>
          <w14:ligatures w14:val="standardContextual"/>
        </w:rPr>
        <w:t>Projet de Recommandation de l’ICCAT sur une procédure de gestion potentielle pour le listao de l'Atlantique Ouest</w:t>
      </w:r>
    </w:p>
    <w:p w14:paraId="66333165" w14:textId="77777777" w:rsidR="005B6D26" w:rsidRPr="002C5AC0" w:rsidRDefault="005B6D26" w:rsidP="005B6D26">
      <w:pPr>
        <w:widowControl w:val="0"/>
        <w:ind w:left="318"/>
        <w:jc w:val="both"/>
        <w:rPr>
          <w:rFonts w:ascii="Cambria" w:eastAsia="Cambria" w:hAnsi="Cambria" w:cs="Cambria"/>
          <w:sz w:val="20"/>
          <w:szCs w:val="20"/>
          <w:lang w:eastAsia="en-US"/>
        </w:rPr>
      </w:pPr>
    </w:p>
    <w:p w14:paraId="34FDED79" w14:textId="4E7C681C" w:rsidR="005B6D26" w:rsidRPr="002C5AC0" w:rsidRDefault="005B6D26" w:rsidP="005B6D26">
      <w:pPr>
        <w:widowControl w:val="0"/>
        <w:jc w:val="both"/>
        <w:rPr>
          <w:rFonts w:ascii="Cambria" w:eastAsia="Cambria" w:hAnsi="Cambria" w:cs="Cambria"/>
          <w:color w:val="FF0000"/>
          <w:sz w:val="20"/>
          <w:szCs w:val="20"/>
          <w:lang w:eastAsia="en-US"/>
        </w:rPr>
      </w:pPr>
      <w:r w:rsidRPr="002C5AC0">
        <w:rPr>
          <w:rFonts w:ascii="Cambria" w:eastAsia="Aptos" w:hAnsi="Cambria"/>
          <w:b/>
          <w:kern w:val="2"/>
          <w:sz w:val="20"/>
          <w:lang w:eastAsia="en-US"/>
          <w14:ligatures w14:val="standardContextual"/>
        </w:rPr>
        <w:t>Titre de la ou des Recommandations ou Résolutions en vigueur traitant des mêmes questions ou de questions connexes :</w:t>
      </w:r>
      <w:r w:rsidR="00C31BFD" w:rsidRPr="002C5AC0">
        <w:rPr>
          <w:rFonts w:ascii="Cambria" w:eastAsia="Aptos" w:hAnsi="Cambria"/>
          <w:b/>
          <w:kern w:val="2"/>
          <w:sz w:val="20"/>
          <w:lang w:eastAsia="en-US"/>
          <w14:ligatures w14:val="standardContextual"/>
        </w:rPr>
        <w:t xml:space="preserve"> </w:t>
      </w:r>
      <w:r w:rsidRPr="002C5AC0">
        <w:rPr>
          <w:rFonts w:ascii="Cambria" w:eastAsia="Aptos" w:hAnsi="Cambria"/>
          <w:i/>
          <w:iCs/>
          <w:color w:val="FF0000"/>
          <w:kern w:val="2"/>
          <w:sz w:val="20"/>
          <w:lang w:eastAsia="en-US"/>
          <w14:ligatures w14:val="standardContextual"/>
        </w:rPr>
        <w:t xml:space="preserve">Recommandation de l’ICCAT sur une procédure de gestion potentielle pour le listao de l'Atlantique Ouest </w:t>
      </w:r>
      <w:r w:rsidRPr="002C5AC0">
        <w:rPr>
          <w:rFonts w:ascii="Cambria" w:eastAsia="Aptos" w:hAnsi="Cambria"/>
          <w:color w:val="FF0000"/>
          <w:kern w:val="2"/>
          <w:sz w:val="20"/>
          <w:lang w:eastAsia="en-US"/>
          <w14:ligatures w14:val="standardContextual"/>
        </w:rPr>
        <w:t>(Rec. 24-04)</w:t>
      </w:r>
    </w:p>
    <w:p w14:paraId="0C8C1BB1" w14:textId="77777777" w:rsidR="005B6D26" w:rsidRPr="002C5AC0" w:rsidRDefault="005B6D26" w:rsidP="005B6D26">
      <w:pPr>
        <w:widowControl w:val="0"/>
        <w:jc w:val="both"/>
        <w:rPr>
          <w:rFonts w:ascii="Cambria" w:eastAsia="Cambria" w:hAnsi="Cambria" w:cs="Cambria"/>
          <w:color w:val="FF0000"/>
          <w:sz w:val="20"/>
          <w:szCs w:val="20"/>
          <w:lang w:eastAsia="en-US"/>
        </w:rPr>
      </w:pPr>
    </w:p>
    <w:p w14:paraId="760F1BE1" w14:textId="77777777" w:rsidR="005B6D26" w:rsidRPr="002C5AC0" w:rsidRDefault="005B6D26" w:rsidP="005B6D26">
      <w:pPr>
        <w:widowControl w:val="0"/>
        <w:ind w:left="318"/>
        <w:jc w:val="both"/>
        <w:rPr>
          <w:rFonts w:ascii="Cambria" w:eastAsia="Cambria" w:hAnsi="Cambria" w:cs="Cambria"/>
          <w:sz w:val="20"/>
          <w:szCs w:val="20"/>
          <w:lang w:eastAsia="en-US"/>
        </w:rPr>
      </w:pPr>
    </w:p>
    <w:p w14:paraId="3CAD8AFD" w14:textId="77777777" w:rsidR="005B6D26" w:rsidRPr="002C5AC0"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color w:val="000000"/>
          <w:kern w:val="2"/>
          <w:sz w:val="20"/>
          <w:szCs w:val="20"/>
          <w:lang w:eastAsia="en-US"/>
          <w14:ligatures w14:val="standardContextual"/>
        </w:rPr>
      </w:pPr>
      <w:r w:rsidRPr="002C5AC0">
        <w:rPr>
          <w:rFonts w:ascii="Cambria" w:eastAsia="Aptos" w:hAnsi="Cambria"/>
          <w:kern w:val="2"/>
          <w:sz w:val="20"/>
          <w:lang w:eastAsia="en-US"/>
          <w14:ligatures w14:val="standardContextual"/>
        </w:rPr>
        <w:t xml:space="preserve">Cela crée-t-il de nouvelles </w:t>
      </w:r>
      <w:r w:rsidRPr="002C5AC0">
        <w:rPr>
          <w:rFonts w:ascii="Cambria" w:eastAsia="Aptos" w:hAnsi="Cambria"/>
          <w:b/>
          <w:kern w:val="2"/>
          <w:sz w:val="20"/>
          <w:lang w:eastAsia="en-US"/>
          <w14:ligatures w14:val="standardContextual"/>
        </w:rPr>
        <w:t xml:space="preserve">obligations de déclaration </w:t>
      </w:r>
      <w:r w:rsidRPr="002C5AC0">
        <w:rPr>
          <w:rFonts w:ascii="Cambria" w:eastAsia="Aptos" w:hAnsi="Cambria"/>
          <w:kern w:val="2"/>
          <w:sz w:val="20"/>
          <w:lang w:eastAsia="en-US"/>
          <w14:ligatures w14:val="standardContextual"/>
        </w:rPr>
        <w:t xml:space="preserve">pour les CPC ?     </w:t>
      </w:r>
      <w:bookmarkStart w:id="0" w:name="_Hlk213753802"/>
      <w:r w:rsidRPr="002C5AC0">
        <w:rPr>
          <w:rFonts w:ascii="Cambria" w:eastAsia="Aptos" w:hAnsi="Cambria"/>
          <w:color w:val="EE0000"/>
          <w:kern w:val="2"/>
          <w:sz w:val="20"/>
          <w:lang w:eastAsia="en-US"/>
          <w14:ligatures w14:val="standardContextual"/>
        </w:rPr>
        <w:t xml:space="preserve">Oui  </w:t>
      </w:r>
      <w:r w:rsidRPr="002C5AC0">
        <w:rPr>
          <w:rFonts w:ascii="Segoe UI Symbol" w:eastAsia="Aptos" w:hAnsi="Segoe UI Symbol" w:cs="Segoe UI Symbol"/>
          <w:color w:val="EE0000"/>
          <w:kern w:val="2"/>
          <w:sz w:val="20"/>
          <w:lang w:eastAsia="en-US"/>
          <w14:ligatures w14:val="standardContextual"/>
        </w:rPr>
        <w:t>☒</w:t>
      </w:r>
      <w:r w:rsidRPr="002C5AC0">
        <w:rPr>
          <w:rFonts w:ascii="MS Gothic" w:eastAsia="Aptos" w:hAnsi="MS Gothic" w:hint="eastAsia"/>
          <w:color w:val="EE0000"/>
          <w:kern w:val="2"/>
          <w:sz w:val="20"/>
          <w:lang w:eastAsia="en-US"/>
          <w14:ligatures w14:val="standardContextual"/>
        </w:rPr>
        <w:t xml:space="preserve">   </w:t>
      </w:r>
      <w:r w:rsidRPr="002C5AC0">
        <w:rPr>
          <w:rFonts w:ascii="Cambria" w:eastAsia="Aptos" w:hAnsi="Cambria"/>
          <w:color w:val="000000"/>
          <w:kern w:val="2"/>
          <w:sz w:val="20"/>
          <w:lang w:eastAsia="en-US"/>
          <w14:ligatures w14:val="standardContextual"/>
        </w:rPr>
        <w:t xml:space="preserve">Non  </w:t>
      </w:r>
      <w:r w:rsidRPr="002C5AC0">
        <w:rPr>
          <w:rFonts w:ascii="Segoe UI Symbol" w:eastAsia="Aptos" w:hAnsi="Segoe UI Symbol"/>
          <w:color w:val="000000"/>
          <w:kern w:val="2"/>
          <w:sz w:val="20"/>
          <w:lang w:eastAsia="en-US"/>
          <w14:ligatures w14:val="standardContextual"/>
        </w:rPr>
        <w:t>☐</w:t>
      </w:r>
      <w:r w:rsidRPr="002C5AC0">
        <w:rPr>
          <w:rFonts w:ascii="Cambria" w:eastAsia="Aptos" w:hAnsi="Cambria"/>
          <w:color w:val="000000"/>
          <w:kern w:val="2"/>
          <w:sz w:val="20"/>
          <w:lang w:eastAsia="en-US"/>
          <w14:ligatures w14:val="standardContextual"/>
        </w:rPr>
        <w:t xml:space="preserve"> </w:t>
      </w:r>
    </w:p>
    <w:bookmarkEnd w:id="0"/>
    <w:p w14:paraId="68B9D650" w14:textId="77777777" w:rsidR="005B6D26" w:rsidRPr="002C5AC0" w:rsidRDefault="005B6D26" w:rsidP="005B6D26">
      <w:pPr>
        <w:widowControl w:val="0"/>
        <w:jc w:val="both"/>
        <w:rPr>
          <w:rFonts w:ascii="Cambria" w:eastAsia="Cambria" w:hAnsi="Cambria" w:cs="Cambria"/>
          <w:sz w:val="20"/>
          <w:szCs w:val="20"/>
          <w:lang w:eastAsia="en-US"/>
        </w:rPr>
      </w:pPr>
    </w:p>
    <w:p w14:paraId="3C5FA310" w14:textId="77777777" w:rsidR="005B6D26" w:rsidRPr="002C5AC0" w:rsidRDefault="005B6D26" w:rsidP="005B6D26">
      <w:pPr>
        <w:widowControl w:val="0"/>
        <w:ind w:left="426"/>
        <w:jc w:val="both"/>
        <w:rPr>
          <w:rFonts w:ascii="Cambria" w:eastAsia="Cambria" w:hAnsi="Cambria" w:cs="Cambria"/>
          <w:sz w:val="20"/>
          <w:szCs w:val="20"/>
          <w:lang w:eastAsia="en-US"/>
        </w:rPr>
      </w:pPr>
      <w:r w:rsidRPr="002C5AC0">
        <w:rPr>
          <w:rFonts w:ascii="Cambria" w:eastAsia="Aptos" w:hAnsi="Cambria"/>
          <w:kern w:val="2"/>
          <w:sz w:val="20"/>
          <w:lang w:eastAsia="en-US"/>
          <w14:ligatures w14:val="standardContextual"/>
        </w:rPr>
        <w:t>Brève description de la ou des nouvelle(s) obligation(s) de déclaration :</w:t>
      </w:r>
    </w:p>
    <w:p w14:paraId="3BFF7B26" w14:textId="77777777" w:rsidR="005B6D26" w:rsidRPr="002C5AC0" w:rsidRDefault="005B6D26" w:rsidP="005B6D26">
      <w:pPr>
        <w:widowControl w:val="0"/>
        <w:jc w:val="both"/>
        <w:rPr>
          <w:rFonts w:ascii="Cambria" w:eastAsia="Cambria" w:hAnsi="Cambria" w:cs="Cambria"/>
          <w:sz w:val="20"/>
          <w:szCs w:val="20"/>
          <w:lang w:eastAsia="en-US"/>
        </w:rPr>
      </w:pPr>
    </w:p>
    <w:p w14:paraId="53242E94" w14:textId="77777777" w:rsidR="005B6D26" w:rsidRPr="002C5AC0" w:rsidRDefault="005B6D26" w:rsidP="005B6D26">
      <w:pPr>
        <w:widowControl w:val="0"/>
        <w:ind w:left="426"/>
        <w:jc w:val="both"/>
        <w:rPr>
          <w:rFonts w:ascii="Cambria" w:eastAsia="Cambria" w:hAnsi="Cambria" w:cs="Cambria"/>
          <w:color w:val="FF0000"/>
          <w:sz w:val="20"/>
          <w:szCs w:val="20"/>
          <w:lang w:eastAsia="en-US"/>
        </w:rPr>
      </w:pPr>
      <w:r w:rsidRPr="002C5AC0">
        <w:rPr>
          <w:rFonts w:ascii="Cambria" w:eastAsia="Aptos" w:hAnsi="Cambria"/>
          <w:color w:val="FF0000"/>
          <w:kern w:val="2"/>
          <w:sz w:val="20"/>
          <w:lang w:eastAsia="en-US"/>
          <w14:ligatures w14:val="standardContextual"/>
        </w:rPr>
        <w:t>La définition de la procédure de gestion et du total admissible des captures (TAC) devra être adoptée pour toutes les CPC participant à la pêche du listao de l’Ouest à partir de l'année prochaine, en 2026.</w:t>
      </w:r>
    </w:p>
    <w:p w14:paraId="2E1BD270" w14:textId="77777777" w:rsidR="005B6D26" w:rsidRPr="002C5AC0" w:rsidRDefault="005B6D26" w:rsidP="005B6D26">
      <w:pPr>
        <w:widowControl w:val="0"/>
        <w:ind w:left="318"/>
        <w:jc w:val="both"/>
        <w:rPr>
          <w:rFonts w:ascii="Cambria" w:eastAsia="Cambria" w:hAnsi="Cambria" w:cs="Cambria"/>
          <w:sz w:val="20"/>
          <w:szCs w:val="20"/>
          <w:lang w:eastAsia="en-US"/>
        </w:rPr>
      </w:pPr>
    </w:p>
    <w:p w14:paraId="7C64D106" w14:textId="5802152F" w:rsidR="005B6D26" w:rsidRPr="002C5AC0"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color w:val="000000"/>
          <w:kern w:val="2"/>
          <w:sz w:val="20"/>
          <w:szCs w:val="20"/>
          <w:lang w:eastAsia="en-US"/>
          <w14:ligatures w14:val="standardContextual"/>
        </w:rPr>
      </w:pPr>
      <w:r w:rsidRPr="002C5AC0">
        <w:rPr>
          <w:rFonts w:ascii="Cambria" w:eastAsia="Aptos" w:hAnsi="Cambria"/>
          <w:kern w:val="2"/>
          <w:sz w:val="20"/>
          <w:lang w:eastAsia="en-US"/>
          <w14:ligatures w14:val="standardContextual"/>
        </w:rPr>
        <w:t xml:space="preserve">Cela nécessite-t-il une contribution ou un </w:t>
      </w:r>
      <w:r w:rsidRPr="002C5AC0">
        <w:rPr>
          <w:rFonts w:ascii="Cambria" w:eastAsia="Aptos" w:hAnsi="Cambria"/>
          <w:b/>
          <w:kern w:val="2"/>
          <w:sz w:val="20"/>
          <w:lang w:eastAsia="en-US"/>
          <w14:ligatures w14:val="standardContextual"/>
        </w:rPr>
        <w:t>travail</w:t>
      </w:r>
      <w:r w:rsidRPr="002C5AC0">
        <w:rPr>
          <w:rFonts w:ascii="Cambria" w:eastAsia="Aptos" w:hAnsi="Cambria"/>
          <w:kern w:val="2"/>
          <w:sz w:val="20"/>
          <w:lang w:eastAsia="en-US"/>
          <w14:ligatures w14:val="standardContextual"/>
        </w:rPr>
        <w:t xml:space="preserve"> supplémentaire </w:t>
      </w:r>
      <w:r w:rsidRPr="002C5AC0">
        <w:rPr>
          <w:rFonts w:ascii="Cambria" w:eastAsia="Aptos" w:hAnsi="Cambria"/>
          <w:b/>
          <w:kern w:val="2"/>
          <w:sz w:val="20"/>
          <w:lang w:eastAsia="en-US"/>
          <w14:ligatures w14:val="standardContextual"/>
        </w:rPr>
        <w:t>de la part du SCRS</w:t>
      </w:r>
      <w:r w:rsidRPr="002C5AC0">
        <w:rPr>
          <w:rFonts w:ascii="Cambria" w:eastAsia="Aptos" w:hAnsi="Cambria"/>
          <w:kern w:val="2"/>
          <w:sz w:val="20"/>
          <w:lang w:eastAsia="en-US"/>
          <w14:ligatures w14:val="standardContextual"/>
        </w:rPr>
        <w:t xml:space="preserve"> ?  </w:t>
      </w:r>
      <w:r w:rsidRPr="002C5AC0">
        <w:rPr>
          <w:rFonts w:ascii="Cambria" w:eastAsia="Aptos" w:hAnsi="Cambria"/>
          <w:color w:val="000000"/>
          <w:kern w:val="2"/>
          <w:sz w:val="20"/>
          <w:lang w:eastAsia="en-US"/>
          <w14:ligatures w14:val="standardContextual"/>
        </w:rPr>
        <w:t xml:space="preserve">Oui  </w:t>
      </w:r>
      <w:r w:rsidRPr="002C5AC0">
        <w:rPr>
          <w:rFonts w:ascii="Segoe UI Symbol" w:eastAsia="Aptos" w:hAnsi="Segoe UI Symbol"/>
          <w:color w:val="000000"/>
          <w:kern w:val="2"/>
          <w:sz w:val="20"/>
          <w:lang w:eastAsia="en-US"/>
          <w14:ligatures w14:val="standardContextual"/>
        </w:rPr>
        <w:t>☐</w:t>
      </w:r>
      <w:r w:rsidRPr="002C5AC0">
        <w:rPr>
          <w:rFonts w:ascii="Calibri" w:eastAsia="Aptos" w:hAnsi="Calibri"/>
          <w:kern w:val="2"/>
          <w:sz w:val="22"/>
          <w:lang w:eastAsia="en-US"/>
          <w14:ligatures w14:val="standardContextual"/>
        </w:rPr>
        <w:t xml:space="preserve"> </w:t>
      </w:r>
      <w:r w:rsidRPr="002C5AC0">
        <w:rPr>
          <w:rFonts w:ascii="Cambria" w:eastAsia="Aptos" w:hAnsi="Cambria"/>
          <w:color w:val="EE0000"/>
          <w:kern w:val="2"/>
          <w:sz w:val="20"/>
          <w:lang w:eastAsia="en-US"/>
          <w14:ligatures w14:val="standardContextual"/>
        </w:rPr>
        <w:t xml:space="preserve">Non  </w:t>
      </w:r>
      <w:r w:rsidRPr="002C5AC0">
        <w:rPr>
          <w:rFonts w:ascii="Segoe UI Symbol" w:eastAsia="Aptos" w:hAnsi="Segoe UI Symbol" w:cs="Segoe UI Symbol"/>
          <w:color w:val="EE0000"/>
          <w:kern w:val="2"/>
          <w:sz w:val="20"/>
          <w:lang w:eastAsia="en-US"/>
          <w14:ligatures w14:val="standardContextual"/>
        </w:rPr>
        <w:t>☒</w:t>
      </w:r>
    </w:p>
    <w:p w14:paraId="42B3D82D" w14:textId="77777777" w:rsidR="005B6D26" w:rsidRPr="002C5AC0" w:rsidRDefault="005B6D26" w:rsidP="005B6D26">
      <w:pPr>
        <w:widowControl w:val="0"/>
        <w:ind w:left="360"/>
        <w:jc w:val="both"/>
        <w:rPr>
          <w:rFonts w:ascii="Cambria" w:eastAsia="Cambria" w:hAnsi="Cambria" w:cs="Cambria"/>
          <w:sz w:val="20"/>
          <w:szCs w:val="20"/>
          <w:lang w:eastAsia="en-US"/>
        </w:rPr>
      </w:pPr>
    </w:p>
    <w:p w14:paraId="08792013" w14:textId="77777777" w:rsidR="005B6D26" w:rsidRPr="002C5AC0" w:rsidRDefault="005B6D26" w:rsidP="005B6D26">
      <w:pPr>
        <w:widowControl w:val="0"/>
        <w:ind w:left="360" w:firstLine="66"/>
        <w:jc w:val="both"/>
        <w:rPr>
          <w:rFonts w:ascii="Cambria" w:eastAsia="Cambria" w:hAnsi="Cambria" w:cs="Cambria"/>
          <w:sz w:val="20"/>
          <w:szCs w:val="20"/>
          <w:lang w:eastAsia="en-US"/>
        </w:rPr>
      </w:pPr>
      <w:r w:rsidRPr="002C5AC0">
        <w:rPr>
          <w:rFonts w:ascii="Cambria" w:eastAsia="Aptos" w:hAnsi="Cambria"/>
          <w:kern w:val="2"/>
          <w:sz w:val="20"/>
          <w:lang w:eastAsia="en-US"/>
          <w14:ligatures w14:val="standardContextual"/>
        </w:rPr>
        <w:t xml:space="preserve">Ce travail est-il déjà inclus dans le plan de travail actuel du SCRS ?     </w:t>
      </w:r>
      <w:r w:rsidRPr="002C5AC0">
        <w:rPr>
          <w:rFonts w:ascii="Cambria" w:eastAsia="Aptos" w:hAnsi="Cambria"/>
          <w:color w:val="EE0000"/>
          <w:kern w:val="2"/>
          <w:sz w:val="20"/>
          <w:lang w:eastAsia="en-US"/>
          <w14:ligatures w14:val="standardContextual"/>
        </w:rPr>
        <w:t xml:space="preserve">Oui  </w:t>
      </w:r>
      <w:r w:rsidRPr="002C5AC0">
        <w:rPr>
          <w:rFonts w:ascii="Segoe UI Symbol" w:eastAsia="Aptos" w:hAnsi="Segoe UI Symbol"/>
          <w:color w:val="EE0000"/>
          <w:kern w:val="2"/>
          <w:sz w:val="20"/>
          <w:lang w:eastAsia="en-US"/>
          <w14:ligatures w14:val="standardContextual"/>
        </w:rPr>
        <w:t>☒</w:t>
      </w:r>
      <w:r w:rsidRPr="002C5AC0">
        <w:rPr>
          <w:rFonts w:ascii="Cambria" w:eastAsia="Aptos" w:hAnsi="Cambria"/>
          <w:kern w:val="2"/>
          <w:sz w:val="20"/>
          <w:lang w:eastAsia="en-US"/>
          <w14:ligatures w14:val="standardContextual"/>
        </w:rPr>
        <w:t xml:space="preserve">       Non  </w:t>
      </w:r>
      <w:r w:rsidRPr="002C5AC0">
        <w:rPr>
          <w:rFonts w:ascii="Segoe UI Symbol" w:eastAsia="Aptos" w:hAnsi="Segoe UI Symbol"/>
          <w:kern w:val="2"/>
          <w:sz w:val="20"/>
          <w:lang w:eastAsia="en-US"/>
          <w14:ligatures w14:val="standardContextual"/>
        </w:rPr>
        <w:t>☐</w:t>
      </w:r>
    </w:p>
    <w:p w14:paraId="29D037B2" w14:textId="77777777" w:rsidR="005B6D26" w:rsidRPr="002C5AC0" w:rsidRDefault="005B6D26" w:rsidP="005B6D26">
      <w:pPr>
        <w:widowControl w:val="0"/>
        <w:ind w:left="360"/>
        <w:jc w:val="both"/>
        <w:rPr>
          <w:rFonts w:ascii="Cambria" w:eastAsia="Cambria" w:hAnsi="Cambria" w:cs="Cambria"/>
          <w:sz w:val="20"/>
          <w:szCs w:val="20"/>
          <w:lang w:eastAsia="en-US"/>
        </w:rPr>
      </w:pPr>
    </w:p>
    <w:p w14:paraId="33F56362" w14:textId="77777777" w:rsidR="005B6D26" w:rsidRPr="002C5AC0" w:rsidRDefault="005B6D26" w:rsidP="005B6D26">
      <w:pPr>
        <w:widowControl w:val="0"/>
        <w:ind w:left="360" w:firstLine="66"/>
        <w:jc w:val="both"/>
        <w:rPr>
          <w:rFonts w:ascii="Cambria" w:eastAsia="Cambria" w:hAnsi="Cambria" w:cs="Cambria"/>
          <w:sz w:val="20"/>
          <w:szCs w:val="20"/>
          <w:lang w:eastAsia="en-US"/>
        </w:rPr>
      </w:pPr>
      <w:r w:rsidRPr="002C5AC0">
        <w:rPr>
          <w:rFonts w:ascii="Cambria" w:eastAsia="Aptos" w:hAnsi="Cambria"/>
          <w:kern w:val="2"/>
          <w:sz w:val="20"/>
          <w:lang w:eastAsia="en-US"/>
          <w14:ligatures w14:val="standardContextual"/>
        </w:rPr>
        <w:t>Brève description des nouveaux travaux scientifiques requis (évaluation des stocks, analyse, consultant externe) :</w:t>
      </w:r>
    </w:p>
    <w:p w14:paraId="67F27786" w14:textId="77777777" w:rsidR="005B6D26" w:rsidRPr="002C5AC0" w:rsidRDefault="005B6D26" w:rsidP="005B6D26">
      <w:pPr>
        <w:widowControl w:val="0"/>
        <w:ind w:left="426"/>
        <w:jc w:val="both"/>
        <w:rPr>
          <w:rFonts w:ascii="Cambria" w:eastAsia="Cambria" w:hAnsi="Cambria" w:cs="Cambria"/>
          <w:color w:val="FF0000"/>
          <w:sz w:val="20"/>
          <w:szCs w:val="20"/>
          <w:lang w:eastAsia="en-US"/>
        </w:rPr>
      </w:pPr>
    </w:p>
    <w:p w14:paraId="5BE0301C" w14:textId="4C467F9E" w:rsidR="005B6D26" w:rsidRPr="002C5AC0" w:rsidRDefault="005B6D26" w:rsidP="005B6D26">
      <w:pPr>
        <w:widowControl w:val="0"/>
        <w:ind w:left="426"/>
        <w:jc w:val="both"/>
        <w:rPr>
          <w:rFonts w:ascii="Cambria" w:eastAsia="Cambria" w:hAnsi="Cambria" w:cs="Cambria"/>
          <w:color w:val="FF0000"/>
          <w:sz w:val="20"/>
          <w:szCs w:val="20"/>
          <w:lang w:eastAsia="en-US"/>
        </w:rPr>
      </w:pPr>
      <w:r w:rsidRPr="002C5AC0">
        <w:rPr>
          <w:rFonts w:ascii="Cambria" w:eastAsia="Aptos" w:hAnsi="Cambria"/>
          <w:color w:val="FF0000"/>
          <w:kern w:val="2"/>
          <w:sz w:val="20"/>
          <w:lang w:eastAsia="en-US"/>
          <w14:ligatures w14:val="standardContextual"/>
        </w:rPr>
        <w:t>Le plan de travail pour les thonidés tropicaux prévoit actuellement l'élaboration d'un protocole</w:t>
      </w:r>
      <w:r w:rsidR="00EA4185" w:rsidRPr="002C5AC0">
        <w:rPr>
          <w:rFonts w:ascii="Cambria" w:eastAsia="Aptos" w:hAnsi="Cambria"/>
          <w:color w:val="FF0000"/>
          <w:kern w:val="2"/>
          <w:sz w:val="20"/>
          <w:lang w:eastAsia="en-US"/>
          <w14:ligatures w14:val="standardContextual"/>
        </w:rPr>
        <w:t xml:space="preserve"> </w:t>
      </w:r>
      <w:r w:rsidR="00D35D79" w:rsidRPr="002C5AC0">
        <w:rPr>
          <w:rFonts w:ascii="Cambria" w:eastAsia="Aptos" w:hAnsi="Cambria"/>
          <w:color w:val="FF0000"/>
          <w:kern w:val="2"/>
          <w:sz w:val="20"/>
          <w:lang w:eastAsia="en-US"/>
          <w14:ligatures w14:val="standardContextual"/>
        </w:rPr>
        <w:t>d</w:t>
      </w:r>
      <w:r w:rsidR="00EA4185" w:rsidRPr="002C5AC0">
        <w:rPr>
          <w:rFonts w:ascii="Cambria" w:eastAsia="Aptos" w:hAnsi="Cambria"/>
          <w:color w:val="FF0000"/>
          <w:kern w:val="2"/>
          <w:sz w:val="20"/>
          <w:lang w:eastAsia="en-US"/>
          <w14:ligatures w14:val="standardContextual"/>
        </w:rPr>
        <w:t xml:space="preserve">e </w:t>
      </w:r>
      <w:r w:rsidRPr="002C5AC0">
        <w:rPr>
          <w:rFonts w:ascii="Cambria" w:eastAsia="Aptos" w:hAnsi="Cambria"/>
          <w:color w:val="FF0000"/>
          <w:kern w:val="2"/>
          <w:sz w:val="20"/>
          <w:lang w:eastAsia="en-US"/>
          <w14:ligatures w14:val="standardContextual"/>
        </w:rPr>
        <w:t xml:space="preserve">circonstances exceptionnelles pour l'évaluation de la stratégie de gestion du listao </w:t>
      </w:r>
      <w:r w:rsidR="00D66884" w:rsidRPr="002C5AC0">
        <w:rPr>
          <w:rFonts w:ascii="Cambria" w:eastAsia="Aptos" w:hAnsi="Cambria"/>
          <w:color w:val="FF0000"/>
          <w:kern w:val="2"/>
          <w:sz w:val="20"/>
          <w:lang w:eastAsia="en-US"/>
          <w14:ligatures w14:val="standardContextual"/>
        </w:rPr>
        <w:t>de</w:t>
      </w:r>
      <w:r w:rsidRPr="002C5AC0">
        <w:rPr>
          <w:rFonts w:ascii="Cambria" w:eastAsia="Aptos" w:hAnsi="Cambria"/>
          <w:color w:val="FF0000"/>
          <w:kern w:val="2"/>
          <w:sz w:val="20"/>
          <w:lang w:eastAsia="en-US"/>
          <w14:ligatures w14:val="standardContextual"/>
        </w:rPr>
        <w:t xml:space="preserve"> l'Atlantique Ouest</w:t>
      </w:r>
      <w:r w:rsidR="00D66884" w:rsidRPr="002C5AC0">
        <w:rPr>
          <w:rFonts w:ascii="Cambria" w:eastAsia="Aptos" w:hAnsi="Cambria"/>
          <w:color w:val="FF0000"/>
          <w:kern w:val="2"/>
          <w:sz w:val="20"/>
          <w:lang w:eastAsia="en-US"/>
          <w14:ligatures w14:val="standardContextual"/>
        </w:rPr>
        <w:t xml:space="preserve"> pour 2026</w:t>
      </w:r>
      <w:r w:rsidRPr="002C5AC0">
        <w:rPr>
          <w:rFonts w:ascii="Cambria" w:eastAsia="Aptos" w:hAnsi="Cambria"/>
          <w:color w:val="FF0000"/>
          <w:kern w:val="2"/>
          <w:sz w:val="20"/>
          <w:lang w:eastAsia="en-US"/>
          <w14:ligatures w14:val="standardContextual"/>
        </w:rPr>
        <w:t>. Ce travail est déjà inclus dans le plan de travail du SCRS et se poursuivra à partir de l'année prochaine après l'adoption de la MP.</w:t>
      </w:r>
    </w:p>
    <w:p w14:paraId="42A2999C" w14:textId="77777777" w:rsidR="005B6D26" w:rsidRPr="002C5AC0" w:rsidRDefault="005B6D26" w:rsidP="005B6D26">
      <w:pPr>
        <w:widowControl w:val="0"/>
        <w:ind w:left="318"/>
        <w:jc w:val="both"/>
        <w:rPr>
          <w:rFonts w:ascii="Cambria" w:eastAsia="Cambria" w:hAnsi="Cambria" w:cs="Cambria"/>
          <w:color w:val="FF0000"/>
          <w:sz w:val="20"/>
          <w:szCs w:val="20"/>
          <w:lang w:eastAsia="en-US"/>
        </w:rPr>
      </w:pPr>
    </w:p>
    <w:p w14:paraId="72EBBDAD" w14:textId="77777777" w:rsidR="005B6D26" w:rsidRPr="002C5AC0"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z w:val="20"/>
          <w:szCs w:val="20"/>
          <w:lang w:eastAsia="en-US"/>
        </w:rPr>
      </w:pPr>
      <w:r w:rsidRPr="002C5AC0">
        <w:rPr>
          <w:rFonts w:ascii="Cambria" w:eastAsia="Aptos" w:hAnsi="Cambria"/>
          <w:kern w:val="2"/>
          <w:sz w:val="20"/>
          <w:lang w:eastAsia="en-US"/>
          <w14:ligatures w14:val="standardContextual"/>
        </w:rPr>
        <w:t xml:space="preserve">Cela implique-t-il la création d'un </w:t>
      </w:r>
      <w:r w:rsidRPr="002C5AC0">
        <w:rPr>
          <w:rFonts w:ascii="Cambria" w:eastAsia="Aptos" w:hAnsi="Cambria"/>
          <w:b/>
          <w:kern w:val="2"/>
          <w:sz w:val="20"/>
          <w:lang w:eastAsia="en-US"/>
          <w14:ligatures w14:val="standardContextual"/>
        </w:rPr>
        <w:t xml:space="preserve">nouveau groupe de travail ou d'un processus intersessions </w:t>
      </w:r>
      <w:r w:rsidRPr="002C5AC0">
        <w:rPr>
          <w:rFonts w:ascii="Cambria" w:eastAsia="Aptos" w:hAnsi="Cambria"/>
          <w:kern w:val="2"/>
          <w:sz w:val="20"/>
          <w:lang w:eastAsia="en-US"/>
          <w14:ligatures w14:val="standardContextual"/>
        </w:rPr>
        <w:t xml:space="preserve">?    </w:t>
      </w:r>
      <w:r w:rsidRPr="002C5AC0">
        <w:rPr>
          <w:rFonts w:ascii="Cambria" w:eastAsia="Aptos" w:hAnsi="Cambria"/>
          <w:color w:val="000000"/>
          <w:kern w:val="2"/>
          <w:sz w:val="20"/>
          <w:lang w:eastAsia="en-US"/>
          <w14:ligatures w14:val="standardContextual"/>
        </w:rPr>
        <w:t xml:space="preserve">Oui  </w:t>
      </w:r>
      <w:r w:rsidRPr="002C5AC0">
        <w:rPr>
          <w:rFonts w:ascii="Segoe UI Symbol" w:eastAsia="Aptos" w:hAnsi="Segoe UI Symbol"/>
          <w:color w:val="000000"/>
          <w:kern w:val="2"/>
          <w:sz w:val="20"/>
          <w:lang w:eastAsia="en-US"/>
          <w14:ligatures w14:val="standardContextual"/>
        </w:rPr>
        <w:t>☐</w:t>
      </w:r>
      <w:r w:rsidRPr="002C5AC0">
        <w:rPr>
          <w:rFonts w:ascii="Cambria" w:eastAsia="Aptos" w:hAnsi="Cambria"/>
          <w:color w:val="000000"/>
          <w:kern w:val="2"/>
          <w:sz w:val="20"/>
          <w:lang w:eastAsia="en-US"/>
          <w14:ligatures w14:val="standardContextual"/>
        </w:rPr>
        <w:t xml:space="preserve"> </w:t>
      </w:r>
      <w:r w:rsidRPr="002C5AC0">
        <w:rPr>
          <w:rFonts w:ascii="Calibri" w:eastAsia="Aptos" w:hAnsi="Calibri"/>
          <w:kern w:val="2"/>
          <w:sz w:val="22"/>
          <w:lang w:eastAsia="en-US"/>
          <w14:ligatures w14:val="standardContextual"/>
        </w:rPr>
        <w:t xml:space="preserve">      </w:t>
      </w:r>
      <w:r w:rsidRPr="002C5AC0">
        <w:rPr>
          <w:rFonts w:ascii="Cambria" w:eastAsia="Aptos" w:hAnsi="Cambria"/>
          <w:color w:val="EE0000"/>
          <w:kern w:val="2"/>
          <w:sz w:val="20"/>
          <w:lang w:eastAsia="en-US"/>
          <w14:ligatures w14:val="standardContextual"/>
        </w:rPr>
        <w:t xml:space="preserve">Non  </w:t>
      </w:r>
      <w:r w:rsidRPr="002C5AC0">
        <w:rPr>
          <w:rFonts w:ascii="Segoe UI Symbol" w:eastAsia="Aptos" w:hAnsi="Segoe UI Symbol" w:cs="Segoe UI Symbol"/>
          <w:color w:val="EE0000"/>
          <w:kern w:val="2"/>
          <w:sz w:val="20"/>
          <w:lang w:eastAsia="en-US"/>
          <w14:ligatures w14:val="standardContextual"/>
        </w:rPr>
        <w:t>☒</w:t>
      </w:r>
    </w:p>
    <w:p w14:paraId="58D8850A" w14:textId="77777777" w:rsidR="005B6D26" w:rsidRPr="002C5AC0" w:rsidRDefault="005B6D26" w:rsidP="005B6D26">
      <w:pPr>
        <w:widowControl w:val="0"/>
        <w:ind w:left="318"/>
        <w:jc w:val="both"/>
        <w:rPr>
          <w:rFonts w:ascii="Cambria" w:eastAsia="Cambria" w:hAnsi="Cambria" w:cs="Cambria"/>
          <w:sz w:val="20"/>
          <w:szCs w:val="20"/>
          <w:lang w:eastAsia="en-US"/>
        </w:rPr>
      </w:pPr>
    </w:p>
    <w:p w14:paraId="0574BFC1" w14:textId="77777777" w:rsidR="005B6D26" w:rsidRPr="002C5AC0"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z w:val="20"/>
          <w:szCs w:val="20"/>
          <w:lang w:eastAsia="en-US"/>
        </w:rPr>
      </w:pPr>
      <w:r w:rsidRPr="002C5AC0">
        <w:rPr>
          <w:rFonts w:ascii="Cambria" w:eastAsia="Aptos" w:hAnsi="Cambria"/>
          <w:kern w:val="2"/>
          <w:sz w:val="20"/>
          <w:lang w:eastAsia="en-US"/>
          <w14:ligatures w14:val="standardContextual"/>
        </w:rPr>
        <w:t xml:space="preserve">Cela nécessite-t-il un nouveau </w:t>
      </w:r>
      <w:r w:rsidRPr="002C5AC0">
        <w:rPr>
          <w:rFonts w:ascii="Cambria" w:eastAsia="Aptos" w:hAnsi="Cambria"/>
          <w:b/>
          <w:kern w:val="2"/>
          <w:sz w:val="20"/>
          <w:lang w:eastAsia="en-US"/>
          <w14:ligatures w14:val="standardContextual"/>
        </w:rPr>
        <w:t xml:space="preserve">programme ou des activités supplémentaires à gérer par le Secrétariat </w:t>
      </w:r>
      <w:r w:rsidRPr="002C5AC0">
        <w:rPr>
          <w:rFonts w:ascii="Cambria" w:eastAsia="Aptos" w:hAnsi="Cambria"/>
          <w:kern w:val="2"/>
          <w:sz w:val="20"/>
          <w:lang w:eastAsia="en-US"/>
          <w14:ligatures w14:val="standardContextual"/>
        </w:rPr>
        <w:t xml:space="preserve">?  </w:t>
      </w:r>
    </w:p>
    <w:p w14:paraId="6AED10E6" w14:textId="77777777" w:rsidR="005B6D26" w:rsidRPr="002C5AC0" w:rsidRDefault="005B6D26" w:rsidP="005B6D26">
      <w:pPr>
        <w:widowControl w:val="0"/>
        <w:ind w:left="426"/>
        <w:jc w:val="both"/>
        <w:rPr>
          <w:rFonts w:ascii="Cambria" w:eastAsia="Cambria" w:hAnsi="Cambria" w:cs="Cambria"/>
          <w:spacing w:val="-2"/>
          <w:sz w:val="20"/>
          <w:szCs w:val="20"/>
          <w:lang w:eastAsia="en-US"/>
        </w:rPr>
      </w:pPr>
    </w:p>
    <w:p w14:paraId="23AE33D4" w14:textId="31E3E65B" w:rsidR="005B6D26" w:rsidRPr="002C5AC0" w:rsidRDefault="005B6D26" w:rsidP="005B6D26">
      <w:pPr>
        <w:widowControl w:val="0"/>
        <w:ind w:left="426"/>
        <w:jc w:val="both"/>
        <w:rPr>
          <w:rFonts w:ascii="Cambria" w:eastAsia="Cambria" w:hAnsi="Cambria" w:cs="Cambria"/>
          <w:sz w:val="20"/>
          <w:szCs w:val="20"/>
          <w:lang w:eastAsia="en-US"/>
        </w:rPr>
      </w:pPr>
      <w:r w:rsidRPr="002C5AC0">
        <w:rPr>
          <w:rFonts w:ascii="Cambria" w:eastAsia="Aptos" w:hAnsi="Cambria"/>
          <w:color w:val="000000"/>
          <w:kern w:val="2"/>
          <w:sz w:val="20"/>
          <w:lang w:eastAsia="en-US"/>
          <w14:ligatures w14:val="standardContextual"/>
        </w:rPr>
        <w:t xml:space="preserve">Oui  </w:t>
      </w:r>
      <w:r w:rsidRPr="002C5AC0">
        <w:rPr>
          <w:rFonts w:ascii="Segoe UI Symbol" w:eastAsia="Aptos" w:hAnsi="Segoe UI Symbol"/>
          <w:color w:val="000000"/>
          <w:kern w:val="2"/>
          <w:sz w:val="20"/>
          <w:lang w:eastAsia="en-US"/>
          <w14:ligatures w14:val="standardContextual"/>
        </w:rPr>
        <w:t>☐</w:t>
      </w:r>
      <w:r w:rsidRPr="002C5AC0">
        <w:rPr>
          <w:rFonts w:ascii="Cambria" w:eastAsia="Aptos" w:hAnsi="Cambria"/>
          <w:color w:val="000000"/>
          <w:kern w:val="2"/>
          <w:sz w:val="20"/>
          <w:lang w:eastAsia="en-US"/>
          <w14:ligatures w14:val="standardContextual"/>
        </w:rPr>
        <w:t xml:space="preserve"> </w:t>
      </w:r>
      <w:r w:rsidRPr="002C5AC0">
        <w:rPr>
          <w:rFonts w:ascii="Aptos" w:eastAsia="Aptos" w:hAnsi="Aptos"/>
          <w:kern w:val="2"/>
          <w:lang w:eastAsia="en-US"/>
          <w14:ligatures w14:val="standardContextual"/>
        </w:rPr>
        <w:tab/>
      </w:r>
      <w:r w:rsidRPr="002C5AC0">
        <w:rPr>
          <w:rFonts w:ascii="Cambria" w:eastAsia="Aptos" w:hAnsi="Cambria"/>
          <w:color w:val="EE0000"/>
          <w:kern w:val="2"/>
          <w:sz w:val="20"/>
          <w:lang w:eastAsia="en-US"/>
          <w14:ligatures w14:val="standardContextual"/>
        </w:rPr>
        <w:t xml:space="preserve">Non  </w:t>
      </w:r>
      <w:r w:rsidRPr="002C5AC0">
        <w:rPr>
          <w:rFonts w:ascii="Segoe UI Symbol" w:eastAsia="Aptos" w:hAnsi="Segoe UI Symbol" w:cs="Segoe UI Symbol"/>
          <w:color w:val="EE0000"/>
          <w:kern w:val="2"/>
          <w:sz w:val="20"/>
          <w:lang w:eastAsia="en-US"/>
          <w14:ligatures w14:val="standardContextual"/>
        </w:rPr>
        <w:t>☒</w:t>
      </w:r>
    </w:p>
    <w:p w14:paraId="6D07119F" w14:textId="77777777" w:rsidR="005B6D26" w:rsidRPr="002C5AC0" w:rsidRDefault="005B6D26" w:rsidP="005B6D26">
      <w:pPr>
        <w:widowControl w:val="0"/>
        <w:ind w:left="318"/>
        <w:jc w:val="both"/>
        <w:rPr>
          <w:rFonts w:ascii="Cambria" w:eastAsia="Cambria" w:hAnsi="Cambria" w:cs="Cambria"/>
          <w:sz w:val="20"/>
          <w:szCs w:val="20"/>
          <w:lang w:eastAsia="en-US"/>
        </w:rPr>
      </w:pPr>
    </w:p>
    <w:p w14:paraId="433BF726" w14:textId="77777777" w:rsidR="005B6D26" w:rsidRPr="002C5AC0" w:rsidRDefault="005B6D26" w:rsidP="005B6D26">
      <w:pPr>
        <w:widowControl w:val="0"/>
        <w:ind w:left="360" w:firstLine="66"/>
        <w:jc w:val="both"/>
        <w:rPr>
          <w:rFonts w:ascii="Cambria" w:eastAsia="Cambria" w:hAnsi="Cambria" w:cs="Cambria"/>
          <w:spacing w:val="-2"/>
          <w:sz w:val="20"/>
          <w:szCs w:val="20"/>
          <w:lang w:eastAsia="en-US"/>
        </w:rPr>
      </w:pPr>
      <w:r w:rsidRPr="002C5AC0">
        <w:rPr>
          <w:rFonts w:ascii="Cambria" w:eastAsia="Aptos" w:hAnsi="Cambria"/>
          <w:kern w:val="2"/>
          <w:sz w:val="20"/>
          <w:lang w:eastAsia="en-US"/>
          <w14:ligatures w14:val="standardContextual"/>
        </w:rPr>
        <w:t>Brève description du nouveau travail requis pour le Secrétariat :</w:t>
      </w:r>
    </w:p>
    <w:p w14:paraId="6E854657" w14:textId="77777777" w:rsidR="005B6D26" w:rsidRPr="002C5AC0" w:rsidRDefault="005B6D26" w:rsidP="005B6D26">
      <w:pPr>
        <w:widowControl w:val="0"/>
        <w:jc w:val="both"/>
        <w:rPr>
          <w:rFonts w:ascii="Cambria" w:eastAsia="Cambria" w:hAnsi="Cambria" w:cs="Cambria"/>
          <w:spacing w:val="-2"/>
          <w:sz w:val="20"/>
          <w:szCs w:val="20"/>
          <w:lang w:eastAsia="en-US"/>
        </w:rPr>
      </w:pPr>
    </w:p>
    <w:p w14:paraId="09E87A22" w14:textId="77777777" w:rsidR="005B6D26" w:rsidRPr="002C5AC0" w:rsidRDefault="005B6D26" w:rsidP="005B6D26">
      <w:pPr>
        <w:widowControl w:val="0"/>
        <w:jc w:val="both"/>
        <w:rPr>
          <w:rFonts w:ascii="Cambria" w:eastAsia="Cambria" w:hAnsi="Cambria" w:cs="Cambria"/>
          <w:spacing w:val="-2"/>
          <w:sz w:val="20"/>
          <w:szCs w:val="20"/>
          <w:lang w:eastAsia="en-US"/>
        </w:rPr>
      </w:pPr>
    </w:p>
    <w:p w14:paraId="36A22E03" w14:textId="77777777" w:rsidR="005B6D26" w:rsidRPr="002C5AC0"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pacing w:val="-2"/>
          <w:sz w:val="20"/>
          <w:szCs w:val="20"/>
          <w:lang w:eastAsia="en-US"/>
        </w:rPr>
      </w:pPr>
      <w:r w:rsidRPr="002C5AC0">
        <w:rPr>
          <w:rFonts w:ascii="Cambria" w:eastAsia="Aptos" w:hAnsi="Cambria"/>
          <w:kern w:val="2"/>
          <w:sz w:val="20"/>
          <w:lang w:eastAsia="en-US"/>
          <w14:ligatures w14:val="standardContextual"/>
        </w:rPr>
        <w:t>Quel est le calendrier proposé pour la mise en œuvre, et existe-t-il des calendriers spécifiques différents pour certaines CPC, pêcheries, régions, etc. ?</w:t>
      </w:r>
    </w:p>
    <w:p w14:paraId="06CC03C2" w14:textId="77777777" w:rsidR="005B6D26" w:rsidRPr="002C5AC0" w:rsidRDefault="005B6D26" w:rsidP="005B6D26">
      <w:pPr>
        <w:widowControl w:val="0"/>
        <w:suppressAutoHyphens w:val="0"/>
        <w:ind w:left="426"/>
        <w:contextualSpacing/>
        <w:jc w:val="both"/>
        <w:rPr>
          <w:rFonts w:ascii="Cambria" w:eastAsia="Cambria" w:hAnsi="Cambria" w:cs="Cambria"/>
          <w:spacing w:val="-2"/>
          <w:sz w:val="20"/>
          <w:szCs w:val="20"/>
          <w:lang w:eastAsia="en-US"/>
        </w:rPr>
      </w:pPr>
    </w:p>
    <w:p w14:paraId="5BB8D4B5" w14:textId="77777777" w:rsidR="005B6D26" w:rsidRPr="002C5AC0" w:rsidRDefault="005B6D26" w:rsidP="005B6D26">
      <w:pPr>
        <w:widowControl w:val="0"/>
        <w:ind w:left="426"/>
        <w:jc w:val="both"/>
        <w:rPr>
          <w:rFonts w:ascii="Cambria" w:eastAsia="Cambria" w:hAnsi="Cambria" w:cs="Cambria"/>
          <w:color w:val="FF0000"/>
          <w:spacing w:val="-2"/>
          <w:sz w:val="20"/>
          <w:szCs w:val="20"/>
          <w:lang w:eastAsia="en-US"/>
        </w:rPr>
      </w:pPr>
      <w:r w:rsidRPr="002C5AC0">
        <w:rPr>
          <w:rFonts w:ascii="Cambria" w:eastAsia="Aptos" w:hAnsi="Cambria"/>
          <w:color w:val="FF0000"/>
          <w:kern w:val="2"/>
          <w:sz w:val="20"/>
          <w:lang w:eastAsia="en-US"/>
          <w14:ligatures w14:val="standardContextual"/>
        </w:rPr>
        <w:t>La Recommandation serait mise en œuvre en 2026.</w:t>
      </w:r>
    </w:p>
    <w:p w14:paraId="5CC51C89" w14:textId="77777777" w:rsidR="005B6D26" w:rsidRPr="002C5AC0" w:rsidRDefault="005B6D26" w:rsidP="005B6D26">
      <w:pPr>
        <w:widowControl w:val="0"/>
        <w:jc w:val="both"/>
        <w:rPr>
          <w:rFonts w:ascii="Cambria" w:eastAsia="Cambria" w:hAnsi="Cambria" w:cs="Cambria"/>
          <w:spacing w:val="-2"/>
          <w:sz w:val="20"/>
          <w:szCs w:val="20"/>
          <w:lang w:eastAsia="en-US"/>
        </w:rPr>
      </w:pPr>
    </w:p>
    <w:p w14:paraId="10E4AC7B" w14:textId="77777777" w:rsidR="005B6D26" w:rsidRPr="002C5AC0"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pacing w:val="-2"/>
          <w:sz w:val="20"/>
          <w:szCs w:val="20"/>
          <w:lang w:eastAsia="en-US"/>
        </w:rPr>
      </w:pPr>
      <w:r w:rsidRPr="002C5AC0">
        <w:rPr>
          <w:rFonts w:ascii="Cambria" w:eastAsia="Aptos" w:hAnsi="Cambria"/>
          <w:kern w:val="2"/>
          <w:sz w:val="20"/>
          <w:lang w:eastAsia="en-US"/>
          <w14:ligatures w14:val="standardContextual"/>
        </w:rPr>
        <w:t>Existe-t-il d'autres informations pertinentes concernant les implications de la proposition en termes de ressources et de charge de travail ?</w:t>
      </w:r>
    </w:p>
    <w:p w14:paraId="2FB9B610" w14:textId="77777777" w:rsidR="005B6D26" w:rsidRPr="002C5AC0" w:rsidRDefault="005B6D26" w:rsidP="005B6D26">
      <w:pPr>
        <w:widowControl w:val="0"/>
        <w:ind w:left="426"/>
        <w:jc w:val="both"/>
        <w:rPr>
          <w:rFonts w:ascii="Cambria" w:eastAsia="Cambria" w:hAnsi="Cambria" w:cs="Cambria"/>
          <w:spacing w:val="-2"/>
          <w:sz w:val="20"/>
          <w:szCs w:val="20"/>
          <w:lang w:eastAsia="en-US"/>
        </w:rPr>
      </w:pPr>
    </w:p>
    <w:p w14:paraId="028A5351" w14:textId="77777777" w:rsidR="005B6D26" w:rsidRPr="002C5AC0" w:rsidRDefault="005B6D26" w:rsidP="00774972">
      <w:pPr>
        <w:suppressAutoHyphens w:val="0"/>
        <w:spacing w:after="160" w:line="276" w:lineRule="auto"/>
        <w:ind w:firstLine="426"/>
        <w:rPr>
          <w:rFonts w:ascii="Cambria" w:eastAsia="Cambria" w:hAnsi="Cambria" w:cs="Cambria"/>
          <w:color w:val="FF0000"/>
          <w:spacing w:val="-2"/>
          <w:sz w:val="20"/>
          <w:szCs w:val="20"/>
          <w:lang w:eastAsia="en-US"/>
        </w:rPr>
      </w:pPr>
      <w:r w:rsidRPr="002C5AC0">
        <w:rPr>
          <w:rFonts w:ascii="Cambria" w:eastAsia="Aptos" w:hAnsi="Cambria"/>
          <w:color w:val="FF0000"/>
          <w:kern w:val="2"/>
          <w:sz w:val="20"/>
          <w:lang w:eastAsia="en-US"/>
          <w14:ligatures w14:val="standardContextual"/>
        </w:rPr>
        <w:t>Non</w:t>
      </w:r>
    </w:p>
    <w:p w14:paraId="654811E8" w14:textId="77777777" w:rsidR="00F415AE" w:rsidRPr="002C5AC0" w:rsidRDefault="00F415AE" w:rsidP="00AA33EC">
      <w:pPr>
        <w:spacing w:line="234" w:lineRule="exact"/>
        <w:ind w:right="68"/>
        <w:rPr>
          <w:rFonts w:asciiTheme="majorHAnsi" w:hAnsiTheme="majorHAnsi"/>
          <w:b/>
          <w:sz w:val="20"/>
          <w:szCs w:val="20"/>
        </w:rPr>
      </w:pPr>
    </w:p>
    <w:p w14:paraId="78023E44" w14:textId="77777777" w:rsidR="00F415AE" w:rsidRPr="002C5AC0" w:rsidRDefault="00F415AE">
      <w:pPr>
        <w:rPr>
          <w:rFonts w:asciiTheme="majorHAnsi" w:hAnsiTheme="majorHAnsi"/>
          <w:b/>
          <w:sz w:val="20"/>
          <w:szCs w:val="20"/>
        </w:rPr>
      </w:pPr>
      <w:r w:rsidRPr="002C5AC0">
        <w:rPr>
          <w:rFonts w:asciiTheme="majorHAnsi" w:hAnsiTheme="majorHAnsi"/>
          <w:b/>
          <w:sz w:val="20"/>
          <w:szCs w:val="20"/>
        </w:rPr>
        <w:br w:type="page"/>
      </w:r>
    </w:p>
    <w:p w14:paraId="78839881" w14:textId="77777777" w:rsidR="00CD3FF8" w:rsidRPr="002C5AC0" w:rsidRDefault="00CD3FF8" w:rsidP="00CD3FF8">
      <w:pPr>
        <w:widowControl w:val="0"/>
        <w:ind w:hanging="10"/>
        <w:jc w:val="right"/>
        <w:rPr>
          <w:rFonts w:ascii="Cambria" w:eastAsia="Cambria" w:hAnsi="Cambria" w:cs="Cambria"/>
          <w:b/>
          <w:bCs/>
          <w:color w:val="000000" w:themeColor="text1"/>
          <w:sz w:val="20"/>
          <w:szCs w:val="20"/>
        </w:rPr>
      </w:pPr>
      <w:r w:rsidRPr="002C5AC0">
        <w:rPr>
          <w:rFonts w:ascii="Cambria" w:hAnsi="Cambria"/>
          <w:b/>
          <w:color w:val="000000" w:themeColor="text1"/>
          <w:sz w:val="20"/>
        </w:rPr>
        <w:lastRenderedPageBreak/>
        <w:t xml:space="preserve">Original : </w:t>
      </w:r>
      <w:r w:rsidRPr="002C5AC0">
        <w:rPr>
          <w:rFonts w:ascii="Cambria" w:hAnsi="Cambria"/>
          <w:b/>
          <w:bCs/>
          <w:color w:val="000000" w:themeColor="text1"/>
          <w:sz w:val="20"/>
        </w:rPr>
        <w:t>anglais</w:t>
      </w:r>
    </w:p>
    <w:p w14:paraId="37E9039A" w14:textId="77777777" w:rsidR="00CD3FF8" w:rsidRPr="002C5AC0" w:rsidRDefault="00CD3FF8" w:rsidP="00AA33EC">
      <w:pPr>
        <w:spacing w:line="234" w:lineRule="exact"/>
        <w:ind w:right="68"/>
        <w:rPr>
          <w:rFonts w:asciiTheme="majorHAnsi" w:hAnsiTheme="majorHAnsi"/>
          <w:b/>
          <w:sz w:val="20"/>
          <w:szCs w:val="20"/>
        </w:rPr>
      </w:pPr>
    </w:p>
    <w:p w14:paraId="08D56FD9" w14:textId="2D5A47B2" w:rsidR="00BC03F2" w:rsidRPr="002C5AC0" w:rsidRDefault="005C76FC" w:rsidP="007957CF">
      <w:pPr>
        <w:spacing w:line="234" w:lineRule="exact"/>
        <w:ind w:right="68"/>
        <w:jc w:val="center"/>
        <w:rPr>
          <w:rFonts w:asciiTheme="majorHAnsi" w:hAnsiTheme="majorHAnsi"/>
          <w:b/>
          <w:sz w:val="20"/>
          <w:szCs w:val="20"/>
        </w:rPr>
      </w:pPr>
      <w:r w:rsidRPr="002C5AC0">
        <w:rPr>
          <w:rFonts w:asciiTheme="majorHAnsi" w:hAnsiTheme="majorHAnsi"/>
          <w:b/>
          <w:sz w:val="20"/>
          <w:szCs w:val="20"/>
        </w:rPr>
        <w:t>Projet de Recommandation de l’ICCAT sur une procédure de gestion potentielle</w:t>
      </w:r>
      <w:r w:rsidR="007957CF" w:rsidRPr="002C5AC0">
        <w:rPr>
          <w:rFonts w:asciiTheme="majorHAnsi" w:hAnsiTheme="majorHAnsi"/>
          <w:b/>
          <w:sz w:val="20"/>
          <w:szCs w:val="20"/>
        </w:rPr>
        <w:t xml:space="preserve"> </w:t>
      </w:r>
      <w:r w:rsidRPr="002C5AC0">
        <w:rPr>
          <w:rFonts w:asciiTheme="majorHAnsi" w:hAnsiTheme="majorHAnsi"/>
          <w:b/>
          <w:sz w:val="20"/>
          <w:szCs w:val="20"/>
        </w:rPr>
        <w:t>pour le listao de l'</w:t>
      </w:r>
      <w:r w:rsidR="007957CF" w:rsidRPr="002C5AC0">
        <w:rPr>
          <w:rFonts w:asciiTheme="majorHAnsi" w:hAnsiTheme="majorHAnsi"/>
          <w:b/>
          <w:sz w:val="20"/>
          <w:szCs w:val="20"/>
        </w:rPr>
        <w:t>A</w:t>
      </w:r>
      <w:r w:rsidRPr="002C5AC0">
        <w:rPr>
          <w:rFonts w:asciiTheme="majorHAnsi" w:hAnsiTheme="majorHAnsi"/>
          <w:b/>
          <w:sz w:val="20"/>
          <w:szCs w:val="20"/>
        </w:rPr>
        <w:t xml:space="preserve">tlantique </w:t>
      </w:r>
      <w:r w:rsidR="007957CF" w:rsidRPr="002C5AC0">
        <w:rPr>
          <w:rFonts w:asciiTheme="majorHAnsi" w:hAnsiTheme="majorHAnsi"/>
          <w:b/>
          <w:sz w:val="20"/>
          <w:szCs w:val="20"/>
        </w:rPr>
        <w:t>Ouest</w:t>
      </w:r>
    </w:p>
    <w:p w14:paraId="60EBBBBF" w14:textId="77777777" w:rsidR="005B6D26" w:rsidRPr="002C5AC0" w:rsidRDefault="005B6D26" w:rsidP="005B6D26">
      <w:pPr>
        <w:widowControl w:val="0"/>
        <w:jc w:val="center"/>
        <w:rPr>
          <w:rFonts w:ascii="Cambria" w:eastAsia="Aptos" w:hAnsi="Cambria"/>
          <w:i/>
          <w:kern w:val="2"/>
          <w:sz w:val="20"/>
          <w:lang w:eastAsia="en-US"/>
          <w14:ligatures w14:val="standardContextual"/>
        </w:rPr>
      </w:pPr>
    </w:p>
    <w:p w14:paraId="63B8E0DC" w14:textId="3CEBEB3F" w:rsidR="005B6D26" w:rsidRPr="002C5AC0" w:rsidRDefault="005B6D26" w:rsidP="005B6D26">
      <w:pPr>
        <w:widowControl w:val="0"/>
        <w:jc w:val="center"/>
        <w:rPr>
          <w:rFonts w:ascii="Cambria" w:eastAsia="Cambria" w:hAnsi="Cambria" w:cs="Cambria"/>
          <w:i/>
          <w:iCs/>
          <w:sz w:val="20"/>
          <w:szCs w:val="20"/>
          <w:lang w:eastAsia="en-US"/>
        </w:rPr>
      </w:pPr>
      <w:r w:rsidRPr="002C5AC0">
        <w:rPr>
          <w:rFonts w:ascii="Cambria" w:eastAsia="Aptos" w:hAnsi="Cambria"/>
          <w:i/>
          <w:kern w:val="2"/>
          <w:sz w:val="20"/>
          <w:lang w:eastAsia="en-US"/>
          <w14:ligatures w14:val="standardContextual"/>
        </w:rPr>
        <w:t>(Document présenté par le Brésil</w:t>
      </w:r>
      <w:r w:rsidR="001A7F7F" w:rsidRPr="002C5AC0">
        <w:rPr>
          <w:rFonts w:ascii="Cambria" w:eastAsia="Aptos" w:hAnsi="Cambria"/>
          <w:i/>
          <w:kern w:val="2"/>
          <w:sz w:val="20"/>
          <w:lang w:eastAsia="en-US"/>
          <w14:ligatures w14:val="standardContextual"/>
        </w:rPr>
        <w:t xml:space="preserve"> et les États-Unis</w:t>
      </w:r>
      <w:r w:rsidRPr="002C5AC0">
        <w:rPr>
          <w:rFonts w:ascii="Cambria" w:eastAsia="Aptos" w:hAnsi="Cambria"/>
          <w:i/>
          <w:kern w:val="2"/>
          <w:sz w:val="20"/>
          <w:lang w:eastAsia="en-US"/>
          <w14:ligatures w14:val="standardContextual"/>
        </w:rPr>
        <w:t>)</w:t>
      </w:r>
    </w:p>
    <w:p w14:paraId="16386DAE" w14:textId="28C9407A" w:rsidR="00AA33EC" w:rsidRPr="002C5AC0" w:rsidRDefault="00AA33EC" w:rsidP="00DD3D9E">
      <w:pPr>
        <w:tabs>
          <w:tab w:val="left" w:pos="996"/>
        </w:tabs>
        <w:spacing w:line="234" w:lineRule="exact"/>
        <w:ind w:right="68"/>
        <w:rPr>
          <w:rFonts w:asciiTheme="majorHAnsi" w:hAnsiTheme="majorHAnsi"/>
          <w:b/>
          <w:sz w:val="20"/>
          <w:szCs w:val="20"/>
        </w:rPr>
      </w:pPr>
    </w:p>
    <w:p w14:paraId="7F3088FB" w14:textId="0F424794" w:rsidR="00BC03F2" w:rsidRPr="002C5AC0" w:rsidRDefault="009A5C6B" w:rsidP="00566B70">
      <w:pPr>
        <w:pStyle w:val="BodyText"/>
        <w:ind w:right="-1" w:firstLine="432"/>
        <w:jc w:val="both"/>
        <w:rPr>
          <w:rFonts w:asciiTheme="majorHAnsi" w:hAnsiTheme="majorHAnsi"/>
        </w:rPr>
      </w:pPr>
      <w:r w:rsidRPr="002C5AC0">
        <w:rPr>
          <w:rFonts w:asciiTheme="majorHAnsi" w:hAnsiTheme="majorHAnsi"/>
          <w:i/>
          <w:iCs/>
        </w:rPr>
        <w:t>RAPPELANT</w:t>
      </w:r>
      <w:r w:rsidRPr="002C5AC0">
        <w:rPr>
          <w:rFonts w:asciiTheme="majorHAnsi" w:hAnsiTheme="majorHAnsi"/>
        </w:rPr>
        <w:t xml:space="preserve"> l'intention de la Commission d'adopter des procédures de gestion (MP) testées au moyen d’une évaluation de la stratégie de gestion (</w:t>
      </w:r>
      <w:r w:rsidR="0038360F" w:rsidRPr="002C5AC0">
        <w:rPr>
          <w:rFonts w:asciiTheme="majorHAnsi" w:hAnsiTheme="majorHAnsi"/>
        </w:rPr>
        <w:t>« </w:t>
      </w:r>
      <w:r w:rsidRPr="002C5AC0">
        <w:rPr>
          <w:rFonts w:asciiTheme="majorHAnsi" w:hAnsiTheme="majorHAnsi"/>
        </w:rPr>
        <w:t>MSE</w:t>
      </w:r>
      <w:r w:rsidR="0038360F" w:rsidRPr="002C5AC0">
        <w:rPr>
          <w:rFonts w:asciiTheme="majorHAnsi" w:hAnsiTheme="majorHAnsi"/>
        </w:rPr>
        <w:t> »</w:t>
      </w:r>
      <w:r w:rsidRPr="002C5AC0">
        <w:rPr>
          <w:rFonts w:asciiTheme="majorHAnsi" w:hAnsiTheme="majorHAnsi"/>
        </w:rPr>
        <w:t xml:space="preserve">) pour les stocks prioritaires, dont le listao de l’Atlantique Ouest, conformément à la </w:t>
      </w:r>
      <w:r w:rsidRPr="002C5AC0">
        <w:rPr>
          <w:rFonts w:asciiTheme="majorHAnsi" w:hAnsiTheme="majorHAnsi"/>
          <w:i/>
          <w:iCs/>
        </w:rPr>
        <w:t>Recommandation de l’ICCAT sur le développement de règles de contrôle de l’exploitation et d'une évaluation de la stratégie de gestion</w:t>
      </w:r>
      <w:r w:rsidRPr="002C5AC0">
        <w:rPr>
          <w:rFonts w:asciiTheme="majorHAnsi" w:hAnsiTheme="majorHAnsi"/>
        </w:rPr>
        <w:t xml:space="preserve"> (Rec. 15-07) pour gérer plus efficacement les pêcheries face aux incertitudes identifiées</w:t>
      </w:r>
      <w:r w:rsidR="004D3AC1" w:rsidRPr="002C5AC0">
        <w:rPr>
          <w:rFonts w:asciiTheme="majorHAnsi" w:hAnsiTheme="majorHAnsi"/>
        </w:rPr>
        <w:t> ;</w:t>
      </w:r>
    </w:p>
    <w:p w14:paraId="04040B62" w14:textId="77777777" w:rsidR="00BC03F2" w:rsidRPr="002C5AC0" w:rsidRDefault="00BC03F2" w:rsidP="00566B70">
      <w:pPr>
        <w:pStyle w:val="BodyText"/>
        <w:ind w:right="-1" w:firstLine="432"/>
        <w:jc w:val="both"/>
        <w:rPr>
          <w:rFonts w:asciiTheme="majorHAnsi" w:hAnsiTheme="majorHAnsi"/>
        </w:rPr>
      </w:pPr>
    </w:p>
    <w:p w14:paraId="2A356E5E" w14:textId="5BCBC250" w:rsidR="00BC03F2" w:rsidRPr="002C5AC0" w:rsidRDefault="009A5C6B" w:rsidP="00566B70">
      <w:pPr>
        <w:pStyle w:val="BodyText"/>
        <w:ind w:right="-1" w:firstLine="432"/>
        <w:jc w:val="both"/>
        <w:rPr>
          <w:rFonts w:asciiTheme="majorHAnsi" w:hAnsiTheme="majorHAnsi"/>
        </w:rPr>
      </w:pPr>
      <w:r w:rsidRPr="002C5AC0">
        <w:rPr>
          <w:rFonts w:asciiTheme="majorHAnsi" w:hAnsiTheme="majorHAnsi"/>
          <w:i/>
        </w:rPr>
        <w:t xml:space="preserve">RAPPELANT </w:t>
      </w:r>
      <w:r w:rsidRPr="002C5AC0">
        <w:rPr>
          <w:rFonts w:asciiTheme="majorHAnsi" w:hAnsiTheme="majorHAnsi"/>
        </w:rPr>
        <w:t xml:space="preserve">l’application de l’approche de précaution conformément aux normes internationales pertinentes, </w:t>
      </w:r>
      <w:r w:rsidR="00156E11" w:rsidRPr="002C5AC0">
        <w:rPr>
          <w:rFonts w:asciiTheme="majorHAnsi" w:hAnsiTheme="majorHAnsi"/>
        </w:rPr>
        <w:t>telle qu’</w:t>
      </w:r>
      <w:r w:rsidRPr="002C5AC0">
        <w:rPr>
          <w:rFonts w:asciiTheme="majorHAnsi" w:hAnsiTheme="majorHAnsi"/>
        </w:rPr>
        <w:t>établi</w:t>
      </w:r>
      <w:r w:rsidR="0038360F" w:rsidRPr="002C5AC0">
        <w:rPr>
          <w:rFonts w:asciiTheme="majorHAnsi" w:hAnsiTheme="majorHAnsi"/>
        </w:rPr>
        <w:t>e</w:t>
      </w:r>
      <w:r w:rsidRPr="002C5AC0">
        <w:rPr>
          <w:rFonts w:asciiTheme="majorHAnsi" w:hAnsiTheme="majorHAnsi"/>
        </w:rPr>
        <w:t xml:space="preserve"> </w:t>
      </w:r>
      <w:r w:rsidR="00992891" w:rsidRPr="002C5AC0">
        <w:rPr>
          <w:rFonts w:asciiTheme="majorHAnsi" w:hAnsiTheme="majorHAnsi"/>
        </w:rPr>
        <w:t>par</w:t>
      </w:r>
      <w:r w:rsidRPr="002C5AC0">
        <w:rPr>
          <w:rFonts w:asciiTheme="majorHAnsi" w:hAnsiTheme="majorHAnsi"/>
        </w:rPr>
        <w:t xml:space="preserve"> la</w:t>
      </w:r>
      <w:r w:rsidRPr="002C5AC0">
        <w:rPr>
          <w:rFonts w:asciiTheme="majorHAnsi" w:hAnsiTheme="majorHAnsi"/>
          <w:i/>
        </w:rPr>
        <w:t xml:space="preserve"> Résolution de l’ICCAT concernant l'utilisation d’une approche de précaution lors de la mise en œuvre des mesures de conservation et de gestion de l'ICCAT </w:t>
      </w:r>
      <w:r w:rsidRPr="002C5AC0">
        <w:rPr>
          <w:rFonts w:asciiTheme="majorHAnsi" w:hAnsiTheme="majorHAnsi"/>
        </w:rPr>
        <w:t>(Rés. 15-12)</w:t>
      </w:r>
      <w:r w:rsidR="004D3AC1" w:rsidRPr="002C5AC0">
        <w:rPr>
          <w:rFonts w:asciiTheme="majorHAnsi" w:hAnsiTheme="majorHAnsi"/>
        </w:rPr>
        <w:t> ;</w:t>
      </w:r>
    </w:p>
    <w:p w14:paraId="5ED7D5BA" w14:textId="77777777" w:rsidR="00BC03F2" w:rsidRPr="002C5AC0" w:rsidRDefault="00BC03F2" w:rsidP="00566B70">
      <w:pPr>
        <w:pStyle w:val="BodyText"/>
        <w:ind w:right="-1" w:firstLine="432"/>
        <w:jc w:val="both"/>
        <w:rPr>
          <w:rFonts w:asciiTheme="majorHAnsi" w:hAnsiTheme="majorHAnsi"/>
        </w:rPr>
      </w:pPr>
    </w:p>
    <w:p w14:paraId="192F28A6" w14:textId="67D91101" w:rsidR="00BC03F2" w:rsidRPr="002C5AC0" w:rsidRDefault="009A5C6B" w:rsidP="00566B70">
      <w:pPr>
        <w:pStyle w:val="BodyText"/>
        <w:ind w:right="-1" w:firstLine="432"/>
        <w:jc w:val="both"/>
        <w:rPr>
          <w:rFonts w:asciiTheme="majorHAnsi" w:hAnsiTheme="majorHAnsi"/>
        </w:rPr>
      </w:pPr>
      <w:r w:rsidRPr="002C5AC0">
        <w:rPr>
          <w:rFonts w:asciiTheme="majorHAnsi" w:hAnsiTheme="majorHAnsi"/>
          <w:i/>
          <w:iCs/>
        </w:rPr>
        <w:t>COMPTE TENU</w:t>
      </w:r>
      <w:r w:rsidRPr="002C5AC0">
        <w:rPr>
          <w:rFonts w:asciiTheme="majorHAnsi" w:hAnsiTheme="majorHAnsi"/>
        </w:rPr>
        <w:t xml:space="preserve"> des efforts déployés en faveur de la gestion durable du stock de listao de l’Atlantique Ouest, conformément aux objectifs de la Convention et à la </w:t>
      </w:r>
      <w:r w:rsidRPr="002C5AC0">
        <w:rPr>
          <w:rFonts w:asciiTheme="majorHAnsi" w:hAnsiTheme="majorHAnsi"/>
          <w:i/>
          <w:iCs/>
        </w:rPr>
        <w:t>Recommandation de l'ICCAT sur les principes de la prise de décisions sur des mesures de conservation et de gestion de l’ICCAT</w:t>
      </w:r>
      <w:r w:rsidRPr="002C5AC0">
        <w:rPr>
          <w:rFonts w:asciiTheme="majorHAnsi" w:hAnsiTheme="majorHAnsi"/>
        </w:rPr>
        <w:t xml:space="preserve"> </w:t>
      </w:r>
      <w:r w:rsidRPr="002C5AC0">
        <w:rPr>
          <w:rFonts w:asciiTheme="majorHAnsi" w:hAnsiTheme="majorHAnsi"/>
          <w:iCs/>
        </w:rPr>
        <w:t>(Rec. 1</w:t>
      </w:r>
      <w:r w:rsidRPr="002C5AC0">
        <w:rPr>
          <w:rFonts w:asciiTheme="majorHAnsi" w:hAnsiTheme="majorHAnsi"/>
        </w:rPr>
        <w:t>1-13)</w:t>
      </w:r>
      <w:r w:rsidR="004D3AC1" w:rsidRPr="002C5AC0">
        <w:rPr>
          <w:rFonts w:asciiTheme="majorHAnsi" w:hAnsiTheme="majorHAnsi"/>
        </w:rPr>
        <w:t> ;</w:t>
      </w:r>
    </w:p>
    <w:p w14:paraId="4137273F" w14:textId="77777777" w:rsidR="00BC03F2" w:rsidRPr="002C5AC0" w:rsidRDefault="00BC03F2" w:rsidP="00566B70">
      <w:pPr>
        <w:pStyle w:val="BodyText"/>
        <w:ind w:right="-1" w:firstLine="432"/>
        <w:jc w:val="both"/>
        <w:rPr>
          <w:rFonts w:asciiTheme="majorHAnsi" w:hAnsiTheme="majorHAnsi"/>
        </w:rPr>
      </w:pPr>
    </w:p>
    <w:p w14:paraId="3A197829" w14:textId="38D4C6B2" w:rsidR="00960277" w:rsidRPr="002C5AC0" w:rsidRDefault="00BF34B6" w:rsidP="00566B70">
      <w:pPr>
        <w:pStyle w:val="BodyText"/>
        <w:ind w:right="-1" w:firstLine="432"/>
        <w:jc w:val="both"/>
        <w:rPr>
          <w:rFonts w:asciiTheme="majorHAnsi" w:hAnsiTheme="majorHAnsi"/>
        </w:rPr>
      </w:pPr>
      <w:r w:rsidRPr="002C5AC0">
        <w:rPr>
          <w:rFonts w:asciiTheme="majorHAnsi" w:hAnsiTheme="majorHAnsi"/>
          <w:i/>
          <w:iCs/>
        </w:rPr>
        <w:t xml:space="preserve">COMPTE TENU ÉGALEMENT </w:t>
      </w:r>
      <w:r w:rsidR="00960277" w:rsidRPr="002C5AC0">
        <w:rPr>
          <w:rFonts w:asciiTheme="majorHAnsi" w:hAnsiTheme="majorHAnsi"/>
        </w:rPr>
        <w:t>du cycle de vie relativement court et de la dynamique de population très variable du listao ;</w:t>
      </w:r>
    </w:p>
    <w:p w14:paraId="32F66307" w14:textId="77777777" w:rsidR="00960277" w:rsidRPr="002C5AC0" w:rsidRDefault="00960277" w:rsidP="00566B70">
      <w:pPr>
        <w:pStyle w:val="BodyText"/>
        <w:ind w:right="-1" w:firstLine="432"/>
        <w:jc w:val="both"/>
        <w:rPr>
          <w:rFonts w:asciiTheme="majorHAnsi" w:hAnsiTheme="majorHAnsi"/>
        </w:rPr>
      </w:pPr>
    </w:p>
    <w:p w14:paraId="7BE9658A" w14:textId="2F06C473" w:rsidR="00BC03F2" w:rsidRPr="002C5AC0" w:rsidRDefault="009A5C6B" w:rsidP="00566B70">
      <w:pPr>
        <w:pStyle w:val="BodyText"/>
        <w:ind w:right="-1" w:firstLine="432"/>
        <w:jc w:val="both"/>
        <w:rPr>
          <w:rFonts w:asciiTheme="majorHAnsi" w:hAnsiTheme="majorHAnsi"/>
        </w:rPr>
      </w:pPr>
      <w:r w:rsidRPr="002C5AC0">
        <w:rPr>
          <w:rFonts w:asciiTheme="majorHAnsi" w:hAnsiTheme="majorHAnsi"/>
          <w:i/>
          <w:iCs/>
        </w:rPr>
        <w:t>NOTANT</w:t>
      </w:r>
      <w:r w:rsidRPr="002C5AC0">
        <w:rPr>
          <w:rFonts w:asciiTheme="majorHAnsi" w:hAnsiTheme="majorHAnsi"/>
        </w:rPr>
        <w:t xml:space="preserve"> les conclusions de l’évaluation du stock de 2022 réalisée par le Comité permanent pour la recherche et les statistiques (SCRS) de l’ICCAT, </w:t>
      </w:r>
      <w:r w:rsidR="0038360F" w:rsidRPr="002C5AC0">
        <w:rPr>
          <w:rFonts w:asciiTheme="majorHAnsi" w:hAnsiTheme="majorHAnsi"/>
        </w:rPr>
        <w:t xml:space="preserve">d’après laquelle </w:t>
      </w:r>
      <w:r w:rsidRPr="002C5AC0">
        <w:rPr>
          <w:rFonts w:asciiTheme="majorHAnsi" w:hAnsiTheme="majorHAnsi"/>
        </w:rPr>
        <w:t xml:space="preserve">il est fort probable que le stock de listao de l’Atlantique Ouest se situe dans le quadrant vert du diagramme de Kobe, </w:t>
      </w:r>
      <w:r w:rsidR="0038360F" w:rsidRPr="002C5AC0">
        <w:rPr>
          <w:rFonts w:asciiTheme="majorHAnsi" w:hAnsiTheme="majorHAnsi"/>
        </w:rPr>
        <w:t xml:space="preserve">ce qui </w:t>
      </w:r>
      <w:r w:rsidRPr="002C5AC0">
        <w:rPr>
          <w:rFonts w:asciiTheme="majorHAnsi" w:hAnsiTheme="majorHAnsi"/>
        </w:rPr>
        <w:t>indiqu</w:t>
      </w:r>
      <w:r w:rsidR="0038360F" w:rsidRPr="002C5AC0">
        <w:rPr>
          <w:rFonts w:asciiTheme="majorHAnsi" w:hAnsiTheme="majorHAnsi"/>
        </w:rPr>
        <w:t>e</w:t>
      </w:r>
      <w:r w:rsidRPr="002C5AC0">
        <w:rPr>
          <w:rFonts w:asciiTheme="majorHAnsi" w:hAnsiTheme="majorHAnsi"/>
        </w:rPr>
        <w:t xml:space="preserve"> que le stock n’est pas surexploité et ne fait pas l’objet de surpêche</w:t>
      </w:r>
      <w:r w:rsidR="004D3AC1" w:rsidRPr="002C5AC0">
        <w:rPr>
          <w:rFonts w:asciiTheme="majorHAnsi" w:hAnsiTheme="majorHAnsi"/>
        </w:rPr>
        <w:t> ;</w:t>
      </w:r>
    </w:p>
    <w:p w14:paraId="43E94E2D" w14:textId="77777777" w:rsidR="00BC03F2" w:rsidRPr="002C5AC0" w:rsidRDefault="00BC03F2" w:rsidP="00566B70">
      <w:pPr>
        <w:pStyle w:val="BodyText"/>
        <w:ind w:right="-1" w:firstLine="432"/>
        <w:jc w:val="both"/>
        <w:rPr>
          <w:rFonts w:asciiTheme="majorHAnsi" w:hAnsiTheme="majorHAnsi"/>
        </w:rPr>
      </w:pPr>
    </w:p>
    <w:p w14:paraId="6868F5AD" w14:textId="104287AF" w:rsidR="00BC03F2" w:rsidRPr="002C5AC0" w:rsidRDefault="009A5C6B" w:rsidP="00566B70">
      <w:pPr>
        <w:pStyle w:val="BodyText"/>
        <w:ind w:right="-1" w:firstLine="432"/>
        <w:jc w:val="both"/>
        <w:rPr>
          <w:rFonts w:asciiTheme="majorHAnsi" w:hAnsiTheme="majorHAnsi"/>
        </w:rPr>
      </w:pPr>
      <w:r w:rsidRPr="002C5AC0">
        <w:rPr>
          <w:rFonts w:asciiTheme="majorHAnsi" w:hAnsiTheme="majorHAnsi"/>
          <w:i/>
        </w:rPr>
        <w:t xml:space="preserve">RAPPELANT </w:t>
      </w:r>
      <w:r w:rsidRPr="002C5AC0">
        <w:rPr>
          <w:rFonts w:asciiTheme="majorHAnsi" w:hAnsiTheme="majorHAnsi"/>
        </w:rPr>
        <w:t xml:space="preserve">que les indicateurs de performance préliminaires convenus par la Commission pour les thonidés tropicaux, énoncés dans la </w:t>
      </w:r>
      <w:r w:rsidRPr="002C5AC0">
        <w:rPr>
          <w:rFonts w:asciiTheme="majorHAnsi" w:hAnsiTheme="majorHAnsi"/>
          <w:i/>
          <w:iCs/>
        </w:rPr>
        <w:t xml:space="preserve">Recommandation de l’ICCAT sur un programme pluriannuel de conservation et de gestion pour les thonidés tropicaux </w:t>
      </w:r>
      <w:r w:rsidRPr="002C5AC0">
        <w:rPr>
          <w:rFonts w:asciiTheme="majorHAnsi" w:hAnsiTheme="majorHAnsi"/>
        </w:rPr>
        <w:t>(Rec. 16-01), incluaient quatre catégories d’objectifs de gestion, à savoir l’état, la sécurité, la production et la stabilité</w:t>
      </w:r>
      <w:r w:rsidR="004D3AC1" w:rsidRPr="002C5AC0">
        <w:rPr>
          <w:rFonts w:asciiTheme="majorHAnsi" w:hAnsiTheme="majorHAnsi"/>
        </w:rPr>
        <w:t> ;</w:t>
      </w:r>
    </w:p>
    <w:p w14:paraId="1DA5EC2E" w14:textId="77777777" w:rsidR="00BC03F2" w:rsidRPr="002C5AC0" w:rsidRDefault="00BC03F2" w:rsidP="00566B70">
      <w:pPr>
        <w:pStyle w:val="BodyText"/>
        <w:ind w:right="-1" w:firstLine="432"/>
        <w:jc w:val="both"/>
        <w:rPr>
          <w:rFonts w:asciiTheme="majorHAnsi" w:hAnsiTheme="majorHAnsi"/>
        </w:rPr>
      </w:pPr>
    </w:p>
    <w:p w14:paraId="01625DA2" w14:textId="5C46C87F" w:rsidR="00BC03F2" w:rsidRPr="002C5AC0" w:rsidRDefault="009A5C6B" w:rsidP="00566B70">
      <w:pPr>
        <w:pStyle w:val="BodyText"/>
        <w:ind w:right="-1" w:firstLine="432"/>
        <w:jc w:val="both"/>
        <w:rPr>
          <w:rFonts w:asciiTheme="majorHAnsi" w:hAnsiTheme="majorHAnsi"/>
        </w:rPr>
      </w:pPr>
      <w:r w:rsidRPr="002C5AC0">
        <w:rPr>
          <w:rFonts w:asciiTheme="majorHAnsi" w:hAnsiTheme="majorHAnsi"/>
          <w:i/>
          <w:iCs/>
        </w:rPr>
        <w:t>RAPPELANT</w:t>
      </w:r>
      <w:r w:rsidRPr="002C5AC0">
        <w:rPr>
          <w:rFonts w:asciiTheme="majorHAnsi" w:hAnsiTheme="majorHAnsi"/>
        </w:rPr>
        <w:t xml:space="preserve"> les objectifs de gestion conceptuels convenus par l’ICCAT en ce qui concerne le listao de l’Ouest dans la </w:t>
      </w:r>
      <w:r w:rsidRPr="002C5AC0">
        <w:rPr>
          <w:rFonts w:asciiTheme="majorHAnsi" w:hAnsiTheme="majorHAnsi"/>
          <w:i/>
          <w:iCs/>
        </w:rPr>
        <w:t>Résolution de l’ICCAT concernant l’élaboration d’objectifs de gestion conceptuels initiaux pour le listao de l’Atlantique Ouest</w:t>
      </w:r>
      <w:r w:rsidRPr="002C5AC0">
        <w:rPr>
          <w:rFonts w:asciiTheme="majorHAnsi" w:hAnsiTheme="majorHAnsi"/>
        </w:rPr>
        <w:t xml:space="preserve"> (Rés. 22-02)</w:t>
      </w:r>
      <w:r w:rsidR="004D3AC1" w:rsidRPr="002C5AC0">
        <w:rPr>
          <w:rFonts w:asciiTheme="majorHAnsi" w:hAnsiTheme="majorHAnsi"/>
        </w:rPr>
        <w:t> ;</w:t>
      </w:r>
    </w:p>
    <w:p w14:paraId="35AEB6D1" w14:textId="77777777" w:rsidR="00BC03F2" w:rsidRPr="002C5AC0" w:rsidRDefault="00BC03F2" w:rsidP="00566B70">
      <w:pPr>
        <w:pStyle w:val="BodyText"/>
        <w:ind w:right="-1" w:firstLine="432"/>
        <w:jc w:val="both"/>
        <w:rPr>
          <w:rFonts w:asciiTheme="majorHAnsi" w:hAnsiTheme="majorHAnsi"/>
        </w:rPr>
      </w:pPr>
    </w:p>
    <w:p w14:paraId="0AA834CA" w14:textId="77777777" w:rsidR="00BC03F2" w:rsidRPr="002C5AC0" w:rsidRDefault="009A5C6B" w:rsidP="00566B70">
      <w:pPr>
        <w:pStyle w:val="BodyText"/>
        <w:ind w:right="-1" w:firstLine="432"/>
        <w:jc w:val="both"/>
        <w:rPr>
          <w:rFonts w:asciiTheme="majorHAnsi" w:hAnsiTheme="majorHAnsi"/>
        </w:rPr>
      </w:pPr>
      <w:r w:rsidRPr="002C5AC0">
        <w:rPr>
          <w:rFonts w:asciiTheme="majorHAnsi" w:hAnsiTheme="majorHAnsi"/>
          <w:i/>
        </w:rPr>
        <w:t>NOTANT</w:t>
      </w:r>
      <w:r w:rsidRPr="002C5AC0">
        <w:rPr>
          <w:rFonts w:asciiTheme="majorHAnsi" w:hAnsiTheme="majorHAnsi"/>
        </w:rPr>
        <w:t xml:space="preserve"> que l’objectif de la Convention est de maintenir les populations de thonidés et d’espèces apparentées à des niveaux qui permettront la prise maximale équilibrée (dénommée généralement « production maximale équilibrée » (PME)) ;</w:t>
      </w:r>
    </w:p>
    <w:p w14:paraId="71FDE58C" w14:textId="77777777" w:rsidR="00BC03F2" w:rsidRPr="002C5AC0" w:rsidRDefault="00BC03F2" w:rsidP="00566B70">
      <w:pPr>
        <w:pStyle w:val="BodyText"/>
        <w:spacing w:before="1"/>
        <w:ind w:right="-1"/>
        <w:rPr>
          <w:rFonts w:asciiTheme="majorHAnsi" w:hAnsiTheme="majorHAnsi"/>
        </w:rPr>
      </w:pPr>
    </w:p>
    <w:p w14:paraId="345C2698" w14:textId="2A0D1EA0" w:rsidR="00BC03F2" w:rsidRPr="002C5AC0" w:rsidRDefault="009A5C6B" w:rsidP="00566B70">
      <w:pPr>
        <w:pStyle w:val="BodyText"/>
        <w:ind w:right="-1" w:firstLine="427"/>
        <w:jc w:val="both"/>
        <w:rPr>
          <w:rFonts w:asciiTheme="majorHAnsi" w:hAnsiTheme="majorHAnsi"/>
        </w:rPr>
      </w:pPr>
      <w:r w:rsidRPr="002C5AC0">
        <w:rPr>
          <w:rFonts w:asciiTheme="majorHAnsi" w:hAnsiTheme="majorHAnsi"/>
          <w:i/>
          <w:iCs/>
        </w:rPr>
        <w:t>CONSIDÉRANT</w:t>
      </w:r>
      <w:r w:rsidRPr="002C5AC0">
        <w:rPr>
          <w:rFonts w:asciiTheme="majorHAnsi" w:hAnsiTheme="majorHAnsi"/>
        </w:rPr>
        <w:t xml:space="preserve"> le travail du SCRS depuis 2020 pour tester au moyen de la MSE plusieurs MP </w:t>
      </w:r>
      <w:r w:rsidR="00042539" w:rsidRPr="002C5AC0">
        <w:rPr>
          <w:rFonts w:asciiTheme="majorHAnsi" w:hAnsiTheme="majorHAnsi"/>
        </w:rPr>
        <w:t>potentielles</w:t>
      </w:r>
      <w:r w:rsidR="004D3AC1" w:rsidRPr="002C5AC0">
        <w:rPr>
          <w:rFonts w:asciiTheme="majorHAnsi" w:hAnsiTheme="majorHAnsi"/>
        </w:rPr>
        <w:t> ;</w:t>
      </w:r>
    </w:p>
    <w:p w14:paraId="4E415D13" w14:textId="77777777" w:rsidR="00BC03F2" w:rsidRPr="002C5AC0" w:rsidRDefault="00BC03F2">
      <w:pPr>
        <w:pStyle w:val="BodyText"/>
        <w:ind w:right="68" w:firstLine="427"/>
        <w:jc w:val="both"/>
        <w:rPr>
          <w:rFonts w:asciiTheme="majorHAnsi" w:hAnsiTheme="majorHAnsi"/>
        </w:rPr>
      </w:pPr>
    </w:p>
    <w:p w14:paraId="3C9C8329" w14:textId="13BA9E2F" w:rsidR="00BC03F2" w:rsidRPr="002C5AC0" w:rsidRDefault="009A5C6B" w:rsidP="00566B70">
      <w:pPr>
        <w:pStyle w:val="BodyText"/>
        <w:ind w:right="-1" w:firstLine="427"/>
        <w:jc w:val="both"/>
        <w:rPr>
          <w:rFonts w:asciiTheme="majorHAnsi" w:hAnsiTheme="majorHAnsi"/>
        </w:rPr>
      </w:pPr>
      <w:r w:rsidRPr="002C5AC0">
        <w:rPr>
          <w:rFonts w:asciiTheme="majorHAnsi" w:hAnsiTheme="majorHAnsi"/>
          <w:i/>
          <w:iCs/>
        </w:rPr>
        <w:t>RAPPELANT</w:t>
      </w:r>
      <w:r w:rsidRPr="002C5AC0">
        <w:rPr>
          <w:rFonts w:asciiTheme="majorHAnsi" w:hAnsiTheme="majorHAnsi"/>
        </w:rPr>
        <w:t xml:space="preserve"> que la Commission a demandé au SCRS de continuer à tester plusieurs MP potentielles en 2024 et de se réunir avec la Sous-commission 1 afin d'examiner les résultats et d'aider la Sous-commission à en sélectionner une à adopter en 2024, et qu'à cette fin, la Sous-commission 1 a tenu trois réunions intersessions en 2024, dont une réunion consacrée à la MSE pour le listao de </w:t>
      </w:r>
      <w:r w:rsidR="00042539" w:rsidRPr="002C5AC0">
        <w:rPr>
          <w:rFonts w:asciiTheme="majorHAnsi" w:hAnsiTheme="majorHAnsi"/>
        </w:rPr>
        <w:t>l’Ouest</w:t>
      </w:r>
      <w:r w:rsidR="004D3AC1" w:rsidRPr="002C5AC0">
        <w:rPr>
          <w:rFonts w:asciiTheme="majorHAnsi" w:hAnsiTheme="majorHAnsi"/>
        </w:rPr>
        <w:t> ;</w:t>
      </w:r>
    </w:p>
    <w:p w14:paraId="5B608CE4" w14:textId="77777777" w:rsidR="00BC03F2" w:rsidRPr="002C5AC0" w:rsidRDefault="00BC03F2" w:rsidP="00566B70">
      <w:pPr>
        <w:pStyle w:val="BodyText"/>
        <w:spacing w:before="11"/>
        <w:ind w:right="-1"/>
        <w:rPr>
          <w:rFonts w:asciiTheme="majorHAnsi" w:hAnsiTheme="majorHAnsi"/>
        </w:rPr>
      </w:pPr>
    </w:p>
    <w:p w14:paraId="47BCD206" w14:textId="77777777" w:rsidR="006B3315" w:rsidRPr="002C5AC0" w:rsidRDefault="006B3315" w:rsidP="006B3315">
      <w:pPr>
        <w:pStyle w:val="BodyText"/>
        <w:ind w:right="-1" w:firstLine="427"/>
      </w:pPr>
      <w:r w:rsidRPr="002C5AC0">
        <w:rPr>
          <w:i/>
          <w:iCs/>
        </w:rPr>
        <w:t xml:space="preserve">RECONNAISSANT </w:t>
      </w:r>
      <w:r w:rsidRPr="002C5AC0">
        <w:t xml:space="preserve">que le paragraphe 8) de la </w:t>
      </w:r>
      <w:r w:rsidRPr="002C5AC0">
        <w:rPr>
          <w:i/>
          <w:iCs/>
        </w:rPr>
        <w:t xml:space="preserve">Recommandation de l’ICCAT sur une procédure de gestion potentielle pour le listao de l'Atlantique Ouest </w:t>
      </w:r>
      <w:r w:rsidRPr="002C5AC0">
        <w:t>(Rec. 24-04) demandait au SCRS de finaliser le calibrage de la MP et à la Commission d'adopter une MP pour le listao de l'Atlantique Ouest en 2025 et d'appliquer la MP pour établir le total admissible des captures (TAC) pour 2026-2028 et les années suivantes ;</w:t>
      </w:r>
    </w:p>
    <w:p w14:paraId="31D2012E" w14:textId="77777777" w:rsidR="006B3315" w:rsidRPr="002C5AC0" w:rsidRDefault="006B3315" w:rsidP="006B3315">
      <w:pPr>
        <w:pStyle w:val="BodyText"/>
        <w:ind w:right="-1" w:firstLine="427"/>
        <w:rPr>
          <w:i/>
          <w:iCs/>
        </w:rPr>
      </w:pPr>
    </w:p>
    <w:p w14:paraId="608402BF" w14:textId="77777777" w:rsidR="006B3315" w:rsidRPr="002C5AC0" w:rsidRDefault="006B3315" w:rsidP="0087627B">
      <w:pPr>
        <w:pStyle w:val="BodyText"/>
        <w:ind w:right="-1" w:firstLine="427"/>
        <w:jc w:val="both"/>
      </w:pPr>
      <w:r w:rsidRPr="002C5AC0">
        <w:rPr>
          <w:i/>
          <w:iCs/>
        </w:rPr>
        <w:t xml:space="preserve">NOTANT </w:t>
      </w:r>
      <w:r w:rsidRPr="002C5AC0">
        <w:t>l'importance d'établir un protocole de circonstances exceptionnelles en 2026 qui pourrait avoir pour conséquence de suspendre ou de modifier l'application de la MP ;</w:t>
      </w:r>
    </w:p>
    <w:p w14:paraId="388D5E56" w14:textId="77777777" w:rsidR="00765E81" w:rsidRPr="002C5AC0" w:rsidRDefault="00765E81" w:rsidP="00566B70">
      <w:pPr>
        <w:pStyle w:val="BodyText"/>
        <w:ind w:right="-1" w:firstLine="427"/>
        <w:jc w:val="both"/>
        <w:rPr>
          <w:rFonts w:asciiTheme="majorHAnsi" w:hAnsiTheme="majorHAnsi"/>
          <w:i/>
          <w:iCs/>
        </w:rPr>
      </w:pPr>
    </w:p>
    <w:p w14:paraId="60E7CB39" w14:textId="2A3AF38F" w:rsidR="00960277" w:rsidRPr="002C5AC0" w:rsidRDefault="009A5C6B" w:rsidP="00765E81">
      <w:pPr>
        <w:pStyle w:val="BodyText"/>
        <w:ind w:right="-1" w:firstLine="427"/>
        <w:jc w:val="both"/>
        <w:rPr>
          <w:rFonts w:asciiTheme="majorHAnsi" w:hAnsiTheme="majorHAnsi"/>
        </w:rPr>
      </w:pPr>
      <w:r w:rsidRPr="002C5AC0">
        <w:rPr>
          <w:rFonts w:asciiTheme="majorHAnsi" w:hAnsiTheme="majorHAnsi"/>
          <w:i/>
          <w:iCs/>
        </w:rPr>
        <w:t>RECONNAISSANT</w:t>
      </w:r>
      <w:r w:rsidRPr="002C5AC0">
        <w:rPr>
          <w:rFonts w:asciiTheme="majorHAnsi" w:hAnsiTheme="majorHAnsi"/>
        </w:rPr>
        <w:t xml:space="preserve"> qu'après six ans de mise en œuvre de la MP, il est souhaitable de la réexaminer</w:t>
      </w:r>
      <w:r w:rsidR="004D3AC1" w:rsidRPr="002C5AC0">
        <w:rPr>
          <w:rFonts w:asciiTheme="majorHAnsi" w:hAnsiTheme="majorHAnsi"/>
        </w:rPr>
        <w:t> ;</w:t>
      </w:r>
    </w:p>
    <w:p w14:paraId="0779D154" w14:textId="77777777" w:rsidR="006B3315" w:rsidRPr="002C5AC0" w:rsidRDefault="006B3315" w:rsidP="00765E81">
      <w:pPr>
        <w:pStyle w:val="BodyText"/>
        <w:ind w:right="-1" w:firstLine="427"/>
        <w:jc w:val="both"/>
        <w:rPr>
          <w:rFonts w:asciiTheme="majorHAnsi" w:hAnsiTheme="majorHAnsi"/>
        </w:rPr>
      </w:pPr>
    </w:p>
    <w:p w14:paraId="1A6CE69C" w14:textId="6C72FAE5" w:rsidR="00042539" w:rsidRPr="002C5AC0" w:rsidRDefault="009A5C6B" w:rsidP="00566B70">
      <w:pPr>
        <w:pStyle w:val="BodyText"/>
        <w:ind w:right="-1"/>
        <w:jc w:val="center"/>
        <w:rPr>
          <w:rFonts w:asciiTheme="majorHAnsi" w:hAnsiTheme="majorHAnsi"/>
        </w:rPr>
      </w:pPr>
      <w:r w:rsidRPr="002C5AC0">
        <w:rPr>
          <w:rFonts w:asciiTheme="majorHAnsi" w:hAnsiTheme="majorHAnsi"/>
        </w:rPr>
        <w:t>LA COMMISSION INTERNATIONALE POUR LA CONSERVATION</w:t>
      </w:r>
    </w:p>
    <w:p w14:paraId="3DC9EBCB" w14:textId="298CD24F" w:rsidR="00BC03F2" w:rsidRPr="002C5AC0" w:rsidRDefault="009A5C6B" w:rsidP="00566B70">
      <w:pPr>
        <w:pStyle w:val="BodyText"/>
        <w:ind w:right="-1"/>
        <w:jc w:val="center"/>
        <w:rPr>
          <w:rFonts w:asciiTheme="majorHAnsi" w:hAnsiTheme="majorHAnsi"/>
        </w:rPr>
      </w:pPr>
      <w:r w:rsidRPr="002C5AC0">
        <w:rPr>
          <w:rFonts w:asciiTheme="majorHAnsi" w:hAnsiTheme="majorHAnsi"/>
        </w:rPr>
        <w:t>DES THONIDÉS DE L’ATLANTIQUE (ICCAT) RECOMMANDE CE QUI SUIT :</w:t>
      </w:r>
    </w:p>
    <w:p w14:paraId="4D92A929" w14:textId="77777777" w:rsidR="00BC03F2" w:rsidRPr="002C5AC0" w:rsidRDefault="00BC03F2" w:rsidP="00566B70">
      <w:pPr>
        <w:pStyle w:val="BodyText"/>
        <w:spacing w:before="1"/>
        <w:ind w:right="-1"/>
        <w:rPr>
          <w:rFonts w:asciiTheme="majorHAnsi" w:hAnsiTheme="majorHAnsi"/>
        </w:rPr>
      </w:pPr>
    </w:p>
    <w:p w14:paraId="1B2AD355" w14:textId="68934B62" w:rsidR="00566B70" w:rsidRPr="002C5AC0" w:rsidRDefault="009A5C6B" w:rsidP="00566B70">
      <w:pPr>
        <w:pStyle w:val="Heading1"/>
        <w:spacing w:before="0"/>
        <w:ind w:left="360" w:right="-1"/>
        <w:jc w:val="center"/>
        <w:rPr>
          <w:rFonts w:asciiTheme="majorHAnsi" w:hAnsiTheme="majorHAnsi"/>
          <w:spacing w:val="1"/>
        </w:rPr>
      </w:pPr>
      <w:r w:rsidRPr="002C5AC0">
        <w:rPr>
          <w:rFonts w:asciiTheme="majorHAnsi" w:hAnsiTheme="majorHAnsi"/>
        </w:rPr>
        <w:t>I</w:t>
      </w:r>
      <w:r w:rsidR="005B5E97" w:rsidRPr="002C5AC0">
        <w:rPr>
          <w:rFonts w:asciiTheme="majorHAnsi" w:hAnsiTheme="majorHAnsi"/>
        </w:rPr>
        <w:t>ère p</w:t>
      </w:r>
      <w:r w:rsidR="004D3AC1" w:rsidRPr="002C5AC0">
        <w:rPr>
          <w:rFonts w:asciiTheme="majorHAnsi" w:hAnsiTheme="majorHAnsi"/>
        </w:rPr>
        <w:t>artie</w:t>
      </w:r>
    </w:p>
    <w:p w14:paraId="0E70654F" w14:textId="599BCFAE" w:rsidR="00BC03F2" w:rsidRPr="002C5AC0" w:rsidRDefault="00BF34B6" w:rsidP="00566B70">
      <w:pPr>
        <w:pStyle w:val="Heading1"/>
        <w:spacing w:before="0"/>
        <w:ind w:left="360" w:right="-1"/>
        <w:jc w:val="center"/>
        <w:rPr>
          <w:rFonts w:asciiTheme="majorHAnsi" w:hAnsiTheme="majorHAnsi"/>
        </w:rPr>
      </w:pPr>
      <w:r w:rsidRPr="002C5AC0">
        <w:rPr>
          <w:rFonts w:asciiTheme="majorHAnsi" w:hAnsiTheme="majorHAnsi"/>
        </w:rPr>
        <w:t>Dispositions générales</w:t>
      </w:r>
    </w:p>
    <w:p w14:paraId="08EB5242" w14:textId="77777777" w:rsidR="00BC03F2" w:rsidRPr="002C5AC0" w:rsidRDefault="00BC03F2" w:rsidP="00566B70">
      <w:pPr>
        <w:pStyle w:val="BodyText"/>
        <w:ind w:left="360" w:right="-1"/>
        <w:rPr>
          <w:rFonts w:asciiTheme="majorHAnsi" w:hAnsiTheme="majorHAnsi"/>
          <w:b/>
        </w:rPr>
      </w:pPr>
    </w:p>
    <w:p w14:paraId="46BF5730" w14:textId="23B22952" w:rsidR="00BC03F2" w:rsidRPr="002C5AC0" w:rsidRDefault="001618B5" w:rsidP="001618B5">
      <w:pPr>
        <w:pStyle w:val="ListParagraph"/>
        <w:ind w:left="426" w:right="-1" w:hanging="426"/>
        <w:jc w:val="both"/>
        <w:rPr>
          <w:rFonts w:asciiTheme="majorHAnsi" w:hAnsiTheme="majorHAnsi"/>
          <w:sz w:val="20"/>
          <w:szCs w:val="20"/>
        </w:rPr>
      </w:pPr>
      <w:r w:rsidRPr="002C5AC0">
        <w:rPr>
          <w:rFonts w:asciiTheme="majorHAnsi" w:hAnsiTheme="majorHAnsi"/>
          <w:sz w:val="20"/>
          <w:szCs w:val="20"/>
        </w:rPr>
        <w:t xml:space="preserve">1. </w:t>
      </w:r>
      <w:r w:rsidRPr="002C5AC0">
        <w:rPr>
          <w:rFonts w:asciiTheme="majorHAnsi" w:hAnsiTheme="majorHAnsi"/>
          <w:sz w:val="20"/>
          <w:szCs w:val="20"/>
        </w:rPr>
        <w:tab/>
      </w:r>
      <w:r w:rsidR="009A5C6B" w:rsidRPr="002C5AC0">
        <w:rPr>
          <w:rFonts w:asciiTheme="majorHAnsi" w:hAnsiTheme="majorHAnsi"/>
          <w:sz w:val="20"/>
          <w:szCs w:val="20"/>
        </w:rPr>
        <w:t>Les Parties contractantes et les Parties, Entités ou Entités de pêche non contractantes coopérantes (</w:t>
      </w:r>
      <w:r w:rsidR="00156E11" w:rsidRPr="002C5AC0">
        <w:rPr>
          <w:rFonts w:asciiTheme="majorHAnsi" w:hAnsiTheme="majorHAnsi"/>
          <w:sz w:val="20"/>
          <w:szCs w:val="20"/>
        </w:rPr>
        <w:t>« </w:t>
      </w:r>
      <w:r w:rsidR="009A5C6B" w:rsidRPr="002C5AC0">
        <w:rPr>
          <w:rFonts w:asciiTheme="majorHAnsi" w:hAnsiTheme="majorHAnsi"/>
          <w:sz w:val="20"/>
          <w:szCs w:val="20"/>
        </w:rPr>
        <w:t>CPC</w:t>
      </w:r>
      <w:r w:rsidR="00156E11" w:rsidRPr="002C5AC0">
        <w:rPr>
          <w:rFonts w:asciiTheme="majorHAnsi" w:hAnsiTheme="majorHAnsi"/>
          <w:sz w:val="20"/>
          <w:szCs w:val="20"/>
        </w:rPr>
        <w:t> »</w:t>
      </w:r>
      <w:r w:rsidR="009A5C6B" w:rsidRPr="002C5AC0">
        <w:rPr>
          <w:rFonts w:asciiTheme="majorHAnsi" w:hAnsiTheme="majorHAnsi"/>
          <w:sz w:val="20"/>
          <w:szCs w:val="20"/>
        </w:rPr>
        <w:t xml:space="preserve">) dont les navires pêchent le listao de l’Atlantique Ouest dans la zone de la Convention devront mettre en œuvre la MP </w:t>
      </w:r>
      <w:r w:rsidR="00765E81" w:rsidRPr="002C5AC0">
        <w:rPr>
          <w:rFonts w:asciiTheme="majorHAnsi" w:hAnsiTheme="majorHAnsi"/>
          <w:sz w:val="20"/>
          <w:szCs w:val="20"/>
        </w:rPr>
        <w:t>figurant à l’</w:t>
      </w:r>
      <w:r w:rsidR="00765E81" w:rsidRPr="002C5AC0">
        <w:rPr>
          <w:rFonts w:asciiTheme="majorHAnsi" w:hAnsiTheme="majorHAnsi"/>
          <w:b/>
          <w:bCs/>
          <w:sz w:val="20"/>
          <w:szCs w:val="20"/>
        </w:rPr>
        <w:t>annexe 1</w:t>
      </w:r>
      <w:r w:rsidR="009A5C6B" w:rsidRPr="002C5AC0">
        <w:rPr>
          <w:rFonts w:asciiTheme="majorHAnsi" w:hAnsiTheme="majorHAnsi"/>
          <w:sz w:val="20"/>
          <w:szCs w:val="20"/>
        </w:rPr>
        <w:t xml:space="preserve">. Cette MP devra être utilisée pour calculer </w:t>
      </w:r>
      <w:r w:rsidR="00042539" w:rsidRPr="002C5AC0">
        <w:rPr>
          <w:rFonts w:asciiTheme="majorHAnsi" w:hAnsiTheme="majorHAnsi"/>
          <w:sz w:val="20"/>
          <w:szCs w:val="20"/>
        </w:rPr>
        <w:t xml:space="preserve">le </w:t>
      </w:r>
      <w:r w:rsidR="00EE3818" w:rsidRPr="002C5AC0">
        <w:rPr>
          <w:rFonts w:asciiTheme="majorHAnsi" w:hAnsiTheme="majorHAnsi"/>
          <w:sz w:val="20"/>
          <w:szCs w:val="20"/>
        </w:rPr>
        <w:t>total admissible de captures (TAC)</w:t>
      </w:r>
      <w:r w:rsidR="009A5C6B" w:rsidRPr="002C5AC0">
        <w:rPr>
          <w:rFonts w:asciiTheme="majorHAnsi" w:hAnsiTheme="majorHAnsi"/>
          <w:sz w:val="20"/>
          <w:szCs w:val="20"/>
        </w:rPr>
        <w:t xml:space="preserve"> pour la zone de gestion de l'Atlantique Ouest</w:t>
      </w:r>
      <w:r w:rsidR="00960277" w:rsidRPr="002C5AC0">
        <w:rPr>
          <w:rFonts w:asciiTheme="majorHAnsi" w:hAnsiTheme="majorHAnsi"/>
          <w:sz w:val="20"/>
          <w:szCs w:val="20"/>
        </w:rPr>
        <w:t xml:space="preserve"> à compter de 2026.</w:t>
      </w:r>
    </w:p>
    <w:p w14:paraId="3580A288" w14:textId="77777777" w:rsidR="00BC03F2" w:rsidRPr="002C5AC0" w:rsidRDefault="00BC03F2" w:rsidP="00BF2E2E">
      <w:pPr>
        <w:pStyle w:val="BodyText"/>
        <w:spacing w:before="11"/>
        <w:ind w:left="360" w:right="68"/>
        <w:rPr>
          <w:rFonts w:asciiTheme="majorHAnsi" w:hAnsiTheme="majorHAnsi"/>
        </w:rPr>
      </w:pPr>
    </w:p>
    <w:p w14:paraId="22E809EF" w14:textId="77777777" w:rsidR="00BC03F2" w:rsidRPr="002C5AC0" w:rsidRDefault="009A5C6B" w:rsidP="00566B70">
      <w:pPr>
        <w:pStyle w:val="Heading2"/>
        <w:ind w:left="360" w:right="68" w:hanging="360"/>
        <w:rPr>
          <w:rFonts w:asciiTheme="majorHAnsi" w:hAnsiTheme="majorHAnsi"/>
          <w:i w:val="0"/>
          <w:iCs w:val="0"/>
        </w:rPr>
      </w:pPr>
      <w:r w:rsidRPr="002C5AC0">
        <w:rPr>
          <w:rFonts w:asciiTheme="majorHAnsi" w:hAnsiTheme="majorHAnsi"/>
          <w:i w:val="0"/>
        </w:rPr>
        <w:t>Objectifs de gestion</w:t>
      </w:r>
    </w:p>
    <w:p w14:paraId="3AD1D716" w14:textId="77777777" w:rsidR="00BC03F2" w:rsidRPr="002C5AC0" w:rsidRDefault="00BC03F2" w:rsidP="00566B70">
      <w:pPr>
        <w:pStyle w:val="BodyText"/>
        <w:spacing w:before="1"/>
        <w:ind w:left="360" w:right="-1"/>
        <w:rPr>
          <w:rFonts w:asciiTheme="majorHAnsi" w:hAnsiTheme="majorHAnsi"/>
          <w:b/>
          <w:i/>
        </w:rPr>
      </w:pPr>
    </w:p>
    <w:p w14:paraId="1F3548DA" w14:textId="15EF01BA" w:rsidR="00BC03F2" w:rsidRPr="002C5AC0" w:rsidRDefault="001618B5" w:rsidP="001618B5">
      <w:pPr>
        <w:pStyle w:val="ListParagraph"/>
        <w:ind w:left="426" w:right="-1" w:hanging="426"/>
        <w:jc w:val="both"/>
        <w:rPr>
          <w:rFonts w:asciiTheme="majorHAnsi" w:hAnsiTheme="majorHAnsi"/>
          <w:sz w:val="20"/>
          <w:szCs w:val="20"/>
        </w:rPr>
      </w:pPr>
      <w:r w:rsidRPr="002C5AC0">
        <w:rPr>
          <w:rFonts w:asciiTheme="majorHAnsi" w:hAnsiTheme="majorHAnsi"/>
          <w:sz w:val="20"/>
          <w:szCs w:val="20"/>
        </w:rPr>
        <w:t xml:space="preserve">2. </w:t>
      </w:r>
      <w:r w:rsidRPr="002C5AC0">
        <w:rPr>
          <w:rFonts w:asciiTheme="majorHAnsi" w:hAnsiTheme="majorHAnsi"/>
          <w:sz w:val="20"/>
          <w:szCs w:val="20"/>
        </w:rPr>
        <w:tab/>
      </w:r>
      <w:r w:rsidR="009A5C6B" w:rsidRPr="002C5AC0">
        <w:rPr>
          <w:rFonts w:asciiTheme="majorHAnsi" w:hAnsiTheme="majorHAnsi"/>
          <w:sz w:val="20"/>
          <w:szCs w:val="20"/>
        </w:rPr>
        <w:t>Les objectifs de gestion pour le stock de listao de l'Atlantique Ouest sont :</w:t>
      </w:r>
    </w:p>
    <w:p w14:paraId="5A388F36" w14:textId="77777777" w:rsidR="00BC03F2" w:rsidRPr="002C5AC0" w:rsidRDefault="00BC03F2" w:rsidP="00566B70">
      <w:pPr>
        <w:pStyle w:val="BodyText"/>
        <w:spacing w:before="11"/>
        <w:ind w:left="360" w:right="-1"/>
        <w:rPr>
          <w:rFonts w:asciiTheme="majorHAnsi" w:hAnsiTheme="majorHAnsi"/>
        </w:rPr>
      </w:pPr>
    </w:p>
    <w:p w14:paraId="59526D75" w14:textId="6DF48BF6" w:rsidR="00BC03F2" w:rsidRPr="002C5AC0" w:rsidRDefault="009A5C6B" w:rsidP="005537BF">
      <w:pPr>
        <w:pStyle w:val="ListParagraph"/>
        <w:numPr>
          <w:ilvl w:val="0"/>
          <w:numId w:val="7"/>
        </w:numPr>
        <w:ind w:left="851" w:right="-1" w:hanging="425"/>
        <w:jc w:val="both"/>
        <w:rPr>
          <w:rFonts w:asciiTheme="majorHAnsi" w:hAnsiTheme="majorHAnsi"/>
          <w:sz w:val="20"/>
          <w:szCs w:val="20"/>
        </w:rPr>
      </w:pPr>
      <w:r w:rsidRPr="002C5AC0">
        <w:rPr>
          <w:rFonts w:asciiTheme="majorHAnsi" w:hAnsiTheme="majorHAnsi"/>
          <w:sz w:val="20"/>
          <w:szCs w:val="20"/>
        </w:rPr>
        <w:t>État du stock</w:t>
      </w:r>
      <w:r w:rsidR="004D3AC1" w:rsidRPr="002C5AC0">
        <w:rPr>
          <w:rFonts w:asciiTheme="majorHAnsi" w:hAnsiTheme="majorHAnsi"/>
          <w:sz w:val="20"/>
          <w:szCs w:val="20"/>
        </w:rPr>
        <w:t> :</w:t>
      </w:r>
      <w:r w:rsidRPr="002C5AC0">
        <w:rPr>
          <w:rFonts w:asciiTheme="majorHAnsi" w:hAnsiTheme="majorHAnsi"/>
          <w:sz w:val="20"/>
          <w:szCs w:val="20"/>
        </w:rPr>
        <w:t xml:space="preserve"> Le stock devrait avoir une probabilité de 60</w:t>
      </w:r>
      <w:r w:rsidR="00156E11" w:rsidRPr="002C5AC0">
        <w:rPr>
          <w:rFonts w:asciiTheme="majorHAnsi" w:hAnsiTheme="majorHAnsi"/>
          <w:sz w:val="20"/>
          <w:szCs w:val="20"/>
        </w:rPr>
        <w:t> </w:t>
      </w:r>
      <w:r w:rsidRPr="002C5AC0">
        <w:rPr>
          <w:rFonts w:asciiTheme="majorHAnsi" w:hAnsiTheme="majorHAnsi"/>
          <w:sz w:val="20"/>
          <w:szCs w:val="20"/>
        </w:rPr>
        <w:t>% ou plus de se situer dans le quadrant vert de la matrice de Kobe à moyen terme (4-10 ans) en utilisant une période de projection de 30</w:t>
      </w:r>
      <w:r w:rsidR="00156E11" w:rsidRPr="002C5AC0">
        <w:rPr>
          <w:rFonts w:asciiTheme="majorHAnsi" w:hAnsiTheme="majorHAnsi"/>
          <w:sz w:val="20"/>
          <w:szCs w:val="20"/>
        </w:rPr>
        <w:t> </w:t>
      </w:r>
      <w:r w:rsidRPr="002C5AC0">
        <w:rPr>
          <w:rFonts w:asciiTheme="majorHAnsi" w:hAnsiTheme="majorHAnsi"/>
          <w:sz w:val="20"/>
          <w:szCs w:val="20"/>
        </w:rPr>
        <w:t>ans.</w:t>
      </w:r>
    </w:p>
    <w:p w14:paraId="4A3DF413" w14:textId="77777777" w:rsidR="00BC03F2" w:rsidRPr="002C5AC0" w:rsidRDefault="00BC03F2" w:rsidP="005537BF">
      <w:pPr>
        <w:pStyle w:val="BodyText"/>
        <w:ind w:left="851" w:right="-1" w:hanging="425"/>
        <w:rPr>
          <w:rFonts w:asciiTheme="majorHAnsi" w:hAnsiTheme="majorHAnsi"/>
        </w:rPr>
      </w:pPr>
    </w:p>
    <w:p w14:paraId="5908BD92" w14:textId="46FF2839" w:rsidR="00BC03F2" w:rsidRPr="002C5AC0" w:rsidRDefault="009A5C6B" w:rsidP="005537BF">
      <w:pPr>
        <w:pStyle w:val="ListParagraph"/>
        <w:numPr>
          <w:ilvl w:val="0"/>
          <w:numId w:val="7"/>
        </w:numPr>
        <w:ind w:left="851" w:right="-1" w:hanging="425"/>
        <w:jc w:val="both"/>
        <w:rPr>
          <w:rFonts w:asciiTheme="majorHAnsi" w:hAnsiTheme="majorHAnsi"/>
          <w:sz w:val="20"/>
          <w:szCs w:val="20"/>
        </w:rPr>
      </w:pPr>
      <w:r w:rsidRPr="002C5AC0">
        <w:rPr>
          <w:rFonts w:asciiTheme="majorHAnsi" w:hAnsiTheme="majorHAnsi"/>
          <w:sz w:val="20"/>
          <w:szCs w:val="20"/>
        </w:rPr>
        <w:t>Sécurité</w:t>
      </w:r>
      <w:r w:rsidR="004D3AC1" w:rsidRPr="002C5AC0">
        <w:rPr>
          <w:rFonts w:asciiTheme="majorHAnsi" w:hAnsiTheme="majorHAnsi"/>
          <w:sz w:val="20"/>
          <w:szCs w:val="20"/>
        </w:rPr>
        <w:t xml:space="preserve"> : </w:t>
      </w:r>
      <w:r w:rsidRPr="002C5AC0">
        <w:rPr>
          <w:rFonts w:asciiTheme="majorHAnsi" w:hAnsiTheme="majorHAnsi"/>
          <w:sz w:val="20"/>
          <w:szCs w:val="20"/>
        </w:rPr>
        <w:t>Il devrait y avoir une probabilité ne dépassant pas 10</w:t>
      </w:r>
      <w:r w:rsidR="00156E11" w:rsidRPr="002C5AC0">
        <w:rPr>
          <w:rFonts w:asciiTheme="majorHAnsi" w:hAnsiTheme="majorHAnsi"/>
          <w:sz w:val="20"/>
          <w:szCs w:val="20"/>
        </w:rPr>
        <w:t> </w:t>
      </w:r>
      <w:r w:rsidRPr="002C5AC0">
        <w:rPr>
          <w:rFonts w:asciiTheme="majorHAnsi" w:hAnsiTheme="majorHAnsi"/>
          <w:sz w:val="20"/>
          <w:szCs w:val="20"/>
        </w:rPr>
        <w:t>% que le stock chute en dessous de B</w:t>
      </w:r>
      <w:r w:rsidRPr="002C5AC0">
        <w:rPr>
          <w:rFonts w:asciiTheme="majorHAnsi" w:hAnsiTheme="majorHAnsi"/>
          <w:sz w:val="20"/>
          <w:szCs w:val="20"/>
          <w:vertAlign w:val="subscript"/>
        </w:rPr>
        <w:t>LIM</w:t>
      </w:r>
      <w:r w:rsidRPr="002C5AC0">
        <w:rPr>
          <w:rFonts w:asciiTheme="majorHAnsi" w:hAnsiTheme="majorHAnsi"/>
          <w:sz w:val="20"/>
          <w:szCs w:val="20"/>
        </w:rPr>
        <w:t xml:space="preserve"> (0,4*B</w:t>
      </w:r>
      <w:r w:rsidRPr="002C5AC0">
        <w:rPr>
          <w:rFonts w:asciiTheme="majorHAnsi" w:hAnsiTheme="majorHAnsi"/>
          <w:sz w:val="20"/>
          <w:szCs w:val="20"/>
          <w:vertAlign w:val="subscript"/>
        </w:rPr>
        <w:t>PME</w:t>
      </w:r>
      <w:r w:rsidRPr="002C5AC0">
        <w:rPr>
          <w:rFonts w:asciiTheme="majorHAnsi" w:hAnsiTheme="majorHAnsi"/>
          <w:sz w:val="20"/>
          <w:szCs w:val="20"/>
        </w:rPr>
        <w:t>) à tout moment au cours de la période de projection de 30 ans.</w:t>
      </w:r>
    </w:p>
    <w:p w14:paraId="690BD973" w14:textId="77777777" w:rsidR="00960277" w:rsidRPr="002C5AC0" w:rsidRDefault="00960277" w:rsidP="005537BF">
      <w:pPr>
        <w:pStyle w:val="ListParagraph"/>
        <w:ind w:left="851"/>
        <w:rPr>
          <w:rFonts w:asciiTheme="majorHAnsi" w:hAnsiTheme="majorHAnsi"/>
          <w:sz w:val="20"/>
          <w:szCs w:val="20"/>
        </w:rPr>
      </w:pPr>
    </w:p>
    <w:p w14:paraId="59F344DB" w14:textId="6C1004C9" w:rsidR="00BC03F2" w:rsidRPr="002C5AC0" w:rsidRDefault="009A5C6B" w:rsidP="005537BF">
      <w:pPr>
        <w:pStyle w:val="ListParagraph"/>
        <w:numPr>
          <w:ilvl w:val="0"/>
          <w:numId w:val="7"/>
        </w:numPr>
        <w:ind w:left="851" w:right="-1" w:hanging="425"/>
        <w:jc w:val="both"/>
        <w:rPr>
          <w:rFonts w:asciiTheme="majorHAnsi" w:hAnsiTheme="majorHAnsi"/>
          <w:sz w:val="20"/>
          <w:szCs w:val="20"/>
        </w:rPr>
      </w:pPr>
      <w:r w:rsidRPr="002C5AC0">
        <w:rPr>
          <w:rFonts w:asciiTheme="majorHAnsi" w:hAnsiTheme="majorHAnsi"/>
          <w:sz w:val="20"/>
          <w:szCs w:val="20"/>
        </w:rPr>
        <w:t>Production</w:t>
      </w:r>
      <w:r w:rsidR="004D3AC1" w:rsidRPr="002C5AC0">
        <w:rPr>
          <w:rFonts w:asciiTheme="majorHAnsi" w:hAnsiTheme="majorHAnsi"/>
          <w:sz w:val="20"/>
          <w:szCs w:val="20"/>
        </w:rPr>
        <w:t xml:space="preserve"> : </w:t>
      </w:r>
      <w:r w:rsidRPr="002C5AC0">
        <w:rPr>
          <w:rFonts w:asciiTheme="majorHAnsi" w:hAnsiTheme="majorHAnsi"/>
          <w:sz w:val="20"/>
          <w:szCs w:val="20"/>
        </w:rPr>
        <w:t>Maximiser les niveaux de captures globaux</w:t>
      </w:r>
      <w:r w:rsidR="00960277" w:rsidRPr="002C5AC0">
        <w:rPr>
          <w:rFonts w:asciiTheme="majorHAnsi" w:hAnsiTheme="majorHAnsi"/>
          <w:sz w:val="20"/>
          <w:szCs w:val="20"/>
        </w:rPr>
        <w:t>.</w:t>
      </w:r>
    </w:p>
    <w:p w14:paraId="2E87D6B5" w14:textId="77777777" w:rsidR="00960277" w:rsidRPr="002C5AC0" w:rsidRDefault="00960277" w:rsidP="005537BF">
      <w:pPr>
        <w:pStyle w:val="ListParagraph"/>
        <w:ind w:left="851" w:right="-1"/>
        <w:jc w:val="both"/>
        <w:rPr>
          <w:rFonts w:asciiTheme="majorHAnsi" w:hAnsiTheme="majorHAnsi"/>
          <w:sz w:val="20"/>
          <w:szCs w:val="20"/>
        </w:rPr>
      </w:pPr>
    </w:p>
    <w:p w14:paraId="3B34D098" w14:textId="21F45FC9" w:rsidR="00BC03F2" w:rsidRPr="002C5AC0" w:rsidRDefault="009A5C6B" w:rsidP="005537BF">
      <w:pPr>
        <w:pStyle w:val="ListParagraph"/>
        <w:numPr>
          <w:ilvl w:val="0"/>
          <w:numId w:val="7"/>
        </w:numPr>
        <w:ind w:left="851" w:right="-1" w:hanging="425"/>
        <w:jc w:val="both"/>
        <w:rPr>
          <w:rFonts w:asciiTheme="majorHAnsi" w:hAnsiTheme="majorHAnsi"/>
          <w:sz w:val="20"/>
          <w:szCs w:val="20"/>
        </w:rPr>
      </w:pPr>
      <w:r w:rsidRPr="002C5AC0">
        <w:rPr>
          <w:rFonts w:asciiTheme="majorHAnsi" w:hAnsiTheme="majorHAnsi"/>
          <w:sz w:val="20"/>
          <w:szCs w:val="20"/>
        </w:rPr>
        <w:t>Stabilité</w:t>
      </w:r>
      <w:r w:rsidR="004D3AC1" w:rsidRPr="002C5AC0">
        <w:rPr>
          <w:rFonts w:asciiTheme="majorHAnsi" w:hAnsiTheme="majorHAnsi"/>
          <w:sz w:val="20"/>
          <w:szCs w:val="20"/>
        </w:rPr>
        <w:t> :</w:t>
      </w:r>
      <w:r w:rsidR="00200CBF" w:rsidRPr="002C5AC0">
        <w:rPr>
          <w:rFonts w:asciiTheme="majorHAnsi" w:hAnsiTheme="majorHAnsi"/>
          <w:sz w:val="20"/>
          <w:szCs w:val="20"/>
        </w:rPr>
        <w:t xml:space="preserve"> </w:t>
      </w:r>
      <w:r w:rsidRPr="002C5AC0">
        <w:rPr>
          <w:rFonts w:asciiTheme="majorHAnsi" w:hAnsiTheme="majorHAnsi"/>
          <w:sz w:val="20"/>
          <w:szCs w:val="20"/>
        </w:rPr>
        <w:t xml:space="preserve">Tout changement du TAC entre les périodes de gestion devrait être de </w:t>
      </w:r>
      <w:r w:rsidR="00C32C1A" w:rsidRPr="002C5AC0">
        <w:rPr>
          <w:rFonts w:asciiTheme="majorHAnsi" w:hAnsiTheme="majorHAnsi"/>
          <w:sz w:val="20"/>
          <w:szCs w:val="20"/>
        </w:rPr>
        <w:t>2</w:t>
      </w:r>
      <w:r w:rsidRPr="002C5AC0">
        <w:rPr>
          <w:rFonts w:asciiTheme="majorHAnsi" w:hAnsiTheme="majorHAnsi"/>
          <w:sz w:val="20"/>
          <w:szCs w:val="20"/>
        </w:rPr>
        <w:t>5</w:t>
      </w:r>
      <w:r w:rsidR="00156E11" w:rsidRPr="002C5AC0">
        <w:rPr>
          <w:rFonts w:asciiTheme="majorHAnsi" w:hAnsiTheme="majorHAnsi"/>
          <w:sz w:val="20"/>
          <w:szCs w:val="20"/>
        </w:rPr>
        <w:t> </w:t>
      </w:r>
      <w:r w:rsidRPr="002C5AC0">
        <w:rPr>
          <w:rFonts w:asciiTheme="majorHAnsi" w:hAnsiTheme="majorHAnsi"/>
          <w:sz w:val="20"/>
          <w:szCs w:val="20"/>
        </w:rPr>
        <w:t>% ou moins.</w:t>
      </w:r>
    </w:p>
    <w:p w14:paraId="74331DCC" w14:textId="77777777" w:rsidR="00BC03F2" w:rsidRPr="002C5AC0" w:rsidRDefault="00BC03F2" w:rsidP="00566B70">
      <w:pPr>
        <w:tabs>
          <w:tab w:val="left" w:pos="1440"/>
        </w:tabs>
        <w:ind w:left="360" w:right="-1"/>
        <w:rPr>
          <w:rFonts w:asciiTheme="majorHAnsi" w:hAnsiTheme="majorHAnsi"/>
          <w:sz w:val="20"/>
          <w:szCs w:val="20"/>
        </w:rPr>
      </w:pPr>
    </w:p>
    <w:p w14:paraId="680B1F5B" w14:textId="050F555C" w:rsidR="00BC03F2" w:rsidRPr="002C5AC0" w:rsidRDefault="009A5C6B" w:rsidP="00156E11">
      <w:pPr>
        <w:tabs>
          <w:tab w:val="left" w:pos="1440"/>
        </w:tabs>
        <w:ind w:left="426" w:right="-1"/>
        <w:jc w:val="both"/>
        <w:rPr>
          <w:rFonts w:asciiTheme="majorHAnsi" w:hAnsiTheme="majorHAnsi"/>
          <w:sz w:val="20"/>
          <w:szCs w:val="20"/>
        </w:rPr>
      </w:pPr>
      <w:r w:rsidRPr="002C5AC0">
        <w:rPr>
          <w:rFonts w:asciiTheme="majorHAnsi" w:hAnsiTheme="majorHAnsi"/>
          <w:sz w:val="20"/>
          <w:szCs w:val="20"/>
        </w:rPr>
        <w:t xml:space="preserve">Les indicateurs de </w:t>
      </w:r>
      <w:r w:rsidR="008E7B33" w:rsidRPr="002C5AC0">
        <w:rPr>
          <w:rFonts w:asciiTheme="majorHAnsi" w:hAnsiTheme="majorHAnsi"/>
          <w:sz w:val="20"/>
          <w:szCs w:val="20"/>
        </w:rPr>
        <w:t>performance utilisés</w:t>
      </w:r>
      <w:r w:rsidRPr="002C5AC0">
        <w:rPr>
          <w:rFonts w:asciiTheme="majorHAnsi" w:hAnsiTheme="majorHAnsi"/>
          <w:sz w:val="20"/>
          <w:szCs w:val="20"/>
        </w:rPr>
        <w:t xml:space="preserve"> pour évaluer la performance de la MP pour chaque objectif de gestion se trouvent à l’</w:t>
      </w:r>
      <w:r w:rsidRPr="002C5AC0">
        <w:rPr>
          <w:rFonts w:asciiTheme="majorHAnsi" w:hAnsiTheme="majorHAnsi"/>
          <w:b/>
          <w:bCs/>
          <w:sz w:val="20"/>
          <w:szCs w:val="20"/>
        </w:rPr>
        <w:t xml:space="preserve">annexe </w:t>
      </w:r>
      <w:r w:rsidR="00476F41" w:rsidRPr="002C5AC0">
        <w:rPr>
          <w:rFonts w:asciiTheme="majorHAnsi" w:hAnsiTheme="majorHAnsi"/>
          <w:b/>
          <w:bCs/>
          <w:sz w:val="20"/>
          <w:szCs w:val="20"/>
        </w:rPr>
        <w:t>2</w:t>
      </w:r>
      <w:r w:rsidRPr="002C5AC0">
        <w:rPr>
          <w:rFonts w:asciiTheme="majorHAnsi" w:hAnsiTheme="majorHAnsi"/>
          <w:sz w:val="20"/>
          <w:szCs w:val="20"/>
        </w:rPr>
        <w:t>.</w:t>
      </w:r>
    </w:p>
    <w:p w14:paraId="0DBED6D4" w14:textId="77777777" w:rsidR="00BC03F2" w:rsidRPr="002C5AC0" w:rsidRDefault="00BC03F2" w:rsidP="00566B70">
      <w:pPr>
        <w:pStyle w:val="BodyText"/>
        <w:spacing w:before="9"/>
        <w:ind w:left="360" w:right="-1"/>
        <w:rPr>
          <w:rFonts w:asciiTheme="majorHAnsi" w:hAnsiTheme="majorHAnsi"/>
        </w:rPr>
      </w:pPr>
    </w:p>
    <w:p w14:paraId="413A2F1A" w14:textId="77777777" w:rsidR="00042539" w:rsidRPr="002C5AC0" w:rsidRDefault="00042539" w:rsidP="00566B70">
      <w:pPr>
        <w:pStyle w:val="BodyText"/>
        <w:spacing w:before="9"/>
        <w:ind w:left="360" w:right="-1"/>
        <w:rPr>
          <w:rFonts w:asciiTheme="majorHAnsi" w:hAnsiTheme="majorHAnsi"/>
        </w:rPr>
      </w:pPr>
    </w:p>
    <w:p w14:paraId="6D4444A6" w14:textId="5B9E7005" w:rsidR="00BC03F2" w:rsidRPr="002C5AC0" w:rsidRDefault="009A5C6B" w:rsidP="00566B70">
      <w:pPr>
        <w:pStyle w:val="Heading1"/>
        <w:spacing w:before="1"/>
        <w:ind w:left="360" w:right="-1"/>
        <w:jc w:val="center"/>
        <w:rPr>
          <w:rFonts w:asciiTheme="majorHAnsi" w:hAnsiTheme="majorHAnsi"/>
        </w:rPr>
      </w:pPr>
      <w:r w:rsidRPr="002C5AC0">
        <w:rPr>
          <w:rFonts w:asciiTheme="majorHAnsi" w:hAnsiTheme="majorHAnsi"/>
        </w:rPr>
        <w:t xml:space="preserve">IIe </w:t>
      </w:r>
      <w:r w:rsidR="005B5E97" w:rsidRPr="002C5AC0">
        <w:rPr>
          <w:rFonts w:asciiTheme="majorHAnsi" w:hAnsiTheme="majorHAnsi"/>
        </w:rPr>
        <w:t>p</w:t>
      </w:r>
      <w:r w:rsidR="004D3AC1" w:rsidRPr="002C5AC0">
        <w:rPr>
          <w:rFonts w:asciiTheme="majorHAnsi" w:hAnsiTheme="majorHAnsi"/>
        </w:rPr>
        <w:t>artie</w:t>
      </w:r>
    </w:p>
    <w:p w14:paraId="6F0A9900" w14:textId="54B0EF57" w:rsidR="00BC03F2" w:rsidRPr="002C5AC0" w:rsidRDefault="00BF34B6" w:rsidP="00566B70">
      <w:pPr>
        <w:ind w:left="360" w:right="-1"/>
        <w:jc w:val="center"/>
        <w:rPr>
          <w:rFonts w:asciiTheme="majorHAnsi" w:hAnsiTheme="majorHAnsi"/>
          <w:b/>
          <w:sz w:val="20"/>
          <w:szCs w:val="20"/>
        </w:rPr>
      </w:pPr>
      <w:r w:rsidRPr="002C5AC0">
        <w:rPr>
          <w:rFonts w:asciiTheme="majorHAnsi" w:hAnsiTheme="majorHAnsi"/>
          <w:b/>
          <w:sz w:val="20"/>
          <w:szCs w:val="20"/>
        </w:rPr>
        <w:t>Procédure de gestion et circonstances exceptionnelles</w:t>
      </w:r>
    </w:p>
    <w:p w14:paraId="049C8938" w14:textId="77777777" w:rsidR="00BC03F2" w:rsidRPr="002C5AC0" w:rsidRDefault="00BC03F2" w:rsidP="00566B70">
      <w:pPr>
        <w:pStyle w:val="BodyText"/>
        <w:spacing w:before="11"/>
        <w:ind w:left="360" w:right="-1"/>
        <w:rPr>
          <w:rFonts w:asciiTheme="majorHAnsi" w:hAnsiTheme="majorHAnsi"/>
          <w:b/>
        </w:rPr>
      </w:pPr>
    </w:p>
    <w:p w14:paraId="78B9C810" w14:textId="576028DD" w:rsidR="00BC03F2" w:rsidRPr="002C5AC0" w:rsidRDefault="001618B5" w:rsidP="00EA3D64">
      <w:pPr>
        <w:pStyle w:val="ListParagraph"/>
        <w:ind w:left="426" w:right="-1" w:hanging="426"/>
        <w:jc w:val="both"/>
        <w:rPr>
          <w:sz w:val="20"/>
        </w:rPr>
      </w:pPr>
      <w:r w:rsidRPr="002C5AC0">
        <w:rPr>
          <w:rFonts w:asciiTheme="majorHAnsi" w:hAnsiTheme="majorHAnsi"/>
          <w:sz w:val="20"/>
          <w:szCs w:val="20"/>
        </w:rPr>
        <w:t xml:space="preserve">3. </w:t>
      </w:r>
      <w:r w:rsidRPr="002C5AC0">
        <w:rPr>
          <w:rFonts w:asciiTheme="majorHAnsi" w:hAnsiTheme="majorHAnsi"/>
          <w:sz w:val="20"/>
          <w:szCs w:val="20"/>
        </w:rPr>
        <w:tab/>
      </w:r>
      <w:r w:rsidR="001C4904" w:rsidRPr="002C5AC0">
        <w:rPr>
          <w:rFonts w:asciiTheme="majorHAnsi" w:hAnsiTheme="majorHAnsi"/>
          <w:sz w:val="20"/>
          <w:szCs w:val="20"/>
        </w:rPr>
        <w:t xml:space="preserve">Conformément aux objectifs de gestion spécifiés au paragraphe 2, la procédure de gestion </w:t>
      </w:r>
      <w:r w:rsidR="009C495C" w:rsidRPr="002C5AC0">
        <w:rPr>
          <w:rFonts w:asciiTheme="majorHAnsi" w:hAnsiTheme="majorHAnsi"/>
          <w:sz w:val="20"/>
          <w:szCs w:val="20"/>
        </w:rPr>
        <w:t>IR</w:t>
      </w:r>
      <w:r w:rsidR="001C4904" w:rsidRPr="002C5AC0">
        <w:rPr>
          <w:rFonts w:asciiTheme="majorHAnsi" w:hAnsiTheme="majorHAnsi"/>
          <w:sz w:val="20"/>
          <w:szCs w:val="20"/>
        </w:rPr>
        <w:t xml:space="preserve"> </w:t>
      </w:r>
      <w:r w:rsidR="009C495C" w:rsidRPr="002C5AC0">
        <w:rPr>
          <w:rFonts w:asciiTheme="majorHAnsi" w:hAnsiTheme="majorHAnsi"/>
          <w:sz w:val="20"/>
          <w:szCs w:val="20"/>
        </w:rPr>
        <w:t>est adoptée</w:t>
      </w:r>
      <w:r w:rsidR="001C4904" w:rsidRPr="002C5AC0">
        <w:rPr>
          <w:rFonts w:asciiTheme="majorHAnsi" w:hAnsiTheme="majorHAnsi"/>
          <w:sz w:val="20"/>
          <w:szCs w:val="20"/>
        </w:rPr>
        <w:t>.</w:t>
      </w:r>
      <w:r w:rsidR="009C495C" w:rsidRPr="002C5AC0">
        <w:rPr>
          <w:rFonts w:asciiTheme="majorHAnsi" w:hAnsiTheme="majorHAnsi"/>
          <w:sz w:val="20"/>
          <w:szCs w:val="20"/>
        </w:rPr>
        <w:t xml:space="preserve"> </w:t>
      </w:r>
      <w:r w:rsidR="00EA3D64" w:rsidRPr="002C5AC0">
        <w:rPr>
          <w:sz w:val="20"/>
        </w:rPr>
        <w:t>La MP est décrite en détail à l'</w:t>
      </w:r>
      <w:r w:rsidR="00EA3D64" w:rsidRPr="002C5AC0">
        <w:rPr>
          <w:b/>
          <w:bCs/>
          <w:sz w:val="20"/>
        </w:rPr>
        <w:t>annexe 1</w:t>
      </w:r>
      <w:r w:rsidR="00EA3D64" w:rsidRPr="002C5AC0">
        <w:rPr>
          <w:sz w:val="20"/>
        </w:rPr>
        <w:t>.</w:t>
      </w:r>
    </w:p>
    <w:p w14:paraId="3DCCFB19" w14:textId="77777777" w:rsidR="00EA3D64" w:rsidRPr="002C5AC0" w:rsidRDefault="00EA3D64" w:rsidP="00EA3D64">
      <w:pPr>
        <w:pStyle w:val="ListParagraph"/>
        <w:ind w:left="426" w:right="-1" w:hanging="426"/>
        <w:jc w:val="both"/>
        <w:rPr>
          <w:rFonts w:asciiTheme="majorHAnsi" w:hAnsiTheme="majorHAnsi"/>
          <w:sz w:val="20"/>
          <w:szCs w:val="20"/>
        </w:rPr>
      </w:pPr>
    </w:p>
    <w:p w14:paraId="0A3D0F11" w14:textId="3E89FB63" w:rsidR="00BC03F2" w:rsidRPr="002C5AC0" w:rsidRDefault="009A5C6B" w:rsidP="00566B70">
      <w:pPr>
        <w:pStyle w:val="Heading2"/>
        <w:ind w:left="360" w:right="68" w:hanging="360"/>
        <w:rPr>
          <w:rFonts w:asciiTheme="majorHAnsi" w:hAnsiTheme="majorHAnsi"/>
          <w:i w:val="0"/>
          <w:iCs w:val="0"/>
        </w:rPr>
      </w:pPr>
      <w:r w:rsidRPr="002C5AC0">
        <w:rPr>
          <w:rFonts w:asciiTheme="majorHAnsi" w:hAnsiTheme="majorHAnsi"/>
          <w:i w:val="0"/>
        </w:rPr>
        <w:t>Établissement du TAC</w:t>
      </w:r>
    </w:p>
    <w:p w14:paraId="6377BF63" w14:textId="77777777" w:rsidR="00BC03F2" w:rsidRPr="002C5AC0" w:rsidRDefault="00BC03F2" w:rsidP="00566B70">
      <w:pPr>
        <w:pStyle w:val="BodyText"/>
        <w:tabs>
          <w:tab w:val="left" w:pos="900"/>
        </w:tabs>
        <w:spacing w:before="2"/>
        <w:ind w:left="450" w:right="-1"/>
        <w:rPr>
          <w:rFonts w:asciiTheme="majorHAnsi" w:hAnsiTheme="majorHAnsi"/>
        </w:rPr>
      </w:pPr>
    </w:p>
    <w:p w14:paraId="03F62C5C" w14:textId="13D449C0" w:rsidR="00BC03F2" w:rsidRPr="002C5AC0" w:rsidRDefault="001618B5" w:rsidP="001618B5">
      <w:pPr>
        <w:pStyle w:val="ListParagraph"/>
        <w:ind w:left="426" w:right="-1" w:hanging="426"/>
        <w:jc w:val="both"/>
        <w:rPr>
          <w:rFonts w:asciiTheme="majorHAnsi" w:hAnsiTheme="majorHAnsi"/>
          <w:sz w:val="20"/>
          <w:szCs w:val="20"/>
        </w:rPr>
      </w:pPr>
      <w:r w:rsidRPr="002C5AC0">
        <w:rPr>
          <w:rFonts w:asciiTheme="majorHAnsi" w:hAnsiTheme="majorHAnsi"/>
          <w:sz w:val="20"/>
          <w:szCs w:val="20"/>
        </w:rPr>
        <w:t xml:space="preserve">4. </w:t>
      </w:r>
      <w:r w:rsidRPr="002C5AC0">
        <w:rPr>
          <w:rFonts w:asciiTheme="majorHAnsi" w:hAnsiTheme="majorHAnsi"/>
          <w:sz w:val="20"/>
          <w:szCs w:val="20"/>
        </w:rPr>
        <w:tab/>
      </w:r>
      <w:r w:rsidR="009A5C6B" w:rsidRPr="002C5AC0">
        <w:rPr>
          <w:rFonts w:asciiTheme="majorHAnsi" w:hAnsiTheme="majorHAnsi"/>
          <w:sz w:val="20"/>
          <w:szCs w:val="20"/>
        </w:rPr>
        <w:t xml:space="preserve">Le premier TAC annuel constant </w:t>
      </w:r>
      <w:r w:rsidR="00EA3D64" w:rsidRPr="002C5AC0">
        <w:rPr>
          <w:rFonts w:asciiTheme="majorHAnsi" w:hAnsiTheme="majorHAnsi"/>
          <w:sz w:val="20"/>
          <w:szCs w:val="20"/>
        </w:rPr>
        <w:t xml:space="preserve">de 30.844 t </w:t>
      </w:r>
      <w:r w:rsidR="009A5C6B" w:rsidRPr="002C5AC0">
        <w:rPr>
          <w:rFonts w:asciiTheme="majorHAnsi" w:hAnsiTheme="majorHAnsi"/>
          <w:sz w:val="20"/>
          <w:szCs w:val="20"/>
        </w:rPr>
        <w:t>dérivé de la MP devra s’appliquer en 2026, 2027 et 2028. La durée du cycle de gestion devra être de trois ans ; par conséquent, la MP devra être appliquée tous les trois ans. La procédure d'établissement du TAC annuel constant sur trois ans est exposée à l'</w:t>
      </w:r>
      <w:r w:rsidR="009A5C6B" w:rsidRPr="002C5AC0">
        <w:rPr>
          <w:rFonts w:asciiTheme="majorHAnsi" w:hAnsiTheme="majorHAnsi"/>
          <w:b/>
          <w:sz w:val="20"/>
          <w:szCs w:val="20"/>
        </w:rPr>
        <w:t>annexe</w:t>
      </w:r>
      <w:r w:rsidR="00EA3D64" w:rsidRPr="002C5AC0">
        <w:rPr>
          <w:rFonts w:asciiTheme="majorHAnsi" w:hAnsiTheme="majorHAnsi"/>
          <w:b/>
          <w:sz w:val="20"/>
          <w:szCs w:val="20"/>
        </w:rPr>
        <w:t> 3</w:t>
      </w:r>
      <w:r w:rsidR="009A5C6B" w:rsidRPr="002C5AC0">
        <w:rPr>
          <w:rFonts w:asciiTheme="majorHAnsi" w:hAnsiTheme="majorHAnsi"/>
          <w:sz w:val="20"/>
          <w:szCs w:val="20"/>
        </w:rPr>
        <w:t>.</w:t>
      </w:r>
    </w:p>
    <w:p w14:paraId="28C32E90" w14:textId="77777777" w:rsidR="00AE7918" w:rsidRPr="002C5AC0" w:rsidRDefault="00AE7918" w:rsidP="00AE7918">
      <w:pPr>
        <w:pStyle w:val="ListParagraph"/>
        <w:ind w:left="426" w:right="-1" w:hanging="426"/>
        <w:jc w:val="both"/>
        <w:rPr>
          <w:rFonts w:asciiTheme="majorHAnsi" w:hAnsiTheme="majorHAnsi"/>
          <w:sz w:val="20"/>
          <w:szCs w:val="20"/>
        </w:rPr>
      </w:pPr>
    </w:p>
    <w:p w14:paraId="4D5DCA46" w14:textId="7AD42A78" w:rsidR="00CB64AB" w:rsidRPr="002C5AC0" w:rsidRDefault="00AE7918" w:rsidP="00556EA7">
      <w:pPr>
        <w:pStyle w:val="ListParagraph"/>
        <w:ind w:left="426" w:right="-1" w:hanging="426"/>
        <w:jc w:val="both"/>
        <w:rPr>
          <w:rFonts w:asciiTheme="majorHAnsi" w:hAnsiTheme="majorHAnsi"/>
          <w:sz w:val="20"/>
          <w:szCs w:val="20"/>
        </w:rPr>
      </w:pPr>
      <w:r w:rsidRPr="002C5AC0">
        <w:rPr>
          <w:rFonts w:asciiTheme="majorHAnsi" w:hAnsiTheme="majorHAnsi"/>
          <w:sz w:val="20"/>
          <w:szCs w:val="20"/>
        </w:rPr>
        <w:t>5.</w:t>
      </w:r>
      <w:r w:rsidRPr="002C5AC0">
        <w:rPr>
          <w:rFonts w:asciiTheme="majorHAnsi" w:hAnsiTheme="majorHAnsi"/>
          <w:sz w:val="20"/>
          <w:szCs w:val="20"/>
        </w:rPr>
        <w:tab/>
      </w:r>
      <w:r w:rsidR="00EE1418" w:rsidRPr="002C5AC0">
        <w:rPr>
          <w:color w:val="000000"/>
          <w:sz w:val="20"/>
          <w:szCs w:val="20"/>
          <w:u w:val="single"/>
        </w:rPr>
        <w:t>Si les captures de listao de l</w:t>
      </w:r>
      <w:r w:rsidR="00370F64" w:rsidRPr="002C5AC0">
        <w:rPr>
          <w:color w:val="000000"/>
          <w:sz w:val="20"/>
          <w:szCs w:val="20"/>
          <w:u w:val="single"/>
        </w:rPr>
        <w:t xml:space="preserve">’Ouest </w:t>
      </w:r>
      <w:r w:rsidR="00EE1418" w:rsidRPr="002C5AC0">
        <w:rPr>
          <w:color w:val="000000"/>
          <w:sz w:val="20"/>
          <w:szCs w:val="20"/>
          <w:u w:val="single"/>
        </w:rPr>
        <w:t xml:space="preserve">dépassent de plus de 5 % le TAC en vigueur pour ce stock pendant deux années consécutives, la Commission </w:t>
      </w:r>
      <w:r w:rsidR="00556EA7" w:rsidRPr="002C5AC0">
        <w:rPr>
          <w:color w:val="000000"/>
          <w:sz w:val="20"/>
          <w:szCs w:val="20"/>
          <w:u w:val="single"/>
        </w:rPr>
        <w:t xml:space="preserve">devra </w:t>
      </w:r>
      <w:r w:rsidR="00EE1418" w:rsidRPr="002C5AC0">
        <w:rPr>
          <w:color w:val="000000"/>
          <w:sz w:val="20"/>
          <w:szCs w:val="20"/>
          <w:u w:val="single"/>
        </w:rPr>
        <w:t>envisager d'adopter des mécanismes visant à réduire la pression exercée par la pêche.</w:t>
      </w:r>
    </w:p>
    <w:p w14:paraId="1C3E7DDF" w14:textId="77777777" w:rsidR="00CB64AB" w:rsidRPr="002C5AC0" w:rsidRDefault="00CB64AB" w:rsidP="00431A45">
      <w:pPr>
        <w:pStyle w:val="ListParagraph"/>
        <w:ind w:left="426" w:right="-1" w:hanging="426"/>
        <w:jc w:val="both"/>
        <w:rPr>
          <w:rFonts w:asciiTheme="majorHAnsi" w:hAnsiTheme="majorHAnsi"/>
          <w:sz w:val="20"/>
          <w:szCs w:val="20"/>
        </w:rPr>
      </w:pPr>
    </w:p>
    <w:p w14:paraId="0F687356" w14:textId="47A15861" w:rsidR="00BC03F2" w:rsidRPr="002C5AC0" w:rsidRDefault="00AE7918" w:rsidP="00AE7918">
      <w:pPr>
        <w:pStyle w:val="ListParagraph"/>
        <w:ind w:left="426" w:right="-1" w:hanging="426"/>
        <w:jc w:val="both"/>
        <w:rPr>
          <w:rFonts w:asciiTheme="majorHAnsi" w:hAnsiTheme="majorHAnsi"/>
          <w:sz w:val="20"/>
          <w:szCs w:val="20"/>
        </w:rPr>
      </w:pPr>
      <w:r w:rsidRPr="002C5AC0">
        <w:rPr>
          <w:rFonts w:asciiTheme="majorHAnsi" w:hAnsiTheme="majorHAnsi"/>
          <w:sz w:val="20"/>
          <w:szCs w:val="20"/>
        </w:rPr>
        <w:t>6</w:t>
      </w:r>
      <w:r w:rsidR="001618B5" w:rsidRPr="002C5AC0">
        <w:rPr>
          <w:rFonts w:asciiTheme="majorHAnsi" w:hAnsiTheme="majorHAnsi"/>
          <w:sz w:val="20"/>
          <w:szCs w:val="20"/>
        </w:rPr>
        <w:t xml:space="preserve">. </w:t>
      </w:r>
      <w:r w:rsidR="001618B5" w:rsidRPr="002C5AC0">
        <w:rPr>
          <w:rFonts w:asciiTheme="majorHAnsi" w:hAnsiTheme="majorHAnsi"/>
          <w:sz w:val="20"/>
          <w:szCs w:val="20"/>
        </w:rPr>
        <w:tab/>
      </w:r>
      <w:r w:rsidR="009A5C6B" w:rsidRPr="002C5AC0">
        <w:rPr>
          <w:rFonts w:asciiTheme="majorHAnsi" w:hAnsiTheme="majorHAnsi"/>
          <w:sz w:val="20"/>
          <w:szCs w:val="20"/>
        </w:rPr>
        <w:t>Conformément au calendrier établi à l’</w:t>
      </w:r>
      <w:r w:rsidR="009A5C6B" w:rsidRPr="002C5AC0">
        <w:rPr>
          <w:rFonts w:asciiTheme="majorHAnsi" w:hAnsiTheme="majorHAnsi"/>
          <w:b/>
          <w:bCs/>
          <w:sz w:val="20"/>
          <w:szCs w:val="20"/>
        </w:rPr>
        <w:t xml:space="preserve">annexe </w:t>
      </w:r>
      <w:r w:rsidRPr="002C5AC0">
        <w:rPr>
          <w:rFonts w:asciiTheme="majorHAnsi" w:hAnsiTheme="majorHAnsi"/>
          <w:b/>
          <w:bCs/>
          <w:sz w:val="20"/>
          <w:szCs w:val="20"/>
        </w:rPr>
        <w:t>3</w:t>
      </w:r>
      <w:r w:rsidR="009A5C6B" w:rsidRPr="002C5AC0">
        <w:rPr>
          <w:rFonts w:asciiTheme="majorHAnsi" w:hAnsiTheme="majorHAnsi"/>
          <w:sz w:val="20"/>
          <w:szCs w:val="20"/>
        </w:rPr>
        <w:t>, le SCRS devra exécuter la MP et informer la Commission du TAC résultant obtenu conformément au processus spécifié à l</w:t>
      </w:r>
      <w:r w:rsidR="009A5C6B" w:rsidRPr="002C5AC0">
        <w:rPr>
          <w:rFonts w:asciiTheme="majorHAnsi" w:hAnsiTheme="majorHAnsi"/>
          <w:b/>
          <w:bCs/>
          <w:sz w:val="20"/>
          <w:szCs w:val="20"/>
        </w:rPr>
        <w:t xml:space="preserve">’annexe </w:t>
      </w:r>
      <w:r w:rsidRPr="002C5AC0">
        <w:rPr>
          <w:rFonts w:asciiTheme="majorHAnsi" w:hAnsiTheme="majorHAnsi"/>
          <w:b/>
          <w:bCs/>
          <w:sz w:val="20"/>
          <w:szCs w:val="20"/>
        </w:rPr>
        <w:t>3</w:t>
      </w:r>
      <w:r w:rsidR="009A5C6B" w:rsidRPr="002C5AC0">
        <w:rPr>
          <w:rFonts w:asciiTheme="majorHAnsi" w:hAnsiTheme="majorHAnsi"/>
          <w:sz w:val="20"/>
          <w:szCs w:val="20"/>
        </w:rPr>
        <w:t>.</w:t>
      </w:r>
    </w:p>
    <w:p w14:paraId="351D5EC5" w14:textId="77777777" w:rsidR="00BC03F2" w:rsidRPr="002C5AC0" w:rsidRDefault="00BC03F2" w:rsidP="00566B70">
      <w:pPr>
        <w:pStyle w:val="ListParagraph"/>
        <w:tabs>
          <w:tab w:val="left" w:pos="900"/>
        </w:tabs>
        <w:ind w:left="450" w:right="-1"/>
        <w:rPr>
          <w:rFonts w:asciiTheme="majorHAnsi" w:hAnsiTheme="majorHAnsi"/>
          <w:sz w:val="20"/>
          <w:szCs w:val="20"/>
        </w:rPr>
      </w:pPr>
    </w:p>
    <w:p w14:paraId="42C96BB5" w14:textId="09A57112" w:rsidR="00BC03F2" w:rsidRPr="002C5AC0" w:rsidRDefault="00AE7918" w:rsidP="001618B5">
      <w:pPr>
        <w:pStyle w:val="ListParagraph"/>
        <w:ind w:left="426" w:right="-1" w:hanging="426"/>
        <w:jc w:val="both"/>
        <w:rPr>
          <w:rFonts w:asciiTheme="majorHAnsi" w:hAnsiTheme="majorHAnsi"/>
          <w:sz w:val="20"/>
          <w:szCs w:val="20"/>
        </w:rPr>
      </w:pPr>
      <w:r w:rsidRPr="002C5AC0">
        <w:rPr>
          <w:rFonts w:asciiTheme="majorHAnsi" w:hAnsiTheme="majorHAnsi"/>
          <w:sz w:val="20"/>
          <w:szCs w:val="20"/>
        </w:rPr>
        <w:t>7</w:t>
      </w:r>
      <w:r w:rsidR="001618B5" w:rsidRPr="002C5AC0">
        <w:rPr>
          <w:rFonts w:asciiTheme="majorHAnsi" w:hAnsiTheme="majorHAnsi"/>
          <w:sz w:val="20"/>
          <w:szCs w:val="20"/>
        </w:rPr>
        <w:t xml:space="preserve">. </w:t>
      </w:r>
      <w:r w:rsidR="001618B5" w:rsidRPr="002C5AC0">
        <w:rPr>
          <w:rFonts w:asciiTheme="majorHAnsi" w:hAnsiTheme="majorHAnsi"/>
          <w:sz w:val="20"/>
          <w:szCs w:val="20"/>
        </w:rPr>
        <w:tab/>
      </w:r>
      <w:r w:rsidR="009A5C6B" w:rsidRPr="002C5AC0">
        <w:rPr>
          <w:rFonts w:asciiTheme="majorHAnsi" w:hAnsiTheme="majorHAnsi"/>
          <w:sz w:val="20"/>
          <w:szCs w:val="20"/>
        </w:rPr>
        <w:t xml:space="preserve">La Commission devra ensuite adopter le TAC sur la base des résultats de la MP, à moins que le SCRS n'identifie des circonstances exceptionnelles nécessitant la prise en compte de mesures de gestion alternatives par la Commission. </w:t>
      </w:r>
    </w:p>
    <w:p w14:paraId="4435C4D0" w14:textId="77777777" w:rsidR="00BC03F2" w:rsidRPr="002C5AC0" w:rsidRDefault="00BC03F2" w:rsidP="00566B70">
      <w:pPr>
        <w:tabs>
          <w:tab w:val="left" w:pos="900"/>
        </w:tabs>
        <w:ind w:right="-1"/>
        <w:rPr>
          <w:rFonts w:asciiTheme="majorHAnsi" w:hAnsiTheme="majorHAnsi"/>
          <w:sz w:val="20"/>
          <w:szCs w:val="20"/>
        </w:rPr>
      </w:pPr>
    </w:p>
    <w:p w14:paraId="3ED16831" w14:textId="4B362939" w:rsidR="00960277" w:rsidRPr="002C5AC0" w:rsidRDefault="00AE7918" w:rsidP="00431A45">
      <w:pPr>
        <w:pStyle w:val="ListParagraph"/>
        <w:ind w:left="426" w:right="-1" w:hanging="426"/>
        <w:jc w:val="both"/>
        <w:rPr>
          <w:rFonts w:asciiTheme="majorHAnsi" w:hAnsiTheme="majorHAnsi"/>
          <w:b/>
          <w:sz w:val="20"/>
          <w:szCs w:val="20"/>
        </w:rPr>
      </w:pPr>
      <w:r w:rsidRPr="002C5AC0">
        <w:rPr>
          <w:rFonts w:asciiTheme="majorHAnsi" w:hAnsiTheme="majorHAnsi"/>
          <w:sz w:val="20"/>
          <w:szCs w:val="20"/>
        </w:rPr>
        <w:t>8</w:t>
      </w:r>
      <w:r w:rsidR="001618B5" w:rsidRPr="002C5AC0">
        <w:rPr>
          <w:rFonts w:asciiTheme="majorHAnsi" w:hAnsiTheme="majorHAnsi"/>
          <w:sz w:val="20"/>
          <w:szCs w:val="20"/>
        </w:rPr>
        <w:t xml:space="preserve">. </w:t>
      </w:r>
      <w:r w:rsidR="001618B5" w:rsidRPr="002C5AC0">
        <w:rPr>
          <w:rFonts w:asciiTheme="majorHAnsi" w:hAnsiTheme="majorHAnsi"/>
          <w:sz w:val="20"/>
          <w:szCs w:val="20"/>
        </w:rPr>
        <w:tab/>
      </w:r>
      <w:r w:rsidR="009A5C6B" w:rsidRPr="002C5AC0">
        <w:rPr>
          <w:rFonts w:asciiTheme="majorHAnsi" w:hAnsiTheme="majorHAnsi"/>
          <w:sz w:val="20"/>
          <w:szCs w:val="20"/>
        </w:rPr>
        <w:t>Le SCRS devra évaluer annuellement la survenance de circonstances exceptionnelles et la Commission devra agir conformément au protocole de circonstances exceptionnelles, élaboré sur la base de l'avis scientifique fourni par le SCRS et adopté par la Commission.</w:t>
      </w:r>
      <w:r w:rsidR="00960277" w:rsidRPr="002C5AC0">
        <w:rPr>
          <w:rFonts w:asciiTheme="majorHAnsi" w:hAnsiTheme="majorHAnsi"/>
          <w:b/>
          <w:sz w:val="20"/>
          <w:szCs w:val="20"/>
        </w:rPr>
        <w:br w:type="page"/>
      </w:r>
    </w:p>
    <w:p w14:paraId="7B068109" w14:textId="6E9A2467" w:rsidR="00BC03F2" w:rsidRPr="002C5AC0" w:rsidRDefault="009A5C6B" w:rsidP="00BF2E2E">
      <w:pPr>
        <w:pStyle w:val="ListParagraph"/>
        <w:tabs>
          <w:tab w:val="left" w:pos="900"/>
        </w:tabs>
        <w:ind w:left="360" w:right="68" w:firstLine="0"/>
        <w:jc w:val="center"/>
        <w:rPr>
          <w:rFonts w:asciiTheme="majorHAnsi" w:hAnsiTheme="majorHAnsi"/>
          <w:b/>
          <w:bCs/>
          <w:sz w:val="20"/>
          <w:szCs w:val="20"/>
        </w:rPr>
      </w:pPr>
      <w:r w:rsidRPr="002C5AC0">
        <w:rPr>
          <w:rFonts w:asciiTheme="majorHAnsi" w:hAnsiTheme="majorHAnsi"/>
          <w:b/>
          <w:sz w:val="20"/>
          <w:szCs w:val="20"/>
        </w:rPr>
        <w:lastRenderedPageBreak/>
        <w:t xml:space="preserve">IIIe </w:t>
      </w:r>
      <w:r w:rsidR="005B5E97" w:rsidRPr="002C5AC0">
        <w:rPr>
          <w:rFonts w:asciiTheme="majorHAnsi" w:hAnsiTheme="majorHAnsi"/>
          <w:b/>
          <w:sz w:val="20"/>
          <w:szCs w:val="20"/>
        </w:rPr>
        <w:t>p</w:t>
      </w:r>
      <w:r w:rsidR="00BF34B6" w:rsidRPr="002C5AC0">
        <w:rPr>
          <w:rFonts w:asciiTheme="majorHAnsi" w:hAnsiTheme="majorHAnsi"/>
          <w:b/>
          <w:sz w:val="20"/>
          <w:szCs w:val="20"/>
        </w:rPr>
        <w:t>artie</w:t>
      </w:r>
    </w:p>
    <w:p w14:paraId="43913160" w14:textId="4DBA5304" w:rsidR="00BC03F2" w:rsidRPr="002C5AC0" w:rsidRDefault="00BF34B6" w:rsidP="00BF2E2E">
      <w:pPr>
        <w:pStyle w:val="ListParagraph"/>
        <w:tabs>
          <w:tab w:val="left" w:pos="900"/>
        </w:tabs>
        <w:ind w:left="360" w:right="68" w:firstLine="0"/>
        <w:jc w:val="center"/>
        <w:rPr>
          <w:rFonts w:asciiTheme="majorHAnsi" w:hAnsiTheme="majorHAnsi"/>
          <w:b/>
          <w:bCs/>
          <w:sz w:val="20"/>
          <w:szCs w:val="20"/>
        </w:rPr>
      </w:pPr>
      <w:r w:rsidRPr="002C5AC0">
        <w:rPr>
          <w:rFonts w:asciiTheme="majorHAnsi" w:hAnsiTheme="majorHAnsi"/>
          <w:b/>
          <w:sz w:val="20"/>
          <w:szCs w:val="20"/>
        </w:rPr>
        <w:t>Dispositions finales</w:t>
      </w:r>
    </w:p>
    <w:p w14:paraId="34201A80" w14:textId="77777777" w:rsidR="00BC03F2" w:rsidRPr="002C5AC0" w:rsidRDefault="00BC03F2" w:rsidP="00BF2E2E">
      <w:pPr>
        <w:pStyle w:val="ListParagraph"/>
        <w:tabs>
          <w:tab w:val="left" w:pos="900"/>
        </w:tabs>
        <w:ind w:left="360" w:right="68" w:firstLine="0"/>
        <w:jc w:val="center"/>
        <w:rPr>
          <w:rFonts w:asciiTheme="majorHAnsi" w:hAnsiTheme="majorHAnsi"/>
          <w:b/>
          <w:bCs/>
          <w:sz w:val="20"/>
          <w:szCs w:val="20"/>
        </w:rPr>
      </w:pPr>
    </w:p>
    <w:p w14:paraId="4866E3D8" w14:textId="77777777" w:rsidR="00DB0090" w:rsidRPr="002C5AC0" w:rsidRDefault="00DB0090" w:rsidP="001618B5">
      <w:pPr>
        <w:pStyle w:val="ListParagraph"/>
        <w:ind w:left="426" w:right="-1" w:hanging="426"/>
        <w:jc w:val="both"/>
        <w:rPr>
          <w:rFonts w:asciiTheme="majorHAnsi" w:hAnsiTheme="majorHAnsi"/>
          <w:sz w:val="20"/>
          <w:szCs w:val="20"/>
        </w:rPr>
      </w:pPr>
    </w:p>
    <w:p w14:paraId="6F8BF719" w14:textId="3641984B" w:rsidR="00CD2A07" w:rsidRPr="002C5AC0" w:rsidRDefault="001618B5" w:rsidP="001618B5">
      <w:pPr>
        <w:pStyle w:val="ListParagraph"/>
        <w:ind w:left="426" w:right="-1" w:hanging="426"/>
        <w:jc w:val="both"/>
        <w:rPr>
          <w:rFonts w:asciiTheme="majorHAnsi" w:hAnsiTheme="majorHAnsi"/>
          <w:sz w:val="20"/>
          <w:szCs w:val="20"/>
        </w:rPr>
      </w:pPr>
      <w:r w:rsidRPr="002C5AC0">
        <w:rPr>
          <w:rFonts w:asciiTheme="majorHAnsi" w:hAnsiTheme="majorHAnsi"/>
          <w:sz w:val="20"/>
          <w:szCs w:val="20"/>
        </w:rPr>
        <w:t xml:space="preserve">9. </w:t>
      </w:r>
      <w:r w:rsidRPr="002C5AC0">
        <w:rPr>
          <w:rFonts w:asciiTheme="majorHAnsi" w:hAnsiTheme="majorHAnsi"/>
          <w:sz w:val="20"/>
          <w:szCs w:val="20"/>
        </w:rPr>
        <w:tab/>
      </w:r>
      <w:r w:rsidR="00CD2A07" w:rsidRPr="002C5AC0">
        <w:rPr>
          <w:rFonts w:asciiTheme="majorHAnsi" w:hAnsiTheme="majorHAnsi"/>
          <w:sz w:val="20"/>
          <w:szCs w:val="20"/>
        </w:rPr>
        <w:t xml:space="preserve">La Sous-commission 1, avec l’avis scientifique du SCRS, devra élaborer le protocole de circonstances exceptionnelles pour cette MP, pour examen et adoption par la Commission à sa réunion annuelle de </w:t>
      </w:r>
      <w:r w:rsidR="001D203E" w:rsidRPr="002C5AC0">
        <w:rPr>
          <w:rFonts w:asciiTheme="majorHAnsi" w:hAnsiTheme="majorHAnsi"/>
          <w:sz w:val="20"/>
          <w:szCs w:val="20"/>
        </w:rPr>
        <w:t>2026</w:t>
      </w:r>
      <w:r w:rsidR="00960277" w:rsidRPr="002C5AC0">
        <w:rPr>
          <w:rFonts w:asciiTheme="majorHAnsi" w:hAnsiTheme="majorHAnsi"/>
          <w:sz w:val="20"/>
          <w:szCs w:val="20"/>
        </w:rPr>
        <w:t xml:space="preserve">, ou dès que possible par </w:t>
      </w:r>
      <w:r w:rsidR="00BF34B6" w:rsidRPr="002C5AC0">
        <w:rPr>
          <w:rFonts w:asciiTheme="majorHAnsi" w:hAnsiTheme="majorHAnsi"/>
          <w:sz w:val="20"/>
          <w:szCs w:val="20"/>
        </w:rPr>
        <w:t>la suite</w:t>
      </w:r>
      <w:r w:rsidR="00960277" w:rsidRPr="002C5AC0">
        <w:rPr>
          <w:rFonts w:asciiTheme="majorHAnsi" w:hAnsiTheme="majorHAnsi"/>
          <w:sz w:val="20"/>
          <w:szCs w:val="20"/>
        </w:rPr>
        <w:t>.</w:t>
      </w:r>
      <w:r w:rsidR="00CD2A07" w:rsidRPr="002C5AC0">
        <w:rPr>
          <w:rFonts w:asciiTheme="majorHAnsi" w:hAnsiTheme="majorHAnsi"/>
          <w:sz w:val="20"/>
          <w:szCs w:val="20"/>
        </w:rPr>
        <w:t xml:space="preserve"> Une fois adopté, le protocole deviendra l'annexe 4 de la présente Recommandation. </w:t>
      </w:r>
    </w:p>
    <w:p w14:paraId="7AC4850F" w14:textId="77777777" w:rsidR="00D60DFD" w:rsidRPr="002C5AC0" w:rsidRDefault="00D60DFD" w:rsidP="001618B5">
      <w:pPr>
        <w:pStyle w:val="ListParagraph"/>
        <w:ind w:left="426" w:hanging="426"/>
        <w:rPr>
          <w:rFonts w:asciiTheme="majorHAnsi" w:hAnsiTheme="majorHAnsi"/>
          <w:sz w:val="20"/>
          <w:szCs w:val="20"/>
        </w:rPr>
      </w:pPr>
    </w:p>
    <w:p w14:paraId="4EA5662F" w14:textId="42B59F9B" w:rsidR="00BC03F2" w:rsidRPr="002C5AC0" w:rsidRDefault="00F13DCF" w:rsidP="001618B5">
      <w:pPr>
        <w:pStyle w:val="ListParagraph"/>
        <w:ind w:left="426" w:right="-1" w:hanging="426"/>
        <w:jc w:val="both"/>
        <w:rPr>
          <w:rFonts w:asciiTheme="majorHAnsi" w:hAnsiTheme="majorHAnsi"/>
          <w:sz w:val="20"/>
          <w:szCs w:val="20"/>
        </w:rPr>
      </w:pPr>
      <w:r w:rsidRPr="002C5AC0">
        <w:rPr>
          <w:rFonts w:asciiTheme="majorHAnsi" w:hAnsiTheme="majorHAnsi"/>
          <w:sz w:val="20"/>
          <w:szCs w:val="20"/>
        </w:rPr>
        <w:t>10</w:t>
      </w:r>
      <w:r w:rsidR="001618B5" w:rsidRPr="002C5AC0">
        <w:rPr>
          <w:rFonts w:asciiTheme="majorHAnsi" w:hAnsiTheme="majorHAnsi"/>
          <w:sz w:val="20"/>
          <w:szCs w:val="20"/>
        </w:rPr>
        <w:t xml:space="preserve">. </w:t>
      </w:r>
      <w:r w:rsidR="001618B5" w:rsidRPr="002C5AC0">
        <w:rPr>
          <w:rFonts w:asciiTheme="majorHAnsi" w:hAnsiTheme="majorHAnsi"/>
          <w:sz w:val="20"/>
          <w:szCs w:val="20"/>
        </w:rPr>
        <w:tab/>
      </w:r>
      <w:r w:rsidR="009A5C6B" w:rsidRPr="002C5AC0">
        <w:rPr>
          <w:rFonts w:asciiTheme="majorHAnsi" w:hAnsiTheme="majorHAnsi"/>
          <w:sz w:val="20"/>
          <w:szCs w:val="20"/>
        </w:rPr>
        <w:t xml:space="preserve">Une révision de la performance de la MP par la Commission et le SCRS devra être réalisée d’ici 2031 et tous les six ans par la suite. L'objectif de cette révision est de s'assurer que la MP fonctionne comme prévu et de déterminer s'il existe des conditions qui justifient sa </w:t>
      </w:r>
      <w:r w:rsidR="00F16D32" w:rsidRPr="002C5AC0">
        <w:rPr>
          <w:rFonts w:asciiTheme="majorHAnsi" w:hAnsiTheme="majorHAnsi"/>
          <w:sz w:val="20"/>
          <w:szCs w:val="20"/>
        </w:rPr>
        <w:t>poursuite</w:t>
      </w:r>
      <w:r w:rsidR="009A5C6B" w:rsidRPr="002C5AC0">
        <w:rPr>
          <w:rFonts w:asciiTheme="majorHAnsi" w:hAnsiTheme="majorHAnsi"/>
          <w:sz w:val="20"/>
          <w:szCs w:val="20"/>
        </w:rPr>
        <w:t>, ou qui justifient le reconditionnement des modèles opérationnels de la MSE</w:t>
      </w:r>
      <w:r w:rsidR="00F16D32" w:rsidRPr="002C5AC0">
        <w:rPr>
          <w:rFonts w:asciiTheme="majorHAnsi" w:hAnsiTheme="majorHAnsi"/>
          <w:sz w:val="20"/>
          <w:szCs w:val="20"/>
        </w:rPr>
        <w:t>,</w:t>
      </w:r>
      <w:r w:rsidR="009A5C6B" w:rsidRPr="002C5AC0">
        <w:rPr>
          <w:rFonts w:asciiTheme="majorHAnsi" w:hAnsiTheme="majorHAnsi"/>
          <w:sz w:val="20"/>
          <w:szCs w:val="20"/>
        </w:rPr>
        <w:t xml:space="preserve"> le recalibrage de la MP existante</w:t>
      </w:r>
      <w:r w:rsidR="00F16D32" w:rsidRPr="002C5AC0">
        <w:rPr>
          <w:rFonts w:asciiTheme="majorHAnsi" w:hAnsiTheme="majorHAnsi"/>
          <w:sz w:val="20"/>
          <w:szCs w:val="20"/>
        </w:rPr>
        <w:t>,</w:t>
      </w:r>
      <w:r w:rsidR="009A5C6B" w:rsidRPr="002C5AC0">
        <w:rPr>
          <w:rFonts w:asciiTheme="majorHAnsi" w:hAnsiTheme="majorHAnsi"/>
          <w:sz w:val="20"/>
          <w:szCs w:val="20"/>
        </w:rPr>
        <w:t xml:space="preserve"> l’inclusion de nouveaux indices dans une nouvelle MP et/ou l'examen d'autres procédures de gestion potentielles ou le développement d'un nouveau cadre de MSE. Sur la base de cette révision et des avis ultérieurs du SCRS, la Commission devra décider des futures mesures, approches et stratégies de gestion</w:t>
      </w:r>
      <w:r w:rsidR="00F16D32" w:rsidRPr="002C5AC0">
        <w:rPr>
          <w:rFonts w:asciiTheme="majorHAnsi" w:hAnsiTheme="majorHAnsi"/>
          <w:sz w:val="20"/>
          <w:szCs w:val="20"/>
        </w:rPr>
        <w:t xml:space="preserve"> pour le listao de l’Atlantique Ouest</w:t>
      </w:r>
      <w:r w:rsidR="009A5C6B" w:rsidRPr="002C5AC0">
        <w:rPr>
          <w:rFonts w:asciiTheme="majorHAnsi" w:hAnsiTheme="majorHAnsi"/>
          <w:sz w:val="20"/>
          <w:szCs w:val="20"/>
        </w:rPr>
        <w:t>, y compris, entre autres, en ce qui concerne les niveaux de TAC</w:t>
      </w:r>
      <w:r w:rsidR="00F16D32" w:rsidRPr="002C5AC0">
        <w:rPr>
          <w:rFonts w:asciiTheme="majorHAnsi" w:hAnsiTheme="majorHAnsi"/>
          <w:sz w:val="20"/>
          <w:szCs w:val="20"/>
        </w:rPr>
        <w:t>.</w:t>
      </w:r>
    </w:p>
    <w:p w14:paraId="198150C2" w14:textId="77777777" w:rsidR="00BC03F2" w:rsidRPr="002C5AC0" w:rsidRDefault="00BC03F2" w:rsidP="001618B5">
      <w:pPr>
        <w:ind w:left="426" w:right="68" w:hanging="426"/>
        <w:rPr>
          <w:rFonts w:asciiTheme="majorHAnsi" w:hAnsiTheme="majorHAnsi"/>
          <w:sz w:val="20"/>
          <w:szCs w:val="20"/>
        </w:rPr>
      </w:pPr>
    </w:p>
    <w:p w14:paraId="5D13CDB7" w14:textId="7F586B49" w:rsidR="00BC03F2" w:rsidRPr="002C5AC0" w:rsidRDefault="00F13DCF" w:rsidP="0089532B">
      <w:pPr>
        <w:ind w:left="426" w:right="-1" w:hanging="426"/>
        <w:jc w:val="both"/>
        <w:rPr>
          <w:rFonts w:asciiTheme="majorHAnsi" w:hAnsiTheme="majorHAnsi"/>
          <w:strike/>
          <w:sz w:val="20"/>
          <w:szCs w:val="20"/>
        </w:rPr>
      </w:pPr>
      <w:r w:rsidRPr="002C5AC0">
        <w:rPr>
          <w:rFonts w:asciiTheme="majorHAnsi" w:hAnsiTheme="majorHAnsi"/>
          <w:sz w:val="20"/>
          <w:szCs w:val="20"/>
        </w:rPr>
        <w:t>11</w:t>
      </w:r>
      <w:r w:rsidR="001618B5" w:rsidRPr="002C5AC0">
        <w:rPr>
          <w:rFonts w:asciiTheme="majorHAnsi" w:hAnsiTheme="majorHAnsi"/>
          <w:sz w:val="20"/>
          <w:szCs w:val="20"/>
        </w:rPr>
        <w:t xml:space="preserve">. </w:t>
      </w:r>
      <w:r w:rsidR="001618B5" w:rsidRPr="002C5AC0">
        <w:rPr>
          <w:rFonts w:asciiTheme="majorHAnsi" w:hAnsiTheme="majorHAnsi"/>
          <w:sz w:val="20"/>
          <w:szCs w:val="20"/>
        </w:rPr>
        <w:tab/>
      </w:r>
      <w:r w:rsidR="009A5C6B" w:rsidRPr="002C5AC0">
        <w:rPr>
          <w:rFonts w:asciiTheme="majorHAnsi" w:hAnsiTheme="majorHAnsi"/>
          <w:sz w:val="20"/>
          <w:szCs w:val="20"/>
        </w:rPr>
        <w:t>La présente Recommandation abroge et remplace la</w:t>
      </w:r>
      <w:r w:rsidR="009A5C6B" w:rsidRPr="002C5AC0">
        <w:rPr>
          <w:rFonts w:asciiTheme="majorHAnsi" w:hAnsiTheme="majorHAnsi"/>
          <w:i/>
          <w:iCs/>
          <w:sz w:val="20"/>
          <w:szCs w:val="20"/>
        </w:rPr>
        <w:t xml:space="preserve"> </w:t>
      </w:r>
      <w:r w:rsidR="0089532B" w:rsidRPr="002C5AC0">
        <w:rPr>
          <w:rFonts w:ascii="Cambria" w:eastAsia="Cambria" w:hAnsi="Cambria" w:cs="Cambria"/>
          <w:i/>
          <w:iCs/>
          <w:sz w:val="20"/>
          <w:szCs w:val="20"/>
          <w:lang w:eastAsia="en-US"/>
        </w:rPr>
        <w:t xml:space="preserve">Recommandation de l’ICCAT sur une procédure de gestion potentielle pour le listao de l'Atlantique Ouest </w:t>
      </w:r>
      <w:r w:rsidR="0089532B" w:rsidRPr="002C5AC0">
        <w:rPr>
          <w:rFonts w:ascii="Cambria" w:eastAsia="Cambria" w:hAnsi="Cambria" w:cs="Cambria"/>
          <w:sz w:val="20"/>
          <w:szCs w:val="20"/>
          <w:lang w:eastAsia="en-US"/>
        </w:rPr>
        <w:t>(Rec. 24-04).</w:t>
      </w:r>
    </w:p>
    <w:p w14:paraId="14631F80" w14:textId="77777777" w:rsidR="001A7F7F" w:rsidRPr="002C5AC0" w:rsidRDefault="001A7F7F">
      <w:pPr>
        <w:ind w:right="68"/>
        <w:rPr>
          <w:rFonts w:asciiTheme="majorHAnsi" w:hAnsiTheme="majorHAnsi"/>
          <w:sz w:val="20"/>
          <w:szCs w:val="20"/>
        </w:rPr>
      </w:pPr>
    </w:p>
    <w:p w14:paraId="67FB048A" w14:textId="40B30D38" w:rsidR="001A7F7F" w:rsidRPr="002C5AC0" w:rsidRDefault="001A7F7F" w:rsidP="00084BD9">
      <w:pPr>
        <w:pStyle w:val="ListParagraph"/>
        <w:ind w:left="426" w:right="-1" w:hanging="426"/>
        <w:jc w:val="both"/>
        <w:rPr>
          <w:rFonts w:asciiTheme="majorHAnsi" w:hAnsiTheme="majorHAnsi"/>
          <w:sz w:val="20"/>
          <w:szCs w:val="20"/>
        </w:rPr>
      </w:pPr>
      <w:r w:rsidRPr="002C5AC0">
        <w:rPr>
          <w:rFonts w:asciiTheme="majorHAnsi" w:hAnsiTheme="majorHAnsi"/>
          <w:sz w:val="20"/>
          <w:szCs w:val="20"/>
        </w:rPr>
        <w:t xml:space="preserve">12. </w:t>
      </w:r>
      <w:r w:rsidRPr="002C5AC0">
        <w:rPr>
          <w:rFonts w:asciiTheme="majorHAnsi" w:hAnsiTheme="majorHAnsi"/>
          <w:sz w:val="20"/>
          <w:szCs w:val="20"/>
        </w:rPr>
        <w:tab/>
        <w:t xml:space="preserve">La présente mesure ne remplace ni n'abroge aucune </w:t>
      </w:r>
      <w:r w:rsidR="00E4343E" w:rsidRPr="002C5AC0">
        <w:rPr>
          <w:rFonts w:asciiTheme="majorHAnsi" w:hAnsiTheme="majorHAnsi"/>
          <w:sz w:val="20"/>
          <w:szCs w:val="20"/>
        </w:rPr>
        <w:t xml:space="preserve">disposition de la </w:t>
      </w:r>
      <w:r w:rsidRPr="002C5AC0">
        <w:rPr>
          <w:rFonts w:asciiTheme="majorHAnsi" w:hAnsiTheme="majorHAnsi"/>
          <w:sz w:val="20"/>
          <w:szCs w:val="20"/>
        </w:rPr>
        <w:t>mesure prévue dans la Rec. 24-01, qui continuera de s'appliquer aux CPC pêchant le listao occidental.</w:t>
      </w:r>
    </w:p>
    <w:p w14:paraId="5384539B" w14:textId="77777777" w:rsidR="007A24A6" w:rsidRPr="002C5AC0" w:rsidRDefault="007A24A6" w:rsidP="0017234D">
      <w:pPr>
        <w:pStyle w:val="ListParagraph"/>
        <w:ind w:left="426" w:right="-1" w:hanging="426"/>
        <w:jc w:val="both"/>
        <w:rPr>
          <w:rFonts w:asciiTheme="majorHAnsi" w:hAnsiTheme="majorHAnsi"/>
          <w:sz w:val="20"/>
          <w:szCs w:val="20"/>
        </w:rPr>
      </w:pPr>
    </w:p>
    <w:p w14:paraId="035BEB8E" w14:textId="1688348F" w:rsidR="001A7F7F" w:rsidRPr="002C5AC0" w:rsidRDefault="001A7F7F" w:rsidP="0017234D">
      <w:pPr>
        <w:pStyle w:val="ListParagraph"/>
        <w:ind w:left="426" w:right="-1" w:hanging="426"/>
        <w:jc w:val="both"/>
        <w:rPr>
          <w:rFonts w:asciiTheme="majorHAnsi" w:hAnsiTheme="majorHAnsi"/>
          <w:sz w:val="20"/>
          <w:szCs w:val="20"/>
        </w:rPr>
      </w:pPr>
      <w:r w:rsidRPr="002C5AC0">
        <w:rPr>
          <w:rFonts w:asciiTheme="majorHAnsi" w:hAnsiTheme="majorHAnsi"/>
          <w:sz w:val="20"/>
          <w:szCs w:val="20"/>
        </w:rPr>
        <w:t>13.</w:t>
      </w:r>
      <w:r w:rsidR="00084BD9" w:rsidRPr="002C5AC0">
        <w:rPr>
          <w:rFonts w:asciiTheme="majorHAnsi" w:hAnsiTheme="majorHAnsi"/>
          <w:sz w:val="20"/>
          <w:szCs w:val="20"/>
        </w:rPr>
        <w:tab/>
      </w:r>
      <w:r w:rsidRPr="002C5AC0">
        <w:rPr>
          <w:rFonts w:asciiTheme="majorHAnsi" w:hAnsiTheme="majorHAnsi"/>
          <w:sz w:val="20"/>
          <w:szCs w:val="20"/>
        </w:rPr>
        <w:t>Tout changement dans la dynamique des pêcheries de listao occidental susceptible d'avoir une incidence sur l</w:t>
      </w:r>
      <w:r w:rsidR="00211234" w:rsidRPr="002C5AC0">
        <w:rPr>
          <w:rFonts w:asciiTheme="majorHAnsi" w:hAnsiTheme="majorHAnsi"/>
          <w:sz w:val="20"/>
          <w:szCs w:val="20"/>
        </w:rPr>
        <w:t>a</w:t>
      </w:r>
      <w:r w:rsidRPr="002C5AC0">
        <w:rPr>
          <w:rFonts w:asciiTheme="majorHAnsi" w:hAnsiTheme="majorHAnsi"/>
          <w:sz w:val="20"/>
          <w:szCs w:val="20"/>
        </w:rPr>
        <w:t xml:space="preserve"> MSE multi</w:t>
      </w:r>
      <w:r w:rsidR="007A24A6" w:rsidRPr="002C5AC0">
        <w:rPr>
          <w:rFonts w:asciiTheme="majorHAnsi" w:hAnsiTheme="majorHAnsi"/>
          <w:sz w:val="20"/>
          <w:szCs w:val="20"/>
        </w:rPr>
        <w:t>-</w:t>
      </w:r>
      <w:r w:rsidRPr="002C5AC0">
        <w:rPr>
          <w:rFonts w:asciiTheme="majorHAnsi" w:hAnsiTheme="majorHAnsi"/>
          <w:sz w:val="20"/>
          <w:szCs w:val="20"/>
        </w:rPr>
        <w:t>stock</w:t>
      </w:r>
      <w:r w:rsidR="00211234" w:rsidRPr="002C5AC0">
        <w:rPr>
          <w:rFonts w:asciiTheme="majorHAnsi" w:hAnsiTheme="majorHAnsi"/>
          <w:sz w:val="20"/>
          <w:szCs w:val="20"/>
        </w:rPr>
        <w:t>s</w:t>
      </w:r>
      <w:r w:rsidRPr="002C5AC0">
        <w:rPr>
          <w:rFonts w:asciiTheme="majorHAnsi" w:hAnsiTheme="majorHAnsi"/>
          <w:sz w:val="20"/>
          <w:szCs w:val="20"/>
        </w:rPr>
        <w:t xml:space="preserve"> sera </w:t>
      </w:r>
      <w:r w:rsidR="00D30D7B" w:rsidRPr="002C5AC0">
        <w:rPr>
          <w:rFonts w:asciiTheme="majorHAnsi" w:hAnsiTheme="majorHAnsi"/>
          <w:sz w:val="20"/>
          <w:szCs w:val="20"/>
        </w:rPr>
        <w:t>inclus</w:t>
      </w:r>
      <w:r w:rsidRPr="002C5AC0">
        <w:rPr>
          <w:rFonts w:asciiTheme="majorHAnsi" w:hAnsiTheme="majorHAnsi"/>
          <w:sz w:val="20"/>
          <w:szCs w:val="20"/>
        </w:rPr>
        <w:t xml:space="preserve"> comme déclench</w:t>
      </w:r>
      <w:r w:rsidR="000D2C48" w:rsidRPr="002C5AC0">
        <w:rPr>
          <w:rFonts w:asciiTheme="majorHAnsi" w:hAnsiTheme="majorHAnsi"/>
          <w:sz w:val="20"/>
          <w:szCs w:val="20"/>
        </w:rPr>
        <w:t>eur</w:t>
      </w:r>
      <w:r w:rsidRPr="002C5AC0">
        <w:rPr>
          <w:rFonts w:asciiTheme="majorHAnsi" w:hAnsiTheme="majorHAnsi"/>
          <w:sz w:val="20"/>
          <w:szCs w:val="20"/>
        </w:rPr>
        <w:t xml:space="preserve"> de circonstances exceptionnelles lors de l'élaboration du protocole </w:t>
      </w:r>
      <w:r w:rsidR="0017234D" w:rsidRPr="002C5AC0">
        <w:rPr>
          <w:rFonts w:asciiTheme="majorHAnsi" w:hAnsiTheme="majorHAnsi"/>
          <w:sz w:val="20"/>
          <w:szCs w:val="20"/>
        </w:rPr>
        <w:t>de</w:t>
      </w:r>
      <w:r w:rsidRPr="002C5AC0">
        <w:rPr>
          <w:rFonts w:asciiTheme="majorHAnsi" w:hAnsiTheme="majorHAnsi"/>
          <w:sz w:val="20"/>
          <w:szCs w:val="20"/>
        </w:rPr>
        <w:t xml:space="preserve"> circonstances exceptionnelles pour le listao occidental en 2026.</w:t>
      </w:r>
    </w:p>
    <w:p w14:paraId="5BC7C131" w14:textId="39BC2ECB" w:rsidR="00BC03F2" w:rsidRPr="002C5AC0" w:rsidRDefault="009A5C6B">
      <w:pPr>
        <w:ind w:right="68"/>
        <w:rPr>
          <w:rFonts w:asciiTheme="majorHAnsi" w:hAnsiTheme="majorHAnsi"/>
          <w:b/>
          <w:bCs/>
          <w:sz w:val="20"/>
          <w:szCs w:val="20"/>
        </w:rPr>
      </w:pPr>
      <w:r w:rsidRPr="002C5AC0">
        <w:rPr>
          <w:rFonts w:asciiTheme="majorHAnsi" w:hAnsiTheme="majorHAnsi"/>
          <w:sz w:val="20"/>
          <w:szCs w:val="20"/>
        </w:rPr>
        <w:br w:type="page"/>
      </w:r>
    </w:p>
    <w:p w14:paraId="3866E14D" w14:textId="77777777" w:rsidR="003959C3" w:rsidRPr="002C5AC0" w:rsidRDefault="003959C3" w:rsidP="003959C3">
      <w:pPr>
        <w:jc w:val="right"/>
        <w:rPr>
          <w:rFonts w:asciiTheme="majorHAnsi" w:hAnsiTheme="majorHAnsi"/>
          <w:b/>
          <w:bCs/>
          <w:sz w:val="20"/>
          <w:szCs w:val="20"/>
        </w:rPr>
      </w:pPr>
      <w:r w:rsidRPr="002C5AC0">
        <w:rPr>
          <w:rFonts w:asciiTheme="majorHAnsi" w:hAnsiTheme="majorHAnsi"/>
          <w:b/>
          <w:bCs/>
          <w:sz w:val="20"/>
          <w:szCs w:val="20"/>
        </w:rPr>
        <w:lastRenderedPageBreak/>
        <w:t>Annexe 1</w:t>
      </w:r>
    </w:p>
    <w:p w14:paraId="492BE020" w14:textId="77777777" w:rsidR="006677FD" w:rsidRPr="002C5AC0" w:rsidRDefault="006677FD" w:rsidP="006677FD">
      <w:pPr>
        <w:suppressAutoHyphens w:val="0"/>
        <w:jc w:val="right"/>
        <w:rPr>
          <w:rFonts w:ascii="Cambria" w:eastAsia="Cambria" w:hAnsi="Cambria" w:cs="Cambria"/>
          <w:b/>
          <w:bCs/>
          <w:sz w:val="20"/>
          <w:szCs w:val="20"/>
          <w:lang w:eastAsia="en-US"/>
        </w:rPr>
      </w:pPr>
    </w:p>
    <w:p w14:paraId="33420816" w14:textId="77777777" w:rsidR="006677FD" w:rsidRPr="002C5AC0" w:rsidRDefault="006677FD" w:rsidP="006677FD">
      <w:pPr>
        <w:widowControl w:val="0"/>
        <w:jc w:val="center"/>
        <w:rPr>
          <w:rFonts w:ascii="Cambria" w:eastAsia="Cambria" w:hAnsi="Cambria" w:cs="Cambria"/>
          <w:b/>
          <w:sz w:val="20"/>
          <w:szCs w:val="20"/>
          <w:lang w:eastAsia="en-US"/>
        </w:rPr>
      </w:pPr>
      <w:r w:rsidRPr="002C5AC0">
        <w:rPr>
          <w:rFonts w:ascii="Cambria" w:eastAsia="Aptos" w:hAnsi="Cambria"/>
          <w:b/>
          <w:kern w:val="2"/>
          <w:sz w:val="20"/>
          <w:lang w:eastAsia="en-US"/>
          <w14:ligatures w14:val="standardContextual"/>
        </w:rPr>
        <w:t>Description et formules de calcul du total admissible de captures (TAC) pour le listao de l'Atlantique Ouest au moyen de la procédure de gestion (MP) de ratio de l’indice (IR)</w:t>
      </w:r>
    </w:p>
    <w:p w14:paraId="073D1361" w14:textId="77777777" w:rsidR="006677FD" w:rsidRPr="002C5AC0" w:rsidRDefault="006677FD" w:rsidP="006677FD">
      <w:pPr>
        <w:widowControl w:val="0"/>
        <w:jc w:val="center"/>
        <w:rPr>
          <w:rFonts w:ascii="Cambria" w:eastAsia="Cambria" w:hAnsi="Cambria" w:cs="Cambria"/>
          <w:b/>
          <w:sz w:val="20"/>
          <w:szCs w:val="20"/>
          <w:lang w:eastAsia="en-US"/>
        </w:rPr>
      </w:pPr>
    </w:p>
    <w:p w14:paraId="4D1D2C7B" w14:textId="77777777" w:rsidR="006677FD" w:rsidRPr="002C5AC0" w:rsidRDefault="006677FD" w:rsidP="006677FD">
      <w:pPr>
        <w:widowControl w:val="0"/>
        <w:rPr>
          <w:rFonts w:ascii="Cambria" w:eastAsia="Cambria" w:hAnsi="Cambria" w:cs="Cambria"/>
          <w:b/>
          <w:bCs/>
          <w:sz w:val="20"/>
          <w:szCs w:val="20"/>
          <w:lang w:eastAsia="en-US"/>
        </w:rPr>
      </w:pPr>
      <w:r w:rsidRPr="002C5AC0">
        <w:rPr>
          <w:rFonts w:ascii="Cambria" w:eastAsia="Aptos" w:hAnsi="Cambria"/>
          <w:b/>
          <w:kern w:val="2"/>
          <w:sz w:val="20"/>
          <w:lang w:eastAsia="en-US"/>
          <w14:ligatures w14:val="standardContextual"/>
        </w:rPr>
        <w:t>Ratio de l’indice (IR)</w:t>
      </w:r>
    </w:p>
    <w:p w14:paraId="73404605" w14:textId="77777777" w:rsidR="006677FD" w:rsidRPr="002C5AC0" w:rsidRDefault="006677FD" w:rsidP="006677FD">
      <w:pPr>
        <w:widowControl w:val="0"/>
        <w:rPr>
          <w:rFonts w:ascii="Cambria" w:eastAsia="Cambria" w:hAnsi="Cambria" w:cs="Cambria"/>
          <w:b/>
          <w:bCs/>
          <w:sz w:val="20"/>
          <w:szCs w:val="20"/>
          <w:lang w:eastAsia="en-US"/>
        </w:rPr>
      </w:pPr>
    </w:p>
    <w:p w14:paraId="03CB17C5" w14:textId="77777777" w:rsidR="006677FD" w:rsidRPr="002C5AC0" w:rsidRDefault="006677FD" w:rsidP="006677FD">
      <w:pPr>
        <w:widowControl w:val="0"/>
        <w:jc w:val="both"/>
        <w:rPr>
          <w:rFonts w:ascii="Cambria" w:eastAsia="Cambria" w:hAnsi="Cambria"/>
          <w:sz w:val="20"/>
          <w:szCs w:val="20"/>
          <w:lang w:eastAsia="en-US"/>
        </w:rPr>
      </w:pPr>
      <w:r w:rsidRPr="002C5AC0">
        <w:rPr>
          <w:rFonts w:ascii="Cambria" w:eastAsia="Aptos" w:hAnsi="Cambria"/>
          <w:kern w:val="2"/>
          <w:sz w:val="20"/>
          <w:lang w:eastAsia="en-US"/>
          <w14:ligatures w14:val="standardContextual"/>
        </w:rPr>
        <w:t xml:space="preserve">La procédure de gestion IR (ratio de l’indice) est une MP empirique qui utilise un indice d'abondance relative unique et standardisé (pour le listao de l’Ouest, l'indice combiné) afin de structurer sa règle de contrôle de l’exploitation. Le principe fondamental de la MP IR consiste à ajuster le TAC proportionnellement aux variations systématiques de l'indice (par exemple, les niveaux de capture augmentent lorsque l'indice affiche une tendance à la hausse et diminuent lorsque l'indice signale un déclin). Ceci est mis en œuvre en comparant la valeur moyenne de l'indice sur une période récente (c'est-à-dire les trois dernières années) à un niveau de référence historique (c'est-à-dire 2018-2020), ce qui donne un ratio qui reflète l'état relatif du stock. </w:t>
      </w:r>
    </w:p>
    <w:p w14:paraId="215B8E0D" w14:textId="77777777" w:rsidR="006677FD" w:rsidRPr="002C5AC0" w:rsidRDefault="006677FD" w:rsidP="006677FD">
      <w:pPr>
        <w:widowControl w:val="0"/>
        <w:jc w:val="both"/>
        <w:rPr>
          <w:rFonts w:ascii="Cambria" w:eastAsia="Cambria" w:hAnsi="Cambria" w:cs="Cambria"/>
          <w:sz w:val="20"/>
          <w:szCs w:val="20"/>
          <w:lang w:eastAsia="en-US"/>
        </w:rPr>
      </w:pPr>
    </w:p>
    <w:p w14:paraId="50654603" w14:textId="119BA556" w:rsidR="006677FD" w:rsidRPr="002C5AC0" w:rsidRDefault="006677FD" w:rsidP="006677FD">
      <w:pPr>
        <w:widowControl w:val="0"/>
        <w:jc w:val="both"/>
        <w:rPr>
          <w:rFonts w:ascii="Cambria" w:eastAsia="Cambria" w:hAnsi="Cambria" w:cs="Cambria"/>
          <w:sz w:val="20"/>
          <w:szCs w:val="20"/>
          <w:lang w:eastAsia="en-US"/>
        </w:rPr>
      </w:pPr>
      <w:r w:rsidRPr="002C5AC0">
        <w:rPr>
          <w:rFonts w:ascii="Cambria" w:eastAsia="Aptos" w:hAnsi="Cambria"/>
          <w:kern w:val="2"/>
          <w:sz w:val="20"/>
          <w:lang w:eastAsia="en-US"/>
          <w14:ligatures w14:val="standardContextual"/>
        </w:rPr>
        <w:t>Le multiplicateur obtenu est ensuite ajusté à l'aide d'un paramètre de calibrage, qui a été calibré au moyen de la MSE afin d'équilibrer l'objectif de gestion défini pour le stock de listao de l’Ouest. Plus précisément, le calibrage visait à maximiser la production à long terme tout en garantissant (i) une probabilité maximale de 10</w:t>
      </w:r>
      <w:r w:rsidR="007A24A6" w:rsidRPr="002C5AC0">
        <w:rPr>
          <w:rFonts w:ascii="Cambria" w:eastAsia="Aptos" w:hAnsi="Cambria"/>
          <w:kern w:val="2"/>
          <w:sz w:val="20"/>
          <w:lang w:eastAsia="en-US"/>
          <w14:ligatures w14:val="standardContextual"/>
        </w:rPr>
        <w:t> </w:t>
      </w:r>
      <w:r w:rsidRPr="002C5AC0">
        <w:rPr>
          <w:rFonts w:ascii="Cambria" w:eastAsia="Aptos" w:hAnsi="Cambria"/>
          <w:kern w:val="2"/>
          <w:sz w:val="20"/>
          <w:lang w:eastAsia="en-US"/>
          <w14:ligatures w14:val="standardContextual"/>
        </w:rPr>
        <w:t>% que le stock tombe en dessous de B</w:t>
      </w:r>
      <w:r w:rsidRPr="002C5AC0">
        <w:rPr>
          <w:rFonts w:ascii="Cambria" w:eastAsia="Aptos" w:hAnsi="Cambria"/>
          <w:kern w:val="2"/>
          <w:sz w:val="20"/>
          <w:vertAlign w:val="subscript"/>
          <w:lang w:eastAsia="en-US"/>
          <w14:ligatures w14:val="standardContextual"/>
        </w:rPr>
        <w:t xml:space="preserve">LIM </w:t>
      </w:r>
      <w:r w:rsidRPr="002C5AC0">
        <w:rPr>
          <w:rFonts w:ascii="Cambria" w:eastAsia="Aptos" w:hAnsi="Cambria"/>
          <w:kern w:val="2"/>
          <w:sz w:val="20"/>
          <w:lang w:eastAsia="en-US"/>
          <w14:ligatures w14:val="standardContextual"/>
        </w:rPr>
        <w:t>(0</w:t>
      </w:r>
      <w:r w:rsidR="001D3FEA" w:rsidRPr="002C5AC0">
        <w:rPr>
          <w:rFonts w:ascii="Cambria" w:eastAsia="Aptos" w:hAnsi="Cambria"/>
          <w:kern w:val="2"/>
          <w:sz w:val="20"/>
          <w:lang w:eastAsia="en-US"/>
          <w14:ligatures w14:val="standardContextual"/>
        </w:rPr>
        <w:t>,</w:t>
      </w:r>
      <w:r w:rsidRPr="002C5AC0">
        <w:rPr>
          <w:rFonts w:ascii="Cambria" w:eastAsia="Aptos" w:hAnsi="Cambria"/>
          <w:kern w:val="2"/>
          <w:sz w:val="20"/>
          <w:lang w:eastAsia="en-US"/>
          <w14:ligatures w14:val="standardContextual"/>
        </w:rPr>
        <w:t>4*SSB</w:t>
      </w:r>
      <w:r w:rsidRPr="002C5AC0">
        <w:rPr>
          <w:rFonts w:ascii="Cambria" w:eastAsia="Aptos" w:hAnsi="Cambria"/>
          <w:kern w:val="2"/>
          <w:sz w:val="20"/>
          <w:vertAlign w:val="subscript"/>
          <w:lang w:eastAsia="en-US"/>
          <w14:ligatures w14:val="standardContextual"/>
        </w:rPr>
        <w:t>PME</w:t>
      </w:r>
      <w:r w:rsidRPr="002C5AC0">
        <w:rPr>
          <w:rFonts w:ascii="Cambria" w:eastAsia="Aptos" w:hAnsi="Cambria"/>
          <w:kern w:val="2"/>
          <w:sz w:val="20"/>
          <w:lang w:eastAsia="en-US"/>
          <w14:ligatures w14:val="standardContextual"/>
        </w:rPr>
        <w:t>) au cours de la période de projection de 30 ans, et (ii) une probabilité d'au moins 60</w:t>
      </w:r>
      <w:r w:rsidR="001D3FEA" w:rsidRPr="002C5AC0">
        <w:rPr>
          <w:rFonts w:ascii="Cambria" w:eastAsia="Aptos" w:hAnsi="Cambria"/>
          <w:kern w:val="2"/>
          <w:sz w:val="20"/>
          <w:lang w:eastAsia="en-US"/>
          <w14:ligatures w14:val="standardContextual"/>
        </w:rPr>
        <w:t> </w:t>
      </w:r>
      <w:r w:rsidRPr="002C5AC0">
        <w:rPr>
          <w:rFonts w:ascii="Cambria" w:eastAsia="Aptos" w:hAnsi="Cambria"/>
          <w:kern w:val="2"/>
          <w:sz w:val="20"/>
          <w:lang w:eastAsia="en-US"/>
          <w14:ligatures w14:val="standardContextual"/>
        </w:rPr>
        <w:t xml:space="preserve">% </w:t>
      </w:r>
      <w:r w:rsidR="001D3FEA" w:rsidRPr="002C5AC0">
        <w:rPr>
          <w:rFonts w:ascii="Cambria" w:eastAsia="Aptos" w:hAnsi="Cambria"/>
          <w:kern w:val="2"/>
          <w:sz w:val="20"/>
          <w:lang w:eastAsia="en-US"/>
          <w14:ligatures w14:val="standardContextual"/>
        </w:rPr>
        <w:t>de se situer</w:t>
      </w:r>
      <w:r w:rsidRPr="002C5AC0">
        <w:rPr>
          <w:rFonts w:ascii="Cambria" w:eastAsia="Aptos" w:hAnsi="Cambria"/>
          <w:kern w:val="2"/>
          <w:sz w:val="20"/>
          <w:lang w:eastAsia="en-US"/>
          <w14:ligatures w14:val="standardContextual"/>
        </w:rPr>
        <w:t xml:space="preserve"> dans le quadrant vert de Kobe (c'est-à-dire SSB≥SSB</w:t>
      </w:r>
      <w:r w:rsidRPr="002C5AC0">
        <w:rPr>
          <w:rFonts w:ascii="Cambria" w:eastAsia="Aptos" w:hAnsi="Cambria"/>
          <w:kern w:val="2"/>
          <w:sz w:val="20"/>
          <w:vertAlign w:val="subscript"/>
          <w:lang w:eastAsia="en-US"/>
          <w14:ligatures w14:val="standardContextual"/>
        </w:rPr>
        <w:t>PME</w:t>
      </w:r>
      <w:r w:rsidRPr="002C5AC0">
        <w:rPr>
          <w:rFonts w:ascii="Cambria" w:eastAsia="Aptos" w:hAnsi="Cambria"/>
          <w:kern w:val="2"/>
          <w:sz w:val="20"/>
          <w:lang w:eastAsia="en-US"/>
          <w14:ligatures w14:val="standardContextual"/>
        </w:rPr>
        <w:t xml:space="preserve"> et F≤F</w:t>
      </w:r>
      <w:r w:rsidRPr="002C5AC0">
        <w:rPr>
          <w:rFonts w:ascii="Cambria" w:eastAsia="Aptos" w:hAnsi="Cambria"/>
          <w:kern w:val="2"/>
          <w:sz w:val="20"/>
          <w:vertAlign w:val="subscript"/>
          <w:lang w:eastAsia="en-US"/>
          <w14:ligatures w14:val="standardContextual"/>
        </w:rPr>
        <w:t>PME</w:t>
      </w:r>
      <w:r w:rsidRPr="002C5AC0">
        <w:rPr>
          <w:rFonts w:ascii="Cambria" w:eastAsia="Aptos" w:hAnsi="Cambria"/>
          <w:kern w:val="2"/>
          <w:sz w:val="20"/>
          <w:lang w:eastAsia="en-US"/>
          <w14:ligatures w14:val="standardContextual"/>
        </w:rPr>
        <w:t>) à moyen terme (années 4 à 10). Des mesures de stabilité, notamment des plafonds sur l'ampleur des ajustements des TAC et des limites interannuelles de progression, ont été appliquées afin d'éviter des changements brusques dans les niveaux de capture et de soutenir la faisabilité opérationnelle de cette MP.</w:t>
      </w:r>
    </w:p>
    <w:p w14:paraId="583BD142" w14:textId="77777777" w:rsidR="006677FD" w:rsidRPr="002C5AC0" w:rsidRDefault="006677FD" w:rsidP="006677FD">
      <w:pPr>
        <w:widowControl w:val="0"/>
        <w:jc w:val="both"/>
        <w:rPr>
          <w:rFonts w:ascii="Cambria" w:eastAsia="Cambria" w:hAnsi="Cambria" w:cs="Cambria"/>
          <w:sz w:val="20"/>
          <w:szCs w:val="20"/>
          <w:lang w:eastAsia="en-US"/>
        </w:rPr>
      </w:pPr>
    </w:p>
    <w:p w14:paraId="09D7A799" w14:textId="77777777" w:rsidR="006677FD" w:rsidRPr="002C5AC0" w:rsidRDefault="006677FD" w:rsidP="006677FD">
      <w:pPr>
        <w:widowControl w:val="0"/>
        <w:jc w:val="both"/>
        <w:rPr>
          <w:rFonts w:ascii="Cambria" w:eastAsia="Cambria" w:hAnsi="Cambria"/>
          <w:b/>
          <w:bCs/>
          <w:sz w:val="20"/>
          <w:szCs w:val="20"/>
          <w:lang w:eastAsia="en-US"/>
        </w:rPr>
      </w:pPr>
      <w:r w:rsidRPr="002C5AC0">
        <w:rPr>
          <w:rFonts w:ascii="Cambria" w:eastAsia="Aptos" w:hAnsi="Cambria"/>
          <w:b/>
          <w:kern w:val="2"/>
          <w:sz w:val="20"/>
          <w:lang w:eastAsia="en-US"/>
          <w14:ligatures w14:val="standardContextual"/>
        </w:rPr>
        <w:t>Indice d'abondance (indice combiné)</w:t>
      </w:r>
    </w:p>
    <w:p w14:paraId="31454B29" w14:textId="77777777" w:rsidR="006677FD" w:rsidRPr="002C5AC0" w:rsidRDefault="006677FD" w:rsidP="006677FD">
      <w:pPr>
        <w:widowControl w:val="0"/>
        <w:jc w:val="both"/>
        <w:rPr>
          <w:rFonts w:ascii="Cambria" w:eastAsia="Cambria" w:hAnsi="Cambria" w:cs="Cambria"/>
          <w:b/>
          <w:bCs/>
          <w:sz w:val="20"/>
          <w:szCs w:val="20"/>
          <w:lang w:eastAsia="en-US"/>
        </w:rPr>
      </w:pPr>
    </w:p>
    <w:p w14:paraId="4A612EAC" w14:textId="4368CEE8" w:rsidR="006677FD" w:rsidRPr="002C5AC0" w:rsidRDefault="006677FD" w:rsidP="006677FD">
      <w:pPr>
        <w:widowControl w:val="0"/>
        <w:jc w:val="both"/>
        <w:rPr>
          <w:rFonts w:asciiTheme="majorHAnsi" w:eastAsia="Cambria" w:hAnsiTheme="majorHAnsi" w:cs="Cambria"/>
          <w:sz w:val="20"/>
          <w:szCs w:val="20"/>
          <w:lang w:eastAsia="en-US"/>
        </w:rPr>
      </w:pPr>
      <w:r w:rsidRPr="002C5AC0">
        <w:rPr>
          <w:rFonts w:asciiTheme="majorHAnsi" w:eastAsia="Aptos" w:hAnsiTheme="majorHAnsi"/>
          <w:kern w:val="2"/>
          <w:sz w:val="20"/>
          <w:szCs w:val="20"/>
          <w:lang w:eastAsia="en-US"/>
          <w14:ligatures w14:val="standardContextual"/>
        </w:rPr>
        <w:t xml:space="preserve">L'indice combiné intègre les indices d'abondance annuels fournis par le Brésil, les États-Unis et le Venezuela, qui représentent ensemble plus de 95 % du total des captures déclarées de ce stock dans l'océan Atlantique occidental et couvrent la principale zone latitudinale de répartition du listao de l’Ouest. Pour construire l'indice combiné, chaque indice individuel est pondéré par l'inverse de sa variance estimée, ce qui donne plus d'influence aux indices plus précis et réduit </w:t>
      </w:r>
      <w:r w:rsidR="00E9589A" w:rsidRPr="002C5AC0">
        <w:rPr>
          <w:rFonts w:asciiTheme="majorHAnsi" w:eastAsia="Aptos" w:hAnsiTheme="majorHAnsi"/>
          <w:kern w:val="2"/>
          <w:sz w:val="20"/>
          <w:szCs w:val="20"/>
          <w:lang w:eastAsia="en-US"/>
          <w14:ligatures w14:val="standardContextual"/>
        </w:rPr>
        <w:t xml:space="preserve">la pondération </w:t>
      </w:r>
      <w:r w:rsidRPr="002C5AC0">
        <w:rPr>
          <w:rFonts w:asciiTheme="majorHAnsi" w:eastAsia="Aptos" w:hAnsiTheme="majorHAnsi"/>
          <w:kern w:val="2"/>
          <w:sz w:val="20"/>
          <w:szCs w:val="20"/>
          <w:lang w:eastAsia="en-US"/>
          <w14:ligatures w14:val="standardContextual"/>
        </w:rPr>
        <w:t>des indices plus incertains. (</w:t>
      </w:r>
      <w:hyperlink r:id="rId11" w:history="1">
        <w:r w:rsidRPr="002C5AC0">
          <w:rPr>
            <w:rFonts w:asciiTheme="majorHAnsi" w:eastAsia="Aptos" w:hAnsiTheme="majorHAnsi"/>
            <w:color w:val="0000FF"/>
            <w:kern w:val="2"/>
            <w:sz w:val="20"/>
            <w:szCs w:val="20"/>
            <w:lang w:eastAsia="en-US"/>
            <w14:ligatures w14:val="standardContextual"/>
          </w:rPr>
          <w:t>SCRS/2024/162</w:t>
        </w:r>
      </w:hyperlink>
      <w:r w:rsidRPr="002C5AC0">
        <w:rPr>
          <w:rFonts w:asciiTheme="majorHAnsi" w:eastAsia="Aptos" w:hAnsiTheme="majorHAnsi"/>
          <w:kern w:val="2"/>
          <w:sz w:val="20"/>
          <w:szCs w:val="20"/>
          <w:lang w:eastAsia="en-US"/>
          <w14:ligatures w14:val="standardContextual"/>
        </w:rPr>
        <w:t>).</w:t>
      </w:r>
    </w:p>
    <w:p w14:paraId="0D4860F7" w14:textId="77777777" w:rsidR="006677FD" w:rsidRPr="002C5AC0" w:rsidRDefault="006677FD" w:rsidP="006677FD">
      <w:pPr>
        <w:widowControl w:val="0"/>
        <w:jc w:val="both"/>
        <w:rPr>
          <w:rFonts w:ascii="Cambria" w:eastAsia="Cambria" w:hAnsi="Cambria" w:cs="Cambria"/>
          <w:sz w:val="20"/>
          <w:szCs w:val="20"/>
          <w:lang w:eastAsia="en-US"/>
        </w:rPr>
      </w:pPr>
    </w:p>
    <w:p w14:paraId="2CBCAD76" w14:textId="77777777" w:rsidR="006677FD" w:rsidRPr="002C5AC0" w:rsidRDefault="006677FD" w:rsidP="006677FD">
      <w:pPr>
        <w:widowControl w:val="0"/>
        <w:jc w:val="both"/>
        <w:rPr>
          <w:rFonts w:ascii="Cambria" w:eastAsia="Cambria" w:hAnsi="Cambria" w:cs="Cambria"/>
          <w:sz w:val="20"/>
          <w:szCs w:val="20"/>
          <w:lang w:eastAsia="en-US"/>
        </w:rPr>
      </w:pPr>
      <w:r w:rsidRPr="002C5AC0">
        <w:rPr>
          <w:rFonts w:ascii="Cambria" w:eastAsia="Aptos" w:hAnsi="Cambria"/>
          <w:kern w:val="2"/>
          <w:sz w:val="20"/>
          <w:lang w:eastAsia="en-US"/>
          <w14:ligatures w14:val="standardContextual"/>
        </w:rPr>
        <w:t xml:space="preserve">Finalement, la série temporelle combinée est standardisée </w:t>
      </w:r>
      <w:proofErr w:type="gramStart"/>
      <w:r w:rsidRPr="002C5AC0">
        <w:rPr>
          <w:rFonts w:ascii="Cambria" w:eastAsia="Aptos" w:hAnsi="Cambria"/>
          <w:kern w:val="2"/>
          <w:sz w:val="20"/>
          <w:lang w:eastAsia="en-US"/>
          <w14:ligatures w14:val="standardContextual"/>
        </w:rPr>
        <w:t>de manière à ce</w:t>
      </w:r>
      <w:proofErr w:type="gramEnd"/>
      <w:r w:rsidRPr="002C5AC0">
        <w:rPr>
          <w:rFonts w:ascii="Cambria" w:eastAsia="Aptos" w:hAnsi="Cambria"/>
          <w:kern w:val="2"/>
          <w:sz w:val="20"/>
          <w:lang w:eastAsia="en-US"/>
          <w14:ligatures w14:val="standardContextual"/>
        </w:rPr>
        <w:t xml:space="preserve"> que sa valeur moyenne sur plusieurs années soit égale à 1, garantissant ainsi que toutes les comparaisons ultérieures reflètent les variations relatives de la disponibilité des stocks. Cette série standardisée est désignée par 𝐼.</w:t>
      </w:r>
    </w:p>
    <w:p w14:paraId="5D575784" w14:textId="77777777" w:rsidR="006677FD" w:rsidRPr="002C5AC0" w:rsidRDefault="006677FD" w:rsidP="006677FD">
      <w:pPr>
        <w:widowControl w:val="0"/>
        <w:jc w:val="both"/>
        <w:rPr>
          <w:rFonts w:ascii="Cambria" w:eastAsia="Cambria" w:hAnsi="Cambria" w:cs="Cambria"/>
          <w:sz w:val="20"/>
          <w:szCs w:val="20"/>
          <w:lang w:eastAsia="en-US"/>
        </w:rPr>
      </w:pPr>
    </w:p>
    <w:p w14:paraId="7AC54003" w14:textId="77777777" w:rsidR="006677FD" w:rsidRPr="002C5AC0" w:rsidRDefault="006677FD" w:rsidP="006677FD">
      <w:pPr>
        <w:widowControl w:val="0"/>
        <w:jc w:val="both"/>
        <w:rPr>
          <w:rFonts w:ascii="Cambria" w:eastAsia="Cambria" w:hAnsi="Cambria" w:cs="Cambria"/>
          <w:b/>
          <w:bCs/>
          <w:sz w:val="20"/>
          <w:szCs w:val="20"/>
          <w:lang w:eastAsia="en-US"/>
        </w:rPr>
      </w:pPr>
      <w:r w:rsidRPr="002C5AC0">
        <w:rPr>
          <w:rFonts w:ascii="Cambria" w:eastAsia="Aptos" w:hAnsi="Cambria"/>
          <w:b/>
          <w:kern w:val="2"/>
          <w:sz w:val="20"/>
          <w:lang w:eastAsia="en-US"/>
          <w14:ligatures w14:val="standardContextual"/>
        </w:rPr>
        <w:t>Spécifications de la MP</w:t>
      </w:r>
    </w:p>
    <w:p w14:paraId="7C35A3DB" w14:textId="77777777" w:rsidR="006677FD" w:rsidRPr="002C5AC0" w:rsidRDefault="006677FD" w:rsidP="006677FD">
      <w:pPr>
        <w:widowControl w:val="0"/>
        <w:jc w:val="both"/>
        <w:rPr>
          <w:rFonts w:ascii="Cambria" w:eastAsia="Cambria" w:hAnsi="Cambria" w:cs="Cambria"/>
          <w:b/>
          <w:bCs/>
          <w:sz w:val="20"/>
          <w:szCs w:val="20"/>
          <w:lang w:eastAsia="en-US"/>
        </w:rPr>
      </w:pPr>
    </w:p>
    <w:p w14:paraId="30DBF0A3" w14:textId="77777777" w:rsidR="006677FD" w:rsidRPr="002C5AC0" w:rsidRDefault="006677FD" w:rsidP="006677FD">
      <w:pPr>
        <w:widowControl w:val="0"/>
        <w:jc w:val="both"/>
        <w:rPr>
          <w:rFonts w:ascii="Cambria" w:eastAsia="Cambria" w:hAnsi="Cambria"/>
          <w:sz w:val="20"/>
          <w:szCs w:val="20"/>
          <w:lang w:eastAsia="en-US"/>
        </w:rPr>
      </w:pPr>
      <w:r w:rsidRPr="002C5AC0">
        <w:rPr>
          <w:rFonts w:ascii="Cambria" w:eastAsia="Aptos" w:hAnsi="Cambria"/>
          <w:kern w:val="2"/>
          <w:sz w:val="20"/>
          <w:lang w:eastAsia="en-US"/>
          <w14:ligatures w14:val="standardContextual"/>
        </w:rPr>
        <w:t xml:space="preserve">Cette MP utilise une durée du cycle de gestion de 3 ans. Les données d'entrée (c'est-à-dire les captures et l'indice combiné) sont incluses avec un décalage d'un an (c'est-à-dire que le TAC pour 2026 est fixé en 2025 à partir des données disponibles jusqu'en 2024). </w:t>
      </w:r>
    </w:p>
    <w:p w14:paraId="00AB5C3C" w14:textId="77777777" w:rsidR="006677FD" w:rsidRPr="002C5AC0" w:rsidRDefault="006677FD" w:rsidP="006677FD">
      <w:pPr>
        <w:widowControl w:val="0"/>
        <w:jc w:val="both"/>
        <w:rPr>
          <w:rFonts w:ascii="Cambria" w:eastAsia="Cambria" w:hAnsi="Cambria" w:cs="Cambria"/>
          <w:sz w:val="20"/>
          <w:szCs w:val="20"/>
          <w:lang w:eastAsia="en-US"/>
        </w:rPr>
      </w:pPr>
    </w:p>
    <w:p w14:paraId="48FE140E" w14:textId="56213608" w:rsidR="006677FD" w:rsidRPr="002C5AC0" w:rsidRDefault="006677FD" w:rsidP="006677FD">
      <w:pPr>
        <w:widowControl w:val="0"/>
        <w:jc w:val="both"/>
        <w:rPr>
          <w:rFonts w:ascii="Cambria" w:eastAsia="Cambria" w:hAnsi="Cambria"/>
          <w:sz w:val="20"/>
          <w:szCs w:val="20"/>
          <w:lang w:eastAsia="en-US"/>
        </w:rPr>
      </w:pPr>
      <w:r w:rsidRPr="002C5AC0">
        <w:rPr>
          <w:rFonts w:ascii="Cambria" w:eastAsia="Aptos" w:hAnsi="Cambria"/>
          <w:kern w:val="2"/>
          <w:sz w:val="20"/>
          <w:lang w:eastAsia="en-US"/>
          <w14:ligatures w14:val="standardContextual"/>
        </w:rPr>
        <w:t>Le total admissible des captures (TAC) sera calculé à partir de la moyenne des captures des trois dernières années et pondéré par le paramètre θ selon les équations suivantes</w:t>
      </w:r>
      <w:r w:rsidR="00886172" w:rsidRPr="002C5AC0">
        <w:rPr>
          <w:rFonts w:ascii="Cambria" w:eastAsia="Aptos" w:hAnsi="Cambria"/>
          <w:kern w:val="2"/>
          <w:sz w:val="20"/>
          <w:lang w:eastAsia="en-US"/>
          <w14:ligatures w14:val="standardContextual"/>
        </w:rPr>
        <w:t> :</w:t>
      </w:r>
    </w:p>
    <w:p w14:paraId="56544802" w14:textId="77777777" w:rsidR="006677FD" w:rsidRPr="002C5AC0" w:rsidRDefault="006677FD" w:rsidP="006677FD">
      <w:pPr>
        <w:widowControl w:val="0"/>
        <w:jc w:val="both"/>
        <w:rPr>
          <w:rFonts w:ascii="Cambria" w:eastAsia="Cambria" w:hAnsi="Cambria" w:cs="Cambria"/>
          <w:sz w:val="20"/>
          <w:szCs w:val="20"/>
          <w:lang w:eastAsia="en-US"/>
        </w:rPr>
      </w:pPr>
    </w:p>
    <w:p w14:paraId="7A5B61BE" w14:textId="77777777" w:rsidR="006677FD" w:rsidRPr="002C5AC0" w:rsidRDefault="006677FD" w:rsidP="006677FD">
      <w:pPr>
        <w:widowControl w:val="0"/>
        <w:jc w:val="both"/>
        <w:rPr>
          <w:rFonts w:ascii="Cambria" w:eastAsia="Cambria" w:hAnsi="Cambria"/>
          <w:sz w:val="20"/>
          <w:szCs w:val="20"/>
          <w:lang w:eastAsia="en-US"/>
        </w:rPr>
      </w:pPr>
      <m:oMathPara>
        <m:oMath>
          <m:r>
            <w:rPr>
              <w:rFonts w:ascii="Cambria Math" w:eastAsia="Cambria" w:hAnsi="Cambria Math" w:cs="Cambria"/>
              <w:sz w:val="20"/>
              <w:szCs w:val="20"/>
              <w:lang w:eastAsia="en-US"/>
            </w:rPr>
            <m:t>TAC=θ</m:t>
          </m:r>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C</m:t>
                  </m:r>
                </m:e>
                <m:sub>
                  <m:r>
                    <w:rPr>
                      <w:rFonts w:ascii="Cambria Math" w:eastAsia="Cambria" w:hAnsi="Cambria Math" w:cs="Cambria"/>
                      <w:sz w:val="20"/>
                      <w:szCs w:val="20"/>
                      <w:lang w:eastAsia="en-US"/>
                    </w:rPr>
                    <m:t>curr</m:t>
                  </m:r>
                </m:sub>
              </m:sSub>
            </m:e>
          </m:acc>
        </m:oMath>
      </m:oMathPara>
    </w:p>
    <w:p w14:paraId="1EC1C13E" w14:textId="77777777" w:rsidR="006677FD" w:rsidRPr="002C5AC0" w:rsidRDefault="006677FD" w:rsidP="006677FD">
      <w:pPr>
        <w:widowControl w:val="0"/>
        <w:jc w:val="both"/>
        <w:rPr>
          <w:rFonts w:ascii="Cambria" w:eastAsia="Cambria" w:hAnsi="Cambria"/>
          <w:sz w:val="22"/>
          <w:szCs w:val="20"/>
          <w:lang w:eastAsia="en-US"/>
        </w:rPr>
      </w:pPr>
    </w:p>
    <w:p w14:paraId="0A1F2DE2" w14:textId="77777777" w:rsidR="006677FD" w:rsidRPr="002C5AC0" w:rsidRDefault="006677FD" w:rsidP="006677FD">
      <w:pPr>
        <w:widowControl w:val="0"/>
        <w:jc w:val="both"/>
        <w:rPr>
          <w:rFonts w:ascii="Cambria" w:eastAsia="Cambria" w:hAnsi="Cambria" w:cs="Cambria"/>
          <w:sz w:val="20"/>
          <w:szCs w:val="20"/>
          <w:lang w:eastAsia="en-US"/>
        </w:rPr>
      </w:pPr>
      <w:r w:rsidRPr="002C5AC0">
        <w:rPr>
          <w:rFonts w:ascii="Cambria" w:eastAsia="Aptos" w:hAnsi="Cambria"/>
          <w:kern w:val="2"/>
          <w:sz w:val="20"/>
          <w:lang w:eastAsia="en-US"/>
          <w14:ligatures w14:val="standardContextual"/>
        </w:rPr>
        <w:t>où θ est le facteur d'ajustement réglementaire, calculé comme le ratio entre la moyenne récente sur trois ans de l'indice combiné (𝐼</w:t>
      </w:r>
      <w:proofErr w:type="spellStart"/>
      <w:r w:rsidRPr="002C5AC0">
        <w:rPr>
          <w:rFonts w:ascii="Cambria" w:eastAsia="Aptos" w:hAnsi="Cambria"/>
          <w:kern w:val="2"/>
          <w:sz w:val="20"/>
          <w:vertAlign w:val="subscript"/>
          <w:lang w:eastAsia="en-US"/>
          <w14:ligatures w14:val="standardContextual"/>
        </w:rPr>
        <w:t>act</w:t>
      </w:r>
      <w:proofErr w:type="spellEnd"/>
      <w:r w:rsidRPr="002C5AC0">
        <w:rPr>
          <w:rFonts w:ascii="Cambria" w:eastAsia="Aptos" w:hAnsi="Cambria"/>
          <w:kern w:val="2"/>
          <w:sz w:val="20"/>
          <w:lang w:eastAsia="en-US"/>
          <w14:ligatures w14:val="standardContextual"/>
        </w:rPr>
        <w:t>) et une moyenne historique de référence sur trois ans (</w:t>
      </w:r>
      <w:proofErr w:type="spellStart"/>
      <w:r w:rsidRPr="002C5AC0">
        <w:rPr>
          <w:rFonts w:ascii="Cambria" w:eastAsia="Aptos" w:hAnsi="Cambria"/>
          <w:i/>
          <w:iCs/>
          <w:kern w:val="2"/>
          <w:sz w:val="20"/>
          <w:lang w:eastAsia="en-US"/>
          <w14:ligatures w14:val="standardContextual"/>
        </w:rPr>
        <w:t>I</w:t>
      </w:r>
      <w:r w:rsidRPr="002C5AC0">
        <w:rPr>
          <w:rFonts w:ascii="Cambria" w:eastAsia="Aptos" w:hAnsi="Cambria"/>
          <w:i/>
          <w:iCs/>
          <w:kern w:val="2"/>
          <w:sz w:val="20"/>
          <w:vertAlign w:val="subscript"/>
          <w:lang w:eastAsia="en-US"/>
          <w14:ligatures w14:val="standardContextual"/>
        </w:rPr>
        <w:t>hist</w:t>
      </w:r>
      <w:proofErr w:type="spellEnd"/>
      <w:r w:rsidRPr="002C5AC0">
        <w:rPr>
          <w:rFonts w:ascii="Cambria" w:eastAsia="Aptos" w:hAnsi="Cambria"/>
          <w:kern w:val="2"/>
          <w:sz w:val="20"/>
          <w:lang w:eastAsia="en-US"/>
          <w14:ligatures w14:val="standardContextual"/>
        </w:rPr>
        <w:t>) de l'indice combiné, multiplié par un paramètre de calibrage (λ). Le paramètre de calibrage pour la MP IR est λ = 1,0341645. Ainsi, ces quantités peuvent être estimées comme suit :</w:t>
      </w:r>
    </w:p>
    <w:p w14:paraId="69300014" w14:textId="77777777" w:rsidR="006677FD" w:rsidRPr="002C5AC0" w:rsidRDefault="006677FD" w:rsidP="006677FD">
      <w:pPr>
        <w:widowControl w:val="0"/>
        <w:jc w:val="both"/>
        <w:rPr>
          <w:rFonts w:ascii="Cambria" w:eastAsia="Cambria" w:hAnsi="Cambria" w:cs="Cambria"/>
          <w:sz w:val="20"/>
          <w:szCs w:val="20"/>
          <w:lang w:eastAsia="en-US"/>
        </w:rPr>
      </w:pPr>
    </w:p>
    <w:p w14:paraId="717FFC51" w14:textId="6B8DD76B" w:rsidR="006677FD" w:rsidRPr="002C5AC0" w:rsidRDefault="007C6BEE" w:rsidP="006677FD">
      <w:pPr>
        <w:widowControl w:val="0"/>
        <w:numPr>
          <w:ilvl w:val="0"/>
          <w:numId w:val="20"/>
        </w:numPr>
        <w:tabs>
          <w:tab w:val="num" w:pos="851"/>
        </w:tabs>
        <w:suppressAutoHyphens w:val="0"/>
        <w:spacing w:after="160" w:line="276" w:lineRule="auto"/>
        <w:ind w:left="851"/>
        <w:jc w:val="both"/>
        <w:rPr>
          <w:rFonts w:ascii="Cambria" w:eastAsia="Cambria" w:hAnsi="Cambria" w:cs="Cambria"/>
          <w:sz w:val="20"/>
          <w:szCs w:val="20"/>
          <w:lang w:eastAsia="en-US"/>
        </w:rPr>
      </w:pPr>
      <m:oMath>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r>
          <w:rPr>
            <w:rFonts w:ascii="Cambria Math" w:eastAsia="Cambria" w:hAnsi="Cambria Math" w:cs="Cambria"/>
            <w:sz w:val="20"/>
            <w:szCs w:val="20"/>
            <w:lang w:eastAsia="en-US"/>
          </w:rPr>
          <m:t>=</m:t>
        </m:r>
        <m:f>
          <m:fPr>
            <m:ctrlPr>
              <w:rPr>
                <w:rFonts w:ascii="Cambria Math" w:eastAsia="Cambria" w:hAnsi="Cambria Math" w:cs="Cambria"/>
                <w:kern w:val="2"/>
                <w:lang w:eastAsia="en-US"/>
                <w14:ligatures w14:val="standardContextual"/>
              </w:rPr>
            </m:ctrlPr>
          </m:fPr>
          <m:num>
            <m:r>
              <w:rPr>
                <w:rFonts w:ascii="Cambria Math" w:eastAsia="Cambria" w:hAnsi="Cambria Math" w:cs="Cambria"/>
                <w:sz w:val="20"/>
                <w:szCs w:val="20"/>
                <w:lang w:eastAsia="en-US"/>
              </w:rPr>
              <m:t>1</m:t>
            </m:r>
          </m:num>
          <m:den>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Y</m:t>
                </m:r>
              </m:e>
              <m:sub>
                <m:r>
                  <w:rPr>
                    <w:rFonts w:ascii="Cambria Math" w:eastAsia="Cambria" w:hAnsi="Cambria Math" w:cs="Cambria"/>
                    <w:sz w:val="20"/>
                    <w:szCs w:val="20"/>
                    <w:lang w:eastAsia="en-US"/>
                  </w:rPr>
                  <m:t>h</m:t>
                </m:r>
              </m:sub>
            </m:sSub>
          </m:den>
        </m:f>
        <m:nary>
          <m:naryPr>
            <m:chr m:val="∑"/>
            <m:ctrlPr>
              <w:rPr>
                <w:rFonts w:ascii="Cambria Math" w:eastAsia="Cambria" w:hAnsi="Cambria Math" w:cs="Cambria"/>
                <w:kern w:val="2"/>
                <w:lang w:eastAsia="en-US"/>
                <w14:ligatures w14:val="standardContextual"/>
              </w:rPr>
            </m:ctrlPr>
          </m:naryPr>
          <m:sub>
            <m:r>
              <w:rPr>
                <w:rFonts w:ascii="Cambria Math" w:eastAsia="Cambria" w:hAnsi="Cambria Math" w:cs="Cambria"/>
                <w:sz w:val="20"/>
                <w:szCs w:val="20"/>
                <w:lang w:eastAsia="en-US"/>
              </w:rPr>
              <m:t>1</m:t>
            </m:r>
          </m:sub>
          <m:sup>
            <m:r>
              <w:rPr>
                <w:rFonts w:ascii="Cambria Math" w:eastAsia="Cambria" w:hAnsi="Cambria Math" w:cs="Cambria"/>
                <w:sz w:val="20"/>
                <w:szCs w:val="20"/>
                <w:lang w:eastAsia="en-US"/>
              </w:rPr>
              <m:t>Y</m:t>
            </m:r>
          </m:sup>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m:t>
                </m:r>
              </m:sub>
            </m:sSub>
          </m:e>
        </m:nary>
      </m:oMath>
      <w:r w:rsidR="00F271EE" w:rsidRPr="002C5AC0">
        <w:rPr>
          <w:rFonts w:ascii="Cambria" w:eastAsia="Aptos" w:hAnsi="Cambria"/>
          <w:kern w:val="2"/>
          <w:sz w:val="20"/>
          <w:lang w:eastAsia="en-US"/>
          <w14:ligatures w14:val="standardContextual"/>
        </w:rPr>
        <w:tab/>
      </w:r>
      <w:r w:rsidR="006677FD" w:rsidRPr="002C5AC0">
        <w:rPr>
          <w:rFonts w:ascii="Cambria" w:eastAsia="Aptos" w:hAnsi="Cambria"/>
          <w:kern w:val="2"/>
          <w:sz w:val="20"/>
          <w:lang w:eastAsia="en-US"/>
          <w14:ligatures w14:val="standardContextual"/>
        </w:rPr>
        <w:t xml:space="preserve"> où </w:t>
      </w:r>
      <w:r w:rsidR="006677FD" w:rsidRPr="002C5AC0">
        <w:rPr>
          <w:rFonts w:ascii="Cambria" w:eastAsia="Aptos" w:hAnsi="Cambria"/>
          <w:i/>
          <w:iCs/>
          <w:kern w:val="2"/>
          <w:sz w:val="20"/>
          <w:lang w:eastAsia="en-US"/>
          <w14:ligatures w14:val="standardContextual"/>
        </w:rPr>
        <w:t>h</w:t>
      </w:r>
      <w:r w:rsidR="006677FD" w:rsidRPr="002C5AC0">
        <w:rPr>
          <w:rFonts w:ascii="Cambria" w:eastAsia="Aptos" w:hAnsi="Cambria"/>
          <w:kern w:val="2"/>
          <w:sz w:val="20"/>
          <w:lang w:eastAsia="en-US"/>
          <w14:ligatures w14:val="standardContextual"/>
        </w:rPr>
        <w:t xml:space="preserve"> appartient à la fenêtre temporelle des années historiques (Y)</w:t>
      </w:r>
      <w:r w:rsidR="003A574E" w:rsidRPr="002C5AC0">
        <w:rPr>
          <w:rFonts w:ascii="Cambria" w:eastAsia="Aptos" w:hAnsi="Cambria"/>
          <w:kern w:val="2"/>
          <w:sz w:val="20"/>
          <w:lang w:eastAsia="en-US"/>
          <w14:ligatures w14:val="standardContextual"/>
        </w:rPr>
        <w:t> ;</w:t>
      </w:r>
    </w:p>
    <w:p w14:paraId="16213F09" w14:textId="0F9286D4" w:rsidR="007107F6" w:rsidRPr="002C5AC0" w:rsidRDefault="007C6BEE" w:rsidP="007107F6">
      <w:pPr>
        <w:widowControl w:val="0"/>
        <w:numPr>
          <w:ilvl w:val="0"/>
          <w:numId w:val="20"/>
        </w:numPr>
        <w:tabs>
          <w:tab w:val="num" w:pos="851"/>
        </w:tabs>
        <w:suppressAutoHyphens w:val="0"/>
        <w:spacing w:after="160" w:line="276" w:lineRule="auto"/>
        <w:ind w:left="851"/>
        <w:jc w:val="both"/>
        <w:rPr>
          <w:rFonts w:ascii="Cambria" w:eastAsia="Aptos" w:hAnsi="Cambria"/>
          <w:kern w:val="2"/>
          <w:sz w:val="20"/>
          <w:lang w:eastAsia="en-US"/>
          <w14:ligatures w14:val="standardContextual"/>
        </w:rPr>
      </w:pPr>
      <m:oMath>
        <m:acc>
          <m:accPr>
            <m:chr m:val="¯"/>
            <m:ctrlPr>
              <w:rPr>
                <w:rFonts w:ascii="Cambria Math" w:eastAsia="Aptos" w:hAnsi="Cambria Math"/>
                <w:kern w:val="2"/>
                <w:sz w:val="20"/>
                <w:lang w:eastAsia="en-US"/>
                <w14:ligatures w14:val="standardContextual"/>
              </w:rPr>
            </m:ctrlPr>
          </m:accPr>
          <m:e>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I</m:t>
                </m:r>
              </m:e>
              <m:sub>
                <m:r>
                  <w:rPr>
                    <w:rFonts w:ascii="Cambria Math" w:eastAsia="Aptos" w:hAnsi="Cambria Math"/>
                    <w:kern w:val="2"/>
                    <w:sz w:val="20"/>
                    <w:lang w:eastAsia="en-US"/>
                    <w14:ligatures w14:val="standardContextual"/>
                  </w:rPr>
                  <m:t>curr</m:t>
                </m:r>
              </m:sub>
            </m:sSub>
          </m:e>
        </m:acc>
        <m:r>
          <m:rPr>
            <m:sty m:val="p"/>
          </m:rPr>
          <w:rPr>
            <w:rFonts w:ascii="Cambria Math" w:eastAsia="Aptos" w:hAnsi="Cambria Math"/>
            <w:kern w:val="2"/>
            <w:sz w:val="20"/>
            <w:lang w:eastAsia="en-US"/>
            <w14:ligatures w14:val="standardContextual"/>
          </w:rPr>
          <m:t>=</m:t>
        </m:r>
        <m:f>
          <m:fPr>
            <m:ctrlPr>
              <w:rPr>
                <w:rFonts w:ascii="Cambria Math" w:eastAsia="Aptos" w:hAnsi="Cambria Math"/>
                <w:kern w:val="2"/>
                <w:sz w:val="20"/>
                <w:lang w:eastAsia="en-US"/>
                <w14:ligatures w14:val="standardContextual"/>
              </w:rPr>
            </m:ctrlPr>
          </m:fPr>
          <m:num>
            <m:r>
              <m:rPr>
                <m:sty m:val="p"/>
              </m:rPr>
              <w:rPr>
                <w:rFonts w:ascii="Cambria Math" w:eastAsia="Aptos" w:hAnsi="Cambria Math"/>
                <w:kern w:val="2"/>
                <w:sz w:val="20"/>
                <w:lang w:eastAsia="en-US"/>
                <w14:ligatures w14:val="standardContextual"/>
              </w:rPr>
              <m:t>1</m:t>
            </m:r>
          </m:num>
          <m:den>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Y</m:t>
                </m:r>
              </m:e>
              <m:sub>
                <m:r>
                  <w:rPr>
                    <w:rFonts w:ascii="Cambria Math" w:eastAsia="Aptos" w:hAnsi="Cambria Math"/>
                    <w:kern w:val="2"/>
                    <w:sz w:val="20"/>
                    <w:lang w:eastAsia="en-US"/>
                    <w14:ligatures w14:val="standardContextual"/>
                  </w:rPr>
                  <m:t>c</m:t>
                </m:r>
              </m:sub>
            </m:sSub>
          </m:den>
        </m:f>
        <m:nary>
          <m:naryPr>
            <m:chr m:val="∑"/>
            <m:ctrlPr>
              <w:rPr>
                <w:rFonts w:ascii="Cambria Math" w:eastAsia="Aptos" w:hAnsi="Cambria Math"/>
                <w:kern w:val="2"/>
                <w:sz w:val="20"/>
                <w:lang w:eastAsia="en-US"/>
                <w14:ligatures w14:val="standardContextual"/>
              </w:rPr>
            </m:ctrlPr>
          </m:naryPr>
          <m:sub>
            <m:r>
              <m:rPr>
                <m:sty m:val="p"/>
              </m:rPr>
              <w:rPr>
                <w:rFonts w:ascii="Cambria Math" w:eastAsia="Aptos" w:hAnsi="Cambria Math"/>
                <w:kern w:val="2"/>
                <w:sz w:val="20"/>
                <w:lang w:eastAsia="en-US"/>
                <w14:ligatures w14:val="standardContextual"/>
              </w:rPr>
              <m:t>1</m:t>
            </m:r>
          </m:sub>
          <m:sup>
            <m:r>
              <w:rPr>
                <w:rFonts w:ascii="Cambria Math" w:eastAsia="Aptos" w:hAnsi="Cambria Math"/>
                <w:kern w:val="2"/>
                <w:sz w:val="20"/>
                <w:lang w:eastAsia="en-US"/>
                <w14:ligatures w14:val="standardContextual"/>
              </w:rPr>
              <m:t>Y</m:t>
            </m:r>
          </m:sup>
          <m:e>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I</m:t>
                </m:r>
              </m:e>
              <m:sub>
                <m:r>
                  <w:rPr>
                    <w:rFonts w:ascii="Cambria Math" w:eastAsia="Aptos" w:hAnsi="Cambria Math"/>
                    <w:kern w:val="2"/>
                    <w:sz w:val="20"/>
                    <w:lang w:eastAsia="en-US"/>
                    <w14:ligatures w14:val="standardContextual"/>
                  </w:rPr>
                  <m:t>c</m:t>
                </m:r>
              </m:sub>
            </m:sSub>
          </m:e>
        </m:nary>
      </m:oMath>
      <w:r w:rsidR="00F271EE" w:rsidRPr="002C5AC0">
        <w:rPr>
          <w:rFonts w:ascii="Cambria" w:eastAsia="Aptos" w:hAnsi="Cambria"/>
          <w:kern w:val="2"/>
          <w:sz w:val="20"/>
          <w:lang w:eastAsia="en-US"/>
          <w14:ligatures w14:val="standardContextual"/>
        </w:rPr>
        <w:tab/>
      </w:r>
      <w:r w:rsidR="006677FD" w:rsidRPr="002C5AC0">
        <w:rPr>
          <w:rFonts w:ascii="Cambria" w:eastAsia="Aptos" w:hAnsi="Cambria"/>
          <w:kern w:val="2"/>
          <w:sz w:val="20"/>
          <w:lang w:eastAsia="en-US"/>
          <w14:ligatures w14:val="standardContextual"/>
        </w:rPr>
        <w:t>où c appartient à la fenêtre temporelle des années en cours (Y).</w:t>
      </w:r>
      <w:r w:rsidR="007107F6" w:rsidRPr="002C5AC0">
        <w:rPr>
          <w:rFonts w:ascii="Cambria" w:eastAsia="Aptos" w:hAnsi="Cambria"/>
          <w:kern w:val="2"/>
          <w:sz w:val="20"/>
          <w:lang w:eastAsia="en-US"/>
          <w14:ligatures w14:val="standardContextual"/>
        </w:rPr>
        <w:br w:type="page"/>
      </w:r>
    </w:p>
    <w:p w14:paraId="1E39D22C" w14:textId="5669063D" w:rsidR="006677FD" w:rsidRPr="002C5AC0" w:rsidRDefault="006677FD" w:rsidP="006677FD">
      <w:pPr>
        <w:widowControl w:val="0"/>
        <w:jc w:val="both"/>
        <w:rPr>
          <w:rFonts w:ascii="Cambria" w:eastAsia="Cambria" w:hAnsi="Cambria" w:cs="Cambria"/>
          <w:sz w:val="20"/>
          <w:szCs w:val="20"/>
          <w:lang w:eastAsia="en-US"/>
        </w:rPr>
      </w:pPr>
      <w:r w:rsidRPr="002C5AC0">
        <w:rPr>
          <w:rFonts w:ascii="Cambria" w:eastAsia="Aptos" w:hAnsi="Cambria"/>
          <w:kern w:val="2"/>
          <w:sz w:val="20"/>
          <w:lang w:eastAsia="en-US"/>
          <w14:ligatures w14:val="standardContextual"/>
        </w:rPr>
        <w:lastRenderedPageBreak/>
        <w:t>Par la suite, le facteur d'ajustement réglementaire peut être estimé comme suit :</w:t>
      </w:r>
    </w:p>
    <w:p w14:paraId="2B409D08" w14:textId="77777777" w:rsidR="006677FD" w:rsidRPr="002C5AC0" w:rsidRDefault="006677FD" w:rsidP="006677FD">
      <w:pPr>
        <w:widowControl w:val="0"/>
        <w:jc w:val="both"/>
        <w:rPr>
          <w:rFonts w:ascii="Cambria" w:eastAsia="Cambria" w:hAnsi="Cambria" w:cs="Cambria"/>
          <w:sz w:val="20"/>
          <w:szCs w:val="20"/>
          <w:lang w:eastAsia="en-US"/>
        </w:rPr>
      </w:pPr>
      <m:oMathPara>
        <m:oMath>
          <m:r>
            <w:rPr>
              <w:rFonts w:ascii="Cambria Math" w:eastAsia="Cambria" w:hAnsi="Cambria Math" w:cs="Cambria"/>
              <w:sz w:val="20"/>
              <w:szCs w:val="20"/>
              <w:lang w:eastAsia="en-US"/>
            </w:rPr>
            <m:t>θ=</m:t>
          </m:r>
          <m:d>
            <m:dPr>
              <m:ctrlPr>
                <w:rPr>
                  <w:rFonts w:ascii="Cambria Math" w:eastAsia="Cambria" w:hAnsi="Cambria Math" w:cs="Cambria"/>
                  <w:kern w:val="2"/>
                  <w:lang w:eastAsia="en-US"/>
                  <w14:ligatures w14:val="standardContextual"/>
                </w:rPr>
              </m:ctrlPr>
            </m:dPr>
            <m:e>
              <m:f>
                <m:fPr>
                  <m:ctrlPr>
                    <w:rPr>
                      <w:rFonts w:ascii="Cambria Math" w:eastAsia="Cambria" w:hAnsi="Cambria Math" w:cs="Cambria"/>
                      <w:kern w:val="2"/>
                      <w:lang w:eastAsia="en-US"/>
                      <w14:ligatures w14:val="standardContextual"/>
                    </w:rPr>
                  </m:ctrlPr>
                </m:fPr>
                <m:num>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curr</m:t>
                          </m:r>
                        </m:sub>
                      </m:sSub>
                    </m:e>
                  </m:acc>
                </m:num>
                <m:den>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den>
              </m:f>
            </m:e>
          </m:d>
          <m:r>
            <w:rPr>
              <w:rFonts w:ascii="Cambria Math" w:eastAsia="Cambria" w:hAnsi="Cambria Math" w:cs="Cambria"/>
              <w:sz w:val="20"/>
              <w:szCs w:val="20"/>
              <w:lang w:eastAsia="en-US"/>
            </w:rPr>
            <m:t>λ</m:t>
          </m:r>
        </m:oMath>
      </m:oMathPara>
    </w:p>
    <w:p w14:paraId="68D4F47A" w14:textId="77777777" w:rsidR="006677FD" w:rsidRPr="002C5AC0" w:rsidRDefault="006677FD" w:rsidP="006677FD">
      <w:pPr>
        <w:widowControl w:val="0"/>
        <w:jc w:val="both"/>
        <w:rPr>
          <w:rFonts w:ascii="Cambria" w:eastAsia="Cambria" w:hAnsi="Cambria" w:cs="Cambria"/>
          <w:sz w:val="20"/>
          <w:szCs w:val="20"/>
          <w:lang w:eastAsia="en-US"/>
        </w:rPr>
      </w:pPr>
    </w:p>
    <w:p w14:paraId="4CB3CB7B" w14:textId="3BDA2313" w:rsidR="006677FD" w:rsidRPr="002C5AC0" w:rsidRDefault="006677FD" w:rsidP="006677FD">
      <w:pPr>
        <w:widowControl w:val="0"/>
        <w:jc w:val="both"/>
        <w:rPr>
          <w:rFonts w:ascii="Cambria" w:eastAsia="Cambria" w:hAnsi="Cambria"/>
          <w:sz w:val="20"/>
          <w:szCs w:val="20"/>
          <w:lang w:eastAsia="en-US"/>
        </w:rPr>
      </w:pPr>
      <w:r w:rsidRPr="002C5AC0">
        <w:rPr>
          <w:rFonts w:ascii="Cambria" w:eastAsia="Aptos" w:hAnsi="Cambria"/>
          <w:kern w:val="2"/>
          <w:sz w:val="20"/>
          <w:lang w:eastAsia="en-US"/>
          <w14:ligatures w14:val="standardContextual"/>
        </w:rPr>
        <w:t>Le TAC basé sur la MP est soumis aux restrictions supplémentaires suivantes</w:t>
      </w:r>
      <w:r w:rsidR="000D7121" w:rsidRPr="002C5AC0">
        <w:rPr>
          <w:rFonts w:ascii="Cambria" w:eastAsia="Aptos" w:hAnsi="Cambria"/>
          <w:kern w:val="2"/>
          <w:sz w:val="20"/>
          <w:lang w:eastAsia="en-US"/>
          <w14:ligatures w14:val="standardContextual"/>
        </w:rPr>
        <w:t> :</w:t>
      </w:r>
    </w:p>
    <w:p w14:paraId="2891FB63" w14:textId="77777777" w:rsidR="006677FD" w:rsidRPr="002C5AC0" w:rsidRDefault="006677FD" w:rsidP="006677FD">
      <w:pPr>
        <w:widowControl w:val="0"/>
        <w:jc w:val="both"/>
        <w:rPr>
          <w:rFonts w:ascii="Cambria" w:eastAsia="Cambria" w:hAnsi="Cambria" w:cs="Cambria"/>
          <w:sz w:val="20"/>
          <w:szCs w:val="20"/>
          <w:lang w:eastAsia="en-US"/>
        </w:rPr>
      </w:pPr>
    </w:p>
    <w:p w14:paraId="0365C64E" w14:textId="77777777" w:rsidR="006677FD" w:rsidRPr="002C5AC0" w:rsidRDefault="006677FD" w:rsidP="006677FD">
      <w:pPr>
        <w:widowControl w:val="0"/>
        <w:numPr>
          <w:ilvl w:val="0"/>
          <w:numId w:val="21"/>
        </w:numPr>
        <w:suppressAutoHyphens w:val="0"/>
        <w:spacing w:after="160" w:line="276" w:lineRule="auto"/>
        <w:ind w:left="851" w:hanging="446"/>
        <w:jc w:val="both"/>
        <w:rPr>
          <w:rFonts w:ascii="Cambria" w:eastAsia="Cambria" w:hAnsi="Cambria" w:cs="Cambria"/>
          <w:sz w:val="20"/>
          <w:szCs w:val="20"/>
          <w:lang w:eastAsia="en-US"/>
        </w:rPr>
      </w:pPr>
      <w:r w:rsidRPr="002C5AC0">
        <w:rPr>
          <w:rFonts w:ascii="Cambria" w:eastAsia="Aptos" w:hAnsi="Cambria"/>
          <w:kern w:val="2"/>
          <w:sz w:val="20"/>
          <w:lang w:eastAsia="en-US"/>
          <w14:ligatures w14:val="standardContextual"/>
        </w:rPr>
        <w:t>Un TAC maximal de 45.000 tonnes ; et</w:t>
      </w:r>
    </w:p>
    <w:p w14:paraId="727560CB" w14:textId="77777777" w:rsidR="006677FD" w:rsidRPr="002C5AC0" w:rsidRDefault="006677FD" w:rsidP="006677FD">
      <w:pPr>
        <w:widowControl w:val="0"/>
        <w:ind w:left="765"/>
        <w:jc w:val="both"/>
        <w:rPr>
          <w:rFonts w:ascii="Cambria" w:eastAsia="Cambria" w:hAnsi="Cambria" w:cs="Cambria"/>
          <w:sz w:val="20"/>
          <w:szCs w:val="20"/>
          <w:lang w:eastAsia="en-US"/>
        </w:rPr>
      </w:pPr>
    </w:p>
    <w:p w14:paraId="1C0F505F" w14:textId="77777777" w:rsidR="006677FD" w:rsidRPr="002C5AC0" w:rsidRDefault="006677FD" w:rsidP="006677FD">
      <w:pPr>
        <w:widowControl w:val="0"/>
        <w:numPr>
          <w:ilvl w:val="0"/>
          <w:numId w:val="21"/>
        </w:numPr>
        <w:suppressAutoHyphens w:val="0"/>
        <w:spacing w:after="160" w:line="276" w:lineRule="auto"/>
        <w:ind w:left="851" w:hanging="446"/>
        <w:jc w:val="both"/>
        <w:rPr>
          <w:rFonts w:ascii="Cambria" w:eastAsia="Cambria" w:hAnsi="Cambria" w:cs="Cambria"/>
          <w:sz w:val="20"/>
          <w:szCs w:val="20"/>
          <w:lang w:eastAsia="en-US"/>
        </w:rPr>
      </w:pPr>
      <w:r w:rsidRPr="002C5AC0">
        <w:rPr>
          <w:rFonts w:ascii="Cambria" w:eastAsia="Aptos" w:hAnsi="Cambria"/>
          <w:kern w:val="2"/>
          <w:sz w:val="20"/>
          <w:lang w:eastAsia="en-US"/>
          <w14:ligatures w14:val="standardContextual"/>
        </w:rPr>
        <w:t>Une limite de 25 % sur les augmentations et les diminutions du TAC d'un cycle de gestion à l'autre.</w:t>
      </w:r>
    </w:p>
    <w:p w14:paraId="2E2BE069" w14:textId="77777777" w:rsidR="003959C3" w:rsidRPr="002C5AC0" w:rsidRDefault="003959C3">
      <w:pPr>
        <w:rPr>
          <w:rFonts w:asciiTheme="majorHAnsi" w:hAnsiTheme="majorHAnsi"/>
          <w:b/>
          <w:bCs/>
          <w:sz w:val="20"/>
          <w:szCs w:val="20"/>
        </w:rPr>
      </w:pPr>
    </w:p>
    <w:p w14:paraId="2F33FF31" w14:textId="6AE398B9" w:rsidR="003959C3" w:rsidRPr="002C5AC0" w:rsidRDefault="003959C3">
      <w:pPr>
        <w:rPr>
          <w:rFonts w:asciiTheme="majorHAnsi" w:eastAsia="Cambria" w:hAnsiTheme="majorHAnsi" w:cs="Cambria"/>
          <w:b/>
          <w:bCs/>
          <w:sz w:val="20"/>
          <w:szCs w:val="20"/>
          <w:lang w:eastAsia="en-US"/>
        </w:rPr>
      </w:pPr>
      <w:r w:rsidRPr="002C5AC0">
        <w:rPr>
          <w:rFonts w:asciiTheme="majorHAnsi" w:hAnsiTheme="majorHAnsi"/>
        </w:rPr>
        <w:br w:type="page"/>
      </w:r>
    </w:p>
    <w:p w14:paraId="194B5B3B" w14:textId="19E2DC8E" w:rsidR="00BC03F2" w:rsidRPr="002C5AC0" w:rsidRDefault="009A5C6B">
      <w:pPr>
        <w:pStyle w:val="Heading1"/>
        <w:ind w:right="68"/>
        <w:jc w:val="right"/>
        <w:rPr>
          <w:rFonts w:asciiTheme="majorHAnsi" w:hAnsiTheme="majorHAnsi"/>
        </w:rPr>
      </w:pPr>
      <w:r w:rsidRPr="002C5AC0">
        <w:rPr>
          <w:rFonts w:asciiTheme="majorHAnsi" w:hAnsiTheme="majorHAnsi"/>
        </w:rPr>
        <w:lastRenderedPageBreak/>
        <w:t xml:space="preserve">Annexe </w:t>
      </w:r>
      <w:r w:rsidR="003959C3" w:rsidRPr="002C5AC0">
        <w:rPr>
          <w:rFonts w:asciiTheme="majorHAnsi" w:hAnsiTheme="majorHAnsi"/>
        </w:rPr>
        <w:t>2</w:t>
      </w:r>
    </w:p>
    <w:p w14:paraId="0995DD46" w14:textId="66D6211C" w:rsidR="00BC03F2" w:rsidRPr="002C5AC0" w:rsidRDefault="009A5C6B">
      <w:pPr>
        <w:pStyle w:val="Heading1"/>
        <w:ind w:right="68"/>
        <w:jc w:val="center"/>
        <w:rPr>
          <w:rFonts w:asciiTheme="majorHAnsi" w:hAnsiTheme="majorHAnsi"/>
        </w:rPr>
      </w:pPr>
      <w:r w:rsidRPr="002C5AC0">
        <w:rPr>
          <w:rFonts w:asciiTheme="majorHAnsi" w:hAnsiTheme="majorHAnsi"/>
        </w:rPr>
        <w:t>Tableau des objectifs de gestion opérationnel</w:t>
      </w:r>
      <w:r w:rsidR="00F16D32" w:rsidRPr="002C5AC0">
        <w:rPr>
          <w:rFonts w:asciiTheme="majorHAnsi" w:hAnsiTheme="majorHAnsi"/>
        </w:rPr>
        <w:t>s</w:t>
      </w:r>
      <w:r w:rsidRPr="002C5AC0">
        <w:rPr>
          <w:rFonts w:asciiTheme="majorHAnsi" w:hAnsiTheme="majorHAnsi"/>
        </w:rPr>
        <w:t xml:space="preserve"> et des indicateurs de performance</w:t>
      </w:r>
    </w:p>
    <w:p w14:paraId="555686F1" w14:textId="77777777" w:rsidR="00BC03F2" w:rsidRPr="002C5AC0" w:rsidRDefault="00BC03F2">
      <w:pPr>
        <w:pStyle w:val="Heading1"/>
        <w:ind w:right="68"/>
        <w:jc w:val="center"/>
        <w:rPr>
          <w:rFonts w:asciiTheme="majorHAnsi" w:hAnsiTheme="majorHAnsi"/>
        </w:rPr>
      </w:pPr>
    </w:p>
    <w:tbl>
      <w:tblPr>
        <w:tblW w:w="8545" w:type="dxa"/>
        <w:jc w:val="center"/>
        <w:tblLayout w:type="fixed"/>
        <w:tblLook w:val="0400" w:firstRow="0" w:lastRow="0" w:firstColumn="0" w:lastColumn="0" w:noHBand="0" w:noVBand="1"/>
      </w:tblPr>
      <w:tblGrid>
        <w:gridCol w:w="3265"/>
        <w:gridCol w:w="5280"/>
      </w:tblGrid>
      <w:tr w:rsidR="00BC03F2" w:rsidRPr="002C5AC0" w14:paraId="2831607D" w14:textId="77777777">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tcPr>
          <w:p w14:paraId="7383B473" w14:textId="77777777" w:rsidR="00BC03F2" w:rsidRPr="002C5AC0" w:rsidRDefault="009A5C6B">
            <w:pPr>
              <w:widowControl w:val="0"/>
              <w:ind w:right="68"/>
              <w:jc w:val="center"/>
              <w:rPr>
                <w:rFonts w:asciiTheme="majorHAnsi" w:hAnsiTheme="majorHAnsi"/>
                <w:b/>
                <w:sz w:val="20"/>
                <w:szCs w:val="20"/>
              </w:rPr>
            </w:pPr>
            <w:r w:rsidRPr="002C5AC0">
              <w:rPr>
                <w:rFonts w:asciiTheme="majorHAnsi" w:hAnsiTheme="majorHAnsi"/>
                <w:b/>
                <w:sz w:val="20"/>
                <w:szCs w:val="20"/>
              </w:rPr>
              <w:t>Objectifs de gestion</w:t>
            </w:r>
          </w:p>
        </w:tc>
        <w:tc>
          <w:tcPr>
            <w:tcW w:w="5279" w:type="dxa"/>
            <w:tcBorders>
              <w:top w:val="single" w:sz="4" w:space="0" w:color="000000"/>
              <w:left w:val="single" w:sz="4" w:space="0" w:color="000000"/>
              <w:bottom w:val="single" w:sz="4" w:space="0" w:color="000000"/>
              <w:right w:val="single" w:sz="4" w:space="0" w:color="000000"/>
            </w:tcBorders>
            <w:shd w:val="clear" w:color="auto" w:fill="CCCCCC"/>
          </w:tcPr>
          <w:p w14:paraId="1EAE8502" w14:textId="433A4748" w:rsidR="00BC03F2" w:rsidRPr="002C5AC0" w:rsidRDefault="009A5C6B" w:rsidP="001823C5">
            <w:pPr>
              <w:widowControl w:val="0"/>
              <w:ind w:right="68"/>
              <w:jc w:val="center"/>
              <w:rPr>
                <w:rFonts w:asciiTheme="majorHAnsi" w:hAnsiTheme="majorHAnsi"/>
                <w:b/>
                <w:sz w:val="20"/>
                <w:szCs w:val="20"/>
              </w:rPr>
            </w:pPr>
            <w:r w:rsidRPr="002C5AC0">
              <w:rPr>
                <w:rFonts w:asciiTheme="majorHAnsi" w:hAnsiTheme="majorHAnsi"/>
                <w:b/>
                <w:sz w:val="20"/>
                <w:szCs w:val="20"/>
              </w:rPr>
              <w:t>Indicateurs des performances correspondants</w:t>
            </w:r>
          </w:p>
        </w:tc>
      </w:tr>
      <w:tr w:rsidR="00BC03F2" w:rsidRPr="002C5AC0" w14:paraId="48BCE26B"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94F6F2F" w14:textId="77777777" w:rsidR="00BC03F2" w:rsidRPr="002C5AC0" w:rsidRDefault="009A5C6B">
            <w:pPr>
              <w:widowControl w:val="0"/>
              <w:ind w:right="68"/>
              <w:rPr>
                <w:rFonts w:asciiTheme="majorHAnsi" w:hAnsiTheme="majorHAnsi"/>
                <w:b/>
                <w:bCs/>
                <w:sz w:val="20"/>
                <w:szCs w:val="20"/>
              </w:rPr>
            </w:pPr>
            <w:r w:rsidRPr="002C5AC0">
              <w:rPr>
                <w:rFonts w:asciiTheme="majorHAnsi" w:hAnsiTheme="majorHAnsi"/>
                <w:b/>
                <w:sz w:val="20"/>
                <w:szCs w:val="20"/>
              </w:rPr>
              <w:t>État</w:t>
            </w:r>
          </w:p>
          <w:p w14:paraId="47691466" w14:textId="5825D650" w:rsidR="00BC03F2" w:rsidRPr="002C5AC0" w:rsidRDefault="009A5C6B">
            <w:pPr>
              <w:widowControl w:val="0"/>
              <w:ind w:right="68"/>
              <w:rPr>
                <w:rFonts w:asciiTheme="majorHAnsi" w:hAnsiTheme="majorHAnsi"/>
                <w:sz w:val="20"/>
                <w:szCs w:val="20"/>
              </w:rPr>
            </w:pPr>
            <w:r w:rsidRPr="002C5AC0">
              <w:rPr>
                <w:rFonts w:asciiTheme="majorHAnsi" w:hAnsiTheme="majorHAnsi"/>
                <w:sz w:val="20"/>
                <w:szCs w:val="20"/>
              </w:rPr>
              <w:t>Le stock devrait avoir une probabilité de 60</w:t>
            </w:r>
            <w:r w:rsidR="00F16D32" w:rsidRPr="002C5AC0">
              <w:rPr>
                <w:rFonts w:asciiTheme="majorHAnsi" w:hAnsiTheme="majorHAnsi"/>
                <w:sz w:val="20"/>
                <w:szCs w:val="20"/>
              </w:rPr>
              <w:t> </w:t>
            </w:r>
            <w:r w:rsidRPr="002C5AC0">
              <w:rPr>
                <w:rFonts w:asciiTheme="majorHAnsi" w:hAnsiTheme="majorHAnsi"/>
                <w:sz w:val="20"/>
                <w:szCs w:val="20"/>
              </w:rPr>
              <w:t xml:space="preserve">% ou plus de se situer dans le quadrant vert de la matrice de Kobe </w:t>
            </w:r>
            <w:r w:rsidR="000B039D" w:rsidRPr="002C5AC0">
              <w:rPr>
                <w:rFonts w:asciiTheme="majorHAnsi" w:hAnsiTheme="majorHAnsi"/>
                <w:sz w:val="20"/>
                <w:szCs w:val="20"/>
              </w:rPr>
              <w:t xml:space="preserve">à moyen terme (4-10 ans) </w:t>
            </w:r>
            <w:r w:rsidRPr="002C5AC0">
              <w:rPr>
                <w:rFonts w:asciiTheme="majorHAnsi" w:hAnsiTheme="majorHAnsi"/>
                <w:sz w:val="20"/>
                <w:szCs w:val="20"/>
              </w:rPr>
              <w:t>en utilisant une période de projection de 30 ans.</w:t>
            </w:r>
          </w:p>
        </w:tc>
        <w:tc>
          <w:tcPr>
            <w:tcW w:w="5279" w:type="dxa"/>
            <w:tcBorders>
              <w:top w:val="single" w:sz="4" w:space="0" w:color="000000"/>
              <w:left w:val="single" w:sz="4" w:space="0" w:color="000000"/>
              <w:bottom w:val="single" w:sz="4" w:space="0" w:color="000000"/>
              <w:right w:val="single" w:sz="4" w:space="0" w:color="000000"/>
            </w:tcBorders>
          </w:tcPr>
          <w:p w14:paraId="25405AFB" w14:textId="62F0EFD5" w:rsidR="00BC03F2" w:rsidRPr="002C5AC0" w:rsidRDefault="009A5C6B" w:rsidP="001823C5">
            <w:pPr>
              <w:widowControl w:val="0"/>
              <w:ind w:right="68"/>
              <w:jc w:val="both"/>
              <w:rPr>
                <w:rFonts w:asciiTheme="majorHAnsi" w:hAnsiTheme="majorHAnsi"/>
                <w:sz w:val="20"/>
                <w:szCs w:val="20"/>
              </w:rPr>
            </w:pPr>
            <w:proofErr w:type="spellStart"/>
            <w:r w:rsidRPr="002C5AC0">
              <w:rPr>
                <w:rFonts w:asciiTheme="majorHAnsi" w:hAnsiTheme="majorHAnsi"/>
                <w:b/>
                <w:sz w:val="20"/>
                <w:szCs w:val="20"/>
              </w:rPr>
              <w:t>PGK</w:t>
            </w:r>
            <w:r w:rsidRPr="002C5AC0">
              <w:rPr>
                <w:rFonts w:asciiTheme="majorHAnsi" w:hAnsiTheme="majorHAnsi"/>
                <w:b/>
                <w:sz w:val="20"/>
                <w:szCs w:val="20"/>
                <w:vertAlign w:val="subscript"/>
              </w:rPr>
              <w:t>short</w:t>
            </w:r>
            <w:proofErr w:type="spellEnd"/>
            <w:r w:rsidRPr="002C5AC0">
              <w:rPr>
                <w:rFonts w:asciiTheme="majorHAnsi" w:hAnsiTheme="majorHAnsi"/>
                <w:sz w:val="20"/>
                <w:szCs w:val="20"/>
              </w:rPr>
              <w:t>: Probabilité de se situer dans le quadrant vert de Kobe (c'est-à-dire SSB≥SSB</w:t>
            </w:r>
            <w:r w:rsidRPr="002C5AC0">
              <w:rPr>
                <w:rFonts w:asciiTheme="majorHAnsi" w:hAnsiTheme="majorHAnsi"/>
                <w:sz w:val="20"/>
                <w:szCs w:val="20"/>
                <w:vertAlign w:val="subscript"/>
              </w:rPr>
              <w:t>PME</w:t>
            </w:r>
            <w:r w:rsidRPr="002C5AC0">
              <w:rPr>
                <w:rFonts w:asciiTheme="majorHAnsi" w:hAnsiTheme="majorHAnsi"/>
                <w:sz w:val="20"/>
                <w:szCs w:val="20"/>
              </w:rPr>
              <w:t xml:space="preserve"> et F&lt;F</w:t>
            </w:r>
            <w:r w:rsidRPr="002C5AC0">
              <w:rPr>
                <w:rFonts w:asciiTheme="majorHAnsi" w:hAnsiTheme="majorHAnsi"/>
                <w:sz w:val="20"/>
                <w:szCs w:val="20"/>
                <w:vertAlign w:val="subscript"/>
              </w:rPr>
              <w:t>PME</w:t>
            </w:r>
            <w:r w:rsidRPr="002C5AC0">
              <w:rPr>
                <w:rFonts w:asciiTheme="majorHAnsi" w:hAnsiTheme="majorHAnsi"/>
                <w:sz w:val="20"/>
                <w:szCs w:val="20"/>
              </w:rPr>
              <w:t>) au cours des années 1 à 3.</w:t>
            </w:r>
          </w:p>
          <w:p w14:paraId="30EF256D" w14:textId="64ACE635" w:rsidR="00BC03F2" w:rsidRPr="002C5AC0" w:rsidRDefault="009A5C6B" w:rsidP="001823C5">
            <w:pPr>
              <w:widowControl w:val="0"/>
              <w:ind w:right="68"/>
              <w:jc w:val="both"/>
              <w:rPr>
                <w:rFonts w:asciiTheme="majorHAnsi" w:hAnsiTheme="majorHAnsi"/>
                <w:sz w:val="20"/>
                <w:szCs w:val="20"/>
              </w:rPr>
            </w:pPr>
            <w:proofErr w:type="spellStart"/>
            <w:r w:rsidRPr="002C5AC0">
              <w:rPr>
                <w:rFonts w:asciiTheme="majorHAnsi" w:hAnsiTheme="majorHAnsi"/>
                <w:b/>
                <w:sz w:val="20"/>
                <w:szCs w:val="20"/>
              </w:rPr>
              <w:t>PGK</w:t>
            </w:r>
            <w:r w:rsidRPr="002C5AC0">
              <w:rPr>
                <w:rFonts w:asciiTheme="majorHAnsi" w:hAnsiTheme="majorHAnsi"/>
                <w:b/>
                <w:sz w:val="20"/>
                <w:szCs w:val="20"/>
                <w:vertAlign w:val="subscript"/>
              </w:rPr>
              <w:t>medium</w:t>
            </w:r>
            <w:proofErr w:type="spellEnd"/>
            <w:r w:rsidRPr="002C5AC0">
              <w:rPr>
                <w:rFonts w:asciiTheme="majorHAnsi" w:hAnsiTheme="majorHAnsi"/>
                <w:sz w:val="20"/>
                <w:szCs w:val="20"/>
              </w:rPr>
              <w:t>: Probabilité de se situer dans le quadrant vert de Kobe (c'est-à-dire SSB≥SSB</w:t>
            </w:r>
            <w:r w:rsidRPr="002C5AC0">
              <w:rPr>
                <w:rFonts w:asciiTheme="majorHAnsi" w:hAnsiTheme="majorHAnsi"/>
                <w:sz w:val="20"/>
                <w:szCs w:val="20"/>
                <w:vertAlign w:val="subscript"/>
              </w:rPr>
              <w:t>PME</w:t>
            </w:r>
            <w:r w:rsidRPr="002C5AC0">
              <w:rPr>
                <w:rFonts w:asciiTheme="majorHAnsi" w:hAnsiTheme="majorHAnsi"/>
                <w:sz w:val="20"/>
                <w:szCs w:val="20"/>
              </w:rPr>
              <w:t xml:space="preserve"> et F&lt;F</w:t>
            </w:r>
            <w:r w:rsidRPr="002C5AC0">
              <w:rPr>
                <w:rFonts w:asciiTheme="majorHAnsi" w:hAnsiTheme="majorHAnsi"/>
                <w:sz w:val="20"/>
                <w:szCs w:val="20"/>
                <w:vertAlign w:val="subscript"/>
              </w:rPr>
              <w:t>PME</w:t>
            </w:r>
            <w:r w:rsidRPr="002C5AC0">
              <w:rPr>
                <w:rFonts w:asciiTheme="majorHAnsi" w:hAnsiTheme="majorHAnsi"/>
                <w:sz w:val="20"/>
                <w:szCs w:val="20"/>
              </w:rPr>
              <w:t>) au cours des années 4-10</w:t>
            </w:r>
            <w:r w:rsidR="001823C5" w:rsidRPr="002C5AC0">
              <w:rPr>
                <w:rStyle w:val="FootnoteReference"/>
                <w:rFonts w:asciiTheme="majorHAnsi" w:hAnsiTheme="majorHAnsi"/>
                <w:sz w:val="20"/>
                <w:szCs w:val="20"/>
              </w:rPr>
              <w:t>*</w:t>
            </w:r>
            <w:r w:rsidRPr="002C5AC0">
              <w:rPr>
                <w:rFonts w:asciiTheme="majorHAnsi" w:hAnsiTheme="majorHAnsi"/>
                <w:sz w:val="20"/>
                <w:szCs w:val="20"/>
              </w:rPr>
              <w:t>.</w:t>
            </w:r>
          </w:p>
          <w:p w14:paraId="617BA30F" w14:textId="004E4209" w:rsidR="00BC03F2" w:rsidRPr="002C5AC0" w:rsidRDefault="009A5C6B" w:rsidP="001823C5">
            <w:pPr>
              <w:widowControl w:val="0"/>
              <w:ind w:right="68"/>
              <w:jc w:val="both"/>
              <w:rPr>
                <w:rFonts w:asciiTheme="majorHAnsi" w:hAnsiTheme="majorHAnsi"/>
                <w:sz w:val="20"/>
                <w:szCs w:val="20"/>
              </w:rPr>
            </w:pPr>
            <w:proofErr w:type="spellStart"/>
            <w:r w:rsidRPr="002C5AC0">
              <w:rPr>
                <w:rFonts w:asciiTheme="majorHAnsi" w:hAnsiTheme="majorHAnsi"/>
                <w:b/>
                <w:sz w:val="20"/>
                <w:szCs w:val="20"/>
              </w:rPr>
              <w:t>PGK</w:t>
            </w:r>
            <w:r w:rsidRPr="002C5AC0">
              <w:rPr>
                <w:rFonts w:asciiTheme="majorHAnsi" w:hAnsiTheme="majorHAnsi"/>
                <w:b/>
                <w:sz w:val="20"/>
                <w:szCs w:val="20"/>
                <w:vertAlign w:val="subscript"/>
              </w:rPr>
              <w:t>long</w:t>
            </w:r>
            <w:proofErr w:type="spellEnd"/>
            <w:r w:rsidRPr="002C5AC0">
              <w:rPr>
                <w:rFonts w:asciiTheme="majorHAnsi" w:hAnsiTheme="majorHAnsi"/>
                <w:sz w:val="20"/>
                <w:szCs w:val="20"/>
              </w:rPr>
              <w:t>: Probabilité de se situer dans le quadrant vert de Kobe (c'est-à-dire SSB≥SSB</w:t>
            </w:r>
            <w:r w:rsidRPr="002C5AC0">
              <w:rPr>
                <w:rFonts w:asciiTheme="majorHAnsi" w:hAnsiTheme="majorHAnsi"/>
                <w:sz w:val="20"/>
                <w:szCs w:val="20"/>
                <w:vertAlign w:val="subscript"/>
              </w:rPr>
              <w:t>PME</w:t>
            </w:r>
            <w:r w:rsidRPr="002C5AC0">
              <w:rPr>
                <w:rFonts w:asciiTheme="majorHAnsi" w:hAnsiTheme="majorHAnsi"/>
                <w:sz w:val="20"/>
                <w:szCs w:val="20"/>
              </w:rPr>
              <w:t xml:space="preserve"> et F&lt;F</w:t>
            </w:r>
            <w:r w:rsidRPr="002C5AC0">
              <w:rPr>
                <w:rFonts w:asciiTheme="majorHAnsi" w:hAnsiTheme="majorHAnsi"/>
                <w:sz w:val="20"/>
                <w:szCs w:val="20"/>
                <w:vertAlign w:val="subscript"/>
              </w:rPr>
              <w:t>PME</w:t>
            </w:r>
            <w:r w:rsidRPr="002C5AC0">
              <w:rPr>
                <w:rFonts w:asciiTheme="majorHAnsi" w:hAnsiTheme="majorHAnsi"/>
                <w:sz w:val="20"/>
                <w:szCs w:val="20"/>
              </w:rPr>
              <w:t>) au cours des années 11 à 30.</w:t>
            </w:r>
          </w:p>
          <w:p w14:paraId="5F2B55D5" w14:textId="06814CBA" w:rsidR="00BC03F2" w:rsidRPr="002C5AC0" w:rsidRDefault="009A5C6B" w:rsidP="001823C5">
            <w:pPr>
              <w:widowControl w:val="0"/>
              <w:ind w:right="68"/>
              <w:jc w:val="both"/>
              <w:rPr>
                <w:rFonts w:asciiTheme="majorHAnsi" w:hAnsiTheme="majorHAnsi"/>
                <w:sz w:val="20"/>
                <w:szCs w:val="20"/>
              </w:rPr>
            </w:pPr>
            <w:r w:rsidRPr="002C5AC0">
              <w:rPr>
                <w:rFonts w:asciiTheme="majorHAnsi" w:hAnsiTheme="majorHAnsi"/>
                <w:b/>
                <w:sz w:val="20"/>
                <w:szCs w:val="20"/>
              </w:rPr>
              <w:t>PGK :</w:t>
            </w:r>
            <w:r w:rsidRPr="002C5AC0">
              <w:rPr>
                <w:rFonts w:asciiTheme="majorHAnsi" w:hAnsiTheme="majorHAnsi"/>
                <w:sz w:val="20"/>
                <w:szCs w:val="20"/>
              </w:rPr>
              <w:t xml:space="preserve"> Probabilité de se situer dans le quadrant vert de Kobe (c'est-à-dire SSB≥SSB</w:t>
            </w:r>
            <w:r w:rsidRPr="002C5AC0">
              <w:rPr>
                <w:rFonts w:asciiTheme="majorHAnsi" w:hAnsiTheme="majorHAnsi"/>
                <w:sz w:val="20"/>
                <w:szCs w:val="20"/>
                <w:vertAlign w:val="subscript"/>
              </w:rPr>
              <w:t>PME</w:t>
            </w:r>
            <w:r w:rsidRPr="002C5AC0">
              <w:rPr>
                <w:rFonts w:asciiTheme="majorHAnsi" w:hAnsiTheme="majorHAnsi"/>
                <w:sz w:val="20"/>
                <w:szCs w:val="20"/>
              </w:rPr>
              <w:t xml:space="preserve"> et F&lt;F</w:t>
            </w:r>
            <w:r w:rsidRPr="002C5AC0">
              <w:rPr>
                <w:rFonts w:asciiTheme="majorHAnsi" w:hAnsiTheme="majorHAnsi"/>
                <w:sz w:val="20"/>
                <w:szCs w:val="20"/>
                <w:vertAlign w:val="subscript"/>
              </w:rPr>
              <w:t>PME</w:t>
            </w:r>
            <w:r w:rsidRPr="002C5AC0">
              <w:rPr>
                <w:rFonts w:asciiTheme="majorHAnsi" w:hAnsiTheme="majorHAnsi"/>
                <w:sz w:val="20"/>
                <w:szCs w:val="20"/>
              </w:rPr>
              <w:t>) au cours des années 1 à 30.</w:t>
            </w:r>
          </w:p>
          <w:p w14:paraId="1C88AEFD" w14:textId="06BB8B48" w:rsidR="00BC03F2" w:rsidRPr="002C5AC0" w:rsidRDefault="00B0447F" w:rsidP="001823C5">
            <w:pPr>
              <w:widowControl w:val="0"/>
              <w:ind w:right="68"/>
              <w:jc w:val="both"/>
              <w:rPr>
                <w:rFonts w:asciiTheme="majorHAnsi" w:hAnsiTheme="majorHAnsi"/>
                <w:sz w:val="20"/>
                <w:szCs w:val="20"/>
              </w:rPr>
            </w:pPr>
            <w:r w:rsidRPr="002C5AC0">
              <w:rPr>
                <w:rFonts w:asciiTheme="majorHAnsi" w:hAnsiTheme="majorHAnsi"/>
                <w:b/>
                <w:sz w:val="20"/>
                <w:szCs w:val="20"/>
              </w:rPr>
              <w:t>POF :</w:t>
            </w:r>
            <w:r w:rsidR="009A5C6B" w:rsidRPr="002C5AC0">
              <w:rPr>
                <w:rFonts w:asciiTheme="majorHAnsi" w:hAnsiTheme="majorHAnsi"/>
                <w:sz w:val="20"/>
                <w:szCs w:val="20"/>
              </w:rPr>
              <w:t xml:space="preserve">  Probabilité de F</w:t>
            </w:r>
            <w:r w:rsidRPr="002C5AC0">
              <w:rPr>
                <w:rFonts w:asciiTheme="majorHAnsi" w:hAnsiTheme="majorHAnsi"/>
                <w:sz w:val="20"/>
                <w:szCs w:val="20"/>
              </w:rPr>
              <w:t>&gt;</w:t>
            </w:r>
            <w:r w:rsidR="009A5C6B" w:rsidRPr="002C5AC0">
              <w:rPr>
                <w:rFonts w:asciiTheme="majorHAnsi" w:hAnsiTheme="majorHAnsi"/>
                <w:sz w:val="20"/>
                <w:szCs w:val="20"/>
              </w:rPr>
              <w:t>F</w:t>
            </w:r>
            <w:r w:rsidR="009A5C6B" w:rsidRPr="002C5AC0">
              <w:rPr>
                <w:rFonts w:asciiTheme="majorHAnsi" w:hAnsiTheme="majorHAnsi"/>
                <w:sz w:val="20"/>
                <w:szCs w:val="20"/>
                <w:vertAlign w:val="subscript"/>
              </w:rPr>
              <w:t>PME</w:t>
            </w:r>
            <w:r w:rsidR="009A5C6B" w:rsidRPr="002C5AC0">
              <w:rPr>
                <w:rFonts w:asciiTheme="majorHAnsi" w:hAnsiTheme="majorHAnsi"/>
                <w:sz w:val="20"/>
                <w:szCs w:val="20"/>
              </w:rPr>
              <w:t xml:space="preserve"> au cours des années 1 à 30.</w:t>
            </w:r>
          </w:p>
          <w:p w14:paraId="42ADD4E2" w14:textId="29C6F34C" w:rsidR="00BC03F2" w:rsidRPr="002C5AC0" w:rsidRDefault="00B0447F" w:rsidP="001823C5">
            <w:pPr>
              <w:widowControl w:val="0"/>
              <w:ind w:right="68"/>
              <w:jc w:val="both"/>
              <w:rPr>
                <w:rFonts w:asciiTheme="majorHAnsi" w:hAnsiTheme="majorHAnsi"/>
                <w:sz w:val="20"/>
                <w:szCs w:val="20"/>
              </w:rPr>
            </w:pPr>
            <w:r w:rsidRPr="002C5AC0">
              <w:rPr>
                <w:rFonts w:asciiTheme="majorHAnsi" w:hAnsiTheme="majorHAnsi"/>
                <w:b/>
                <w:sz w:val="20"/>
                <w:szCs w:val="20"/>
              </w:rPr>
              <w:t>PNOF :</w:t>
            </w:r>
            <w:r w:rsidR="009A5C6B" w:rsidRPr="002C5AC0">
              <w:rPr>
                <w:rFonts w:asciiTheme="majorHAnsi" w:hAnsiTheme="majorHAnsi"/>
                <w:sz w:val="20"/>
                <w:szCs w:val="20"/>
              </w:rPr>
              <w:t xml:space="preserve">  Probabilité de F&lt;F</w:t>
            </w:r>
            <w:r w:rsidR="009A5C6B" w:rsidRPr="002C5AC0">
              <w:rPr>
                <w:rFonts w:asciiTheme="majorHAnsi" w:hAnsiTheme="majorHAnsi"/>
                <w:sz w:val="20"/>
                <w:szCs w:val="20"/>
                <w:vertAlign w:val="subscript"/>
              </w:rPr>
              <w:t>PME</w:t>
            </w:r>
            <w:r w:rsidR="009A5C6B" w:rsidRPr="002C5AC0">
              <w:rPr>
                <w:rFonts w:asciiTheme="majorHAnsi" w:hAnsiTheme="majorHAnsi"/>
                <w:sz w:val="20"/>
                <w:szCs w:val="20"/>
              </w:rPr>
              <w:t xml:space="preserve"> au cours des années 1 à 30.</w:t>
            </w:r>
          </w:p>
          <w:p w14:paraId="21CCCC0D" w14:textId="77777777" w:rsidR="00BC03F2" w:rsidRPr="002C5AC0" w:rsidRDefault="00BC03F2" w:rsidP="001823C5">
            <w:pPr>
              <w:widowControl w:val="0"/>
              <w:ind w:right="68"/>
              <w:jc w:val="both"/>
              <w:rPr>
                <w:rFonts w:asciiTheme="majorHAnsi" w:hAnsiTheme="majorHAnsi"/>
                <w:sz w:val="20"/>
                <w:szCs w:val="20"/>
              </w:rPr>
            </w:pPr>
          </w:p>
        </w:tc>
      </w:tr>
      <w:tr w:rsidR="00BC03F2" w:rsidRPr="002C5AC0" w14:paraId="6A2E4D86" w14:textId="77777777">
        <w:trPr>
          <w:trHeight w:val="2060"/>
          <w:jc w:val="center"/>
        </w:trPr>
        <w:tc>
          <w:tcPr>
            <w:tcW w:w="3265" w:type="dxa"/>
            <w:tcBorders>
              <w:top w:val="single" w:sz="4" w:space="0" w:color="000000"/>
              <w:left w:val="single" w:sz="4" w:space="0" w:color="000000"/>
              <w:bottom w:val="single" w:sz="4" w:space="0" w:color="000000"/>
              <w:right w:val="single" w:sz="4" w:space="0" w:color="000000"/>
            </w:tcBorders>
          </w:tcPr>
          <w:p w14:paraId="1146F898" w14:textId="77777777" w:rsidR="00BC03F2" w:rsidRPr="002C5AC0" w:rsidRDefault="009A5C6B">
            <w:pPr>
              <w:widowControl w:val="0"/>
              <w:ind w:right="68"/>
              <w:rPr>
                <w:rFonts w:asciiTheme="majorHAnsi" w:hAnsiTheme="majorHAnsi"/>
                <w:b/>
                <w:bCs/>
                <w:sz w:val="20"/>
                <w:szCs w:val="20"/>
              </w:rPr>
            </w:pPr>
            <w:r w:rsidRPr="002C5AC0">
              <w:rPr>
                <w:rFonts w:asciiTheme="majorHAnsi" w:hAnsiTheme="majorHAnsi"/>
                <w:b/>
                <w:sz w:val="20"/>
                <w:szCs w:val="20"/>
              </w:rPr>
              <w:t>Sécurité</w:t>
            </w:r>
          </w:p>
          <w:p w14:paraId="6ABB8AE6" w14:textId="23E905D7" w:rsidR="00BC03F2" w:rsidRPr="002C5AC0" w:rsidRDefault="009A5C6B" w:rsidP="00543E63">
            <w:pPr>
              <w:widowControl w:val="0"/>
              <w:ind w:right="68"/>
              <w:jc w:val="both"/>
              <w:rPr>
                <w:rFonts w:asciiTheme="majorHAnsi" w:hAnsiTheme="majorHAnsi"/>
                <w:sz w:val="20"/>
                <w:szCs w:val="20"/>
              </w:rPr>
            </w:pPr>
            <w:r w:rsidRPr="002C5AC0">
              <w:rPr>
                <w:rFonts w:asciiTheme="majorHAnsi" w:hAnsiTheme="majorHAnsi"/>
                <w:sz w:val="20"/>
                <w:szCs w:val="20"/>
              </w:rPr>
              <w:t>Il devrait y avoir une probabilité ne dépassant pas 10</w:t>
            </w:r>
            <w:r w:rsidR="00543E63" w:rsidRPr="002C5AC0">
              <w:rPr>
                <w:rFonts w:asciiTheme="majorHAnsi" w:hAnsiTheme="majorHAnsi"/>
                <w:sz w:val="20"/>
                <w:szCs w:val="20"/>
              </w:rPr>
              <w:t> </w:t>
            </w:r>
            <w:r w:rsidRPr="002C5AC0">
              <w:rPr>
                <w:rFonts w:asciiTheme="majorHAnsi" w:hAnsiTheme="majorHAnsi"/>
                <w:sz w:val="20"/>
                <w:szCs w:val="20"/>
              </w:rPr>
              <w:t>% que le stock chute en dessous de B</w:t>
            </w:r>
            <w:r w:rsidRPr="002C5AC0">
              <w:rPr>
                <w:rFonts w:asciiTheme="majorHAnsi" w:hAnsiTheme="majorHAnsi"/>
                <w:sz w:val="20"/>
                <w:szCs w:val="20"/>
                <w:vertAlign w:val="subscript"/>
              </w:rPr>
              <w:t>LIM</w:t>
            </w:r>
            <w:r w:rsidRPr="002C5AC0">
              <w:rPr>
                <w:rFonts w:asciiTheme="majorHAnsi" w:hAnsiTheme="majorHAnsi"/>
                <w:sz w:val="20"/>
                <w:szCs w:val="20"/>
              </w:rPr>
              <w:t xml:space="preserve"> (0,4*B</w:t>
            </w:r>
            <w:r w:rsidRPr="002C5AC0">
              <w:rPr>
                <w:rFonts w:asciiTheme="majorHAnsi" w:hAnsiTheme="majorHAnsi"/>
                <w:sz w:val="20"/>
                <w:szCs w:val="20"/>
                <w:vertAlign w:val="subscript"/>
              </w:rPr>
              <w:t>PME</w:t>
            </w:r>
            <w:r w:rsidRPr="002C5AC0">
              <w:rPr>
                <w:rFonts w:asciiTheme="majorHAnsi" w:hAnsiTheme="majorHAnsi"/>
                <w:sz w:val="20"/>
                <w:szCs w:val="20"/>
              </w:rPr>
              <w:t>) à tout moment au cours de la période de projection de 30 ans.</w:t>
            </w:r>
          </w:p>
        </w:tc>
        <w:tc>
          <w:tcPr>
            <w:tcW w:w="5279" w:type="dxa"/>
            <w:tcBorders>
              <w:top w:val="single" w:sz="4" w:space="0" w:color="000000"/>
              <w:left w:val="single" w:sz="4" w:space="0" w:color="000000"/>
              <w:bottom w:val="single" w:sz="4" w:space="0" w:color="000000"/>
              <w:right w:val="single" w:sz="4" w:space="0" w:color="000000"/>
            </w:tcBorders>
          </w:tcPr>
          <w:p w14:paraId="37CC95C9" w14:textId="77777777" w:rsidR="00BC03F2" w:rsidRPr="002C5AC0" w:rsidRDefault="009A5C6B" w:rsidP="001823C5">
            <w:pPr>
              <w:widowControl w:val="0"/>
              <w:ind w:right="68"/>
              <w:jc w:val="both"/>
              <w:rPr>
                <w:rFonts w:asciiTheme="majorHAnsi" w:hAnsiTheme="majorHAnsi"/>
                <w:sz w:val="20"/>
                <w:szCs w:val="20"/>
              </w:rPr>
            </w:pPr>
            <w:proofErr w:type="spellStart"/>
            <w:r w:rsidRPr="002C5AC0">
              <w:rPr>
                <w:rFonts w:asciiTheme="majorHAnsi" w:hAnsiTheme="majorHAnsi"/>
                <w:b/>
                <w:sz w:val="20"/>
                <w:szCs w:val="20"/>
              </w:rPr>
              <w:t>LRP</w:t>
            </w:r>
            <w:r w:rsidRPr="002C5AC0">
              <w:rPr>
                <w:rFonts w:asciiTheme="majorHAnsi" w:hAnsiTheme="majorHAnsi"/>
                <w:b/>
                <w:sz w:val="20"/>
                <w:szCs w:val="20"/>
                <w:vertAlign w:val="subscript"/>
              </w:rPr>
              <w:t>short</w:t>
            </w:r>
            <w:proofErr w:type="spellEnd"/>
            <w:r w:rsidRPr="002C5AC0">
              <w:rPr>
                <w:rFonts w:asciiTheme="majorHAnsi" w:hAnsiTheme="majorHAnsi"/>
                <w:sz w:val="20"/>
                <w:szCs w:val="20"/>
              </w:rPr>
              <w:t>: Probabilité de dépasser le point de référence limite (c'est-à-dire SSB&lt;0,4*SSB</w:t>
            </w:r>
            <w:r w:rsidRPr="002C5AC0">
              <w:rPr>
                <w:rFonts w:asciiTheme="majorHAnsi" w:hAnsiTheme="majorHAnsi"/>
                <w:sz w:val="20"/>
                <w:szCs w:val="20"/>
                <w:vertAlign w:val="subscript"/>
              </w:rPr>
              <w:t>PME</w:t>
            </w:r>
            <w:r w:rsidRPr="002C5AC0">
              <w:rPr>
                <w:rFonts w:asciiTheme="majorHAnsi" w:hAnsiTheme="majorHAnsi"/>
                <w:sz w:val="20"/>
                <w:szCs w:val="20"/>
              </w:rPr>
              <w:t>) au cours des années 1 à 3.</w:t>
            </w:r>
          </w:p>
          <w:p w14:paraId="3E9B2001" w14:textId="4BF8185A" w:rsidR="00BC03F2" w:rsidRPr="002C5AC0" w:rsidRDefault="009A5C6B" w:rsidP="001823C5">
            <w:pPr>
              <w:widowControl w:val="0"/>
              <w:ind w:right="68"/>
              <w:jc w:val="both"/>
              <w:rPr>
                <w:rFonts w:asciiTheme="majorHAnsi" w:hAnsiTheme="majorHAnsi"/>
                <w:sz w:val="20"/>
                <w:szCs w:val="20"/>
              </w:rPr>
            </w:pPr>
            <w:proofErr w:type="spellStart"/>
            <w:r w:rsidRPr="002C5AC0">
              <w:rPr>
                <w:rFonts w:asciiTheme="majorHAnsi" w:hAnsiTheme="majorHAnsi"/>
                <w:b/>
                <w:sz w:val="20"/>
                <w:szCs w:val="20"/>
              </w:rPr>
              <w:t>LRP</w:t>
            </w:r>
            <w:r w:rsidRPr="002C5AC0">
              <w:rPr>
                <w:rFonts w:asciiTheme="majorHAnsi" w:hAnsiTheme="majorHAnsi"/>
                <w:b/>
                <w:sz w:val="20"/>
                <w:szCs w:val="20"/>
                <w:vertAlign w:val="subscript"/>
              </w:rPr>
              <w:t>medium</w:t>
            </w:r>
            <w:proofErr w:type="spellEnd"/>
            <w:r w:rsidRPr="002C5AC0">
              <w:rPr>
                <w:rFonts w:asciiTheme="majorHAnsi" w:hAnsiTheme="majorHAnsi"/>
                <w:sz w:val="20"/>
                <w:szCs w:val="20"/>
              </w:rPr>
              <w:t>: Probabilité de dépasser le point de référence limite (c'est-à-dire SSB&lt;0,4*SSB</w:t>
            </w:r>
            <w:r w:rsidRPr="002C5AC0">
              <w:rPr>
                <w:rFonts w:asciiTheme="majorHAnsi" w:hAnsiTheme="majorHAnsi"/>
                <w:sz w:val="20"/>
                <w:szCs w:val="20"/>
                <w:vertAlign w:val="subscript"/>
              </w:rPr>
              <w:t>PME</w:t>
            </w:r>
            <w:r w:rsidRPr="002C5AC0">
              <w:rPr>
                <w:rFonts w:asciiTheme="majorHAnsi" w:hAnsiTheme="majorHAnsi"/>
                <w:sz w:val="20"/>
                <w:szCs w:val="20"/>
              </w:rPr>
              <w:t>) au cours des années 4 à</w:t>
            </w:r>
            <w:r w:rsidR="00351D6E" w:rsidRPr="002C5AC0">
              <w:rPr>
                <w:rFonts w:asciiTheme="majorHAnsi" w:hAnsiTheme="majorHAnsi"/>
                <w:sz w:val="20"/>
                <w:szCs w:val="20"/>
              </w:rPr>
              <w:t xml:space="preserve"> </w:t>
            </w:r>
            <w:r w:rsidRPr="002C5AC0">
              <w:rPr>
                <w:rFonts w:asciiTheme="majorHAnsi" w:hAnsiTheme="majorHAnsi"/>
                <w:sz w:val="20"/>
                <w:szCs w:val="20"/>
              </w:rPr>
              <w:t>10.</w:t>
            </w:r>
          </w:p>
          <w:p w14:paraId="602793FD" w14:textId="5F8DFCFE" w:rsidR="00BC03F2" w:rsidRPr="002C5AC0" w:rsidRDefault="009A5C6B" w:rsidP="001823C5">
            <w:pPr>
              <w:widowControl w:val="0"/>
              <w:ind w:right="68"/>
              <w:jc w:val="both"/>
              <w:rPr>
                <w:rFonts w:asciiTheme="majorHAnsi" w:hAnsiTheme="majorHAnsi"/>
                <w:sz w:val="20"/>
                <w:szCs w:val="20"/>
              </w:rPr>
            </w:pPr>
            <w:proofErr w:type="spellStart"/>
            <w:r w:rsidRPr="002C5AC0">
              <w:rPr>
                <w:rFonts w:asciiTheme="majorHAnsi" w:hAnsiTheme="majorHAnsi"/>
                <w:b/>
                <w:sz w:val="20"/>
                <w:szCs w:val="20"/>
              </w:rPr>
              <w:t>LRP</w:t>
            </w:r>
            <w:r w:rsidRPr="002C5AC0">
              <w:rPr>
                <w:rFonts w:asciiTheme="majorHAnsi" w:hAnsiTheme="majorHAnsi"/>
                <w:b/>
                <w:sz w:val="20"/>
                <w:szCs w:val="20"/>
                <w:vertAlign w:val="subscript"/>
              </w:rPr>
              <w:t>long</w:t>
            </w:r>
            <w:proofErr w:type="spellEnd"/>
            <w:r w:rsidRPr="002C5AC0">
              <w:rPr>
                <w:rFonts w:asciiTheme="majorHAnsi" w:hAnsiTheme="majorHAnsi"/>
                <w:sz w:val="20"/>
                <w:szCs w:val="20"/>
              </w:rPr>
              <w:t>: Probabilité de dépasser le point de référence limite (c'est-à-dire SSB&lt;0,4*SSB</w:t>
            </w:r>
            <w:r w:rsidRPr="002C5AC0">
              <w:rPr>
                <w:rFonts w:asciiTheme="majorHAnsi" w:hAnsiTheme="majorHAnsi"/>
                <w:sz w:val="20"/>
                <w:szCs w:val="20"/>
                <w:vertAlign w:val="subscript"/>
              </w:rPr>
              <w:t>PME</w:t>
            </w:r>
            <w:r w:rsidRPr="002C5AC0">
              <w:rPr>
                <w:rFonts w:asciiTheme="majorHAnsi" w:hAnsiTheme="majorHAnsi"/>
                <w:sz w:val="20"/>
                <w:szCs w:val="20"/>
              </w:rPr>
              <w:t>) au cours des années 11 à 30.</w:t>
            </w:r>
          </w:p>
          <w:p w14:paraId="696531A4" w14:textId="77777777" w:rsidR="00BC03F2" w:rsidRPr="002C5AC0" w:rsidRDefault="009A5C6B" w:rsidP="001823C5">
            <w:pPr>
              <w:widowControl w:val="0"/>
              <w:ind w:right="68"/>
              <w:jc w:val="both"/>
              <w:rPr>
                <w:rFonts w:asciiTheme="majorHAnsi" w:hAnsiTheme="majorHAnsi"/>
                <w:sz w:val="20"/>
                <w:szCs w:val="20"/>
              </w:rPr>
            </w:pPr>
            <w:proofErr w:type="spellStart"/>
            <w:r w:rsidRPr="002C5AC0">
              <w:rPr>
                <w:rFonts w:asciiTheme="majorHAnsi" w:hAnsiTheme="majorHAnsi"/>
                <w:b/>
                <w:sz w:val="20"/>
                <w:szCs w:val="20"/>
              </w:rPr>
              <w:t>LRP</w:t>
            </w:r>
            <w:r w:rsidRPr="002C5AC0">
              <w:rPr>
                <w:rFonts w:asciiTheme="majorHAnsi" w:hAnsiTheme="majorHAnsi"/>
                <w:b/>
                <w:sz w:val="20"/>
                <w:szCs w:val="20"/>
                <w:vertAlign w:val="subscript"/>
              </w:rPr>
              <w:t>all</w:t>
            </w:r>
            <w:proofErr w:type="spellEnd"/>
            <w:r w:rsidRPr="002C5AC0">
              <w:rPr>
                <w:rFonts w:asciiTheme="majorHAnsi" w:hAnsiTheme="majorHAnsi"/>
                <w:sz w:val="20"/>
                <w:szCs w:val="20"/>
              </w:rPr>
              <w:t>: Probabilité de dépasser le point de référence limite (c'est-à-dire SSB&lt;0,4*SSB</w:t>
            </w:r>
            <w:r w:rsidRPr="002C5AC0">
              <w:rPr>
                <w:rFonts w:asciiTheme="majorHAnsi" w:hAnsiTheme="majorHAnsi"/>
                <w:sz w:val="20"/>
                <w:szCs w:val="20"/>
                <w:vertAlign w:val="subscript"/>
              </w:rPr>
              <w:t>PME</w:t>
            </w:r>
            <w:r w:rsidRPr="002C5AC0">
              <w:rPr>
                <w:rFonts w:asciiTheme="majorHAnsi" w:hAnsiTheme="majorHAnsi"/>
                <w:sz w:val="20"/>
                <w:szCs w:val="20"/>
              </w:rPr>
              <w:t>) au cours des années 1-30.</w:t>
            </w:r>
          </w:p>
        </w:tc>
      </w:tr>
      <w:tr w:rsidR="00BC03F2" w:rsidRPr="002C5AC0" w14:paraId="646BBEE3"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D60EB91" w14:textId="77777777" w:rsidR="00BC03F2" w:rsidRPr="002C5AC0" w:rsidRDefault="009A5C6B">
            <w:pPr>
              <w:widowControl w:val="0"/>
              <w:ind w:right="68"/>
              <w:rPr>
                <w:rFonts w:asciiTheme="majorHAnsi" w:hAnsiTheme="majorHAnsi"/>
                <w:b/>
                <w:bCs/>
                <w:sz w:val="20"/>
                <w:szCs w:val="20"/>
              </w:rPr>
            </w:pPr>
            <w:r w:rsidRPr="002C5AC0">
              <w:rPr>
                <w:rFonts w:asciiTheme="majorHAnsi" w:hAnsiTheme="majorHAnsi"/>
                <w:b/>
                <w:sz w:val="20"/>
                <w:szCs w:val="20"/>
              </w:rPr>
              <w:t>Production</w:t>
            </w:r>
          </w:p>
          <w:p w14:paraId="79ECDB64" w14:textId="60446EA9" w:rsidR="00BC03F2" w:rsidRPr="002C5AC0" w:rsidRDefault="009A5C6B" w:rsidP="00543E63">
            <w:pPr>
              <w:widowControl w:val="0"/>
              <w:ind w:right="68"/>
              <w:jc w:val="both"/>
              <w:rPr>
                <w:rFonts w:asciiTheme="majorHAnsi" w:hAnsiTheme="majorHAnsi"/>
                <w:sz w:val="20"/>
                <w:szCs w:val="20"/>
              </w:rPr>
            </w:pPr>
            <w:r w:rsidRPr="002C5AC0">
              <w:rPr>
                <w:rFonts w:asciiTheme="majorHAnsi" w:hAnsiTheme="majorHAnsi"/>
                <w:sz w:val="20"/>
                <w:szCs w:val="20"/>
              </w:rPr>
              <w:t>Maximiser les niveaux de captures globaux.</w:t>
            </w:r>
          </w:p>
        </w:tc>
        <w:tc>
          <w:tcPr>
            <w:tcW w:w="5279" w:type="dxa"/>
            <w:tcBorders>
              <w:top w:val="single" w:sz="4" w:space="0" w:color="000000"/>
              <w:left w:val="single" w:sz="4" w:space="0" w:color="000000"/>
              <w:bottom w:val="single" w:sz="4" w:space="0" w:color="000000"/>
              <w:right w:val="single" w:sz="4" w:space="0" w:color="000000"/>
            </w:tcBorders>
          </w:tcPr>
          <w:p w14:paraId="0EA99427" w14:textId="1DB9F63D" w:rsidR="00BC03F2" w:rsidRPr="002C5AC0" w:rsidRDefault="009A5C6B" w:rsidP="001823C5">
            <w:pPr>
              <w:widowControl w:val="0"/>
              <w:ind w:right="68"/>
              <w:jc w:val="both"/>
              <w:rPr>
                <w:rFonts w:asciiTheme="majorHAnsi" w:hAnsiTheme="majorHAnsi"/>
                <w:sz w:val="20"/>
                <w:szCs w:val="20"/>
              </w:rPr>
            </w:pPr>
            <w:proofErr w:type="spellStart"/>
            <w:r w:rsidRPr="002C5AC0">
              <w:rPr>
                <w:rFonts w:asciiTheme="majorHAnsi" w:hAnsiTheme="majorHAnsi"/>
                <w:b/>
                <w:sz w:val="20"/>
                <w:szCs w:val="20"/>
              </w:rPr>
              <w:t>AvC</w:t>
            </w:r>
            <w:r w:rsidRPr="002C5AC0">
              <w:rPr>
                <w:rFonts w:asciiTheme="majorHAnsi" w:hAnsiTheme="majorHAnsi"/>
                <w:b/>
                <w:sz w:val="20"/>
                <w:szCs w:val="20"/>
                <w:vertAlign w:val="subscript"/>
              </w:rPr>
              <w:t>short</w:t>
            </w:r>
            <w:proofErr w:type="spellEnd"/>
            <w:r w:rsidRPr="002C5AC0">
              <w:rPr>
                <w:rFonts w:asciiTheme="majorHAnsi" w:hAnsiTheme="majorHAnsi"/>
                <w:sz w:val="20"/>
                <w:szCs w:val="20"/>
              </w:rPr>
              <w:t xml:space="preserve"> – Médiane des captures (t) au cours des années 1</w:t>
            </w:r>
            <w:r w:rsidR="00543E63" w:rsidRPr="002C5AC0">
              <w:rPr>
                <w:rFonts w:asciiTheme="majorHAnsi" w:hAnsiTheme="majorHAnsi"/>
                <w:sz w:val="20"/>
                <w:szCs w:val="20"/>
              </w:rPr>
              <w:t xml:space="preserve"> à </w:t>
            </w:r>
            <w:r w:rsidRPr="002C5AC0">
              <w:rPr>
                <w:rFonts w:asciiTheme="majorHAnsi" w:hAnsiTheme="majorHAnsi"/>
                <w:sz w:val="20"/>
                <w:szCs w:val="20"/>
              </w:rPr>
              <w:t>3.</w:t>
            </w:r>
          </w:p>
          <w:p w14:paraId="1AA5435C" w14:textId="760A53F2" w:rsidR="00BC03F2" w:rsidRPr="002C5AC0" w:rsidRDefault="009A5C6B" w:rsidP="001823C5">
            <w:pPr>
              <w:widowControl w:val="0"/>
              <w:ind w:right="68"/>
              <w:jc w:val="both"/>
              <w:rPr>
                <w:rFonts w:asciiTheme="majorHAnsi" w:hAnsiTheme="majorHAnsi"/>
                <w:sz w:val="20"/>
                <w:szCs w:val="20"/>
              </w:rPr>
            </w:pPr>
            <w:proofErr w:type="spellStart"/>
            <w:r w:rsidRPr="002C5AC0">
              <w:rPr>
                <w:rFonts w:asciiTheme="majorHAnsi" w:hAnsiTheme="majorHAnsi"/>
                <w:b/>
                <w:sz w:val="20"/>
                <w:szCs w:val="20"/>
              </w:rPr>
              <w:t>AvC</w:t>
            </w:r>
            <w:r w:rsidRPr="002C5AC0">
              <w:rPr>
                <w:rFonts w:asciiTheme="majorHAnsi" w:hAnsiTheme="majorHAnsi"/>
                <w:b/>
                <w:sz w:val="20"/>
                <w:szCs w:val="20"/>
                <w:vertAlign w:val="subscript"/>
              </w:rPr>
              <w:t>medium</w:t>
            </w:r>
            <w:proofErr w:type="spellEnd"/>
            <w:r w:rsidRPr="002C5AC0">
              <w:rPr>
                <w:rFonts w:asciiTheme="majorHAnsi" w:hAnsiTheme="majorHAnsi"/>
                <w:sz w:val="20"/>
                <w:szCs w:val="20"/>
              </w:rPr>
              <w:t xml:space="preserve"> – Médiane des captures (t) au cours des années 4</w:t>
            </w:r>
            <w:r w:rsidR="00543E63" w:rsidRPr="002C5AC0">
              <w:rPr>
                <w:rFonts w:asciiTheme="majorHAnsi" w:hAnsiTheme="majorHAnsi"/>
                <w:sz w:val="20"/>
                <w:szCs w:val="20"/>
              </w:rPr>
              <w:t xml:space="preserve"> à </w:t>
            </w:r>
            <w:r w:rsidRPr="002C5AC0">
              <w:rPr>
                <w:rFonts w:asciiTheme="majorHAnsi" w:hAnsiTheme="majorHAnsi"/>
                <w:sz w:val="20"/>
                <w:szCs w:val="20"/>
              </w:rPr>
              <w:t>10.</w:t>
            </w:r>
          </w:p>
          <w:p w14:paraId="5115D3D2" w14:textId="77777777" w:rsidR="00BC03F2" w:rsidRPr="002C5AC0" w:rsidRDefault="009A5C6B" w:rsidP="001823C5">
            <w:pPr>
              <w:widowControl w:val="0"/>
              <w:ind w:right="68"/>
              <w:jc w:val="both"/>
              <w:rPr>
                <w:rFonts w:asciiTheme="majorHAnsi" w:hAnsiTheme="majorHAnsi"/>
                <w:sz w:val="20"/>
                <w:szCs w:val="20"/>
              </w:rPr>
            </w:pPr>
            <w:proofErr w:type="spellStart"/>
            <w:r w:rsidRPr="002C5AC0">
              <w:rPr>
                <w:rFonts w:asciiTheme="majorHAnsi" w:hAnsiTheme="majorHAnsi"/>
                <w:b/>
                <w:sz w:val="20"/>
                <w:szCs w:val="20"/>
              </w:rPr>
              <w:t>AvC</w:t>
            </w:r>
            <w:r w:rsidRPr="002C5AC0">
              <w:rPr>
                <w:rFonts w:asciiTheme="majorHAnsi" w:hAnsiTheme="majorHAnsi"/>
                <w:b/>
                <w:sz w:val="20"/>
                <w:szCs w:val="20"/>
                <w:vertAlign w:val="subscript"/>
              </w:rPr>
              <w:t>long</w:t>
            </w:r>
            <w:proofErr w:type="spellEnd"/>
            <w:r w:rsidRPr="002C5AC0">
              <w:rPr>
                <w:rFonts w:asciiTheme="majorHAnsi" w:hAnsiTheme="majorHAnsi"/>
                <w:sz w:val="20"/>
                <w:szCs w:val="20"/>
              </w:rPr>
              <w:t xml:space="preserve"> – Médiane des captures (t) au cours des années 11 à 30.</w:t>
            </w:r>
          </w:p>
          <w:p w14:paraId="45BC5092" w14:textId="77777777" w:rsidR="00BC03F2" w:rsidRPr="002C5AC0" w:rsidRDefault="00BC03F2" w:rsidP="001823C5">
            <w:pPr>
              <w:widowControl w:val="0"/>
              <w:ind w:right="68"/>
              <w:jc w:val="both"/>
              <w:rPr>
                <w:rFonts w:asciiTheme="majorHAnsi" w:hAnsiTheme="majorHAnsi"/>
                <w:sz w:val="20"/>
                <w:szCs w:val="20"/>
              </w:rPr>
            </w:pPr>
          </w:p>
        </w:tc>
      </w:tr>
      <w:tr w:rsidR="00BC03F2" w:rsidRPr="002C5AC0" w14:paraId="551D8F81"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1487001B" w14:textId="77777777" w:rsidR="00BC03F2" w:rsidRPr="002C5AC0" w:rsidRDefault="009A5C6B">
            <w:pPr>
              <w:widowControl w:val="0"/>
              <w:ind w:right="68"/>
              <w:rPr>
                <w:rFonts w:asciiTheme="majorHAnsi" w:hAnsiTheme="majorHAnsi"/>
                <w:b/>
                <w:bCs/>
                <w:sz w:val="20"/>
                <w:szCs w:val="20"/>
              </w:rPr>
            </w:pPr>
            <w:r w:rsidRPr="002C5AC0">
              <w:rPr>
                <w:rFonts w:asciiTheme="majorHAnsi" w:hAnsiTheme="majorHAnsi"/>
                <w:b/>
                <w:sz w:val="20"/>
                <w:szCs w:val="20"/>
              </w:rPr>
              <w:t>Stabilité</w:t>
            </w:r>
          </w:p>
          <w:p w14:paraId="1A1BC608" w14:textId="08656141" w:rsidR="00BC03F2" w:rsidRPr="002C5AC0" w:rsidRDefault="009A5C6B">
            <w:pPr>
              <w:widowControl w:val="0"/>
              <w:ind w:right="68"/>
              <w:rPr>
                <w:rFonts w:asciiTheme="majorHAnsi" w:hAnsiTheme="majorHAnsi"/>
                <w:sz w:val="20"/>
                <w:szCs w:val="20"/>
              </w:rPr>
            </w:pPr>
            <w:r w:rsidRPr="002C5AC0">
              <w:rPr>
                <w:rFonts w:asciiTheme="majorHAnsi" w:hAnsiTheme="majorHAnsi"/>
                <w:sz w:val="20"/>
                <w:szCs w:val="20"/>
              </w:rPr>
              <w:t xml:space="preserve">Tout changement du TAC entre les périodes de gestion devrait être de </w:t>
            </w:r>
            <w:r w:rsidR="00603A02" w:rsidRPr="002C5AC0">
              <w:rPr>
                <w:rFonts w:asciiTheme="majorHAnsi" w:hAnsiTheme="majorHAnsi"/>
                <w:sz w:val="20"/>
                <w:szCs w:val="20"/>
              </w:rPr>
              <w:t>25</w:t>
            </w:r>
            <w:r w:rsidR="00543E63" w:rsidRPr="002C5AC0">
              <w:rPr>
                <w:rFonts w:asciiTheme="majorHAnsi" w:hAnsiTheme="majorHAnsi"/>
                <w:sz w:val="20"/>
                <w:szCs w:val="20"/>
              </w:rPr>
              <w:t> </w:t>
            </w:r>
            <w:r w:rsidR="00603A02" w:rsidRPr="002C5AC0">
              <w:rPr>
                <w:rFonts w:asciiTheme="majorHAnsi" w:hAnsiTheme="majorHAnsi"/>
                <w:sz w:val="20"/>
                <w:szCs w:val="20"/>
              </w:rPr>
              <w:t xml:space="preserve">% </w:t>
            </w:r>
            <w:r w:rsidRPr="002C5AC0">
              <w:rPr>
                <w:rFonts w:asciiTheme="majorHAnsi" w:hAnsiTheme="majorHAnsi"/>
                <w:sz w:val="20"/>
                <w:szCs w:val="20"/>
              </w:rPr>
              <w:t>ou moins.</w:t>
            </w:r>
          </w:p>
        </w:tc>
        <w:tc>
          <w:tcPr>
            <w:tcW w:w="5279" w:type="dxa"/>
            <w:tcBorders>
              <w:top w:val="single" w:sz="4" w:space="0" w:color="000000"/>
              <w:left w:val="single" w:sz="4" w:space="0" w:color="000000"/>
              <w:bottom w:val="single" w:sz="4" w:space="0" w:color="000000"/>
              <w:right w:val="single" w:sz="4" w:space="0" w:color="000000"/>
            </w:tcBorders>
          </w:tcPr>
          <w:p w14:paraId="3688D98E" w14:textId="117A40D6" w:rsidR="00BC03F2" w:rsidRPr="002C5AC0" w:rsidRDefault="009A5C6B" w:rsidP="001823C5">
            <w:pPr>
              <w:widowControl w:val="0"/>
              <w:ind w:right="68"/>
              <w:jc w:val="both"/>
              <w:rPr>
                <w:rFonts w:asciiTheme="majorHAnsi" w:hAnsiTheme="majorHAnsi"/>
                <w:sz w:val="20"/>
                <w:szCs w:val="20"/>
              </w:rPr>
            </w:pPr>
            <w:proofErr w:type="spellStart"/>
            <w:r w:rsidRPr="002C5AC0">
              <w:rPr>
                <w:rFonts w:asciiTheme="majorHAnsi" w:hAnsiTheme="majorHAnsi"/>
                <w:b/>
                <w:sz w:val="20"/>
                <w:szCs w:val="20"/>
              </w:rPr>
              <w:t>VarC</w:t>
            </w:r>
            <w:r w:rsidRPr="002C5AC0">
              <w:rPr>
                <w:rFonts w:asciiTheme="majorHAnsi" w:hAnsiTheme="majorHAnsi"/>
                <w:b/>
                <w:sz w:val="20"/>
                <w:szCs w:val="20"/>
                <w:vertAlign w:val="subscript"/>
              </w:rPr>
              <w:t>medium</w:t>
            </w:r>
            <w:proofErr w:type="spellEnd"/>
            <w:r w:rsidRPr="002C5AC0">
              <w:rPr>
                <w:rFonts w:asciiTheme="majorHAnsi" w:hAnsiTheme="majorHAnsi"/>
                <w:sz w:val="20"/>
                <w:szCs w:val="20"/>
              </w:rPr>
              <w:t xml:space="preserve"> – Variation du TAC (%) entre les cycles de gestion au cours des années 4</w:t>
            </w:r>
            <w:r w:rsidR="00543E63" w:rsidRPr="002C5AC0">
              <w:rPr>
                <w:rFonts w:asciiTheme="majorHAnsi" w:hAnsiTheme="majorHAnsi"/>
                <w:sz w:val="20"/>
                <w:szCs w:val="20"/>
              </w:rPr>
              <w:t xml:space="preserve"> à</w:t>
            </w:r>
            <w:r w:rsidRPr="002C5AC0">
              <w:rPr>
                <w:rFonts w:asciiTheme="majorHAnsi" w:hAnsiTheme="majorHAnsi"/>
                <w:sz w:val="20"/>
                <w:szCs w:val="20"/>
              </w:rPr>
              <w:t>10.</w:t>
            </w:r>
          </w:p>
          <w:p w14:paraId="3B0EDC5A" w14:textId="7DC39DCD" w:rsidR="00BC03F2" w:rsidRPr="002C5AC0" w:rsidRDefault="009A5C6B" w:rsidP="001823C5">
            <w:pPr>
              <w:widowControl w:val="0"/>
              <w:ind w:right="68"/>
              <w:jc w:val="both"/>
              <w:rPr>
                <w:rFonts w:asciiTheme="majorHAnsi" w:hAnsiTheme="majorHAnsi"/>
                <w:sz w:val="20"/>
                <w:szCs w:val="20"/>
              </w:rPr>
            </w:pPr>
            <w:proofErr w:type="spellStart"/>
            <w:r w:rsidRPr="002C5AC0">
              <w:rPr>
                <w:rFonts w:asciiTheme="majorHAnsi" w:hAnsiTheme="majorHAnsi"/>
                <w:b/>
                <w:sz w:val="20"/>
                <w:szCs w:val="20"/>
              </w:rPr>
              <w:t>VarC</w:t>
            </w:r>
            <w:r w:rsidRPr="002C5AC0">
              <w:rPr>
                <w:rFonts w:asciiTheme="majorHAnsi" w:hAnsiTheme="majorHAnsi"/>
                <w:b/>
                <w:sz w:val="20"/>
                <w:szCs w:val="20"/>
                <w:vertAlign w:val="subscript"/>
              </w:rPr>
              <w:t>long</w:t>
            </w:r>
            <w:proofErr w:type="spellEnd"/>
            <w:r w:rsidRPr="002C5AC0">
              <w:rPr>
                <w:rFonts w:asciiTheme="majorHAnsi" w:hAnsiTheme="majorHAnsi"/>
                <w:sz w:val="20"/>
                <w:szCs w:val="20"/>
              </w:rPr>
              <w:t xml:space="preserve"> – Variation du TAC (%) entre les cycles de gestion au cours des années 11</w:t>
            </w:r>
            <w:r w:rsidR="00543E63" w:rsidRPr="002C5AC0">
              <w:rPr>
                <w:rFonts w:asciiTheme="majorHAnsi" w:hAnsiTheme="majorHAnsi"/>
                <w:sz w:val="20"/>
                <w:szCs w:val="20"/>
              </w:rPr>
              <w:t xml:space="preserve"> à </w:t>
            </w:r>
            <w:r w:rsidRPr="002C5AC0">
              <w:rPr>
                <w:rFonts w:asciiTheme="majorHAnsi" w:hAnsiTheme="majorHAnsi"/>
                <w:sz w:val="20"/>
                <w:szCs w:val="20"/>
              </w:rPr>
              <w:t xml:space="preserve">30. </w:t>
            </w:r>
          </w:p>
          <w:p w14:paraId="44283246" w14:textId="061451D1" w:rsidR="00BC03F2" w:rsidRPr="002C5AC0" w:rsidRDefault="009A5C6B" w:rsidP="001823C5">
            <w:pPr>
              <w:widowControl w:val="0"/>
              <w:ind w:right="68"/>
              <w:jc w:val="both"/>
              <w:rPr>
                <w:rFonts w:asciiTheme="majorHAnsi" w:hAnsiTheme="majorHAnsi"/>
                <w:sz w:val="20"/>
                <w:szCs w:val="20"/>
              </w:rPr>
            </w:pPr>
            <w:proofErr w:type="spellStart"/>
            <w:r w:rsidRPr="002C5AC0">
              <w:rPr>
                <w:rFonts w:asciiTheme="majorHAnsi" w:hAnsiTheme="majorHAnsi"/>
                <w:b/>
                <w:sz w:val="20"/>
                <w:szCs w:val="20"/>
              </w:rPr>
              <w:t>Var</w:t>
            </w:r>
            <w:r w:rsidRPr="002C5AC0">
              <w:rPr>
                <w:rFonts w:asciiTheme="majorHAnsi" w:hAnsiTheme="majorHAnsi"/>
                <w:b/>
                <w:sz w:val="20"/>
                <w:szCs w:val="20"/>
                <w:vertAlign w:val="subscript"/>
              </w:rPr>
              <w:t>all</w:t>
            </w:r>
            <w:proofErr w:type="spellEnd"/>
            <w:r w:rsidRPr="002C5AC0">
              <w:rPr>
                <w:rFonts w:asciiTheme="majorHAnsi" w:hAnsiTheme="majorHAnsi"/>
                <w:sz w:val="20"/>
                <w:szCs w:val="20"/>
              </w:rPr>
              <w:t xml:space="preserve"> – Variation du TAC (%) entre les cycles de gestion au cours des années 1</w:t>
            </w:r>
            <w:r w:rsidR="00543E63" w:rsidRPr="002C5AC0">
              <w:rPr>
                <w:rFonts w:asciiTheme="majorHAnsi" w:hAnsiTheme="majorHAnsi"/>
                <w:sz w:val="20"/>
                <w:szCs w:val="20"/>
              </w:rPr>
              <w:t xml:space="preserve"> à </w:t>
            </w:r>
            <w:r w:rsidRPr="002C5AC0">
              <w:rPr>
                <w:rFonts w:asciiTheme="majorHAnsi" w:hAnsiTheme="majorHAnsi"/>
                <w:sz w:val="20"/>
                <w:szCs w:val="20"/>
              </w:rPr>
              <w:t>30.</w:t>
            </w:r>
          </w:p>
        </w:tc>
      </w:tr>
    </w:tbl>
    <w:p w14:paraId="6A172D2A" w14:textId="11DE7E28" w:rsidR="00BC03F2" w:rsidRPr="002C5AC0" w:rsidRDefault="001823C5" w:rsidP="001823C5">
      <w:pPr>
        <w:pStyle w:val="Heading1"/>
        <w:spacing w:before="72"/>
        <w:ind w:right="68" w:firstLine="284"/>
        <w:rPr>
          <w:rFonts w:asciiTheme="majorHAnsi" w:hAnsiTheme="majorHAnsi"/>
          <w:b w:val="0"/>
          <w:bCs w:val="0"/>
          <w:sz w:val="18"/>
          <w:szCs w:val="18"/>
        </w:rPr>
      </w:pPr>
      <w:r w:rsidRPr="002C5AC0">
        <w:rPr>
          <w:rFonts w:asciiTheme="majorHAnsi" w:hAnsiTheme="majorHAnsi"/>
          <w:b w:val="0"/>
          <w:bCs w:val="0"/>
          <w:sz w:val="18"/>
          <w:szCs w:val="18"/>
        </w:rPr>
        <w:t xml:space="preserve">* Objectif de calibrage </w:t>
      </w:r>
      <w:r w:rsidR="00EC4E55" w:rsidRPr="002C5AC0">
        <w:rPr>
          <w:rFonts w:asciiTheme="majorHAnsi" w:hAnsiTheme="majorHAnsi"/>
          <w:b w:val="0"/>
          <w:bCs w:val="0"/>
          <w:sz w:val="18"/>
          <w:szCs w:val="18"/>
        </w:rPr>
        <w:t>utilisé pour le</w:t>
      </w:r>
      <w:r w:rsidRPr="002C5AC0">
        <w:rPr>
          <w:rFonts w:asciiTheme="majorHAnsi" w:hAnsiTheme="majorHAnsi"/>
          <w:b w:val="0"/>
          <w:bCs w:val="0"/>
          <w:sz w:val="18"/>
          <w:szCs w:val="18"/>
        </w:rPr>
        <w:t xml:space="preserve"> développement de la MP potentielle.</w:t>
      </w:r>
    </w:p>
    <w:p w14:paraId="18321476" w14:textId="3AB2C492" w:rsidR="00BC03F2" w:rsidRPr="002C5AC0" w:rsidRDefault="009A5C6B" w:rsidP="001C4904">
      <w:pPr>
        <w:ind w:right="68"/>
        <w:rPr>
          <w:rFonts w:asciiTheme="majorHAnsi" w:hAnsiTheme="majorHAnsi"/>
          <w:sz w:val="20"/>
          <w:szCs w:val="20"/>
        </w:rPr>
        <w:sectPr w:rsidR="00BC03F2" w:rsidRPr="002C5AC0" w:rsidSect="007664B0">
          <w:headerReference w:type="default" r:id="rId12"/>
          <w:footerReference w:type="default" r:id="rId13"/>
          <w:pgSz w:w="11907" w:h="16840" w:code="9"/>
          <w:pgMar w:top="1418" w:right="1418" w:bottom="1418" w:left="1418" w:header="851" w:footer="1134" w:gutter="0"/>
          <w:cols w:space="720"/>
          <w:formProt w:val="0"/>
          <w:docGrid w:linePitch="100"/>
        </w:sectPr>
      </w:pPr>
      <w:r w:rsidRPr="002C5AC0">
        <w:rPr>
          <w:rFonts w:asciiTheme="majorHAnsi" w:hAnsiTheme="majorHAnsi"/>
          <w:sz w:val="20"/>
          <w:szCs w:val="20"/>
        </w:rPr>
        <w:br w:type="page"/>
      </w:r>
    </w:p>
    <w:p w14:paraId="5447B195" w14:textId="647B9089" w:rsidR="00BC03F2" w:rsidRPr="002C5AC0" w:rsidRDefault="009A5C6B">
      <w:pPr>
        <w:pStyle w:val="Heading1"/>
        <w:ind w:right="68"/>
        <w:jc w:val="right"/>
        <w:rPr>
          <w:rFonts w:asciiTheme="majorHAnsi" w:hAnsiTheme="majorHAnsi"/>
        </w:rPr>
      </w:pPr>
      <w:r w:rsidRPr="002C5AC0">
        <w:rPr>
          <w:rFonts w:asciiTheme="majorHAnsi" w:hAnsiTheme="majorHAnsi"/>
        </w:rPr>
        <w:lastRenderedPageBreak/>
        <w:t xml:space="preserve">Annexe </w:t>
      </w:r>
      <w:r w:rsidR="006506B2" w:rsidRPr="002C5AC0">
        <w:rPr>
          <w:rFonts w:asciiTheme="majorHAnsi" w:hAnsiTheme="majorHAnsi"/>
        </w:rPr>
        <w:t>3</w:t>
      </w:r>
    </w:p>
    <w:p w14:paraId="58CF2B91" w14:textId="77777777" w:rsidR="00BC03F2" w:rsidRPr="002C5AC0" w:rsidRDefault="009A5C6B">
      <w:pPr>
        <w:pStyle w:val="Heading1"/>
        <w:ind w:right="68"/>
        <w:jc w:val="center"/>
        <w:rPr>
          <w:rFonts w:asciiTheme="majorHAnsi" w:hAnsiTheme="majorHAnsi"/>
        </w:rPr>
      </w:pPr>
      <w:r w:rsidRPr="002C5AC0">
        <w:rPr>
          <w:rFonts w:asciiTheme="majorHAnsi" w:hAnsiTheme="majorHAnsi"/>
        </w:rPr>
        <w:t>Calendrier de mise en œuvre de la procédure de gestion</w:t>
      </w:r>
    </w:p>
    <w:p w14:paraId="1EC739BC" w14:textId="77777777" w:rsidR="00BC03F2" w:rsidRPr="002C5AC0" w:rsidRDefault="00BC03F2">
      <w:pPr>
        <w:pStyle w:val="Heading1"/>
        <w:ind w:right="68"/>
        <w:jc w:val="center"/>
        <w:rPr>
          <w:rFonts w:asciiTheme="majorHAnsi" w:hAnsiTheme="majorHAnsi"/>
        </w:rPr>
      </w:pPr>
    </w:p>
    <w:p w14:paraId="5BFEB5E4" w14:textId="77777777" w:rsidR="00BC03F2" w:rsidRPr="002C5AC0" w:rsidRDefault="009A5C6B">
      <w:pPr>
        <w:pStyle w:val="Heading1"/>
        <w:ind w:right="68"/>
        <w:rPr>
          <w:rFonts w:asciiTheme="majorHAnsi" w:hAnsiTheme="majorHAnsi"/>
        </w:rPr>
      </w:pPr>
      <w:r w:rsidRPr="002C5AC0">
        <w:rPr>
          <w:rFonts w:asciiTheme="majorHAnsi" w:hAnsiTheme="majorHAnsi"/>
        </w:rPr>
        <w:t>Cycle de 3 ans</w:t>
      </w:r>
    </w:p>
    <w:p w14:paraId="5594C870" w14:textId="77777777" w:rsidR="00BC03F2" w:rsidRPr="002C5AC0" w:rsidRDefault="00BC03F2">
      <w:pPr>
        <w:pStyle w:val="Heading1"/>
        <w:ind w:right="68"/>
        <w:rPr>
          <w:rFonts w:asciiTheme="majorHAnsi" w:hAnsiTheme="majorHAnsi"/>
        </w:rPr>
      </w:pPr>
    </w:p>
    <w:tbl>
      <w:tblPr>
        <w:tblStyle w:val="TableGrid"/>
        <w:tblW w:w="8624" w:type="dxa"/>
        <w:jc w:val="center"/>
        <w:tblLayout w:type="fixed"/>
        <w:tblLook w:val="04A0" w:firstRow="1" w:lastRow="0" w:firstColumn="1" w:lastColumn="0" w:noHBand="0" w:noVBand="1"/>
      </w:tblPr>
      <w:tblGrid>
        <w:gridCol w:w="2553"/>
        <w:gridCol w:w="786"/>
        <w:gridCol w:w="891"/>
        <w:gridCol w:w="899"/>
        <w:gridCol w:w="901"/>
        <w:gridCol w:w="864"/>
        <w:gridCol w:w="865"/>
        <w:gridCol w:w="865"/>
      </w:tblGrid>
      <w:tr w:rsidR="00BC03F2" w:rsidRPr="002C5AC0" w14:paraId="4D7DEEC3" w14:textId="77777777" w:rsidTr="001823C5">
        <w:trPr>
          <w:trHeight w:val="392"/>
          <w:jc w:val="center"/>
        </w:trPr>
        <w:tc>
          <w:tcPr>
            <w:tcW w:w="2553" w:type="dxa"/>
            <w:shd w:val="clear" w:color="auto" w:fill="CCCCCC"/>
          </w:tcPr>
          <w:p w14:paraId="47DA5E02" w14:textId="77777777" w:rsidR="00BC03F2" w:rsidRPr="002C5AC0" w:rsidRDefault="00BC03F2" w:rsidP="001823C5">
            <w:pPr>
              <w:pStyle w:val="Heading1"/>
              <w:jc w:val="both"/>
              <w:rPr>
                <w:rFonts w:asciiTheme="majorHAnsi" w:hAnsiTheme="majorHAnsi"/>
              </w:rPr>
            </w:pPr>
          </w:p>
        </w:tc>
        <w:tc>
          <w:tcPr>
            <w:tcW w:w="786" w:type="dxa"/>
            <w:shd w:val="clear" w:color="auto" w:fill="CCCCCC"/>
            <w:vAlign w:val="center"/>
          </w:tcPr>
          <w:p w14:paraId="1F554D18" w14:textId="47473EB5" w:rsidR="00BC03F2" w:rsidRPr="002C5AC0" w:rsidRDefault="00AE16FF" w:rsidP="001823C5">
            <w:pPr>
              <w:pStyle w:val="Heading1"/>
              <w:jc w:val="center"/>
              <w:rPr>
                <w:rFonts w:asciiTheme="majorHAnsi" w:hAnsiTheme="majorHAnsi"/>
              </w:rPr>
            </w:pPr>
            <w:r w:rsidRPr="002C5AC0">
              <w:rPr>
                <w:rFonts w:ascii="ZWAdobeF" w:hAnsi="ZWAdobeF" w:cs="ZWAdobeF"/>
                <w:b w:val="0"/>
                <w:sz w:val="2"/>
                <w:szCs w:val="2"/>
              </w:rPr>
              <w:t>0B</w:t>
            </w:r>
            <w:r w:rsidR="009A5C6B" w:rsidRPr="002C5AC0">
              <w:rPr>
                <w:rFonts w:asciiTheme="majorHAnsi" w:hAnsiTheme="majorHAnsi"/>
              </w:rPr>
              <w:t>2025</w:t>
            </w:r>
          </w:p>
        </w:tc>
        <w:tc>
          <w:tcPr>
            <w:tcW w:w="891" w:type="dxa"/>
            <w:shd w:val="clear" w:color="auto" w:fill="CCCCCC"/>
            <w:vAlign w:val="center"/>
          </w:tcPr>
          <w:p w14:paraId="267B4772" w14:textId="323C1D92" w:rsidR="00BC03F2" w:rsidRPr="002C5AC0" w:rsidRDefault="00AE16FF" w:rsidP="001823C5">
            <w:pPr>
              <w:pStyle w:val="Heading1"/>
              <w:jc w:val="center"/>
              <w:rPr>
                <w:rFonts w:asciiTheme="majorHAnsi" w:hAnsiTheme="majorHAnsi"/>
              </w:rPr>
            </w:pPr>
            <w:r w:rsidRPr="002C5AC0">
              <w:rPr>
                <w:rFonts w:ascii="ZWAdobeF" w:hAnsi="ZWAdobeF" w:cs="ZWAdobeF"/>
                <w:b w:val="0"/>
                <w:sz w:val="2"/>
                <w:szCs w:val="2"/>
              </w:rPr>
              <w:t>1B</w:t>
            </w:r>
            <w:r w:rsidR="009A5C6B" w:rsidRPr="002C5AC0">
              <w:rPr>
                <w:rFonts w:asciiTheme="majorHAnsi" w:hAnsiTheme="majorHAnsi"/>
              </w:rPr>
              <w:t>2026</w:t>
            </w:r>
          </w:p>
        </w:tc>
        <w:tc>
          <w:tcPr>
            <w:tcW w:w="899" w:type="dxa"/>
            <w:shd w:val="clear" w:color="auto" w:fill="CCCCCC"/>
            <w:vAlign w:val="center"/>
          </w:tcPr>
          <w:p w14:paraId="62709CF4" w14:textId="249CE64F" w:rsidR="00BC03F2" w:rsidRPr="002C5AC0" w:rsidRDefault="00AE16FF" w:rsidP="001823C5">
            <w:pPr>
              <w:pStyle w:val="Heading1"/>
              <w:jc w:val="center"/>
              <w:rPr>
                <w:rFonts w:asciiTheme="majorHAnsi" w:hAnsiTheme="majorHAnsi"/>
              </w:rPr>
            </w:pPr>
            <w:r w:rsidRPr="002C5AC0">
              <w:rPr>
                <w:rFonts w:ascii="ZWAdobeF" w:hAnsi="ZWAdobeF" w:cs="ZWAdobeF"/>
                <w:b w:val="0"/>
                <w:sz w:val="2"/>
                <w:szCs w:val="2"/>
              </w:rPr>
              <w:t>2B</w:t>
            </w:r>
            <w:r w:rsidR="009A5C6B" w:rsidRPr="002C5AC0">
              <w:rPr>
                <w:rFonts w:asciiTheme="majorHAnsi" w:hAnsiTheme="majorHAnsi"/>
              </w:rPr>
              <w:t>2027</w:t>
            </w:r>
          </w:p>
        </w:tc>
        <w:tc>
          <w:tcPr>
            <w:tcW w:w="901" w:type="dxa"/>
            <w:shd w:val="clear" w:color="auto" w:fill="CCCCCC"/>
            <w:vAlign w:val="center"/>
          </w:tcPr>
          <w:p w14:paraId="154233DB" w14:textId="67DD01DA" w:rsidR="00BC03F2" w:rsidRPr="002C5AC0" w:rsidRDefault="00AE16FF" w:rsidP="001823C5">
            <w:pPr>
              <w:pStyle w:val="Heading1"/>
              <w:jc w:val="center"/>
              <w:rPr>
                <w:rFonts w:asciiTheme="majorHAnsi" w:hAnsiTheme="majorHAnsi"/>
              </w:rPr>
            </w:pPr>
            <w:r w:rsidRPr="002C5AC0">
              <w:rPr>
                <w:rFonts w:ascii="ZWAdobeF" w:hAnsi="ZWAdobeF" w:cs="ZWAdobeF"/>
                <w:b w:val="0"/>
                <w:sz w:val="2"/>
                <w:szCs w:val="2"/>
              </w:rPr>
              <w:t>3B</w:t>
            </w:r>
            <w:r w:rsidR="009A5C6B" w:rsidRPr="002C5AC0">
              <w:rPr>
                <w:rFonts w:asciiTheme="majorHAnsi" w:hAnsiTheme="majorHAnsi"/>
              </w:rPr>
              <w:t>2028</w:t>
            </w:r>
          </w:p>
        </w:tc>
        <w:tc>
          <w:tcPr>
            <w:tcW w:w="864" w:type="dxa"/>
            <w:shd w:val="clear" w:color="auto" w:fill="CCCCCC"/>
            <w:vAlign w:val="center"/>
          </w:tcPr>
          <w:p w14:paraId="27CC0BA9" w14:textId="26961CD6" w:rsidR="00BC03F2" w:rsidRPr="002C5AC0" w:rsidRDefault="00AE16FF" w:rsidP="001823C5">
            <w:pPr>
              <w:pStyle w:val="Heading1"/>
              <w:jc w:val="center"/>
              <w:rPr>
                <w:rFonts w:asciiTheme="majorHAnsi" w:hAnsiTheme="majorHAnsi"/>
              </w:rPr>
            </w:pPr>
            <w:r w:rsidRPr="002C5AC0">
              <w:rPr>
                <w:rFonts w:ascii="ZWAdobeF" w:hAnsi="ZWAdobeF" w:cs="ZWAdobeF"/>
                <w:b w:val="0"/>
                <w:sz w:val="2"/>
                <w:szCs w:val="2"/>
              </w:rPr>
              <w:t>4B</w:t>
            </w:r>
            <w:r w:rsidR="009A5C6B" w:rsidRPr="002C5AC0">
              <w:rPr>
                <w:rFonts w:asciiTheme="majorHAnsi" w:hAnsiTheme="majorHAnsi"/>
              </w:rPr>
              <w:t>2029</w:t>
            </w:r>
          </w:p>
        </w:tc>
        <w:tc>
          <w:tcPr>
            <w:tcW w:w="865" w:type="dxa"/>
            <w:shd w:val="clear" w:color="auto" w:fill="CCCCCC"/>
            <w:vAlign w:val="center"/>
          </w:tcPr>
          <w:p w14:paraId="59E82796" w14:textId="3BAAE814" w:rsidR="00BC03F2" w:rsidRPr="002C5AC0" w:rsidRDefault="00AE16FF" w:rsidP="001823C5">
            <w:pPr>
              <w:pStyle w:val="Heading1"/>
              <w:jc w:val="center"/>
              <w:rPr>
                <w:rFonts w:asciiTheme="majorHAnsi" w:hAnsiTheme="majorHAnsi"/>
              </w:rPr>
            </w:pPr>
            <w:r w:rsidRPr="002C5AC0">
              <w:rPr>
                <w:rFonts w:ascii="ZWAdobeF" w:hAnsi="ZWAdobeF" w:cs="ZWAdobeF"/>
                <w:b w:val="0"/>
                <w:sz w:val="2"/>
                <w:szCs w:val="2"/>
              </w:rPr>
              <w:t>5B</w:t>
            </w:r>
            <w:r w:rsidR="009A5C6B" w:rsidRPr="002C5AC0">
              <w:rPr>
                <w:rFonts w:asciiTheme="majorHAnsi" w:hAnsiTheme="majorHAnsi"/>
              </w:rPr>
              <w:t>2030</w:t>
            </w:r>
          </w:p>
        </w:tc>
        <w:tc>
          <w:tcPr>
            <w:tcW w:w="865" w:type="dxa"/>
            <w:shd w:val="clear" w:color="auto" w:fill="CCCCCC"/>
            <w:vAlign w:val="center"/>
          </w:tcPr>
          <w:p w14:paraId="3A43937D" w14:textId="18B039ED" w:rsidR="00BC03F2" w:rsidRPr="002C5AC0" w:rsidRDefault="00AE16FF" w:rsidP="001823C5">
            <w:pPr>
              <w:pStyle w:val="Heading1"/>
              <w:jc w:val="center"/>
              <w:rPr>
                <w:rFonts w:asciiTheme="majorHAnsi" w:hAnsiTheme="majorHAnsi"/>
              </w:rPr>
            </w:pPr>
            <w:r w:rsidRPr="002C5AC0">
              <w:rPr>
                <w:rFonts w:ascii="ZWAdobeF" w:hAnsi="ZWAdobeF" w:cs="ZWAdobeF"/>
                <w:b w:val="0"/>
                <w:sz w:val="2"/>
                <w:szCs w:val="2"/>
              </w:rPr>
              <w:t>6B</w:t>
            </w:r>
            <w:r w:rsidR="009A5C6B" w:rsidRPr="002C5AC0">
              <w:rPr>
                <w:rFonts w:asciiTheme="majorHAnsi" w:hAnsiTheme="majorHAnsi"/>
              </w:rPr>
              <w:t>2031</w:t>
            </w:r>
          </w:p>
        </w:tc>
      </w:tr>
      <w:tr w:rsidR="00BC03F2" w:rsidRPr="002C5AC0" w14:paraId="5DB17A81" w14:textId="77777777" w:rsidTr="005B5E97">
        <w:trPr>
          <w:jc w:val="center"/>
        </w:trPr>
        <w:tc>
          <w:tcPr>
            <w:tcW w:w="2553" w:type="dxa"/>
            <w:vAlign w:val="center"/>
          </w:tcPr>
          <w:p w14:paraId="733D8C33" w14:textId="7D7550F8" w:rsidR="00BC03F2" w:rsidRPr="002C5AC0" w:rsidRDefault="00AE16FF" w:rsidP="005B5E97">
            <w:pPr>
              <w:pStyle w:val="Heading1"/>
              <w:ind w:right="68"/>
              <w:jc w:val="both"/>
              <w:rPr>
                <w:rFonts w:asciiTheme="majorHAnsi" w:hAnsiTheme="majorHAnsi"/>
                <w:b w:val="0"/>
                <w:bCs w:val="0"/>
              </w:rPr>
            </w:pPr>
            <w:r w:rsidRPr="002C5AC0">
              <w:rPr>
                <w:rFonts w:ascii="ZWAdobeF" w:hAnsi="ZWAdobeF" w:cs="ZWAdobeF"/>
                <w:b w:val="0"/>
                <w:sz w:val="2"/>
                <w:szCs w:val="2"/>
              </w:rPr>
              <w:t>7B</w:t>
            </w:r>
            <w:r w:rsidR="009A5C6B" w:rsidRPr="002C5AC0">
              <w:rPr>
                <w:rFonts w:asciiTheme="majorHAnsi" w:hAnsiTheme="majorHAnsi"/>
                <w:b w:val="0"/>
              </w:rPr>
              <w:t>Vérification des circonstances exceptionnelles par le SCRS</w:t>
            </w:r>
          </w:p>
        </w:tc>
        <w:tc>
          <w:tcPr>
            <w:tcW w:w="786" w:type="dxa"/>
            <w:vAlign w:val="center"/>
          </w:tcPr>
          <w:p w14:paraId="1B3866CF" w14:textId="77777777" w:rsidR="00BC03F2" w:rsidRPr="002C5AC0" w:rsidRDefault="00BC03F2" w:rsidP="001823C5">
            <w:pPr>
              <w:pStyle w:val="Heading1"/>
              <w:ind w:right="68"/>
              <w:jc w:val="center"/>
              <w:rPr>
                <w:rFonts w:asciiTheme="majorHAnsi" w:hAnsiTheme="majorHAnsi"/>
                <w:b w:val="0"/>
                <w:bCs w:val="0"/>
              </w:rPr>
            </w:pPr>
          </w:p>
        </w:tc>
        <w:tc>
          <w:tcPr>
            <w:tcW w:w="891" w:type="dxa"/>
            <w:vAlign w:val="center"/>
          </w:tcPr>
          <w:p w14:paraId="5DCCC46D" w14:textId="60BE3E9F" w:rsidR="00BC03F2" w:rsidRPr="002C5AC0" w:rsidRDefault="00AE16FF" w:rsidP="001823C5">
            <w:pPr>
              <w:pStyle w:val="Heading1"/>
              <w:ind w:right="68"/>
              <w:jc w:val="center"/>
              <w:rPr>
                <w:rFonts w:asciiTheme="majorHAnsi" w:hAnsiTheme="majorHAnsi"/>
                <w:b w:val="0"/>
                <w:bCs w:val="0"/>
              </w:rPr>
            </w:pPr>
            <w:r w:rsidRPr="002C5AC0">
              <w:rPr>
                <w:rFonts w:ascii="ZWAdobeF" w:hAnsi="ZWAdobeF" w:cs="ZWAdobeF"/>
                <w:b w:val="0"/>
                <w:sz w:val="2"/>
                <w:szCs w:val="2"/>
              </w:rPr>
              <w:t>8B</w:t>
            </w:r>
            <w:r w:rsidR="009A5C6B" w:rsidRPr="002C5AC0">
              <w:rPr>
                <w:rFonts w:asciiTheme="majorHAnsi" w:hAnsiTheme="majorHAnsi"/>
                <w:b w:val="0"/>
              </w:rPr>
              <w:t>X</w:t>
            </w:r>
          </w:p>
        </w:tc>
        <w:tc>
          <w:tcPr>
            <w:tcW w:w="899" w:type="dxa"/>
            <w:vAlign w:val="center"/>
          </w:tcPr>
          <w:p w14:paraId="13987067" w14:textId="13A29F19" w:rsidR="00BC03F2" w:rsidRPr="002C5AC0" w:rsidRDefault="00AE16FF" w:rsidP="001823C5">
            <w:pPr>
              <w:pStyle w:val="Heading1"/>
              <w:ind w:right="68"/>
              <w:jc w:val="center"/>
              <w:rPr>
                <w:rFonts w:asciiTheme="majorHAnsi" w:hAnsiTheme="majorHAnsi"/>
                <w:b w:val="0"/>
                <w:bCs w:val="0"/>
              </w:rPr>
            </w:pPr>
            <w:r w:rsidRPr="002C5AC0">
              <w:rPr>
                <w:rFonts w:ascii="ZWAdobeF" w:hAnsi="ZWAdobeF" w:cs="ZWAdobeF"/>
                <w:b w:val="0"/>
                <w:sz w:val="2"/>
                <w:szCs w:val="2"/>
              </w:rPr>
              <w:t>9B</w:t>
            </w:r>
            <w:r w:rsidR="009A5C6B" w:rsidRPr="002C5AC0">
              <w:rPr>
                <w:rFonts w:asciiTheme="majorHAnsi" w:hAnsiTheme="majorHAnsi"/>
                <w:b w:val="0"/>
              </w:rPr>
              <w:t>X</w:t>
            </w:r>
          </w:p>
        </w:tc>
        <w:tc>
          <w:tcPr>
            <w:tcW w:w="901" w:type="dxa"/>
            <w:vAlign w:val="center"/>
          </w:tcPr>
          <w:p w14:paraId="5A1CDAFC" w14:textId="3B6E5AEA" w:rsidR="00BC03F2" w:rsidRPr="002C5AC0" w:rsidRDefault="00AE16FF" w:rsidP="001823C5">
            <w:pPr>
              <w:pStyle w:val="Heading1"/>
              <w:ind w:right="68"/>
              <w:jc w:val="center"/>
              <w:rPr>
                <w:rFonts w:asciiTheme="majorHAnsi" w:hAnsiTheme="majorHAnsi"/>
                <w:b w:val="0"/>
                <w:bCs w:val="0"/>
              </w:rPr>
            </w:pPr>
            <w:r w:rsidRPr="002C5AC0">
              <w:rPr>
                <w:rFonts w:ascii="ZWAdobeF" w:hAnsi="ZWAdobeF" w:cs="ZWAdobeF"/>
                <w:b w:val="0"/>
                <w:sz w:val="2"/>
                <w:szCs w:val="2"/>
              </w:rPr>
              <w:t>10B</w:t>
            </w:r>
            <w:r w:rsidR="009A5C6B" w:rsidRPr="002C5AC0">
              <w:rPr>
                <w:rFonts w:asciiTheme="majorHAnsi" w:hAnsiTheme="majorHAnsi"/>
                <w:b w:val="0"/>
              </w:rPr>
              <w:t>X</w:t>
            </w:r>
          </w:p>
        </w:tc>
        <w:tc>
          <w:tcPr>
            <w:tcW w:w="864" w:type="dxa"/>
            <w:vAlign w:val="center"/>
          </w:tcPr>
          <w:p w14:paraId="2009DEE6" w14:textId="5C36BFF1" w:rsidR="00BC03F2" w:rsidRPr="002C5AC0" w:rsidRDefault="00AE16FF" w:rsidP="001823C5">
            <w:pPr>
              <w:pStyle w:val="Heading1"/>
              <w:ind w:right="68"/>
              <w:jc w:val="center"/>
              <w:rPr>
                <w:rFonts w:asciiTheme="majorHAnsi" w:hAnsiTheme="majorHAnsi"/>
                <w:b w:val="0"/>
                <w:bCs w:val="0"/>
              </w:rPr>
            </w:pPr>
            <w:r w:rsidRPr="002C5AC0">
              <w:rPr>
                <w:rFonts w:ascii="ZWAdobeF" w:hAnsi="ZWAdobeF" w:cs="ZWAdobeF"/>
                <w:b w:val="0"/>
                <w:sz w:val="2"/>
                <w:szCs w:val="2"/>
              </w:rPr>
              <w:t>11B</w:t>
            </w:r>
            <w:r w:rsidR="009A5C6B" w:rsidRPr="002C5AC0">
              <w:rPr>
                <w:rFonts w:asciiTheme="majorHAnsi" w:hAnsiTheme="majorHAnsi"/>
                <w:b w:val="0"/>
              </w:rPr>
              <w:t>X</w:t>
            </w:r>
          </w:p>
        </w:tc>
        <w:tc>
          <w:tcPr>
            <w:tcW w:w="865" w:type="dxa"/>
            <w:vAlign w:val="center"/>
          </w:tcPr>
          <w:p w14:paraId="35B8DFDE" w14:textId="2298D52C" w:rsidR="00BC03F2" w:rsidRPr="002C5AC0" w:rsidRDefault="00AE16FF" w:rsidP="001823C5">
            <w:pPr>
              <w:pStyle w:val="Heading1"/>
              <w:ind w:right="68"/>
              <w:jc w:val="center"/>
              <w:rPr>
                <w:rFonts w:asciiTheme="majorHAnsi" w:hAnsiTheme="majorHAnsi"/>
                <w:b w:val="0"/>
                <w:bCs w:val="0"/>
              </w:rPr>
            </w:pPr>
            <w:r w:rsidRPr="002C5AC0">
              <w:rPr>
                <w:rFonts w:ascii="ZWAdobeF" w:hAnsi="ZWAdobeF" w:cs="ZWAdobeF"/>
                <w:b w:val="0"/>
                <w:sz w:val="2"/>
                <w:szCs w:val="2"/>
              </w:rPr>
              <w:t>12B</w:t>
            </w:r>
            <w:r w:rsidR="009A5C6B" w:rsidRPr="002C5AC0">
              <w:rPr>
                <w:rFonts w:asciiTheme="majorHAnsi" w:hAnsiTheme="majorHAnsi"/>
                <w:b w:val="0"/>
              </w:rPr>
              <w:t>X</w:t>
            </w:r>
          </w:p>
        </w:tc>
        <w:tc>
          <w:tcPr>
            <w:tcW w:w="865" w:type="dxa"/>
            <w:vAlign w:val="center"/>
          </w:tcPr>
          <w:p w14:paraId="107117FA" w14:textId="613753DB" w:rsidR="00BC03F2" w:rsidRPr="002C5AC0" w:rsidRDefault="00AE16FF" w:rsidP="001823C5">
            <w:pPr>
              <w:pStyle w:val="Heading1"/>
              <w:ind w:right="68"/>
              <w:jc w:val="center"/>
              <w:rPr>
                <w:rFonts w:asciiTheme="majorHAnsi" w:hAnsiTheme="majorHAnsi"/>
                <w:b w:val="0"/>
                <w:bCs w:val="0"/>
              </w:rPr>
            </w:pPr>
            <w:r w:rsidRPr="002C5AC0">
              <w:rPr>
                <w:rFonts w:ascii="ZWAdobeF" w:hAnsi="ZWAdobeF" w:cs="ZWAdobeF"/>
                <w:b w:val="0"/>
                <w:sz w:val="2"/>
                <w:szCs w:val="2"/>
              </w:rPr>
              <w:t>13B</w:t>
            </w:r>
            <w:r w:rsidR="009A5C6B" w:rsidRPr="002C5AC0">
              <w:rPr>
                <w:rFonts w:asciiTheme="majorHAnsi" w:hAnsiTheme="majorHAnsi"/>
                <w:b w:val="0"/>
              </w:rPr>
              <w:t>X</w:t>
            </w:r>
          </w:p>
        </w:tc>
      </w:tr>
      <w:tr w:rsidR="002C6E49" w:rsidRPr="002C5AC0" w14:paraId="02790139" w14:textId="77777777" w:rsidTr="005B5E97">
        <w:trPr>
          <w:jc w:val="center"/>
        </w:trPr>
        <w:tc>
          <w:tcPr>
            <w:tcW w:w="2553" w:type="dxa"/>
            <w:vAlign w:val="center"/>
          </w:tcPr>
          <w:p w14:paraId="291CBFF7" w14:textId="696BA21E" w:rsidR="002C6E49" w:rsidRPr="002C5AC0" w:rsidRDefault="00AE16FF" w:rsidP="005B5E97">
            <w:pPr>
              <w:pStyle w:val="Heading1"/>
              <w:ind w:right="68"/>
              <w:jc w:val="both"/>
              <w:rPr>
                <w:rFonts w:asciiTheme="majorHAnsi" w:hAnsiTheme="majorHAnsi"/>
                <w:b w:val="0"/>
              </w:rPr>
            </w:pPr>
            <w:r w:rsidRPr="002C5AC0">
              <w:rPr>
                <w:rFonts w:ascii="ZWAdobeF" w:hAnsi="ZWAdobeF" w:cs="ZWAdobeF"/>
                <w:b w:val="0"/>
                <w:sz w:val="2"/>
                <w:szCs w:val="2"/>
              </w:rPr>
              <w:t>14B</w:t>
            </w:r>
            <w:r w:rsidR="004B6F39" w:rsidRPr="002C5AC0">
              <w:rPr>
                <w:rFonts w:asciiTheme="majorHAnsi" w:hAnsiTheme="majorHAnsi"/>
                <w:b w:val="0"/>
              </w:rPr>
              <w:t>Exécution de MP potentielles par le SCRS</w:t>
            </w:r>
          </w:p>
        </w:tc>
        <w:tc>
          <w:tcPr>
            <w:tcW w:w="786" w:type="dxa"/>
            <w:shd w:val="clear" w:color="auto" w:fill="95B3D7" w:themeFill="accent1" w:themeFillTint="99"/>
            <w:vAlign w:val="center"/>
          </w:tcPr>
          <w:p w14:paraId="4EFD2572" w14:textId="0E478951" w:rsidR="002C6E49" w:rsidRPr="002C5AC0" w:rsidRDefault="00AE16FF" w:rsidP="001823C5">
            <w:pPr>
              <w:pStyle w:val="Heading1"/>
              <w:ind w:right="68"/>
              <w:jc w:val="center"/>
              <w:rPr>
                <w:rFonts w:asciiTheme="majorHAnsi" w:hAnsiTheme="majorHAnsi"/>
                <w:b w:val="0"/>
                <w:bCs w:val="0"/>
              </w:rPr>
            </w:pPr>
            <w:r w:rsidRPr="002C5AC0">
              <w:rPr>
                <w:rFonts w:ascii="ZWAdobeF" w:hAnsi="ZWAdobeF" w:cs="ZWAdobeF"/>
                <w:b w:val="0"/>
                <w:bCs w:val="0"/>
                <w:sz w:val="2"/>
                <w:szCs w:val="2"/>
              </w:rPr>
              <w:t>15B</w:t>
            </w:r>
            <w:r w:rsidR="004B6F39" w:rsidRPr="002C5AC0">
              <w:rPr>
                <w:rFonts w:asciiTheme="majorHAnsi" w:hAnsiTheme="majorHAnsi"/>
                <w:b w:val="0"/>
                <w:bCs w:val="0"/>
              </w:rPr>
              <w:t>X</w:t>
            </w:r>
          </w:p>
        </w:tc>
        <w:tc>
          <w:tcPr>
            <w:tcW w:w="891" w:type="dxa"/>
            <w:vAlign w:val="center"/>
          </w:tcPr>
          <w:p w14:paraId="60926186" w14:textId="77777777" w:rsidR="002C6E49" w:rsidRPr="002C5AC0" w:rsidRDefault="002C6E49" w:rsidP="001823C5">
            <w:pPr>
              <w:pStyle w:val="Heading1"/>
              <w:ind w:right="68"/>
              <w:jc w:val="center"/>
              <w:rPr>
                <w:rFonts w:asciiTheme="majorHAnsi" w:hAnsiTheme="majorHAnsi"/>
                <w:b w:val="0"/>
              </w:rPr>
            </w:pPr>
          </w:p>
        </w:tc>
        <w:tc>
          <w:tcPr>
            <w:tcW w:w="899" w:type="dxa"/>
            <w:vAlign w:val="center"/>
          </w:tcPr>
          <w:p w14:paraId="6AB44D16" w14:textId="77777777" w:rsidR="002C6E49" w:rsidRPr="002C5AC0" w:rsidRDefault="002C6E49" w:rsidP="001823C5">
            <w:pPr>
              <w:pStyle w:val="Heading1"/>
              <w:ind w:right="68"/>
              <w:jc w:val="center"/>
              <w:rPr>
                <w:rFonts w:asciiTheme="majorHAnsi" w:hAnsiTheme="majorHAnsi"/>
                <w:b w:val="0"/>
              </w:rPr>
            </w:pPr>
          </w:p>
        </w:tc>
        <w:tc>
          <w:tcPr>
            <w:tcW w:w="901" w:type="dxa"/>
            <w:vAlign w:val="center"/>
          </w:tcPr>
          <w:p w14:paraId="21FE250D" w14:textId="77777777" w:rsidR="002C6E49" w:rsidRPr="002C5AC0" w:rsidRDefault="002C6E49" w:rsidP="001823C5">
            <w:pPr>
              <w:pStyle w:val="Heading1"/>
              <w:ind w:right="68"/>
              <w:jc w:val="center"/>
              <w:rPr>
                <w:rFonts w:asciiTheme="majorHAnsi" w:hAnsiTheme="majorHAnsi"/>
                <w:b w:val="0"/>
              </w:rPr>
            </w:pPr>
          </w:p>
        </w:tc>
        <w:tc>
          <w:tcPr>
            <w:tcW w:w="864" w:type="dxa"/>
            <w:vAlign w:val="center"/>
          </w:tcPr>
          <w:p w14:paraId="2DE03851" w14:textId="77777777" w:rsidR="002C6E49" w:rsidRPr="002C5AC0" w:rsidRDefault="002C6E49" w:rsidP="001823C5">
            <w:pPr>
              <w:pStyle w:val="Heading1"/>
              <w:ind w:right="68"/>
              <w:jc w:val="center"/>
              <w:rPr>
                <w:rFonts w:asciiTheme="majorHAnsi" w:hAnsiTheme="majorHAnsi"/>
                <w:b w:val="0"/>
              </w:rPr>
            </w:pPr>
          </w:p>
        </w:tc>
        <w:tc>
          <w:tcPr>
            <w:tcW w:w="865" w:type="dxa"/>
            <w:vAlign w:val="center"/>
          </w:tcPr>
          <w:p w14:paraId="0DDD580A" w14:textId="77777777" w:rsidR="002C6E49" w:rsidRPr="002C5AC0" w:rsidRDefault="002C6E49" w:rsidP="001823C5">
            <w:pPr>
              <w:pStyle w:val="Heading1"/>
              <w:ind w:right="68"/>
              <w:jc w:val="center"/>
              <w:rPr>
                <w:rFonts w:asciiTheme="majorHAnsi" w:hAnsiTheme="majorHAnsi"/>
                <w:b w:val="0"/>
              </w:rPr>
            </w:pPr>
          </w:p>
        </w:tc>
        <w:tc>
          <w:tcPr>
            <w:tcW w:w="865" w:type="dxa"/>
            <w:vAlign w:val="center"/>
          </w:tcPr>
          <w:p w14:paraId="7F873E96" w14:textId="77777777" w:rsidR="002C6E49" w:rsidRPr="002C5AC0" w:rsidRDefault="002C6E49" w:rsidP="001823C5">
            <w:pPr>
              <w:pStyle w:val="Heading1"/>
              <w:ind w:right="68"/>
              <w:jc w:val="center"/>
              <w:rPr>
                <w:rFonts w:asciiTheme="majorHAnsi" w:hAnsiTheme="majorHAnsi"/>
                <w:b w:val="0"/>
              </w:rPr>
            </w:pPr>
          </w:p>
        </w:tc>
      </w:tr>
      <w:tr w:rsidR="002C6E49" w:rsidRPr="002C5AC0" w14:paraId="18F4815E" w14:textId="77777777" w:rsidTr="005B5E97">
        <w:trPr>
          <w:jc w:val="center"/>
        </w:trPr>
        <w:tc>
          <w:tcPr>
            <w:tcW w:w="2553" w:type="dxa"/>
            <w:vAlign w:val="center"/>
          </w:tcPr>
          <w:p w14:paraId="2B76EE16" w14:textId="44731709" w:rsidR="002C6E49" w:rsidRPr="002C5AC0" w:rsidRDefault="00AE16FF" w:rsidP="005B5E97">
            <w:pPr>
              <w:pStyle w:val="Heading1"/>
              <w:ind w:right="68"/>
              <w:jc w:val="both"/>
              <w:rPr>
                <w:rFonts w:asciiTheme="majorHAnsi" w:hAnsiTheme="majorHAnsi"/>
                <w:b w:val="0"/>
              </w:rPr>
            </w:pPr>
            <w:r w:rsidRPr="002C5AC0">
              <w:rPr>
                <w:rFonts w:ascii="ZWAdobeF" w:hAnsi="ZWAdobeF" w:cs="ZWAdobeF"/>
                <w:b w:val="0"/>
                <w:sz w:val="2"/>
                <w:szCs w:val="2"/>
              </w:rPr>
              <w:t>16B</w:t>
            </w:r>
            <w:r w:rsidR="004B6F39" w:rsidRPr="002C5AC0">
              <w:rPr>
                <w:rFonts w:asciiTheme="majorHAnsi" w:hAnsiTheme="majorHAnsi"/>
                <w:b w:val="0"/>
              </w:rPr>
              <w:t>Adoption d’une MP par la Commission</w:t>
            </w:r>
          </w:p>
        </w:tc>
        <w:tc>
          <w:tcPr>
            <w:tcW w:w="786" w:type="dxa"/>
            <w:shd w:val="clear" w:color="auto" w:fill="95B3D7" w:themeFill="accent1" w:themeFillTint="99"/>
            <w:vAlign w:val="center"/>
          </w:tcPr>
          <w:p w14:paraId="0C989E28" w14:textId="6BD423EC" w:rsidR="002C6E49" w:rsidRPr="002C5AC0" w:rsidRDefault="00AE16FF" w:rsidP="001823C5">
            <w:pPr>
              <w:pStyle w:val="Heading1"/>
              <w:ind w:right="68"/>
              <w:jc w:val="center"/>
              <w:rPr>
                <w:rFonts w:asciiTheme="majorHAnsi" w:hAnsiTheme="majorHAnsi"/>
                <w:b w:val="0"/>
                <w:bCs w:val="0"/>
              </w:rPr>
            </w:pPr>
            <w:r w:rsidRPr="002C5AC0">
              <w:rPr>
                <w:rFonts w:ascii="ZWAdobeF" w:hAnsi="ZWAdobeF" w:cs="ZWAdobeF"/>
                <w:b w:val="0"/>
                <w:bCs w:val="0"/>
                <w:sz w:val="2"/>
                <w:szCs w:val="2"/>
              </w:rPr>
              <w:t>17B</w:t>
            </w:r>
            <w:r w:rsidR="004B6F39" w:rsidRPr="002C5AC0">
              <w:rPr>
                <w:rFonts w:asciiTheme="majorHAnsi" w:hAnsiTheme="majorHAnsi"/>
                <w:b w:val="0"/>
                <w:bCs w:val="0"/>
              </w:rPr>
              <w:t>X</w:t>
            </w:r>
          </w:p>
        </w:tc>
        <w:tc>
          <w:tcPr>
            <w:tcW w:w="891" w:type="dxa"/>
            <w:vAlign w:val="center"/>
          </w:tcPr>
          <w:p w14:paraId="55F8280A" w14:textId="77777777" w:rsidR="002C6E49" w:rsidRPr="002C5AC0" w:rsidRDefault="002C6E49" w:rsidP="001823C5">
            <w:pPr>
              <w:pStyle w:val="Heading1"/>
              <w:ind w:right="68"/>
              <w:jc w:val="center"/>
              <w:rPr>
                <w:rFonts w:asciiTheme="majorHAnsi" w:hAnsiTheme="majorHAnsi"/>
                <w:b w:val="0"/>
              </w:rPr>
            </w:pPr>
          </w:p>
        </w:tc>
        <w:tc>
          <w:tcPr>
            <w:tcW w:w="899" w:type="dxa"/>
            <w:vAlign w:val="center"/>
          </w:tcPr>
          <w:p w14:paraId="2C24FAB9" w14:textId="77777777" w:rsidR="002C6E49" w:rsidRPr="002C5AC0" w:rsidRDefault="002C6E49" w:rsidP="001823C5">
            <w:pPr>
              <w:pStyle w:val="Heading1"/>
              <w:ind w:right="68"/>
              <w:jc w:val="center"/>
              <w:rPr>
                <w:rFonts w:asciiTheme="majorHAnsi" w:hAnsiTheme="majorHAnsi"/>
                <w:b w:val="0"/>
              </w:rPr>
            </w:pPr>
          </w:p>
        </w:tc>
        <w:tc>
          <w:tcPr>
            <w:tcW w:w="901" w:type="dxa"/>
            <w:vAlign w:val="center"/>
          </w:tcPr>
          <w:p w14:paraId="21B3650C" w14:textId="77777777" w:rsidR="002C6E49" w:rsidRPr="002C5AC0" w:rsidRDefault="002C6E49" w:rsidP="001823C5">
            <w:pPr>
              <w:pStyle w:val="Heading1"/>
              <w:ind w:right="68"/>
              <w:jc w:val="center"/>
              <w:rPr>
                <w:rFonts w:asciiTheme="majorHAnsi" w:hAnsiTheme="majorHAnsi"/>
                <w:b w:val="0"/>
              </w:rPr>
            </w:pPr>
          </w:p>
        </w:tc>
        <w:tc>
          <w:tcPr>
            <w:tcW w:w="864" w:type="dxa"/>
            <w:vAlign w:val="center"/>
          </w:tcPr>
          <w:p w14:paraId="7A384F07" w14:textId="77777777" w:rsidR="002C6E49" w:rsidRPr="002C5AC0" w:rsidRDefault="002C6E49" w:rsidP="001823C5">
            <w:pPr>
              <w:pStyle w:val="Heading1"/>
              <w:ind w:right="68"/>
              <w:jc w:val="center"/>
              <w:rPr>
                <w:rFonts w:asciiTheme="majorHAnsi" w:hAnsiTheme="majorHAnsi"/>
                <w:b w:val="0"/>
              </w:rPr>
            </w:pPr>
          </w:p>
        </w:tc>
        <w:tc>
          <w:tcPr>
            <w:tcW w:w="865" w:type="dxa"/>
            <w:vAlign w:val="center"/>
          </w:tcPr>
          <w:p w14:paraId="5D3CBF4B" w14:textId="77777777" w:rsidR="002C6E49" w:rsidRPr="002C5AC0" w:rsidRDefault="002C6E49" w:rsidP="001823C5">
            <w:pPr>
              <w:pStyle w:val="Heading1"/>
              <w:ind w:right="68"/>
              <w:jc w:val="center"/>
              <w:rPr>
                <w:rFonts w:asciiTheme="majorHAnsi" w:hAnsiTheme="majorHAnsi"/>
                <w:b w:val="0"/>
              </w:rPr>
            </w:pPr>
          </w:p>
        </w:tc>
        <w:tc>
          <w:tcPr>
            <w:tcW w:w="865" w:type="dxa"/>
            <w:vAlign w:val="center"/>
          </w:tcPr>
          <w:p w14:paraId="7E8394E8" w14:textId="77777777" w:rsidR="002C6E49" w:rsidRPr="002C5AC0" w:rsidRDefault="002C6E49" w:rsidP="001823C5">
            <w:pPr>
              <w:pStyle w:val="Heading1"/>
              <w:ind w:right="68"/>
              <w:jc w:val="center"/>
              <w:rPr>
                <w:rFonts w:asciiTheme="majorHAnsi" w:hAnsiTheme="majorHAnsi"/>
                <w:b w:val="0"/>
              </w:rPr>
            </w:pPr>
          </w:p>
        </w:tc>
      </w:tr>
      <w:tr w:rsidR="005046E2" w:rsidRPr="002C5AC0" w14:paraId="43A7467B" w14:textId="77777777" w:rsidTr="00567F80">
        <w:trPr>
          <w:jc w:val="center"/>
        </w:trPr>
        <w:tc>
          <w:tcPr>
            <w:tcW w:w="2553" w:type="dxa"/>
            <w:vAlign w:val="center"/>
          </w:tcPr>
          <w:p w14:paraId="7CB598E7" w14:textId="6A76D4F1" w:rsidR="005046E2" w:rsidRPr="002C5AC0" w:rsidRDefault="005046E2" w:rsidP="005046E2">
            <w:pPr>
              <w:pStyle w:val="Heading1"/>
              <w:ind w:right="68"/>
              <w:jc w:val="both"/>
              <w:rPr>
                <w:rFonts w:asciiTheme="majorHAnsi" w:hAnsiTheme="majorHAnsi"/>
                <w:b w:val="0"/>
                <w:bCs w:val="0"/>
              </w:rPr>
            </w:pPr>
            <w:r w:rsidRPr="002C5AC0">
              <w:rPr>
                <w:rFonts w:ascii="ZWAdobeF" w:hAnsi="ZWAdobeF" w:cs="ZWAdobeF"/>
                <w:b w:val="0"/>
                <w:sz w:val="2"/>
                <w:szCs w:val="2"/>
              </w:rPr>
              <w:t>18B</w:t>
            </w:r>
            <w:r w:rsidRPr="002C5AC0">
              <w:rPr>
                <w:rFonts w:asciiTheme="majorHAnsi" w:hAnsiTheme="majorHAnsi"/>
                <w:b w:val="0"/>
              </w:rPr>
              <w:t>Exécution de la MP par le SCRS</w:t>
            </w:r>
          </w:p>
        </w:tc>
        <w:tc>
          <w:tcPr>
            <w:tcW w:w="786" w:type="dxa"/>
            <w:shd w:val="clear" w:color="auto" w:fill="95B3D7" w:themeFill="accent1" w:themeFillTint="99"/>
            <w:vAlign w:val="center"/>
          </w:tcPr>
          <w:p w14:paraId="5DB7C14A" w14:textId="1045672E"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bCs w:val="0"/>
                <w:sz w:val="2"/>
                <w:szCs w:val="2"/>
              </w:rPr>
              <w:t>17B</w:t>
            </w:r>
            <w:r w:rsidRPr="002C5AC0">
              <w:rPr>
                <w:rFonts w:asciiTheme="majorHAnsi" w:hAnsiTheme="majorHAnsi"/>
                <w:b w:val="0"/>
                <w:bCs w:val="0"/>
              </w:rPr>
              <w:t>X</w:t>
            </w:r>
          </w:p>
        </w:tc>
        <w:tc>
          <w:tcPr>
            <w:tcW w:w="891" w:type="dxa"/>
            <w:vAlign w:val="center"/>
          </w:tcPr>
          <w:p w14:paraId="6D7F18F5" w14:textId="77777777" w:rsidR="005046E2" w:rsidRPr="002C5AC0" w:rsidRDefault="005046E2" w:rsidP="005046E2">
            <w:pPr>
              <w:pStyle w:val="Heading1"/>
              <w:ind w:right="68"/>
              <w:jc w:val="center"/>
              <w:rPr>
                <w:rFonts w:asciiTheme="majorHAnsi" w:hAnsiTheme="majorHAnsi"/>
                <w:b w:val="0"/>
                <w:bCs w:val="0"/>
              </w:rPr>
            </w:pPr>
          </w:p>
        </w:tc>
        <w:tc>
          <w:tcPr>
            <w:tcW w:w="899" w:type="dxa"/>
            <w:vAlign w:val="center"/>
          </w:tcPr>
          <w:p w14:paraId="3FED707B" w14:textId="77777777" w:rsidR="005046E2" w:rsidRPr="002C5AC0" w:rsidRDefault="005046E2" w:rsidP="005046E2">
            <w:pPr>
              <w:pStyle w:val="Heading1"/>
              <w:ind w:right="68"/>
              <w:jc w:val="center"/>
              <w:rPr>
                <w:rFonts w:asciiTheme="majorHAnsi" w:hAnsiTheme="majorHAnsi"/>
                <w:b w:val="0"/>
                <w:bCs w:val="0"/>
              </w:rPr>
            </w:pPr>
          </w:p>
        </w:tc>
        <w:tc>
          <w:tcPr>
            <w:tcW w:w="901" w:type="dxa"/>
            <w:shd w:val="clear" w:color="auto" w:fill="95B3D7" w:themeFill="accent1" w:themeFillTint="99"/>
            <w:vAlign w:val="center"/>
          </w:tcPr>
          <w:p w14:paraId="1300F3BB" w14:textId="668A80AA"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19B</w:t>
            </w:r>
            <w:r w:rsidRPr="002C5AC0">
              <w:rPr>
                <w:rFonts w:asciiTheme="majorHAnsi" w:hAnsiTheme="majorHAnsi"/>
                <w:b w:val="0"/>
              </w:rPr>
              <w:t>X</w:t>
            </w:r>
          </w:p>
        </w:tc>
        <w:tc>
          <w:tcPr>
            <w:tcW w:w="864" w:type="dxa"/>
            <w:shd w:val="clear" w:color="auto" w:fill="95B3D7" w:themeFill="accent1" w:themeFillTint="99"/>
            <w:vAlign w:val="center"/>
          </w:tcPr>
          <w:p w14:paraId="269306A1" w14:textId="77777777" w:rsidR="005046E2" w:rsidRPr="002C5AC0"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71722314" w14:textId="77777777" w:rsidR="005046E2" w:rsidRPr="002C5AC0"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42B8B93E" w14:textId="3286557E"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20B</w:t>
            </w:r>
            <w:r w:rsidRPr="002C5AC0">
              <w:rPr>
                <w:rFonts w:asciiTheme="majorHAnsi" w:hAnsiTheme="majorHAnsi"/>
                <w:b w:val="0"/>
              </w:rPr>
              <w:t>X</w:t>
            </w:r>
          </w:p>
        </w:tc>
      </w:tr>
      <w:tr w:rsidR="005046E2" w:rsidRPr="002C5AC0" w14:paraId="6294D05B" w14:textId="77777777" w:rsidTr="005B5E97">
        <w:trPr>
          <w:jc w:val="center"/>
        </w:trPr>
        <w:tc>
          <w:tcPr>
            <w:tcW w:w="2553" w:type="dxa"/>
            <w:vAlign w:val="center"/>
          </w:tcPr>
          <w:p w14:paraId="0347B70D" w14:textId="66890B60" w:rsidR="005046E2" w:rsidRPr="002C5AC0" w:rsidRDefault="005046E2" w:rsidP="005046E2">
            <w:pPr>
              <w:pStyle w:val="Heading1"/>
              <w:ind w:right="68"/>
              <w:jc w:val="both"/>
              <w:rPr>
                <w:rFonts w:asciiTheme="majorHAnsi" w:hAnsiTheme="majorHAnsi"/>
                <w:b w:val="0"/>
                <w:bCs w:val="0"/>
              </w:rPr>
            </w:pPr>
            <w:r w:rsidRPr="002C5AC0">
              <w:rPr>
                <w:rFonts w:ascii="ZWAdobeF" w:hAnsi="ZWAdobeF" w:cs="ZWAdobeF"/>
                <w:b w:val="0"/>
                <w:sz w:val="2"/>
                <w:szCs w:val="2"/>
              </w:rPr>
              <w:t>21B</w:t>
            </w:r>
            <w:r w:rsidRPr="002C5AC0">
              <w:rPr>
                <w:rFonts w:asciiTheme="majorHAnsi" w:hAnsiTheme="majorHAnsi"/>
                <w:b w:val="0"/>
              </w:rPr>
              <w:t>Adoption par la Commission du TAC sur la base de la MP</w:t>
            </w:r>
          </w:p>
        </w:tc>
        <w:tc>
          <w:tcPr>
            <w:tcW w:w="786" w:type="dxa"/>
            <w:shd w:val="clear" w:color="auto" w:fill="95B3D7" w:themeFill="accent1" w:themeFillTint="99"/>
            <w:vAlign w:val="center"/>
          </w:tcPr>
          <w:p w14:paraId="71462372" w14:textId="7B04143B"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22B</w:t>
            </w:r>
            <w:r w:rsidRPr="002C5AC0">
              <w:rPr>
                <w:rFonts w:asciiTheme="majorHAnsi" w:hAnsiTheme="majorHAnsi"/>
                <w:b w:val="0"/>
              </w:rPr>
              <w:t>X</w:t>
            </w:r>
          </w:p>
        </w:tc>
        <w:tc>
          <w:tcPr>
            <w:tcW w:w="891" w:type="dxa"/>
            <w:vAlign w:val="center"/>
          </w:tcPr>
          <w:p w14:paraId="2ACAAF53" w14:textId="77777777" w:rsidR="005046E2" w:rsidRPr="002C5AC0" w:rsidRDefault="005046E2" w:rsidP="005046E2">
            <w:pPr>
              <w:pStyle w:val="Heading1"/>
              <w:ind w:right="68"/>
              <w:jc w:val="center"/>
              <w:rPr>
                <w:rFonts w:asciiTheme="majorHAnsi" w:hAnsiTheme="majorHAnsi"/>
                <w:b w:val="0"/>
                <w:bCs w:val="0"/>
              </w:rPr>
            </w:pPr>
          </w:p>
        </w:tc>
        <w:tc>
          <w:tcPr>
            <w:tcW w:w="899" w:type="dxa"/>
            <w:vAlign w:val="center"/>
          </w:tcPr>
          <w:p w14:paraId="3CB4C4B7" w14:textId="77777777" w:rsidR="005046E2" w:rsidRPr="002C5AC0" w:rsidRDefault="005046E2" w:rsidP="005046E2">
            <w:pPr>
              <w:pStyle w:val="Heading1"/>
              <w:ind w:right="68"/>
              <w:jc w:val="center"/>
              <w:rPr>
                <w:rFonts w:asciiTheme="majorHAnsi" w:hAnsiTheme="majorHAnsi"/>
                <w:b w:val="0"/>
                <w:bCs w:val="0"/>
              </w:rPr>
            </w:pPr>
          </w:p>
        </w:tc>
        <w:tc>
          <w:tcPr>
            <w:tcW w:w="901" w:type="dxa"/>
            <w:shd w:val="clear" w:color="auto" w:fill="95B3D7" w:themeFill="accent1" w:themeFillTint="99"/>
            <w:vAlign w:val="center"/>
          </w:tcPr>
          <w:p w14:paraId="7DEB77D8" w14:textId="01176ED8"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23B</w:t>
            </w:r>
            <w:r w:rsidRPr="002C5AC0">
              <w:rPr>
                <w:rFonts w:asciiTheme="majorHAnsi" w:hAnsiTheme="majorHAnsi"/>
                <w:b w:val="0"/>
              </w:rPr>
              <w:t>X</w:t>
            </w:r>
          </w:p>
        </w:tc>
        <w:tc>
          <w:tcPr>
            <w:tcW w:w="864" w:type="dxa"/>
            <w:shd w:val="clear" w:color="auto" w:fill="95B3D7" w:themeFill="accent1" w:themeFillTint="99"/>
            <w:vAlign w:val="center"/>
          </w:tcPr>
          <w:p w14:paraId="4D6191BA" w14:textId="77777777" w:rsidR="005046E2" w:rsidRPr="002C5AC0"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33207AF1" w14:textId="77777777" w:rsidR="005046E2" w:rsidRPr="002C5AC0"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00193863" w14:textId="3F7B87D9"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24B</w:t>
            </w:r>
            <w:r w:rsidRPr="002C5AC0">
              <w:rPr>
                <w:rFonts w:asciiTheme="majorHAnsi" w:hAnsiTheme="majorHAnsi"/>
                <w:b w:val="0"/>
              </w:rPr>
              <w:t>X</w:t>
            </w:r>
          </w:p>
        </w:tc>
      </w:tr>
      <w:tr w:rsidR="005046E2" w:rsidRPr="002C5AC0" w14:paraId="152E1684" w14:textId="77777777" w:rsidTr="005B5E97">
        <w:trPr>
          <w:trHeight w:val="477"/>
          <w:jc w:val="center"/>
        </w:trPr>
        <w:tc>
          <w:tcPr>
            <w:tcW w:w="2553" w:type="dxa"/>
            <w:vAlign w:val="center"/>
          </w:tcPr>
          <w:p w14:paraId="020A1B37" w14:textId="47C3D97E" w:rsidR="005046E2" w:rsidRPr="002C5AC0" w:rsidRDefault="005046E2" w:rsidP="005046E2">
            <w:pPr>
              <w:pStyle w:val="Heading1"/>
              <w:ind w:right="68"/>
              <w:jc w:val="both"/>
              <w:rPr>
                <w:rFonts w:asciiTheme="majorHAnsi" w:hAnsiTheme="majorHAnsi"/>
                <w:b w:val="0"/>
                <w:bCs w:val="0"/>
              </w:rPr>
            </w:pPr>
            <w:r w:rsidRPr="002C5AC0">
              <w:rPr>
                <w:rFonts w:ascii="ZWAdobeF" w:hAnsi="ZWAdobeF" w:cs="ZWAdobeF"/>
                <w:b w:val="0"/>
                <w:sz w:val="2"/>
                <w:szCs w:val="2"/>
              </w:rPr>
              <w:t>25B</w:t>
            </w:r>
            <w:r w:rsidRPr="002C5AC0">
              <w:rPr>
                <w:rFonts w:asciiTheme="majorHAnsi" w:hAnsiTheme="majorHAnsi"/>
                <w:b w:val="0"/>
              </w:rPr>
              <w:t>TAC en vigueur</w:t>
            </w:r>
          </w:p>
        </w:tc>
        <w:tc>
          <w:tcPr>
            <w:tcW w:w="786" w:type="dxa"/>
            <w:vAlign w:val="center"/>
          </w:tcPr>
          <w:p w14:paraId="58C2BA29" w14:textId="77777777" w:rsidR="005046E2" w:rsidRPr="002C5AC0" w:rsidRDefault="005046E2" w:rsidP="005046E2">
            <w:pPr>
              <w:pStyle w:val="Heading1"/>
              <w:ind w:right="68"/>
              <w:jc w:val="center"/>
              <w:rPr>
                <w:rFonts w:asciiTheme="majorHAnsi" w:hAnsiTheme="majorHAnsi"/>
                <w:b w:val="0"/>
                <w:bCs w:val="0"/>
              </w:rPr>
            </w:pPr>
          </w:p>
        </w:tc>
        <w:tc>
          <w:tcPr>
            <w:tcW w:w="891" w:type="dxa"/>
            <w:shd w:val="clear" w:color="auto" w:fill="95B3D7" w:themeFill="accent1" w:themeFillTint="99"/>
            <w:vAlign w:val="center"/>
          </w:tcPr>
          <w:p w14:paraId="416CA50B" w14:textId="034D4E5C"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26B</w:t>
            </w:r>
            <w:r w:rsidRPr="002C5AC0">
              <w:rPr>
                <w:rFonts w:asciiTheme="majorHAnsi" w:hAnsiTheme="majorHAnsi"/>
                <w:b w:val="0"/>
              </w:rPr>
              <w:t>X</w:t>
            </w:r>
          </w:p>
        </w:tc>
        <w:tc>
          <w:tcPr>
            <w:tcW w:w="899" w:type="dxa"/>
            <w:shd w:val="clear" w:color="auto" w:fill="95B3D7" w:themeFill="accent1" w:themeFillTint="99"/>
            <w:vAlign w:val="center"/>
          </w:tcPr>
          <w:p w14:paraId="000461EE" w14:textId="2D8FDE3B"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27B</w:t>
            </w:r>
            <w:r w:rsidRPr="002C5AC0">
              <w:rPr>
                <w:rFonts w:asciiTheme="majorHAnsi" w:hAnsiTheme="majorHAnsi"/>
                <w:b w:val="0"/>
              </w:rPr>
              <w:t>X</w:t>
            </w:r>
          </w:p>
        </w:tc>
        <w:tc>
          <w:tcPr>
            <w:tcW w:w="901" w:type="dxa"/>
            <w:shd w:val="clear" w:color="auto" w:fill="95B3D7" w:themeFill="accent1" w:themeFillTint="99"/>
            <w:vAlign w:val="center"/>
          </w:tcPr>
          <w:p w14:paraId="432D8D26" w14:textId="365D1F8B"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28B</w:t>
            </w:r>
            <w:r w:rsidRPr="002C5AC0">
              <w:rPr>
                <w:rFonts w:asciiTheme="majorHAnsi" w:hAnsiTheme="majorHAnsi"/>
                <w:b w:val="0"/>
              </w:rPr>
              <w:t>X</w:t>
            </w:r>
          </w:p>
        </w:tc>
        <w:tc>
          <w:tcPr>
            <w:tcW w:w="864" w:type="dxa"/>
            <w:shd w:val="clear" w:color="auto" w:fill="95B3D7" w:themeFill="accent1" w:themeFillTint="99"/>
            <w:vAlign w:val="center"/>
          </w:tcPr>
          <w:p w14:paraId="458CD2A8" w14:textId="0147B0FA"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29B</w:t>
            </w:r>
            <w:r w:rsidRPr="002C5AC0">
              <w:rPr>
                <w:rFonts w:asciiTheme="majorHAnsi" w:hAnsiTheme="majorHAnsi"/>
                <w:b w:val="0"/>
              </w:rPr>
              <w:t>X</w:t>
            </w:r>
          </w:p>
        </w:tc>
        <w:tc>
          <w:tcPr>
            <w:tcW w:w="865" w:type="dxa"/>
            <w:shd w:val="clear" w:color="auto" w:fill="95B3D7" w:themeFill="accent1" w:themeFillTint="99"/>
            <w:vAlign w:val="center"/>
          </w:tcPr>
          <w:p w14:paraId="467A554A" w14:textId="533DB4A3"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30B</w:t>
            </w:r>
            <w:r w:rsidRPr="002C5AC0">
              <w:rPr>
                <w:rFonts w:asciiTheme="majorHAnsi" w:hAnsiTheme="majorHAnsi"/>
                <w:b w:val="0"/>
              </w:rPr>
              <w:t>X</w:t>
            </w:r>
          </w:p>
        </w:tc>
        <w:tc>
          <w:tcPr>
            <w:tcW w:w="865" w:type="dxa"/>
            <w:shd w:val="clear" w:color="auto" w:fill="95B3D7" w:themeFill="accent1" w:themeFillTint="99"/>
            <w:vAlign w:val="center"/>
          </w:tcPr>
          <w:p w14:paraId="5E26E50D" w14:textId="37BC70BC"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31B</w:t>
            </w:r>
            <w:r w:rsidRPr="002C5AC0">
              <w:rPr>
                <w:rFonts w:asciiTheme="majorHAnsi" w:hAnsiTheme="majorHAnsi"/>
                <w:b w:val="0"/>
              </w:rPr>
              <w:t>X</w:t>
            </w:r>
          </w:p>
        </w:tc>
      </w:tr>
      <w:tr w:rsidR="005046E2" w:rsidRPr="002C5AC0" w14:paraId="1A399E4D" w14:textId="77777777" w:rsidTr="005B5E97">
        <w:trPr>
          <w:jc w:val="center"/>
        </w:trPr>
        <w:tc>
          <w:tcPr>
            <w:tcW w:w="2553" w:type="dxa"/>
            <w:vAlign w:val="center"/>
          </w:tcPr>
          <w:p w14:paraId="242283EC" w14:textId="2128DD3F" w:rsidR="005046E2" w:rsidRPr="002C5AC0" w:rsidRDefault="005046E2" w:rsidP="005046E2">
            <w:pPr>
              <w:pStyle w:val="Heading1"/>
              <w:ind w:right="68"/>
              <w:jc w:val="both"/>
              <w:rPr>
                <w:rFonts w:asciiTheme="majorHAnsi" w:hAnsiTheme="majorHAnsi"/>
                <w:b w:val="0"/>
                <w:bCs w:val="0"/>
              </w:rPr>
            </w:pPr>
            <w:r w:rsidRPr="002C5AC0">
              <w:rPr>
                <w:rFonts w:ascii="ZWAdobeF" w:hAnsi="ZWAdobeF" w:cs="ZWAdobeF"/>
                <w:b w:val="0"/>
                <w:sz w:val="2"/>
                <w:szCs w:val="2"/>
              </w:rPr>
              <w:t>32B</w:t>
            </w:r>
            <w:r w:rsidRPr="002C5AC0">
              <w:rPr>
                <w:rFonts w:asciiTheme="majorHAnsi" w:hAnsiTheme="majorHAnsi"/>
                <w:b w:val="0"/>
              </w:rPr>
              <w:t>Révision de la MP par le SCRS</w:t>
            </w:r>
          </w:p>
        </w:tc>
        <w:tc>
          <w:tcPr>
            <w:tcW w:w="786" w:type="dxa"/>
            <w:vAlign w:val="center"/>
          </w:tcPr>
          <w:p w14:paraId="5B2BB087" w14:textId="77777777" w:rsidR="005046E2" w:rsidRPr="002C5AC0" w:rsidRDefault="005046E2" w:rsidP="005046E2">
            <w:pPr>
              <w:pStyle w:val="Heading1"/>
              <w:ind w:right="68"/>
              <w:jc w:val="center"/>
              <w:rPr>
                <w:rFonts w:asciiTheme="majorHAnsi" w:hAnsiTheme="majorHAnsi"/>
                <w:b w:val="0"/>
                <w:bCs w:val="0"/>
              </w:rPr>
            </w:pPr>
          </w:p>
        </w:tc>
        <w:tc>
          <w:tcPr>
            <w:tcW w:w="891" w:type="dxa"/>
            <w:vAlign w:val="center"/>
          </w:tcPr>
          <w:p w14:paraId="362002EF" w14:textId="77777777" w:rsidR="005046E2" w:rsidRPr="002C5AC0" w:rsidRDefault="005046E2" w:rsidP="005046E2">
            <w:pPr>
              <w:pStyle w:val="Heading1"/>
              <w:ind w:right="68"/>
              <w:jc w:val="center"/>
              <w:rPr>
                <w:rFonts w:asciiTheme="majorHAnsi" w:hAnsiTheme="majorHAnsi"/>
                <w:b w:val="0"/>
                <w:bCs w:val="0"/>
              </w:rPr>
            </w:pPr>
          </w:p>
        </w:tc>
        <w:tc>
          <w:tcPr>
            <w:tcW w:w="899" w:type="dxa"/>
            <w:vAlign w:val="center"/>
          </w:tcPr>
          <w:p w14:paraId="051D6724" w14:textId="77777777" w:rsidR="005046E2" w:rsidRPr="002C5AC0" w:rsidRDefault="005046E2" w:rsidP="005046E2">
            <w:pPr>
              <w:pStyle w:val="Heading1"/>
              <w:ind w:right="68"/>
              <w:jc w:val="center"/>
              <w:rPr>
                <w:rFonts w:asciiTheme="majorHAnsi" w:hAnsiTheme="majorHAnsi"/>
                <w:b w:val="0"/>
                <w:bCs w:val="0"/>
              </w:rPr>
            </w:pPr>
          </w:p>
        </w:tc>
        <w:tc>
          <w:tcPr>
            <w:tcW w:w="901" w:type="dxa"/>
            <w:vAlign w:val="center"/>
          </w:tcPr>
          <w:p w14:paraId="540A7B29" w14:textId="77777777" w:rsidR="005046E2" w:rsidRPr="002C5AC0" w:rsidRDefault="005046E2" w:rsidP="005046E2">
            <w:pPr>
              <w:pStyle w:val="Heading1"/>
              <w:ind w:right="68"/>
              <w:jc w:val="center"/>
              <w:rPr>
                <w:rFonts w:asciiTheme="majorHAnsi" w:hAnsiTheme="majorHAnsi"/>
                <w:b w:val="0"/>
                <w:bCs w:val="0"/>
              </w:rPr>
            </w:pPr>
          </w:p>
        </w:tc>
        <w:tc>
          <w:tcPr>
            <w:tcW w:w="864" w:type="dxa"/>
            <w:vAlign w:val="center"/>
          </w:tcPr>
          <w:p w14:paraId="3123BEBE" w14:textId="77777777" w:rsidR="005046E2" w:rsidRPr="002C5AC0" w:rsidRDefault="005046E2" w:rsidP="005046E2">
            <w:pPr>
              <w:pStyle w:val="Heading1"/>
              <w:ind w:right="68"/>
              <w:jc w:val="center"/>
              <w:rPr>
                <w:rFonts w:asciiTheme="majorHAnsi" w:hAnsiTheme="majorHAnsi"/>
                <w:b w:val="0"/>
                <w:bCs w:val="0"/>
              </w:rPr>
            </w:pPr>
          </w:p>
        </w:tc>
        <w:tc>
          <w:tcPr>
            <w:tcW w:w="865" w:type="dxa"/>
            <w:vAlign w:val="center"/>
          </w:tcPr>
          <w:p w14:paraId="4359599D" w14:textId="77777777" w:rsidR="005046E2" w:rsidRPr="002C5AC0" w:rsidRDefault="005046E2" w:rsidP="005046E2">
            <w:pPr>
              <w:pStyle w:val="Heading1"/>
              <w:ind w:right="68"/>
              <w:jc w:val="center"/>
              <w:rPr>
                <w:rFonts w:asciiTheme="majorHAnsi" w:hAnsiTheme="majorHAnsi"/>
                <w:b w:val="0"/>
                <w:bCs w:val="0"/>
              </w:rPr>
            </w:pPr>
          </w:p>
        </w:tc>
        <w:tc>
          <w:tcPr>
            <w:tcW w:w="865" w:type="dxa"/>
            <w:vAlign w:val="center"/>
          </w:tcPr>
          <w:p w14:paraId="55CFA6AA" w14:textId="11811C57"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33B</w:t>
            </w:r>
            <w:r w:rsidRPr="002C5AC0">
              <w:rPr>
                <w:rFonts w:asciiTheme="majorHAnsi" w:hAnsiTheme="majorHAnsi"/>
                <w:b w:val="0"/>
              </w:rPr>
              <w:t>X</w:t>
            </w:r>
          </w:p>
        </w:tc>
      </w:tr>
      <w:tr w:rsidR="005046E2" w:rsidRPr="002C5AC0" w14:paraId="46598FDF" w14:textId="77777777" w:rsidTr="005B5E97">
        <w:trPr>
          <w:jc w:val="center"/>
        </w:trPr>
        <w:tc>
          <w:tcPr>
            <w:tcW w:w="2553" w:type="dxa"/>
            <w:vAlign w:val="center"/>
          </w:tcPr>
          <w:p w14:paraId="2F7AC1F2" w14:textId="0A4A047D" w:rsidR="005046E2" w:rsidRPr="002C5AC0" w:rsidRDefault="005046E2" w:rsidP="005046E2">
            <w:pPr>
              <w:pStyle w:val="Heading1"/>
              <w:ind w:right="68"/>
              <w:jc w:val="both"/>
              <w:rPr>
                <w:rFonts w:asciiTheme="majorHAnsi" w:hAnsiTheme="majorHAnsi"/>
                <w:b w:val="0"/>
                <w:bCs w:val="0"/>
              </w:rPr>
            </w:pPr>
            <w:r w:rsidRPr="002C5AC0">
              <w:rPr>
                <w:rFonts w:ascii="ZWAdobeF" w:hAnsi="ZWAdobeF" w:cs="ZWAdobeF"/>
                <w:b w:val="0"/>
                <w:sz w:val="2"/>
                <w:szCs w:val="2"/>
              </w:rPr>
              <w:t>34B</w:t>
            </w:r>
            <w:r w:rsidRPr="002C5AC0">
              <w:rPr>
                <w:rFonts w:asciiTheme="majorHAnsi" w:hAnsiTheme="majorHAnsi"/>
                <w:b w:val="0"/>
              </w:rPr>
              <w:t>Vérification/évaluation de l’état</w:t>
            </w:r>
            <w:r w:rsidRPr="002C5AC0">
              <w:rPr>
                <w:rFonts w:ascii="ZWAdobeF" w:hAnsi="ZWAdobeF" w:cs="ZWAdobeF"/>
                <w:b w:val="0"/>
                <w:sz w:val="2"/>
                <w:szCs w:val="2"/>
              </w:rPr>
              <w:t>0F</w:t>
            </w:r>
            <w:r w:rsidRPr="002C5AC0">
              <w:rPr>
                <w:rStyle w:val="FootnoteReference"/>
                <w:rFonts w:asciiTheme="majorHAnsi" w:hAnsiTheme="majorHAnsi"/>
                <w:b w:val="0"/>
                <w:bCs w:val="0"/>
              </w:rPr>
              <w:footnoteReference w:id="1"/>
            </w:r>
          </w:p>
        </w:tc>
        <w:tc>
          <w:tcPr>
            <w:tcW w:w="786" w:type="dxa"/>
            <w:vAlign w:val="center"/>
          </w:tcPr>
          <w:p w14:paraId="136F2FD1" w14:textId="77777777" w:rsidR="005046E2" w:rsidRPr="002C5AC0" w:rsidRDefault="005046E2" w:rsidP="005046E2">
            <w:pPr>
              <w:pStyle w:val="Heading1"/>
              <w:ind w:right="68"/>
              <w:jc w:val="center"/>
              <w:rPr>
                <w:rFonts w:asciiTheme="majorHAnsi" w:hAnsiTheme="majorHAnsi"/>
                <w:b w:val="0"/>
                <w:bCs w:val="0"/>
              </w:rPr>
            </w:pPr>
          </w:p>
        </w:tc>
        <w:tc>
          <w:tcPr>
            <w:tcW w:w="891" w:type="dxa"/>
            <w:vAlign w:val="center"/>
          </w:tcPr>
          <w:p w14:paraId="2B8A22AB" w14:textId="77777777" w:rsidR="005046E2" w:rsidRPr="002C5AC0" w:rsidRDefault="005046E2" w:rsidP="005046E2">
            <w:pPr>
              <w:pStyle w:val="Heading1"/>
              <w:ind w:right="68"/>
              <w:jc w:val="center"/>
              <w:rPr>
                <w:rFonts w:asciiTheme="majorHAnsi" w:hAnsiTheme="majorHAnsi"/>
                <w:b w:val="0"/>
                <w:bCs w:val="0"/>
              </w:rPr>
            </w:pPr>
          </w:p>
        </w:tc>
        <w:tc>
          <w:tcPr>
            <w:tcW w:w="899" w:type="dxa"/>
            <w:vAlign w:val="center"/>
          </w:tcPr>
          <w:p w14:paraId="6D60C75F" w14:textId="77777777" w:rsidR="005046E2" w:rsidRPr="002C5AC0" w:rsidRDefault="005046E2" w:rsidP="005046E2">
            <w:pPr>
              <w:pStyle w:val="Heading1"/>
              <w:ind w:right="68"/>
              <w:jc w:val="center"/>
              <w:rPr>
                <w:rFonts w:asciiTheme="majorHAnsi" w:hAnsiTheme="majorHAnsi"/>
                <w:b w:val="0"/>
                <w:bCs w:val="0"/>
              </w:rPr>
            </w:pPr>
          </w:p>
        </w:tc>
        <w:tc>
          <w:tcPr>
            <w:tcW w:w="901" w:type="dxa"/>
            <w:vAlign w:val="center"/>
          </w:tcPr>
          <w:p w14:paraId="34CD6BC4" w14:textId="77777777" w:rsidR="005046E2" w:rsidRPr="002C5AC0" w:rsidRDefault="005046E2" w:rsidP="005046E2">
            <w:pPr>
              <w:pStyle w:val="Heading1"/>
              <w:ind w:right="68"/>
              <w:jc w:val="center"/>
              <w:rPr>
                <w:rFonts w:asciiTheme="majorHAnsi" w:hAnsiTheme="majorHAnsi"/>
                <w:b w:val="0"/>
                <w:bCs w:val="0"/>
              </w:rPr>
            </w:pPr>
          </w:p>
        </w:tc>
        <w:tc>
          <w:tcPr>
            <w:tcW w:w="864" w:type="dxa"/>
            <w:vAlign w:val="center"/>
          </w:tcPr>
          <w:p w14:paraId="47AC198A" w14:textId="77777777" w:rsidR="005046E2" w:rsidRPr="002C5AC0" w:rsidRDefault="005046E2" w:rsidP="005046E2">
            <w:pPr>
              <w:pStyle w:val="Heading1"/>
              <w:ind w:right="68"/>
              <w:jc w:val="center"/>
              <w:rPr>
                <w:rFonts w:asciiTheme="majorHAnsi" w:hAnsiTheme="majorHAnsi"/>
                <w:b w:val="0"/>
                <w:bCs w:val="0"/>
              </w:rPr>
            </w:pPr>
          </w:p>
        </w:tc>
        <w:tc>
          <w:tcPr>
            <w:tcW w:w="865" w:type="dxa"/>
            <w:vAlign w:val="center"/>
          </w:tcPr>
          <w:p w14:paraId="305CAD15" w14:textId="77777777" w:rsidR="005046E2" w:rsidRPr="002C5AC0" w:rsidRDefault="005046E2" w:rsidP="005046E2">
            <w:pPr>
              <w:pStyle w:val="Heading1"/>
              <w:ind w:right="68"/>
              <w:jc w:val="center"/>
              <w:rPr>
                <w:rFonts w:asciiTheme="majorHAnsi" w:hAnsiTheme="majorHAnsi"/>
                <w:b w:val="0"/>
                <w:bCs w:val="0"/>
              </w:rPr>
            </w:pPr>
          </w:p>
        </w:tc>
        <w:tc>
          <w:tcPr>
            <w:tcW w:w="865" w:type="dxa"/>
            <w:vAlign w:val="center"/>
          </w:tcPr>
          <w:p w14:paraId="6E68D252" w14:textId="4BA1EE63" w:rsidR="005046E2" w:rsidRPr="002C5AC0"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35B</w:t>
            </w:r>
            <w:r w:rsidRPr="002C5AC0">
              <w:rPr>
                <w:rFonts w:asciiTheme="majorHAnsi" w:hAnsiTheme="majorHAnsi"/>
                <w:b w:val="0"/>
              </w:rPr>
              <w:t>X</w:t>
            </w:r>
          </w:p>
        </w:tc>
      </w:tr>
      <w:tr w:rsidR="005046E2" w:rsidRPr="00066824" w14:paraId="65614A10" w14:textId="77777777" w:rsidTr="005B5E97">
        <w:trPr>
          <w:jc w:val="center"/>
        </w:trPr>
        <w:tc>
          <w:tcPr>
            <w:tcW w:w="2553" w:type="dxa"/>
            <w:vAlign w:val="center"/>
          </w:tcPr>
          <w:p w14:paraId="74F1300E" w14:textId="78B4D024" w:rsidR="005046E2" w:rsidRPr="002C5AC0" w:rsidRDefault="005046E2" w:rsidP="005046E2">
            <w:pPr>
              <w:pStyle w:val="Heading1"/>
              <w:ind w:right="68"/>
              <w:jc w:val="both"/>
              <w:rPr>
                <w:rFonts w:asciiTheme="majorHAnsi" w:hAnsiTheme="majorHAnsi"/>
                <w:b w:val="0"/>
                <w:bCs w:val="0"/>
              </w:rPr>
            </w:pPr>
            <w:r w:rsidRPr="002C5AC0">
              <w:rPr>
                <w:rFonts w:ascii="ZWAdobeF" w:hAnsi="ZWAdobeF" w:cs="ZWAdobeF"/>
                <w:b w:val="0"/>
                <w:sz w:val="2"/>
                <w:szCs w:val="2"/>
              </w:rPr>
              <w:t>36B</w:t>
            </w:r>
            <w:r w:rsidRPr="002C5AC0">
              <w:rPr>
                <w:rFonts w:asciiTheme="majorHAnsi" w:hAnsiTheme="majorHAnsi"/>
                <w:b w:val="0"/>
              </w:rPr>
              <w:t>Évaluation par la Commission de la révision du SCRS et prochaines étapes</w:t>
            </w:r>
          </w:p>
        </w:tc>
        <w:tc>
          <w:tcPr>
            <w:tcW w:w="786" w:type="dxa"/>
            <w:vAlign w:val="center"/>
          </w:tcPr>
          <w:p w14:paraId="63CD8551" w14:textId="77777777" w:rsidR="005046E2" w:rsidRPr="002C5AC0" w:rsidRDefault="005046E2" w:rsidP="005046E2">
            <w:pPr>
              <w:pStyle w:val="Heading1"/>
              <w:ind w:right="68"/>
              <w:jc w:val="center"/>
              <w:rPr>
                <w:rFonts w:asciiTheme="majorHAnsi" w:hAnsiTheme="majorHAnsi"/>
                <w:b w:val="0"/>
                <w:bCs w:val="0"/>
              </w:rPr>
            </w:pPr>
          </w:p>
        </w:tc>
        <w:tc>
          <w:tcPr>
            <w:tcW w:w="891" w:type="dxa"/>
            <w:vAlign w:val="center"/>
          </w:tcPr>
          <w:p w14:paraId="5E80548F" w14:textId="77777777" w:rsidR="005046E2" w:rsidRPr="002C5AC0" w:rsidRDefault="005046E2" w:rsidP="005046E2">
            <w:pPr>
              <w:pStyle w:val="Heading1"/>
              <w:ind w:right="68"/>
              <w:jc w:val="center"/>
              <w:rPr>
                <w:rFonts w:asciiTheme="majorHAnsi" w:hAnsiTheme="majorHAnsi"/>
                <w:b w:val="0"/>
                <w:bCs w:val="0"/>
              </w:rPr>
            </w:pPr>
          </w:p>
        </w:tc>
        <w:tc>
          <w:tcPr>
            <w:tcW w:w="899" w:type="dxa"/>
            <w:vAlign w:val="center"/>
          </w:tcPr>
          <w:p w14:paraId="7C38CD82" w14:textId="77777777" w:rsidR="005046E2" w:rsidRPr="002C5AC0" w:rsidRDefault="005046E2" w:rsidP="005046E2">
            <w:pPr>
              <w:pStyle w:val="Heading1"/>
              <w:ind w:right="68"/>
              <w:jc w:val="center"/>
              <w:rPr>
                <w:rFonts w:asciiTheme="majorHAnsi" w:hAnsiTheme="majorHAnsi"/>
                <w:b w:val="0"/>
                <w:bCs w:val="0"/>
              </w:rPr>
            </w:pPr>
          </w:p>
        </w:tc>
        <w:tc>
          <w:tcPr>
            <w:tcW w:w="901" w:type="dxa"/>
            <w:vAlign w:val="center"/>
          </w:tcPr>
          <w:p w14:paraId="2A30F315" w14:textId="77777777" w:rsidR="005046E2" w:rsidRPr="002C5AC0" w:rsidRDefault="005046E2" w:rsidP="005046E2">
            <w:pPr>
              <w:pStyle w:val="Heading1"/>
              <w:ind w:right="68"/>
              <w:jc w:val="center"/>
              <w:rPr>
                <w:rFonts w:asciiTheme="majorHAnsi" w:hAnsiTheme="majorHAnsi"/>
                <w:b w:val="0"/>
                <w:bCs w:val="0"/>
              </w:rPr>
            </w:pPr>
          </w:p>
        </w:tc>
        <w:tc>
          <w:tcPr>
            <w:tcW w:w="864" w:type="dxa"/>
            <w:vAlign w:val="center"/>
          </w:tcPr>
          <w:p w14:paraId="32EA3409" w14:textId="77777777" w:rsidR="005046E2" w:rsidRPr="002C5AC0" w:rsidRDefault="005046E2" w:rsidP="005046E2">
            <w:pPr>
              <w:pStyle w:val="Heading1"/>
              <w:ind w:right="68"/>
              <w:jc w:val="center"/>
              <w:rPr>
                <w:rFonts w:asciiTheme="majorHAnsi" w:hAnsiTheme="majorHAnsi"/>
                <w:b w:val="0"/>
                <w:bCs w:val="0"/>
              </w:rPr>
            </w:pPr>
          </w:p>
        </w:tc>
        <w:tc>
          <w:tcPr>
            <w:tcW w:w="865" w:type="dxa"/>
            <w:vAlign w:val="center"/>
          </w:tcPr>
          <w:p w14:paraId="5DDB1B14" w14:textId="77777777" w:rsidR="005046E2" w:rsidRPr="002C5AC0" w:rsidRDefault="005046E2" w:rsidP="005046E2">
            <w:pPr>
              <w:pStyle w:val="Heading1"/>
              <w:ind w:right="68"/>
              <w:jc w:val="center"/>
              <w:rPr>
                <w:rFonts w:asciiTheme="majorHAnsi" w:hAnsiTheme="majorHAnsi"/>
                <w:b w:val="0"/>
                <w:bCs w:val="0"/>
              </w:rPr>
            </w:pPr>
          </w:p>
        </w:tc>
        <w:tc>
          <w:tcPr>
            <w:tcW w:w="865" w:type="dxa"/>
            <w:vAlign w:val="center"/>
          </w:tcPr>
          <w:p w14:paraId="39AAB7FD" w14:textId="3BB70E85" w:rsidR="005046E2" w:rsidRPr="00066824" w:rsidRDefault="005046E2" w:rsidP="005046E2">
            <w:pPr>
              <w:pStyle w:val="Heading1"/>
              <w:ind w:right="68"/>
              <w:jc w:val="center"/>
              <w:rPr>
                <w:rFonts w:asciiTheme="majorHAnsi" w:hAnsiTheme="majorHAnsi"/>
                <w:b w:val="0"/>
                <w:bCs w:val="0"/>
              </w:rPr>
            </w:pPr>
            <w:r w:rsidRPr="002C5AC0">
              <w:rPr>
                <w:rFonts w:ascii="ZWAdobeF" w:hAnsi="ZWAdobeF" w:cs="ZWAdobeF"/>
                <w:b w:val="0"/>
                <w:sz w:val="2"/>
                <w:szCs w:val="2"/>
              </w:rPr>
              <w:t>37B</w:t>
            </w:r>
            <w:r w:rsidRPr="002C5AC0">
              <w:rPr>
                <w:rFonts w:asciiTheme="majorHAnsi" w:hAnsiTheme="majorHAnsi"/>
                <w:b w:val="0"/>
              </w:rPr>
              <w:t>X</w:t>
            </w:r>
          </w:p>
        </w:tc>
      </w:tr>
    </w:tbl>
    <w:p w14:paraId="606329E4" w14:textId="77777777" w:rsidR="00BC03F2" w:rsidRPr="00066824" w:rsidRDefault="00BC03F2">
      <w:pPr>
        <w:pStyle w:val="Heading1"/>
        <w:ind w:right="68"/>
        <w:rPr>
          <w:rFonts w:asciiTheme="majorHAnsi" w:hAnsiTheme="majorHAnsi"/>
        </w:rPr>
      </w:pPr>
    </w:p>
    <w:sectPr w:rsidR="00BC03F2" w:rsidRPr="00066824" w:rsidSect="007664B0">
      <w:pgSz w:w="11906" w:h="16838" w:code="9"/>
      <w:pgMar w:top="1418" w:right="1418" w:bottom="1418" w:left="1418" w:header="851" w:footer="113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428D" w14:textId="77777777" w:rsidR="003774F7" w:rsidRDefault="003774F7">
      <w:r>
        <w:separator/>
      </w:r>
    </w:p>
  </w:endnote>
  <w:endnote w:type="continuationSeparator" w:id="0">
    <w:p w14:paraId="13C347F3" w14:textId="77777777" w:rsidR="003774F7" w:rsidRDefault="0037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1"/>
    <w:family w:val="auto"/>
    <w:pitch w:val="default"/>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charset w:val="00"/>
    <w:family w:val="auto"/>
    <w:pitch w:val="variable"/>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886536"/>
      <w:docPartObj>
        <w:docPartGallery w:val="Page Numbers (Bottom of Page)"/>
        <w:docPartUnique/>
      </w:docPartObj>
    </w:sdtPr>
    <w:sdtEndPr>
      <w:rPr>
        <w:noProof/>
      </w:rPr>
    </w:sdtEndPr>
    <w:sdtContent>
      <w:p w14:paraId="6FCF5AA1" w14:textId="4DB531B5" w:rsidR="00E30DA1" w:rsidRPr="00015DF1" w:rsidRDefault="00015DF1" w:rsidP="00015D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87EE" w14:textId="77777777" w:rsidR="003774F7" w:rsidRDefault="003774F7">
      <w:r>
        <w:separator/>
      </w:r>
    </w:p>
  </w:footnote>
  <w:footnote w:type="continuationSeparator" w:id="0">
    <w:p w14:paraId="36A034DB" w14:textId="77777777" w:rsidR="003774F7" w:rsidRDefault="003774F7">
      <w:r>
        <w:continuationSeparator/>
      </w:r>
    </w:p>
  </w:footnote>
  <w:footnote w:id="1">
    <w:p w14:paraId="683E275F" w14:textId="55480B8A" w:rsidR="005046E2" w:rsidRPr="00CC4C7F" w:rsidRDefault="005046E2" w:rsidP="007664B0">
      <w:pPr>
        <w:pStyle w:val="FootnoteText"/>
        <w:jc w:val="both"/>
        <w:rPr>
          <w:rFonts w:ascii="Cambria" w:hAnsi="Cambria"/>
          <w:sz w:val="16"/>
          <w:szCs w:val="16"/>
        </w:rPr>
      </w:pPr>
      <w:r w:rsidRPr="00CC4C7F">
        <w:rPr>
          <w:rStyle w:val="FootnoteReference"/>
          <w:rFonts w:ascii="Cambria" w:hAnsi="Cambria"/>
          <w:sz w:val="16"/>
          <w:szCs w:val="16"/>
        </w:rPr>
        <w:footnoteRef/>
      </w:r>
      <w:r w:rsidRPr="00CC4C7F">
        <w:rPr>
          <w:rFonts w:ascii="Cambria" w:hAnsi="Cambria"/>
          <w:sz w:val="16"/>
        </w:rPr>
        <w:t xml:space="preserve"> La vérification/évaluation de l’état suivra la méthodologie de l'évaluation de 2022, en utilisant à la fois le modèle SPSS et le modèle Stock Synthesis (SS3).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293A" w14:textId="63C68424" w:rsidR="0079540E" w:rsidRPr="00AA236C" w:rsidRDefault="0079540E" w:rsidP="0079540E">
    <w:pPr>
      <w:widowControl w:val="0"/>
      <w:tabs>
        <w:tab w:val="center" w:pos="4680"/>
        <w:tab w:val="left" w:pos="6520"/>
        <w:tab w:val="right" w:pos="9360"/>
        <w:tab w:val="right" w:pos="14240"/>
      </w:tabs>
      <w:jc w:val="right"/>
      <w:rPr>
        <w:rFonts w:ascii="Cambria" w:eastAsia="Calibri" w:hAnsi="Cambria"/>
        <w:b/>
        <w:bCs/>
        <w:sz w:val="20"/>
        <w:szCs w:val="20"/>
      </w:rPr>
    </w:pPr>
    <w:r>
      <w:rPr>
        <w:rFonts w:ascii="Cambria" w:hAnsi="Cambria"/>
        <w:b/>
        <w:sz w:val="20"/>
      </w:rPr>
      <w:t>PA</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1_505</w:t>
    </w:r>
    <w:r w:rsidR="00280169">
      <w:rPr>
        <w:rFonts w:ascii="Cambria" w:hAnsi="Cambria"/>
        <w:b/>
        <w:sz w:val="20"/>
      </w:rPr>
      <w:t>B</w:t>
    </w:r>
    <w:r w:rsidR="00AD4005">
      <w:rPr>
        <w:rFonts w:ascii="Cambria" w:hAnsi="Cambria"/>
        <w:b/>
        <w:sz w:val="20"/>
      </w:rPr>
      <w:t>/</w:t>
    </w:r>
    <w:r>
      <w:rPr>
        <w:rFonts w:ascii="Cambria" w:hAnsi="Cambria"/>
        <w:b/>
        <w:sz w:val="20"/>
      </w:rPr>
      <w:t>2025</w:t>
    </w:r>
  </w:p>
  <w:p w14:paraId="11886CFE" w14:textId="7EBD5C83" w:rsidR="0079540E" w:rsidRDefault="0079540E" w:rsidP="0079540E">
    <w:pPr>
      <w:pStyle w:val="Header"/>
      <w:jc w:val="right"/>
    </w:pPr>
    <w:r w:rsidRPr="00AA236C">
      <w:rPr>
        <w:rFonts w:eastAsia="Calibri" w:cs="Times New Roman"/>
        <w:b/>
        <w:kern w:val="2"/>
        <w:sz w:val="16"/>
        <w14:ligatures w14:val="standardContextual"/>
      </w:rPr>
      <w:fldChar w:fldCharType="begin"/>
    </w:r>
    <w:r w:rsidRPr="00AA236C">
      <w:rPr>
        <w:rFonts w:eastAsia="Calibri" w:cs="Times New Roman"/>
        <w:b/>
        <w:sz w:val="16"/>
      </w:rPr>
      <w:instrText xml:space="preserve"> TIME \@ "dd/MM/yyyy H:mm" </w:instrText>
    </w:r>
    <w:r w:rsidRPr="00AA236C">
      <w:rPr>
        <w:rFonts w:eastAsia="Calibri" w:cs="Times New Roman"/>
        <w:b/>
        <w:kern w:val="2"/>
        <w:sz w:val="16"/>
        <w14:ligatures w14:val="standardContextual"/>
      </w:rPr>
      <w:fldChar w:fldCharType="separate"/>
    </w:r>
    <w:r w:rsidR="007C6BEE">
      <w:rPr>
        <w:rFonts w:eastAsia="Calibri" w:cs="Times New Roman"/>
        <w:b/>
        <w:noProof/>
        <w:sz w:val="16"/>
      </w:rPr>
      <w:t>21/11/2025 15:24</w:t>
    </w:r>
    <w:r w:rsidRPr="00AA236C">
      <w:rPr>
        <w:rFonts w:eastAsia="Calibri" w:cs="Times New Roman"/>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6EE6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2032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4414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07EC8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32C7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4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2C0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7AA1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A038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4AD1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26DC3"/>
    <w:multiLevelType w:val="hybridMultilevel"/>
    <w:tmpl w:val="8D9C29B0"/>
    <w:lvl w:ilvl="0" w:tplc="7974ED66">
      <w:start w:val="1"/>
      <w:numFmt w:val="decimal"/>
      <w:lvlText w:val="%1."/>
      <w:lvlJc w:val="left"/>
      <w:pPr>
        <w:ind w:left="545" w:hanging="428"/>
      </w:pPr>
      <w:rPr>
        <w:rFonts w:ascii="Cambria" w:eastAsia="Cambria" w:hAnsi="Cambria" w:cs="Cambria" w:hint="default"/>
        <w:w w:val="99"/>
        <w:sz w:val="20"/>
        <w:szCs w:val="20"/>
        <w:lang w:val="en-US" w:eastAsia="en-US" w:bidi="ar-SA"/>
      </w:rPr>
    </w:lvl>
    <w:lvl w:ilvl="1" w:tplc="07E402DE">
      <w:start w:val="1"/>
      <w:numFmt w:val="lowerLetter"/>
      <w:lvlText w:val="(%2)"/>
      <w:lvlJc w:val="left"/>
      <w:pPr>
        <w:ind w:left="971" w:hanging="425"/>
      </w:pPr>
      <w:rPr>
        <w:rFonts w:ascii="Cambria" w:eastAsia="Cambria" w:hAnsi="Cambria" w:cs="Cambria" w:hint="default"/>
        <w:w w:val="99"/>
        <w:sz w:val="20"/>
        <w:szCs w:val="20"/>
        <w:lang w:val="en-US" w:eastAsia="en-US" w:bidi="ar-SA"/>
      </w:rPr>
    </w:lvl>
    <w:lvl w:ilvl="2" w:tplc="D7FEB670">
      <w:numFmt w:val="bullet"/>
      <w:lvlText w:val="-"/>
      <w:lvlJc w:val="left"/>
      <w:pPr>
        <w:ind w:left="915" w:hanging="360"/>
      </w:pPr>
      <w:rPr>
        <w:rFonts w:ascii="Calibri" w:eastAsia="Calibri" w:hAnsi="Calibri" w:cs="Calibri" w:hint="default"/>
        <w:w w:val="99"/>
        <w:sz w:val="20"/>
        <w:szCs w:val="20"/>
        <w:lang w:val="en-US" w:eastAsia="en-US" w:bidi="ar-SA"/>
      </w:rPr>
    </w:lvl>
    <w:lvl w:ilvl="3" w:tplc="E974960E">
      <w:numFmt w:val="bullet"/>
      <w:lvlText w:val="•"/>
      <w:lvlJc w:val="left"/>
      <w:pPr>
        <w:ind w:left="2035" w:hanging="425"/>
      </w:pPr>
      <w:rPr>
        <w:rFonts w:hint="default"/>
        <w:lang w:val="en-US" w:eastAsia="en-US" w:bidi="ar-SA"/>
      </w:rPr>
    </w:lvl>
    <w:lvl w:ilvl="4" w:tplc="05B8B022">
      <w:numFmt w:val="bullet"/>
      <w:lvlText w:val="•"/>
      <w:lvlJc w:val="left"/>
      <w:pPr>
        <w:ind w:left="3091" w:hanging="425"/>
      </w:pPr>
      <w:rPr>
        <w:rFonts w:hint="default"/>
        <w:lang w:val="en-US" w:eastAsia="en-US" w:bidi="ar-SA"/>
      </w:rPr>
    </w:lvl>
    <w:lvl w:ilvl="5" w:tplc="B63E0F1E">
      <w:numFmt w:val="bullet"/>
      <w:lvlText w:val="•"/>
      <w:lvlJc w:val="left"/>
      <w:pPr>
        <w:ind w:left="4147" w:hanging="425"/>
      </w:pPr>
      <w:rPr>
        <w:rFonts w:hint="default"/>
        <w:lang w:val="en-US" w:eastAsia="en-US" w:bidi="ar-SA"/>
      </w:rPr>
    </w:lvl>
    <w:lvl w:ilvl="6" w:tplc="73A294E0">
      <w:numFmt w:val="bullet"/>
      <w:lvlText w:val="•"/>
      <w:lvlJc w:val="left"/>
      <w:pPr>
        <w:ind w:left="5203" w:hanging="425"/>
      </w:pPr>
      <w:rPr>
        <w:rFonts w:hint="default"/>
        <w:lang w:val="en-US" w:eastAsia="en-US" w:bidi="ar-SA"/>
      </w:rPr>
    </w:lvl>
    <w:lvl w:ilvl="7" w:tplc="C95E934E">
      <w:numFmt w:val="bullet"/>
      <w:lvlText w:val="•"/>
      <w:lvlJc w:val="left"/>
      <w:pPr>
        <w:ind w:left="6259" w:hanging="425"/>
      </w:pPr>
      <w:rPr>
        <w:rFonts w:hint="default"/>
        <w:lang w:val="en-US" w:eastAsia="en-US" w:bidi="ar-SA"/>
      </w:rPr>
    </w:lvl>
    <w:lvl w:ilvl="8" w:tplc="93C8E1B4">
      <w:numFmt w:val="bullet"/>
      <w:lvlText w:val="•"/>
      <w:lvlJc w:val="left"/>
      <w:pPr>
        <w:ind w:left="7314" w:hanging="425"/>
      </w:pPr>
      <w:rPr>
        <w:rFonts w:hint="default"/>
        <w:lang w:val="en-US" w:eastAsia="en-US" w:bidi="ar-SA"/>
      </w:rPr>
    </w:lvl>
  </w:abstractNum>
  <w:abstractNum w:abstractNumId="11" w15:restartNumberingAfterBreak="0">
    <w:nsid w:val="139B6191"/>
    <w:multiLevelType w:val="multilevel"/>
    <w:tmpl w:val="92B4A6CA"/>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0" w:hanging="425"/>
      </w:pPr>
      <w:rPr>
        <w:rFonts w:ascii="Cambria" w:eastAsia="Cambria" w:hAnsi="Cambria" w:cs="Cambria"/>
        <w:spacing w:val="0"/>
        <w:w w:val="99"/>
        <w:sz w:val="20"/>
        <w:szCs w:val="20"/>
        <w:vertAlign w:val="superscript"/>
        <w:lang w:val="en-US" w:eastAsia="en-US" w:bidi="ar-SA"/>
      </w:rPr>
    </w:lvl>
    <w:lvl w:ilvl="2">
      <w:numFmt w:val="bullet"/>
      <w:lvlText w:val=""/>
      <w:lvlJc w:val="left"/>
      <w:pPr>
        <w:tabs>
          <w:tab w:val="num" w:pos="0"/>
        </w:tabs>
        <w:ind w:left="1918" w:hanging="425"/>
      </w:pPr>
      <w:rPr>
        <w:rFonts w:ascii="Symbol" w:hAnsi="Symbol" w:cs="Symbol" w:hint="default"/>
        <w:lang w:val="en-US" w:eastAsia="en-US" w:bidi="ar-SA"/>
      </w:rPr>
    </w:lvl>
    <w:lvl w:ilvl="3">
      <w:numFmt w:val="bullet"/>
      <w:lvlText w:val=""/>
      <w:lvlJc w:val="left"/>
      <w:pPr>
        <w:tabs>
          <w:tab w:val="num" w:pos="0"/>
        </w:tabs>
        <w:ind w:left="2856" w:hanging="425"/>
      </w:pPr>
      <w:rPr>
        <w:rFonts w:ascii="Symbol" w:hAnsi="Symbol" w:cs="Symbol" w:hint="default"/>
        <w:lang w:val="en-US" w:eastAsia="en-US" w:bidi="ar-SA"/>
      </w:rPr>
    </w:lvl>
    <w:lvl w:ilvl="4">
      <w:numFmt w:val="bullet"/>
      <w:lvlText w:val=""/>
      <w:lvlJc w:val="left"/>
      <w:pPr>
        <w:tabs>
          <w:tab w:val="num" w:pos="0"/>
        </w:tabs>
        <w:ind w:left="3795" w:hanging="425"/>
      </w:pPr>
      <w:rPr>
        <w:rFonts w:ascii="Symbol" w:hAnsi="Symbol" w:cs="Symbol" w:hint="default"/>
        <w:lang w:val="en-US" w:eastAsia="en-US" w:bidi="ar-SA"/>
      </w:rPr>
    </w:lvl>
    <w:lvl w:ilvl="5">
      <w:numFmt w:val="bullet"/>
      <w:lvlText w:val=""/>
      <w:lvlJc w:val="left"/>
      <w:pPr>
        <w:tabs>
          <w:tab w:val="num" w:pos="0"/>
        </w:tabs>
        <w:ind w:left="4733" w:hanging="425"/>
      </w:pPr>
      <w:rPr>
        <w:rFonts w:ascii="Symbol" w:hAnsi="Symbol" w:cs="Symbol" w:hint="default"/>
        <w:lang w:val="en-US" w:eastAsia="en-US" w:bidi="ar-SA"/>
      </w:rPr>
    </w:lvl>
    <w:lvl w:ilvl="6">
      <w:numFmt w:val="bullet"/>
      <w:lvlText w:val=""/>
      <w:lvlJc w:val="left"/>
      <w:pPr>
        <w:tabs>
          <w:tab w:val="num" w:pos="0"/>
        </w:tabs>
        <w:ind w:left="5672" w:hanging="425"/>
      </w:pPr>
      <w:rPr>
        <w:rFonts w:ascii="Symbol" w:hAnsi="Symbol" w:cs="Symbol" w:hint="default"/>
        <w:lang w:val="en-US" w:eastAsia="en-US" w:bidi="ar-SA"/>
      </w:rPr>
    </w:lvl>
    <w:lvl w:ilvl="7">
      <w:numFmt w:val="bullet"/>
      <w:lvlText w:val=""/>
      <w:lvlJc w:val="left"/>
      <w:pPr>
        <w:tabs>
          <w:tab w:val="num" w:pos="0"/>
        </w:tabs>
        <w:ind w:left="6610" w:hanging="425"/>
      </w:pPr>
      <w:rPr>
        <w:rFonts w:ascii="Symbol" w:hAnsi="Symbol" w:cs="Symbol" w:hint="default"/>
        <w:lang w:val="en-US" w:eastAsia="en-US" w:bidi="ar-SA"/>
      </w:rPr>
    </w:lvl>
    <w:lvl w:ilvl="8">
      <w:numFmt w:val="bullet"/>
      <w:lvlText w:val=""/>
      <w:lvlJc w:val="left"/>
      <w:pPr>
        <w:tabs>
          <w:tab w:val="num" w:pos="0"/>
        </w:tabs>
        <w:ind w:left="7549" w:hanging="425"/>
      </w:pPr>
      <w:rPr>
        <w:rFonts w:ascii="Symbol" w:hAnsi="Symbol" w:cs="Symbol" w:hint="default"/>
        <w:lang w:val="en-US" w:eastAsia="en-US" w:bidi="ar-SA"/>
      </w:rPr>
    </w:lvl>
  </w:abstractNum>
  <w:abstractNum w:abstractNumId="12" w15:restartNumberingAfterBreak="0">
    <w:nsid w:val="1F972DA2"/>
    <w:multiLevelType w:val="hybridMultilevel"/>
    <w:tmpl w:val="5B88D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D3E20"/>
    <w:multiLevelType w:val="multilevel"/>
    <w:tmpl w:val="17A21882"/>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1" w:hanging="425"/>
      </w:pPr>
      <w:rPr>
        <w:rFonts w:ascii="Cambria" w:eastAsia="Cambria" w:hAnsi="Cambria" w:cs="Cambria"/>
        <w:w w:val="99"/>
        <w:sz w:val="20"/>
        <w:szCs w:val="20"/>
        <w:lang w:val="en-US" w:eastAsia="en-US" w:bidi="ar-SA"/>
      </w:rPr>
    </w:lvl>
    <w:lvl w:ilvl="2">
      <w:numFmt w:val="bullet"/>
      <w:lvlText w:val="-"/>
      <w:lvlJc w:val="left"/>
      <w:pPr>
        <w:tabs>
          <w:tab w:val="num" w:pos="0"/>
        </w:tabs>
        <w:ind w:left="915" w:hanging="360"/>
      </w:pPr>
      <w:rPr>
        <w:rFonts w:ascii="Calibri" w:hAnsi="Calibri" w:cs="Calibri" w:hint="default"/>
        <w:w w:val="99"/>
        <w:sz w:val="20"/>
        <w:szCs w:val="20"/>
        <w:lang w:val="en-US" w:eastAsia="en-US" w:bidi="ar-SA"/>
      </w:rPr>
    </w:lvl>
    <w:lvl w:ilvl="3">
      <w:numFmt w:val="bullet"/>
      <w:lvlText w:val=""/>
      <w:lvlJc w:val="left"/>
      <w:pPr>
        <w:tabs>
          <w:tab w:val="num" w:pos="0"/>
        </w:tabs>
        <w:ind w:left="2035" w:hanging="425"/>
      </w:pPr>
      <w:rPr>
        <w:rFonts w:ascii="Symbol" w:hAnsi="Symbol" w:cs="Symbol" w:hint="default"/>
        <w:lang w:val="en-US" w:eastAsia="en-US" w:bidi="ar-SA"/>
      </w:rPr>
    </w:lvl>
    <w:lvl w:ilvl="4">
      <w:numFmt w:val="bullet"/>
      <w:lvlText w:val=""/>
      <w:lvlJc w:val="left"/>
      <w:pPr>
        <w:tabs>
          <w:tab w:val="num" w:pos="0"/>
        </w:tabs>
        <w:ind w:left="3091" w:hanging="425"/>
      </w:pPr>
      <w:rPr>
        <w:rFonts w:ascii="Symbol" w:hAnsi="Symbol" w:cs="Symbol" w:hint="default"/>
        <w:lang w:val="en-US" w:eastAsia="en-US" w:bidi="ar-SA"/>
      </w:rPr>
    </w:lvl>
    <w:lvl w:ilvl="5">
      <w:numFmt w:val="bullet"/>
      <w:lvlText w:val=""/>
      <w:lvlJc w:val="left"/>
      <w:pPr>
        <w:tabs>
          <w:tab w:val="num" w:pos="0"/>
        </w:tabs>
        <w:ind w:left="4147" w:hanging="425"/>
      </w:pPr>
      <w:rPr>
        <w:rFonts w:ascii="Symbol" w:hAnsi="Symbol" w:cs="Symbol" w:hint="default"/>
        <w:lang w:val="en-US" w:eastAsia="en-US" w:bidi="ar-SA"/>
      </w:rPr>
    </w:lvl>
    <w:lvl w:ilvl="6">
      <w:numFmt w:val="bullet"/>
      <w:lvlText w:val=""/>
      <w:lvlJc w:val="left"/>
      <w:pPr>
        <w:tabs>
          <w:tab w:val="num" w:pos="0"/>
        </w:tabs>
        <w:ind w:left="5203" w:hanging="425"/>
      </w:pPr>
      <w:rPr>
        <w:rFonts w:ascii="Symbol" w:hAnsi="Symbol" w:cs="Symbol" w:hint="default"/>
        <w:lang w:val="en-US" w:eastAsia="en-US" w:bidi="ar-SA"/>
      </w:rPr>
    </w:lvl>
    <w:lvl w:ilvl="7">
      <w:numFmt w:val="bullet"/>
      <w:lvlText w:val=""/>
      <w:lvlJc w:val="left"/>
      <w:pPr>
        <w:tabs>
          <w:tab w:val="num" w:pos="0"/>
        </w:tabs>
        <w:ind w:left="6259" w:hanging="425"/>
      </w:pPr>
      <w:rPr>
        <w:rFonts w:ascii="Symbol" w:hAnsi="Symbol" w:cs="Symbol" w:hint="default"/>
        <w:lang w:val="en-US" w:eastAsia="en-US" w:bidi="ar-SA"/>
      </w:rPr>
    </w:lvl>
    <w:lvl w:ilvl="8">
      <w:numFmt w:val="bullet"/>
      <w:lvlText w:val=""/>
      <w:lvlJc w:val="left"/>
      <w:pPr>
        <w:tabs>
          <w:tab w:val="num" w:pos="0"/>
        </w:tabs>
        <w:ind w:left="7314" w:hanging="425"/>
      </w:pPr>
      <w:rPr>
        <w:rFonts w:ascii="Symbol" w:hAnsi="Symbol" w:cs="Symbol" w:hint="default"/>
        <w:lang w:val="en-US" w:eastAsia="en-US" w:bidi="ar-SA"/>
      </w:rPr>
    </w:lvl>
  </w:abstractNum>
  <w:abstractNum w:abstractNumId="14"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16" w15:restartNumberingAfterBreak="0">
    <w:nsid w:val="4D6D1021"/>
    <w:multiLevelType w:val="multilevel"/>
    <w:tmpl w:val="D93089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18" w15:restartNumberingAfterBreak="0">
    <w:nsid w:val="6D9E0ADA"/>
    <w:multiLevelType w:val="multilevel"/>
    <w:tmpl w:val="0BD07056"/>
    <w:lvl w:ilvl="0">
      <w:numFmt w:val="bullet"/>
      <w:lvlText w:val="-"/>
      <w:lvlJc w:val="left"/>
      <w:pPr>
        <w:tabs>
          <w:tab w:val="num" w:pos="0"/>
        </w:tabs>
        <w:ind w:left="970" w:hanging="425"/>
      </w:pPr>
      <w:rPr>
        <w:rFonts w:ascii="Calibri" w:hAnsi="Calibri" w:cs="Calibri" w:hint="default"/>
        <w:w w:val="99"/>
        <w:sz w:val="20"/>
        <w:szCs w:val="20"/>
        <w:lang w:val="en-US" w:eastAsia="en-US" w:bidi="ar-SA"/>
      </w:rPr>
    </w:lvl>
    <w:lvl w:ilvl="1">
      <w:numFmt w:val="bullet"/>
      <w:lvlText w:val=""/>
      <w:lvlJc w:val="left"/>
      <w:pPr>
        <w:tabs>
          <w:tab w:val="num" w:pos="0"/>
        </w:tabs>
        <w:ind w:left="1824" w:hanging="425"/>
      </w:pPr>
      <w:rPr>
        <w:rFonts w:ascii="Symbol" w:hAnsi="Symbol" w:cs="Symbol" w:hint="default"/>
        <w:lang w:val="en-US" w:eastAsia="en-US" w:bidi="ar-SA"/>
      </w:rPr>
    </w:lvl>
    <w:lvl w:ilvl="2">
      <w:numFmt w:val="bullet"/>
      <w:lvlText w:val=""/>
      <w:lvlJc w:val="left"/>
      <w:pPr>
        <w:tabs>
          <w:tab w:val="num" w:pos="0"/>
        </w:tabs>
        <w:ind w:left="2669" w:hanging="425"/>
      </w:pPr>
      <w:rPr>
        <w:rFonts w:ascii="Symbol" w:hAnsi="Symbol" w:cs="Symbol" w:hint="default"/>
        <w:lang w:val="en-US" w:eastAsia="en-US" w:bidi="ar-SA"/>
      </w:rPr>
    </w:lvl>
    <w:lvl w:ilvl="3">
      <w:numFmt w:val="bullet"/>
      <w:lvlText w:val=""/>
      <w:lvlJc w:val="left"/>
      <w:pPr>
        <w:tabs>
          <w:tab w:val="num" w:pos="0"/>
        </w:tabs>
        <w:ind w:left="3513" w:hanging="425"/>
      </w:pPr>
      <w:rPr>
        <w:rFonts w:ascii="Symbol" w:hAnsi="Symbol" w:cs="Symbol" w:hint="default"/>
        <w:lang w:val="en-US" w:eastAsia="en-US" w:bidi="ar-SA"/>
      </w:rPr>
    </w:lvl>
    <w:lvl w:ilvl="4">
      <w:numFmt w:val="bullet"/>
      <w:lvlText w:val=""/>
      <w:lvlJc w:val="left"/>
      <w:pPr>
        <w:tabs>
          <w:tab w:val="num" w:pos="0"/>
        </w:tabs>
        <w:ind w:left="4358" w:hanging="425"/>
      </w:pPr>
      <w:rPr>
        <w:rFonts w:ascii="Symbol" w:hAnsi="Symbol" w:cs="Symbol" w:hint="default"/>
        <w:lang w:val="en-US" w:eastAsia="en-US" w:bidi="ar-SA"/>
      </w:rPr>
    </w:lvl>
    <w:lvl w:ilvl="5">
      <w:numFmt w:val="bullet"/>
      <w:lvlText w:val=""/>
      <w:lvlJc w:val="left"/>
      <w:pPr>
        <w:tabs>
          <w:tab w:val="num" w:pos="0"/>
        </w:tabs>
        <w:ind w:left="5203" w:hanging="425"/>
      </w:pPr>
      <w:rPr>
        <w:rFonts w:ascii="Symbol" w:hAnsi="Symbol" w:cs="Symbol" w:hint="default"/>
        <w:lang w:val="en-US" w:eastAsia="en-US" w:bidi="ar-SA"/>
      </w:rPr>
    </w:lvl>
    <w:lvl w:ilvl="6">
      <w:numFmt w:val="bullet"/>
      <w:lvlText w:val=""/>
      <w:lvlJc w:val="left"/>
      <w:pPr>
        <w:tabs>
          <w:tab w:val="num" w:pos="0"/>
        </w:tabs>
        <w:ind w:left="6047" w:hanging="425"/>
      </w:pPr>
      <w:rPr>
        <w:rFonts w:ascii="Symbol" w:hAnsi="Symbol" w:cs="Symbol" w:hint="default"/>
        <w:lang w:val="en-US" w:eastAsia="en-US" w:bidi="ar-SA"/>
      </w:rPr>
    </w:lvl>
    <w:lvl w:ilvl="7">
      <w:numFmt w:val="bullet"/>
      <w:lvlText w:val=""/>
      <w:lvlJc w:val="left"/>
      <w:pPr>
        <w:tabs>
          <w:tab w:val="num" w:pos="0"/>
        </w:tabs>
        <w:ind w:left="6892" w:hanging="425"/>
      </w:pPr>
      <w:rPr>
        <w:rFonts w:ascii="Symbol" w:hAnsi="Symbol" w:cs="Symbol" w:hint="default"/>
        <w:lang w:val="en-US" w:eastAsia="en-US" w:bidi="ar-SA"/>
      </w:rPr>
    </w:lvl>
    <w:lvl w:ilvl="8">
      <w:numFmt w:val="bullet"/>
      <w:lvlText w:val=""/>
      <w:lvlJc w:val="left"/>
      <w:pPr>
        <w:tabs>
          <w:tab w:val="num" w:pos="0"/>
        </w:tabs>
        <w:ind w:left="7737" w:hanging="425"/>
      </w:pPr>
      <w:rPr>
        <w:rFonts w:ascii="Symbol" w:hAnsi="Symbol" w:cs="Symbol" w:hint="default"/>
        <w:lang w:val="en-US" w:eastAsia="en-US" w:bidi="ar-SA"/>
      </w:rPr>
    </w:lvl>
  </w:abstractNum>
  <w:abstractNum w:abstractNumId="19" w15:restartNumberingAfterBreak="0">
    <w:nsid w:val="7ABE2167"/>
    <w:multiLevelType w:val="hybridMultilevel"/>
    <w:tmpl w:val="533ECD84"/>
    <w:lvl w:ilvl="0" w:tplc="D108A39A">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0"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309550737">
    <w:abstractNumId w:val="18"/>
  </w:num>
  <w:num w:numId="2" w16cid:durableId="1553925195">
    <w:abstractNumId w:val="11"/>
  </w:num>
  <w:num w:numId="3" w16cid:durableId="1828087883">
    <w:abstractNumId w:val="13"/>
  </w:num>
  <w:num w:numId="4" w16cid:durableId="776678806">
    <w:abstractNumId w:val="16"/>
  </w:num>
  <w:num w:numId="5" w16cid:durableId="2132361959">
    <w:abstractNumId w:val="10"/>
  </w:num>
  <w:num w:numId="6" w16cid:durableId="921529323">
    <w:abstractNumId w:val="19"/>
  </w:num>
  <w:num w:numId="7" w16cid:durableId="39787625">
    <w:abstractNumId w:val="12"/>
  </w:num>
  <w:num w:numId="8" w16cid:durableId="180052661">
    <w:abstractNumId w:val="9"/>
  </w:num>
  <w:num w:numId="9" w16cid:durableId="883831964">
    <w:abstractNumId w:val="7"/>
  </w:num>
  <w:num w:numId="10" w16cid:durableId="1552618761">
    <w:abstractNumId w:val="6"/>
  </w:num>
  <w:num w:numId="11" w16cid:durableId="1767143293">
    <w:abstractNumId w:val="5"/>
  </w:num>
  <w:num w:numId="12" w16cid:durableId="452526590">
    <w:abstractNumId w:val="4"/>
  </w:num>
  <w:num w:numId="13" w16cid:durableId="1160734723">
    <w:abstractNumId w:val="8"/>
  </w:num>
  <w:num w:numId="14" w16cid:durableId="996344480">
    <w:abstractNumId w:val="3"/>
  </w:num>
  <w:num w:numId="15" w16cid:durableId="330985638">
    <w:abstractNumId w:val="2"/>
  </w:num>
  <w:num w:numId="16" w16cid:durableId="626158156">
    <w:abstractNumId w:val="1"/>
  </w:num>
  <w:num w:numId="17" w16cid:durableId="1905409973">
    <w:abstractNumId w:val="0"/>
  </w:num>
  <w:num w:numId="18" w16cid:durableId="5023544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95149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374819389">
    <w:abstractNumId w:val="14"/>
  </w:num>
  <w:num w:numId="21" w16cid:durableId="4300046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F2"/>
    <w:rsid w:val="00010E38"/>
    <w:rsid w:val="00015DF1"/>
    <w:rsid w:val="00017D02"/>
    <w:rsid w:val="00023308"/>
    <w:rsid w:val="00041A90"/>
    <w:rsid w:val="00042539"/>
    <w:rsid w:val="000517CB"/>
    <w:rsid w:val="00063AA9"/>
    <w:rsid w:val="00066824"/>
    <w:rsid w:val="00071F1A"/>
    <w:rsid w:val="00084BD9"/>
    <w:rsid w:val="000A125A"/>
    <w:rsid w:val="000B039D"/>
    <w:rsid w:val="000D2C48"/>
    <w:rsid w:val="000D7121"/>
    <w:rsid w:val="000E6341"/>
    <w:rsid w:val="00100890"/>
    <w:rsid w:val="001212E4"/>
    <w:rsid w:val="00143EE7"/>
    <w:rsid w:val="00156E11"/>
    <w:rsid w:val="001618B5"/>
    <w:rsid w:val="00170DFE"/>
    <w:rsid w:val="0017234D"/>
    <w:rsid w:val="001766E4"/>
    <w:rsid w:val="001823C5"/>
    <w:rsid w:val="001965D3"/>
    <w:rsid w:val="001A7813"/>
    <w:rsid w:val="001A7F7F"/>
    <w:rsid w:val="001C4904"/>
    <w:rsid w:val="001D203E"/>
    <w:rsid w:val="001D3FEA"/>
    <w:rsid w:val="00200CBF"/>
    <w:rsid w:val="00211234"/>
    <w:rsid w:val="0023638C"/>
    <w:rsid w:val="0024267D"/>
    <w:rsid w:val="00266E50"/>
    <w:rsid w:val="00280169"/>
    <w:rsid w:val="00290224"/>
    <w:rsid w:val="002A1101"/>
    <w:rsid w:val="002B4874"/>
    <w:rsid w:val="002C3180"/>
    <w:rsid w:val="002C5AC0"/>
    <w:rsid w:val="002C6E49"/>
    <w:rsid w:val="002C7770"/>
    <w:rsid w:val="002E02C2"/>
    <w:rsid w:val="002E3A83"/>
    <w:rsid w:val="002E4F24"/>
    <w:rsid w:val="003172C9"/>
    <w:rsid w:val="00346990"/>
    <w:rsid w:val="00351D6E"/>
    <w:rsid w:val="00352E4E"/>
    <w:rsid w:val="0035402B"/>
    <w:rsid w:val="00370F64"/>
    <w:rsid w:val="003774F7"/>
    <w:rsid w:val="00382E4C"/>
    <w:rsid w:val="0038360F"/>
    <w:rsid w:val="003959C3"/>
    <w:rsid w:val="003A474E"/>
    <w:rsid w:val="003A574E"/>
    <w:rsid w:val="003B01BC"/>
    <w:rsid w:val="003B2418"/>
    <w:rsid w:val="003B26BE"/>
    <w:rsid w:val="003C2B98"/>
    <w:rsid w:val="003F19A8"/>
    <w:rsid w:val="004043E8"/>
    <w:rsid w:val="00404925"/>
    <w:rsid w:val="004202AD"/>
    <w:rsid w:val="0042361A"/>
    <w:rsid w:val="00431A45"/>
    <w:rsid w:val="00440877"/>
    <w:rsid w:val="00441065"/>
    <w:rsid w:val="00452F3A"/>
    <w:rsid w:val="00473BDC"/>
    <w:rsid w:val="004748C4"/>
    <w:rsid w:val="00476F41"/>
    <w:rsid w:val="004B6F39"/>
    <w:rsid w:val="004D3AC1"/>
    <w:rsid w:val="004F6E34"/>
    <w:rsid w:val="005046E2"/>
    <w:rsid w:val="00506924"/>
    <w:rsid w:val="00543E63"/>
    <w:rsid w:val="005537BF"/>
    <w:rsid w:val="00556EA7"/>
    <w:rsid w:val="00566B70"/>
    <w:rsid w:val="00567F80"/>
    <w:rsid w:val="00574ADD"/>
    <w:rsid w:val="005908AB"/>
    <w:rsid w:val="005B5E97"/>
    <w:rsid w:val="005B6D26"/>
    <w:rsid w:val="005C0577"/>
    <w:rsid w:val="005C76FC"/>
    <w:rsid w:val="005D38A8"/>
    <w:rsid w:val="005F0F57"/>
    <w:rsid w:val="005F2E87"/>
    <w:rsid w:val="0060352B"/>
    <w:rsid w:val="00603A02"/>
    <w:rsid w:val="0060626E"/>
    <w:rsid w:val="006506B2"/>
    <w:rsid w:val="006677FD"/>
    <w:rsid w:val="006B1D77"/>
    <w:rsid w:val="006B3315"/>
    <w:rsid w:val="006B3352"/>
    <w:rsid w:val="006C2297"/>
    <w:rsid w:val="006F4D5B"/>
    <w:rsid w:val="007107F6"/>
    <w:rsid w:val="0072607A"/>
    <w:rsid w:val="0073410A"/>
    <w:rsid w:val="00734908"/>
    <w:rsid w:val="0076466B"/>
    <w:rsid w:val="00764938"/>
    <w:rsid w:val="00765E81"/>
    <w:rsid w:val="007664B0"/>
    <w:rsid w:val="00767B5D"/>
    <w:rsid w:val="00774972"/>
    <w:rsid w:val="00776C1B"/>
    <w:rsid w:val="007837EE"/>
    <w:rsid w:val="007907DB"/>
    <w:rsid w:val="0079540E"/>
    <w:rsid w:val="007957CF"/>
    <w:rsid w:val="007A24A6"/>
    <w:rsid w:val="007A4C62"/>
    <w:rsid w:val="007C06C2"/>
    <w:rsid w:val="007C1DAD"/>
    <w:rsid w:val="007C243D"/>
    <w:rsid w:val="007C6BEE"/>
    <w:rsid w:val="007E04B3"/>
    <w:rsid w:val="007E2B2E"/>
    <w:rsid w:val="007E4B6E"/>
    <w:rsid w:val="00862A5B"/>
    <w:rsid w:val="0087627B"/>
    <w:rsid w:val="008840D7"/>
    <w:rsid w:val="00886172"/>
    <w:rsid w:val="0089300C"/>
    <w:rsid w:val="00895268"/>
    <w:rsid w:val="0089532B"/>
    <w:rsid w:val="00896DCB"/>
    <w:rsid w:val="008C1316"/>
    <w:rsid w:val="008D6530"/>
    <w:rsid w:val="008E7B33"/>
    <w:rsid w:val="0092338E"/>
    <w:rsid w:val="00936EB1"/>
    <w:rsid w:val="00960277"/>
    <w:rsid w:val="00961E74"/>
    <w:rsid w:val="00980019"/>
    <w:rsid w:val="00992891"/>
    <w:rsid w:val="009A5C6B"/>
    <w:rsid w:val="009B5E4A"/>
    <w:rsid w:val="009C495C"/>
    <w:rsid w:val="009F158F"/>
    <w:rsid w:val="009F354C"/>
    <w:rsid w:val="00A00EF5"/>
    <w:rsid w:val="00A11393"/>
    <w:rsid w:val="00A23501"/>
    <w:rsid w:val="00A374D5"/>
    <w:rsid w:val="00A5548B"/>
    <w:rsid w:val="00A63250"/>
    <w:rsid w:val="00A91E56"/>
    <w:rsid w:val="00A92BBA"/>
    <w:rsid w:val="00A94ABC"/>
    <w:rsid w:val="00AA33EC"/>
    <w:rsid w:val="00AD4005"/>
    <w:rsid w:val="00AD51F4"/>
    <w:rsid w:val="00AE16FF"/>
    <w:rsid w:val="00AE24BE"/>
    <w:rsid w:val="00AE7918"/>
    <w:rsid w:val="00B0447F"/>
    <w:rsid w:val="00B327D5"/>
    <w:rsid w:val="00B40971"/>
    <w:rsid w:val="00B413D5"/>
    <w:rsid w:val="00B66B47"/>
    <w:rsid w:val="00B82727"/>
    <w:rsid w:val="00B95FA5"/>
    <w:rsid w:val="00BA4478"/>
    <w:rsid w:val="00BC03F2"/>
    <w:rsid w:val="00BD2418"/>
    <w:rsid w:val="00BF2E2E"/>
    <w:rsid w:val="00BF34B6"/>
    <w:rsid w:val="00C10901"/>
    <w:rsid w:val="00C110D6"/>
    <w:rsid w:val="00C1662F"/>
    <w:rsid w:val="00C31BFD"/>
    <w:rsid w:val="00C32C1A"/>
    <w:rsid w:val="00C443AD"/>
    <w:rsid w:val="00C479D9"/>
    <w:rsid w:val="00CA08BA"/>
    <w:rsid w:val="00CA6732"/>
    <w:rsid w:val="00CB64AB"/>
    <w:rsid w:val="00CC0D2E"/>
    <w:rsid w:val="00CC3E82"/>
    <w:rsid w:val="00CC4C7F"/>
    <w:rsid w:val="00CD2A07"/>
    <w:rsid w:val="00CD3FF8"/>
    <w:rsid w:val="00D13F55"/>
    <w:rsid w:val="00D30D7B"/>
    <w:rsid w:val="00D352BD"/>
    <w:rsid w:val="00D35D79"/>
    <w:rsid w:val="00D60DFD"/>
    <w:rsid w:val="00D66884"/>
    <w:rsid w:val="00D85241"/>
    <w:rsid w:val="00D91D7D"/>
    <w:rsid w:val="00DA5E35"/>
    <w:rsid w:val="00DB0090"/>
    <w:rsid w:val="00DB5C16"/>
    <w:rsid w:val="00DD3D9E"/>
    <w:rsid w:val="00E044E8"/>
    <w:rsid w:val="00E23C8A"/>
    <w:rsid w:val="00E30DA1"/>
    <w:rsid w:val="00E4343E"/>
    <w:rsid w:val="00E53225"/>
    <w:rsid w:val="00E85F21"/>
    <w:rsid w:val="00E93DAA"/>
    <w:rsid w:val="00E9589A"/>
    <w:rsid w:val="00EA2935"/>
    <w:rsid w:val="00EA3D64"/>
    <w:rsid w:val="00EA4185"/>
    <w:rsid w:val="00EA4483"/>
    <w:rsid w:val="00EB206F"/>
    <w:rsid w:val="00EB7142"/>
    <w:rsid w:val="00EC4E55"/>
    <w:rsid w:val="00ED5D62"/>
    <w:rsid w:val="00EE1418"/>
    <w:rsid w:val="00EE3818"/>
    <w:rsid w:val="00EF59CE"/>
    <w:rsid w:val="00F04E91"/>
    <w:rsid w:val="00F12942"/>
    <w:rsid w:val="00F13DCF"/>
    <w:rsid w:val="00F16D32"/>
    <w:rsid w:val="00F22293"/>
    <w:rsid w:val="00F271EE"/>
    <w:rsid w:val="00F27C07"/>
    <w:rsid w:val="00F343B0"/>
    <w:rsid w:val="00F415AE"/>
    <w:rsid w:val="00F45652"/>
    <w:rsid w:val="00F46B2E"/>
    <w:rsid w:val="00FA5797"/>
    <w:rsid w:val="00FE6987"/>
    <w:rsid w:val="00FF3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2FC35"/>
  <w15:docId w15:val="{AEF37EB5-F1A9-4578-8DF4-9E0BE02D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4A"/>
    <w:rPr>
      <w:rFonts w:ascii="Times New Roman" w:eastAsia="Times New Roman" w:hAnsi="Times New Roman" w:cs="Times New Roman"/>
      <w:sz w:val="24"/>
      <w:szCs w:val="24"/>
      <w:lang w:eastAsia="pt-BR"/>
    </w:rPr>
  </w:style>
  <w:style w:type="paragraph" w:styleId="Heading1">
    <w:name w:val="heading 1"/>
    <w:basedOn w:val="Normal"/>
    <w:uiPriority w:val="9"/>
    <w:qFormat/>
    <w:pPr>
      <w:widowControl w:val="0"/>
      <w:spacing w:before="77"/>
      <w:outlineLvl w:val="0"/>
    </w:pPr>
    <w:rPr>
      <w:rFonts w:ascii="Cambria" w:eastAsia="Cambria" w:hAnsi="Cambria" w:cs="Cambria"/>
      <w:b/>
      <w:bCs/>
      <w:sz w:val="20"/>
      <w:szCs w:val="20"/>
      <w:lang w:eastAsia="en-US"/>
    </w:rPr>
  </w:style>
  <w:style w:type="paragraph" w:styleId="Heading2">
    <w:name w:val="heading 2"/>
    <w:basedOn w:val="Normal"/>
    <w:uiPriority w:val="9"/>
    <w:unhideWhenUsed/>
    <w:qFormat/>
    <w:pPr>
      <w:widowControl w:val="0"/>
      <w:ind w:left="118"/>
      <w:outlineLvl w:val="1"/>
    </w:pPr>
    <w:rPr>
      <w:rFonts w:ascii="Cambria" w:eastAsia="Cambria" w:hAnsi="Cambria" w:cs="Cambria"/>
      <w:b/>
      <w:bCs/>
      <w:i/>
      <w:iCs/>
      <w:sz w:val="20"/>
      <w:szCs w:val="20"/>
      <w:lang w:eastAsia="en-US"/>
    </w:rPr>
  </w:style>
  <w:style w:type="paragraph" w:styleId="Heading3">
    <w:name w:val="heading 3"/>
    <w:basedOn w:val="Normal"/>
    <w:next w:val="Normal"/>
    <w:link w:val="Heading3Char"/>
    <w:uiPriority w:val="9"/>
    <w:semiHidden/>
    <w:unhideWhenUsed/>
    <w:qFormat/>
    <w:rsid w:val="00AE16F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E16F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E16F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E16F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E16F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E16F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16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0266F"/>
    <w:rPr>
      <w:sz w:val="16"/>
      <w:szCs w:val="16"/>
    </w:rPr>
  </w:style>
  <w:style w:type="character" w:customStyle="1" w:styleId="CommentTextChar">
    <w:name w:val="Comment Text Char"/>
    <w:basedOn w:val="DefaultParagraphFont"/>
    <w:link w:val="CommentText"/>
    <w:uiPriority w:val="99"/>
    <w:qFormat/>
    <w:rsid w:val="00B0266F"/>
    <w:rPr>
      <w:kern w:val="2"/>
      <w:sz w:val="20"/>
      <w:szCs w:val="20"/>
      <w14:ligatures w14:val="standardContextual"/>
    </w:rPr>
  </w:style>
  <w:style w:type="character" w:customStyle="1" w:styleId="CommentSubjectChar">
    <w:name w:val="Comment Subject Char"/>
    <w:basedOn w:val="CommentTextChar"/>
    <w:link w:val="CommentSubject"/>
    <w:uiPriority w:val="99"/>
    <w:semiHidden/>
    <w:qFormat/>
    <w:rsid w:val="00323A18"/>
    <w:rPr>
      <w:rFonts w:ascii="Cambria" w:eastAsia="Cambria" w:hAnsi="Cambria" w:cs="Cambria"/>
      <w:b/>
      <w:bCs/>
      <w:kern w:val="2"/>
      <w:sz w:val="20"/>
      <w:szCs w:val="20"/>
      <w14:ligatures w14:val="standardContextual"/>
    </w:rPr>
  </w:style>
  <w:style w:type="character" w:customStyle="1" w:styleId="HeaderChar">
    <w:name w:val="Header Char"/>
    <w:basedOn w:val="DefaultParagraphFont"/>
    <w:link w:val="Header"/>
    <w:uiPriority w:val="99"/>
    <w:qFormat/>
    <w:rsid w:val="00E51EA2"/>
    <w:rPr>
      <w:rFonts w:ascii="Cambria" w:eastAsia="Cambria" w:hAnsi="Cambria" w:cs="Cambria"/>
    </w:rPr>
  </w:style>
  <w:style w:type="character" w:customStyle="1" w:styleId="FooterChar">
    <w:name w:val="Footer Char"/>
    <w:basedOn w:val="DefaultParagraphFont"/>
    <w:link w:val="Footer"/>
    <w:uiPriority w:val="99"/>
    <w:qFormat/>
    <w:rsid w:val="00E51EA2"/>
    <w:rPr>
      <w:rFonts w:ascii="Cambria" w:eastAsia="Cambria" w:hAnsi="Cambria" w:cs="Cambria"/>
    </w:rPr>
  </w:style>
  <w:style w:type="character" w:styleId="PlaceholderText">
    <w:name w:val="Placeholder Text"/>
    <w:basedOn w:val="DefaultParagraphFont"/>
    <w:uiPriority w:val="99"/>
    <w:semiHidden/>
    <w:qFormat/>
    <w:rsid w:val="00736BB8"/>
    <w:rPr>
      <w:color w:val="808080"/>
    </w:rPr>
  </w:style>
  <w:style w:type="character" w:customStyle="1" w:styleId="FootnoteTextChar">
    <w:name w:val="Footnote Text Char"/>
    <w:basedOn w:val="DefaultParagraphFont"/>
    <w:link w:val="FootnoteText"/>
    <w:uiPriority w:val="99"/>
    <w:semiHidden/>
    <w:qFormat/>
    <w:rsid w:val="008D6A98"/>
    <w:rPr>
      <w:rFonts w:ascii="Times New Roman" w:eastAsia="Times New Roman" w:hAnsi="Times New Roman" w:cs="Times New Roman"/>
      <w:sz w:val="20"/>
      <w:szCs w:val="20"/>
      <w:lang w:val="fr-FR" w:eastAsia="pt-BR"/>
    </w:rPr>
  </w:style>
  <w:style w:type="character" w:customStyle="1" w:styleId="Caracteresdenotaderodap">
    <w:name w:val="Caracteres de nota de rodapé"/>
    <w:basedOn w:val="DefaultParagraphFont"/>
    <w:uiPriority w:val="99"/>
    <w:semiHidden/>
    <w:unhideWhenUsed/>
    <w:qFormat/>
    <w:rsid w:val="008D6A98"/>
    <w:rPr>
      <w:vertAlign w:val="superscript"/>
    </w:rPr>
  </w:style>
  <w:style w:type="character" w:customStyle="1" w:styleId="ncoradanotaderodap">
    <w:name w:val="Âncora da nota de rodapé"/>
    <w:rPr>
      <w:vertAlign w:val="superscript"/>
    </w:rPr>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customStyle="1" w:styleId="Ttulo1">
    <w:name w:val="Título1"/>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pPr>
      <w:widowControl w:val="0"/>
    </w:pPr>
    <w:rPr>
      <w:rFonts w:ascii="Cambria" w:eastAsia="Cambria" w:hAnsi="Cambria" w:cs="Cambria"/>
      <w:sz w:val="20"/>
      <w:szCs w:val="20"/>
      <w:lang w:eastAsia="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ListParagraph">
    <w:name w:val="List Paragraph"/>
    <w:basedOn w:val="Normal"/>
    <w:uiPriority w:val="1"/>
    <w:qFormat/>
    <w:pPr>
      <w:widowControl w:val="0"/>
      <w:ind w:left="545" w:hanging="425"/>
    </w:pPr>
    <w:rPr>
      <w:rFonts w:ascii="Cambria" w:eastAsia="Cambria" w:hAnsi="Cambria" w:cs="Cambria"/>
      <w:sz w:val="22"/>
      <w:szCs w:val="22"/>
      <w:lang w:eastAsia="en-US"/>
    </w:rPr>
  </w:style>
  <w:style w:type="paragraph" w:customStyle="1" w:styleId="TableParagraph">
    <w:name w:val="Table Paragraph"/>
    <w:basedOn w:val="Normal"/>
    <w:uiPriority w:val="1"/>
    <w:qFormat/>
    <w:pPr>
      <w:widowControl w:val="0"/>
      <w:spacing w:line="215" w:lineRule="exact"/>
      <w:ind w:left="956"/>
    </w:pPr>
    <w:rPr>
      <w:rFonts w:ascii="Cambria" w:eastAsia="Cambria" w:hAnsi="Cambria" w:cs="Cambria"/>
      <w:sz w:val="22"/>
      <w:szCs w:val="22"/>
      <w:lang w:eastAsia="en-US"/>
    </w:rPr>
  </w:style>
  <w:style w:type="paragraph" w:styleId="CommentText">
    <w:name w:val="annotation text"/>
    <w:basedOn w:val="Normal"/>
    <w:link w:val="CommentTextChar"/>
    <w:uiPriority w:val="99"/>
    <w:unhideWhenUsed/>
    <w:qFormat/>
    <w:rsid w:val="00B0266F"/>
    <w:pPr>
      <w:spacing w:after="160"/>
    </w:pPr>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qFormat/>
    <w:rsid w:val="00323A18"/>
    <w:pPr>
      <w:widowControl w:val="0"/>
      <w:spacing w:after="0"/>
    </w:pPr>
    <w:rPr>
      <w:rFonts w:ascii="Cambria" w:eastAsia="Cambria" w:hAnsi="Cambria" w:cs="Cambria"/>
      <w:b/>
      <w:bCs/>
      <w:kern w:val="0"/>
      <w14:ligatures w14:val="none"/>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Footer">
    <w:name w:val="footer"/>
    <w:basedOn w:val="Normal"/>
    <w:link w:val="Foot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Revision">
    <w:name w:val="Revision"/>
    <w:uiPriority w:val="99"/>
    <w:semiHidden/>
    <w:qFormat/>
    <w:rsid w:val="005A303F"/>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unhideWhenUsed/>
    <w:rsid w:val="008D6A98"/>
    <w:rPr>
      <w:sz w:val="20"/>
      <w:szCs w:val="20"/>
    </w:rPr>
  </w:style>
  <w:style w:type="paragraph" w:customStyle="1" w:styleId="Contedodoquadro">
    <w:name w:val="Conteúdo do quadro"/>
    <w:basedOn w:val="Normal"/>
    <w:qFormat/>
  </w:style>
  <w:style w:type="table" w:styleId="TableGrid">
    <w:name w:val="Table Grid"/>
    <w:basedOn w:val="TableNormal"/>
    <w:uiPriority w:val="39"/>
    <w:rsid w:val="006B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A34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143EE7"/>
    <w:rPr>
      <w:vertAlign w:val="superscript"/>
    </w:rPr>
  </w:style>
  <w:style w:type="paragraph" w:styleId="BalloonText">
    <w:name w:val="Balloon Text"/>
    <w:basedOn w:val="Normal"/>
    <w:link w:val="BalloonTextChar"/>
    <w:uiPriority w:val="99"/>
    <w:semiHidden/>
    <w:unhideWhenUsed/>
    <w:rsid w:val="006F4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5B"/>
    <w:rPr>
      <w:rFonts w:ascii="Segoe UI" w:eastAsia="Times New Roman" w:hAnsi="Segoe UI" w:cs="Segoe UI"/>
      <w:sz w:val="18"/>
      <w:szCs w:val="18"/>
      <w:lang w:val="fr-FR" w:eastAsia="pt-BR"/>
    </w:rPr>
  </w:style>
  <w:style w:type="paragraph" w:styleId="Bibliography">
    <w:name w:val="Bibliography"/>
    <w:basedOn w:val="Normal"/>
    <w:next w:val="Normal"/>
    <w:uiPriority w:val="37"/>
    <w:semiHidden/>
    <w:unhideWhenUsed/>
    <w:rsid w:val="00AE16FF"/>
  </w:style>
  <w:style w:type="paragraph" w:styleId="BlockText">
    <w:name w:val="Block Text"/>
    <w:basedOn w:val="Normal"/>
    <w:uiPriority w:val="99"/>
    <w:semiHidden/>
    <w:unhideWhenUsed/>
    <w:rsid w:val="00AE16F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E16FF"/>
    <w:pPr>
      <w:spacing w:after="120" w:line="480" w:lineRule="auto"/>
    </w:pPr>
  </w:style>
  <w:style w:type="character" w:customStyle="1" w:styleId="BodyText2Char">
    <w:name w:val="Body Text 2 Char"/>
    <w:basedOn w:val="DefaultParagraphFont"/>
    <w:link w:val="BodyText2"/>
    <w:uiPriority w:val="99"/>
    <w:semiHidden/>
    <w:rsid w:val="00AE16FF"/>
    <w:rPr>
      <w:rFonts w:ascii="Times New Roman" w:eastAsia="Times New Roman" w:hAnsi="Times New Roman" w:cs="Times New Roman"/>
      <w:sz w:val="24"/>
      <w:szCs w:val="24"/>
      <w:lang w:eastAsia="pt-BR"/>
    </w:rPr>
  </w:style>
  <w:style w:type="paragraph" w:styleId="BodyText3">
    <w:name w:val="Body Text 3"/>
    <w:basedOn w:val="Normal"/>
    <w:link w:val="BodyText3Char"/>
    <w:uiPriority w:val="99"/>
    <w:semiHidden/>
    <w:unhideWhenUsed/>
    <w:rsid w:val="00AE16FF"/>
    <w:pPr>
      <w:spacing w:after="120"/>
    </w:pPr>
    <w:rPr>
      <w:sz w:val="16"/>
      <w:szCs w:val="16"/>
    </w:rPr>
  </w:style>
  <w:style w:type="character" w:customStyle="1" w:styleId="BodyText3Char">
    <w:name w:val="Body Text 3 Char"/>
    <w:basedOn w:val="DefaultParagraphFont"/>
    <w:link w:val="BodyText3"/>
    <w:uiPriority w:val="99"/>
    <w:semiHidden/>
    <w:rsid w:val="00AE16FF"/>
    <w:rPr>
      <w:rFonts w:ascii="Times New Roman" w:eastAsia="Times New Roman" w:hAnsi="Times New Roman" w:cs="Times New Roman"/>
      <w:sz w:val="16"/>
      <w:szCs w:val="16"/>
      <w:lang w:eastAsia="pt-BR"/>
    </w:rPr>
  </w:style>
  <w:style w:type="paragraph" w:styleId="BodyTextFirstIndent">
    <w:name w:val="Body Text First Indent"/>
    <w:basedOn w:val="BodyText"/>
    <w:link w:val="BodyTextFirstIndentChar"/>
    <w:uiPriority w:val="99"/>
    <w:semiHidden/>
    <w:unhideWhenUsed/>
    <w:rsid w:val="00AE16FF"/>
    <w:pPr>
      <w:widowControl/>
      <w:ind w:firstLine="360"/>
    </w:pPr>
    <w:rPr>
      <w:rFonts w:ascii="Times New Roman" w:eastAsia="Times New Roman" w:hAnsi="Times New Roman" w:cs="Times New Roman"/>
      <w:sz w:val="24"/>
      <w:szCs w:val="24"/>
      <w:lang w:eastAsia="pt-BR"/>
    </w:rPr>
  </w:style>
  <w:style w:type="character" w:customStyle="1" w:styleId="BodyTextChar">
    <w:name w:val="Body Text Char"/>
    <w:basedOn w:val="DefaultParagraphFont"/>
    <w:link w:val="BodyText"/>
    <w:uiPriority w:val="1"/>
    <w:rsid w:val="00AE16FF"/>
    <w:rPr>
      <w:rFonts w:ascii="Cambria" w:eastAsia="Cambria" w:hAnsi="Cambria" w:cs="Cambria"/>
      <w:sz w:val="20"/>
      <w:szCs w:val="20"/>
    </w:rPr>
  </w:style>
  <w:style w:type="character" w:customStyle="1" w:styleId="BodyTextFirstIndentChar">
    <w:name w:val="Body Text First Indent Char"/>
    <w:basedOn w:val="BodyTextChar"/>
    <w:link w:val="BodyTextFirstIndent"/>
    <w:uiPriority w:val="99"/>
    <w:semiHidden/>
    <w:rsid w:val="00AE16FF"/>
    <w:rPr>
      <w:rFonts w:ascii="Times New Roman" w:eastAsia="Times New Roman" w:hAnsi="Times New Roman" w:cs="Times New Roman"/>
      <w:sz w:val="24"/>
      <w:szCs w:val="24"/>
      <w:lang w:eastAsia="pt-BR"/>
    </w:rPr>
  </w:style>
  <w:style w:type="paragraph" w:styleId="BodyTextIndent">
    <w:name w:val="Body Text Indent"/>
    <w:basedOn w:val="Normal"/>
    <w:link w:val="BodyTextIndentChar"/>
    <w:uiPriority w:val="99"/>
    <w:semiHidden/>
    <w:unhideWhenUsed/>
    <w:rsid w:val="00AE16FF"/>
    <w:pPr>
      <w:spacing w:after="120"/>
      <w:ind w:left="283"/>
    </w:pPr>
  </w:style>
  <w:style w:type="character" w:customStyle="1" w:styleId="BodyTextIndentChar">
    <w:name w:val="Body Text Indent Char"/>
    <w:basedOn w:val="DefaultParagraphFont"/>
    <w:link w:val="BodyTextIndent"/>
    <w:uiPriority w:val="99"/>
    <w:semiHidden/>
    <w:rsid w:val="00AE16FF"/>
    <w:rPr>
      <w:rFonts w:ascii="Times New Roman" w:eastAsia="Times New Roman" w:hAnsi="Times New Roman" w:cs="Times New Roman"/>
      <w:sz w:val="24"/>
      <w:szCs w:val="24"/>
      <w:lang w:eastAsia="pt-BR"/>
    </w:rPr>
  </w:style>
  <w:style w:type="paragraph" w:styleId="BodyTextFirstIndent2">
    <w:name w:val="Body Text First Indent 2"/>
    <w:basedOn w:val="BodyTextIndent"/>
    <w:link w:val="BodyTextFirstIndent2Char"/>
    <w:uiPriority w:val="99"/>
    <w:semiHidden/>
    <w:unhideWhenUsed/>
    <w:rsid w:val="00AE16FF"/>
    <w:pPr>
      <w:spacing w:after="0"/>
      <w:ind w:left="360" w:firstLine="360"/>
    </w:pPr>
  </w:style>
  <w:style w:type="character" w:customStyle="1" w:styleId="BodyTextFirstIndent2Char">
    <w:name w:val="Body Text First Indent 2 Char"/>
    <w:basedOn w:val="BodyTextIndentChar"/>
    <w:link w:val="BodyTextFirstIndent2"/>
    <w:uiPriority w:val="99"/>
    <w:semiHidden/>
    <w:rsid w:val="00AE16FF"/>
    <w:rPr>
      <w:rFonts w:ascii="Times New Roman" w:eastAsia="Times New Roman" w:hAnsi="Times New Roman" w:cs="Times New Roman"/>
      <w:sz w:val="24"/>
      <w:szCs w:val="24"/>
      <w:lang w:eastAsia="pt-BR"/>
    </w:rPr>
  </w:style>
  <w:style w:type="paragraph" w:styleId="BodyTextIndent2">
    <w:name w:val="Body Text Indent 2"/>
    <w:basedOn w:val="Normal"/>
    <w:link w:val="BodyTextIndent2Char"/>
    <w:uiPriority w:val="99"/>
    <w:semiHidden/>
    <w:unhideWhenUsed/>
    <w:rsid w:val="00AE16FF"/>
    <w:pPr>
      <w:spacing w:after="120" w:line="480" w:lineRule="auto"/>
      <w:ind w:left="283"/>
    </w:pPr>
  </w:style>
  <w:style w:type="character" w:customStyle="1" w:styleId="BodyTextIndent2Char">
    <w:name w:val="Body Text Indent 2 Char"/>
    <w:basedOn w:val="DefaultParagraphFont"/>
    <w:link w:val="BodyTextIndent2"/>
    <w:uiPriority w:val="99"/>
    <w:semiHidden/>
    <w:rsid w:val="00AE16FF"/>
    <w:rPr>
      <w:rFonts w:ascii="Times New Roman" w:eastAsia="Times New Roman" w:hAnsi="Times New Roman" w:cs="Times New Roman"/>
      <w:sz w:val="24"/>
      <w:szCs w:val="24"/>
      <w:lang w:eastAsia="pt-BR"/>
    </w:rPr>
  </w:style>
  <w:style w:type="paragraph" w:styleId="BodyTextIndent3">
    <w:name w:val="Body Text Indent 3"/>
    <w:basedOn w:val="Normal"/>
    <w:link w:val="BodyTextIndent3Char"/>
    <w:uiPriority w:val="99"/>
    <w:semiHidden/>
    <w:unhideWhenUsed/>
    <w:rsid w:val="00AE16F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16FF"/>
    <w:rPr>
      <w:rFonts w:ascii="Times New Roman" w:eastAsia="Times New Roman" w:hAnsi="Times New Roman" w:cs="Times New Roman"/>
      <w:sz w:val="16"/>
      <w:szCs w:val="16"/>
      <w:lang w:eastAsia="pt-BR"/>
    </w:rPr>
  </w:style>
  <w:style w:type="paragraph" w:styleId="Closing">
    <w:name w:val="Closing"/>
    <w:basedOn w:val="Normal"/>
    <w:link w:val="ClosingChar"/>
    <w:uiPriority w:val="99"/>
    <w:semiHidden/>
    <w:unhideWhenUsed/>
    <w:rsid w:val="00AE16FF"/>
    <w:pPr>
      <w:ind w:left="4252"/>
    </w:pPr>
  </w:style>
  <w:style w:type="character" w:customStyle="1" w:styleId="ClosingChar">
    <w:name w:val="Closing Char"/>
    <w:basedOn w:val="DefaultParagraphFont"/>
    <w:link w:val="Closing"/>
    <w:uiPriority w:val="99"/>
    <w:semiHidden/>
    <w:rsid w:val="00AE16FF"/>
    <w:rPr>
      <w:rFonts w:ascii="Times New Roman" w:eastAsia="Times New Roman" w:hAnsi="Times New Roman" w:cs="Times New Roman"/>
      <w:sz w:val="24"/>
      <w:szCs w:val="24"/>
      <w:lang w:eastAsia="pt-BR"/>
    </w:rPr>
  </w:style>
  <w:style w:type="paragraph" w:styleId="Date">
    <w:name w:val="Date"/>
    <w:basedOn w:val="Normal"/>
    <w:next w:val="Normal"/>
    <w:link w:val="DateChar"/>
    <w:uiPriority w:val="99"/>
    <w:semiHidden/>
    <w:unhideWhenUsed/>
    <w:rsid w:val="00AE16FF"/>
  </w:style>
  <w:style w:type="character" w:customStyle="1" w:styleId="DateChar">
    <w:name w:val="Date Char"/>
    <w:basedOn w:val="DefaultParagraphFont"/>
    <w:link w:val="Date"/>
    <w:uiPriority w:val="99"/>
    <w:semiHidden/>
    <w:rsid w:val="00AE16FF"/>
    <w:rPr>
      <w:rFonts w:ascii="Times New Roman" w:eastAsia="Times New Roman" w:hAnsi="Times New Roman" w:cs="Times New Roman"/>
      <w:sz w:val="24"/>
      <w:szCs w:val="24"/>
      <w:lang w:eastAsia="pt-BR"/>
    </w:rPr>
  </w:style>
  <w:style w:type="paragraph" w:styleId="DocumentMap">
    <w:name w:val="Document Map"/>
    <w:basedOn w:val="Normal"/>
    <w:link w:val="DocumentMapChar"/>
    <w:uiPriority w:val="99"/>
    <w:semiHidden/>
    <w:unhideWhenUsed/>
    <w:rsid w:val="00AE16F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E16FF"/>
    <w:rPr>
      <w:rFonts w:ascii="Segoe UI" w:eastAsia="Times New Roman" w:hAnsi="Segoe UI" w:cs="Segoe UI"/>
      <w:sz w:val="16"/>
      <w:szCs w:val="16"/>
      <w:lang w:eastAsia="pt-BR"/>
    </w:rPr>
  </w:style>
  <w:style w:type="paragraph" w:styleId="E-mailSignature">
    <w:name w:val="E-mail Signature"/>
    <w:basedOn w:val="Normal"/>
    <w:link w:val="E-mailSignatureChar"/>
    <w:uiPriority w:val="99"/>
    <w:semiHidden/>
    <w:unhideWhenUsed/>
    <w:rsid w:val="00AE16FF"/>
  </w:style>
  <w:style w:type="character" w:customStyle="1" w:styleId="E-mailSignatureChar">
    <w:name w:val="E-mail Signature Char"/>
    <w:basedOn w:val="DefaultParagraphFont"/>
    <w:link w:val="E-mailSignature"/>
    <w:uiPriority w:val="99"/>
    <w:semiHidden/>
    <w:rsid w:val="00AE16FF"/>
    <w:rPr>
      <w:rFonts w:ascii="Times New Roman" w:eastAsia="Times New Roman" w:hAnsi="Times New Roman" w:cs="Times New Roman"/>
      <w:sz w:val="24"/>
      <w:szCs w:val="24"/>
      <w:lang w:eastAsia="pt-BR"/>
    </w:rPr>
  </w:style>
  <w:style w:type="paragraph" w:styleId="EndnoteText">
    <w:name w:val="endnote text"/>
    <w:basedOn w:val="Normal"/>
    <w:link w:val="EndnoteTextChar"/>
    <w:uiPriority w:val="99"/>
    <w:semiHidden/>
    <w:unhideWhenUsed/>
    <w:rsid w:val="00AE16FF"/>
    <w:rPr>
      <w:sz w:val="20"/>
      <w:szCs w:val="20"/>
    </w:rPr>
  </w:style>
  <w:style w:type="character" w:customStyle="1" w:styleId="EndnoteTextChar">
    <w:name w:val="Endnote Text Char"/>
    <w:basedOn w:val="DefaultParagraphFont"/>
    <w:link w:val="EndnoteText"/>
    <w:uiPriority w:val="99"/>
    <w:semiHidden/>
    <w:rsid w:val="00AE16FF"/>
    <w:rPr>
      <w:rFonts w:ascii="Times New Roman" w:eastAsia="Times New Roman" w:hAnsi="Times New Roman" w:cs="Times New Roman"/>
      <w:sz w:val="20"/>
      <w:szCs w:val="20"/>
      <w:lang w:eastAsia="pt-BR"/>
    </w:rPr>
  </w:style>
  <w:style w:type="paragraph" w:styleId="EnvelopeAddress">
    <w:name w:val="envelope address"/>
    <w:basedOn w:val="Normal"/>
    <w:uiPriority w:val="99"/>
    <w:semiHidden/>
    <w:unhideWhenUsed/>
    <w:rsid w:val="00AE16F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E16FF"/>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AE16FF"/>
    <w:rPr>
      <w:rFonts w:asciiTheme="majorHAnsi" w:eastAsiaTheme="majorEastAsia" w:hAnsiTheme="majorHAnsi" w:cstheme="majorBidi"/>
      <w:color w:val="243F60" w:themeColor="accent1" w:themeShade="7F"/>
      <w:sz w:val="24"/>
      <w:szCs w:val="24"/>
      <w:lang w:eastAsia="pt-BR"/>
    </w:rPr>
  </w:style>
  <w:style w:type="character" w:customStyle="1" w:styleId="Heading4Char">
    <w:name w:val="Heading 4 Char"/>
    <w:basedOn w:val="DefaultParagraphFont"/>
    <w:link w:val="Heading4"/>
    <w:uiPriority w:val="9"/>
    <w:semiHidden/>
    <w:rsid w:val="00AE16FF"/>
    <w:rPr>
      <w:rFonts w:asciiTheme="majorHAnsi" w:eastAsiaTheme="majorEastAsia" w:hAnsiTheme="majorHAnsi" w:cstheme="majorBidi"/>
      <w:i/>
      <w:iCs/>
      <w:color w:val="365F91" w:themeColor="accent1" w:themeShade="BF"/>
      <w:sz w:val="24"/>
      <w:szCs w:val="24"/>
      <w:lang w:eastAsia="pt-BR"/>
    </w:rPr>
  </w:style>
  <w:style w:type="character" w:customStyle="1" w:styleId="Heading5Char">
    <w:name w:val="Heading 5 Char"/>
    <w:basedOn w:val="DefaultParagraphFont"/>
    <w:link w:val="Heading5"/>
    <w:uiPriority w:val="9"/>
    <w:semiHidden/>
    <w:rsid w:val="00AE16FF"/>
    <w:rPr>
      <w:rFonts w:asciiTheme="majorHAnsi" w:eastAsiaTheme="majorEastAsia" w:hAnsiTheme="majorHAnsi" w:cstheme="majorBidi"/>
      <w:color w:val="365F91" w:themeColor="accent1" w:themeShade="BF"/>
      <w:sz w:val="24"/>
      <w:szCs w:val="24"/>
      <w:lang w:eastAsia="pt-BR"/>
    </w:rPr>
  </w:style>
  <w:style w:type="character" w:customStyle="1" w:styleId="Heading6Char">
    <w:name w:val="Heading 6 Char"/>
    <w:basedOn w:val="DefaultParagraphFont"/>
    <w:link w:val="Heading6"/>
    <w:uiPriority w:val="9"/>
    <w:semiHidden/>
    <w:rsid w:val="00AE16FF"/>
    <w:rPr>
      <w:rFonts w:asciiTheme="majorHAnsi" w:eastAsiaTheme="majorEastAsia" w:hAnsiTheme="majorHAnsi" w:cstheme="majorBidi"/>
      <w:color w:val="243F60" w:themeColor="accent1" w:themeShade="7F"/>
      <w:sz w:val="24"/>
      <w:szCs w:val="24"/>
      <w:lang w:eastAsia="pt-BR"/>
    </w:rPr>
  </w:style>
  <w:style w:type="character" w:customStyle="1" w:styleId="Heading7Char">
    <w:name w:val="Heading 7 Char"/>
    <w:basedOn w:val="DefaultParagraphFont"/>
    <w:link w:val="Heading7"/>
    <w:uiPriority w:val="9"/>
    <w:semiHidden/>
    <w:rsid w:val="00AE16FF"/>
    <w:rPr>
      <w:rFonts w:asciiTheme="majorHAnsi" w:eastAsiaTheme="majorEastAsia" w:hAnsiTheme="majorHAnsi" w:cstheme="majorBidi"/>
      <w:i/>
      <w:iCs/>
      <w:color w:val="243F60" w:themeColor="accent1" w:themeShade="7F"/>
      <w:sz w:val="24"/>
      <w:szCs w:val="24"/>
      <w:lang w:eastAsia="pt-BR"/>
    </w:rPr>
  </w:style>
  <w:style w:type="character" w:customStyle="1" w:styleId="Heading8Char">
    <w:name w:val="Heading 8 Char"/>
    <w:basedOn w:val="DefaultParagraphFont"/>
    <w:link w:val="Heading8"/>
    <w:uiPriority w:val="9"/>
    <w:semiHidden/>
    <w:rsid w:val="00AE16FF"/>
    <w:rPr>
      <w:rFonts w:asciiTheme="majorHAnsi" w:eastAsiaTheme="majorEastAsia" w:hAnsiTheme="majorHAnsi" w:cstheme="majorBidi"/>
      <w:color w:val="272727" w:themeColor="text1" w:themeTint="D8"/>
      <w:sz w:val="21"/>
      <w:szCs w:val="21"/>
      <w:lang w:eastAsia="pt-BR"/>
    </w:rPr>
  </w:style>
  <w:style w:type="character" w:customStyle="1" w:styleId="Heading9Char">
    <w:name w:val="Heading 9 Char"/>
    <w:basedOn w:val="DefaultParagraphFont"/>
    <w:link w:val="Heading9"/>
    <w:uiPriority w:val="9"/>
    <w:semiHidden/>
    <w:rsid w:val="00AE16FF"/>
    <w:rPr>
      <w:rFonts w:asciiTheme="majorHAnsi" w:eastAsiaTheme="majorEastAsia" w:hAnsiTheme="majorHAnsi" w:cstheme="majorBidi"/>
      <w:i/>
      <w:iCs/>
      <w:color w:val="272727" w:themeColor="text1" w:themeTint="D8"/>
      <w:sz w:val="21"/>
      <w:szCs w:val="21"/>
      <w:lang w:eastAsia="pt-BR"/>
    </w:rPr>
  </w:style>
  <w:style w:type="paragraph" w:styleId="HTMLAddress">
    <w:name w:val="HTML Address"/>
    <w:basedOn w:val="Normal"/>
    <w:link w:val="HTMLAddressChar"/>
    <w:uiPriority w:val="99"/>
    <w:semiHidden/>
    <w:unhideWhenUsed/>
    <w:rsid w:val="00AE16FF"/>
    <w:rPr>
      <w:i/>
      <w:iCs/>
    </w:rPr>
  </w:style>
  <w:style w:type="character" w:customStyle="1" w:styleId="HTMLAddressChar">
    <w:name w:val="HTML Address Char"/>
    <w:basedOn w:val="DefaultParagraphFont"/>
    <w:link w:val="HTMLAddress"/>
    <w:uiPriority w:val="99"/>
    <w:semiHidden/>
    <w:rsid w:val="00AE16FF"/>
    <w:rPr>
      <w:rFonts w:ascii="Times New Roman" w:eastAsia="Times New Roman" w:hAnsi="Times New Roman" w:cs="Times New Roman"/>
      <w:i/>
      <w:iCs/>
      <w:sz w:val="24"/>
      <w:szCs w:val="24"/>
      <w:lang w:eastAsia="pt-BR"/>
    </w:rPr>
  </w:style>
  <w:style w:type="paragraph" w:styleId="HTMLPreformatted">
    <w:name w:val="HTML Preformatted"/>
    <w:basedOn w:val="Normal"/>
    <w:link w:val="HTMLPreformattedChar"/>
    <w:uiPriority w:val="99"/>
    <w:semiHidden/>
    <w:unhideWhenUsed/>
    <w:rsid w:val="00AE16F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16FF"/>
    <w:rPr>
      <w:rFonts w:ascii="Consolas" w:eastAsia="Times New Roman" w:hAnsi="Consolas" w:cs="Times New Roman"/>
      <w:sz w:val="20"/>
      <w:szCs w:val="20"/>
      <w:lang w:eastAsia="pt-BR"/>
    </w:rPr>
  </w:style>
  <w:style w:type="paragraph" w:styleId="Index1">
    <w:name w:val="index 1"/>
    <w:basedOn w:val="Normal"/>
    <w:next w:val="Normal"/>
    <w:autoRedefine/>
    <w:uiPriority w:val="99"/>
    <w:semiHidden/>
    <w:unhideWhenUsed/>
    <w:rsid w:val="00AE16FF"/>
    <w:pPr>
      <w:ind w:left="240" w:hanging="240"/>
    </w:pPr>
  </w:style>
  <w:style w:type="paragraph" w:styleId="Index2">
    <w:name w:val="index 2"/>
    <w:basedOn w:val="Normal"/>
    <w:next w:val="Normal"/>
    <w:autoRedefine/>
    <w:uiPriority w:val="99"/>
    <w:semiHidden/>
    <w:unhideWhenUsed/>
    <w:rsid w:val="00AE16FF"/>
    <w:pPr>
      <w:ind w:left="480" w:hanging="240"/>
    </w:pPr>
  </w:style>
  <w:style w:type="paragraph" w:styleId="Index3">
    <w:name w:val="index 3"/>
    <w:basedOn w:val="Normal"/>
    <w:next w:val="Normal"/>
    <w:autoRedefine/>
    <w:uiPriority w:val="99"/>
    <w:semiHidden/>
    <w:unhideWhenUsed/>
    <w:rsid w:val="00AE16FF"/>
    <w:pPr>
      <w:ind w:left="720" w:hanging="240"/>
    </w:pPr>
  </w:style>
  <w:style w:type="paragraph" w:styleId="Index4">
    <w:name w:val="index 4"/>
    <w:basedOn w:val="Normal"/>
    <w:next w:val="Normal"/>
    <w:autoRedefine/>
    <w:uiPriority w:val="99"/>
    <w:semiHidden/>
    <w:unhideWhenUsed/>
    <w:rsid w:val="00AE16FF"/>
    <w:pPr>
      <w:ind w:left="960" w:hanging="240"/>
    </w:pPr>
  </w:style>
  <w:style w:type="paragraph" w:styleId="Index5">
    <w:name w:val="index 5"/>
    <w:basedOn w:val="Normal"/>
    <w:next w:val="Normal"/>
    <w:autoRedefine/>
    <w:uiPriority w:val="99"/>
    <w:semiHidden/>
    <w:unhideWhenUsed/>
    <w:rsid w:val="00AE16FF"/>
    <w:pPr>
      <w:ind w:left="1200" w:hanging="240"/>
    </w:pPr>
  </w:style>
  <w:style w:type="paragraph" w:styleId="Index6">
    <w:name w:val="index 6"/>
    <w:basedOn w:val="Normal"/>
    <w:next w:val="Normal"/>
    <w:autoRedefine/>
    <w:uiPriority w:val="99"/>
    <w:semiHidden/>
    <w:unhideWhenUsed/>
    <w:rsid w:val="00AE16FF"/>
    <w:pPr>
      <w:ind w:left="1440" w:hanging="240"/>
    </w:pPr>
  </w:style>
  <w:style w:type="paragraph" w:styleId="Index7">
    <w:name w:val="index 7"/>
    <w:basedOn w:val="Normal"/>
    <w:next w:val="Normal"/>
    <w:autoRedefine/>
    <w:uiPriority w:val="99"/>
    <w:semiHidden/>
    <w:unhideWhenUsed/>
    <w:rsid w:val="00AE16FF"/>
    <w:pPr>
      <w:ind w:left="1680" w:hanging="240"/>
    </w:pPr>
  </w:style>
  <w:style w:type="paragraph" w:styleId="Index8">
    <w:name w:val="index 8"/>
    <w:basedOn w:val="Normal"/>
    <w:next w:val="Normal"/>
    <w:autoRedefine/>
    <w:uiPriority w:val="99"/>
    <w:semiHidden/>
    <w:unhideWhenUsed/>
    <w:rsid w:val="00AE16FF"/>
    <w:pPr>
      <w:ind w:left="1920" w:hanging="240"/>
    </w:pPr>
  </w:style>
  <w:style w:type="paragraph" w:styleId="Index9">
    <w:name w:val="index 9"/>
    <w:basedOn w:val="Normal"/>
    <w:next w:val="Normal"/>
    <w:autoRedefine/>
    <w:uiPriority w:val="99"/>
    <w:semiHidden/>
    <w:unhideWhenUsed/>
    <w:rsid w:val="00AE16FF"/>
    <w:pPr>
      <w:ind w:left="2160" w:hanging="240"/>
    </w:pPr>
  </w:style>
  <w:style w:type="paragraph" w:styleId="IndexHeading">
    <w:name w:val="index heading"/>
    <w:basedOn w:val="Normal"/>
    <w:next w:val="Index1"/>
    <w:uiPriority w:val="99"/>
    <w:semiHidden/>
    <w:unhideWhenUsed/>
    <w:rsid w:val="00AE16F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6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E16FF"/>
    <w:rPr>
      <w:rFonts w:ascii="Times New Roman" w:eastAsia="Times New Roman" w:hAnsi="Times New Roman" w:cs="Times New Roman"/>
      <w:i/>
      <w:iCs/>
      <w:color w:val="4F81BD" w:themeColor="accent1"/>
      <w:sz w:val="24"/>
      <w:szCs w:val="24"/>
      <w:lang w:eastAsia="pt-BR"/>
    </w:rPr>
  </w:style>
  <w:style w:type="paragraph" w:styleId="List2">
    <w:name w:val="List 2"/>
    <w:basedOn w:val="Normal"/>
    <w:uiPriority w:val="99"/>
    <w:semiHidden/>
    <w:unhideWhenUsed/>
    <w:rsid w:val="00AE16FF"/>
    <w:pPr>
      <w:ind w:left="566" w:hanging="283"/>
      <w:contextualSpacing/>
    </w:pPr>
  </w:style>
  <w:style w:type="paragraph" w:styleId="List3">
    <w:name w:val="List 3"/>
    <w:basedOn w:val="Normal"/>
    <w:uiPriority w:val="99"/>
    <w:semiHidden/>
    <w:unhideWhenUsed/>
    <w:rsid w:val="00AE16FF"/>
    <w:pPr>
      <w:ind w:left="849" w:hanging="283"/>
      <w:contextualSpacing/>
    </w:pPr>
  </w:style>
  <w:style w:type="paragraph" w:styleId="List4">
    <w:name w:val="List 4"/>
    <w:basedOn w:val="Normal"/>
    <w:uiPriority w:val="99"/>
    <w:semiHidden/>
    <w:unhideWhenUsed/>
    <w:rsid w:val="00AE16FF"/>
    <w:pPr>
      <w:ind w:left="1132" w:hanging="283"/>
      <w:contextualSpacing/>
    </w:pPr>
  </w:style>
  <w:style w:type="paragraph" w:styleId="List5">
    <w:name w:val="List 5"/>
    <w:basedOn w:val="Normal"/>
    <w:uiPriority w:val="99"/>
    <w:semiHidden/>
    <w:unhideWhenUsed/>
    <w:rsid w:val="00AE16FF"/>
    <w:pPr>
      <w:ind w:left="1415" w:hanging="283"/>
      <w:contextualSpacing/>
    </w:pPr>
  </w:style>
  <w:style w:type="paragraph" w:styleId="ListBullet">
    <w:name w:val="List Bullet"/>
    <w:basedOn w:val="Normal"/>
    <w:uiPriority w:val="99"/>
    <w:semiHidden/>
    <w:unhideWhenUsed/>
    <w:rsid w:val="00AE16FF"/>
    <w:pPr>
      <w:numPr>
        <w:numId w:val="8"/>
      </w:numPr>
      <w:contextualSpacing/>
    </w:pPr>
  </w:style>
  <w:style w:type="paragraph" w:styleId="ListBullet2">
    <w:name w:val="List Bullet 2"/>
    <w:basedOn w:val="Normal"/>
    <w:uiPriority w:val="99"/>
    <w:semiHidden/>
    <w:unhideWhenUsed/>
    <w:rsid w:val="00AE16FF"/>
    <w:pPr>
      <w:numPr>
        <w:numId w:val="9"/>
      </w:numPr>
      <w:contextualSpacing/>
    </w:pPr>
  </w:style>
  <w:style w:type="paragraph" w:styleId="ListBullet3">
    <w:name w:val="List Bullet 3"/>
    <w:basedOn w:val="Normal"/>
    <w:uiPriority w:val="99"/>
    <w:semiHidden/>
    <w:unhideWhenUsed/>
    <w:rsid w:val="00AE16FF"/>
    <w:pPr>
      <w:numPr>
        <w:numId w:val="10"/>
      </w:numPr>
      <w:contextualSpacing/>
    </w:pPr>
  </w:style>
  <w:style w:type="paragraph" w:styleId="ListBullet4">
    <w:name w:val="List Bullet 4"/>
    <w:basedOn w:val="Normal"/>
    <w:uiPriority w:val="99"/>
    <w:semiHidden/>
    <w:unhideWhenUsed/>
    <w:rsid w:val="00AE16FF"/>
    <w:pPr>
      <w:numPr>
        <w:numId w:val="11"/>
      </w:numPr>
      <w:contextualSpacing/>
    </w:pPr>
  </w:style>
  <w:style w:type="paragraph" w:styleId="ListBullet5">
    <w:name w:val="List Bullet 5"/>
    <w:basedOn w:val="Normal"/>
    <w:uiPriority w:val="99"/>
    <w:semiHidden/>
    <w:unhideWhenUsed/>
    <w:rsid w:val="00AE16FF"/>
    <w:pPr>
      <w:numPr>
        <w:numId w:val="12"/>
      </w:numPr>
      <w:contextualSpacing/>
    </w:pPr>
  </w:style>
  <w:style w:type="paragraph" w:styleId="ListContinue">
    <w:name w:val="List Continue"/>
    <w:basedOn w:val="Normal"/>
    <w:uiPriority w:val="99"/>
    <w:semiHidden/>
    <w:unhideWhenUsed/>
    <w:rsid w:val="00AE16FF"/>
    <w:pPr>
      <w:spacing w:after="120"/>
      <w:ind w:left="283"/>
      <w:contextualSpacing/>
    </w:pPr>
  </w:style>
  <w:style w:type="paragraph" w:styleId="ListContinue2">
    <w:name w:val="List Continue 2"/>
    <w:basedOn w:val="Normal"/>
    <w:uiPriority w:val="99"/>
    <w:semiHidden/>
    <w:unhideWhenUsed/>
    <w:rsid w:val="00AE16FF"/>
    <w:pPr>
      <w:spacing w:after="120"/>
      <w:ind w:left="566"/>
      <w:contextualSpacing/>
    </w:pPr>
  </w:style>
  <w:style w:type="paragraph" w:styleId="ListContinue3">
    <w:name w:val="List Continue 3"/>
    <w:basedOn w:val="Normal"/>
    <w:uiPriority w:val="99"/>
    <w:semiHidden/>
    <w:unhideWhenUsed/>
    <w:rsid w:val="00AE16FF"/>
    <w:pPr>
      <w:spacing w:after="120"/>
      <w:ind w:left="849"/>
      <w:contextualSpacing/>
    </w:pPr>
  </w:style>
  <w:style w:type="paragraph" w:styleId="ListContinue4">
    <w:name w:val="List Continue 4"/>
    <w:basedOn w:val="Normal"/>
    <w:uiPriority w:val="99"/>
    <w:semiHidden/>
    <w:unhideWhenUsed/>
    <w:rsid w:val="00AE16FF"/>
    <w:pPr>
      <w:spacing w:after="120"/>
      <w:ind w:left="1132"/>
      <w:contextualSpacing/>
    </w:pPr>
  </w:style>
  <w:style w:type="paragraph" w:styleId="ListContinue5">
    <w:name w:val="List Continue 5"/>
    <w:basedOn w:val="Normal"/>
    <w:uiPriority w:val="99"/>
    <w:semiHidden/>
    <w:unhideWhenUsed/>
    <w:rsid w:val="00AE16FF"/>
    <w:pPr>
      <w:spacing w:after="120"/>
      <w:ind w:left="1415"/>
      <w:contextualSpacing/>
    </w:pPr>
  </w:style>
  <w:style w:type="paragraph" w:styleId="ListNumber">
    <w:name w:val="List Number"/>
    <w:basedOn w:val="Normal"/>
    <w:uiPriority w:val="99"/>
    <w:semiHidden/>
    <w:unhideWhenUsed/>
    <w:rsid w:val="00AE16FF"/>
    <w:pPr>
      <w:numPr>
        <w:numId w:val="13"/>
      </w:numPr>
      <w:contextualSpacing/>
    </w:pPr>
  </w:style>
  <w:style w:type="paragraph" w:styleId="ListNumber2">
    <w:name w:val="List Number 2"/>
    <w:basedOn w:val="Normal"/>
    <w:uiPriority w:val="99"/>
    <w:semiHidden/>
    <w:unhideWhenUsed/>
    <w:rsid w:val="00AE16FF"/>
    <w:pPr>
      <w:numPr>
        <w:numId w:val="14"/>
      </w:numPr>
      <w:contextualSpacing/>
    </w:pPr>
  </w:style>
  <w:style w:type="paragraph" w:styleId="ListNumber3">
    <w:name w:val="List Number 3"/>
    <w:basedOn w:val="Normal"/>
    <w:uiPriority w:val="99"/>
    <w:semiHidden/>
    <w:unhideWhenUsed/>
    <w:rsid w:val="00AE16FF"/>
    <w:pPr>
      <w:numPr>
        <w:numId w:val="15"/>
      </w:numPr>
      <w:contextualSpacing/>
    </w:pPr>
  </w:style>
  <w:style w:type="paragraph" w:styleId="ListNumber4">
    <w:name w:val="List Number 4"/>
    <w:basedOn w:val="Normal"/>
    <w:uiPriority w:val="99"/>
    <w:semiHidden/>
    <w:unhideWhenUsed/>
    <w:rsid w:val="00AE16FF"/>
    <w:pPr>
      <w:numPr>
        <w:numId w:val="16"/>
      </w:numPr>
      <w:contextualSpacing/>
    </w:pPr>
  </w:style>
  <w:style w:type="paragraph" w:styleId="ListNumber5">
    <w:name w:val="List Number 5"/>
    <w:basedOn w:val="Normal"/>
    <w:uiPriority w:val="99"/>
    <w:semiHidden/>
    <w:unhideWhenUsed/>
    <w:rsid w:val="00AE16FF"/>
    <w:pPr>
      <w:numPr>
        <w:numId w:val="17"/>
      </w:numPr>
      <w:contextualSpacing/>
    </w:pPr>
  </w:style>
  <w:style w:type="paragraph" w:styleId="MacroText">
    <w:name w:val="macro"/>
    <w:link w:val="MacroTextChar"/>
    <w:uiPriority w:val="99"/>
    <w:semiHidden/>
    <w:unhideWhenUsed/>
    <w:rsid w:val="00AE16F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eastAsia="pt-BR"/>
    </w:rPr>
  </w:style>
  <w:style w:type="character" w:customStyle="1" w:styleId="MacroTextChar">
    <w:name w:val="Macro Text Char"/>
    <w:basedOn w:val="DefaultParagraphFont"/>
    <w:link w:val="MacroText"/>
    <w:uiPriority w:val="99"/>
    <w:semiHidden/>
    <w:rsid w:val="00AE16FF"/>
    <w:rPr>
      <w:rFonts w:ascii="Consolas" w:eastAsia="Times New Roman" w:hAnsi="Consolas" w:cs="Times New Roman"/>
      <w:sz w:val="20"/>
      <w:szCs w:val="20"/>
      <w:lang w:eastAsia="pt-BR"/>
    </w:rPr>
  </w:style>
  <w:style w:type="paragraph" w:styleId="MessageHeader">
    <w:name w:val="Message Header"/>
    <w:basedOn w:val="Normal"/>
    <w:link w:val="MessageHeaderChar"/>
    <w:uiPriority w:val="99"/>
    <w:semiHidden/>
    <w:unhideWhenUsed/>
    <w:rsid w:val="00AE16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E16FF"/>
    <w:rPr>
      <w:rFonts w:asciiTheme="majorHAnsi" w:eastAsiaTheme="majorEastAsia" w:hAnsiTheme="majorHAnsi" w:cstheme="majorBidi"/>
      <w:sz w:val="24"/>
      <w:szCs w:val="24"/>
      <w:shd w:val="pct20" w:color="auto" w:fill="auto"/>
      <w:lang w:eastAsia="pt-BR"/>
    </w:rPr>
  </w:style>
  <w:style w:type="paragraph" w:styleId="NoSpacing">
    <w:name w:val="No Spacing"/>
    <w:uiPriority w:val="1"/>
    <w:qFormat/>
    <w:rsid w:val="00AE16FF"/>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E16FF"/>
  </w:style>
  <w:style w:type="paragraph" w:styleId="NormalIndent">
    <w:name w:val="Normal Indent"/>
    <w:basedOn w:val="Normal"/>
    <w:uiPriority w:val="99"/>
    <w:semiHidden/>
    <w:unhideWhenUsed/>
    <w:rsid w:val="00AE16FF"/>
    <w:pPr>
      <w:ind w:left="720"/>
    </w:pPr>
  </w:style>
  <w:style w:type="paragraph" w:styleId="NoteHeading">
    <w:name w:val="Note Heading"/>
    <w:basedOn w:val="Normal"/>
    <w:next w:val="Normal"/>
    <w:link w:val="NoteHeadingChar"/>
    <w:uiPriority w:val="99"/>
    <w:semiHidden/>
    <w:unhideWhenUsed/>
    <w:rsid w:val="00AE16FF"/>
  </w:style>
  <w:style w:type="character" w:customStyle="1" w:styleId="NoteHeadingChar">
    <w:name w:val="Note Heading Char"/>
    <w:basedOn w:val="DefaultParagraphFont"/>
    <w:link w:val="NoteHeading"/>
    <w:uiPriority w:val="99"/>
    <w:semiHidden/>
    <w:rsid w:val="00AE16FF"/>
    <w:rPr>
      <w:rFonts w:ascii="Times New Roman" w:eastAsia="Times New Roman" w:hAnsi="Times New Roman" w:cs="Times New Roman"/>
      <w:sz w:val="24"/>
      <w:szCs w:val="24"/>
      <w:lang w:eastAsia="pt-BR"/>
    </w:rPr>
  </w:style>
  <w:style w:type="paragraph" w:styleId="PlainText">
    <w:name w:val="Plain Text"/>
    <w:basedOn w:val="Normal"/>
    <w:link w:val="PlainTextChar"/>
    <w:uiPriority w:val="99"/>
    <w:semiHidden/>
    <w:unhideWhenUsed/>
    <w:rsid w:val="00AE16FF"/>
    <w:rPr>
      <w:rFonts w:ascii="Consolas" w:hAnsi="Consolas"/>
      <w:sz w:val="21"/>
      <w:szCs w:val="21"/>
    </w:rPr>
  </w:style>
  <w:style w:type="character" w:customStyle="1" w:styleId="PlainTextChar">
    <w:name w:val="Plain Text Char"/>
    <w:basedOn w:val="DefaultParagraphFont"/>
    <w:link w:val="PlainText"/>
    <w:uiPriority w:val="99"/>
    <w:semiHidden/>
    <w:rsid w:val="00AE16FF"/>
    <w:rPr>
      <w:rFonts w:ascii="Consolas" w:eastAsia="Times New Roman" w:hAnsi="Consolas" w:cs="Times New Roman"/>
      <w:sz w:val="21"/>
      <w:szCs w:val="21"/>
      <w:lang w:eastAsia="pt-BR"/>
    </w:rPr>
  </w:style>
  <w:style w:type="paragraph" w:styleId="Quote">
    <w:name w:val="Quote"/>
    <w:basedOn w:val="Normal"/>
    <w:next w:val="Normal"/>
    <w:link w:val="QuoteChar"/>
    <w:uiPriority w:val="29"/>
    <w:qFormat/>
    <w:rsid w:val="00AE16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6FF"/>
    <w:rPr>
      <w:rFonts w:ascii="Times New Roman" w:eastAsia="Times New Roman" w:hAnsi="Times New Roman" w:cs="Times New Roman"/>
      <w:i/>
      <w:iCs/>
      <w:color w:val="404040" w:themeColor="text1" w:themeTint="BF"/>
      <w:sz w:val="24"/>
      <w:szCs w:val="24"/>
      <w:lang w:eastAsia="pt-BR"/>
    </w:rPr>
  </w:style>
  <w:style w:type="paragraph" w:styleId="Salutation">
    <w:name w:val="Salutation"/>
    <w:basedOn w:val="Normal"/>
    <w:next w:val="Normal"/>
    <w:link w:val="SalutationChar"/>
    <w:uiPriority w:val="99"/>
    <w:semiHidden/>
    <w:unhideWhenUsed/>
    <w:rsid w:val="00AE16FF"/>
  </w:style>
  <w:style w:type="character" w:customStyle="1" w:styleId="SalutationChar">
    <w:name w:val="Salutation Char"/>
    <w:basedOn w:val="DefaultParagraphFont"/>
    <w:link w:val="Salutation"/>
    <w:uiPriority w:val="99"/>
    <w:semiHidden/>
    <w:rsid w:val="00AE16FF"/>
    <w:rPr>
      <w:rFonts w:ascii="Times New Roman" w:eastAsia="Times New Roman" w:hAnsi="Times New Roman" w:cs="Times New Roman"/>
      <w:sz w:val="24"/>
      <w:szCs w:val="24"/>
      <w:lang w:eastAsia="pt-BR"/>
    </w:rPr>
  </w:style>
  <w:style w:type="paragraph" w:styleId="Signature">
    <w:name w:val="Signature"/>
    <w:basedOn w:val="Normal"/>
    <w:link w:val="SignatureChar"/>
    <w:uiPriority w:val="99"/>
    <w:semiHidden/>
    <w:unhideWhenUsed/>
    <w:rsid w:val="00AE16FF"/>
    <w:pPr>
      <w:ind w:left="4252"/>
    </w:pPr>
  </w:style>
  <w:style w:type="character" w:customStyle="1" w:styleId="SignatureChar">
    <w:name w:val="Signature Char"/>
    <w:basedOn w:val="DefaultParagraphFont"/>
    <w:link w:val="Signature"/>
    <w:uiPriority w:val="99"/>
    <w:semiHidden/>
    <w:rsid w:val="00AE16FF"/>
    <w:rPr>
      <w:rFonts w:ascii="Times New Roman" w:eastAsia="Times New Roman" w:hAnsi="Times New Roman" w:cs="Times New Roman"/>
      <w:sz w:val="24"/>
      <w:szCs w:val="24"/>
      <w:lang w:eastAsia="pt-BR"/>
    </w:rPr>
  </w:style>
  <w:style w:type="paragraph" w:styleId="Subtitle">
    <w:name w:val="Subtitle"/>
    <w:basedOn w:val="Normal"/>
    <w:next w:val="Normal"/>
    <w:link w:val="SubtitleChar"/>
    <w:uiPriority w:val="11"/>
    <w:qFormat/>
    <w:rsid w:val="00AE16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E16FF"/>
    <w:rPr>
      <w:rFonts w:eastAsiaTheme="minorEastAsia"/>
      <w:color w:val="5A5A5A" w:themeColor="text1" w:themeTint="A5"/>
      <w:spacing w:val="15"/>
      <w:lang w:eastAsia="pt-BR"/>
    </w:rPr>
  </w:style>
  <w:style w:type="paragraph" w:styleId="TableofAuthorities">
    <w:name w:val="table of authorities"/>
    <w:basedOn w:val="Normal"/>
    <w:next w:val="Normal"/>
    <w:uiPriority w:val="99"/>
    <w:semiHidden/>
    <w:unhideWhenUsed/>
    <w:rsid w:val="00AE16FF"/>
    <w:pPr>
      <w:ind w:left="240" w:hanging="240"/>
    </w:pPr>
  </w:style>
  <w:style w:type="paragraph" w:styleId="TableofFigures">
    <w:name w:val="table of figures"/>
    <w:basedOn w:val="Normal"/>
    <w:next w:val="Normal"/>
    <w:uiPriority w:val="99"/>
    <w:semiHidden/>
    <w:unhideWhenUsed/>
    <w:rsid w:val="00AE16FF"/>
  </w:style>
  <w:style w:type="paragraph" w:styleId="Title">
    <w:name w:val="Title"/>
    <w:basedOn w:val="Normal"/>
    <w:next w:val="Normal"/>
    <w:link w:val="TitleChar"/>
    <w:uiPriority w:val="10"/>
    <w:qFormat/>
    <w:rsid w:val="00AE16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6FF"/>
    <w:rPr>
      <w:rFonts w:asciiTheme="majorHAnsi" w:eastAsiaTheme="majorEastAsia" w:hAnsiTheme="majorHAnsi" w:cstheme="majorBidi"/>
      <w:spacing w:val="-10"/>
      <w:kern w:val="28"/>
      <w:sz w:val="56"/>
      <w:szCs w:val="56"/>
      <w:lang w:eastAsia="pt-BR"/>
    </w:rPr>
  </w:style>
  <w:style w:type="paragraph" w:styleId="TOAHeading">
    <w:name w:val="toa heading"/>
    <w:basedOn w:val="Normal"/>
    <w:next w:val="Normal"/>
    <w:uiPriority w:val="99"/>
    <w:semiHidden/>
    <w:unhideWhenUsed/>
    <w:rsid w:val="00AE16F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E16FF"/>
    <w:pPr>
      <w:spacing w:after="100"/>
    </w:pPr>
  </w:style>
  <w:style w:type="paragraph" w:styleId="TOC2">
    <w:name w:val="toc 2"/>
    <w:basedOn w:val="Normal"/>
    <w:next w:val="Normal"/>
    <w:autoRedefine/>
    <w:uiPriority w:val="39"/>
    <w:semiHidden/>
    <w:unhideWhenUsed/>
    <w:rsid w:val="00AE16FF"/>
    <w:pPr>
      <w:spacing w:after="100"/>
      <w:ind w:left="240"/>
    </w:pPr>
  </w:style>
  <w:style w:type="paragraph" w:styleId="TOC3">
    <w:name w:val="toc 3"/>
    <w:basedOn w:val="Normal"/>
    <w:next w:val="Normal"/>
    <w:autoRedefine/>
    <w:uiPriority w:val="39"/>
    <w:semiHidden/>
    <w:unhideWhenUsed/>
    <w:rsid w:val="00AE16FF"/>
    <w:pPr>
      <w:spacing w:after="100"/>
      <w:ind w:left="480"/>
    </w:pPr>
  </w:style>
  <w:style w:type="paragraph" w:styleId="TOC4">
    <w:name w:val="toc 4"/>
    <w:basedOn w:val="Normal"/>
    <w:next w:val="Normal"/>
    <w:autoRedefine/>
    <w:uiPriority w:val="39"/>
    <w:semiHidden/>
    <w:unhideWhenUsed/>
    <w:rsid w:val="00AE16FF"/>
    <w:pPr>
      <w:spacing w:after="100"/>
      <w:ind w:left="720"/>
    </w:pPr>
  </w:style>
  <w:style w:type="paragraph" w:styleId="TOC5">
    <w:name w:val="toc 5"/>
    <w:basedOn w:val="Normal"/>
    <w:next w:val="Normal"/>
    <w:autoRedefine/>
    <w:uiPriority w:val="39"/>
    <w:semiHidden/>
    <w:unhideWhenUsed/>
    <w:rsid w:val="00AE16FF"/>
    <w:pPr>
      <w:spacing w:after="100"/>
      <w:ind w:left="960"/>
    </w:pPr>
  </w:style>
  <w:style w:type="paragraph" w:styleId="TOC6">
    <w:name w:val="toc 6"/>
    <w:basedOn w:val="Normal"/>
    <w:next w:val="Normal"/>
    <w:autoRedefine/>
    <w:uiPriority w:val="39"/>
    <w:semiHidden/>
    <w:unhideWhenUsed/>
    <w:rsid w:val="00AE16FF"/>
    <w:pPr>
      <w:spacing w:after="100"/>
      <w:ind w:left="1200"/>
    </w:pPr>
  </w:style>
  <w:style w:type="paragraph" w:styleId="TOC7">
    <w:name w:val="toc 7"/>
    <w:basedOn w:val="Normal"/>
    <w:next w:val="Normal"/>
    <w:autoRedefine/>
    <w:uiPriority w:val="39"/>
    <w:semiHidden/>
    <w:unhideWhenUsed/>
    <w:rsid w:val="00AE16FF"/>
    <w:pPr>
      <w:spacing w:after="100"/>
      <w:ind w:left="1440"/>
    </w:pPr>
  </w:style>
  <w:style w:type="paragraph" w:styleId="TOC8">
    <w:name w:val="toc 8"/>
    <w:basedOn w:val="Normal"/>
    <w:next w:val="Normal"/>
    <w:autoRedefine/>
    <w:uiPriority w:val="39"/>
    <w:semiHidden/>
    <w:unhideWhenUsed/>
    <w:rsid w:val="00AE16FF"/>
    <w:pPr>
      <w:spacing w:after="100"/>
      <w:ind w:left="1680"/>
    </w:pPr>
  </w:style>
  <w:style w:type="paragraph" w:styleId="TOC9">
    <w:name w:val="toc 9"/>
    <w:basedOn w:val="Normal"/>
    <w:next w:val="Normal"/>
    <w:autoRedefine/>
    <w:uiPriority w:val="39"/>
    <w:semiHidden/>
    <w:unhideWhenUsed/>
    <w:rsid w:val="00AE16FF"/>
    <w:pPr>
      <w:spacing w:after="100"/>
      <w:ind w:left="1920"/>
    </w:pPr>
  </w:style>
  <w:style w:type="paragraph" w:styleId="TOCHeading">
    <w:name w:val="TOC Heading"/>
    <w:basedOn w:val="Heading1"/>
    <w:next w:val="Normal"/>
    <w:uiPriority w:val="39"/>
    <w:semiHidden/>
    <w:unhideWhenUsed/>
    <w:qFormat/>
    <w:rsid w:val="00AE16FF"/>
    <w:pPr>
      <w:keepNext/>
      <w:keepLines/>
      <w:widowControl/>
      <w:spacing w:before="240"/>
      <w:outlineLvl w:val="9"/>
    </w:pPr>
    <w:rPr>
      <w:rFonts w:asciiTheme="majorHAnsi" w:eastAsiaTheme="majorEastAsia" w:hAnsiTheme="majorHAnsi" w:cstheme="majorBidi"/>
      <w:b w:val="0"/>
      <w:bCs w:val="0"/>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1_2024/n_2/CV0810216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5D78A0BFA6F2D488FFF647BAEBDC772" ma:contentTypeVersion="10" ma:contentTypeDescription="Crie um novo documento." ma:contentTypeScope="" ma:versionID="83d29750658baf73f726287ca3381afc">
  <xsd:schema xmlns:xsd="http://www.w3.org/2001/XMLSchema" xmlns:xs="http://www.w3.org/2001/XMLSchema" xmlns:p="http://schemas.microsoft.com/office/2006/metadata/properties" xmlns:ns2="f17a6597-3bce-415b-b462-6e60c880156e" targetNamespace="http://schemas.microsoft.com/office/2006/metadata/properties" ma:root="true" ma:fieldsID="3704eef91fd72e70db7bca51dc8fca63" ns2:_="">
    <xsd:import namespace="f17a6597-3bce-415b-b462-6e60c8801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6597-3bce-415b-b462-6e60c8801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7a6597-3bce-415b-b462-6e60c88015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F5D7B-2ED5-4C8D-825D-9B345CCA937F}">
  <ds:schemaRefs>
    <ds:schemaRef ds:uri="http://schemas.openxmlformats.org/officeDocument/2006/bibliography"/>
  </ds:schemaRefs>
</ds:datastoreItem>
</file>

<file path=customXml/itemProps2.xml><?xml version="1.0" encoding="utf-8"?>
<ds:datastoreItem xmlns:ds="http://schemas.openxmlformats.org/officeDocument/2006/customXml" ds:itemID="{FB694ACC-96CB-415C-A842-50782A35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6597-3bce-415b-b462-6e60c880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045AA-11A4-4D13-A5BD-31F20010DA65}">
  <ds:schemaRefs>
    <ds:schemaRef ds:uri="http://schemas.microsoft.com/office/2006/metadata/properties"/>
    <ds:schemaRef ds:uri="http://schemas.microsoft.com/office/infopath/2007/PartnerControls"/>
    <ds:schemaRef ds:uri="f17a6597-3bce-415b-b462-6e60c880156e"/>
  </ds:schemaRefs>
</ds:datastoreItem>
</file>

<file path=customXml/itemProps4.xml><?xml version="1.0" encoding="utf-8"?>
<ds:datastoreItem xmlns:ds="http://schemas.openxmlformats.org/officeDocument/2006/customXml" ds:itemID="{5BD4D6C7-E6A6-478C-BDB9-9878CCC15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2857</Words>
  <Characters>15050</Characters>
  <Application>Microsoft Office Word</Application>
  <DocSecurity>0</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dc:description/>
  <cp:lastModifiedBy>Dorothee Pinet</cp:lastModifiedBy>
  <cp:revision>34</cp:revision>
  <cp:lastPrinted>2024-11-06T08:40:00Z</cp:lastPrinted>
  <dcterms:created xsi:type="dcterms:W3CDTF">2025-11-18T13:56:00Z</dcterms:created>
  <dcterms:modified xsi:type="dcterms:W3CDTF">2025-11-21T14:24:00Z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0x01010045D78A0BFA6F2D488FFF647BAEBDC772</vt:lpwstr>
  </property>
</Properties>
</file>