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4B8FBB" w14:textId="3AAB7E9F" w:rsidR="00AC715A" w:rsidRPr="00C457BE" w:rsidRDefault="00AC715A" w:rsidP="00BE5C22">
      <w:pPr>
        <w:spacing w:after="0" w:line="240" w:lineRule="auto"/>
        <w:jc w:val="right"/>
        <w:rPr>
          <w:rFonts w:ascii="Cambria" w:eastAsia="Times New Roman" w:hAnsi="Cambria" w:cs="Calibri"/>
          <w:b/>
          <w:bCs/>
          <w:color w:val="242424"/>
          <w:sz w:val="20"/>
          <w:szCs w:val="20"/>
          <w:bdr w:val="none" w:sz="0" w:space="0" w:color="auto" w:frame="1"/>
          <w:lang w:val="es-ES"/>
        </w:rPr>
      </w:pPr>
      <w:r w:rsidRPr="00C457BE">
        <w:rPr>
          <w:rFonts w:ascii="Cambria" w:eastAsia="Times New Roman" w:hAnsi="Cambria" w:cs="Calibri"/>
          <w:b/>
          <w:bCs/>
          <w:color w:val="242424"/>
          <w:sz w:val="20"/>
          <w:szCs w:val="20"/>
          <w:bdr w:val="none" w:sz="0" w:space="0" w:color="auto" w:frame="1"/>
          <w:lang w:val="es-ES"/>
        </w:rPr>
        <w:t xml:space="preserve">Original: </w:t>
      </w:r>
      <w:r w:rsidR="00C457BE" w:rsidRPr="00C457BE">
        <w:rPr>
          <w:rFonts w:ascii="Cambria" w:eastAsia="Times New Roman" w:hAnsi="Cambria" w:cs="Calibri"/>
          <w:b/>
          <w:bCs/>
          <w:color w:val="242424"/>
          <w:sz w:val="20"/>
          <w:szCs w:val="20"/>
          <w:bdr w:val="none" w:sz="0" w:space="0" w:color="auto" w:frame="1"/>
          <w:lang w:val="es-ES"/>
        </w:rPr>
        <w:t>inglés</w:t>
      </w:r>
    </w:p>
    <w:p w14:paraId="5BE991BE" w14:textId="77777777" w:rsidR="00AC715A" w:rsidRPr="00C457BE" w:rsidRDefault="00AC715A" w:rsidP="00BE5C22">
      <w:pPr>
        <w:spacing w:after="0" w:line="240" w:lineRule="auto"/>
        <w:jc w:val="right"/>
        <w:rPr>
          <w:rFonts w:ascii="Cambria" w:eastAsia="Times New Roman" w:hAnsi="Cambria" w:cs="Calibri"/>
          <w:color w:val="242424"/>
          <w:sz w:val="20"/>
          <w:szCs w:val="20"/>
          <w:bdr w:val="none" w:sz="0" w:space="0" w:color="auto" w:frame="1"/>
          <w:lang w:val="es-ES"/>
        </w:rPr>
      </w:pPr>
    </w:p>
    <w:p w14:paraId="0B98CFEB" w14:textId="77777777" w:rsidR="00C457BE" w:rsidRPr="00C457BE" w:rsidRDefault="00C457BE" w:rsidP="00C457BE">
      <w:pPr>
        <w:spacing w:after="0" w:line="240" w:lineRule="auto"/>
        <w:jc w:val="center"/>
        <w:rPr>
          <w:rFonts w:ascii="Cambria" w:eastAsia="Times New Roman" w:hAnsi="Cambria" w:cs="Calibri"/>
          <w:b/>
          <w:bCs/>
          <w:color w:val="242424"/>
          <w:sz w:val="20"/>
          <w:szCs w:val="20"/>
          <w:bdr w:val="none" w:sz="0" w:space="0" w:color="auto" w:frame="1"/>
          <w:lang w:val="es-ES"/>
        </w:rPr>
      </w:pPr>
      <w:r w:rsidRPr="00C457BE">
        <w:rPr>
          <w:rFonts w:ascii="Cambria" w:eastAsia="Calibri" w:hAnsi="Cambria" w:cs="Times New Roman"/>
          <w:b/>
          <w:color w:val="242424"/>
          <w:sz w:val="20"/>
          <w:bdr w:val="none" w:sz="0" w:space="0" w:color="auto" w:frame="1"/>
          <w:lang w:val="es-ES"/>
        </w:rPr>
        <w:t>Carta a los miembros de la Subcomisión 1 sobre la reunión anual</w:t>
      </w:r>
    </w:p>
    <w:p w14:paraId="006D1C5A" w14:textId="36DD07BC" w:rsidR="00C457BE" w:rsidRPr="00C457BE" w:rsidRDefault="00C457BE" w:rsidP="00C457BE">
      <w:pPr>
        <w:spacing w:after="0" w:line="240" w:lineRule="auto"/>
        <w:jc w:val="center"/>
        <w:rPr>
          <w:rFonts w:ascii="Cambria" w:eastAsia="Times New Roman" w:hAnsi="Cambria" w:cs="Calibri"/>
          <w:i/>
          <w:iCs/>
          <w:color w:val="242424"/>
          <w:sz w:val="20"/>
          <w:szCs w:val="20"/>
          <w:bdr w:val="none" w:sz="0" w:space="0" w:color="auto" w:frame="1"/>
          <w:lang w:val="es-ES"/>
        </w:rPr>
      </w:pPr>
      <w:r w:rsidRPr="00C457BE">
        <w:rPr>
          <w:rFonts w:ascii="Cambria" w:eastAsia="Times New Roman" w:hAnsi="Cambria" w:cs="Calibri"/>
          <w:i/>
          <w:iCs/>
          <w:color w:val="242424"/>
          <w:sz w:val="20"/>
          <w:szCs w:val="20"/>
          <w:bdr w:val="none" w:sz="0" w:space="0" w:color="auto" w:frame="1"/>
          <w:lang w:val="es-ES"/>
        </w:rPr>
        <w:t>(documento presentado por el presidente de la Subcomisión 1)</w:t>
      </w:r>
    </w:p>
    <w:p w14:paraId="2710AE2C" w14:textId="77777777" w:rsidR="00C457BE" w:rsidRDefault="00C457BE" w:rsidP="00C457BE">
      <w:pPr>
        <w:spacing w:after="0" w:line="240" w:lineRule="auto"/>
        <w:jc w:val="both"/>
        <w:rPr>
          <w:rFonts w:ascii="Cambria" w:eastAsia="Calibri" w:hAnsi="Cambria" w:cs="Times New Roman"/>
          <w:color w:val="242424"/>
          <w:sz w:val="20"/>
          <w:szCs w:val="20"/>
          <w:bdr w:val="none" w:sz="0" w:space="0" w:color="auto" w:frame="1"/>
          <w:lang w:val="es-ES"/>
        </w:rPr>
      </w:pPr>
    </w:p>
    <w:p w14:paraId="227A1C5C" w14:textId="77777777" w:rsidR="00C457BE" w:rsidRDefault="00C457BE" w:rsidP="00C457BE">
      <w:pPr>
        <w:spacing w:after="0" w:line="240" w:lineRule="auto"/>
        <w:jc w:val="both"/>
        <w:rPr>
          <w:rFonts w:ascii="Cambria" w:eastAsia="Calibri" w:hAnsi="Cambria" w:cs="Times New Roman"/>
          <w:color w:val="242424"/>
          <w:sz w:val="20"/>
          <w:szCs w:val="20"/>
          <w:bdr w:val="none" w:sz="0" w:space="0" w:color="auto" w:frame="1"/>
          <w:lang w:val="es-ES"/>
        </w:rPr>
      </w:pPr>
    </w:p>
    <w:p w14:paraId="73127C01" w14:textId="77777777" w:rsidR="00C457BE" w:rsidRPr="00C457BE" w:rsidRDefault="00C457BE" w:rsidP="00C457BE">
      <w:pPr>
        <w:spacing w:after="0" w:line="240" w:lineRule="auto"/>
        <w:jc w:val="right"/>
        <w:rPr>
          <w:rFonts w:ascii="Cambria" w:eastAsia="Times New Roman" w:hAnsi="Cambria" w:cs="Calibri"/>
          <w:color w:val="242424"/>
          <w:sz w:val="20"/>
          <w:szCs w:val="20"/>
          <w:bdr w:val="none" w:sz="0" w:space="0" w:color="auto" w:frame="1"/>
          <w:lang w:val="es-ES"/>
        </w:rPr>
      </w:pPr>
      <w:r w:rsidRPr="00C457BE">
        <w:rPr>
          <w:rFonts w:ascii="Cambria" w:eastAsia="Calibri" w:hAnsi="Cambria" w:cs="Times New Roman"/>
          <w:color w:val="242424"/>
          <w:sz w:val="20"/>
          <w:bdr w:val="none" w:sz="0" w:space="0" w:color="auto" w:frame="1"/>
          <w:lang w:val="es-ES"/>
        </w:rPr>
        <w:t>27 de octubre de 2025</w:t>
      </w:r>
    </w:p>
    <w:p w14:paraId="03A1D91A" w14:textId="77777777" w:rsidR="00C457BE" w:rsidRDefault="00C457BE" w:rsidP="00C457BE">
      <w:pPr>
        <w:spacing w:after="0" w:line="240" w:lineRule="auto"/>
        <w:jc w:val="both"/>
        <w:rPr>
          <w:rFonts w:ascii="Cambria" w:eastAsia="Calibri" w:hAnsi="Cambria" w:cs="Times New Roman"/>
          <w:color w:val="242424"/>
          <w:sz w:val="20"/>
          <w:szCs w:val="20"/>
          <w:bdr w:val="none" w:sz="0" w:space="0" w:color="auto" w:frame="1"/>
          <w:lang w:val="es-ES"/>
        </w:rPr>
      </w:pPr>
    </w:p>
    <w:p w14:paraId="74E56216" w14:textId="419EC96B" w:rsidR="00C457BE" w:rsidRPr="00C457BE" w:rsidRDefault="00C457BE" w:rsidP="00C457BE">
      <w:pPr>
        <w:spacing w:after="0" w:line="240" w:lineRule="auto"/>
        <w:jc w:val="both"/>
        <w:rPr>
          <w:rFonts w:ascii="Cambria" w:eastAsia="Times New Roman" w:hAnsi="Cambria" w:cs="Calibri"/>
          <w:color w:val="242424"/>
          <w:sz w:val="20"/>
          <w:szCs w:val="20"/>
          <w:bdr w:val="none" w:sz="0" w:space="0" w:color="auto" w:frame="1"/>
          <w:lang w:val="es-ES"/>
        </w:rPr>
      </w:pPr>
      <w:r w:rsidRPr="00C457BE">
        <w:rPr>
          <w:rFonts w:ascii="Cambria" w:eastAsia="Calibri" w:hAnsi="Cambria" w:cs="Times New Roman"/>
          <w:color w:val="242424"/>
          <w:sz w:val="20"/>
          <w:szCs w:val="20"/>
          <w:bdr w:val="none" w:sz="0" w:space="0" w:color="auto" w:frame="1"/>
          <w:lang w:val="es-ES"/>
        </w:rPr>
        <w:t xml:space="preserve">Estimados miembros de la Subcomisión 1: </w:t>
      </w:r>
    </w:p>
    <w:p w14:paraId="1EF0EB71" w14:textId="77777777" w:rsidR="00C457BE" w:rsidRPr="00C457BE" w:rsidRDefault="00C457BE" w:rsidP="00C457BE">
      <w:pPr>
        <w:spacing w:after="0" w:line="240" w:lineRule="auto"/>
        <w:jc w:val="both"/>
        <w:rPr>
          <w:rFonts w:ascii="Cambria" w:eastAsia="Times New Roman" w:hAnsi="Cambria" w:cs="Calibri"/>
          <w:color w:val="242424"/>
          <w:sz w:val="20"/>
          <w:szCs w:val="20"/>
          <w:bdr w:val="none" w:sz="0" w:space="0" w:color="auto" w:frame="1"/>
          <w:lang w:val="es-ES"/>
        </w:rPr>
      </w:pPr>
    </w:p>
    <w:p w14:paraId="1B852066" w14:textId="77777777" w:rsidR="00C457BE" w:rsidRPr="00C457BE" w:rsidRDefault="00C457BE" w:rsidP="00C457BE">
      <w:pPr>
        <w:spacing w:after="0" w:line="240" w:lineRule="auto"/>
        <w:jc w:val="both"/>
        <w:rPr>
          <w:rFonts w:ascii="Cambria" w:eastAsia="Times New Roman" w:hAnsi="Cambria" w:cs="Calibri"/>
          <w:color w:val="242424"/>
          <w:sz w:val="20"/>
          <w:szCs w:val="20"/>
          <w:bdr w:val="none" w:sz="0" w:space="0" w:color="auto" w:frame="1"/>
          <w:lang w:val="es-ES"/>
        </w:rPr>
      </w:pPr>
      <w:r w:rsidRPr="00C457BE">
        <w:rPr>
          <w:rFonts w:ascii="Cambria" w:eastAsia="Calibri" w:hAnsi="Cambria" w:cs="Times New Roman"/>
          <w:color w:val="242424"/>
          <w:sz w:val="20"/>
          <w:szCs w:val="20"/>
          <w:bdr w:val="none" w:sz="0" w:space="0" w:color="auto" w:frame="1"/>
          <w:lang w:val="es-ES"/>
        </w:rPr>
        <w:t xml:space="preserve">Es un gran placer comunicarme con ustedes hoy, mientras nos preparamos para la reunión de la Comisión de 2025 que se celebrará el próximo mes. </w:t>
      </w:r>
      <w:r w:rsidRPr="00C457BE">
        <w:rPr>
          <w:rFonts w:ascii="Cambria" w:eastAsia="Calibri" w:hAnsi="Cambria" w:cs="Times New Roman"/>
          <w:sz w:val="20"/>
          <w:szCs w:val="20"/>
          <w:lang w:val="es-ES"/>
        </w:rPr>
        <w:t>Les agradezco el gran esfuerzo que culminó con la adopción de una nueva medida sobre túnidos tropicales el año pasado (</w:t>
      </w:r>
      <w:hyperlink r:id="rId7" w:history="1">
        <w:r w:rsidRPr="00C457BE">
          <w:rPr>
            <w:rFonts w:ascii="Cambria" w:eastAsia="Calibri" w:hAnsi="Cambria" w:cs="Times New Roman"/>
            <w:i/>
            <w:iCs/>
            <w:color w:val="0563C1"/>
            <w:sz w:val="20"/>
            <w:szCs w:val="20"/>
            <w:bdr w:val="none" w:sz="0" w:space="0" w:color="auto" w:frame="1"/>
            <w:lang w:val="es-ES"/>
          </w:rPr>
          <w:t>Recomendación de ICCAT que reemplaza la Recomendación 22-01 sobre un programa plurianual de conservación y ordenación para los túnidos tropicales</w:t>
        </w:r>
        <w:r w:rsidRPr="00C457BE">
          <w:rPr>
            <w:rFonts w:ascii="Cambria" w:eastAsia="Calibri" w:hAnsi="Cambria" w:cs="Times New Roman"/>
            <w:color w:val="0563C1"/>
            <w:sz w:val="20"/>
            <w:szCs w:val="20"/>
            <w:bdr w:val="none" w:sz="0" w:space="0" w:color="auto" w:frame="1"/>
            <w:lang w:val="es-ES"/>
          </w:rPr>
          <w:t xml:space="preserve"> (Rec. 24-01)).</w:t>
        </w:r>
      </w:hyperlink>
      <w:r w:rsidRPr="00C457BE">
        <w:rPr>
          <w:rFonts w:ascii="Cambria" w:eastAsia="Calibri" w:hAnsi="Cambria" w:cs="Times New Roman"/>
          <w:color w:val="242424"/>
          <w:sz w:val="20"/>
          <w:szCs w:val="20"/>
          <w:bdr w:val="none" w:sz="0" w:space="0" w:color="auto" w:frame="1"/>
          <w:lang w:val="es-ES"/>
        </w:rPr>
        <w:t xml:space="preserve"> </w:t>
      </w:r>
    </w:p>
    <w:p w14:paraId="5D38B46E" w14:textId="77777777" w:rsidR="00C457BE" w:rsidRPr="00C457BE" w:rsidRDefault="00C457BE" w:rsidP="00C457BE">
      <w:pPr>
        <w:spacing w:after="0" w:line="240" w:lineRule="auto"/>
        <w:jc w:val="both"/>
        <w:rPr>
          <w:rFonts w:ascii="Cambria" w:eastAsia="Times New Roman" w:hAnsi="Cambria" w:cs="Calibri"/>
          <w:color w:val="242424"/>
          <w:sz w:val="20"/>
          <w:szCs w:val="20"/>
          <w:bdr w:val="none" w:sz="0" w:space="0" w:color="auto" w:frame="1"/>
          <w:lang w:val="es-ES"/>
        </w:rPr>
      </w:pPr>
    </w:p>
    <w:p w14:paraId="636ED5D2" w14:textId="77777777" w:rsidR="00C457BE" w:rsidRPr="00C457BE" w:rsidRDefault="00C457BE" w:rsidP="00C457BE">
      <w:pPr>
        <w:spacing w:after="0" w:line="240" w:lineRule="auto"/>
        <w:jc w:val="both"/>
        <w:rPr>
          <w:rFonts w:ascii="Cambria" w:eastAsia="Times New Roman" w:hAnsi="Cambria" w:cs="Calibri"/>
          <w:color w:val="242424"/>
          <w:sz w:val="20"/>
          <w:szCs w:val="20"/>
          <w:bdr w:val="none" w:sz="0" w:space="0" w:color="auto" w:frame="1"/>
          <w:lang w:val="es-ES"/>
        </w:rPr>
      </w:pPr>
      <w:r w:rsidRPr="00C457BE">
        <w:rPr>
          <w:rFonts w:ascii="Cambria" w:eastAsia="Calibri" w:hAnsi="Cambria" w:cs="Times New Roman"/>
          <w:color w:val="242424"/>
          <w:sz w:val="20"/>
          <w:szCs w:val="20"/>
          <w:bdr w:val="none" w:sz="0" w:space="0" w:color="auto" w:frame="1"/>
          <w:lang w:val="es-ES"/>
        </w:rPr>
        <w:t xml:space="preserve">Si bien tomamos una decisión definitiva sobre el número de DCP por buque para 2025 (300 DCP por buque) y para 2026 y 2027 (288 DCP por buque), la decisión sobre el TAC y el período de veda de pesca con DCP para 2026 y 2027 se aplazó hasta que el SCRS concluyera sus trabajos en este sentido en 2025. El </w:t>
      </w:r>
      <w:hyperlink r:id="rId8" w:history="1">
        <w:r w:rsidRPr="00C457BE">
          <w:rPr>
            <w:rFonts w:ascii="Cambria" w:eastAsia="Calibri" w:hAnsi="Cambria" w:cs="Times New Roman"/>
            <w:color w:val="0563C1"/>
            <w:sz w:val="20"/>
            <w:szCs w:val="20"/>
            <w:bdr w:val="none" w:sz="0" w:space="0" w:color="auto" w:frame="1"/>
            <w:lang w:val="es-ES"/>
          </w:rPr>
          <w:t>Informe del SCRS de 2025</w:t>
        </w:r>
      </w:hyperlink>
      <w:r w:rsidRPr="00C457BE">
        <w:rPr>
          <w:rFonts w:ascii="Cambria" w:eastAsia="Calibri" w:hAnsi="Cambria" w:cs="Times New Roman"/>
          <w:color w:val="242424"/>
          <w:sz w:val="20"/>
          <w:szCs w:val="20"/>
          <w:bdr w:val="none" w:sz="0" w:space="0" w:color="auto" w:frame="1"/>
          <w:lang w:val="es-ES"/>
        </w:rPr>
        <w:t xml:space="preserve"> se distribuyó el 7 de octubre de 2025 (Circular ICCAT n.º 09998/2025) y destacó dos conclusiones fundamentales para nuestra próxima reunión de la Subcomisión 1: TAC y período de veda a los DCP para 2026 y 2027.  </w:t>
      </w:r>
    </w:p>
    <w:p w14:paraId="2E0DCEC7" w14:textId="77777777" w:rsidR="00C457BE" w:rsidRPr="00C457BE" w:rsidRDefault="00C457BE" w:rsidP="00C457BE">
      <w:pPr>
        <w:spacing w:after="0" w:line="240" w:lineRule="auto"/>
        <w:jc w:val="both"/>
        <w:rPr>
          <w:rFonts w:ascii="Cambria" w:eastAsia="Times New Roman" w:hAnsi="Cambria" w:cs="Calibri"/>
          <w:color w:val="242424"/>
          <w:sz w:val="20"/>
          <w:szCs w:val="20"/>
          <w:bdr w:val="none" w:sz="0" w:space="0" w:color="auto" w:frame="1"/>
          <w:lang w:val="es-ES"/>
        </w:rPr>
      </w:pPr>
    </w:p>
    <w:p w14:paraId="62C27AF0" w14:textId="77777777" w:rsidR="00C457BE" w:rsidRPr="00C457BE" w:rsidRDefault="00C457BE" w:rsidP="00C457BE">
      <w:pPr>
        <w:spacing w:after="0" w:line="240" w:lineRule="auto"/>
        <w:jc w:val="both"/>
        <w:rPr>
          <w:rFonts w:ascii="Cambria" w:eastAsia="Calibri" w:hAnsi="Cambria" w:cs="Times New Roman"/>
          <w:sz w:val="20"/>
          <w:szCs w:val="20"/>
          <w:lang w:val="es-ES"/>
        </w:rPr>
      </w:pPr>
      <w:r w:rsidRPr="00C457BE">
        <w:rPr>
          <w:rFonts w:ascii="Cambria" w:eastAsia="Calibri" w:hAnsi="Cambria" w:cs="Times New Roman"/>
          <w:sz w:val="20"/>
          <w:szCs w:val="20"/>
          <w:lang w:val="es-ES"/>
        </w:rPr>
        <w:t xml:space="preserve">En el párrafo 3 de la </w:t>
      </w:r>
      <w:hyperlink r:id="rId9" w:history="1">
        <w:r w:rsidRPr="00C457BE">
          <w:rPr>
            <w:rFonts w:ascii="Cambria" w:eastAsia="Calibri" w:hAnsi="Cambria" w:cs="Times New Roman"/>
            <w:color w:val="0563C1"/>
            <w:sz w:val="20"/>
            <w:szCs w:val="20"/>
            <w:lang w:val="es-ES"/>
          </w:rPr>
          <w:t>Rec. 24-01</w:t>
        </w:r>
      </w:hyperlink>
      <w:r w:rsidRPr="00C457BE">
        <w:rPr>
          <w:rFonts w:ascii="Cambria" w:eastAsia="Calibri" w:hAnsi="Cambria" w:cs="Times New Roman"/>
          <w:sz w:val="20"/>
          <w:szCs w:val="20"/>
          <w:lang w:val="es-ES"/>
        </w:rPr>
        <w:t xml:space="preserve"> se fijó el TAC para el patudo en 73.011 t en 2025, con la disposición de que los TAC posteriores se fijaran en función de los resultados de la evaluación del stock de 2025.  Acordamos que el TAC se mantendría en 73.011 t en 2026 y 2027 si la evaluación de stock de patudo realizada en 2025 indicara que la probabilidad de que el stock se sitúe en el cuadrante verde en 2034 era de al menos el 65 % y podría aumentarse si la probabilidad fuera de al menos el 70 %. Según la matriz Kobe II (K2SM), según la evaluación de stock de patudo, una captura constante futura de 73.011 t tiene una alta probabilidad (91 %) de mantener al stock en el cuadrante verde del diagrama de Kobe en 2034. </w:t>
      </w:r>
    </w:p>
    <w:p w14:paraId="59F33070" w14:textId="77777777" w:rsidR="00C457BE" w:rsidRPr="00C457BE" w:rsidRDefault="00C457BE" w:rsidP="00C457BE">
      <w:pPr>
        <w:spacing w:after="0" w:line="240" w:lineRule="auto"/>
        <w:jc w:val="both"/>
        <w:rPr>
          <w:rFonts w:ascii="Cambria" w:eastAsia="Calibri" w:hAnsi="Cambria" w:cs="Times New Roman"/>
          <w:sz w:val="20"/>
          <w:szCs w:val="20"/>
          <w:lang w:val="es-ES"/>
        </w:rPr>
      </w:pPr>
    </w:p>
    <w:p w14:paraId="61961E10" w14:textId="77777777" w:rsidR="00C457BE" w:rsidRPr="00C457BE" w:rsidRDefault="00C457BE" w:rsidP="00C457BE">
      <w:pPr>
        <w:spacing w:after="0" w:line="240" w:lineRule="auto"/>
        <w:jc w:val="both"/>
        <w:rPr>
          <w:rFonts w:ascii="Cambria" w:eastAsia="Calibri" w:hAnsi="Cambria" w:cs="Times New Roman"/>
          <w:sz w:val="20"/>
          <w:szCs w:val="20"/>
          <w:lang w:val="es-ES"/>
        </w:rPr>
      </w:pPr>
      <w:r w:rsidRPr="00C457BE">
        <w:rPr>
          <w:rFonts w:ascii="Cambria" w:eastAsia="Calibri" w:hAnsi="Cambria" w:cs="Times New Roman"/>
          <w:sz w:val="20"/>
          <w:szCs w:val="20"/>
          <w:lang w:val="es-ES"/>
        </w:rPr>
        <w:t xml:space="preserve">El párrafo 31 de la </w:t>
      </w:r>
      <w:hyperlink r:id="rId10" w:history="1">
        <w:r w:rsidRPr="00C457BE">
          <w:rPr>
            <w:rFonts w:ascii="Cambria" w:eastAsia="Calibri" w:hAnsi="Cambria" w:cs="Times New Roman"/>
            <w:color w:val="0563C1"/>
            <w:sz w:val="20"/>
            <w:szCs w:val="20"/>
            <w:lang w:val="es-ES"/>
          </w:rPr>
          <w:t>Rec. 24-01</w:t>
        </w:r>
      </w:hyperlink>
      <w:r w:rsidRPr="00C457BE">
        <w:rPr>
          <w:rFonts w:ascii="Cambria" w:eastAsia="Calibri" w:hAnsi="Cambria" w:cs="Times New Roman"/>
          <w:sz w:val="20"/>
          <w:szCs w:val="20"/>
          <w:lang w:val="es-ES"/>
        </w:rPr>
        <w:t xml:space="preserve"> establece un periodo de veda a los DCP de </w:t>
      </w:r>
      <w:r w:rsidRPr="00C457BE">
        <w:rPr>
          <w:rFonts w:ascii="Cambria" w:eastAsia="Calibri" w:hAnsi="Cambria" w:cs="Times New Roman"/>
          <w:color w:val="242424"/>
          <w:sz w:val="20"/>
          <w:szCs w:val="20"/>
          <w:bdr w:val="none" w:sz="0" w:space="0" w:color="auto" w:frame="1"/>
          <w:lang w:val="es-ES"/>
        </w:rPr>
        <w:t xml:space="preserve">45 días del 17 de marzo al 30 de abril en 2025. </w:t>
      </w:r>
      <w:r w:rsidRPr="00C457BE">
        <w:rPr>
          <w:rFonts w:ascii="Cambria" w:eastAsia="Calibri" w:hAnsi="Cambria" w:cs="Times New Roman"/>
          <w:sz w:val="20"/>
          <w:szCs w:val="20"/>
          <w:lang w:val="es-ES"/>
        </w:rPr>
        <w:t xml:space="preserve">El SCRS preparó varios análisis relevantes para el patudo del Atlántico utilizando los resultados del caso de referencia de la reunión de evaluación de stock de patudo del Atlántico de 2025, que se pueden encontrar en la sección 19.30 (“Pesca con dispositivos de concentración de peces prohibida”) del </w:t>
      </w:r>
      <w:hyperlink r:id="rId11" w:history="1">
        <w:r w:rsidRPr="00C457BE">
          <w:rPr>
            <w:rFonts w:ascii="Cambria" w:eastAsia="Calibri" w:hAnsi="Cambria" w:cs="Times New Roman"/>
            <w:color w:val="0563C1"/>
            <w:sz w:val="20"/>
            <w:szCs w:val="20"/>
            <w:lang w:val="es-ES"/>
          </w:rPr>
          <w:t>Informe del SCRS de 2025</w:t>
        </w:r>
      </w:hyperlink>
      <w:r w:rsidRPr="00C457BE">
        <w:rPr>
          <w:rFonts w:ascii="Cambria" w:eastAsia="Calibri" w:hAnsi="Cambria" w:cs="Times New Roman"/>
          <w:sz w:val="20"/>
          <w:szCs w:val="20"/>
          <w:lang w:val="es-ES"/>
        </w:rPr>
        <w:t xml:space="preserve">. Además, el párrafo 20 de la </w:t>
      </w:r>
      <w:hyperlink r:id="rId12" w:history="1">
        <w:r w:rsidRPr="00C457BE">
          <w:rPr>
            <w:rFonts w:ascii="Cambria" w:eastAsia="Calibri" w:hAnsi="Cambria" w:cs="Times New Roman"/>
            <w:color w:val="0563C1"/>
            <w:sz w:val="20"/>
            <w:szCs w:val="20"/>
            <w:lang w:val="es-ES"/>
          </w:rPr>
          <w:t>Rec. 24-01</w:t>
        </w:r>
      </w:hyperlink>
      <w:r w:rsidRPr="00C457BE">
        <w:rPr>
          <w:rFonts w:ascii="Cambria" w:eastAsia="Calibri" w:hAnsi="Cambria" w:cs="Times New Roman"/>
          <w:sz w:val="20"/>
          <w:szCs w:val="20"/>
          <w:lang w:val="es-ES"/>
        </w:rPr>
        <w:t xml:space="preserve"> encarga a la Comisión, basándose en la evaluación de stock y en el asesoramiento del SCRS, que adopte medidas de conservación adicionales para el rabil en la reunión anual de 2027. Considero que será importante debatir con antelación en esta próxima reunión las medidas relativas al rabil, ya que el SCRS ha reiterado su preocupación por el hecho de que los niveles de captura, con una media de unas 141.000 t en los últimos cinco años (2018-2022), han superado el TAC de 110.000 t, y se prevé que, de continuar así, den lugar a sobrepesca y conduzcan al stock a un estado de sobrepescado. Por lo tanto, es imperativo que la Comisión inicie ahora las deliberaciones, concretamente en lo que respecta al TAC y a las asignaciones de cuotas. </w:t>
      </w:r>
    </w:p>
    <w:p w14:paraId="570C42CC" w14:textId="77777777" w:rsidR="00C457BE" w:rsidRPr="00C457BE" w:rsidRDefault="00C457BE" w:rsidP="00C457BE">
      <w:pPr>
        <w:spacing w:after="0" w:line="240" w:lineRule="auto"/>
        <w:jc w:val="both"/>
        <w:rPr>
          <w:rFonts w:ascii="Cambria" w:eastAsia="Calibri" w:hAnsi="Cambria" w:cs="Times New Roman"/>
          <w:sz w:val="20"/>
          <w:szCs w:val="20"/>
          <w:lang w:val="es-ES"/>
        </w:rPr>
      </w:pPr>
    </w:p>
    <w:p w14:paraId="0C6B7709" w14:textId="5F350630" w:rsidR="00C457BE" w:rsidRPr="00C457BE" w:rsidRDefault="00C457BE" w:rsidP="00C457BE">
      <w:pPr>
        <w:spacing w:after="0" w:line="240" w:lineRule="auto"/>
        <w:jc w:val="both"/>
        <w:rPr>
          <w:rFonts w:ascii="Cambria" w:eastAsia="Calibri" w:hAnsi="Cambria" w:cs="Times New Roman"/>
          <w:sz w:val="20"/>
          <w:szCs w:val="20"/>
          <w:lang w:val="es-ES"/>
        </w:rPr>
      </w:pPr>
      <w:r w:rsidRPr="00C457BE">
        <w:rPr>
          <w:rFonts w:ascii="Cambria" w:eastAsia="Calibri" w:hAnsi="Cambria" w:cs="Times New Roman"/>
          <w:sz w:val="20"/>
          <w:szCs w:val="20"/>
          <w:lang w:val="es-ES"/>
        </w:rPr>
        <w:t xml:space="preserve">Confío en que las CPC miembros revisen el </w:t>
      </w:r>
      <w:hyperlink r:id="rId13" w:history="1">
        <w:r w:rsidRPr="00C457BE">
          <w:rPr>
            <w:rFonts w:ascii="Cambria" w:eastAsia="Calibri" w:hAnsi="Cambria" w:cs="Times New Roman"/>
            <w:color w:val="0563C1"/>
            <w:sz w:val="20"/>
            <w:szCs w:val="20"/>
            <w:lang w:val="es-ES"/>
          </w:rPr>
          <w:t>Informe del SCRS de 2025</w:t>
        </w:r>
      </w:hyperlink>
      <w:r w:rsidRPr="00C457BE">
        <w:rPr>
          <w:rFonts w:ascii="Cambria" w:eastAsia="Calibri" w:hAnsi="Cambria" w:cs="Times New Roman"/>
          <w:sz w:val="20"/>
          <w:szCs w:val="20"/>
          <w:lang w:val="es-ES"/>
        </w:rPr>
        <w:t>, que incluye otras respuestas a la Comisión, y que las delegaciones consulten en sí y decidan sus posturas antes de la reunión del próximo mes.</w:t>
      </w:r>
      <w:r w:rsidRPr="00C457BE">
        <w:rPr>
          <w:rFonts w:ascii="Cambria" w:eastAsia="Calibri" w:hAnsi="Cambria" w:cs="Times New Roman"/>
          <w:color w:val="000000"/>
          <w:sz w:val="20"/>
          <w:szCs w:val="20"/>
          <w:bdr w:val="none" w:sz="0" w:space="0" w:color="auto" w:frame="1"/>
          <w:lang w:val="es-ES"/>
        </w:rPr>
        <w:t xml:space="preserve"> </w:t>
      </w:r>
      <w:r w:rsidRPr="00C457BE">
        <w:rPr>
          <w:rFonts w:ascii="Cambria" w:eastAsia="Calibri" w:hAnsi="Cambria" w:cs="Times New Roman"/>
          <w:sz w:val="20"/>
          <w:szCs w:val="20"/>
          <w:lang w:val="es-ES"/>
        </w:rPr>
        <w:t xml:space="preserve">Espero veros pronto a todos en Sevilla y trabajar con </w:t>
      </w:r>
      <w:r w:rsidR="005D70D2">
        <w:rPr>
          <w:rFonts w:ascii="Cambria" w:eastAsia="Calibri" w:hAnsi="Cambria" w:cs="Times New Roman"/>
          <w:sz w:val="20"/>
          <w:szCs w:val="20"/>
          <w:lang w:val="es-ES"/>
        </w:rPr>
        <w:t>ustedes</w:t>
      </w:r>
      <w:r w:rsidRPr="00C457BE">
        <w:rPr>
          <w:rFonts w:ascii="Cambria" w:eastAsia="Calibri" w:hAnsi="Cambria" w:cs="Times New Roman"/>
          <w:sz w:val="20"/>
          <w:szCs w:val="20"/>
          <w:lang w:val="es-ES"/>
        </w:rPr>
        <w:t>.</w:t>
      </w:r>
    </w:p>
    <w:p w14:paraId="11C24F77" w14:textId="77777777" w:rsidR="00C457BE" w:rsidRPr="00C457BE" w:rsidRDefault="00C457BE" w:rsidP="00C457BE">
      <w:pPr>
        <w:spacing w:after="0" w:line="240" w:lineRule="auto"/>
        <w:jc w:val="both"/>
        <w:rPr>
          <w:rFonts w:ascii="Cambria" w:eastAsia="Times New Roman" w:hAnsi="Cambria" w:cs="Calibri"/>
          <w:color w:val="242424"/>
          <w:sz w:val="20"/>
          <w:szCs w:val="20"/>
          <w:bdr w:val="none" w:sz="0" w:space="0" w:color="auto" w:frame="1"/>
          <w:lang w:val="es-ES"/>
        </w:rPr>
      </w:pPr>
    </w:p>
    <w:p w14:paraId="666F4EBC" w14:textId="77777777" w:rsidR="00C457BE" w:rsidRPr="00C457BE" w:rsidRDefault="00C457BE" w:rsidP="00C457BE">
      <w:pPr>
        <w:spacing w:after="0" w:line="240" w:lineRule="auto"/>
        <w:jc w:val="both"/>
        <w:rPr>
          <w:rFonts w:ascii="Cambria" w:eastAsia="Times New Roman" w:hAnsi="Cambria" w:cs="Calibri"/>
          <w:color w:val="242424"/>
          <w:sz w:val="20"/>
          <w:szCs w:val="20"/>
          <w:bdr w:val="none" w:sz="0" w:space="0" w:color="auto" w:frame="1"/>
          <w:lang w:val="es-ES"/>
        </w:rPr>
      </w:pPr>
      <w:r w:rsidRPr="00C457BE">
        <w:rPr>
          <w:rFonts w:ascii="Cambria" w:eastAsia="Calibri" w:hAnsi="Cambria" w:cs="Times New Roman"/>
          <w:color w:val="242424"/>
          <w:sz w:val="20"/>
          <w:bdr w:val="none" w:sz="0" w:space="0" w:color="auto" w:frame="1"/>
          <w:lang w:val="es-ES"/>
        </w:rPr>
        <w:t>Le saluda atentamente,</w:t>
      </w:r>
    </w:p>
    <w:p w14:paraId="572C7F93" w14:textId="77777777" w:rsidR="00C457BE" w:rsidRPr="00C457BE" w:rsidRDefault="00C457BE" w:rsidP="00C457BE">
      <w:pPr>
        <w:spacing w:after="0" w:line="240" w:lineRule="auto"/>
        <w:rPr>
          <w:rFonts w:ascii="Cambria" w:eastAsia="Calibri" w:hAnsi="Cambria" w:cs="Times New Roman"/>
          <w:sz w:val="20"/>
          <w:szCs w:val="20"/>
          <w:lang w:val="es-ES"/>
        </w:rPr>
      </w:pPr>
      <w:r w:rsidRPr="00C457BE">
        <w:rPr>
          <w:rFonts w:ascii="Calibri" w:eastAsia="Calibri" w:hAnsi="Calibri" w:cs="Times New Roman"/>
          <w:noProof/>
          <w:sz w:val="20"/>
          <w:lang w:val="es-ES"/>
        </w:rPr>
        <w:drawing>
          <wp:inline distT="0" distB="0" distL="0" distR="0" wp14:anchorId="6CD29427" wp14:editId="658A80B8">
            <wp:extent cx="1231265" cy="752475"/>
            <wp:effectExtent l="0" t="0" r="6985" b="9525"/>
            <wp:docPr id="894661764" name="Picture 1" descr="A close-up of a signat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4661764" name="Picture 1" descr="A close-up of a signature&#10;&#10;AI-generated content may be incorrect."/>
                    <pic:cNvPicPr>
                      <a:picLocks noChangeAspect="1"/>
                    </pic:cNvPicPr>
                  </pic:nvPicPr>
                  <pic:blipFill>
                    <a:blip r:embed="rId14" cstate="print">
                      <a:extLst>
                        <a:ext uri="{BEBA8EAE-BF5A-486C-A8C5-ECC9F3942E4B}">
                          <a14:imgProps xmlns:a14="http://schemas.microsoft.com/office/drawing/2010/main">
                            <a14:imgLayer r:embed="rId15">
                              <a14:imgEffect>
                                <a14:saturation sat="400000"/>
                              </a14:imgEffect>
                            </a14:imgLayer>
                          </a14:imgProps>
                        </a:ext>
                        <a:ext uri="{28A0092B-C50C-407E-A947-70E740481C1C}">
                          <a14:useLocalDpi xmlns:a14="http://schemas.microsoft.com/office/drawing/2010/main" val="0"/>
                        </a:ext>
                      </a:extLst>
                    </a:blip>
                    <a:stretch>
                      <a:fillRect/>
                    </a:stretch>
                  </pic:blipFill>
                  <pic:spPr>
                    <a:xfrm>
                      <a:off x="0" y="0"/>
                      <a:ext cx="1231265" cy="752475"/>
                    </a:xfrm>
                    <a:prstGeom prst="rect">
                      <a:avLst/>
                    </a:prstGeom>
                  </pic:spPr>
                </pic:pic>
              </a:graphicData>
            </a:graphic>
          </wp:inline>
        </w:drawing>
      </w:r>
    </w:p>
    <w:p w14:paraId="61271F37" w14:textId="77777777" w:rsidR="00C457BE" w:rsidRPr="00C457BE" w:rsidRDefault="00C457BE" w:rsidP="00C457BE">
      <w:pPr>
        <w:spacing w:after="0" w:line="240" w:lineRule="auto"/>
        <w:jc w:val="both"/>
        <w:rPr>
          <w:rFonts w:ascii="Cambria" w:eastAsia="Times New Roman" w:hAnsi="Cambria" w:cs="Calibri"/>
          <w:color w:val="242424"/>
          <w:sz w:val="20"/>
          <w:szCs w:val="20"/>
          <w:bdr w:val="none" w:sz="0" w:space="0" w:color="auto" w:frame="1"/>
          <w:lang w:val="es-ES"/>
        </w:rPr>
      </w:pPr>
      <w:r w:rsidRPr="00C457BE">
        <w:rPr>
          <w:rFonts w:ascii="Cambria" w:eastAsia="Calibri" w:hAnsi="Cambria" w:cs="Times New Roman"/>
          <w:color w:val="242424"/>
          <w:sz w:val="20"/>
          <w:bdr w:val="none" w:sz="0" w:space="0" w:color="auto" w:frame="1"/>
          <w:lang w:val="es-ES"/>
        </w:rPr>
        <w:t xml:space="preserve">Emmanuel </w:t>
      </w:r>
      <w:proofErr w:type="spellStart"/>
      <w:r w:rsidRPr="00C457BE">
        <w:rPr>
          <w:rFonts w:ascii="Cambria" w:eastAsia="Calibri" w:hAnsi="Cambria" w:cs="Times New Roman"/>
          <w:color w:val="242424"/>
          <w:sz w:val="20"/>
          <w:bdr w:val="none" w:sz="0" w:space="0" w:color="auto" w:frame="1"/>
          <w:lang w:val="es-ES"/>
        </w:rPr>
        <w:t>Kwame</w:t>
      </w:r>
      <w:proofErr w:type="spellEnd"/>
      <w:r w:rsidRPr="00C457BE">
        <w:rPr>
          <w:rFonts w:ascii="Cambria" w:eastAsia="Calibri" w:hAnsi="Cambria" w:cs="Times New Roman"/>
          <w:color w:val="242424"/>
          <w:sz w:val="20"/>
          <w:bdr w:val="none" w:sz="0" w:space="0" w:color="auto" w:frame="1"/>
          <w:lang w:val="es-ES"/>
        </w:rPr>
        <w:t xml:space="preserve"> </w:t>
      </w:r>
      <w:proofErr w:type="spellStart"/>
      <w:r w:rsidRPr="00C457BE">
        <w:rPr>
          <w:rFonts w:ascii="Cambria" w:eastAsia="Calibri" w:hAnsi="Cambria" w:cs="Times New Roman"/>
          <w:color w:val="242424"/>
          <w:sz w:val="20"/>
          <w:bdr w:val="none" w:sz="0" w:space="0" w:color="auto" w:frame="1"/>
          <w:lang w:val="es-ES"/>
        </w:rPr>
        <w:t>Dovlo</w:t>
      </w:r>
      <w:proofErr w:type="spellEnd"/>
      <w:r w:rsidRPr="00C457BE">
        <w:rPr>
          <w:rFonts w:ascii="Cambria" w:eastAsia="Calibri" w:hAnsi="Cambria" w:cs="Times New Roman"/>
          <w:color w:val="242424"/>
          <w:sz w:val="20"/>
          <w:bdr w:val="none" w:sz="0" w:space="0" w:color="auto" w:frame="1"/>
          <w:lang w:val="es-ES"/>
        </w:rPr>
        <w:t xml:space="preserve"> </w:t>
      </w:r>
    </w:p>
    <w:p w14:paraId="41AB89CF" w14:textId="1648D7F8" w:rsidR="00C457BE" w:rsidRPr="00C457BE" w:rsidRDefault="00C457BE" w:rsidP="00CA5014">
      <w:pPr>
        <w:spacing w:after="0" w:line="240" w:lineRule="auto"/>
        <w:jc w:val="both"/>
        <w:rPr>
          <w:rFonts w:ascii="Cambria" w:eastAsia="Times New Roman" w:hAnsi="Cambria" w:cs="Calibri Light"/>
          <w:b/>
          <w:bCs/>
          <w:color w:val="00000A"/>
          <w:sz w:val="16"/>
          <w:szCs w:val="16"/>
          <w:lang w:val="es-ES"/>
        </w:rPr>
      </w:pPr>
      <w:r w:rsidRPr="00C457BE">
        <w:rPr>
          <w:rFonts w:ascii="Cambria" w:eastAsia="Calibri" w:hAnsi="Cambria" w:cs="Times New Roman"/>
          <w:color w:val="242424"/>
          <w:sz w:val="20"/>
          <w:bdr w:val="none" w:sz="0" w:space="0" w:color="auto" w:frame="1"/>
          <w:lang w:val="es-ES"/>
        </w:rPr>
        <w:t xml:space="preserve">(Presidente de la </w:t>
      </w:r>
      <w:r w:rsidRPr="00C457BE">
        <w:rPr>
          <w:rFonts w:ascii="Cambria" w:eastAsia="Calibri" w:hAnsi="Cambria" w:cs="Times New Roman"/>
          <w:i/>
          <w:color w:val="242424"/>
          <w:sz w:val="20"/>
          <w:bdr w:val="none" w:sz="0" w:space="0" w:color="auto" w:frame="1"/>
          <w:lang w:val="es-ES"/>
        </w:rPr>
        <w:t>Subcomisión 1</w:t>
      </w:r>
      <w:r w:rsidRPr="00C457BE">
        <w:rPr>
          <w:rFonts w:ascii="Cambria" w:eastAsia="Calibri" w:hAnsi="Cambria" w:cs="Times New Roman"/>
          <w:color w:val="242424"/>
          <w:sz w:val="20"/>
          <w:bdr w:val="none" w:sz="0" w:space="0" w:color="auto" w:frame="1"/>
          <w:lang w:val="es-ES"/>
        </w:rPr>
        <w:t xml:space="preserve">) </w:t>
      </w:r>
    </w:p>
    <w:p w14:paraId="47AC032B" w14:textId="314898A3" w:rsidR="00AC1FA1" w:rsidRPr="00BE5C22" w:rsidRDefault="00AC1FA1" w:rsidP="00C457BE">
      <w:pPr>
        <w:spacing w:after="0" w:line="240" w:lineRule="auto"/>
        <w:jc w:val="center"/>
        <w:rPr>
          <w:rFonts w:ascii="Cambria" w:hAnsi="Cambria"/>
          <w:sz w:val="20"/>
          <w:szCs w:val="20"/>
        </w:rPr>
      </w:pPr>
    </w:p>
    <w:sectPr w:rsidR="00AC1FA1" w:rsidRPr="00BE5C22" w:rsidSect="005E45DB">
      <w:headerReference w:type="default" r:id="rId16"/>
      <w:footerReference w:type="default" r:id="rId17"/>
      <w:pgSz w:w="11907" w:h="16840" w:code="9"/>
      <w:pgMar w:top="1418" w:right="1418" w:bottom="1418" w:left="1418" w:header="851" w:footer="11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D1B67D" w14:textId="77777777" w:rsidR="00D86196" w:rsidRDefault="00D86196" w:rsidP="00385F80">
      <w:pPr>
        <w:spacing w:after="0" w:line="240" w:lineRule="auto"/>
      </w:pPr>
      <w:r>
        <w:separator/>
      </w:r>
    </w:p>
  </w:endnote>
  <w:endnote w:type="continuationSeparator" w:id="0">
    <w:p w14:paraId="5D0032F4" w14:textId="77777777" w:rsidR="00D86196" w:rsidRDefault="00D86196" w:rsidP="00385F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altName w:val="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Bold">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D7218" w14:textId="77777777" w:rsidR="005E45DB" w:rsidRPr="009D7C60" w:rsidRDefault="005E45DB" w:rsidP="005E45DB">
    <w:pPr>
      <w:tabs>
        <w:tab w:val="center" w:pos="4535"/>
        <w:tab w:val="center" w:pos="4680"/>
        <w:tab w:val="left" w:pos="6150"/>
        <w:tab w:val="right" w:pos="9360"/>
      </w:tabs>
      <w:jc w:val="center"/>
      <w:rPr>
        <w:sz w:val="20"/>
      </w:rPr>
    </w:pPr>
    <w:r w:rsidRPr="001F2E99">
      <w:rPr>
        <w:rFonts w:eastAsia="Calibri" w:cs="Calibri"/>
        <w:sz w:val="20"/>
        <w:szCs w:val="20"/>
      </w:rPr>
      <w:fldChar w:fldCharType="begin"/>
    </w:r>
    <w:r w:rsidRPr="001F2E99">
      <w:rPr>
        <w:rFonts w:eastAsia="Calibri" w:cs="Calibri"/>
        <w:sz w:val="20"/>
        <w:szCs w:val="20"/>
      </w:rPr>
      <w:instrText xml:space="preserve"> PAGE </w:instrText>
    </w:r>
    <w:r w:rsidRPr="001F2E99">
      <w:rPr>
        <w:rFonts w:eastAsia="Calibri" w:cs="Calibri"/>
        <w:sz w:val="20"/>
        <w:szCs w:val="20"/>
      </w:rPr>
      <w:fldChar w:fldCharType="separate"/>
    </w:r>
    <w:r>
      <w:rPr>
        <w:rFonts w:eastAsia="Calibri" w:cs="Calibri"/>
        <w:sz w:val="20"/>
        <w:szCs w:val="20"/>
      </w:rPr>
      <w:t>1</w:t>
    </w:r>
    <w:r w:rsidRPr="001F2E99">
      <w:rPr>
        <w:rFonts w:eastAsia="Calibri" w:cs="Calibri"/>
        <w:sz w:val="20"/>
        <w:szCs w:val="20"/>
      </w:rPr>
      <w:fldChar w:fldCharType="end"/>
    </w:r>
    <w:r w:rsidRPr="001F2E99">
      <w:rPr>
        <w:rFonts w:eastAsia="Calibri" w:cs="Calibri"/>
        <w:sz w:val="20"/>
        <w:szCs w:val="20"/>
      </w:rPr>
      <w:t xml:space="preserve"> / </w:t>
    </w:r>
    <w:r w:rsidRPr="001F2E99">
      <w:rPr>
        <w:rFonts w:eastAsia="Calibri" w:cs="Calibri"/>
        <w:sz w:val="20"/>
        <w:szCs w:val="20"/>
      </w:rPr>
      <w:fldChar w:fldCharType="begin"/>
    </w:r>
    <w:r w:rsidRPr="001F2E99">
      <w:rPr>
        <w:rFonts w:eastAsia="Calibri" w:cs="Calibri"/>
        <w:sz w:val="20"/>
        <w:szCs w:val="20"/>
      </w:rPr>
      <w:instrText xml:space="preserve"> NUMPAGES  </w:instrText>
    </w:r>
    <w:r w:rsidRPr="001F2E99">
      <w:rPr>
        <w:rFonts w:eastAsia="Calibri" w:cs="Calibri"/>
        <w:sz w:val="20"/>
        <w:szCs w:val="20"/>
      </w:rPr>
      <w:fldChar w:fldCharType="separate"/>
    </w:r>
    <w:r>
      <w:rPr>
        <w:rFonts w:eastAsia="Calibri" w:cs="Calibri"/>
        <w:sz w:val="20"/>
        <w:szCs w:val="20"/>
      </w:rPr>
      <w:t>8</w:t>
    </w:r>
    <w:r w:rsidRPr="001F2E99">
      <w:rPr>
        <w:rFonts w:eastAsia="Calibri" w:cs="Calibr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5816C1" w14:textId="77777777" w:rsidR="00D86196" w:rsidRDefault="00D86196" w:rsidP="00385F80">
      <w:pPr>
        <w:spacing w:after="0" w:line="240" w:lineRule="auto"/>
      </w:pPr>
      <w:r>
        <w:separator/>
      </w:r>
    </w:p>
  </w:footnote>
  <w:footnote w:type="continuationSeparator" w:id="0">
    <w:p w14:paraId="0C675256" w14:textId="77777777" w:rsidR="00D86196" w:rsidRDefault="00D86196" w:rsidP="00385F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D531A" w14:textId="7FA33CB6" w:rsidR="00AC715A" w:rsidRPr="00AC715A" w:rsidRDefault="00AC715A" w:rsidP="00AC715A">
    <w:pPr>
      <w:widowControl w:val="0"/>
      <w:tabs>
        <w:tab w:val="center" w:pos="4680"/>
        <w:tab w:val="left" w:pos="6520"/>
        <w:tab w:val="right" w:pos="9360"/>
        <w:tab w:val="right" w:pos="14240"/>
      </w:tabs>
      <w:autoSpaceDE w:val="0"/>
      <w:autoSpaceDN w:val="0"/>
      <w:spacing w:after="0" w:line="240" w:lineRule="auto"/>
      <w:jc w:val="right"/>
      <w:rPr>
        <w:rFonts w:ascii="Cambria" w:eastAsia="Calibri" w:hAnsi="Cambria" w:cs="Cambria"/>
        <w:b/>
        <w:bCs/>
        <w:sz w:val="20"/>
        <w:szCs w:val="20"/>
      </w:rPr>
    </w:pPr>
    <w:bookmarkStart w:id="0" w:name="_Hlk107908354"/>
    <w:bookmarkStart w:id="1" w:name="_Hlk107908355"/>
    <w:bookmarkStart w:id="2" w:name="_Hlk107908359"/>
    <w:bookmarkStart w:id="3" w:name="_Hlk107908360"/>
    <w:bookmarkStart w:id="4" w:name="_Hlk107908361"/>
    <w:bookmarkStart w:id="5" w:name="_Hlk107908362"/>
    <w:r w:rsidRPr="00AC715A">
      <w:rPr>
        <w:rFonts w:ascii="Cambria" w:eastAsia="Calibri" w:hAnsi="Cambria" w:cs="Cambria"/>
        <w:b/>
        <w:bCs/>
        <w:sz w:val="20"/>
        <w:szCs w:val="20"/>
      </w:rPr>
      <w:t>PA</w:t>
    </w:r>
    <w:r w:rsidR="0016639A">
      <w:rPr>
        <w:rFonts w:ascii="Cambria" w:eastAsia="Calibri" w:hAnsi="Cambria" w:cs="Cambria"/>
        <w:b/>
        <w:bCs/>
        <w:sz w:val="20"/>
        <w:szCs w:val="20"/>
      </w:rPr>
      <w:t>1</w:t>
    </w:r>
    <w:r w:rsidRPr="00AC715A">
      <w:rPr>
        <w:rFonts w:ascii="Cambria" w:eastAsia="Calibri" w:hAnsi="Cambria" w:cs="Cambria"/>
        <w:b/>
        <w:bCs/>
        <w:sz w:val="20"/>
        <w:szCs w:val="20"/>
      </w:rPr>
      <w:t>_</w:t>
    </w:r>
    <w:r w:rsidR="0016639A">
      <w:rPr>
        <w:rFonts w:ascii="Cambria" w:eastAsia="Calibri" w:hAnsi="Cambria" w:cs="Cambria"/>
        <w:b/>
        <w:bCs/>
        <w:sz w:val="20"/>
        <w:szCs w:val="20"/>
      </w:rPr>
      <w:t>503</w:t>
    </w:r>
    <w:r w:rsidRPr="00AC715A">
      <w:rPr>
        <w:rFonts w:ascii="Cambria" w:eastAsia="Calibri" w:hAnsi="Cambria" w:cs="Cambria"/>
        <w:b/>
        <w:bCs/>
        <w:sz w:val="20"/>
        <w:szCs w:val="20"/>
      </w:rPr>
      <w:t>/2025</w:t>
    </w:r>
  </w:p>
  <w:p w14:paraId="6B7900FE" w14:textId="621D0CA5" w:rsidR="00385F80" w:rsidRPr="00AC715A" w:rsidRDefault="00AC715A" w:rsidP="00AC715A">
    <w:pPr>
      <w:widowControl w:val="0"/>
      <w:tabs>
        <w:tab w:val="left" w:pos="7320"/>
      </w:tabs>
      <w:autoSpaceDE w:val="0"/>
      <w:autoSpaceDN w:val="0"/>
      <w:spacing w:after="0" w:line="240" w:lineRule="exact"/>
      <w:jc w:val="right"/>
    </w:pPr>
    <w:r w:rsidRPr="00AC715A">
      <w:rPr>
        <w:rFonts w:ascii="Cambria" w:eastAsia="Cambria" w:hAnsi="Cambria" w:cs="Cambria"/>
        <w:b/>
        <w:bCs/>
        <w:sz w:val="16"/>
        <w:szCs w:val="16"/>
        <w:lang w:val="es-ES_tradnl"/>
      </w:rPr>
      <w:fldChar w:fldCharType="begin"/>
    </w:r>
    <w:r w:rsidRPr="00AC715A">
      <w:rPr>
        <w:rFonts w:ascii="Cambria" w:eastAsia="Cambria" w:hAnsi="Cambria" w:cs="Cambria"/>
        <w:b/>
        <w:bCs/>
        <w:sz w:val="16"/>
        <w:szCs w:val="16"/>
        <w:lang w:val="es-ES_tradnl"/>
      </w:rPr>
      <w:instrText xml:space="preserve"> TIME \@ "dd/MM/yyyy H:mm" </w:instrText>
    </w:r>
    <w:r w:rsidRPr="00AC715A">
      <w:rPr>
        <w:rFonts w:ascii="Cambria" w:eastAsia="Cambria" w:hAnsi="Cambria" w:cs="Cambria"/>
        <w:b/>
        <w:bCs/>
        <w:sz w:val="16"/>
        <w:szCs w:val="16"/>
        <w:lang w:val="es-ES_tradnl"/>
      </w:rPr>
      <w:fldChar w:fldCharType="separate"/>
    </w:r>
    <w:r w:rsidR="00C457BE">
      <w:rPr>
        <w:rFonts w:ascii="Cambria" w:eastAsia="Cambria" w:hAnsi="Cambria" w:cs="Cambria"/>
        <w:b/>
        <w:bCs/>
        <w:noProof/>
        <w:sz w:val="16"/>
        <w:szCs w:val="16"/>
        <w:lang w:val="es-ES_tradnl"/>
      </w:rPr>
      <w:t>28/10/2025 11:05</w:t>
    </w:r>
    <w:r w:rsidRPr="00AC715A">
      <w:rPr>
        <w:rFonts w:ascii="Cambria" w:eastAsia="Cambria" w:hAnsi="Cambria" w:cs="Cambria"/>
        <w:b/>
        <w:bCs/>
        <w:sz w:val="16"/>
        <w:szCs w:val="16"/>
        <w:lang w:val="es-ES_tradnl"/>
      </w:rPr>
      <w:fldChar w:fldCharType="end"/>
    </w:r>
    <w:bookmarkEnd w:id="0"/>
    <w:bookmarkEnd w:id="1"/>
    <w:bookmarkEnd w:id="2"/>
    <w:bookmarkEnd w:id="3"/>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BE6275"/>
    <w:multiLevelType w:val="multilevel"/>
    <w:tmpl w:val="18FCC57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AB7B22"/>
    <w:multiLevelType w:val="hybridMultilevel"/>
    <w:tmpl w:val="A8B4A670"/>
    <w:lvl w:ilvl="0" w:tplc="88D85B36">
      <w:start w:val="1"/>
      <w:numFmt w:val="decimal"/>
      <w:lvlText w:val="%1."/>
      <w:lvlJc w:val="left"/>
      <w:pPr>
        <w:ind w:left="720" w:hanging="360"/>
      </w:pPr>
      <w:rPr>
        <w:rFonts w:ascii="Cambria" w:hAnsi="Cambria"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8144FF"/>
    <w:multiLevelType w:val="multilevel"/>
    <w:tmpl w:val="5EE0562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83664752">
    <w:abstractNumId w:val="0"/>
  </w:num>
  <w:num w:numId="2" w16cid:durableId="550115965">
    <w:abstractNumId w:val="2"/>
  </w:num>
  <w:num w:numId="3" w16cid:durableId="15811375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69A"/>
    <w:rsid w:val="000020BB"/>
    <w:rsid w:val="00002113"/>
    <w:rsid w:val="000027F9"/>
    <w:rsid w:val="00006345"/>
    <w:rsid w:val="00011ED1"/>
    <w:rsid w:val="000224F7"/>
    <w:rsid w:val="0003044E"/>
    <w:rsid w:val="00030673"/>
    <w:rsid w:val="0003240B"/>
    <w:rsid w:val="00032530"/>
    <w:rsid w:val="000434B6"/>
    <w:rsid w:val="000507C6"/>
    <w:rsid w:val="0005448A"/>
    <w:rsid w:val="00064F7C"/>
    <w:rsid w:val="00074365"/>
    <w:rsid w:val="00075508"/>
    <w:rsid w:val="00077890"/>
    <w:rsid w:val="00081725"/>
    <w:rsid w:val="000824BB"/>
    <w:rsid w:val="00083F9E"/>
    <w:rsid w:val="000877BD"/>
    <w:rsid w:val="0009515B"/>
    <w:rsid w:val="000C2010"/>
    <w:rsid w:val="000E1E8D"/>
    <w:rsid w:val="000F01DB"/>
    <w:rsid w:val="000F24FA"/>
    <w:rsid w:val="000F52B3"/>
    <w:rsid w:val="00110B56"/>
    <w:rsid w:val="001201B8"/>
    <w:rsid w:val="001429FB"/>
    <w:rsid w:val="00144145"/>
    <w:rsid w:val="001458CA"/>
    <w:rsid w:val="00151D79"/>
    <w:rsid w:val="00153FC8"/>
    <w:rsid w:val="00165186"/>
    <w:rsid w:val="0016639A"/>
    <w:rsid w:val="00171CF8"/>
    <w:rsid w:val="00176179"/>
    <w:rsid w:val="001807F7"/>
    <w:rsid w:val="0018151F"/>
    <w:rsid w:val="001835A4"/>
    <w:rsid w:val="0019710A"/>
    <w:rsid w:val="001A1A7C"/>
    <w:rsid w:val="001A7669"/>
    <w:rsid w:val="001C14F9"/>
    <w:rsid w:val="001C77B0"/>
    <w:rsid w:val="001E2FF4"/>
    <w:rsid w:val="001F20EA"/>
    <w:rsid w:val="00204D42"/>
    <w:rsid w:val="002149B7"/>
    <w:rsid w:val="00246872"/>
    <w:rsid w:val="00255B37"/>
    <w:rsid w:val="002615F0"/>
    <w:rsid w:val="0027688D"/>
    <w:rsid w:val="0027744C"/>
    <w:rsid w:val="002807AF"/>
    <w:rsid w:val="00283DDB"/>
    <w:rsid w:val="0028459B"/>
    <w:rsid w:val="00294E23"/>
    <w:rsid w:val="00297E10"/>
    <w:rsid w:val="002A7DA4"/>
    <w:rsid w:val="002B73A0"/>
    <w:rsid w:val="002B7ABF"/>
    <w:rsid w:val="002C7B4A"/>
    <w:rsid w:val="002D2FBC"/>
    <w:rsid w:val="002D6DFE"/>
    <w:rsid w:val="002E4961"/>
    <w:rsid w:val="002F3F47"/>
    <w:rsid w:val="00301EB8"/>
    <w:rsid w:val="003029C4"/>
    <w:rsid w:val="00312514"/>
    <w:rsid w:val="0031435B"/>
    <w:rsid w:val="003205AC"/>
    <w:rsid w:val="00321089"/>
    <w:rsid w:val="00321BB5"/>
    <w:rsid w:val="00327396"/>
    <w:rsid w:val="003575FC"/>
    <w:rsid w:val="00360FFE"/>
    <w:rsid w:val="00366109"/>
    <w:rsid w:val="0037102A"/>
    <w:rsid w:val="003723BF"/>
    <w:rsid w:val="003753E1"/>
    <w:rsid w:val="0037688F"/>
    <w:rsid w:val="00385F80"/>
    <w:rsid w:val="003A2505"/>
    <w:rsid w:val="003B7E1D"/>
    <w:rsid w:val="003C6784"/>
    <w:rsid w:val="003D002C"/>
    <w:rsid w:val="003D3F3B"/>
    <w:rsid w:val="003D67F8"/>
    <w:rsid w:val="00403297"/>
    <w:rsid w:val="00414117"/>
    <w:rsid w:val="00432FBD"/>
    <w:rsid w:val="0044189D"/>
    <w:rsid w:val="0044210A"/>
    <w:rsid w:val="00442B19"/>
    <w:rsid w:val="0044644C"/>
    <w:rsid w:val="004526B1"/>
    <w:rsid w:val="00460244"/>
    <w:rsid w:val="00477273"/>
    <w:rsid w:val="004965D1"/>
    <w:rsid w:val="004A7CA3"/>
    <w:rsid w:val="004B0772"/>
    <w:rsid w:val="004E03E7"/>
    <w:rsid w:val="004F322D"/>
    <w:rsid w:val="00510CC0"/>
    <w:rsid w:val="005159E6"/>
    <w:rsid w:val="00516281"/>
    <w:rsid w:val="00520023"/>
    <w:rsid w:val="0052084C"/>
    <w:rsid w:val="005227DC"/>
    <w:rsid w:val="005360A3"/>
    <w:rsid w:val="00550106"/>
    <w:rsid w:val="00555ED7"/>
    <w:rsid w:val="00563658"/>
    <w:rsid w:val="0056625B"/>
    <w:rsid w:val="00573499"/>
    <w:rsid w:val="00583626"/>
    <w:rsid w:val="00596538"/>
    <w:rsid w:val="005B4E14"/>
    <w:rsid w:val="005B5694"/>
    <w:rsid w:val="005C1409"/>
    <w:rsid w:val="005D65D2"/>
    <w:rsid w:val="005D70D2"/>
    <w:rsid w:val="005E30F5"/>
    <w:rsid w:val="005E3862"/>
    <w:rsid w:val="005E45DB"/>
    <w:rsid w:val="005F38A9"/>
    <w:rsid w:val="00607F6F"/>
    <w:rsid w:val="00616BE7"/>
    <w:rsid w:val="006254FC"/>
    <w:rsid w:val="00636865"/>
    <w:rsid w:val="00641106"/>
    <w:rsid w:val="00644148"/>
    <w:rsid w:val="0064775F"/>
    <w:rsid w:val="00652E06"/>
    <w:rsid w:val="00672518"/>
    <w:rsid w:val="00675B9B"/>
    <w:rsid w:val="00687E71"/>
    <w:rsid w:val="006B0FBF"/>
    <w:rsid w:val="006D285D"/>
    <w:rsid w:val="006F24F3"/>
    <w:rsid w:val="00706509"/>
    <w:rsid w:val="00707F52"/>
    <w:rsid w:val="007159D3"/>
    <w:rsid w:val="00745794"/>
    <w:rsid w:val="0074582F"/>
    <w:rsid w:val="007459E7"/>
    <w:rsid w:val="00746EA5"/>
    <w:rsid w:val="007B5F22"/>
    <w:rsid w:val="007C68B1"/>
    <w:rsid w:val="007C714E"/>
    <w:rsid w:val="007D0545"/>
    <w:rsid w:val="007D083B"/>
    <w:rsid w:val="00801A70"/>
    <w:rsid w:val="00801D3E"/>
    <w:rsid w:val="0081597F"/>
    <w:rsid w:val="00816E16"/>
    <w:rsid w:val="00851E8C"/>
    <w:rsid w:val="008844BE"/>
    <w:rsid w:val="00886AE0"/>
    <w:rsid w:val="00890C4E"/>
    <w:rsid w:val="00891AF4"/>
    <w:rsid w:val="00897E2A"/>
    <w:rsid w:val="008B17B4"/>
    <w:rsid w:val="008B4D2D"/>
    <w:rsid w:val="008C1D2D"/>
    <w:rsid w:val="008C3914"/>
    <w:rsid w:val="008C4AEA"/>
    <w:rsid w:val="008D0211"/>
    <w:rsid w:val="008D1DAE"/>
    <w:rsid w:val="008E5E85"/>
    <w:rsid w:val="008F1B22"/>
    <w:rsid w:val="008F1BF0"/>
    <w:rsid w:val="008F4676"/>
    <w:rsid w:val="00905937"/>
    <w:rsid w:val="00952085"/>
    <w:rsid w:val="009870F2"/>
    <w:rsid w:val="00996B5B"/>
    <w:rsid w:val="009A405C"/>
    <w:rsid w:val="009A45C4"/>
    <w:rsid w:val="009B4E91"/>
    <w:rsid w:val="009F3A2D"/>
    <w:rsid w:val="009F4901"/>
    <w:rsid w:val="009F6812"/>
    <w:rsid w:val="00A02BCF"/>
    <w:rsid w:val="00A03794"/>
    <w:rsid w:val="00A243A0"/>
    <w:rsid w:val="00A3309F"/>
    <w:rsid w:val="00A4686F"/>
    <w:rsid w:val="00A6485B"/>
    <w:rsid w:val="00A723AC"/>
    <w:rsid w:val="00A75C13"/>
    <w:rsid w:val="00A75D83"/>
    <w:rsid w:val="00A77C35"/>
    <w:rsid w:val="00A85241"/>
    <w:rsid w:val="00A864C7"/>
    <w:rsid w:val="00AA26EC"/>
    <w:rsid w:val="00AA52E4"/>
    <w:rsid w:val="00AB55AA"/>
    <w:rsid w:val="00AC1FA1"/>
    <w:rsid w:val="00AC715A"/>
    <w:rsid w:val="00AC78DB"/>
    <w:rsid w:val="00AE3C26"/>
    <w:rsid w:val="00AF562A"/>
    <w:rsid w:val="00B06CC0"/>
    <w:rsid w:val="00B223B5"/>
    <w:rsid w:val="00B2628A"/>
    <w:rsid w:val="00B27F1F"/>
    <w:rsid w:val="00B30DE8"/>
    <w:rsid w:val="00B35133"/>
    <w:rsid w:val="00B35C6F"/>
    <w:rsid w:val="00B562DE"/>
    <w:rsid w:val="00B61E60"/>
    <w:rsid w:val="00B75BA6"/>
    <w:rsid w:val="00B83F7D"/>
    <w:rsid w:val="00B975DC"/>
    <w:rsid w:val="00B97C46"/>
    <w:rsid w:val="00BA6E20"/>
    <w:rsid w:val="00BB2B88"/>
    <w:rsid w:val="00BB7DA1"/>
    <w:rsid w:val="00BC381E"/>
    <w:rsid w:val="00BE5C22"/>
    <w:rsid w:val="00BF22BF"/>
    <w:rsid w:val="00BF32A3"/>
    <w:rsid w:val="00C006EA"/>
    <w:rsid w:val="00C04D3A"/>
    <w:rsid w:val="00C0766F"/>
    <w:rsid w:val="00C33073"/>
    <w:rsid w:val="00C41BA0"/>
    <w:rsid w:val="00C444E3"/>
    <w:rsid w:val="00C44C55"/>
    <w:rsid w:val="00C457BE"/>
    <w:rsid w:val="00C50BEB"/>
    <w:rsid w:val="00C54ABB"/>
    <w:rsid w:val="00C73ADF"/>
    <w:rsid w:val="00C73D1A"/>
    <w:rsid w:val="00C8737D"/>
    <w:rsid w:val="00C9602B"/>
    <w:rsid w:val="00C96A00"/>
    <w:rsid w:val="00CA5014"/>
    <w:rsid w:val="00CA7CBA"/>
    <w:rsid w:val="00CB26D9"/>
    <w:rsid w:val="00CC6723"/>
    <w:rsid w:val="00CD630A"/>
    <w:rsid w:val="00CE51FA"/>
    <w:rsid w:val="00CF399B"/>
    <w:rsid w:val="00D04B56"/>
    <w:rsid w:val="00D11B4C"/>
    <w:rsid w:val="00D12729"/>
    <w:rsid w:val="00D14297"/>
    <w:rsid w:val="00D17AA6"/>
    <w:rsid w:val="00D251B4"/>
    <w:rsid w:val="00D452E3"/>
    <w:rsid w:val="00D5737F"/>
    <w:rsid w:val="00D577EB"/>
    <w:rsid w:val="00D623A3"/>
    <w:rsid w:val="00D80672"/>
    <w:rsid w:val="00D8369A"/>
    <w:rsid w:val="00D843FD"/>
    <w:rsid w:val="00D86041"/>
    <w:rsid w:val="00D86196"/>
    <w:rsid w:val="00DA6C87"/>
    <w:rsid w:val="00DB080D"/>
    <w:rsid w:val="00DD47AE"/>
    <w:rsid w:val="00DD5350"/>
    <w:rsid w:val="00DE2464"/>
    <w:rsid w:val="00DE3EBD"/>
    <w:rsid w:val="00DF2592"/>
    <w:rsid w:val="00DF2F89"/>
    <w:rsid w:val="00DF4B63"/>
    <w:rsid w:val="00E04A35"/>
    <w:rsid w:val="00E11E7B"/>
    <w:rsid w:val="00E22CAC"/>
    <w:rsid w:val="00E254C6"/>
    <w:rsid w:val="00E36C91"/>
    <w:rsid w:val="00E54321"/>
    <w:rsid w:val="00E671B1"/>
    <w:rsid w:val="00E7428B"/>
    <w:rsid w:val="00E7648D"/>
    <w:rsid w:val="00E81D86"/>
    <w:rsid w:val="00E83326"/>
    <w:rsid w:val="00E83414"/>
    <w:rsid w:val="00E903BF"/>
    <w:rsid w:val="00E91B9A"/>
    <w:rsid w:val="00E96D48"/>
    <w:rsid w:val="00EB15A3"/>
    <w:rsid w:val="00EB3455"/>
    <w:rsid w:val="00EE3680"/>
    <w:rsid w:val="00EE6B49"/>
    <w:rsid w:val="00F002DA"/>
    <w:rsid w:val="00F00438"/>
    <w:rsid w:val="00F004FF"/>
    <w:rsid w:val="00F13542"/>
    <w:rsid w:val="00F22C44"/>
    <w:rsid w:val="00F46C9A"/>
    <w:rsid w:val="00F502AF"/>
    <w:rsid w:val="00F62C03"/>
    <w:rsid w:val="00F72DD8"/>
    <w:rsid w:val="00F74541"/>
    <w:rsid w:val="00F8351A"/>
    <w:rsid w:val="00F8504B"/>
    <w:rsid w:val="00F859BA"/>
    <w:rsid w:val="00F90BB9"/>
    <w:rsid w:val="00F93C7B"/>
    <w:rsid w:val="00F94323"/>
    <w:rsid w:val="00F95B96"/>
    <w:rsid w:val="00FA42CF"/>
    <w:rsid w:val="00FA4781"/>
    <w:rsid w:val="00FB0D3C"/>
    <w:rsid w:val="00FB2493"/>
    <w:rsid w:val="00FB73C6"/>
    <w:rsid w:val="00FC499B"/>
    <w:rsid w:val="00FD7403"/>
    <w:rsid w:val="00FE2660"/>
    <w:rsid w:val="00FF34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0E3ECB"/>
  <w15:chartTrackingRefBased/>
  <w15:docId w15:val="{59867DCA-30BB-4D2F-9320-973445681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36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D8369A"/>
    <w:rPr>
      <w:rFonts w:ascii="Cambria" w:hAnsi="Cambria" w:hint="default"/>
      <w:b w:val="0"/>
      <w:bCs w:val="0"/>
      <w:i w:val="0"/>
      <w:iCs w:val="0"/>
      <w:color w:val="242424"/>
      <w:sz w:val="20"/>
      <w:szCs w:val="20"/>
    </w:rPr>
  </w:style>
  <w:style w:type="character" w:customStyle="1" w:styleId="fontstyle21">
    <w:name w:val="fontstyle21"/>
    <w:basedOn w:val="DefaultParagraphFont"/>
    <w:rsid w:val="00D8369A"/>
    <w:rPr>
      <w:rFonts w:ascii="Cambria-Bold" w:hAnsi="Cambria-Bold" w:hint="default"/>
      <w:b/>
      <w:bCs/>
      <w:i w:val="0"/>
      <w:iCs w:val="0"/>
      <w:color w:val="242424"/>
      <w:sz w:val="20"/>
      <w:szCs w:val="20"/>
    </w:rPr>
  </w:style>
  <w:style w:type="paragraph" w:styleId="ListParagraph">
    <w:name w:val="List Paragraph"/>
    <w:basedOn w:val="Normal"/>
    <w:uiPriority w:val="34"/>
    <w:qFormat/>
    <w:rsid w:val="00D8369A"/>
    <w:pPr>
      <w:ind w:left="720"/>
      <w:contextualSpacing/>
    </w:pPr>
  </w:style>
  <w:style w:type="paragraph" w:styleId="Revision">
    <w:name w:val="Revision"/>
    <w:hidden/>
    <w:uiPriority w:val="99"/>
    <w:semiHidden/>
    <w:rsid w:val="00D86041"/>
    <w:pPr>
      <w:spacing w:after="0" w:line="240" w:lineRule="auto"/>
    </w:pPr>
  </w:style>
  <w:style w:type="character" w:styleId="Hyperlink">
    <w:name w:val="Hyperlink"/>
    <w:basedOn w:val="DefaultParagraphFont"/>
    <w:uiPriority w:val="99"/>
    <w:unhideWhenUsed/>
    <w:rsid w:val="00002113"/>
    <w:rPr>
      <w:color w:val="0563C1" w:themeColor="hyperlink"/>
      <w:u w:val="single"/>
    </w:rPr>
  </w:style>
  <w:style w:type="character" w:styleId="UnresolvedMention">
    <w:name w:val="Unresolved Mention"/>
    <w:basedOn w:val="DefaultParagraphFont"/>
    <w:uiPriority w:val="99"/>
    <w:semiHidden/>
    <w:unhideWhenUsed/>
    <w:rsid w:val="00002113"/>
    <w:rPr>
      <w:color w:val="605E5C"/>
      <w:shd w:val="clear" w:color="auto" w:fill="E1DFDD"/>
    </w:rPr>
  </w:style>
  <w:style w:type="character" w:styleId="CommentReference">
    <w:name w:val="annotation reference"/>
    <w:basedOn w:val="DefaultParagraphFont"/>
    <w:uiPriority w:val="99"/>
    <w:semiHidden/>
    <w:unhideWhenUsed/>
    <w:rsid w:val="00EE3680"/>
    <w:rPr>
      <w:sz w:val="16"/>
      <w:szCs w:val="16"/>
    </w:rPr>
  </w:style>
  <w:style w:type="paragraph" w:styleId="CommentText">
    <w:name w:val="annotation text"/>
    <w:basedOn w:val="Normal"/>
    <w:link w:val="CommentTextChar"/>
    <w:uiPriority w:val="99"/>
    <w:unhideWhenUsed/>
    <w:rsid w:val="00EE3680"/>
    <w:pPr>
      <w:spacing w:line="240" w:lineRule="auto"/>
    </w:pPr>
    <w:rPr>
      <w:sz w:val="20"/>
      <w:szCs w:val="20"/>
    </w:rPr>
  </w:style>
  <w:style w:type="character" w:customStyle="1" w:styleId="CommentTextChar">
    <w:name w:val="Comment Text Char"/>
    <w:basedOn w:val="DefaultParagraphFont"/>
    <w:link w:val="CommentText"/>
    <w:uiPriority w:val="99"/>
    <w:rsid w:val="00EE3680"/>
    <w:rPr>
      <w:sz w:val="20"/>
      <w:szCs w:val="20"/>
    </w:rPr>
  </w:style>
  <w:style w:type="paragraph" w:styleId="CommentSubject">
    <w:name w:val="annotation subject"/>
    <w:basedOn w:val="CommentText"/>
    <w:next w:val="CommentText"/>
    <w:link w:val="CommentSubjectChar"/>
    <w:uiPriority w:val="99"/>
    <w:semiHidden/>
    <w:unhideWhenUsed/>
    <w:rsid w:val="00EE3680"/>
    <w:rPr>
      <w:b/>
      <w:bCs/>
    </w:rPr>
  </w:style>
  <w:style w:type="character" w:customStyle="1" w:styleId="CommentSubjectChar">
    <w:name w:val="Comment Subject Char"/>
    <w:basedOn w:val="CommentTextChar"/>
    <w:link w:val="CommentSubject"/>
    <w:uiPriority w:val="99"/>
    <w:semiHidden/>
    <w:rsid w:val="00EE3680"/>
    <w:rPr>
      <w:b/>
      <w:bCs/>
      <w:sz w:val="20"/>
      <w:szCs w:val="20"/>
    </w:rPr>
  </w:style>
  <w:style w:type="paragraph" w:styleId="Header">
    <w:name w:val="header"/>
    <w:basedOn w:val="Normal"/>
    <w:link w:val="HeaderChar"/>
    <w:uiPriority w:val="99"/>
    <w:unhideWhenUsed/>
    <w:rsid w:val="00385F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5F80"/>
  </w:style>
  <w:style w:type="paragraph" w:styleId="Footer">
    <w:name w:val="footer"/>
    <w:basedOn w:val="Normal"/>
    <w:link w:val="FooterChar"/>
    <w:uiPriority w:val="99"/>
    <w:unhideWhenUsed/>
    <w:rsid w:val="00385F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5F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cat.int/Documents/Meetings/Docs/2025/Reports/2025_SCRS_SPA.pdf" TargetMode="External"/><Relationship Id="rId13" Type="http://schemas.openxmlformats.org/officeDocument/2006/relationships/hyperlink" Target="https://www.iccat.int/Documents/Meetings/Docs/2025/Reports/2025_SCRS_SPA.pdf"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iccat.int/Documents/Recs/compendiopdf-s/2024-01-s.pdf" TargetMode="External"/><Relationship Id="rId12" Type="http://schemas.openxmlformats.org/officeDocument/2006/relationships/hyperlink" Target="https://www.iccat.int/Documents/Recs/compendiopdf-s/2024-01-s.pdf"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ccat.int/Documents/Meetings/Docs/2025/Reports/2025_SCRS_SPA.pdf" TargetMode="External"/><Relationship Id="rId5" Type="http://schemas.openxmlformats.org/officeDocument/2006/relationships/footnotes" Target="footnotes.xml"/><Relationship Id="rId15" Type="http://schemas.microsoft.com/office/2007/relationships/hdphoto" Target="media/hdphoto1.wdp"/><Relationship Id="rId10" Type="http://schemas.openxmlformats.org/officeDocument/2006/relationships/hyperlink" Target="https://www.iccat.int/Documents/Recs/compendiopdf-s/2024-01-s.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iccat.int/Documents/Recs/compendiopdf-s/2024-01-s.pdf" TargetMode="Externa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609</Words>
  <Characters>3474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HP_ENVY</dc:creator>
  <cp:keywords/>
  <dc:description/>
  <cp:lastModifiedBy>María José García</cp:lastModifiedBy>
  <cp:revision>2</cp:revision>
  <dcterms:created xsi:type="dcterms:W3CDTF">2025-10-28T10:17:00Z</dcterms:created>
  <dcterms:modified xsi:type="dcterms:W3CDTF">2025-10-28T10:17:00Z</dcterms:modified>
</cp:coreProperties>
</file>