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BDC5" w14:textId="77777777" w:rsidR="00260D7B" w:rsidRPr="003D20CE" w:rsidRDefault="00260D7B" w:rsidP="00260D7B">
      <w:pPr>
        <w:jc w:val="right"/>
        <w:rPr>
          <w:rFonts w:ascii="Cambria" w:hAnsi="Cambria"/>
          <w:b/>
        </w:rPr>
      </w:pPr>
      <w:r w:rsidRPr="003D20CE">
        <w:rPr>
          <w:rFonts w:ascii="Cambria" w:hAnsi="Cambria"/>
          <w:b/>
        </w:rPr>
        <w:t xml:space="preserve">Original : </w:t>
      </w:r>
      <w:r w:rsidRPr="003D20CE">
        <w:rPr>
          <w:rFonts w:ascii="Cambria" w:hAnsi="Cambria"/>
          <w:b/>
          <w:bCs/>
        </w:rPr>
        <w:t>anglais</w:t>
      </w:r>
    </w:p>
    <w:p w14:paraId="222EB216" w14:textId="77777777" w:rsidR="00260D7B" w:rsidRDefault="00260D7B" w:rsidP="005A4A9A">
      <w:pPr>
        <w:widowControl/>
        <w:autoSpaceDE/>
        <w:autoSpaceDN/>
        <w:adjustRightInd/>
        <w:jc w:val="right"/>
        <w:rPr>
          <w:rFonts w:ascii="Cambria" w:eastAsia="Calibri" w:hAnsi="Cambria"/>
          <w:color w:val="242424"/>
          <w:szCs w:val="22"/>
          <w:bdr w:val="none" w:sz="0" w:space="0" w:color="auto" w:frame="1"/>
        </w:rPr>
      </w:pPr>
    </w:p>
    <w:p w14:paraId="3110F1A4" w14:textId="77777777" w:rsidR="005A4A9A" w:rsidRDefault="005A4A9A" w:rsidP="005A4A9A">
      <w:pPr>
        <w:widowControl/>
        <w:autoSpaceDE/>
        <w:autoSpaceDN/>
        <w:adjustRightInd/>
        <w:jc w:val="center"/>
        <w:rPr>
          <w:rFonts w:ascii="Cambria" w:eastAsia="Calibri" w:hAnsi="Cambria"/>
          <w:b/>
          <w:color w:val="242424"/>
          <w:szCs w:val="22"/>
          <w:bdr w:val="none" w:sz="0" w:space="0" w:color="auto" w:frame="1"/>
        </w:rPr>
      </w:pPr>
      <w:r w:rsidRPr="005A4A9A">
        <w:rPr>
          <w:rFonts w:ascii="Cambria" w:eastAsia="Calibri" w:hAnsi="Cambria"/>
          <w:b/>
          <w:color w:val="242424"/>
          <w:szCs w:val="22"/>
          <w:bdr w:val="none" w:sz="0" w:space="0" w:color="auto" w:frame="1"/>
        </w:rPr>
        <w:t>Lettre aux membres de la Sous-commission 1 concernant la réunion annuelle</w:t>
      </w:r>
    </w:p>
    <w:p w14:paraId="20C27AC1" w14:textId="77777777" w:rsidR="00634F85" w:rsidRDefault="00634F85" w:rsidP="005A4A9A">
      <w:pPr>
        <w:widowControl/>
        <w:autoSpaceDE/>
        <w:autoSpaceDN/>
        <w:adjustRightInd/>
        <w:jc w:val="center"/>
        <w:rPr>
          <w:rFonts w:ascii="Cambria" w:eastAsia="Calibri" w:hAnsi="Cambria"/>
          <w:b/>
          <w:color w:val="242424"/>
          <w:szCs w:val="22"/>
          <w:bdr w:val="none" w:sz="0" w:space="0" w:color="auto" w:frame="1"/>
        </w:rPr>
      </w:pPr>
    </w:p>
    <w:p w14:paraId="7D34F645" w14:textId="5C80096C" w:rsidR="00634F85" w:rsidRPr="00E761DE" w:rsidRDefault="00634F85" w:rsidP="005A4A9A">
      <w:pPr>
        <w:widowControl/>
        <w:autoSpaceDE/>
        <w:autoSpaceDN/>
        <w:adjustRightInd/>
        <w:jc w:val="center"/>
        <w:rPr>
          <w:rFonts w:ascii="Cambria" w:hAnsi="Cambria" w:cs="Calibri"/>
          <w:bCs/>
          <w:i/>
          <w:iCs/>
          <w:color w:val="242424"/>
          <w:bdr w:val="none" w:sz="0" w:space="0" w:color="auto" w:frame="1"/>
        </w:rPr>
      </w:pPr>
      <w:r w:rsidRPr="00E761DE">
        <w:rPr>
          <w:rFonts w:ascii="Cambria" w:eastAsia="Calibri" w:hAnsi="Cambria"/>
          <w:bCs/>
          <w:i/>
          <w:iCs/>
          <w:color w:val="242424"/>
          <w:szCs w:val="22"/>
          <w:bdr w:val="none" w:sz="0" w:space="0" w:color="auto" w:frame="1"/>
        </w:rPr>
        <w:t>(</w:t>
      </w:r>
      <w:r w:rsidR="00634C99" w:rsidRPr="00E761DE">
        <w:rPr>
          <w:rFonts w:ascii="Cambria" w:eastAsia="Calibri" w:hAnsi="Cambria"/>
          <w:bCs/>
          <w:i/>
          <w:iCs/>
          <w:color w:val="242424"/>
          <w:szCs w:val="22"/>
          <w:bdr w:val="none" w:sz="0" w:space="0" w:color="auto" w:frame="1"/>
        </w:rPr>
        <w:t>Soumis par le Président de la Sous-commission 1)</w:t>
      </w:r>
    </w:p>
    <w:p w14:paraId="7212FDA3" w14:textId="77777777" w:rsidR="005A4A9A" w:rsidRDefault="005A4A9A" w:rsidP="005A4A9A">
      <w:pPr>
        <w:widowControl/>
        <w:autoSpaceDE/>
        <w:autoSpaceDN/>
        <w:adjustRightInd/>
        <w:jc w:val="both"/>
        <w:rPr>
          <w:rFonts w:ascii="Cambria" w:hAnsi="Cambria" w:cs="Calibri"/>
          <w:color w:val="242424"/>
          <w:bdr w:val="none" w:sz="0" w:space="0" w:color="auto" w:frame="1"/>
        </w:rPr>
      </w:pPr>
    </w:p>
    <w:p w14:paraId="647AF2D0" w14:textId="77777777" w:rsidR="009649C4" w:rsidRPr="005A4A9A" w:rsidRDefault="009649C4" w:rsidP="009649C4">
      <w:pPr>
        <w:widowControl/>
        <w:autoSpaceDE/>
        <w:autoSpaceDN/>
        <w:adjustRightInd/>
        <w:jc w:val="right"/>
        <w:rPr>
          <w:rFonts w:ascii="Cambria" w:hAnsi="Cambria" w:cs="Calibri"/>
          <w:color w:val="242424"/>
          <w:bdr w:val="none" w:sz="0" w:space="0" w:color="auto" w:frame="1"/>
        </w:rPr>
      </w:pPr>
      <w:r w:rsidRPr="003C31CF">
        <w:rPr>
          <w:rFonts w:ascii="Cambria" w:eastAsia="Calibri" w:hAnsi="Cambria"/>
          <w:color w:val="242424"/>
          <w:szCs w:val="22"/>
          <w:bdr w:val="none" w:sz="0" w:space="0" w:color="auto" w:frame="1"/>
        </w:rPr>
        <w:t>Le 27 octobre 2025</w:t>
      </w:r>
    </w:p>
    <w:p w14:paraId="62BA831F" w14:textId="77777777" w:rsidR="009649C4" w:rsidRDefault="009649C4" w:rsidP="005A4A9A">
      <w:pPr>
        <w:widowControl/>
        <w:autoSpaceDE/>
        <w:autoSpaceDN/>
        <w:adjustRightInd/>
        <w:jc w:val="both"/>
        <w:rPr>
          <w:rFonts w:ascii="Cambria" w:hAnsi="Cambria" w:cs="Calibri"/>
          <w:color w:val="242424"/>
          <w:bdr w:val="none" w:sz="0" w:space="0" w:color="auto" w:frame="1"/>
        </w:rPr>
      </w:pPr>
    </w:p>
    <w:p w14:paraId="00C36EB6" w14:textId="77777777" w:rsidR="009649C4" w:rsidRPr="005A4A9A" w:rsidRDefault="009649C4" w:rsidP="005A4A9A">
      <w:pPr>
        <w:widowControl/>
        <w:autoSpaceDE/>
        <w:autoSpaceDN/>
        <w:adjustRightInd/>
        <w:jc w:val="both"/>
        <w:rPr>
          <w:rFonts w:ascii="Cambria" w:hAnsi="Cambria" w:cs="Calibri"/>
          <w:color w:val="242424"/>
          <w:bdr w:val="none" w:sz="0" w:space="0" w:color="auto" w:frame="1"/>
        </w:rPr>
      </w:pPr>
    </w:p>
    <w:p w14:paraId="5D9946FB" w14:textId="49A01ACF" w:rsidR="005A4A9A" w:rsidRPr="005A4A9A" w:rsidRDefault="005A4A9A" w:rsidP="005A4A9A">
      <w:pPr>
        <w:widowControl/>
        <w:autoSpaceDE/>
        <w:autoSpaceDN/>
        <w:adjustRightInd/>
        <w:jc w:val="both"/>
        <w:rPr>
          <w:rFonts w:asciiTheme="majorHAnsi" w:hAnsiTheme="majorHAnsi" w:cs="Calibri"/>
          <w:color w:val="242424"/>
          <w:bdr w:val="none" w:sz="0" w:space="0" w:color="auto" w:frame="1"/>
        </w:rPr>
      </w:pPr>
      <w:r w:rsidRPr="005A4A9A">
        <w:rPr>
          <w:rFonts w:asciiTheme="majorHAnsi" w:eastAsia="Calibri" w:hAnsiTheme="majorHAnsi"/>
          <w:color w:val="242424"/>
          <w:bdr w:val="none" w:sz="0" w:space="0" w:color="auto" w:frame="1"/>
        </w:rPr>
        <w:t>Chers membres de la Sous-commission 1,</w:t>
      </w:r>
    </w:p>
    <w:p w14:paraId="5C44F342" w14:textId="77777777" w:rsidR="005A4A9A" w:rsidRPr="005A4A9A" w:rsidRDefault="005A4A9A" w:rsidP="005A4A9A">
      <w:pPr>
        <w:widowControl/>
        <w:autoSpaceDE/>
        <w:autoSpaceDN/>
        <w:adjustRightInd/>
        <w:jc w:val="both"/>
        <w:rPr>
          <w:rFonts w:asciiTheme="majorHAnsi" w:hAnsiTheme="majorHAnsi" w:cs="Calibri"/>
          <w:color w:val="242424"/>
          <w:bdr w:val="none" w:sz="0" w:space="0" w:color="auto" w:frame="1"/>
        </w:rPr>
      </w:pPr>
    </w:p>
    <w:p w14:paraId="5C351047" w14:textId="2DEE7D28" w:rsidR="005A4A9A" w:rsidRPr="005A4A9A" w:rsidRDefault="005A4A9A" w:rsidP="005A4A9A">
      <w:pPr>
        <w:widowControl/>
        <w:autoSpaceDE/>
        <w:autoSpaceDN/>
        <w:adjustRightInd/>
        <w:jc w:val="both"/>
        <w:rPr>
          <w:rFonts w:asciiTheme="majorHAnsi" w:hAnsiTheme="majorHAnsi" w:cs="Calibri"/>
          <w:color w:val="242424"/>
          <w:bdr w:val="none" w:sz="0" w:space="0" w:color="auto" w:frame="1"/>
        </w:rPr>
      </w:pPr>
      <w:r w:rsidRPr="005A4A9A">
        <w:rPr>
          <w:rFonts w:asciiTheme="majorHAnsi" w:eastAsia="Calibri" w:hAnsiTheme="majorHAnsi"/>
          <w:color w:val="242424"/>
          <w:bdr w:val="none" w:sz="0" w:space="0" w:color="auto" w:frame="1"/>
        </w:rPr>
        <w:t xml:space="preserve">C'est avec grand plaisir que je m'adresse à vous aujourd'hui alors que nous nous préparons pour la réunion de la Commission </w:t>
      </w:r>
      <w:r w:rsidR="006240B9">
        <w:rPr>
          <w:rFonts w:asciiTheme="majorHAnsi" w:eastAsia="Calibri" w:hAnsiTheme="majorHAnsi"/>
          <w:color w:val="242424"/>
          <w:bdr w:val="none" w:sz="0" w:space="0" w:color="auto" w:frame="1"/>
        </w:rPr>
        <w:t xml:space="preserve">de </w:t>
      </w:r>
      <w:r w:rsidRPr="005A4A9A">
        <w:rPr>
          <w:rFonts w:asciiTheme="majorHAnsi" w:eastAsia="Calibri" w:hAnsiTheme="majorHAnsi"/>
          <w:color w:val="242424"/>
          <w:bdr w:val="none" w:sz="0" w:space="0" w:color="auto" w:frame="1"/>
        </w:rPr>
        <w:t xml:space="preserve">2025 qui se tiendra le mois prochain. </w:t>
      </w:r>
      <w:r w:rsidRPr="005A4A9A">
        <w:rPr>
          <w:rFonts w:asciiTheme="majorHAnsi" w:eastAsia="Calibri" w:hAnsiTheme="majorHAnsi"/>
        </w:rPr>
        <w:t xml:space="preserve">Je tiens à vous remercier pour les efforts considérables qui ont abouti à l'adoption, l'année dernière, de la </w:t>
      </w:r>
      <w:hyperlink r:id="rId8" w:history="1">
        <w:r w:rsidRPr="005A4A9A">
          <w:rPr>
            <w:rFonts w:asciiTheme="majorHAnsi" w:eastAsia="Calibri" w:hAnsiTheme="majorHAnsi"/>
            <w:i/>
            <w:iCs/>
            <w:color w:val="0563C1"/>
            <w:bdr w:val="none" w:sz="0" w:space="0" w:color="auto" w:frame="1"/>
          </w:rPr>
          <w:t>Recommandation de l’ICCAT remplaçant la Recommandation 21-01 sur un programme pluriannuel de conservation et de gestion pour les thonidés tropicaux</w:t>
        </w:r>
        <w:r w:rsidRPr="005A4A9A">
          <w:rPr>
            <w:rFonts w:asciiTheme="majorHAnsi" w:eastAsia="Calibri" w:hAnsiTheme="majorHAnsi"/>
            <w:color w:val="0563C1"/>
            <w:bdr w:val="none" w:sz="0" w:space="0" w:color="auto" w:frame="1"/>
          </w:rPr>
          <w:t xml:space="preserve"> (Rec. 24-01)</w:t>
        </w:r>
        <w:r w:rsidR="00DE558E">
          <w:rPr>
            <w:rFonts w:asciiTheme="majorHAnsi" w:eastAsia="Calibri" w:hAnsiTheme="majorHAnsi"/>
            <w:color w:val="0563C1"/>
            <w:bdr w:val="none" w:sz="0" w:space="0" w:color="auto" w:frame="1"/>
          </w:rPr>
          <w:t>.</w:t>
        </w:r>
        <w:r w:rsidRPr="005A4A9A">
          <w:rPr>
            <w:rFonts w:asciiTheme="majorHAnsi" w:eastAsia="Calibri" w:hAnsiTheme="majorHAnsi"/>
            <w:color w:val="0563C1"/>
            <w:bdr w:val="none" w:sz="0" w:space="0" w:color="auto" w:frame="1"/>
          </w:rPr>
          <w:t xml:space="preserve"> </w:t>
        </w:r>
      </w:hyperlink>
    </w:p>
    <w:p w14:paraId="7ABE63CF" w14:textId="77777777" w:rsidR="005A4A9A" w:rsidRPr="005A4A9A" w:rsidRDefault="005A4A9A" w:rsidP="005A4A9A">
      <w:pPr>
        <w:widowControl/>
        <w:autoSpaceDE/>
        <w:autoSpaceDN/>
        <w:adjustRightInd/>
        <w:jc w:val="both"/>
        <w:rPr>
          <w:rFonts w:asciiTheme="majorHAnsi" w:hAnsiTheme="majorHAnsi" w:cs="Calibri"/>
          <w:color w:val="242424"/>
          <w:bdr w:val="none" w:sz="0" w:space="0" w:color="auto" w:frame="1"/>
        </w:rPr>
      </w:pPr>
    </w:p>
    <w:p w14:paraId="7507EB3D" w14:textId="7C9A21EB" w:rsidR="005A4A9A" w:rsidRPr="005A4A9A" w:rsidRDefault="005A4A9A" w:rsidP="005A4A9A">
      <w:pPr>
        <w:widowControl/>
        <w:autoSpaceDE/>
        <w:autoSpaceDN/>
        <w:adjustRightInd/>
        <w:jc w:val="both"/>
        <w:rPr>
          <w:rFonts w:asciiTheme="majorHAnsi" w:hAnsiTheme="majorHAnsi" w:cs="Calibri"/>
          <w:color w:val="242424"/>
          <w:bdr w:val="none" w:sz="0" w:space="0" w:color="auto" w:frame="1"/>
        </w:rPr>
      </w:pPr>
      <w:r w:rsidRPr="00987DF3">
        <w:rPr>
          <w:rFonts w:asciiTheme="majorHAnsi" w:eastAsia="Calibri" w:hAnsiTheme="majorHAnsi"/>
          <w:color w:val="242424"/>
          <w:bdr w:val="none" w:sz="0" w:space="0" w:color="auto" w:frame="1"/>
        </w:rPr>
        <w:t>Alors que nous avons pris une décision définitive concernant le nombre de DCP par navire en 2025 (300 DCP par navire) et en 2026 et 2027 (288 DCP par navire), la décision relative au TAC et à la période de fermeture d</w:t>
      </w:r>
      <w:r w:rsidR="00CE6733" w:rsidRPr="00987DF3">
        <w:rPr>
          <w:rFonts w:asciiTheme="majorHAnsi" w:eastAsia="Calibri" w:hAnsiTheme="majorHAnsi"/>
          <w:color w:val="242424"/>
          <w:bdr w:val="none" w:sz="0" w:space="0" w:color="auto" w:frame="1"/>
        </w:rPr>
        <w:t>e la pêche sous</w:t>
      </w:r>
      <w:r w:rsidRPr="00987DF3">
        <w:rPr>
          <w:rFonts w:asciiTheme="majorHAnsi" w:eastAsia="Calibri" w:hAnsiTheme="majorHAnsi"/>
          <w:color w:val="242424"/>
          <w:bdr w:val="none" w:sz="0" w:space="0" w:color="auto" w:frame="1"/>
        </w:rPr>
        <w:t xml:space="preserve"> DCP pour 2026 et 2027 a été reportée jusqu'aux travaux du SCRS en 2025</w:t>
      </w:r>
      <w:r w:rsidRPr="005A4A9A">
        <w:rPr>
          <w:rFonts w:asciiTheme="majorHAnsi" w:eastAsia="Calibri" w:hAnsiTheme="majorHAnsi"/>
          <w:color w:val="242424"/>
          <w:bdr w:val="none" w:sz="0" w:space="0" w:color="auto" w:frame="1"/>
        </w:rPr>
        <w:t xml:space="preserve">. </w:t>
      </w:r>
      <w:r w:rsidRPr="005A4A9A">
        <w:rPr>
          <w:rFonts w:asciiTheme="majorHAnsi" w:eastAsia="Calibri" w:hAnsiTheme="majorHAnsi"/>
        </w:rPr>
        <w:t xml:space="preserve">Le </w:t>
      </w:r>
      <w:hyperlink r:id="rId9" w:history="1">
        <w:r w:rsidRPr="005A4A9A">
          <w:rPr>
            <w:rFonts w:asciiTheme="majorHAnsi" w:eastAsia="Calibri" w:hAnsiTheme="majorHAnsi"/>
            <w:color w:val="0563C1"/>
            <w:bdr w:val="none" w:sz="0" w:space="0" w:color="auto" w:frame="1"/>
          </w:rPr>
          <w:t>rapport du SCRS de 2025</w:t>
        </w:r>
      </w:hyperlink>
      <w:r w:rsidRPr="005A4A9A">
        <w:rPr>
          <w:rFonts w:asciiTheme="majorHAnsi" w:eastAsia="Calibri" w:hAnsiTheme="majorHAnsi"/>
        </w:rPr>
        <w:t xml:space="preserve"> a été diffusé le 7 octobre 2025 (circulaire n° 09998/2025 de l’ICCAT) et je souligne deux conclusions essentielles pour notre prochaine réunion de la Sous-commission 1 :</w:t>
      </w:r>
      <w:r w:rsidRPr="005A4A9A">
        <w:rPr>
          <w:rFonts w:asciiTheme="majorHAnsi" w:eastAsia="Calibri" w:hAnsiTheme="majorHAnsi"/>
          <w:color w:val="242424"/>
          <w:bdr w:val="none" w:sz="0" w:space="0" w:color="auto" w:frame="1"/>
        </w:rPr>
        <w:t xml:space="preserve"> TAC et période de fermeture de la pêche sous DCP pour 2026 et 2027.</w:t>
      </w:r>
    </w:p>
    <w:p w14:paraId="4BD88ADB" w14:textId="77777777" w:rsidR="005A4A9A" w:rsidRPr="005A4A9A" w:rsidRDefault="005A4A9A" w:rsidP="005A4A9A">
      <w:pPr>
        <w:widowControl/>
        <w:autoSpaceDE/>
        <w:autoSpaceDN/>
        <w:adjustRightInd/>
        <w:jc w:val="both"/>
        <w:rPr>
          <w:rFonts w:asciiTheme="majorHAnsi" w:hAnsiTheme="majorHAnsi" w:cs="Calibri"/>
          <w:color w:val="242424"/>
          <w:bdr w:val="none" w:sz="0" w:space="0" w:color="auto" w:frame="1"/>
        </w:rPr>
      </w:pPr>
    </w:p>
    <w:p w14:paraId="4D53CB99" w14:textId="47792468" w:rsidR="005A4A9A" w:rsidRPr="005A4A9A" w:rsidRDefault="005A4A9A" w:rsidP="005A4A9A">
      <w:pPr>
        <w:widowControl/>
        <w:autoSpaceDE/>
        <w:autoSpaceDN/>
        <w:adjustRightInd/>
        <w:jc w:val="both"/>
        <w:rPr>
          <w:rFonts w:asciiTheme="majorHAnsi" w:eastAsia="Calibri" w:hAnsiTheme="majorHAnsi"/>
        </w:rPr>
      </w:pPr>
      <w:r w:rsidRPr="005A4A9A">
        <w:rPr>
          <w:rFonts w:asciiTheme="majorHAnsi" w:eastAsia="Calibri" w:hAnsiTheme="majorHAnsi"/>
        </w:rPr>
        <w:t xml:space="preserve">Le paragraphe 3 de la </w:t>
      </w:r>
      <w:hyperlink r:id="rId10" w:history="1">
        <w:r w:rsidRPr="005A4A9A">
          <w:rPr>
            <w:rFonts w:asciiTheme="majorHAnsi" w:eastAsia="Calibri" w:hAnsiTheme="majorHAnsi"/>
            <w:color w:val="0563C1"/>
          </w:rPr>
          <w:t>Rec. 24-01</w:t>
        </w:r>
      </w:hyperlink>
      <w:r w:rsidRPr="005A4A9A">
        <w:rPr>
          <w:rFonts w:asciiTheme="majorHAnsi" w:eastAsia="Calibri" w:hAnsiTheme="majorHAnsi"/>
        </w:rPr>
        <w:t xml:space="preserve"> a fixé le TAC pour le thon obèse à 73.011 t en 2025, avec une disposition selon laquelle les TAC ultérieurs seront fixés sur la base des résultats de l'évaluation du stock de 2025. Nous avons convenu que le TAC serait maintenu à 73.011 t en 2026 et 2027 si l'évaluation du stock de thon obèse réalisée en 2025 indiquait que la probabilité que le stock se trouve dans le quadrant vert en 2034 était d'au moins 65 % et qu'il pouvait être augmenté si la probabilité était d'au moins 70 %. Selon la matrice </w:t>
      </w:r>
      <w:r w:rsidR="00721042">
        <w:rPr>
          <w:rFonts w:asciiTheme="majorHAnsi" w:eastAsia="Calibri" w:hAnsiTheme="majorHAnsi"/>
        </w:rPr>
        <w:t xml:space="preserve">de </w:t>
      </w:r>
      <w:r w:rsidRPr="005A4A9A">
        <w:rPr>
          <w:rFonts w:asciiTheme="majorHAnsi" w:eastAsia="Calibri" w:hAnsiTheme="majorHAnsi"/>
        </w:rPr>
        <w:t>Kobe</w:t>
      </w:r>
      <w:r w:rsidR="00852F80">
        <w:rPr>
          <w:rFonts w:asciiTheme="majorHAnsi" w:eastAsia="Calibri" w:hAnsiTheme="majorHAnsi"/>
        </w:rPr>
        <w:t> </w:t>
      </w:r>
      <w:r w:rsidRPr="005A4A9A">
        <w:rPr>
          <w:rFonts w:asciiTheme="majorHAnsi" w:eastAsia="Calibri" w:hAnsiTheme="majorHAnsi"/>
        </w:rPr>
        <w:t>II (K2SM), d'après l'évaluation des stocks de thon obèse, un futur niveau de capture constant de 73.011 tonnes a une forte probabilité (91</w:t>
      </w:r>
      <w:r w:rsidR="004508C0">
        <w:rPr>
          <w:rFonts w:asciiTheme="majorHAnsi" w:eastAsia="Calibri" w:hAnsiTheme="majorHAnsi"/>
        </w:rPr>
        <w:t> </w:t>
      </w:r>
      <w:r w:rsidRPr="005A4A9A">
        <w:rPr>
          <w:rFonts w:asciiTheme="majorHAnsi" w:eastAsia="Calibri" w:hAnsiTheme="majorHAnsi"/>
        </w:rPr>
        <w:t>%) de maintenir le stock dans le quadrant vert du diagramme de Kobe en 2034.</w:t>
      </w:r>
    </w:p>
    <w:p w14:paraId="0626032F" w14:textId="77777777" w:rsidR="006460FB" w:rsidRDefault="006460FB" w:rsidP="005A4A9A">
      <w:pPr>
        <w:widowControl/>
        <w:autoSpaceDE/>
        <w:autoSpaceDN/>
        <w:adjustRightInd/>
        <w:jc w:val="both"/>
        <w:rPr>
          <w:rFonts w:asciiTheme="majorHAnsi" w:eastAsia="Calibri" w:hAnsiTheme="majorHAnsi"/>
        </w:rPr>
      </w:pPr>
    </w:p>
    <w:p w14:paraId="22B696D5" w14:textId="4796D2B6" w:rsidR="005A4A9A" w:rsidRPr="005A4A9A" w:rsidRDefault="005A4A9A" w:rsidP="005A4A9A">
      <w:pPr>
        <w:widowControl/>
        <w:autoSpaceDE/>
        <w:autoSpaceDN/>
        <w:adjustRightInd/>
        <w:jc w:val="both"/>
        <w:rPr>
          <w:rFonts w:asciiTheme="majorHAnsi" w:eastAsia="Calibri" w:hAnsiTheme="majorHAnsi"/>
        </w:rPr>
      </w:pPr>
      <w:r w:rsidRPr="005A4A9A">
        <w:rPr>
          <w:rFonts w:asciiTheme="majorHAnsi" w:eastAsia="Calibri" w:hAnsiTheme="majorHAnsi"/>
        </w:rPr>
        <w:t xml:space="preserve">Le paragraphe 31 de la </w:t>
      </w:r>
      <w:hyperlink r:id="rId11" w:history="1">
        <w:r w:rsidRPr="005A4A9A">
          <w:rPr>
            <w:rFonts w:asciiTheme="majorHAnsi" w:eastAsia="Calibri" w:hAnsiTheme="majorHAnsi"/>
            <w:color w:val="0563C1"/>
          </w:rPr>
          <w:t>Rec. 24-01</w:t>
        </w:r>
      </w:hyperlink>
      <w:r w:rsidRPr="005A4A9A">
        <w:rPr>
          <w:rFonts w:asciiTheme="majorHAnsi" w:eastAsia="Calibri" w:hAnsiTheme="majorHAnsi"/>
        </w:rPr>
        <w:t xml:space="preserve"> </w:t>
      </w:r>
      <w:r w:rsidR="004508C0">
        <w:rPr>
          <w:rFonts w:asciiTheme="majorHAnsi" w:eastAsia="Calibri" w:hAnsiTheme="majorHAnsi"/>
        </w:rPr>
        <w:t>établit</w:t>
      </w:r>
      <w:r w:rsidRPr="005A4A9A">
        <w:rPr>
          <w:rFonts w:asciiTheme="majorHAnsi" w:eastAsia="Calibri" w:hAnsiTheme="majorHAnsi"/>
        </w:rPr>
        <w:t xml:space="preserve"> une période de fermeture de la pêche sous DCP de 45 jours, du 17 mars au 30 avril 2025.</w:t>
      </w:r>
      <w:r w:rsidRPr="005A4A9A">
        <w:rPr>
          <w:rFonts w:asciiTheme="majorHAnsi" w:eastAsia="Calibri" w:hAnsiTheme="majorHAnsi"/>
          <w:color w:val="242424"/>
          <w:bdr w:val="none" w:sz="0" w:space="0" w:color="auto" w:frame="1"/>
        </w:rPr>
        <w:t xml:space="preserve"> </w:t>
      </w:r>
      <w:r w:rsidRPr="005A4A9A">
        <w:rPr>
          <w:rFonts w:asciiTheme="majorHAnsi" w:eastAsia="Calibri" w:hAnsiTheme="majorHAnsi"/>
        </w:rPr>
        <w:t xml:space="preserve">Le SCRS a préparé plusieurs analyses pertinentes pour le thon obèse de l'Atlantique en utilisant les résultats du scénario de référence de la réunion d'évaluation des stocks de thon obèse de l'Atlantique de 2025, qui figurent au point 19.30 (interdiction de la pêche sous DCP) du </w:t>
      </w:r>
      <w:hyperlink r:id="rId12" w:history="1">
        <w:r w:rsidRPr="005A4A9A">
          <w:rPr>
            <w:rFonts w:asciiTheme="majorHAnsi" w:eastAsia="Calibri" w:hAnsiTheme="majorHAnsi"/>
            <w:color w:val="0563C1"/>
          </w:rPr>
          <w:t>rapport du SCRS de 2025</w:t>
        </w:r>
      </w:hyperlink>
      <w:r w:rsidRPr="005A4A9A">
        <w:rPr>
          <w:rFonts w:asciiTheme="majorHAnsi" w:eastAsia="Calibri" w:hAnsiTheme="majorHAnsi"/>
        </w:rPr>
        <w:t xml:space="preserve">. En outre, le paragraphe 20 de la </w:t>
      </w:r>
      <w:hyperlink r:id="rId13" w:history="1">
        <w:r w:rsidRPr="005A4A9A">
          <w:rPr>
            <w:rFonts w:asciiTheme="majorHAnsi" w:eastAsia="Calibri" w:hAnsiTheme="majorHAnsi"/>
            <w:color w:val="0563C1"/>
          </w:rPr>
          <w:t>Rec. 24-01</w:t>
        </w:r>
      </w:hyperlink>
      <w:r w:rsidRPr="005A4A9A">
        <w:rPr>
          <w:rFonts w:asciiTheme="majorHAnsi" w:eastAsia="Calibri" w:hAnsiTheme="majorHAnsi"/>
        </w:rPr>
        <w:t xml:space="preserve"> mandate la Commission, sur la base de l'évaluation des stocks et de l’avis du SCRS, d'adopter des mesures de conservation supplémentaires pour l’albacore lors de la réunion annuelle de 2027. </w:t>
      </w:r>
      <w:r w:rsidRPr="001002D2">
        <w:rPr>
          <w:rFonts w:asciiTheme="majorHAnsi" w:eastAsia="Calibri" w:hAnsiTheme="majorHAnsi"/>
        </w:rPr>
        <w:t xml:space="preserve">Je pense qu'il sera important d'aborder dès </w:t>
      </w:r>
      <w:r w:rsidR="00246D57" w:rsidRPr="001002D2">
        <w:rPr>
          <w:rFonts w:asciiTheme="majorHAnsi" w:eastAsia="Calibri" w:hAnsiTheme="majorHAnsi"/>
        </w:rPr>
        <w:t>maintenant</w:t>
      </w:r>
      <w:r w:rsidRPr="001002D2">
        <w:rPr>
          <w:rFonts w:asciiTheme="majorHAnsi" w:eastAsia="Calibri" w:hAnsiTheme="majorHAnsi"/>
        </w:rPr>
        <w:t xml:space="preserve"> les mesures à prendre concernant l’albacore</w:t>
      </w:r>
      <w:r w:rsidR="00246D57" w:rsidRPr="001002D2">
        <w:rPr>
          <w:rFonts w:asciiTheme="majorHAnsi" w:eastAsia="Calibri" w:hAnsiTheme="majorHAnsi"/>
        </w:rPr>
        <w:t xml:space="preserve"> lors de la prochaine réunion</w:t>
      </w:r>
      <w:r w:rsidRPr="001002D2">
        <w:rPr>
          <w:rFonts w:asciiTheme="majorHAnsi" w:eastAsia="Calibri" w:hAnsiTheme="majorHAnsi"/>
        </w:rPr>
        <w:t>, car le SCRS a réitéré sa préoccupation quant au fait que les niveaux de capture, qui s'élèvent en moyenne à environ 141.000 tonnes au cours des cinq dernières années (2018-2022), ont dépassé le TAC de 110.000 tonnes et entraîneront probablement une surpêche et conduir</w:t>
      </w:r>
      <w:r w:rsidR="004F4BD4" w:rsidRPr="001002D2">
        <w:rPr>
          <w:rFonts w:asciiTheme="majorHAnsi" w:eastAsia="Calibri" w:hAnsiTheme="majorHAnsi"/>
        </w:rPr>
        <w:t>ont</w:t>
      </w:r>
      <w:r w:rsidRPr="001002D2">
        <w:rPr>
          <w:rFonts w:asciiTheme="majorHAnsi" w:eastAsia="Calibri" w:hAnsiTheme="majorHAnsi"/>
        </w:rPr>
        <w:t xml:space="preserve"> à un état de surpêche s'ils se maintiennent</w:t>
      </w:r>
      <w:r w:rsidRPr="005A4A9A">
        <w:rPr>
          <w:rFonts w:asciiTheme="majorHAnsi" w:eastAsia="Calibri" w:hAnsiTheme="majorHAnsi"/>
        </w:rPr>
        <w:t xml:space="preserve">. </w:t>
      </w:r>
      <w:r w:rsidRPr="003C31CF">
        <w:rPr>
          <w:rFonts w:asciiTheme="majorHAnsi" w:eastAsia="Calibri" w:hAnsiTheme="majorHAnsi"/>
        </w:rPr>
        <w:t xml:space="preserve">Il devient donc impératif que la Commission entame dès maintenant ses délibérations, notamment en ce qui concerne </w:t>
      </w:r>
      <w:r w:rsidR="00707360" w:rsidRPr="003C31CF">
        <w:rPr>
          <w:rFonts w:asciiTheme="majorHAnsi" w:eastAsia="Calibri" w:hAnsiTheme="majorHAnsi"/>
        </w:rPr>
        <w:t>le</w:t>
      </w:r>
      <w:r w:rsidRPr="003C31CF">
        <w:rPr>
          <w:rFonts w:asciiTheme="majorHAnsi" w:eastAsia="Calibri" w:hAnsiTheme="majorHAnsi"/>
        </w:rPr>
        <w:t xml:space="preserve"> TAC et </w:t>
      </w:r>
      <w:r w:rsidR="00707360" w:rsidRPr="003C31CF">
        <w:rPr>
          <w:rFonts w:asciiTheme="majorHAnsi" w:eastAsia="Calibri" w:hAnsiTheme="majorHAnsi"/>
        </w:rPr>
        <w:t xml:space="preserve">l’allocation </w:t>
      </w:r>
      <w:r w:rsidRPr="003C31CF">
        <w:rPr>
          <w:rFonts w:asciiTheme="majorHAnsi" w:eastAsia="Calibri" w:hAnsiTheme="majorHAnsi"/>
        </w:rPr>
        <w:t>des quotas.</w:t>
      </w:r>
      <w:r w:rsidRPr="005A4A9A">
        <w:rPr>
          <w:rFonts w:asciiTheme="majorHAnsi" w:eastAsia="Calibri" w:hAnsiTheme="majorHAnsi"/>
        </w:rPr>
        <w:t xml:space="preserve"> </w:t>
      </w:r>
    </w:p>
    <w:p w14:paraId="51C53295" w14:textId="77777777" w:rsidR="005A4A9A" w:rsidRPr="005A4A9A" w:rsidRDefault="005A4A9A" w:rsidP="005A4A9A">
      <w:pPr>
        <w:widowControl/>
        <w:autoSpaceDE/>
        <w:autoSpaceDN/>
        <w:adjustRightInd/>
        <w:jc w:val="both"/>
        <w:rPr>
          <w:rFonts w:asciiTheme="majorHAnsi" w:eastAsia="Calibri" w:hAnsiTheme="majorHAnsi"/>
        </w:rPr>
      </w:pPr>
    </w:p>
    <w:p w14:paraId="153269BB" w14:textId="77777777" w:rsidR="005A4A9A" w:rsidRPr="005A4A9A" w:rsidRDefault="005A4A9A" w:rsidP="005A4A9A">
      <w:pPr>
        <w:widowControl/>
        <w:autoSpaceDE/>
        <w:autoSpaceDN/>
        <w:adjustRightInd/>
        <w:jc w:val="both"/>
        <w:rPr>
          <w:rFonts w:asciiTheme="majorHAnsi" w:eastAsia="Calibri" w:hAnsiTheme="majorHAnsi"/>
        </w:rPr>
      </w:pPr>
      <w:r w:rsidRPr="005A4A9A">
        <w:rPr>
          <w:rFonts w:asciiTheme="majorHAnsi" w:eastAsia="Calibri" w:hAnsiTheme="majorHAnsi"/>
        </w:rPr>
        <w:t xml:space="preserve">J'espère sincèrement que les CPC membres examineront le </w:t>
      </w:r>
      <w:hyperlink r:id="rId14" w:history="1">
        <w:r w:rsidRPr="005A4A9A">
          <w:rPr>
            <w:rFonts w:asciiTheme="majorHAnsi" w:eastAsia="Calibri" w:hAnsiTheme="majorHAnsi"/>
            <w:color w:val="0563C1"/>
            <w:bdr w:val="none" w:sz="0" w:space="0" w:color="auto" w:frame="1"/>
          </w:rPr>
          <w:t>rapport du SCRS de 2025</w:t>
        </w:r>
      </w:hyperlink>
      <w:r w:rsidRPr="005A4A9A">
        <w:rPr>
          <w:rFonts w:asciiTheme="majorHAnsi" w:eastAsia="Calibri" w:hAnsiTheme="majorHAnsi"/>
        </w:rPr>
        <w:t>, qui comprend d'autres réponses à la Commission, et que les délégations se concerteront et détermineront leur position avant la réunion du mois prochain.</w:t>
      </w:r>
      <w:r w:rsidRPr="005A4A9A">
        <w:rPr>
          <w:rFonts w:asciiTheme="majorHAnsi" w:eastAsia="Calibri" w:hAnsiTheme="majorHAnsi"/>
          <w:color w:val="000000"/>
          <w:bdr w:val="none" w:sz="0" w:space="0" w:color="auto" w:frame="1"/>
        </w:rPr>
        <w:t xml:space="preserve"> </w:t>
      </w:r>
      <w:r w:rsidRPr="005A4A9A">
        <w:rPr>
          <w:rFonts w:asciiTheme="majorHAnsi" w:eastAsia="Calibri" w:hAnsiTheme="majorHAnsi"/>
        </w:rPr>
        <w:t>J'ai hâte de vous voir tous bientôt à Séville et de travailler avec vous.</w:t>
      </w:r>
    </w:p>
    <w:p w14:paraId="4A0ED81D" w14:textId="77777777" w:rsidR="005A4A9A" w:rsidRPr="005A4A9A" w:rsidRDefault="005A4A9A" w:rsidP="005A4A9A">
      <w:pPr>
        <w:widowControl/>
        <w:autoSpaceDE/>
        <w:autoSpaceDN/>
        <w:adjustRightInd/>
        <w:jc w:val="both"/>
        <w:rPr>
          <w:rFonts w:asciiTheme="majorHAnsi" w:hAnsiTheme="majorHAnsi" w:cs="Calibri"/>
          <w:color w:val="242424"/>
          <w:bdr w:val="none" w:sz="0" w:space="0" w:color="auto" w:frame="1"/>
        </w:rPr>
      </w:pPr>
    </w:p>
    <w:p w14:paraId="3685BEAE" w14:textId="77777777" w:rsidR="005A4A9A" w:rsidRPr="005A4A9A" w:rsidRDefault="005A4A9A" w:rsidP="005A4A9A">
      <w:pPr>
        <w:widowControl/>
        <w:autoSpaceDE/>
        <w:autoSpaceDN/>
        <w:adjustRightInd/>
        <w:jc w:val="both"/>
        <w:rPr>
          <w:rFonts w:asciiTheme="majorHAnsi" w:hAnsiTheme="majorHAnsi" w:cs="Calibri"/>
          <w:color w:val="242424"/>
          <w:bdr w:val="none" w:sz="0" w:space="0" w:color="auto" w:frame="1"/>
        </w:rPr>
      </w:pPr>
      <w:r w:rsidRPr="005A4A9A">
        <w:rPr>
          <w:rFonts w:asciiTheme="majorHAnsi" w:eastAsia="Calibri" w:hAnsiTheme="majorHAnsi"/>
          <w:color w:val="242424"/>
          <w:bdr w:val="none" w:sz="0" w:space="0" w:color="auto" w:frame="1"/>
        </w:rPr>
        <w:t>Je vous prie d’agréer l’expression de ma parfaite considération.</w:t>
      </w:r>
    </w:p>
    <w:p w14:paraId="43F0F380" w14:textId="77777777" w:rsidR="005A4A9A" w:rsidRPr="005A4A9A" w:rsidRDefault="005A4A9A" w:rsidP="005A4A9A">
      <w:pPr>
        <w:widowControl/>
        <w:autoSpaceDE/>
        <w:autoSpaceDN/>
        <w:adjustRightInd/>
        <w:rPr>
          <w:rFonts w:asciiTheme="majorHAnsi" w:eastAsia="Calibri" w:hAnsiTheme="majorHAnsi"/>
        </w:rPr>
      </w:pPr>
      <w:r w:rsidRPr="005A4A9A">
        <w:rPr>
          <w:rFonts w:asciiTheme="majorHAnsi" w:eastAsia="Calibri" w:hAnsiTheme="majorHAnsi"/>
          <w:noProof/>
        </w:rPr>
        <w:drawing>
          <wp:inline distT="0" distB="0" distL="0" distR="0" wp14:anchorId="6B450411" wp14:editId="17C924D7">
            <wp:extent cx="1223010" cy="748030"/>
            <wp:effectExtent l="0" t="0" r="0" b="0"/>
            <wp:docPr id="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up of a signatur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010" cy="748030"/>
                    </a:xfrm>
                    <a:prstGeom prst="rect">
                      <a:avLst/>
                    </a:prstGeom>
                    <a:noFill/>
                    <a:ln>
                      <a:noFill/>
                    </a:ln>
                  </pic:spPr>
                </pic:pic>
              </a:graphicData>
            </a:graphic>
          </wp:inline>
        </w:drawing>
      </w:r>
    </w:p>
    <w:p w14:paraId="0DBA4A9F" w14:textId="60AF8FC2" w:rsidR="005A4A9A" w:rsidRPr="005A4A9A" w:rsidRDefault="005A4A9A" w:rsidP="005A4A9A">
      <w:pPr>
        <w:widowControl/>
        <w:autoSpaceDE/>
        <w:autoSpaceDN/>
        <w:adjustRightInd/>
        <w:jc w:val="both"/>
        <w:rPr>
          <w:rFonts w:asciiTheme="majorHAnsi" w:hAnsiTheme="majorHAnsi" w:cs="Calibri"/>
          <w:color w:val="242424"/>
          <w:bdr w:val="none" w:sz="0" w:space="0" w:color="auto" w:frame="1"/>
        </w:rPr>
      </w:pPr>
      <w:r w:rsidRPr="005A4A9A">
        <w:rPr>
          <w:rFonts w:asciiTheme="majorHAnsi" w:eastAsia="Calibri" w:hAnsiTheme="majorHAnsi"/>
          <w:color w:val="242424"/>
          <w:bdr w:val="none" w:sz="0" w:space="0" w:color="auto" w:frame="1"/>
        </w:rPr>
        <w:t>Emmanuel Kwame Dovlo</w:t>
      </w:r>
    </w:p>
    <w:p w14:paraId="30F6EC2D" w14:textId="68C5F5CA" w:rsidR="001A6B90" w:rsidRPr="00E761DE" w:rsidRDefault="005A4A9A" w:rsidP="00E761DE">
      <w:pPr>
        <w:widowControl/>
        <w:autoSpaceDE/>
        <w:autoSpaceDN/>
        <w:adjustRightInd/>
        <w:jc w:val="both"/>
        <w:rPr>
          <w:rFonts w:asciiTheme="majorHAnsi" w:eastAsia="Calibri" w:hAnsiTheme="majorHAnsi"/>
        </w:rPr>
      </w:pPr>
      <w:r w:rsidRPr="005A4A9A">
        <w:rPr>
          <w:rFonts w:asciiTheme="majorHAnsi" w:eastAsia="Calibri" w:hAnsiTheme="majorHAnsi"/>
          <w:i/>
          <w:color w:val="242424"/>
          <w:bdr w:val="none" w:sz="0" w:space="0" w:color="auto" w:frame="1"/>
        </w:rPr>
        <w:t>Président de la Sous-commission 1</w:t>
      </w:r>
    </w:p>
    <w:sectPr w:rsidR="001A6B90" w:rsidRPr="00E761DE" w:rsidSect="00393C6C">
      <w:headerReference w:type="default" r:id="rId16"/>
      <w:footerReference w:type="default" r:id="rId17"/>
      <w:footerReference w:type="first" r:id="rId18"/>
      <w:type w:val="continuous"/>
      <w:pgSz w:w="11900" w:h="16840" w:code="9"/>
      <w:pgMar w:top="1418" w:right="1418" w:bottom="1418"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37FD" w14:textId="77777777" w:rsidR="00156B77" w:rsidRDefault="00156B77">
      <w:r>
        <w:separator/>
      </w:r>
    </w:p>
  </w:endnote>
  <w:endnote w:type="continuationSeparator" w:id="0">
    <w:p w14:paraId="6A82C8D1" w14:textId="77777777" w:rsidR="00156B77" w:rsidRDefault="0015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188536"/>
      <w:docPartObj>
        <w:docPartGallery w:val="Page Numbers (Bottom of Page)"/>
        <w:docPartUnique/>
      </w:docPartObj>
    </w:sdtPr>
    <w:sdtContent>
      <w:sdt>
        <w:sdtPr>
          <w:id w:val="1728636285"/>
          <w:docPartObj>
            <w:docPartGallery w:val="Page Numbers (Top of Page)"/>
            <w:docPartUnique/>
          </w:docPartObj>
        </w:sdtPr>
        <w:sdtContent>
          <w:p w14:paraId="4C721E98" w14:textId="17917824" w:rsidR="00581D2F" w:rsidRPr="001A6B90" w:rsidRDefault="001A6B90" w:rsidP="001A6B90">
            <w:pPr>
              <w:pStyle w:val="Footer"/>
              <w:jc w:val="center"/>
            </w:pPr>
            <w:r w:rsidRPr="001A6B90">
              <w:rPr>
                <w:rFonts w:asciiTheme="majorHAnsi" w:hAnsiTheme="majorHAnsi"/>
              </w:rPr>
              <w:fldChar w:fldCharType="begin"/>
            </w:r>
            <w:r w:rsidRPr="001A6B90">
              <w:rPr>
                <w:rFonts w:asciiTheme="majorHAnsi" w:hAnsiTheme="majorHAnsi"/>
              </w:rPr>
              <w:instrText xml:space="preserve"> PAGE </w:instrText>
            </w:r>
            <w:r w:rsidRPr="001A6B90">
              <w:rPr>
                <w:rFonts w:asciiTheme="majorHAnsi" w:hAnsiTheme="majorHAnsi"/>
              </w:rPr>
              <w:fldChar w:fldCharType="separate"/>
            </w:r>
            <w:r w:rsidRPr="001A6B90">
              <w:rPr>
                <w:rFonts w:asciiTheme="majorHAnsi" w:hAnsiTheme="majorHAnsi"/>
                <w:noProof/>
              </w:rPr>
              <w:t>2</w:t>
            </w:r>
            <w:r w:rsidRPr="001A6B90">
              <w:rPr>
                <w:rFonts w:asciiTheme="majorHAnsi" w:hAnsiTheme="majorHAnsi"/>
              </w:rPr>
              <w:fldChar w:fldCharType="end"/>
            </w:r>
            <w:r w:rsidRPr="001A6B90">
              <w:rPr>
                <w:rFonts w:asciiTheme="majorHAnsi" w:hAnsiTheme="majorHAnsi"/>
              </w:rPr>
              <w:t xml:space="preserve"> / </w:t>
            </w:r>
            <w:r w:rsidRPr="001A6B90">
              <w:rPr>
                <w:rFonts w:asciiTheme="majorHAnsi" w:hAnsiTheme="majorHAnsi"/>
              </w:rPr>
              <w:fldChar w:fldCharType="begin"/>
            </w:r>
            <w:r w:rsidRPr="001A6B90">
              <w:rPr>
                <w:rFonts w:asciiTheme="majorHAnsi" w:hAnsiTheme="majorHAnsi"/>
              </w:rPr>
              <w:instrText xml:space="preserve"> NUMPAGES  </w:instrText>
            </w:r>
            <w:r w:rsidRPr="001A6B90">
              <w:rPr>
                <w:rFonts w:asciiTheme="majorHAnsi" w:hAnsiTheme="majorHAnsi"/>
              </w:rPr>
              <w:fldChar w:fldCharType="separate"/>
            </w:r>
            <w:r w:rsidRPr="001A6B90">
              <w:rPr>
                <w:rFonts w:asciiTheme="majorHAnsi" w:hAnsiTheme="majorHAnsi"/>
                <w:noProof/>
              </w:rPr>
              <w:t>2</w:t>
            </w:r>
            <w:r w:rsidRPr="001A6B90">
              <w:rPr>
                <w:rFonts w:asciiTheme="majorHAnsi" w:hAnsiTheme="majorHAnsi"/>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B04B" w14:textId="77777777" w:rsidR="00691692" w:rsidRDefault="00691692" w:rsidP="00691692">
    <w:pPr>
      <w:pStyle w:val="Footer"/>
      <w:jc w:val="center"/>
      <w:rPr>
        <w:sz w:val="14"/>
        <w:lang w:val="es-ES"/>
      </w:rPr>
    </w:pPr>
  </w:p>
  <w:p w14:paraId="14A923B6" w14:textId="77777777" w:rsidR="00691692" w:rsidRPr="001210AB" w:rsidRDefault="00D01840" w:rsidP="00691692">
    <w:pPr>
      <w:pStyle w:val="Footer"/>
      <w:jc w:val="center"/>
      <w:rPr>
        <w:sz w:val="14"/>
        <w:lang w:val="es-ES_tradnl"/>
      </w:rPr>
    </w:pPr>
    <w:r>
      <w:rPr>
        <w:noProof/>
      </w:rPr>
      <mc:AlternateContent>
        <mc:Choice Requires="wps">
          <w:drawing>
            <wp:anchor distT="0" distB="0" distL="114300" distR="114300" simplePos="0" relativeHeight="251662336" behindDoc="0" locked="0" layoutInCell="1" allowOverlap="1" wp14:anchorId="16053C7D" wp14:editId="61EE509D">
              <wp:simplePos x="0" y="0"/>
              <wp:positionH relativeFrom="column">
                <wp:posOffset>103505</wp:posOffset>
              </wp:positionH>
              <wp:positionV relativeFrom="paragraph">
                <wp:posOffset>-71755</wp:posOffset>
              </wp:positionV>
              <wp:extent cx="5638800" cy="0"/>
              <wp:effectExtent l="8255" t="13970" r="10795"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95B92"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5.65pt" to="452.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U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F09jSfpy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"/>
          </w:pict>
        </mc:Fallback>
      </mc:AlternateContent>
    </w:r>
    <w:r w:rsidRPr="001210AB">
      <w:rPr>
        <w:sz w:val="14"/>
        <w:lang w:val="es-ES_tradnl"/>
      </w:rPr>
      <w:t>Corazón de María, 8 – 28002 MADRID – Spain – Espagne – España – Tel: +34 91 416 5600 – Fax: +34 91 415 2612 – http://www.iccat.int – info@iccat.int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8C1D" w14:textId="77777777" w:rsidR="00156B77" w:rsidRDefault="00156B77">
      <w:r>
        <w:separator/>
      </w:r>
    </w:p>
  </w:footnote>
  <w:footnote w:type="continuationSeparator" w:id="0">
    <w:p w14:paraId="5EE01B07" w14:textId="77777777" w:rsidR="00156B77" w:rsidRDefault="00156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26AC" w14:textId="5AAD0A56" w:rsidR="00503932" w:rsidRPr="00793F38" w:rsidRDefault="00503932" w:rsidP="00503932">
    <w:pPr>
      <w:tabs>
        <w:tab w:val="center" w:pos="4680"/>
        <w:tab w:val="left" w:pos="6520"/>
        <w:tab w:val="right" w:pos="9360"/>
        <w:tab w:val="right" w:pos="14240"/>
      </w:tabs>
      <w:jc w:val="right"/>
      <w:rPr>
        <w:rFonts w:ascii="Cambria" w:eastAsia="Calibri" w:hAnsi="Cambria"/>
        <w:b/>
        <w:bCs/>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rPr>
      <w:t>PA1_503/2025</w:t>
    </w:r>
  </w:p>
  <w:p w14:paraId="040B91D8" w14:textId="6441798C" w:rsidR="00503932" w:rsidRPr="00793F38" w:rsidRDefault="00503932" w:rsidP="00503932">
    <w:pPr>
      <w:tabs>
        <w:tab w:val="left" w:pos="7320"/>
      </w:tabs>
      <w:spacing w:line="240" w:lineRule="exact"/>
      <w:jc w:val="right"/>
      <w:rPr>
        <w:rFonts w:ascii="Cambria" w:hAnsi="Cambria"/>
        <w:b/>
        <w:bCs/>
        <w:sz w:val="16"/>
        <w:szCs w:val="16"/>
      </w:rPr>
    </w:pPr>
    <w:r w:rsidRPr="00793F38">
      <w:rPr>
        <w:rFonts w:ascii="Cambria" w:hAnsi="Cambria"/>
        <w:b/>
        <w:sz w:val="16"/>
        <w:szCs w:val="24"/>
      </w:rPr>
      <w:fldChar w:fldCharType="begin"/>
    </w:r>
    <w:r w:rsidRPr="00793F38">
      <w:rPr>
        <w:rFonts w:ascii="Cambria" w:hAnsi="Cambria"/>
        <w:b/>
        <w:sz w:val="16"/>
      </w:rPr>
      <w:instrText xml:space="preserve"> TIME \@ "dd/MM/yyyy H:mm" </w:instrText>
    </w:r>
    <w:r w:rsidRPr="00793F38">
      <w:rPr>
        <w:rFonts w:ascii="Cambria" w:hAnsi="Cambria"/>
        <w:b/>
        <w:sz w:val="16"/>
        <w:szCs w:val="24"/>
      </w:rPr>
      <w:fldChar w:fldCharType="separate"/>
    </w:r>
    <w:r w:rsidR="00634F85">
      <w:rPr>
        <w:rFonts w:ascii="Cambria" w:hAnsi="Cambria"/>
        <w:b/>
        <w:noProof/>
        <w:sz w:val="16"/>
      </w:rPr>
      <w:t>28/10/2025 11:08</w:t>
    </w:r>
    <w:r w:rsidRPr="00793F38">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60E5"/>
    <w:multiLevelType w:val="hybridMultilevel"/>
    <w:tmpl w:val="0816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3497"/>
    <w:multiLevelType w:val="hybridMultilevel"/>
    <w:tmpl w:val="A4A8344A"/>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06B0F"/>
    <w:multiLevelType w:val="hybridMultilevel"/>
    <w:tmpl w:val="09E61336"/>
    <w:lvl w:ilvl="0" w:tplc="9132CB62">
      <w:start w:val="1"/>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1783412"/>
    <w:multiLevelType w:val="hybridMultilevel"/>
    <w:tmpl w:val="732851FE"/>
    <w:lvl w:ilvl="0" w:tplc="2FC2AA28">
      <w:start w:val="29"/>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47608"/>
    <w:multiLevelType w:val="hybridMultilevel"/>
    <w:tmpl w:val="DF1E3FF8"/>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04651"/>
    <w:multiLevelType w:val="hybridMultilevel"/>
    <w:tmpl w:val="4FC817C2"/>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E4EA8"/>
    <w:multiLevelType w:val="hybridMultilevel"/>
    <w:tmpl w:val="A384A89A"/>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5BC9"/>
    <w:multiLevelType w:val="hybridMultilevel"/>
    <w:tmpl w:val="08F4EBD2"/>
    <w:lvl w:ilvl="0" w:tplc="41026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6EE7"/>
    <w:multiLevelType w:val="hybridMultilevel"/>
    <w:tmpl w:val="B308DFA0"/>
    <w:lvl w:ilvl="0" w:tplc="9B04621E">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1441C29"/>
    <w:multiLevelType w:val="hybridMultilevel"/>
    <w:tmpl w:val="0C36E9F6"/>
    <w:lvl w:ilvl="0" w:tplc="A47840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B78F5"/>
    <w:multiLevelType w:val="hybridMultilevel"/>
    <w:tmpl w:val="339C6614"/>
    <w:lvl w:ilvl="0" w:tplc="E0B882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73930"/>
    <w:multiLevelType w:val="hybridMultilevel"/>
    <w:tmpl w:val="B7AA6714"/>
    <w:lvl w:ilvl="0" w:tplc="D5280522">
      <w:start w:val="2007"/>
      <w:numFmt w:val="bullet"/>
      <w:pStyle w:val="bullets1"/>
      <w:lvlText w:val="-"/>
      <w:lvlJc w:val="left"/>
      <w:pPr>
        <w:ind w:left="1069" w:hanging="360"/>
      </w:pPr>
      <w:rPr>
        <w:rFonts w:ascii="Times New Roman" w:eastAsiaTheme="majorEastAsia"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AD47AB"/>
    <w:multiLevelType w:val="hybridMultilevel"/>
    <w:tmpl w:val="3F0E4EF2"/>
    <w:lvl w:ilvl="0" w:tplc="F24AC1BE">
      <w:start w:val="20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F02BF"/>
    <w:multiLevelType w:val="hybridMultilevel"/>
    <w:tmpl w:val="3EFA548C"/>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E371E"/>
    <w:multiLevelType w:val="hybridMultilevel"/>
    <w:tmpl w:val="765AE340"/>
    <w:lvl w:ilvl="0" w:tplc="007E5D2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621A5A"/>
    <w:multiLevelType w:val="hybridMultilevel"/>
    <w:tmpl w:val="695A274A"/>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64D7C"/>
    <w:multiLevelType w:val="hybridMultilevel"/>
    <w:tmpl w:val="AFE8E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6A04F0"/>
    <w:multiLevelType w:val="hybridMultilevel"/>
    <w:tmpl w:val="46384FCC"/>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A2A8B"/>
    <w:multiLevelType w:val="hybridMultilevel"/>
    <w:tmpl w:val="93EEBABC"/>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05015"/>
    <w:multiLevelType w:val="hybridMultilevel"/>
    <w:tmpl w:val="022C8B78"/>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601752">
    <w:abstractNumId w:val="15"/>
  </w:num>
  <w:num w:numId="2" w16cid:durableId="1639989925">
    <w:abstractNumId w:val="11"/>
  </w:num>
  <w:num w:numId="3" w16cid:durableId="914127981">
    <w:abstractNumId w:val="12"/>
  </w:num>
  <w:num w:numId="4" w16cid:durableId="1037972400">
    <w:abstractNumId w:val="3"/>
  </w:num>
  <w:num w:numId="5" w16cid:durableId="1937247715">
    <w:abstractNumId w:val="12"/>
  </w:num>
  <w:num w:numId="6" w16cid:durableId="1669868469">
    <w:abstractNumId w:val="8"/>
  </w:num>
  <w:num w:numId="7" w16cid:durableId="186329851">
    <w:abstractNumId w:val="7"/>
  </w:num>
  <w:num w:numId="8" w16cid:durableId="1166558047">
    <w:abstractNumId w:val="10"/>
  </w:num>
  <w:num w:numId="9" w16cid:durableId="1553344004">
    <w:abstractNumId w:val="20"/>
  </w:num>
  <w:num w:numId="10" w16cid:durableId="1879586478">
    <w:abstractNumId w:val="17"/>
  </w:num>
  <w:num w:numId="11" w16cid:durableId="1059128611">
    <w:abstractNumId w:val="13"/>
  </w:num>
  <w:num w:numId="12" w16cid:durableId="1461729844">
    <w:abstractNumId w:val="0"/>
  </w:num>
  <w:num w:numId="13" w16cid:durableId="1342703977">
    <w:abstractNumId w:val="5"/>
  </w:num>
  <w:num w:numId="14" w16cid:durableId="1415282639">
    <w:abstractNumId w:val="6"/>
  </w:num>
  <w:num w:numId="15" w16cid:durableId="411245744">
    <w:abstractNumId w:val="1"/>
  </w:num>
  <w:num w:numId="16" w16cid:durableId="1650674396">
    <w:abstractNumId w:val="18"/>
  </w:num>
  <w:num w:numId="17" w16cid:durableId="139007681">
    <w:abstractNumId w:val="4"/>
  </w:num>
  <w:num w:numId="18" w16cid:durableId="1329676458">
    <w:abstractNumId w:val="14"/>
  </w:num>
  <w:num w:numId="19" w16cid:durableId="1327198934">
    <w:abstractNumId w:val="16"/>
  </w:num>
  <w:num w:numId="20" w16cid:durableId="1275744191">
    <w:abstractNumId w:val="19"/>
  </w:num>
  <w:num w:numId="21" w16cid:durableId="1756125294">
    <w:abstractNumId w:val="9"/>
  </w:num>
  <w:num w:numId="22" w16cid:durableId="87627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E3"/>
    <w:rsid w:val="00004418"/>
    <w:rsid w:val="00012A34"/>
    <w:rsid w:val="00020506"/>
    <w:rsid w:val="00022DB3"/>
    <w:rsid w:val="000244CC"/>
    <w:rsid w:val="00027EFA"/>
    <w:rsid w:val="000305A9"/>
    <w:rsid w:val="0003268B"/>
    <w:rsid w:val="0003637D"/>
    <w:rsid w:val="00036E34"/>
    <w:rsid w:val="00041BB0"/>
    <w:rsid w:val="000453EA"/>
    <w:rsid w:val="00046A19"/>
    <w:rsid w:val="00060E3A"/>
    <w:rsid w:val="00063349"/>
    <w:rsid w:val="00064B50"/>
    <w:rsid w:val="00071879"/>
    <w:rsid w:val="000724F5"/>
    <w:rsid w:val="000747C2"/>
    <w:rsid w:val="000912A5"/>
    <w:rsid w:val="00097541"/>
    <w:rsid w:val="00097716"/>
    <w:rsid w:val="000A0B21"/>
    <w:rsid w:val="000A2E19"/>
    <w:rsid w:val="000A3613"/>
    <w:rsid w:val="000A473C"/>
    <w:rsid w:val="000A63EE"/>
    <w:rsid w:val="000A7C4E"/>
    <w:rsid w:val="000B63CA"/>
    <w:rsid w:val="000B699C"/>
    <w:rsid w:val="000B6BE7"/>
    <w:rsid w:val="000B73F2"/>
    <w:rsid w:val="000C7335"/>
    <w:rsid w:val="000D0573"/>
    <w:rsid w:val="000D1463"/>
    <w:rsid w:val="000D4B81"/>
    <w:rsid w:val="000D5DA6"/>
    <w:rsid w:val="000E225C"/>
    <w:rsid w:val="000E2332"/>
    <w:rsid w:val="000E2E9E"/>
    <w:rsid w:val="000E75EA"/>
    <w:rsid w:val="000F3E71"/>
    <w:rsid w:val="000F4D5A"/>
    <w:rsid w:val="000F7334"/>
    <w:rsid w:val="001002D2"/>
    <w:rsid w:val="00100EE5"/>
    <w:rsid w:val="00105110"/>
    <w:rsid w:val="00106F5A"/>
    <w:rsid w:val="00107498"/>
    <w:rsid w:val="001074BA"/>
    <w:rsid w:val="0010777C"/>
    <w:rsid w:val="001129A7"/>
    <w:rsid w:val="001131A7"/>
    <w:rsid w:val="00120AD3"/>
    <w:rsid w:val="001210AB"/>
    <w:rsid w:val="001361E0"/>
    <w:rsid w:val="00136750"/>
    <w:rsid w:val="0014205E"/>
    <w:rsid w:val="0014367C"/>
    <w:rsid w:val="0014457B"/>
    <w:rsid w:val="00145CB2"/>
    <w:rsid w:val="00146FD0"/>
    <w:rsid w:val="00151F8C"/>
    <w:rsid w:val="00156365"/>
    <w:rsid w:val="00156B77"/>
    <w:rsid w:val="00160176"/>
    <w:rsid w:val="00174127"/>
    <w:rsid w:val="00174362"/>
    <w:rsid w:val="00174819"/>
    <w:rsid w:val="00174F5A"/>
    <w:rsid w:val="00177EEE"/>
    <w:rsid w:val="00180665"/>
    <w:rsid w:val="001811F9"/>
    <w:rsid w:val="00183E06"/>
    <w:rsid w:val="00190F64"/>
    <w:rsid w:val="0019682E"/>
    <w:rsid w:val="001A6B90"/>
    <w:rsid w:val="001B0F6F"/>
    <w:rsid w:val="001B1D1C"/>
    <w:rsid w:val="001B1F1A"/>
    <w:rsid w:val="001B4C21"/>
    <w:rsid w:val="001B5C2C"/>
    <w:rsid w:val="001B6E75"/>
    <w:rsid w:val="001C1167"/>
    <w:rsid w:val="001C1807"/>
    <w:rsid w:val="001C2A2C"/>
    <w:rsid w:val="001C351D"/>
    <w:rsid w:val="001D09A9"/>
    <w:rsid w:val="001E0C25"/>
    <w:rsid w:val="001E571C"/>
    <w:rsid w:val="001E6A13"/>
    <w:rsid w:val="001F15A5"/>
    <w:rsid w:val="001F52EA"/>
    <w:rsid w:val="001F7FD5"/>
    <w:rsid w:val="002013E0"/>
    <w:rsid w:val="00201A94"/>
    <w:rsid w:val="002020E5"/>
    <w:rsid w:val="002059F1"/>
    <w:rsid w:val="00207B28"/>
    <w:rsid w:val="00210C06"/>
    <w:rsid w:val="002171E9"/>
    <w:rsid w:val="00217DFA"/>
    <w:rsid w:val="00217ECC"/>
    <w:rsid w:val="00222B86"/>
    <w:rsid w:val="0022655C"/>
    <w:rsid w:val="00227903"/>
    <w:rsid w:val="002310B0"/>
    <w:rsid w:val="00231247"/>
    <w:rsid w:val="00236CD2"/>
    <w:rsid w:val="00243D5D"/>
    <w:rsid w:val="0024591B"/>
    <w:rsid w:val="00246D57"/>
    <w:rsid w:val="00247D0C"/>
    <w:rsid w:val="00250C92"/>
    <w:rsid w:val="00260D7B"/>
    <w:rsid w:val="00261CA3"/>
    <w:rsid w:val="0026405D"/>
    <w:rsid w:val="0026603E"/>
    <w:rsid w:val="002668A1"/>
    <w:rsid w:val="00267218"/>
    <w:rsid w:val="0027497D"/>
    <w:rsid w:val="00284587"/>
    <w:rsid w:val="0028640B"/>
    <w:rsid w:val="002906D2"/>
    <w:rsid w:val="00290E0A"/>
    <w:rsid w:val="0029207D"/>
    <w:rsid w:val="00292773"/>
    <w:rsid w:val="0029387F"/>
    <w:rsid w:val="0029438E"/>
    <w:rsid w:val="00296B21"/>
    <w:rsid w:val="002A41D3"/>
    <w:rsid w:val="002B5829"/>
    <w:rsid w:val="002B618E"/>
    <w:rsid w:val="002C0B4D"/>
    <w:rsid w:val="002C702C"/>
    <w:rsid w:val="002D6A0D"/>
    <w:rsid w:val="002D7EBE"/>
    <w:rsid w:val="002E4409"/>
    <w:rsid w:val="002E4CCD"/>
    <w:rsid w:val="002F0801"/>
    <w:rsid w:val="002F512A"/>
    <w:rsid w:val="002F72A3"/>
    <w:rsid w:val="002F7832"/>
    <w:rsid w:val="00302937"/>
    <w:rsid w:val="003071DD"/>
    <w:rsid w:val="00307931"/>
    <w:rsid w:val="00316BA1"/>
    <w:rsid w:val="00317E59"/>
    <w:rsid w:val="003265A4"/>
    <w:rsid w:val="00341C73"/>
    <w:rsid w:val="00345ADA"/>
    <w:rsid w:val="0034632F"/>
    <w:rsid w:val="0034788E"/>
    <w:rsid w:val="00350822"/>
    <w:rsid w:val="00355E79"/>
    <w:rsid w:val="00366698"/>
    <w:rsid w:val="003753B8"/>
    <w:rsid w:val="0037736D"/>
    <w:rsid w:val="003806E3"/>
    <w:rsid w:val="00380D48"/>
    <w:rsid w:val="00385545"/>
    <w:rsid w:val="00385CF4"/>
    <w:rsid w:val="00386E77"/>
    <w:rsid w:val="00387DE2"/>
    <w:rsid w:val="003902DD"/>
    <w:rsid w:val="00390E4E"/>
    <w:rsid w:val="003924AA"/>
    <w:rsid w:val="00393C6C"/>
    <w:rsid w:val="003A037C"/>
    <w:rsid w:val="003A0D36"/>
    <w:rsid w:val="003A3D02"/>
    <w:rsid w:val="003A49E2"/>
    <w:rsid w:val="003A4AAD"/>
    <w:rsid w:val="003B6286"/>
    <w:rsid w:val="003C31CF"/>
    <w:rsid w:val="003C3F4E"/>
    <w:rsid w:val="003C4F13"/>
    <w:rsid w:val="003D1CB8"/>
    <w:rsid w:val="003E01DD"/>
    <w:rsid w:val="003E0FAD"/>
    <w:rsid w:val="003E6280"/>
    <w:rsid w:val="003F5BA7"/>
    <w:rsid w:val="00400174"/>
    <w:rsid w:val="00400DB1"/>
    <w:rsid w:val="00402D69"/>
    <w:rsid w:val="00404BFA"/>
    <w:rsid w:val="00404E57"/>
    <w:rsid w:val="00404F71"/>
    <w:rsid w:val="00407394"/>
    <w:rsid w:val="0041094E"/>
    <w:rsid w:val="0041175D"/>
    <w:rsid w:val="004123C5"/>
    <w:rsid w:val="00413C59"/>
    <w:rsid w:val="00415E2C"/>
    <w:rsid w:val="00416E8D"/>
    <w:rsid w:val="0041761C"/>
    <w:rsid w:val="004234EB"/>
    <w:rsid w:val="00424A11"/>
    <w:rsid w:val="004259DF"/>
    <w:rsid w:val="00426CCA"/>
    <w:rsid w:val="00430079"/>
    <w:rsid w:val="00430F97"/>
    <w:rsid w:val="00432226"/>
    <w:rsid w:val="0043263B"/>
    <w:rsid w:val="00433510"/>
    <w:rsid w:val="00433F13"/>
    <w:rsid w:val="00435812"/>
    <w:rsid w:val="00435C03"/>
    <w:rsid w:val="00446DAF"/>
    <w:rsid w:val="004508C0"/>
    <w:rsid w:val="004561D3"/>
    <w:rsid w:val="0045688A"/>
    <w:rsid w:val="004715D5"/>
    <w:rsid w:val="00471F0C"/>
    <w:rsid w:val="00472049"/>
    <w:rsid w:val="0047278A"/>
    <w:rsid w:val="00477544"/>
    <w:rsid w:val="00481B04"/>
    <w:rsid w:val="00483B27"/>
    <w:rsid w:val="00483CF5"/>
    <w:rsid w:val="00485C54"/>
    <w:rsid w:val="004865A6"/>
    <w:rsid w:val="00486C5A"/>
    <w:rsid w:val="00487316"/>
    <w:rsid w:val="00490DCA"/>
    <w:rsid w:val="00497541"/>
    <w:rsid w:val="004A09A2"/>
    <w:rsid w:val="004A36B8"/>
    <w:rsid w:val="004A72B0"/>
    <w:rsid w:val="004A7386"/>
    <w:rsid w:val="004B11AE"/>
    <w:rsid w:val="004B449C"/>
    <w:rsid w:val="004B4BB6"/>
    <w:rsid w:val="004B6A1D"/>
    <w:rsid w:val="004C08DA"/>
    <w:rsid w:val="004C7F7B"/>
    <w:rsid w:val="004D5BEC"/>
    <w:rsid w:val="004E0594"/>
    <w:rsid w:val="004E4E0A"/>
    <w:rsid w:val="004E55B7"/>
    <w:rsid w:val="004E779C"/>
    <w:rsid w:val="004F246C"/>
    <w:rsid w:val="004F4223"/>
    <w:rsid w:val="004F47EE"/>
    <w:rsid w:val="004F4BD4"/>
    <w:rsid w:val="004F4D8D"/>
    <w:rsid w:val="004F7159"/>
    <w:rsid w:val="004F744B"/>
    <w:rsid w:val="004F7958"/>
    <w:rsid w:val="00502C19"/>
    <w:rsid w:val="00503932"/>
    <w:rsid w:val="005100D5"/>
    <w:rsid w:val="005117B2"/>
    <w:rsid w:val="005134B1"/>
    <w:rsid w:val="00514C18"/>
    <w:rsid w:val="005162FE"/>
    <w:rsid w:val="00517FAB"/>
    <w:rsid w:val="00523905"/>
    <w:rsid w:val="00535A38"/>
    <w:rsid w:val="00535B55"/>
    <w:rsid w:val="005438EE"/>
    <w:rsid w:val="0054580B"/>
    <w:rsid w:val="00547AA5"/>
    <w:rsid w:val="0055774D"/>
    <w:rsid w:val="00557AC2"/>
    <w:rsid w:val="005620DE"/>
    <w:rsid w:val="00562429"/>
    <w:rsid w:val="005639F4"/>
    <w:rsid w:val="0056533F"/>
    <w:rsid w:val="00566ADE"/>
    <w:rsid w:val="0056759D"/>
    <w:rsid w:val="0057230E"/>
    <w:rsid w:val="00574AE4"/>
    <w:rsid w:val="0058157A"/>
    <w:rsid w:val="00581D2F"/>
    <w:rsid w:val="00582F1E"/>
    <w:rsid w:val="0058545F"/>
    <w:rsid w:val="005904F7"/>
    <w:rsid w:val="00592A8D"/>
    <w:rsid w:val="00593E7F"/>
    <w:rsid w:val="005A4A9A"/>
    <w:rsid w:val="005A68E2"/>
    <w:rsid w:val="005B18FF"/>
    <w:rsid w:val="005B5A70"/>
    <w:rsid w:val="005B764B"/>
    <w:rsid w:val="005C1294"/>
    <w:rsid w:val="005C69A6"/>
    <w:rsid w:val="005D0D41"/>
    <w:rsid w:val="005D2ABB"/>
    <w:rsid w:val="005D2E75"/>
    <w:rsid w:val="005D3676"/>
    <w:rsid w:val="005D4081"/>
    <w:rsid w:val="005D6089"/>
    <w:rsid w:val="005D75A1"/>
    <w:rsid w:val="005E15AE"/>
    <w:rsid w:val="005E15DD"/>
    <w:rsid w:val="005E2A55"/>
    <w:rsid w:val="005E45BA"/>
    <w:rsid w:val="005E5E1B"/>
    <w:rsid w:val="005F0FED"/>
    <w:rsid w:val="005F3220"/>
    <w:rsid w:val="005F54E9"/>
    <w:rsid w:val="005F683E"/>
    <w:rsid w:val="00611C7F"/>
    <w:rsid w:val="00614BEA"/>
    <w:rsid w:val="00615545"/>
    <w:rsid w:val="006155C0"/>
    <w:rsid w:val="006227D0"/>
    <w:rsid w:val="006240B9"/>
    <w:rsid w:val="006265B2"/>
    <w:rsid w:val="00634C99"/>
    <w:rsid w:val="00634F85"/>
    <w:rsid w:val="00637DA6"/>
    <w:rsid w:val="00641086"/>
    <w:rsid w:val="006432A5"/>
    <w:rsid w:val="00643913"/>
    <w:rsid w:val="006460FB"/>
    <w:rsid w:val="00652225"/>
    <w:rsid w:val="0065225C"/>
    <w:rsid w:val="006535AA"/>
    <w:rsid w:val="00664E03"/>
    <w:rsid w:val="0067079E"/>
    <w:rsid w:val="00670B7B"/>
    <w:rsid w:val="00675966"/>
    <w:rsid w:val="0067750D"/>
    <w:rsid w:val="006830CD"/>
    <w:rsid w:val="00683160"/>
    <w:rsid w:val="00685313"/>
    <w:rsid w:val="00686EC9"/>
    <w:rsid w:val="00687A9C"/>
    <w:rsid w:val="006904EB"/>
    <w:rsid w:val="00690CF0"/>
    <w:rsid w:val="00691692"/>
    <w:rsid w:val="00691C72"/>
    <w:rsid w:val="0069333F"/>
    <w:rsid w:val="0069536D"/>
    <w:rsid w:val="00695B9B"/>
    <w:rsid w:val="00695DD4"/>
    <w:rsid w:val="006B03F5"/>
    <w:rsid w:val="006B2E53"/>
    <w:rsid w:val="006B4EF5"/>
    <w:rsid w:val="006B54DF"/>
    <w:rsid w:val="006B59FF"/>
    <w:rsid w:val="006B5BDE"/>
    <w:rsid w:val="006B5E29"/>
    <w:rsid w:val="006C0FE3"/>
    <w:rsid w:val="006C19CC"/>
    <w:rsid w:val="006C42F1"/>
    <w:rsid w:val="006D1C92"/>
    <w:rsid w:val="006D4BE5"/>
    <w:rsid w:val="006D4CC1"/>
    <w:rsid w:val="006E07A3"/>
    <w:rsid w:val="006E095D"/>
    <w:rsid w:val="006E2936"/>
    <w:rsid w:val="006E31F0"/>
    <w:rsid w:val="006E4945"/>
    <w:rsid w:val="006E5D70"/>
    <w:rsid w:val="006E6880"/>
    <w:rsid w:val="006E6D17"/>
    <w:rsid w:val="006F1941"/>
    <w:rsid w:val="006F2D80"/>
    <w:rsid w:val="006F4DE9"/>
    <w:rsid w:val="006F51FC"/>
    <w:rsid w:val="00706F02"/>
    <w:rsid w:val="00707360"/>
    <w:rsid w:val="0070782E"/>
    <w:rsid w:val="007128C1"/>
    <w:rsid w:val="00713101"/>
    <w:rsid w:val="00716027"/>
    <w:rsid w:val="007166A5"/>
    <w:rsid w:val="00721042"/>
    <w:rsid w:val="007215B4"/>
    <w:rsid w:val="007257C2"/>
    <w:rsid w:val="00726733"/>
    <w:rsid w:val="00734CE5"/>
    <w:rsid w:val="00737954"/>
    <w:rsid w:val="00737BF1"/>
    <w:rsid w:val="00740C8E"/>
    <w:rsid w:val="00741435"/>
    <w:rsid w:val="0074374D"/>
    <w:rsid w:val="00744C58"/>
    <w:rsid w:val="00745884"/>
    <w:rsid w:val="007501F4"/>
    <w:rsid w:val="00750F76"/>
    <w:rsid w:val="00753061"/>
    <w:rsid w:val="00753953"/>
    <w:rsid w:val="007600D2"/>
    <w:rsid w:val="00763019"/>
    <w:rsid w:val="007665DB"/>
    <w:rsid w:val="00770818"/>
    <w:rsid w:val="00772ADA"/>
    <w:rsid w:val="007731CA"/>
    <w:rsid w:val="00774A17"/>
    <w:rsid w:val="007756FA"/>
    <w:rsid w:val="00782698"/>
    <w:rsid w:val="007869FD"/>
    <w:rsid w:val="00787221"/>
    <w:rsid w:val="007900AF"/>
    <w:rsid w:val="0079090C"/>
    <w:rsid w:val="00792F64"/>
    <w:rsid w:val="007973B3"/>
    <w:rsid w:val="007A3419"/>
    <w:rsid w:val="007A349D"/>
    <w:rsid w:val="007A44F0"/>
    <w:rsid w:val="007A5F53"/>
    <w:rsid w:val="007B2B00"/>
    <w:rsid w:val="007B516C"/>
    <w:rsid w:val="007B5A58"/>
    <w:rsid w:val="007B6DBC"/>
    <w:rsid w:val="007B6E28"/>
    <w:rsid w:val="007B72F6"/>
    <w:rsid w:val="007C083C"/>
    <w:rsid w:val="007C208F"/>
    <w:rsid w:val="007C22A4"/>
    <w:rsid w:val="007C2AA1"/>
    <w:rsid w:val="007C3AE3"/>
    <w:rsid w:val="007C5CBE"/>
    <w:rsid w:val="007D4AC3"/>
    <w:rsid w:val="007D568C"/>
    <w:rsid w:val="007E343E"/>
    <w:rsid w:val="007E3ED4"/>
    <w:rsid w:val="007E757C"/>
    <w:rsid w:val="007F0F29"/>
    <w:rsid w:val="007F1E77"/>
    <w:rsid w:val="007F39C9"/>
    <w:rsid w:val="007F3B5F"/>
    <w:rsid w:val="007F5D0E"/>
    <w:rsid w:val="007F76BE"/>
    <w:rsid w:val="008054A0"/>
    <w:rsid w:val="008072FF"/>
    <w:rsid w:val="00816911"/>
    <w:rsid w:val="00817B66"/>
    <w:rsid w:val="008212AC"/>
    <w:rsid w:val="0082199A"/>
    <w:rsid w:val="00821A79"/>
    <w:rsid w:val="00822C0D"/>
    <w:rsid w:val="00822DEE"/>
    <w:rsid w:val="00825B7D"/>
    <w:rsid w:val="00831AD4"/>
    <w:rsid w:val="00835C87"/>
    <w:rsid w:val="0083673B"/>
    <w:rsid w:val="008423A4"/>
    <w:rsid w:val="008426BB"/>
    <w:rsid w:val="00842F0A"/>
    <w:rsid w:val="00852F80"/>
    <w:rsid w:val="00854A0F"/>
    <w:rsid w:val="00857B49"/>
    <w:rsid w:val="00861955"/>
    <w:rsid w:val="00861D12"/>
    <w:rsid w:val="00861FDA"/>
    <w:rsid w:val="00862DDE"/>
    <w:rsid w:val="00864D31"/>
    <w:rsid w:val="00872042"/>
    <w:rsid w:val="00874EB3"/>
    <w:rsid w:val="008751A9"/>
    <w:rsid w:val="00876ADF"/>
    <w:rsid w:val="008834EB"/>
    <w:rsid w:val="00884727"/>
    <w:rsid w:val="00891976"/>
    <w:rsid w:val="00891C20"/>
    <w:rsid w:val="00891D6D"/>
    <w:rsid w:val="00892550"/>
    <w:rsid w:val="0089281B"/>
    <w:rsid w:val="008975A6"/>
    <w:rsid w:val="008A0CBB"/>
    <w:rsid w:val="008A3481"/>
    <w:rsid w:val="008A54A6"/>
    <w:rsid w:val="008B3851"/>
    <w:rsid w:val="008B3C83"/>
    <w:rsid w:val="008D063A"/>
    <w:rsid w:val="008D273F"/>
    <w:rsid w:val="008D506B"/>
    <w:rsid w:val="008E22F2"/>
    <w:rsid w:val="008E582E"/>
    <w:rsid w:val="008F0932"/>
    <w:rsid w:val="008F73D1"/>
    <w:rsid w:val="008F7BED"/>
    <w:rsid w:val="009027BA"/>
    <w:rsid w:val="00904ADB"/>
    <w:rsid w:val="009061DD"/>
    <w:rsid w:val="00910989"/>
    <w:rsid w:val="009208D0"/>
    <w:rsid w:val="00923F01"/>
    <w:rsid w:val="00927616"/>
    <w:rsid w:val="00931EE9"/>
    <w:rsid w:val="00935073"/>
    <w:rsid w:val="00936226"/>
    <w:rsid w:val="00941865"/>
    <w:rsid w:val="00953B17"/>
    <w:rsid w:val="00953B27"/>
    <w:rsid w:val="00954EAF"/>
    <w:rsid w:val="00957731"/>
    <w:rsid w:val="00957F11"/>
    <w:rsid w:val="00960BB6"/>
    <w:rsid w:val="00963BCD"/>
    <w:rsid w:val="009649C4"/>
    <w:rsid w:val="00966884"/>
    <w:rsid w:val="00971F0E"/>
    <w:rsid w:val="00972DEE"/>
    <w:rsid w:val="00974DB4"/>
    <w:rsid w:val="0098078D"/>
    <w:rsid w:val="00981004"/>
    <w:rsid w:val="0098578F"/>
    <w:rsid w:val="00985C5C"/>
    <w:rsid w:val="00985E2D"/>
    <w:rsid w:val="00987DF3"/>
    <w:rsid w:val="00995CA6"/>
    <w:rsid w:val="00996413"/>
    <w:rsid w:val="009B090D"/>
    <w:rsid w:val="009B0BE2"/>
    <w:rsid w:val="009B782D"/>
    <w:rsid w:val="009D4173"/>
    <w:rsid w:val="009D697B"/>
    <w:rsid w:val="009E13F4"/>
    <w:rsid w:val="009E1EDC"/>
    <w:rsid w:val="009E2A63"/>
    <w:rsid w:val="009E3731"/>
    <w:rsid w:val="009E54D2"/>
    <w:rsid w:val="009F3A4A"/>
    <w:rsid w:val="00A00D26"/>
    <w:rsid w:val="00A00E81"/>
    <w:rsid w:val="00A011A7"/>
    <w:rsid w:val="00A01C3E"/>
    <w:rsid w:val="00A03F2F"/>
    <w:rsid w:val="00A048F0"/>
    <w:rsid w:val="00A06FA9"/>
    <w:rsid w:val="00A07078"/>
    <w:rsid w:val="00A070FA"/>
    <w:rsid w:val="00A1147E"/>
    <w:rsid w:val="00A11AE4"/>
    <w:rsid w:val="00A12F5D"/>
    <w:rsid w:val="00A132C4"/>
    <w:rsid w:val="00A15881"/>
    <w:rsid w:val="00A23883"/>
    <w:rsid w:val="00A25D58"/>
    <w:rsid w:val="00A2604F"/>
    <w:rsid w:val="00A3571D"/>
    <w:rsid w:val="00A369D1"/>
    <w:rsid w:val="00A37B20"/>
    <w:rsid w:val="00A37FA3"/>
    <w:rsid w:val="00A510C0"/>
    <w:rsid w:val="00A527FE"/>
    <w:rsid w:val="00A5380C"/>
    <w:rsid w:val="00A54C87"/>
    <w:rsid w:val="00A61165"/>
    <w:rsid w:val="00A61F52"/>
    <w:rsid w:val="00A713E3"/>
    <w:rsid w:val="00A732A6"/>
    <w:rsid w:val="00A745E5"/>
    <w:rsid w:val="00A80622"/>
    <w:rsid w:val="00A85811"/>
    <w:rsid w:val="00A879C1"/>
    <w:rsid w:val="00A91A9E"/>
    <w:rsid w:val="00A9224B"/>
    <w:rsid w:val="00A92898"/>
    <w:rsid w:val="00A97E6B"/>
    <w:rsid w:val="00AA0452"/>
    <w:rsid w:val="00AA0753"/>
    <w:rsid w:val="00AA1580"/>
    <w:rsid w:val="00AB214C"/>
    <w:rsid w:val="00AB2F49"/>
    <w:rsid w:val="00AB641E"/>
    <w:rsid w:val="00AC2B93"/>
    <w:rsid w:val="00AC47F4"/>
    <w:rsid w:val="00AC6A76"/>
    <w:rsid w:val="00AD1C44"/>
    <w:rsid w:val="00AD4C26"/>
    <w:rsid w:val="00AD55ED"/>
    <w:rsid w:val="00AD56DA"/>
    <w:rsid w:val="00AD6DF6"/>
    <w:rsid w:val="00AD702E"/>
    <w:rsid w:val="00AE06A7"/>
    <w:rsid w:val="00AE31DD"/>
    <w:rsid w:val="00AE741D"/>
    <w:rsid w:val="00AF62BC"/>
    <w:rsid w:val="00B04848"/>
    <w:rsid w:val="00B04E9E"/>
    <w:rsid w:val="00B054C3"/>
    <w:rsid w:val="00B05D40"/>
    <w:rsid w:val="00B13DA0"/>
    <w:rsid w:val="00B13E81"/>
    <w:rsid w:val="00B21160"/>
    <w:rsid w:val="00B333D6"/>
    <w:rsid w:val="00B34A69"/>
    <w:rsid w:val="00B3515E"/>
    <w:rsid w:val="00B36EE5"/>
    <w:rsid w:val="00B37619"/>
    <w:rsid w:val="00B40337"/>
    <w:rsid w:val="00B4091E"/>
    <w:rsid w:val="00B412DB"/>
    <w:rsid w:val="00B44ED4"/>
    <w:rsid w:val="00B474AE"/>
    <w:rsid w:val="00B54296"/>
    <w:rsid w:val="00B5594F"/>
    <w:rsid w:val="00B604BF"/>
    <w:rsid w:val="00B63083"/>
    <w:rsid w:val="00B63B99"/>
    <w:rsid w:val="00B673C6"/>
    <w:rsid w:val="00B72DAE"/>
    <w:rsid w:val="00B73366"/>
    <w:rsid w:val="00B80E4E"/>
    <w:rsid w:val="00B80ED3"/>
    <w:rsid w:val="00B82BED"/>
    <w:rsid w:val="00B84067"/>
    <w:rsid w:val="00B85A0B"/>
    <w:rsid w:val="00B85BE3"/>
    <w:rsid w:val="00B85C5E"/>
    <w:rsid w:val="00B862E3"/>
    <w:rsid w:val="00B9209A"/>
    <w:rsid w:val="00B97B5E"/>
    <w:rsid w:val="00BA11E5"/>
    <w:rsid w:val="00BA34BE"/>
    <w:rsid w:val="00BA6249"/>
    <w:rsid w:val="00BB009C"/>
    <w:rsid w:val="00BB024E"/>
    <w:rsid w:val="00BB2128"/>
    <w:rsid w:val="00BB25A1"/>
    <w:rsid w:val="00BB4FDC"/>
    <w:rsid w:val="00BB5AD9"/>
    <w:rsid w:val="00BC2B73"/>
    <w:rsid w:val="00BC73CB"/>
    <w:rsid w:val="00BD09E5"/>
    <w:rsid w:val="00BD18E3"/>
    <w:rsid w:val="00BD7C37"/>
    <w:rsid w:val="00BE05F0"/>
    <w:rsid w:val="00BE1D1A"/>
    <w:rsid w:val="00BF0237"/>
    <w:rsid w:val="00BF190A"/>
    <w:rsid w:val="00BF5E23"/>
    <w:rsid w:val="00C02DDC"/>
    <w:rsid w:val="00C04A72"/>
    <w:rsid w:val="00C0709B"/>
    <w:rsid w:val="00C07C67"/>
    <w:rsid w:val="00C12CFF"/>
    <w:rsid w:val="00C1645E"/>
    <w:rsid w:val="00C20172"/>
    <w:rsid w:val="00C21CC8"/>
    <w:rsid w:val="00C301C5"/>
    <w:rsid w:val="00C3698A"/>
    <w:rsid w:val="00C37965"/>
    <w:rsid w:val="00C424C5"/>
    <w:rsid w:val="00C4511D"/>
    <w:rsid w:val="00C46FE8"/>
    <w:rsid w:val="00C503B0"/>
    <w:rsid w:val="00C51786"/>
    <w:rsid w:val="00C60078"/>
    <w:rsid w:val="00C61DCB"/>
    <w:rsid w:val="00C62519"/>
    <w:rsid w:val="00C63346"/>
    <w:rsid w:val="00C64E48"/>
    <w:rsid w:val="00C667CB"/>
    <w:rsid w:val="00C67CF9"/>
    <w:rsid w:val="00C705A8"/>
    <w:rsid w:val="00C70ED6"/>
    <w:rsid w:val="00C760BE"/>
    <w:rsid w:val="00C8470C"/>
    <w:rsid w:val="00C86E50"/>
    <w:rsid w:val="00C90AFA"/>
    <w:rsid w:val="00C911C8"/>
    <w:rsid w:val="00C93100"/>
    <w:rsid w:val="00C937BA"/>
    <w:rsid w:val="00C93D8B"/>
    <w:rsid w:val="00C94AF0"/>
    <w:rsid w:val="00C94D68"/>
    <w:rsid w:val="00C964D8"/>
    <w:rsid w:val="00CA0934"/>
    <w:rsid w:val="00CA50AC"/>
    <w:rsid w:val="00CA59F4"/>
    <w:rsid w:val="00CA5F81"/>
    <w:rsid w:val="00CA626D"/>
    <w:rsid w:val="00CA7CEC"/>
    <w:rsid w:val="00CB0B4F"/>
    <w:rsid w:val="00CB7D96"/>
    <w:rsid w:val="00CC2629"/>
    <w:rsid w:val="00CC2E60"/>
    <w:rsid w:val="00CC3953"/>
    <w:rsid w:val="00CD0DA0"/>
    <w:rsid w:val="00CD1333"/>
    <w:rsid w:val="00CD38B5"/>
    <w:rsid w:val="00CD6697"/>
    <w:rsid w:val="00CD7191"/>
    <w:rsid w:val="00CE3561"/>
    <w:rsid w:val="00CE3A06"/>
    <w:rsid w:val="00CE5B8A"/>
    <w:rsid w:val="00CE62FE"/>
    <w:rsid w:val="00CE6733"/>
    <w:rsid w:val="00CF2C5E"/>
    <w:rsid w:val="00CF327E"/>
    <w:rsid w:val="00CF3393"/>
    <w:rsid w:val="00CF48D6"/>
    <w:rsid w:val="00CF513D"/>
    <w:rsid w:val="00CF5B0C"/>
    <w:rsid w:val="00D01840"/>
    <w:rsid w:val="00D01AB3"/>
    <w:rsid w:val="00D06303"/>
    <w:rsid w:val="00D125B3"/>
    <w:rsid w:val="00D17279"/>
    <w:rsid w:val="00D40DC5"/>
    <w:rsid w:val="00D47348"/>
    <w:rsid w:val="00D47463"/>
    <w:rsid w:val="00D47806"/>
    <w:rsid w:val="00D60BBF"/>
    <w:rsid w:val="00D60E8A"/>
    <w:rsid w:val="00D60F05"/>
    <w:rsid w:val="00D612BC"/>
    <w:rsid w:val="00D723C1"/>
    <w:rsid w:val="00D74BEE"/>
    <w:rsid w:val="00D7793A"/>
    <w:rsid w:val="00D8185B"/>
    <w:rsid w:val="00D844CC"/>
    <w:rsid w:val="00D8483B"/>
    <w:rsid w:val="00D871BF"/>
    <w:rsid w:val="00D940B6"/>
    <w:rsid w:val="00D9592C"/>
    <w:rsid w:val="00D95A0C"/>
    <w:rsid w:val="00D963FC"/>
    <w:rsid w:val="00DA5C3D"/>
    <w:rsid w:val="00DA7732"/>
    <w:rsid w:val="00DB2A37"/>
    <w:rsid w:val="00DB6D1E"/>
    <w:rsid w:val="00DC2235"/>
    <w:rsid w:val="00DC7E86"/>
    <w:rsid w:val="00DD0075"/>
    <w:rsid w:val="00DD2D9C"/>
    <w:rsid w:val="00DD5B58"/>
    <w:rsid w:val="00DE558E"/>
    <w:rsid w:val="00DE6719"/>
    <w:rsid w:val="00DE69E3"/>
    <w:rsid w:val="00DF3155"/>
    <w:rsid w:val="00E00FCB"/>
    <w:rsid w:val="00E01ECC"/>
    <w:rsid w:val="00E02009"/>
    <w:rsid w:val="00E05040"/>
    <w:rsid w:val="00E060A7"/>
    <w:rsid w:val="00E0732D"/>
    <w:rsid w:val="00E07569"/>
    <w:rsid w:val="00E260C2"/>
    <w:rsid w:val="00E33B2D"/>
    <w:rsid w:val="00E34C14"/>
    <w:rsid w:val="00E409D5"/>
    <w:rsid w:val="00E412DC"/>
    <w:rsid w:val="00E41D70"/>
    <w:rsid w:val="00E44315"/>
    <w:rsid w:val="00E443CB"/>
    <w:rsid w:val="00E5337B"/>
    <w:rsid w:val="00E6073C"/>
    <w:rsid w:val="00E63FBB"/>
    <w:rsid w:val="00E75B9D"/>
    <w:rsid w:val="00E761DE"/>
    <w:rsid w:val="00E82757"/>
    <w:rsid w:val="00E838B7"/>
    <w:rsid w:val="00E84A68"/>
    <w:rsid w:val="00E862CD"/>
    <w:rsid w:val="00E901CE"/>
    <w:rsid w:val="00E9149F"/>
    <w:rsid w:val="00E94507"/>
    <w:rsid w:val="00EA12E9"/>
    <w:rsid w:val="00EA3E5E"/>
    <w:rsid w:val="00EA5660"/>
    <w:rsid w:val="00EA75BA"/>
    <w:rsid w:val="00EB02A3"/>
    <w:rsid w:val="00EB27F7"/>
    <w:rsid w:val="00EB414A"/>
    <w:rsid w:val="00EB6400"/>
    <w:rsid w:val="00EC096D"/>
    <w:rsid w:val="00EC1A51"/>
    <w:rsid w:val="00ED0529"/>
    <w:rsid w:val="00ED32FE"/>
    <w:rsid w:val="00ED6605"/>
    <w:rsid w:val="00EE03CC"/>
    <w:rsid w:val="00EE4214"/>
    <w:rsid w:val="00EE4B22"/>
    <w:rsid w:val="00EE5626"/>
    <w:rsid w:val="00EE6803"/>
    <w:rsid w:val="00EF1D9E"/>
    <w:rsid w:val="00EF37FD"/>
    <w:rsid w:val="00F02336"/>
    <w:rsid w:val="00F04F02"/>
    <w:rsid w:val="00F06F04"/>
    <w:rsid w:val="00F1254D"/>
    <w:rsid w:val="00F13C3A"/>
    <w:rsid w:val="00F20971"/>
    <w:rsid w:val="00F32531"/>
    <w:rsid w:val="00F33D35"/>
    <w:rsid w:val="00F37022"/>
    <w:rsid w:val="00F409FB"/>
    <w:rsid w:val="00F4416A"/>
    <w:rsid w:val="00F44D28"/>
    <w:rsid w:val="00F47078"/>
    <w:rsid w:val="00F52E51"/>
    <w:rsid w:val="00F54610"/>
    <w:rsid w:val="00F57385"/>
    <w:rsid w:val="00F57E84"/>
    <w:rsid w:val="00F63EFD"/>
    <w:rsid w:val="00F64B0A"/>
    <w:rsid w:val="00F64D64"/>
    <w:rsid w:val="00F67844"/>
    <w:rsid w:val="00F67D99"/>
    <w:rsid w:val="00F716CE"/>
    <w:rsid w:val="00F8317C"/>
    <w:rsid w:val="00F90A4D"/>
    <w:rsid w:val="00F918A6"/>
    <w:rsid w:val="00F93A76"/>
    <w:rsid w:val="00F95D2D"/>
    <w:rsid w:val="00F974A5"/>
    <w:rsid w:val="00FA272B"/>
    <w:rsid w:val="00FA754B"/>
    <w:rsid w:val="00FA75EB"/>
    <w:rsid w:val="00FA7CAE"/>
    <w:rsid w:val="00FB2424"/>
    <w:rsid w:val="00FB2AAA"/>
    <w:rsid w:val="00FB4E96"/>
    <w:rsid w:val="00FC20B2"/>
    <w:rsid w:val="00FC38FD"/>
    <w:rsid w:val="00FC475D"/>
    <w:rsid w:val="00FD12F9"/>
    <w:rsid w:val="00FD6728"/>
    <w:rsid w:val="00FD72E2"/>
    <w:rsid w:val="00FE217A"/>
    <w:rsid w:val="00FE4269"/>
    <w:rsid w:val="00FE498D"/>
    <w:rsid w:val="00FE4D15"/>
    <w:rsid w:val="00FE5F6F"/>
    <w:rsid w:val="00FE612C"/>
    <w:rsid w:val="00FE769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8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A76"/>
    <w:pPr>
      <w:widowControl w:val="0"/>
      <w:autoSpaceDE w:val="0"/>
      <w:autoSpaceDN w:val="0"/>
      <w:adjustRightInd w:val="0"/>
    </w:pPr>
    <w:rPr>
      <w:lang w:eastAsia="en-US"/>
    </w:rPr>
  </w:style>
  <w:style w:type="paragraph" w:styleId="Heading1">
    <w:name w:val="heading 1"/>
    <w:basedOn w:val="Normal"/>
    <w:next w:val="Normal"/>
    <w:qFormat/>
    <w:rsid w:val="000E75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707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6707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F93A76"/>
    <w:pPr>
      <w:keepNext/>
      <w:widowControl/>
      <w:tabs>
        <w:tab w:val="left" w:pos="-696"/>
        <w:tab w:val="left" w:pos="0"/>
        <w:tab w:val="left" w:pos="720"/>
        <w:tab w:val="left" w:pos="975"/>
        <w:tab w:val="left" w:pos="12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720" w:hanging="720"/>
      <w:outlineLvl w:val="4"/>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3A76"/>
    <w:pPr>
      <w:tabs>
        <w:tab w:val="center" w:pos="4419"/>
        <w:tab w:val="right" w:pos="8838"/>
      </w:tabs>
    </w:pPr>
  </w:style>
  <w:style w:type="paragraph" w:styleId="Footer">
    <w:name w:val="footer"/>
    <w:basedOn w:val="Normal"/>
    <w:link w:val="FooterChar"/>
    <w:uiPriority w:val="99"/>
    <w:rsid w:val="00F93A76"/>
    <w:pPr>
      <w:tabs>
        <w:tab w:val="center" w:pos="4419"/>
        <w:tab w:val="right" w:pos="8838"/>
      </w:tabs>
    </w:pPr>
  </w:style>
  <w:style w:type="paragraph" w:styleId="BodyTextIndent">
    <w:name w:val="Body Text Indent"/>
    <w:basedOn w:val="Normal"/>
    <w:rsid w:val="00F93A76"/>
    <w:pPr>
      <w:widowControl/>
      <w:tabs>
        <w:tab w:val="left" w:pos="-1440"/>
        <w:tab w:val="left" w:pos="-720"/>
        <w:tab w:val="left" w:pos="0"/>
        <w:tab w:val="left" w:pos="720"/>
        <w:tab w:val="left" w:pos="1440"/>
        <w:tab w:val="left" w:pos="1700"/>
        <w:tab w:val="left" w:pos="2880"/>
        <w:tab w:val="left" w:pos="3600"/>
        <w:tab w:val="left" w:pos="4678"/>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2040" w:hanging="2040"/>
    </w:pPr>
    <w:rPr>
      <w:rFonts w:ascii="Arial" w:hAnsi="Arial" w:cs="Arial"/>
      <w:sz w:val="18"/>
      <w:szCs w:val="18"/>
    </w:rPr>
  </w:style>
  <w:style w:type="paragraph" w:styleId="BalloonText">
    <w:name w:val="Balloon Text"/>
    <w:basedOn w:val="Normal"/>
    <w:link w:val="BalloonTextChar"/>
    <w:rsid w:val="0027497D"/>
    <w:rPr>
      <w:rFonts w:ascii="Tahoma" w:hAnsi="Tahoma" w:cs="Tahoma"/>
      <w:sz w:val="16"/>
      <w:szCs w:val="16"/>
    </w:rPr>
  </w:style>
  <w:style w:type="character" w:customStyle="1" w:styleId="BalloonTextChar">
    <w:name w:val="Balloon Text Char"/>
    <w:basedOn w:val="DefaultParagraphFont"/>
    <w:link w:val="BalloonText"/>
    <w:rsid w:val="0027497D"/>
    <w:rPr>
      <w:rFonts w:ascii="Tahoma" w:hAnsi="Tahoma" w:cs="Tahoma"/>
      <w:sz w:val="16"/>
      <w:szCs w:val="16"/>
      <w:lang w:val="fr-FR" w:eastAsia="en-US"/>
    </w:rPr>
  </w:style>
  <w:style w:type="character" w:customStyle="1" w:styleId="Heading2Char">
    <w:name w:val="Heading 2 Char"/>
    <w:basedOn w:val="DefaultParagraphFont"/>
    <w:link w:val="Heading2"/>
    <w:semiHidden/>
    <w:rsid w:val="0067079E"/>
    <w:rPr>
      <w:rFonts w:asciiTheme="majorHAnsi" w:eastAsiaTheme="majorEastAsia" w:hAnsiTheme="majorHAnsi" w:cstheme="majorBidi"/>
      <w:b/>
      <w:bCs/>
      <w:color w:val="4F81BD" w:themeColor="accent1"/>
      <w:sz w:val="26"/>
      <w:szCs w:val="26"/>
      <w:lang w:val="fr-FR" w:eastAsia="en-US"/>
    </w:rPr>
  </w:style>
  <w:style w:type="character" w:customStyle="1" w:styleId="Heading4Char">
    <w:name w:val="Heading 4 Char"/>
    <w:basedOn w:val="DefaultParagraphFont"/>
    <w:link w:val="Heading4"/>
    <w:semiHidden/>
    <w:rsid w:val="0067079E"/>
    <w:rPr>
      <w:rFonts w:asciiTheme="majorHAnsi" w:eastAsiaTheme="majorEastAsia" w:hAnsiTheme="majorHAnsi" w:cstheme="majorBidi"/>
      <w:b/>
      <w:bCs/>
      <w:i/>
      <w:iCs/>
      <w:color w:val="4F81BD" w:themeColor="accent1"/>
      <w:lang w:val="fr-FR" w:eastAsia="en-US"/>
    </w:rPr>
  </w:style>
  <w:style w:type="paragraph" w:styleId="ListParagraph">
    <w:name w:val="List Paragraph"/>
    <w:basedOn w:val="Normal"/>
    <w:uiPriority w:val="34"/>
    <w:qFormat/>
    <w:rsid w:val="0067079E"/>
    <w:pPr>
      <w:widowControl/>
      <w:autoSpaceDE/>
      <w:autoSpaceDN/>
      <w:adjustRightInd/>
      <w:spacing w:before="240" w:after="60" w:line="276" w:lineRule="auto"/>
      <w:contextualSpacing/>
      <w:jc w:val="both"/>
    </w:pPr>
    <w:rPr>
      <w:rFonts w:eastAsiaTheme="minorHAnsi"/>
      <w:b/>
      <w:i/>
      <w:sz w:val="22"/>
      <w:szCs w:val="18"/>
    </w:rPr>
  </w:style>
  <w:style w:type="character" w:styleId="Hyperlink">
    <w:name w:val="Hyperlink"/>
    <w:basedOn w:val="DefaultParagraphFont"/>
    <w:uiPriority w:val="99"/>
    <w:unhideWhenUsed/>
    <w:rsid w:val="0067079E"/>
    <w:rPr>
      <w:color w:val="0000FF" w:themeColor="hyperlink"/>
      <w:u w:val="single"/>
    </w:rPr>
  </w:style>
  <w:style w:type="table" w:styleId="TableGrid">
    <w:name w:val="Table Grid"/>
    <w:basedOn w:val="TableNormal"/>
    <w:uiPriority w:val="59"/>
    <w:rsid w:val="0067079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1">
    <w:name w:val="bullets1"/>
    <w:basedOn w:val="Heading4"/>
    <w:link w:val="bullets1Char"/>
    <w:qFormat/>
    <w:rsid w:val="0067079E"/>
    <w:pPr>
      <w:widowControl/>
      <w:numPr>
        <w:numId w:val="3"/>
      </w:numPr>
      <w:autoSpaceDE/>
      <w:autoSpaceDN/>
      <w:adjustRightInd/>
      <w:spacing w:before="0"/>
      <w:jc w:val="both"/>
    </w:pPr>
    <w:rPr>
      <w:rFonts w:ascii="Times New Roman" w:hAnsi="Times New Roman" w:cs="Times New Roman"/>
      <w:i w:val="0"/>
      <w:color w:val="auto"/>
      <w:sz w:val="22"/>
      <w:szCs w:val="18"/>
    </w:rPr>
  </w:style>
  <w:style w:type="character" w:customStyle="1" w:styleId="bullets1Char">
    <w:name w:val="bullets1 Char"/>
    <w:basedOn w:val="Heading4Char"/>
    <w:link w:val="bullets1"/>
    <w:rsid w:val="0067079E"/>
    <w:rPr>
      <w:rFonts w:asciiTheme="majorHAnsi" w:eastAsiaTheme="majorEastAsia" w:hAnsiTheme="majorHAnsi" w:cstheme="majorBidi"/>
      <w:b/>
      <w:bCs/>
      <w:i/>
      <w:iCs/>
      <w:color w:val="4F81BD" w:themeColor="accent1"/>
      <w:sz w:val="22"/>
      <w:szCs w:val="18"/>
      <w:lang w:val="fr-FR" w:eastAsia="en-US"/>
    </w:rPr>
  </w:style>
  <w:style w:type="paragraph" w:customStyle="1" w:styleId="Title1">
    <w:name w:val="Title1"/>
    <w:basedOn w:val="Heading1"/>
    <w:link w:val="titleChar"/>
    <w:qFormat/>
    <w:rsid w:val="0067079E"/>
    <w:pPr>
      <w:keepLines/>
      <w:widowControl/>
      <w:autoSpaceDE/>
      <w:autoSpaceDN/>
      <w:adjustRightInd/>
      <w:spacing w:before="120" w:after="120"/>
      <w:jc w:val="center"/>
    </w:pPr>
    <w:rPr>
      <w:rFonts w:ascii="Times New Roman" w:eastAsiaTheme="majorEastAsia" w:hAnsi="Times New Roman" w:cs="Times New Roman"/>
      <w:kern w:val="0"/>
      <w:sz w:val="24"/>
      <w:szCs w:val="19"/>
    </w:rPr>
  </w:style>
  <w:style w:type="character" w:customStyle="1" w:styleId="titleChar">
    <w:name w:val="title Char"/>
    <w:basedOn w:val="DefaultParagraphFont"/>
    <w:link w:val="Title1"/>
    <w:rsid w:val="0067079E"/>
    <w:rPr>
      <w:rFonts w:eastAsiaTheme="majorEastAsia"/>
      <w:b/>
      <w:bCs/>
      <w:sz w:val="24"/>
      <w:szCs w:val="19"/>
      <w:lang w:val="fr-FR" w:eastAsia="en-US"/>
    </w:rPr>
  </w:style>
  <w:style w:type="paragraph" w:styleId="PlainText">
    <w:name w:val="Plain Text"/>
    <w:basedOn w:val="Normal"/>
    <w:link w:val="PlainTextChar"/>
    <w:uiPriority w:val="99"/>
    <w:unhideWhenUsed/>
    <w:rsid w:val="001811F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811F9"/>
    <w:rPr>
      <w:rFonts w:ascii="Consolas" w:eastAsiaTheme="minorHAnsi" w:hAnsi="Consolas" w:cstheme="minorBidi"/>
      <w:sz w:val="21"/>
      <w:szCs w:val="21"/>
      <w:lang w:val="fr-FR" w:eastAsia="en-US"/>
    </w:rPr>
  </w:style>
  <w:style w:type="paragraph" w:styleId="NormalWeb">
    <w:name w:val="Normal (Web)"/>
    <w:basedOn w:val="Normal"/>
    <w:uiPriority w:val="99"/>
    <w:unhideWhenUsed/>
    <w:rsid w:val="0056759D"/>
    <w:pPr>
      <w:widowControl/>
      <w:autoSpaceDE/>
      <w:autoSpaceDN/>
      <w:adjustRightInd/>
      <w:spacing w:before="100" w:beforeAutospacing="1" w:after="100" w:afterAutospacing="1"/>
    </w:pPr>
    <w:rPr>
      <w:sz w:val="24"/>
      <w:szCs w:val="24"/>
    </w:rPr>
  </w:style>
  <w:style w:type="paragraph" w:styleId="BodyText">
    <w:name w:val="Body Text"/>
    <w:basedOn w:val="Normal"/>
    <w:link w:val="BodyTextChar"/>
    <w:uiPriority w:val="1"/>
    <w:unhideWhenUsed/>
    <w:qFormat/>
    <w:rsid w:val="00296B21"/>
    <w:pPr>
      <w:spacing w:after="120"/>
    </w:pPr>
  </w:style>
  <w:style w:type="character" w:customStyle="1" w:styleId="BodyTextChar">
    <w:name w:val="Body Text Char"/>
    <w:basedOn w:val="DefaultParagraphFont"/>
    <w:link w:val="BodyText"/>
    <w:semiHidden/>
    <w:rsid w:val="00296B21"/>
    <w:rPr>
      <w:lang w:val="fr-FR" w:eastAsia="en-US"/>
    </w:rPr>
  </w:style>
  <w:style w:type="paragraph" w:customStyle="1" w:styleId="TableParagraph">
    <w:name w:val="Table Paragraph"/>
    <w:basedOn w:val="Normal"/>
    <w:uiPriority w:val="1"/>
    <w:qFormat/>
    <w:rsid w:val="007257C2"/>
    <w:pPr>
      <w:autoSpaceDE/>
      <w:autoSpaceDN/>
      <w:adjustRightInd/>
    </w:pPr>
    <w:rPr>
      <w:rFonts w:asciiTheme="minorHAnsi" w:eastAsiaTheme="minorHAnsi" w:hAnsiTheme="minorHAnsi" w:cstheme="minorBidi"/>
      <w:sz w:val="22"/>
      <w:szCs w:val="22"/>
    </w:rPr>
  </w:style>
  <w:style w:type="paragraph" w:customStyle="1" w:styleId="Default">
    <w:name w:val="Default"/>
    <w:rsid w:val="008426BB"/>
    <w:pPr>
      <w:autoSpaceDE w:val="0"/>
      <w:autoSpaceDN w:val="0"/>
      <w:adjustRightInd w:val="0"/>
    </w:pPr>
    <w:rPr>
      <w:rFonts w:eastAsiaTheme="minorHAnsi"/>
      <w:color w:val="000000"/>
      <w:sz w:val="24"/>
      <w:szCs w:val="24"/>
      <w:lang w:eastAsia="en-US"/>
    </w:rPr>
  </w:style>
  <w:style w:type="paragraph" w:customStyle="1" w:styleId="wordsection1">
    <w:name w:val="wordsection1"/>
    <w:basedOn w:val="Normal"/>
    <w:uiPriority w:val="99"/>
    <w:rsid w:val="00D8483B"/>
    <w:pPr>
      <w:widowControl/>
      <w:autoSpaceDE/>
      <w:autoSpaceDN/>
      <w:adjustRightInd/>
      <w:spacing w:before="100" w:beforeAutospacing="1" w:after="100" w:afterAutospacing="1"/>
    </w:pPr>
    <w:rPr>
      <w:rFonts w:ascii="Calibri" w:eastAsiaTheme="minorHAnsi" w:hAnsi="Calibri"/>
      <w:sz w:val="22"/>
      <w:szCs w:val="22"/>
      <w:lang w:eastAsia="es-ES"/>
    </w:rPr>
  </w:style>
  <w:style w:type="character" w:styleId="CommentReference">
    <w:name w:val="annotation reference"/>
    <w:basedOn w:val="DefaultParagraphFont"/>
    <w:semiHidden/>
    <w:unhideWhenUsed/>
    <w:rsid w:val="00641086"/>
    <w:rPr>
      <w:sz w:val="16"/>
      <w:szCs w:val="16"/>
    </w:rPr>
  </w:style>
  <w:style w:type="paragraph" w:styleId="CommentText">
    <w:name w:val="annotation text"/>
    <w:basedOn w:val="Normal"/>
    <w:link w:val="CommentTextChar"/>
    <w:semiHidden/>
    <w:unhideWhenUsed/>
    <w:rsid w:val="00641086"/>
  </w:style>
  <w:style w:type="character" w:customStyle="1" w:styleId="CommentTextChar">
    <w:name w:val="Comment Text Char"/>
    <w:basedOn w:val="DefaultParagraphFont"/>
    <w:link w:val="CommentText"/>
    <w:semiHidden/>
    <w:rsid w:val="00641086"/>
    <w:rPr>
      <w:lang w:val="fr-FR" w:eastAsia="en-US"/>
    </w:rPr>
  </w:style>
  <w:style w:type="paragraph" w:styleId="CommentSubject">
    <w:name w:val="annotation subject"/>
    <w:basedOn w:val="CommentText"/>
    <w:next w:val="CommentText"/>
    <w:link w:val="CommentSubjectChar"/>
    <w:semiHidden/>
    <w:unhideWhenUsed/>
    <w:rsid w:val="00641086"/>
    <w:rPr>
      <w:b/>
      <w:bCs/>
    </w:rPr>
  </w:style>
  <w:style w:type="character" w:customStyle="1" w:styleId="CommentSubjectChar">
    <w:name w:val="Comment Subject Char"/>
    <w:basedOn w:val="CommentTextChar"/>
    <w:link w:val="CommentSubject"/>
    <w:semiHidden/>
    <w:rsid w:val="00641086"/>
    <w:rPr>
      <w:b/>
      <w:bCs/>
      <w:lang w:val="fr-FR" w:eastAsia="en-US"/>
    </w:rPr>
  </w:style>
  <w:style w:type="character" w:styleId="FollowedHyperlink">
    <w:name w:val="FollowedHyperlink"/>
    <w:basedOn w:val="DefaultParagraphFont"/>
    <w:semiHidden/>
    <w:unhideWhenUsed/>
    <w:rsid w:val="006B2E53"/>
    <w:rPr>
      <w:color w:val="800080" w:themeColor="followedHyperlink"/>
      <w:u w:val="single"/>
    </w:rPr>
  </w:style>
  <w:style w:type="character" w:styleId="UnresolvedMention">
    <w:name w:val="Unresolved Mention"/>
    <w:basedOn w:val="DefaultParagraphFont"/>
    <w:uiPriority w:val="99"/>
    <w:semiHidden/>
    <w:unhideWhenUsed/>
    <w:rsid w:val="008B3851"/>
    <w:rPr>
      <w:color w:val="605E5C"/>
      <w:shd w:val="clear" w:color="auto" w:fill="E1DFDD"/>
    </w:rPr>
  </w:style>
  <w:style w:type="character" w:customStyle="1" w:styleId="FooterChar">
    <w:name w:val="Footer Char"/>
    <w:basedOn w:val="DefaultParagraphFont"/>
    <w:link w:val="Footer"/>
    <w:uiPriority w:val="99"/>
    <w:rsid w:val="001A6B9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2985">
      <w:bodyDiv w:val="1"/>
      <w:marLeft w:val="0"/>
      <w:marRight w:val="0"/>
      <w:marTop w:val="0"/>
      <w:marBottom w:val="0"/>
      <w:divBdr>
        <w:top w:val="none" w:sz="0" w:space="0" w:color="auto"/>
        <w:left w:val="none" w:sz="0" w:space="0" w:color="auto"/>
        <w:bottom w:val="none" w:sz="0" w:space="0" w:color="auto"/>
        <w:right w:val="none" w:sz="0" w:space="0" w:color="auto"/>
      </w:divBdr>
    </w:div>
    <w:div w:id="86658691">
      <w:bodyDiv w:val="1"/>
      <w:marLeft w:val="0"/>
      <w:marRight w:val="0"/>
      <w:marTop w:val="0"/>
      <w:marBottom w:val="0"/>
      <w:divBdr>
        <w:top w:val="none" w:sz="0" w:space="0" w:color="auto"/>
        <w:left w:val="none" w:sz="0" w:space="0" w:color="auto"/>
        <w:bottom w:val="none" w:sz="0" w:space="0" w:color="auto"/>
        <w:right w:val="none" w:sz="0" w:space="0" w:color="auto"/>
      </w:divBdr>
    </w:div>
    <w:div w:id="104228782">
      <w:bodyDiv w:val="1"/>
      <w:marLeft w:val="0"/>
      <w:marRight w:val="0"/>
      <w:marTop w:val="0"/>
      <w:marBottom w:val="0"/>
      <w:divBdr>
        <w:top w:val="none" w:sz="0" w:space="0" w:color="auto"/>
        <w:left w:val="none" w:sz="0" w:space="0" w:color="auto"/>
        <w:bottom w:val="none" w:sz="0" w:space="0" w:color="auto"/>
        <w:right w:val="none" w:sz="0" w:space="0" w:color="auto"/>
      </w:divBdr>
    </w:div>
    <w:div w:id="477696471">
      <w:bodyDiv w:val="1"/>
      <w:marLeft w:val="0"/>
      <w:marRight w:val="0"/>
      <w:marTop w:val="0"/>
      <w:marBottom w:val="0"/>
      <w:divBdr>
        <w:top w:val="none" w:sz="0" w:space="0" w:color="auto"/>
        <w:left w:val="none" w:sz="0" w:space="0" w:color="auto"/>
        <w:bottom w:val="none" w:sz="0" w:space="0" w:color="auto"/>
        <w:right w:val="none" w:sz="0" w:space="0" w:color="auto"/>
      </w:divBdr>
    </w:div>
    <w:div w:id="530459602">
      <w:bodyDiv w:val="1"/>
      <w:marLeft w:val="0"/>
      <w:marRight w:val="0"/>
      <w:marTop w:val="0"/>
      <w:marBottom w:val="0"/>
      <w:divBdr>
        <w:top w:val="none" w:sz="0" w:space="0" w:color="auto"/>
        <w:left w:val="none" w:sz="0" w:space="0" w:color="auto"/>
        <w:bottom w:val="none" w:sz="0" w:space="0" w:color="auto"/>
        <w:right w:val="none" w:sz="0" w:space="0" w:color="auto"/>
      </w:divBdr>
    </w:div>
    <w:div w:id="846485578">
      <w:bodyDiv w:val="1"/>
      <w:marLeft w:val="0"/>
      <w:marRight w:val="0"/>
      <w:marTop w:val="0"/>
      <w:marBottom w:val="0"/>
      <w:divBdr>
        <w:top w:val="none" w:sz="0" w:space="0" w:color="auto"/>
        <w:left w:val="none" w:sz="0" w:space="0" w:color="auto"/>
        <w:bottom w:val="none" w:sz="0" w:space="0" w:color="auto"/>
        <w:right w:val="none" w:sz="0" w:space="0" w:color="auto"/>
      </w:divBdr>
    </w:div>
    <w:div w:id="909001685">
      <w:bodyDiv w:val="1"/>
      <w:marLeft w:val="0"/>
      <w:marRight w:val="0"/>
      <w:marTop w:val="0"/>
      <w:marBottom w:val="0"/>
      <w:divBdr>
        <w:top w:val="none" w:sz="0" w:space="0" w:color="auto"/>
        <w:left w:val="none" w:sz="0" w:space="0" w:color="auto"/>
        <w:bottom w:val="none" w:sz="0" w:space="0" w:color="auto"/>
        <w:right w:val="none" w:sz="0" w:space="0" w:color="auto"/>
      </w:divBdr>
    </w:div>
    <w:div w:id="1079517333">
      <w:bodyDiv w:val="1"/>
      <w:marLeft w:val="0"/>
      <w:marRight w:val="0"/>
      <w:marTop w:val="0"/>
      <w:marBottom w:val="0"/>
      <w:divBdr>
        <w:top w:val="none" w:sz="0" w:space="0" w:color="auto"/>
        <w:left w:val="none" w:sz="0" w:space="0" w:color="auto"/>
        <w:bottom w:val="none" w:sz="0" w:space="0" w:color="auto"/>
        <w:right w:val="none" w:sz="0" w:space="0" w:color="auto"/>
      </w:divBdr>
    </w:div>
    <w:div w:id="1156798662">
      <w:bodyDiv w:val="1"/>
      <w:marLeft w:val="0"/>
      <w:marRight w:val="0"/>
      <w:marTop w:val="0"/>
      <w:marBottom w:val="0"/>
      <w:divBdr>
        <w:top w:val="none" w:sz="0" w:space="0" w:color="auto"/>
        <w:left w:val="none" w:sz="0" w:space="0" w:color="auto"/>
        <w:bottom w:val="none" w:sz="0" w:space="0" w:color="auto"/>
        <w:right w:val="none" w:sz="0" w:space="0" w:color="auto"/>
      </w:divBdr>
    </w:div>
    <w:div w:id="1200624336">
      <w:bodyDiv w:val="1"/>
      <w:marLeft w:val="0"/>
      <w:marRight w:val="0"/>
      <w:marTop w:val="0"/>
      <w:marBottom w:val="0"/>
      <w:divBdr>
        <w:top w:val="none" w:sz="0" w:space="0" w:color="auto"/>
        <w:left w:val="none" w:sz="0" w:space="0" w:color="auto"/>
        <w:bottom w:val="none" w:sz="0" w:space="0" w:color="auto"/>
        <w:right w:val="none" w:sz="0" w:space="0" w:color="auto"/>
      </w:divBdr>
    </w:div>
    <w:div w:id="1200775343">
      <w:bodyDiv w:val="1"/>
      <w:marLeft w:val="0"/>
      <w:marRight w:val="0"/>
      <w:marTop w:val="0"/>
      <w:marBottom w:val="0"/>
      <w:divBdr>
        <w:top w:val="none" w:sz="0" w:space="0" w:color="auto"/>
        <w:left w:val="none" w:sz="0" w:space="0" w:color="auto"/>
        <w:bottom w:val="none" w:sz="0" w:space="0" w:color="auto"/>
        <w:right w:val="none" w:sz="0" w:space="0" w:color="auto"/>
      </w:divBdr>
    </w:div>
    <w:div w:id="1242060688">
      <w:bodyDiv w:val="1"/>
      <w:marLeft w:val="0"/>
      <w:marRight w:val="0"/>
      <w:marTop w:val="0"/>
      <w:marBottom w:val="0"/>
      <w:divBdr>
        <w:top w:val="none" w:sz="0" w:space="0" w:color="auto"/>
        <w:left w:val="none" w:sz="0" w:space="0" w:color="auto"/>
        <w:bottom w:val="none" w:sz="0" w:space="0" w:color="auto"/>
        <w:right w:val="none" w:sz="0" w:space="0" w:color="auto"/>
      </w:divBdr>
    </w:div>
    <w:div w:id="1303535714">
      <w:bodyDiv w:val="1"/>
      <w:marLeft w:val="0"/>
      <w:marRight w:val="0"/>
      <w:marTop w:val="0"/>
      <w:marBottom w:val="0"/>
      <w:divBdr>
        <w:top w:val="none" w:sz="0" w:space="0" w:color="auto"/>
        <w:left w:val="none" w:sz="0" w:space="0" w:color="auto"/>
        <w:bottom w:val="none" w:sz="0" w:space="0" w:color="auto"/>
        <w:right w:val="none" w:sz="0" w:space="0" w:color="auto"/>
      </w:divBdr>
    </w:div>
    <w:div w:id="1397783988">
      <w:bodyDiv w:val="1"/>
      <w:marLeft w:val="0"/>
      <w:marRight w:val="0"/>
      <w:marTop w:val="0"/>
      <w:marBottom w:val="0"/>
      <w:divBdr>
        <w:top w:val="none" w:sz="0" w:space="0" w:color="auto"/>
        <w:left w:val="none" w:sz="0" w:space="0" w:color="auto"/>
        <w:bottom w:val="none" w:sz="0" w:space="0" w:color="auto"/>
        <w:right w:val="none" w:sz="0" w:space="0" w:color="auto"/>
      </w:divBdr>
    </w:div>
    <w:div w:id="1405839217">
      <w:bodyDiv w:val="1"/>
      <w:marLeft w:val="0"/>
      <w:marRight w:val="0"/>
      <w:marTop w:val="0"/>
      <w:marBottom w:val="0"/>
      <w:divBdr>
        <w:top w:val="none" w:sz="0" w:space="0" w:color="auto"/>
        <w:left w:val="none" w:sz="0" w:space="0" w:color="auto"/>
        <w:bottom w:val="none" w:sz="0" w:space="0" w:color="auto"/>
        <w:right w:val="none" w:sz="0" w:space="0" w:color="auto"/>
      </w:divBdr>
    </w:div>
    <w:div w:id="1497375350">
      <w:bodyDiv w:val="1"/>
      <w:marLeft w:val="0"/>
      <w:marRight w:val="0"/>
      <w:marTop w:val="0"/>
      <w:marBottom w:val="0"/>
      <w:divBdr>
        <w:top w:val="none" w:sz="0" w:space="0" w:color="auto"/>
        <w:left w:val="none" w:sz="0" w:space="0" w:color="auto"/>
        <w:bottom w:val="none" w:sz="0" w:space="0" w:color="auto"/>
        <w:right w:val="none" w:sz="0" w:space="0" w:color="auto"/>
      </w:divBdr>
    </w:div>
    <w:div w:id="1548184022">
      <w:bodyDiv w:val="1"/>
      <w:marLeft w:val="0"/>
      <w:marRight w:val="0"/>
      <w:marTop w:val="0"/>
      <w:marBottom w:val="0"/>
      <w:divBdr>
        <w:top w:val="none" w:sz="0" w:space="0" w:color="auto"/>
        <w:left w:val="none" w:sz="0" w:space="0" w:color="auto"/>
        <w:bottom w:val="none" w:sz="0" w:space="0" w:color="auto"/>
        <w:right w:val="none" w:sz="0" w:space="0" w:color="auto"/>
      </w:divBdr>
    </w:div>
    <w:div w:id="1640651904">
      <w:bodyDiv w:val="1"/>
      <w:marLeft w:val="0"/>
      <w:marRight w:val="0"/>
      <w:marTop w:val="0"/>
      <w:marBottom w:val="0"/>
      <w:divBdr>
        <w:top w:val="none" w:sz="0" w:space="0" w:color="auto"/>
        <w:left w:val="none" w:sz="0" w:space="0" w:color="auto"/>
        <w:bottom w:val="none" w:sz="0" w:space="0" w:color="auto"/>
        <w:right w:val="none" w:sz="0" w:space="0" w:color="auto"/>
      </w:divBdr>
    </w:div>
    <w:div w:id="1642036458">
      <w:bodyDiv w:val="1"/>
      <w:marLeft w:val="0"/>
      <w:marRight w:val="0"/>
      <w:marTop w:val="0"/>
      <w:marBottom w:val="0"/>
      <w:divBdr>
        <w:top w:val="none" w:sz="0" w:space="0" w:color="auto"/>
        <w:left w:val="none" w:sz="0" w:space="0" w:color="auto"/>
        <w:bottom w:val="none" w:sz="0" w:space="0" w:color="auto"/>
        <w:right w:val="none" w:sz="0" w:space="0" w:color="auto"/>
      </w:divBdr>
    </w:div>
    <w:div w:id="1754089546">
      <w:bodyDiv w:val="1"/>
      <w:marLeft w:val="0"/>
      <w:marRight w:val="0"/>
      <w:marTop w:val="0"/>
      <w:marBottom w:val="0"/>
      <w:divBdr>
        <w:top w:val="none" w:sz="0" w:space="0" w:color="auto"/>
        <w:left w:val="none" w:sz="0" w:space="0" w:color="auto"/>
        <w:bottom w:val="none" w:sz="0" w:space="0" w:color="auto"/>
        <w:right w:val="none" w:sz="0" w:space="0" w:color="auto"/>
      </w:divBdr>
    </w:div>
    <w:div w:id="1860658482">
      <w:bodyDiv w:val="1"/>
      <w:marLeft w:val="0"/>
      <w:marRight w:val="0"/>
      <w:marTop w:val="0"/>
      <w:marBottom w:val="0"/>
      <w:divBdr>
        <w:top w:val="none" w:sz="0" w:space="0" w:color="auto"/>
        <w:left w:val="none" w:sz="0" w:space="0" w:color="auto"/>
        <w:bottom w:val="none" w:sz="0" w:space="0" w:color="auto"/>
        <w:right w:val="none" w:sz="0" w:space="0" w:color="auto"/>
      </w:divBdr>
    </w:div>
    <w:div w:id="1882356131">
      <w:bodyDiv w:val="1"/>
      <w:marLeft w:val="0"/>
      <w:marRight w:val="0"/>
      <w:marTop w:val="0"/>
      <w:marBottom w:val="0"/>
      <w:divBdr>
        <w:top w:val="none" w:sz="0" w:space="0" w:color="auto"/>
        <w:left w:val="none" w:sz="0" w:space="0" w:color="auto"/>
        <w:bottom w:val="none" w:sz="0" w:space="0" w:color="auto"/>
        <w:right w:val="none" w:sz="0" w:space="0" w:color="auto"/>
      </w:divBdr>
    </w:div>
    <w:div w:id="1948735504">
      <w:bodyDiv w:val="1"/>
      <w:marLeft w:val="0"/>
      <w:marRight w:val="0"/>
      <w:marTop w:val="0"/>
      <w:marBottom w:val="0"/>
      <w:divBdr>
        <w:top w:val="none" w:sz="0" w:space="0" w:color="auto"/>
        <w:left w:val="none" w:sz="0" w:space="0" w:color="auto"/>
        <w:bottom w:val="none" w:sz="0" w:space="0" w:color="auto"/>
        <w:right w:val="none" w:sz="0" w:space="0" w:color="auto"/>
      </w:divBdr>
    </w:div>
    <w:div w:id="1979336269">
      <w:bodyDiv w:val="1"/>
      <w:marLeft w:val="0"/>
      <w:marRight w:val="0"/>
      <w:marTop w:val="0"/>
      <w:marBottom w:val="0"/>
      <w:divBdr>
        <w:top w:val="none" w:sz="0" w:space="0" w:color="auto"/>
        <w:left w:val="none" w:sz="0" w:space="0" w:color="auto"/>
        <w:bottom w:val="none" w:sz="0" w:space="0" w:color="auto"/>
        <w:right w:val="none" w:sz="0" w:space="0" w:color="auto"/>
      </w:divBdr>
    </w:div>
    <w:div w:id="199741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4-01-f.pdf" TargetMode="External"/><Relationship Id="rId13" Type="http://schemas.openxmlformats.org/officeDocument/2006/relationships/hyperlink" Target="https://www.iccat.int/Documents/Recs/compendiopdf-f/2024-01-f.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Meetings/Docs/2025/Reports/2025_SCRS_FR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24-01-f.pd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iccat.int/Documents/Recs/compendiopdf-f/2024-01-f.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cat.int/Documents/Meetings/Docs/2025/Reports/2025_SCRS_FRA.pdf" TargetMode="External"/><Relationship Id="rId14" Type="http://schemas.openxmlformats.org/officeDocument/2006/relationships/hyperlink" Target="https://www.iccat.int/Documents/Meetings/Docs/2025/Reports/2025_SCRS_F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96F8-F15C-4DFB-829C-0774AC95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2020-03-17T14:32:00Z</dcterms:created>
  <dcterms:modified xsi:type="dcterms:W3CDTF">2025-10-28T10:12:00Z</dcterms:modified>
</cp:coreProperties>
</file>