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8FBB" w14:textId="2F78CDDB" w:rsidR="00AC715A" w:rsidRPr="00AC715A" w:rsidRDefault="00AC715A" w:rsidP="00BE5C22">
      <w:pPr>
        <w:spacing w:after="0" w:line="240" w:lineRule="auto"/>
        <w:jc w:val="right"/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</w:pPr>
      <w:r w:rsidRPr="00AC715A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>Original: English</w:t>
      </w:r>
    </w:p>
    <w:p w14:paraId="5BE991BE" w14:textId="77777777" w:rsidR="00AC715A" w:rsidRDefault="00AC715A" w:rsidP="00BE5C22">
      <w:pPr>
        <w:spacing w:after="0" w:line="240" w:lineRule="auto"/>
        <w:jc w:val="right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69273039" w14:textId="4E2D3BEF" w:rsidR="00CA7CBA" w:rsidRPr="00BE5C22" w:rsidRDefault="003C6784" w:rsidP="00BE5C22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>Letter</w:t>
      </w:r>
      <w:r w:rsidR="00246872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 xml:space="preserve"> </w:t>
      </w:r>
      <w:r w:rsidR="00DF2F89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>to</w:t>
      </w:r>
      <w:r w:rsidR="00CA7CBA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 xml:space="preserve"> Panel 1 </w:t>
      </w:r>
      <w:r w:rsidR="00DF2F89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 xml:space="preserve">members </w:t>
      </w:r>
      <w:r w:rsidR="00CA7CBA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 xml:space="preserve">regarding the </w:t>
      </w:r>
      <w:r w:rsidR="00BE5C22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 xml:space="preserve">Annual </w:t>
      </w:r>
      <w:r w:rsidR="00CA7CBA" w:rsidRPr="00BE5C22">
        <w:rPr>
          <w:rFonts w:ascii="Cambria" w:eastAsia="Times New Roman" w:hAnsi="Cambria" w:cs="Calibri"/>
          <w:b/>
          <w:bCs/>
          <w:color w:val="242424"/>
          <w:sz w:val="20"/>
          <w:szCs w:val="20"/>
          <w:bdr w:val="none" w:sz="0" w:space="0" w:color="auto" w:frame="1"/>
        </w:rPr>
        <w:t>meeting</w:t>
      </w:r>
    </w:p>
    <w:p w14:paraId="1DDC7DDD" w14:textId="7E125057" w:rsidR="00BE5C22" w:rsidRPr="00AC715A" w:rsidRDefault="00AC715A" w:rsidP="00AC715A">
      <w:pPr>
        <w:spacing w:after="0" w:line="240" w:lineRule="auto"/>
        <w:jc w:val="center"/>
        <w:rPr>
          <w:rFonts w:ascii="Cambria" w:eastAsia="Times New Roman" w:hAnsi="Cambria" w:cs="Calibri"/>
          <w:i/>
          <w:iCs/>
          <w:color w:val="242424"/>
          <w:sz w:val="20"/>
          <w:szCs w:val="20"/>
          <w:bdr w:val="none" w:sz="0" w:space="0" w:color="auto" w:frame="1"/>
        </w:rPr>
      </w:pPr>
      <w:r w:rsidRPr="00AC715A">
        <w:rPr>
          <w:rFonts w:ascii="Cambria" w:eastAsia="Times New Roman" w:hAnsi="Cambria" w:cs="Calibri"/>
          <w:i/>
          <w:iCs/>
          <w:color w:val="242424"/>
          <w:sz w:val="20"/>
          <w:szCs w:val="20"/>
          <w:bdr w:val="none" w:sz="0" w:space="0" w:color="auto" w:frame="1"/>
        </w:rPr>
        <w:t>(submitted by Panel 1 Chair)</w:t>
      </w:r>
    </w:p>
    <w:p w14:paraId="2F9E2B50" w14:textId="77777777" w:rsidR="00AC715A" w:rsidRDefault="00AC715A" w:rsidP="00AC715A">
      <w:pPr>
        <w:spacing w:after="0" w:line="240" w:lineRule="auto"/>
        <w:jc w:val="right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37145648" w14:textId="0719DD0A" w:rsidR="00AC715A" w:rsidRPr="00BE5C22" w:rsidRDefault="00AC715A" w:rsidP="00AC715A">
      <w:pPr>
        <w:spacing w:after="0" w:line="240" w:lineRule="auto"/>
        <w:jc w:val="right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2</w:t>
      </w:r>
      <w:r w:rsidR="008B2675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7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October 2025</w:t>
      </w:r>
    </w:p>
    <w:p w14:paraId="1664E0E4" w14:textId="77777777" w:rsidR="00AC715A" w:rsidRDefault="00AC715A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2299CD7A" w14:textId="47705F86" w:rsidR="00D8369A" w:rsidRDefault="00D8369A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Dear </w:t>
      </w:r>
      <w:proofErr w:type="gramStart"/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Panel</w:t>
      </w:r>
      <w:proofErr w:type="gramEnd"/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1 </w:t>
      </w:r>
      <w:r w:rsidR="00001A15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M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embers, </w:t>
      </w:r>
    </w:p>
    <w:p w14:paraId="1A36042E" w14:textId="77777777" w:rsidR="00BE5C22" w:rsidRPr="00BE5C22" w:rsidRDefault="00BE5C22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374D358C" w14:textId="6B8B71B5" w:rsidR="00E81D86" w:rsidRDefault="006D285D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It is with </w:t>
      </w:r>
      <w:r w:rsidR="00E81D86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great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pleasure that I communicate with you today as we prepare for the 2025 Commission Meeting</w:t>
      </w:r>
      <w:r w:rsidR="00573499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next</w:t>
      </w:r>
      <w:r w:rsidR="00AC78DB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month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. </w:t>
      </w:r>
      <w:r w:rsidR="00D8369A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I thank you </w:t>
      </w:r>
      <w:r w:rsidR="00E81D86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for </w:t>
      </w:r>
      <w:r w:rsidR="00C41BA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the </w:t>
      </w:r>
      <w:r w:rsidR="003723BF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great effort</w:t>
      </w:r>
      <w:r w:rsidR="006F24F3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that culminated in the adoption of a new tropical </w:t>
      </w:r>
      <w:r w:rsidR="00A243A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tuna 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measure</w:t>
      </w:r>
      <w:r w:rsidR="00002113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last year</w:t>
      </w:r>
      <w:r w:rsidR="00E36C91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, </w:t>
      </w:r>
      <w:hyperlink r:id="rId7" w:history="1"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 xml:space="preserve">Recommendation by ICCAT </w:t>
        </w:r>
        <w:r w:rsidR="00BE5C22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 xml:space="preserve">replacing </w:t>
        </w:r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 xml:space="preserve">Recommendation 22-01 on a </w:t>
        </w:r>
        <w:r w:rsidR="00BE5C22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multi-annual conservat</w:t>
        </w:r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 xml:space="preserve">ion and </w:t>
        </w:r>
        <w:r w:rsidR="00BE5C22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m</w:t>
        </w:r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 xml:space="preserve">anagement </w:t>
        </w:r>
        <w:r w:rsidR="00BE5C22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p</w:t>
        </w:r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ro</w:t>
        </w:r>
        <w:r w:rsidR="00477273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g</w:t>
        </w:r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 xml:space="preserve">ramme for </w:t>
        </w:r>
        <w:r w:rsidR="00BE5C22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tropical tun</w:t>
        </w:r>
        <w:r w:rsidR="00E36C91" w:rsidRPr="00BE5C22">
          <w:rPr>
            <w:rStyle w:val="Hyperlink"/>
            <w:rFonts w:ascii="Cambria" w:eastAsia="Times New Roman" w:hAnsi="Cambria" w:cs="Calibri"/>
            <w:i/>
            <w:iCs/>
            <w:sz w:val="20"/>
            <w:szCs w:val="20"/>
            <w:u w:val="none"/>
            <w:bdr w:val="none" w:sz="0" w:space="0" w:color="auto" w:frame="1"/>
          </w:rPr>
          <w:t>as</w:t>
        </w:r>
        <w:r w:rsidRPr="00BE5C22">
          <w:rPr>
            <w:rStyle w:val="Hyperlink"/>
            <w:rFonts w:ascii="Cambria" w:eastAsia="Times New Roman" w:hAnsi="Cambria" w:cs="Calibri"/>
            <w:sz w:val="20"/>
            <w:szCs w:val="20"/>
            <w:u w:val="none"/>
            <w:bdr w:val="none" w:sz="0" w:space="0" w:color="auto" w:frame="1"/>
          </w:rPr>
          <w:t xml:space="preserve"> (Rec</w:t>
        </w:r>
        <w:r w:rsidR="00D577EB" w:rsidRPr="00BE5C22">
          <w:rPr>
            <w:rStyle w:val="Hyperlink"/>
            <w:rFonts w:ascii="Cambria" w:eastAsia="Times New Roman" w:hAnsi="Cambria" w:cs="Calibri"/>
            <w:sz w:val="20"/>
            <w:szCs w:val="20"/>
            <w:u w:val="none"/>
            <w:bdr w:val="none" w:sz="0" w:space="0" w:color="auto" w:frame="1"/>
          </w:rPr>
          <w:t>.</w:t>
        </w:r>
        <w:r w:rsidRPr="00BE5C22">
          <w:rPr>
            <w:rStyle w:val="Hyperlink"/>
            <w:rFonts w:ascii="Cambria" w:eastAsia="Times New Roman" w:hAnsi="Cambria" w:cs="Calibri"/>
            <w:sz w:val="20"/>
            <w:szCs w:val="20"/>
            <w:u w:val="none"/>
            <w:bdr w:val="none" w:sz="0" w:space="0" w:color="auto" w:frame="1"/>
          </w:rPr>
          <w:t xml:space="preserve"> 24-01).</w:t>
        </w:r>
      </w:hyperlink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</w:p>
    <w:p w14:paraId="1ABB3309" w14:textId="77777777" w:rsidR="00BE5C22" w:rsidRPr="00BE5C22" w:rsidRDefault="00BE5C22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316B7DEE" w14:textId="379D7EAB" w:rsidR="00AE3C26" w:rsidRDefault="00DD47AE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Whilst we took a definite decision on the number of FADs per vessels</w:t>
      </w:r>
      <w:r w:rsidR="00F72DD8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in 2025 (300 FADs per vessel) and 2026 and 2027 (288 FADs per vessel), the decision on the TAC and FADs closure period for 2026 and 2027</w:t>
      </w:r>
      <w:r w:rsidR="002A7DA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w</w:t>
      </w:r>
      <w:r w:rsidR="008F1BF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ere deferred </w:t>
      </w:r>
      <w:r w:rsidR="00BA6E2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un</w:t>
      </w:r>
      <w:r w:rsidR="0003253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t</w:t>
      </w:r>
      <w:r w:rsidR="00BA6E2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il</w:t>
      </w:r>
      <w:r w:rsidR="002A7DA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8C391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SCRS</w:t>
      </w:r>
      <w:r w:rsidR="00006345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’</w:t>
      </w:r>
      <w:r w:rsidR="003B7E1D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work</w:t>
      </w:r>
      <w:r w:rsidR="002A7DA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in 2025.</w:t>
      </w:r>
      <w:r w:rsidR="00E04A35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E903BF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The </w:t>
      </w:r>
      <w:hyperlink r:id="rId8" w:history="1">
        <w:r w:rsidR="00952085" w:rsidRPr="00BE5C22">
          <w:rPr>
            <w:rStyle w:val="Hyperlink"/>
            <w:rFonts w:ascii="Cambria" w:eastAsia="Times New Roman" w:hAnsi="Cambria" w:cs="Calibri"/>
            <w:sz w:val="20"/>
            <w:szCs w:val="20"/>
            <w:u w:val="none"/>
            <w:bdr w:val="none" w:sz="0" w:space="0" w:color="auto" w:frame="1"/>
          </w:rPr>
          <w:t>2025 SCRS</w:t>
        </w:r>
        <w:r w:rsidR="005F38A9" w:rsidRPr="00BE5C22">
          <w:rPr>
            <w:rStyle w:val="Hyperlink"/>
            <w:rFonts w:ascii="Cambria" w:eastAsia="Times New Roman" w:hAnsi="Cambria" w:cs="Calibri"/>
            <w:sz w:val="20"/>
            <w:szCs w:val="20"/>
            <w:u w:val="none"/>
            <w:bdr w:val="none" w:sz="0" w:space="0" w:color="auto" w:frame="1"/>
          </w:rPr>
          <w:t xml:space="preserve"> Report</w:t>
        </w:r>
      </w:hyperlink>
      <w:r w:rsidR="00952085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D577EB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was </w:t>
      </w:r>
      <w:r w:rsidR="004F322D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circulated </w:t>
      </w:r>
      <w:r w:rsidR="001835A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on 7 October 2025 </w:t>
      </w:r>
      <w:r w:rsidR="00BC381E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(</w:t>
      </w:r>
      <w:r w:rsidR="00F93C7B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ICCAT C</w:t>
      </w:r>
      <w:r w:rsidR="00BE5C2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ircular </w:t>
      </w:r>
      <w:r w:rsidR="00F93C7B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# 09998/2025</w:t>
      </w:r>
      <w:r w:rsidR="00BC381E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)</w:t>
      </w:r>
      <w:r w:rsidR="005227DC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EB3455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and I</w:t>
      </w:r>
      <w:r w:rsidR="00F90BB9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highlight </w:t>
      </w:r>
      <w:r w:rsidR="00C50BEB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two</w:t>
      </w:r>
      <w:r w:rsidR="00366109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findings </w:t>
      </w:r>
      <w:r w:rsidR="003029C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critical</w:t>
      </w:r>
      <w:r w:rsidR="00FF3415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to our upcoming </w:t>
      </w:r>
      <w:r w:rsidR="001835A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Panel 1 meeting:</w:t>
      </w:r>
      <w:r w:rsidR="00886AE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TAC</w:t>
      </w:r>
      <w:r w:rsidR="001835A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s</w:t>
      </w:r>
      <w:r w:rsidR="00886AE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F22C4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and </w:t>
      </w:r>
      <w:r w:rsidR="001201B8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FAD </w:t>
      </w:r>
      <w:r w:rsidR="008B17B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c</w:t>
      </w:r>
      <w:r w:rsidR="001201B8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losure </w:t>
      </w:r>
      <w:r w:rsidR="008B17B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p</w:t>
      </w:r>
      <w:r w:rsidR="001201B8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eriod for 2026 and 2027</w:t>
      </w:r>
      <w:r w:rsidR="00FF3415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.</w:t>
      </w:r>
      <w:r w:rsidR="00366109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9F681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</w:p>
    <w:p w14:paraId="4404142E" w14:textId="77777777" w:rsidR="00BE5C22" w:rsidRPr="00BE5C22" w:rsidRDefault="00BE5C22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3C6028C5" w14:textId="1BDD8AC7" w:rsidR="005E3862" w:rsidRDefault="003205AC" w:rsidP="00BE5C2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E5C22">
        <w:rPr>
          <w:rFonts w:ascii="Cambria" w:hAnsi="Cambria"/>
          <w:sz w:val="20"/>
          <w:szCs w:val="20"/>
        </w:rPr>
        <w:t xml:space="preserve">Paragraph </w:t>
      </w:r>
      <w:r w:rsidR="005E3862" w:rsidRPr="00BE5C22">
        <w:rPr>
          <w:rFonts w:ascii="Cambria" w:hAnsi="Cambria"/>
          <w:sz w:val="20"/>
          <w:szCs w:val="20"/>
        </w:rPr>
        <w:t xml:space="preserve">3 </w:t>
      </w:r>
      <w:r w:rsidRPr="00BE5C22">
        <w:rPr>
          <w:rFonts w:ascii="Cambria" w:hAnsi="Cambria"/>
          <w:sz w:val="20"/>
          <w:szCs w:val="20"/>
        </w:rPr>
        <w:t xml:space="preserve">of </w:t>
      </w:r>
      <w:hyperlink r:id="rId9" w:history="1">
        <w:r w:rsidRPr="00BE5C22">
          <w:rPr>
            <w:rStyle w:val="Hyperlink"/>
            <w:rFonts w:ascii="Cambria" w:hAnsi="Cambria"/>
            <w:sz w:val="20"/>
            <w:szCs w:val="20"/>
            <w:u w:val="none"/>
          </w:rPr>
          <w:t>Rec. 24-01</w:t>
        </w:r>
      </w:hyperlink>
      <w:r w:rsidRPr="00BE5C22">
        <w:rPr>
          <w:rFonts w:ascii="Cambria" w:hAnsi="Cambria"/>
          <w:sz w:val="20"/>
          <w:szCs w:val="20"/>
        </w:rPr>
        <w:t xml:space="preserve"> set </w:t>
      </w:r>
      <w:r w:rsidR="005E3862" w:rsidRPr="00BE5C22">
        <w:rPr>
          <w:rFonts w:ascii="Cambria" w:hAnsi="Cambria"/>
          <w:sz w:val="20"/>
          <w:szCs w:val="20"/>
        </w:rPr>
        <w:t xml:space="preserve">the TAC for bigeye tuna at 73,011 t in 2025 with a provision that subsequent TACs </w:t>
      </w:r>
      <w:r w:rsidRPr="00BE5C22">
        <w:rPr>
          <w:rFonts w:ascii="Cambria" w:hAnsi="Cambria"/>
          <w:sz w:val="20"/>
          <w:szCs w:val="20"/>
        </w:rPr>
        <w:t xml:space="preserve">to </w:t>
      </w:r>
      <w:r w:rsidR="005E3862" w:rsidRPr="00BE5C22">
        <w:rPr>
          <w:rFonts w:ascii="Cambria" w:hAnsi="Cambria"/>
          <w:sz w:val="20"/>
          <w:szCs w:val="20"/>
        </w:rPr>
        <w:t xml:space="preserve">be set based on the results of the 2025 stock assessment. </w:t>
      </w:r>
      <w:r w:rsidR="00204D42" w:rsidRPr="00BE5C22">
        <w:rPr>
          <w:rFonts w:ascii="Cambria" w:hAnsi="Cambria"/>
          <w:sz w:val="20"/>
          <w:szCs w:val="20"/>
        </w:rPr>
        <w:t>We agreed that t</w:t>
      </w:r>
      <w:r w:rsidR="005E3862" w:rsidRPr="00BE5C22">
        <w:rPr>
          <w:rFonts w:ascii="Cambria" w:hAnsi="Cambria"/>
          <w:sz w:val="20"/>
          <w:szCs w:val="20"/>
        </w:rPr>
        <w:t>he TAC would continue at 73,011 t in 2026 and 2027 if the</w:t>
      </w:r>
      <w:r w:rsidR="00D623A3" w:rsidRPr="00BE5C22">
        <w:rPr>
          <w:rFonts w:ascii="Cambria" w:hAnsi="Cambria"/>
          <w:sz w:val="20"/>
          <w:szCs w:val="20"/>
        </w:rPr>
        <w:t xml:space="preserve"> </w:t>
      </w:r>
      <w:r w:rsidR="00E91B9A" w:rsidRPr="00BE5C22">
        <w:rPr>
          <w:rFonts w:ascii="Cambria" w:hAnsi="Cambria"/>
          <w:sz w:val="20"/>
          <w:szCs w:val="20"/>
        </w:rPr>
        <w:t>bigeye</w:t>
      </w:r>
      <w:r w:rsidR="005E3862" w:rsidRPr="00BE5C22">
        <w:rPr>
          <w:rFonts w:ascii="Cambria" w:hAnsi="Cambria"/>
          <w:sz w:val="20"/>
          <w:szCs w:val="20"/>
        </w:rPr>
        <w:t xml:space="preserve"> stock assessment conducted in 2025 indicated that the probability of the stock being in the green quadrant in 2034 was at least 65% and could be increased if the probability was at least 70%. According to the </w:t>
      </w:r>
      <w:r w:rsidRPr="00BE5C22">
        <w:rPr>
          <w:rFonts w:ascii="Cambria" w:hAnsi="Cambria"/>
          <w:sz w:val="20"/>
          <w:szCs w:val="20"/>
        </w:rPr>
        <w:t xml:space="preserve">Kobe </w:t>
      </w:r>
      <w:r w:rsidR="00110B56" w:rsidRPr="00BE5C22">
        <w:rPr>
          <w:rFonts w:ascii="Cambria" w:hAnsi="Cambria"/>
          <w:sz w:val="20"/>
          <w:szCs w:val="20"/>
        </w:rPr>
        <w:t>II</w:t>
      </w:r>
      <w:r w:rsidR="0028459B" w:rsidRPr="00BE5C22">
        <w:rPr>
          <w:rFonts w:ascii="Cambria" w:hAnsi="Cambria"/>
          <w:sz w:val="20"/>
          <w:szCs w:val="20"/>
        </w:rPr>
        <w:t xml:space="preserve"> </w:t>
      </w:r>
      <w:r w:rsidR="00A723AC" w:rsidRPr="00BE5C22">
        <w:rPr>
          <w:rFonts w:ascii="Cambria" w:hAnsi="Cambria"/>
          <w:sz w:val="20"/>
          <w:szCs w:val="20"/>
        </w:rPr>
        <w:t xml:space="preserve">Matrix </w:t>
      </w:r>
      <w:r w:rsidRPr="00BE5C22">
        <w:rPr>
          <w:rFonts w:ascii="Cambria" w:hAnsi="Cambria"/>
          <w:sz w:val="20"/>
          <w:szCs w:val="20"/>
        </w:rPr>
        <w:t>(</w:t>
      </w:r>
      <w:r w:rsidR="005E3862" w:rsidRPr="00BE5C22">
        <w:rPr>
          <w:rFonts w:ascii="Cambria" w:hAnsi="Cambria"/>
          <w:sz w:val="20"/>
          <w:szCs w:val="20"/>
        </w:rPr>
        <w:t>K2SM</w:t>
      </w:r>
      <w:r w:rsidRPr="00BE5C22">
        <w:rPr>
          <w:rFonts w:ascii="Cambria" w:hAnsi="Cambria"/>
          <w:sz w:val="20"/>
          <w:szCs w:val="20"/>
        </w:rPr>
        <w:t>)</w:t>
      </w:r>
      <w:r w:rsidR="005159E6" w:rsidRPr="00BE5C22">
        <w:rPr>
          <w:rFonts w:ascii="Cambria" w:hAnsi="Cambria"/>
          <w:sz w:val="20"/>
          <w:szCs w:val="20"/>
        </w:rPr>
        <w:t>,</w:t>
      </w:r>
      <w:r w:rsidR="00D623A3" w:rsidRPr="00BE5C22">
        <w:rPr>
          <w:rFonts w:ascii="Cambria" w:hAnsi="Cambria"/>
          <w:sz w:val="20"/>
          <w:szCs w:val="20"/>
        </w:rPr>
        <w:t xml:space="preserve"> </w:t>
      </w:r>
      <w:r w:rsidR="005159E6" w:rsidRPr="00BE5C22">
        <w:rPr>
          <w:rFonts w:ascii="Cambria" w:hAnsi="Cambria"/>
          <w:sz w:val="20"/>
          <w:szCs w:val="20"/>
        </w:rPr>
        <w:t xml:space="preserve">from the </w:t>
      </w:r>
      <w:r w:rsidR="00D623A3" w:rsidRPr="00BE5C22">
        <w:rPr>
          <w:rFonts w:ascii="Cambria" w:hAnsi="Cambria"/>
          <w:sz w:val="20"/>
          <w:szCs w:val="20"/>
        </w:rPr>
        <w:t>bigeye stock assessment</w:t>
      </w:r>
      <w:r w:rsidR="005E3862" w:rsidRPr="00BE5C22">
        <w:rPr>
          <w:rFonts w:ascii="Cambria" w:hAnsi="Cambria"/>
          <w:sz w:val="20"/>
          <w:szCs w:val="20"/>
        </w:rPr>
        <w:t xml:space="preserve">, a future constant catch of 73,011 t has a high probability (91%) of maintaining the stock in the green quadrant of the Kobe plot in 2034. </w:t>
      </w:r>
    </w:p>
    <w:p w14:paraId="6D143383" w14:textId="77777777" w:rsidR="00497DA3" w:rsidRPr="00BE5C22" w:rsidRDefault="00497DA3" w:rsidP="00BE5C2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030D7D4" w14:textId="0B52A9CB" w:rsidR="00255B37" w:rsidRPr="00BE5C22" w:rsidRDefault="00110B56" w:rsidP="00BE5C2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E5C22">
        <w:rPr>
          <w:rFonts w:ascii="Cambria" w:hAnsi="Cambria"/>
          <w:sz w:val="20"/>
          <w:szCs w:val="20"/>
        </w:rPr>
        <w:t xml:space="preserve">Paragraph 31 of </w:t>
      </w:r>
      <w:hyperlink r:id="rId10" w:history="1">
        <w:r w:rsidR="005D65D2" w:rsidRPr="00BE5C22">
          <w:rPr>
            <w:rStyle w:val="Hyperlink"/>
            <w:rFonts w:ascii="Cambria" w:hAnsi="Cambria"/>
            <w:sz w:val="20"/>
            <w:szCs w:val="20"/>
            <w:u w:val="none"/>
          </w:rPr>
          <w:t>Rec. 24-01</w:t>
        </w:r>
      </w:hyperlink>
      <w:r w:rsidR="005D65D2" w:rsidRPr="00BE5C22">
        <w:rPr>
          <w:rFonts w:ascii="Cambria" w:hAnsi="Cambria"/>
          <w:sz w:val="20"/>
          <w:szCs w:val="20"/>
        </w:rPr>
        <w:t xml:space="preserve"> </w:t>
      </w:r>
      <w:r w:rsidR="00C44C55" w:rsidRPr="00BE5C22">
        <w:rPr>
          <w:rFonts w:ascii="Cambria" w:hAnsi="Cambria"/>
          <w:sz w:val="20"/>
          <w:szCs w:val="20"/>
        </w:rPr>
        <w:t>set</w:t>
      </w:r>
      <w:r w:rsidR="005D65D2" w:rsidRPr="00BE5C22">
        <w:rPr>
          <w:rFonts w:ascii="Cambria" w:hAnsi="Cambria"/>
          <w:sz w:val="20"/>
          <w:szCs w:val="20"/>
        </w:rPr>
        <w:t xml:space="preserve"> </w:t>
      </w:r>
      <w:r w:rsidR="008C4AEA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a </w:t>
      </w:r>
      <w:r w:rsidR="00F1354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FAD closure period of </w:t>
      </w:r>
      <w:r w:rsidR="00FD7403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a </w:t>
      </w:r>
      <w:r w:rsidR="00F1354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45 day</w:t>
      </w:r>
      <w:r w:rsidR="00FD7403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-period</w:t>
      </w:r>
      <w:r w:rsidR="00F1354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from 17 March to </w:t>
      </w:r>
      <w:r w:rsidR="00DD5350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30 April</w:t>
      </w:r>
      <w:r w:rsidR="00F1354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FD7403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in</w:t>
      </w:r>
      <w:r w:rsidR="00F13542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2025</w:t>
      </w:r>
      <w:r w:rsidR="00C54ABB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.</w:t>
      </w:r>
      <w:r w:rsidR="001E2FF4"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 </w:t>
      </w:r>
      <w:r w:rsidR="002B7ABF" w:rsidRPr="00BE5C22">
        <w:rPr>
          <w:rFonts w:ascii="Cambria" w:hAnsi="Cambria" w:cs="Times New Roman"/>
          <w:sz w:val="20"/>
          <w:szCs w:val="20"/>
        </w:rPr>
        <w:t xml:space="preserve"> </w:t>
      </w:r>
      <w:r w:rsidR="000C2010" w:rsidRPr="00BE5C22">
        <w:rPr>
          <w:rFonts w:ascii="Cambria" w:hAnsi="Cambria"/>
          <w:sz w:val="20"/>
          <w:szCs w:val="20"/>
        </w:rPr>
        <w:t xml:space="preserve">The </w:t>
      </w:r>
      <w:r w:rsidR="0064775F" w:rsidRPr="00BE5C22">
        <w:rPr>
          <w:rFonts w:ascii="Cambria" w:hAnsi="Cambria"/>
          <w:sz w:val="20"/>
          <w:szCs w:val="20"/>
        </w:rPr>
        <w:t>SCRS</w:t>
      </w:r>
      <w:r w:rsidR="000C2010" w:rsidRPr="00BE5C22">
        <w:rPr>
          <w:rFonts w:ascii="Cambria" w:hAnsi="Cambria"/>
          <w:sz w:val="20"/>
          <w:szCs w:val="20"/>
        </w:rPr>
        <w:t xml:space="preserve"> prepared several relevant analyses for Atlantic </w:t>
      </w:r>
      <w:r w:rsidR="00B61E60" w:rsidRPr="00BE5C22">
        <w:rPr>
          <w:rFonts w:ascii="Cambria" w:hAnsi="Cambria"/>
          <w:sz w:val="20"/>
          <w:szCs w:val="20"/>
        </w:rPr>
        <w:t xml:space="preserve">bigeye tuna </w:t>
      </w:r>
      <w:r w:rsidR="000C2010" w:rsidRPr="00BE5C22">
        <w:rPr>
          <w:rFonts w:ascii="Cambria" w:hAnsi="Cambria"/>
          <w:sz w:val="20"/>
          <w:szCs w:val="20"/>
        </w:rPr>
        <w:t xml:space="preserve">using the results of the reference case of the 2025 Atlantic </w:t>
      </w:r>
      <w:r w:rsidR="00B61E60" w:rsidRPr="00BE5C22">
        <w:rPr>
          <w:rFonts w:ascii="Cambria" w:hAnsi="Cambria"/>
          <w:sz w:val="20"/>
          <w:szCs w:val="20"/>
        </w:rPr>
        <w:t>bigeye tuna stock assessment meeting</w:t>
      </w:r>
      <w:r w:rsidR="0064775F" w:rsidRPr="00BE5C22">
        <w:rPr>
          <w:rFonts w:ascii="Cambria" w:hAnsi="Cambria"/>
          <w:sz w:val="20"/>
          <w:szCs w:val="20"/>
        </w:rPr>
        <w:t xml:space="preserve">, which </w:t>
      </w:r>
      <w:r w:rsidR="000C2010" w:rsidRPr="00BE5C22">
        <w:rPr>
          <w:rFonts w:ascii="Cambria" w:hAnsi="Cambria"/>
          <w:sz w:val="20"/>
          <w:szCs w:val="20"/>
        </w:rPr>
        <w:t xml:space="preserve">can be found in Section 19.30 (Fishing prohibited with FADs) of the </w:t>
      </w:r>
      <w:hyperlink r:id="rId11" w:history="1">
        <w:r w:rsidR="000C2010" w:rsidRPr="00BE5C22">
          <w:rPr>
            <w:rStyle w:val="Hyperlink"/>
            <w:rFonts w:ascii="Cambria" w:hAnsi="Cambria"/>
            <w:sz w:val="20"/>
            <w:szCs w:val="20"/>
            <w:u w:val="none"/>
          </w:rPr>
          <w:t>2025 SCRS Report</w:t>
        </w:r>
      </w:hyperlink>
      <w:r w:rsidR="000C2010" w:rsidRPr="00BE5C22">
        <w:rPr>
          <w:rFonts w:ascii="Cambria" w:hAnsi="Cambria"/>
          <w:sz w:val="20"/>
          <w:szCs w:val="20"/>
        </w:rPr>
        <w:t>.</w:t>
      </w:r>
      <w:r w:rsidR="001A7669" w:rsidRPr="00BE5C22">
        <w:rPr>
          <w:rFonts w:ascii="Cambria" w:hAnsi="Cambria"/>
          <w:sz w:val="20"/>
          <w:szCs w:val="20"/>
        </w:rPr>
        <w:t xml:space="preserve"> </w:t>
      </w:r>
      <w:r w:rsidR="009F3A2D" w:rsidRPr="00BE5C22">
        <w:rPr>
          <w:rFonts w:ascii="Cambria" w:hAnsi="Cambria"/>
          <w:sz w:val="20"/>
          <w:szCs w:val="20"/>
        </w:rPr>
        <w:t xml:space="preserve">In addition, paragraph 20 of </w:t>
      </w:r>
      <w:hyperlink r:id="rId12" w:history="1">
        <w:r w:rsidR="009F3A2D" w:rsidRPr="00BE5C22">
          <w:rPr>
            <w:rStyle w:val="Hyperlink"/>
            <w:rFonts w:ascii="Cambria" w:hAnsi="Cambria"/>
            <w:sz w:val="20"/>
            <w:szCs w:val="20"/>
            <w:u w:val="none"/>
          </w:rPr>
          <w:t>Rec. 24-01</w:t>
        </w:r>
      </w:hyperlink>
      <w:r w:rsidR="00E7428B" w:rsidRPr="00BE5C22">
        <w:rPr>
          <w:rFonts w:ascii="Cambria" w:hAnsi="Cambria"/>
          <w:sz w:val="20"/>
          <w:szCs w:val="20"/>
        </w:rPr>
        <w:t xml:space="preserve"> mandates the Commission, based on stock assessment and SCRS advice, to adopt additional conservation measures for yellowfin tuna at the 2027 Annual Meeting</w:t>
      </w:r>
      <w:r w:rsidR="00403297" w:rsidRPr="00BE5C22">
        <w:rPr>
          <w:rFonts w:ascii="Cambria" w:hAnsi="Cambria"/>
          <w:sz w:val="20"/>
          <w:szCs w:val="20"/>
        </w:rPr>
        <w:t xml:space="preserve">.  </w:t>
      </w:r>
      <w:r w:rsidR="0027744C" w:rsidRPr="00BE5C22">
        <w:rPr>
          <w:rFonts w:ascii="Cambria" w:hAnsi="Cambria"/>
          <w:sz w:val="20"/>
          <w:szCs w:val="20"/>
        </w:rPr>
        <w:t>I am of the view that e</w:t>
      </w:r>
      <w:r w:rsidR="00FB0D3C" w:rsidRPr="00BE5C22">
        <w:rPr>
          <w:rFonts w:ascii="Cambria" w:hAnsi="Cambria"/>
          <w:sz w:val="20"/>
          <w:szCs w:val="20"/>
        </w:rPr>
        <w:t xml:space="preserve">arly discussion on </w:t>
      </w:r>
      <w:r w:rsidR="002B73A0" w:rsidRPr="00BE5C22">
        <w:rPr>
          <w:rFonts w:ascii="Cambria" w:hAnsi="Cambria"/>
          <w:sz w:val="20"/>
          <w:szCs w:val="20"/>
        </w:rPr>
        <w:t xml:space="preserve">measures for </w:t>
      </w:r>
      <w:r w:rsidR="008F4676" w:rsidRPr="00BE5C22">
        <w:rPr>
          <w:rFonts w:ascii="Cambria" w:hAnsi="Cambria"/>
          <w:sz w:val="20"/>
          <w:szCs w:val="20"/>
        </w:rPr>
        <w:t xml:space="preserve">yellowfin </w:t>
      </w:r>
      <w:r w:rsidR="00FB0D3C" w:rsidRPr="00BE5C22">
        <w:rPr>
          <w:rFonts w:ascii="Cambria" w:hAnsi="Cambria"/>
          <w:sz w:val="20"/>
          <w:szCs w:val="20"/>
        </w:rPr>
        <w:t xml:space="preserve">tuna </w:t>
      </w:r>
      <w:r w:rsidR="003D3F3B" w:rsidRPr="00BE5C22">
        <w:rPr>
          <w:rFonts w:ascii="Cambria" w:hAnsi="Cambria"/>
          <w:sz w:val="20"/>
          <w:szCs w:val="20"/>
        </w:rPr>
        <w:t>at th</w:t>
      </w:r>
      <w:r w:rsidR="00555ED7" w:rsidRPr="00BE5C22">
        <w:rPr>
          <w:rFonts w:ascii="Cambria" w:hAnsi="Cambria"/>
          <w:sz w:val="20"/>
          <w:szCs w:val="20"/>
        </w:rPr>
        <w:t xml:space="preserve">e upcoming meeting </w:t>
      </w:r>
      <w:r w:rsidR="00FB0D3C" w:rsidRPr="00BE5C22">
        <w:rPr>
          <w:rFonts w:ascii="Cambria" w:hAnsi="Cambria"/>
          <w:sz w:val="20"/>
          <w:szCs w:val="20"/>
        </w:rPr>
        <w:t>will be important</w:t>
      </w:r>
      <w:r w:rsidR="009F3A2D" w:rsidRPr="00BE5C22">
        <w:rPr>
          <w:rFonts w:ascii="Cambria" w:hAnsi="Cambria"/>
          <w:sz w:val="20"/>
          <w:szCs w:val="20"/>
        </w:rPr>
        <w:t>,</w:t>
      </w:r>
      <w:r w:rsidR="007159D3" w:rsidRPr="00BE5C22">
        <w:rPr>
          <w:rFonts w:ascii="Cambria" w:hAnsi="Cambria"/>
          <w:sz w:val="20"/>
          <w:szCs w:val="20"/>
        </w:rPr>
        <w:t xml:space="preserve"> since</w:t>
      </w:r>
      <w:r w:rsidR="0037688F" w:rsidRPr="00BE5C22">
        <w:rPr>
          <w:sz w:val="20"/>
          <w:szCs w:val="20"/>
        </w:rPr>
        <w:t xml:space="preserve"> </w:t>
      </w:r>
      <w:r w:rsidR="007159D3" w:rsidRPr="00BE5C22">
        <w:rPr>
          <w:rFonts w:ascii="Cambria" w:hAnsi="Cambria"/>
          <w:sz w:val="20"/>
          <w:szCs w:val="20"/>
        </w:rPr>
        <w:t xml:space="preserve">the </w:t>
      </w:r>
      <w:r w:rsidR="00905937" w:rsidRPr="00BE5C22">
        <w:rPr>
          <w:rFonts w:ascii="Cambria" w:hAnsi="Cambria"/>
          <w:sz w:val="20"/>
          <w:szCs w:val="20"/>
        </w:rPr>
        <w:t>SCRS</w:t>
      </w:r>
      <w:r w:rsidR="00B97C46" w:rsidRPr="00BE5C22">
        <w:rPr>
          <w:rFonts w:ascii="Cambria" w:hAnsi="Cambria"/>
          <w:sz w:val="20"/>
          <w:szCs w:val="20"/>
        </w:rPr>
        <w:t xml:space="preserve"> has</w:t>
      </w:r>
      <w:r w:rsidR="00255B37" w:rsidRPr="00BE5C22">
        <w:rPr>
          <w:rFonts w:ascii="Cambria" w:hAnsi="Cambria"/>
          <w:sz w:val="20"/>
          <w:szCs w:val="20"/>
        </w:rPr>
        <w:t xml:space="preserve"> reiterated concern that catch levels, averaging about 141,000 t over the last 5 years (2018</w:t>
      </w:r>
      <w:r w:rsidR="003575FC">
        <w:rPr>
          <w:rFonts w:ascii="Cambria" w:hAnsi="Cambria"/>
          <w:sz w:val="20"/>
          <w:szCs w:val="20"/>
        </w:rPr>
        <w:t>-</w:t>
      </w:r>
      <w:r w:rsidR="00255B37" w:rsidRPr="00BE5C22">
        <w:rPr>
          <w:rFonts w:ascii="Cambria" w:hAnsi="Cambria"/>
          <w:sz w:val="20"/>
          <w:szCs w:val="20"/>
        </w:rPr>
        <w:t>2022)</w:t>
      </w:r>
      <w:r w:rsidR="00851E8C" w:rsidRPr="00BE5C22">
        <w:rPr>
          <w:rFonts w:ascii="Cambria" w:hAnsi="Cambria"/>
          <w:sz w:val="20"/>
          <w:szCs w:val="20"/>
        </w:rPr>
        <w:t xml:space="preserve"> has exceeded</w:t>
      </w:r>
      <w:r w:rsidR="00FA42CF" w:rsidRPr="00BE5C22">
        <w:rPr>
          <w:rFonts w:ascii="Cambria" w:hAnsi="Cambria"/>
          <w:sz w:val="20"/>
          <w:szCs w:val="20"/>
        </w:rPr>
        <w:t xml:space="preserve"> TAC of 110,000 t</w:t>
      </w:r>
      <w:r w:rsidR="00D04B56" w:rsidRPr="00BE5C22">
        <w:rPr>
          <w:rFonts w:ascii="Cambria" w:hAnsi="Cambria"/>
          <w:sz w:val="20"/>
          <w:szCs w:val="20"/>
        </w:rPr>
        <w:t>,</w:t>
      </w:r>
      <w:r w:rsidR="004965D1" w:rsidRPr="00BE5C22">
        <w:rPr>
          <w:rFonts w:ascii="Cambria" w:hAnsi="Cambria"/>
          <w:sz w:val="20"/>
          <w:szCs w:val="20"/>
        </w:rPr>
        <w:t xml:space="preserve"> and</w:t>
      </w:r>
      <w:r w:rsidR="00255B37" w:rsidRPr="00BE5C22">
        <w:rPr>
          <w:rFonts w:ascii="Cambria" w:hAnsi="Cambria"/>
          <w:sz w:val="20"/>
          <w:szCs w:val="20"/>
        </w:rPr>
        <w:t xml:space="preserve"> are expected to result in overfishing and lead to an overfished status if they continue. </w:t>
      </w:r>
      <w:r w:rsidR="00C8737D" w:rsidRPr="00BE5C22">
        <w:rPr>
          <w:rFonts w:ascii="Cambria" w:hAnsi="Cambria"/>
          <w:sz w:val="20"/>
          <w:szCs w:val="20"/>
        </w:rPr>
        <w:t xml:space="preserve">It </w:t>
      </w:r>
      <w:r w:rsidR="00B83F7D" w:rsidRPr="00BE5C22">
        <w:rPr>
          <w:rFonts w:ascii="Cambria" w:hAnsi="Cambria"/>
          <w:sz w:val="20"/>
          <w:szCs w:val="20"/>
        </w:rPr>
        <w:t>therefore becomes imperative</w:t>
      </w:r>
      <w:r w:rsidR="00255B37" w:rsidRPr="00BE5C22">
        <w:rPr>
          <w:rFonts w:ascii="Cambria" w:hAnsi="Cambria"/>
          <w:sz w:val="20"/>
          <w:szCs w:val="20"/>
        </w:rPr>
        <w:t xml:space="preserve"> that the Commission </w:t>
      </w:r>
      <w:proofErr w:type="gramStart"/>
      <w:r w:rsidR="00707F52" w:rsidRPr="00BE5C22">
        <w:rPr>
          <w:rFonts w:ascii="Cambria" w:hAnsi="Cambria"/>
          <w:sz w:val="20"/>
          <w:szCs w:val="20"/>
        </w:rPr>
        <w:t>starts</w:t>
      </w:r>
      <w:proofErr w:type="gramEnd"/>
      <w:r w:rsidR="00801D3E" w:rsidRPr="00BE5C22">
        <w:rPr>
          <w:rFonts w:ascii="Cambria" w:hAnsi="Cambria"/>
          <w:sz w:val="20"/>
          <w:szCs w:val="20"/>
        </w:rPr>
        <w:t xml:space="preserve"> deliberations now</w:t>
      </w:r>
      <w:r w:rsidR="0056625B" w:rsidRPr="00BE5C22">
        <w:rPr>
          <w:rFonts w:ascii="Cambria" w:hAnsi="Cambria"/>
          <w:sz w:val="20"/>
          <w:szCs w:val="20"/>
        </w:rPr>
        <w:t>, namely concerning the TAC and quota allocation</w:t>
      </w:r>
      <w:r w:rsidR="00CF399B" w:rsidRPr="00BE5C22">
        <w:rPr>
          <w:rFonts w:ascii="Cambria" w:hAnsi="Cambria"/>
          <w:sz w:val="20"/>
          <w:szCs w:val="20"/>
        </w:rPr>
        <w:t>.</w:t>
      </w:r>
      <w:r w:rsidR="00255B37" w:rsidRPr="00BE5C22">
        <w:rPr>
          <w:rFonts w:ascii="Cambria" w:hAnsi="Cambria"/>
          <w:sz w:val="20"/>
          <w:szCs w:val="20"/>
        </w:rPr>
        <w:t xml:space="preserve"> </w:t>
      </w:r>
    </w:p>
    <w:p w14:paraId="3420BC6A" w14:textId="77777777" w:rsidR="00BE5C22" w:rsidRPr="00BE5C22" w:rsidRDefault="00BE5C22" w:rsidP="00BE5C2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FBC6B47" w14:textId="6E2D77B4" w:rsidR="00F502AF" w:rsidRDefault="00C33073" w:rsidP="00BE5C22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BE5C22">
        <w:rPr>
          <w:rFonts w:ascii="Cambria" w:hAnsi="Cambria" w:cs="Times New Roman"/>
          <w:sz w:val="20"/>
          <w:szCs w:val="20"/>
        </w:rPr>
        <w:t>It is</w:t>
      </w:r>
      <w:r w:rsidR="00083F9E" w:rsidRPr="00BE5C22">
        <w:rPr>
          <w:rFonts w:ascii="Cambria" w:hAnsi="Cambria" w:cs="Times New Roman"/>
          <w:sz w:val="20"/>
          <w:szCs w:val="20"/>
        </w:rPr>
        <w:t xml:space="preserve"> my fervent hope</w:t>
      </w:r>
      <w:r w:rsidRPr="00BE5C22">
        <w:rPr>
          <w:rFonts w:ascii="Cambria" w:hAnsi="Cambria" w:cs="Times New Roman"/>
          <w:sz w:val="20"/>
          <w:szCs w:val="20"/>
        </w:rPr>
        <w:t xml:space="preserve"> that member CPCs </w:t>
      </w:r>
      <w:r w:rsidR="00CC6723" w:rsidRPr="00BE5C22">
        <w:rPr>
          <w:rFonts w:ascii="Cambria" w:hAnsi="Cambria" w:cs="Times New Roman"/>
          <w:color w:val="000000"/>
          <w:sz w:val="20"/>
          <w:szCs w:val="20"/>
        </w:rPr>
        <w:t xml:space="preserve">review the </w:t>
      </w:r>
      <w:hyperlink r:id="rId13" w:history="1">
        <w:r w:rsidR="00081725" w:rsidRPr="00BE5C22">
          <w:rPr>
            <w:rStyle w:val="Hyperlink"/>
            <w:rFonts w:ascii="Cambria" w:hAnsi="Cambria" w:cs="Times New Roman"/>
            <w:sz w:val="20"/>
            <w:szCs w:val="20"/>
            <w:u w:val="none"/>
          </w:rPr>
          <w:t xml:space="preserve">2025 </w:t>
        </w:r>
        <w:r w:rsidR="000027F9" w:rsidRPr="00BE5C22">
          <w:rPr>
            <w:rStyle w:val="Hyperlink"/>
            <w:rFonts w:ascii="Cambria" w:hAnsi="Cambria" w:cs="Times New Roman"/>
            <w:sz w:val="20"/>
            <w:szCs w:val="20"/>
            <w:u w:val="none"/>
          </w:rPr>
          <w:t xml:space="preserve">SCRS </w:t>
        </w:r>
        <w:r w:rsidR="000F24FA" w:rsidRPr="00BE5C22">
          <w:rPr>
            <w:rStyle w:val="Hyperlink"/>
            <w:rFonts w:ascii="Cambria" w:hAnsi="Cambria" w:cs="Times New Roman"/>
            <w:sz w:val="20"/>
            <w:szCs w:val="20"/>
            <w:u w:val="none"/>
          </w:rPr>
          <w:t>R</w:t>
        </w:r>
        <w:r w:rsidR="00CC6723" w:rsidRPr="00BE5C22">
          <w:rPr>
            <w:rStyle w:val="Hyperlink"/>
            <w:rFonts w:ascii="Cambria" w:hAnsi="Cambria" w:cs="Times New Roman"/>
            <w:sz w:val="20"/>
            <w:szCs w:val="20"/>
            <w:u w:val="none"/>
          </w:rPr>
          <w:t>eport</w:t>
        </w:r>
      </w:hyperlink>
      <w:r w:rsidR="00B75BA6" w:rsidRPr="00BE5C22">
        <w:rPr>
          <w:rFonts w:ascii="Cambria" w:hAnsi="Cambria" w:cs="Times New Roman"/>
          <w:color w:val="000000"/>
          <w:sz w:val="20"/>
          <w:szCs w:val="20"/>
        </w:rPr>
        <w:t>,</w:t>
      </w:r>
      <w:r w:rsidR="00153FC8" w:rsidRPr="00BE5C22">
        <w:rPr>
          <w:rFonts w:ascii="Cambria" w:hAnsi="Cambria" w:cs="Times New Roman"/>
          <w:color w:val="000000"/>
          <w:sz w:val="20"/>
          <w:szCs w:val="20"/>
        </w:rPr>
        <w:t xml:space="preserve"> which</w:t>
      </w:r>
      <w:r w:rsidR="00CB26D9" w:rsidRPr="00BE5C22">
        <w:rPr>
          <w:rFonts w:ascii="Cambria" w:hAnsi="Cambria" w:cs="Times New Roman"/>
          <w:color w:val="000000"/>
          <w:sz w:val="20"/>
          <w:szCs w:val="20"/>
        </w:rPr>
        <w:t xml:space="preserve"> includes </w:t>
      </w:r>
      <w:r w:rsidR="00B75BA6" w:rsidRPr="00BE5C22">
        <w:rPr>
          <w:rFonts w:ascii="Cambria" w:hAnsi="Cambria" w:cs="Times New Roman"/>
          <w:color w:val="000000"/>
          <w:sz w:val="20"/>
          <w:szCs w:val="20"/>
        </w:rPr>
        <w:t>other</w:t>
      </w:r>
      <w:r w:rsidR="00CB26D9" w:rsidRPr="00BE5C22">
        <w:rPr>
          <w:rFonts w:ascii="Cambria" w:hAnsi="Cambria" w:cs="Times New Roman"/>
          <w:color w:val="000000"/>
          <w:sz w:val="20"/>
          <w:szCs w:val="20"/>
        </w:rPr>
        <w:t xml:space="preserve"> responses to the Commission</w:t>
      </w:r>
      <w:r w:rsidR="000027F9" w:rsidRPr="00BE5C22">
        <w:rPr>
          <w:rFonts w:ascii="Cambria" w:hAnsi="Cambria" w:cs="Times New Roman"/>
          <w:color w:val="000000"/>
          <w:sz w:val="20"/>
          <w:szCs w:val="20"/>
        </w:rPr>
        <w:t>,</w:t>
      </w:r>
      <w:r w:rsidR="00CC6723" w:rsidRPr="00BE5C22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4E03E7" w:rsidRPr="00BE5C22">
        <w:rPr>
          <w:rFonts w:ascii="Cambria" w:hAnsi="Cambria" w:cs="Times New Roman"/>
          <w:color w:val="000000"/>
          <w:sz w:val="20"/>
          <w:szCs w:val="20"/>
        </w:rPr>
        <w:t xml:space="preserve">and </w:t>
      </w:r>
      <w:r w:rsidR="00CC6723" w:rsidRPr="00BE5C22">
        <w:rPr>
          <w:rFonts w:ascii="Cambria" w:hAnsi="Cambria" w:cs="Times New Roman"/>
          <w:color w:val="000000"/>
          <w:sz w:val="20"/>
          <w:szCs w:val="20"/>
          <w:bdr w:val="none" w:sz="0" w:space="0" w:color="auto" w:frame="1"/>
        </w:rPr>
        <w:t xml:space="preserve">delegations consult and decide their positions in advance of </w:t>
      </w:r>
      <w:r w:rsidR="0018151F" w:rsidRPr="00BE5C22">
        <w:rPr>
          <w:rFonts w:ascii="Cambria" w:hAnsi="Cambria" w:cs="Times New Roman"/>
          <w:color w:val="000000"/>
          <w:sz w:val="20"/>
          <w:szCs w:val="20"/>
          <w:bdr w:val="none" w:sz="0" w:space="0" w:color="auto" w:frame="1"/>
        </w:rPr>
        <w:t>next month meeting.</w:t>
      </w:r>
      <w:r w:rsidR="005E30F5" w:rsidRPr="00BE5C22">
        <w:rPr>
          <w:rFonts w:ascii="Cambria" w:hAnsi="Cambria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F502AF" w:rsidRPr="00BE5C22">
        <w:rPr>
          <w:rFonts w:ascii="Cambria" w:hAnsi="Cambria" w:cs="Times New Roman"/>
          <w:sz w:val="20"/>
          <w:szCs w:val="20"/>
        </w:rPr>
        <w:t xml:space="preserve">I look forward to seeing </w:t>
      </w:r>
      <w:r w:rsidR="00F00438" w:rsidRPr="00BE5C22">
        <w:rPr>
          <w:rFonts w:ascii="Cambria" w:hAnsi="Cambria" w:cs="Times New Roman"/>
          <w:sz w:val="20"/>
          <w:szCs w:val="20"/>
        </w:rPr>
        <w:t xml:space="preserve">and working collaboratively with </w:t>
      </w:r>
      <w:r w:rsidR="00F502AF" w:rsidRPr="00BE5C22">
        <w:rPr>
          <w:rFonts w:ascii="Cambria" w:hAnsi="Cambria" w:cs="Times New Roman"/>
          <w:sz w:val="20"/>
          <w:szCs w:val="20"/>
        </w:rPr>
        <w:t>you all in Seville soon.</w:t>
      </w:r>
    </w:p>
    <w:p w14:paraId="144597C4" w14:textId="77777777" w:rsidR="00BE5C22" w:rsidRPr="00BE5C22" w:rsidRDefault="00BE5C22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</w:p>
    <w:p w14:paraId="6180DE0B" w14:textId="08733BE6" w:rsidR="00D8369A" w:rsidRPr="00BE5C22" w:rsidRDefault="00D8369A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Please accept the assurances of my highest consideration.</w:t>
      </w:r>
    </w:p>
    <w:p w14:paraId="02BF2E0E" w14:textId="13498646" w:rsidR="00AC1FA1" w:rsidRPr="00BE5C22" w:rsidRDefault="00AC1FA1" w:rsidP="00BE5C22">
      <w:pPr>
        <w:spacing w:after="0" w:line="240" w:lineRule="auto"/>
        <w:rPr>
          <w:rFonts w:ascii="Cambria" w:hAnsi="Cambria"/>
          <w:sz w:val="20"/>
          <w:szCs w:val="20"/>
        </w:rPr>
      </w:pPr>
      <w:r w:rsidRPr="00BE5C22">
        <w:rPr>
          <w:noProof/>
          <w:sz w:val="20"/>
          <w:szCs w:val="20"/>
        </w:rPr>
        <w:drawing>
          <wp:inline distT="0" distB="0" distL="0" distR="0" wp14:anchorId="42EF6810" wp14:editId="7577FCB6">
            <wp:extent cx="1231265" cy="752475"/>
            <wp:effectExtent l="0" t="0" r="6985" b="9525"/>
            <wp:docPr id="894661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61764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513A" w14:textId="77777777" w:rsidR="00AC1FA1" w:rsidRPr="00BE5C22" w:rsidRDefault="00AC1FA1" w:rsidP="00BE5C22">
      <w:pPr>
        <w:spacing w:after="0" w:line="240" w:lineRule="auto"/>
        <w:jc w:val="both"/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Emmanuel Kwame Dovlo </w:t>
      </w:r>
    </w:p>
    <w:p w14:paraId="47AC032B" w14:textId="16130C89" w:rsidR="00AC1FA1" w:rsidRPr="00BE5C22" w:rsidRDefault="00AC1FA1" w:rsidP="00BE5C22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>(</w:t>
      </w:r>
      <w:r w:rsidRPr="00BE5C22">
        <w:rPr>
          <w:rFonts w:ascii="Cambria" w:eastAsia="Times New Roman" w:hAnsi="Cambria" w:cs="Calibri"/>
          <w:i/>
          <w:iCs/>
          <w:color w:val="242424"/>
          <w:sz w:val="20"/>
          <w:szCs w:val="20"/>
          <w:bdr w:val="none" w:sz="0" w:space="0" w:color="auto" w:frame="1"/>
        </w:rPr>
        <w:t>Chair of Panel 1</w:t>
      </w:r>
      <w:r w:rsidRPr="00BE5C22">
        <w:rPr>
          <w:rFonts w:ascii="Cambria" w:eastAsia="Times New Roman" w:hAnsi="Cambria" w:cs="Calibri"/>
          <w:color w:val="242424"/>
          <w:sz w:val="20"/>
          <w:szCs w:val="20"/>
          <w:bdr w:val="none" w:sz="0" w:space="0" w:color="auto" w:frame="1"/>
        </w:rPr>
        <w:t xml:space="preserve">) </w:t>
      </w:r>
    </w:p>
    <w:sectPr w:rsidR="00AC1FA1" w:rsidRPr="00BE5C22" w:rsidSect="005E45DB">
      <w:headerReference w:type="default" r:id="rId16"/>
      <w:footerReference w:type="default" r:id="rId17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A71B" w14:textId="77777777" w:rsidR="001C6728" w:rsidRDefault="001C6728" w:rsidP="00385F80">
      <w:pPr>
        <w:spacing w:after="0" w:line="240" w:lineRule="auto"/>
      </w:pPr>
      <w:r>
        <w:separator/>
      </w:r>
    </w:p>
  </w:endnote>
  <w:endnote w:type="continuationSeparator" w:id="0">
    <w:p w14:paraId="2CCD2842" w14:textId="77777777" w:rsidR="001C6728" w:rsidRDefault="001C6728" w:rsidP="0038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7218" w14:textId="77777777" w:rsidR="005E45DB" w:rsidRPr="009D7C60" w:rsidRDefault="005E45DB" w:rsidP="005E45DB">
    <w:pPr>
      <w:tabs>
        <w:tab w:val="center" w:pos="4535"/>
        <w:tab w:val="center" w:pos="4680"/>
        <w:tab w:val="left" w:pos="6150"/>
        <w:tab w:val="right" w:pos="9360"/>
      </w:tabs>
      <w:jc w:val="center"/>
      <w:rPr>
        <w:sz w:val="20"/>
      </w:rPr>
    </w:pPr>
    <w:r w:rsidRPr="001F2E99">
      <w:rPr>
        <w:rFonts w:eastAsia="Calibri" w:cs="Calibri"/>
        <w:sz w:val="20"/>
        <w:szCs w:val="20"/>
      </w:rPr>
      <w:fldChar w:fldCharType="begin"/>
    </w:r>
    <w:r w:rsidRPr="001F2E99">
      <w:rPr>
        <w:rFonts w:eastAsia="Calibri" w:cs="Calibri"/>
        <w:sz w:val="20"/>
        <w:szCs w:val="20"/>
      </w:rPr>
      <w:instrText xml:space="preserve"> PAGE </w:instrText>
    </w:r>
    <w:r w:rsidRPr="001F2E99">
      <w:rPr>
        <w:rFonts w:eastAsia="Calibri" w:cs="Calibri"/>
        <w:sz w:val="20"/>
        <w:szCs w:val="20"/>
      </w:rPr>
      <w:fldChar w:fldCharType="separate"/>
    </w:r>
    <w:r>
      <w:rPr>
        <w:rFonts w:eastAsia="Calibri" w:cs="Calibri"/>
        <w:sz w:val="20"/>
        <w:szCs w:val="20"/>
      </w:rPr>
      <w:t>1</w:t>
    </w:r>
    <w:r w:rsidRPr="001F2E99">
      <w:rPr>
        <w:rFonts w:eastAsia="Calibri" w:cs="Calibri"/>
        <w:sz w:val="20"/>
        <w:szCs w:val="20"/>
      </w:rPr>
      <w:fldChar w:fldCharType="end"/>
    </w:r>
    <w:r w:rsidRPr="001F2E99">
      <w:rPr>
        <w:rFonts w:eastAsia="Calibri" w:cs="Calibri"/>
        <w:sz w:val="20"/>
        <w:szCs w:val="20"/>
      </w:rPr>
      <w:t xml:space="preserve"> / </w:t>
    </w:r>
    <w:r w:rsidRPr="001F2E99">
      <w:rPr>
        <w:rFonts w:eastAsia="Calibri" w:cs="Calibri"/>
        <w:sz w:val="20"/>
        <w:szCs w:val="20"/>
      </w:rPr>
      <w:fldChar w:fldCharType="begin"/>
    </w:r>
    <w:r w:rsidRPr="001F2E99">
      <w:rPr>
        <w:rFonts w:eastAsia="Calibri" w:cs="Calibri"/>
        <w:sz w:val="20"/>
        <w:szCs w:val="20"/>
      </w:rPr>
      <w:instrText xml:space="preserve"> NUMPAGES  </w:instrText>
    </w:r>
    <w:r w:rsidRPr="001F2E99">
      <w:rPr>
        <w:rFonts w:eastAsia="Calibri" w:cs="Calibri"/>
        <w:sz w:val="20"/>
        <w:szCs w:val="20"/>
      </w:rPr>
      <w:fldChar w:fldCharType="separate"/>
    </w:r>
    <w:r>
      <w:rPr>
        <w:rFonts w:eastAsia="Calibri" w:cs="Calibri"/>
        <w:sz w:val="20"/>
        <w:szCs w:val="20"/>
      </w:rPr>
      <w:t>8</w:t>
    </w:r>
    <w:r w:rsidRPr="001F2E99">
      <w:rPr>
        <w:rFonts w:eastAsia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0E58" w14:textId="77777777" w:rsidR="001C6728" w:rsidRDefault="001C6728" w:rsidP="00385F80">
      <w:pPr>
        <w:spacing w:after="0" w:line="240" w:lineRule="auto"/>
      </w:pPr>
      <w:r>
        <w:separator/>
      </w:r>
    </w:p>
  </w:footnote>
  <w:footnote w:type="continuationSeparator" w:id="0">
    <w:p w14:paraId="054ADFC4" w14:textId="77777777" w:rsidR="001C6728" w:rsidRDefault="001C6728" w:rsidP="0038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531A" w14:textId="7FA33CB6" w:rsidR="00AC715A" w:rsidRPr="00AC715A" w:rsidRDefault="00AC715A" w:rsidP="00AC715A">
    <w:pPr>
      <w:widowControl w:val="0"/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spacing w:after="0" w:line="240" w:lineRule="auto"/>
      <w:jc w:val="right"/>
      <w:rPr>
        <w:rFonts w:ascii="Cambria" w:eastAsia="Calibri" w:hAnsi="Cambria" w:cs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AC715A">
      <w:rPr>
        <w:rFonts w:ascii="Cambria" w:eastAsia="Calibri" w:hAnsi="Cambria" w:cs="Cambria"/>
        <w:b/>
        <w:bCs/>
        <w:sz w:val="20"/>
        <w:szCs w:val="20"/>
      </w:rPr>
      <w:t>PA</w:t>
    </w:r>
    <w:r w:rsidR="0016639A">
      <w:rPr>
        <w:rFonts w:ascii="Cambria" w:eastAsia="Calibri" w:hAnsi="Cambria" w:cs="Cambria"/>
        <w:b/>
        <w:bCs/>
        <w:sz w:val="20"/>
        <w:szCs w:val="20"/>
      </w:rPr>
      <w:t>1</w:t>
    </w:r>
    <w:r w:rsidRPr="00AC715A">
      <w:rPr>
        <w:rFonts w:ascii="Cambria" w:eastAsia="Calibri" w:hAnsi="Cambria" w:cs="Cambria"/>
        <w:b/>
        <w:bCs/>
        <w:sz w:val="20"/>
        <w:szCs w:val="20"/>
      </w:rPr>
      <w:t>_</w:t>
    </w:r>
    <w:r w:rsidR="0016639A">
      <w:rPr>
        <w:rFonts w:ascii="Cambria" w:eastAsia="Calibri" w:hAnsi="Cambria" w:cs="Cambria"/>
        <w:b/>
        <w:bCs/>
        <w:sz w:val="20"/>
        <w:szCs w:val="20"/>
      </w:rPr>
      <w:t>503</w:t>
    </w:r>
    <w:r w:rsidRPr="00AC715A">
      <w:rPr>
        <w:rFonts w:ascii="Cambria" w:eastAsia="Calibri" w:hAnsi="Cambria" w:cs="Cambria"/>
        <w:b/>
        <w:bCs/>
        <w:sz w:val="20"/>
        <w:szCs w:val="20"/>
      </w:rPr>
      <w:t>/2025</w:t>
    </w:r>
  </w:p>
  <w:p w14:paraId="6B7900FE" w14:textId="73DCD9B5" w:rsidR="00385F80" w:rsidRPr="00AC715A" w:rsidRDefault="00AC715A" w:rsidP="00AC715A">
    <w:pPr>
      <w:widowControl w:val="0"/>
      <w:tabs>
        <w:tab w:val="left" w:pos="7320"/>
      </w:tabs>
      <w:autoSpaceDE w:val="0"/>
      <w:autoSpaceDN w:val="0"/>
      <w:spacing w:after="0" w:line="240" w:lineRule="exact"/>
      <w:jc w:val="right"/>
    </w:pPr>
    <w:r w:rsidRPr="00AC715A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begin"/>
    </w:r>
    <w:r w:rsidRPr="00AC715A">
      <w:rPr>
        <w:rFonts w:ascii="Cambria" w:eastAsia="Cambria" w:hAnsi="Cambria" w:cs="Cambria"/>
        <w:b/>
        <w:bCs/>
        <w:sz w:val="16"/>
        <w:szCs w:val="16"/>
        <w:lang w:val="es-ES_tradnl"/>
      </w:rPr>
      <w:instrText xml:space="preserve"> TIME \@ "dd/MM/yyyy H:mm" </w:instrText>
    </w:r>
    <w:r w:rsidRPr="00AC715A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separate"/>
    </w:r>
    <w:r w:rsidR="008B2675">
      <w:rPr>
        <w:rFonts w:ascii="Cambria" w:eastAsia="Cambria" w:hAnsi="Cambria" w:cs="Cambria"/>
        <w:b/>
        <w:bCs/>
        <w:noProof/>
        <w:sz w:val="16"/>
        <w:szCs w:val="16"/>
        <w:lang w:val="es-ES_tradnl"/>
      </w:rPr>
      <w:t>28/10/2025 10:53</w:t>
    </w:r>
    <w:r w:rsidRPr="00AC715A">
      <w:rPr>
        <w:rFonts w:ascii="Cambria" w:eastAsia="Cambria" w:hAnsi="Cambria" w:cs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6275"/>
    <w:multiLevelType w:val="multilevel"/>
    <w:tmpl w:val="18FCC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B7B22"/>
    <w:multiLevelType w:val="hybridMultilevel"/>
    <w:tmpl w:val="A8B4A670"/>
    <w:lvl w:ilvl="0" w:tplc="88D85B3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4FF"/>
    <w:multiLevelType w:val="multilevel"/>
    <w:tmpl w:val="5EE05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664752">
    <w:abstractNumId w:val="0"/>
  </w:num>
  <w:num w:numId="2" w16cid:durableId="550115965">
    <w:abstractNumId w:val="2"/>
  </w:num>
  <w:num w:numId="3" w16cid:durableId="158113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9A"/>
    <w:rsid w:val="00001A15"/>
    <w:rsid w:val="000020BB"/>
    <w:rsid w:val="00002113"/>
    <w:rsid w:val="000027F9"/>
    <w:rsid w:val="00006345"/>
    <w:rsid w:val="00011ED1"/>
    <w:rsid w:val="000224F7"/>
    <w:rsid w:val="0003044E"/>
    <w:rsid w:val="00030673"/>
    <w:rsid w:val="0003240B"/>
    <w:rsid w:val="00032530"/>
    <w:rsid w:val="000434B6"/>
    <w:rsid w:val="000507C6"/>
    <w:rsid w:val="0005448A"/>
    <w:rsid w:val="00064F7C"/>
    <w:rsid w:val="00074365"/>
    <w:rsid w:val="00075508"/>
    <w:rsid w:val="00077890"/>
    <w:rsid w:val="00081725"/>
    <w:rsid w:val="000824BB"/>
    <w:rsid w:val="00083F9E"/>
    <w:rsid w:val="000877BD"/>
    <w:rsid w:val="0009515B"/>
    <w:rsid w:val="000C2010"/>
    <w:rsid w:val="000E1E8D"/>
    <w:rsid w:val="000F01DB"/>
    <w:rsid w:val="000F24FA"/>
    <w:rsid w:val="000F52B3"/>
    <w:rsid w:val="00110B56"/>
    <w:rsid w:val="001201B8"/>
    <w:rsid w:val="001429FB"/>
    <w:rsid w:val="00144145"/>
    <w:rsid w:val="001458CA"/>
    <w:rsid w:val="00151D79"/>
    <w:rsid w:val="00153FC8"/>
    <w:rsid w:val="00165186"/>
    <w:rsid w:val="0016639A"/>
    <w:rsid w:val="00171CF8"/>
    <w:rsid w:val="00176179"/>
    <w:rsid w:val="001807F7"/>
    <w:rsid w:val="0018151F"/>
    <w:rsid w:val="001835A4"/>
    <w:rsid w:val="0019710A"/>
    <w:rsid w:val="001A1A7C"/>
    <w:rsid w:val="001A7669"/>
    <w:rsid w:val="001C14F9"/>
    <w:rsid w:val="001C6728"/>
    <w:rsid w:val="001C77B0"/>
    <w:rsid w:val="001E2FF4"/>
    <w:rsid w:val="001F20EA"/>
    <w:rsid w:val="00204D42"/>
    <w:rsid w:val="002149B7"/>
    <w:rsid w:val="00246872"/>
    <w:rsid w:val="00255B37"/>
    <w:rsid w:val="002615F0"/>
    <w:rsid w:val="0027688D"/>
    <w:rsid w:val="0027744C"/>
    <w:rsid w:val="002807AF"/>
    <w:rsid w:val="00283DDB"/>
    <w:rsid w:val="0028459B"/>
    <w:rsid w:val="00294E23"/>
    <w:rsid w:val="00297E10"/>
    <w:rsid w:val="002A7DA4"/>
    <w:rsid w:val="002B73A0"/>
    <w:rsid w:val="002B7ABF"/>
    <w:rsid w:val="002C7B4A"/>
    <w:rsid w:val="002D2FBC"/>
    <w:rsid w:val="002D6DFE"/>
    <w:rsid w:val="002E4961"/>
    <w:rsid w:val="002F3F47"/>
    <w:rsid w:val="00301EB8"/>
    <w:rsid w:val="003029C4"/>
    <w:rsid w:val="00312514"/>
    <w:rsid w:val="0031435B"/>
    <w:rsid w:val="003205AC"/>
    <w:rsid w:val="00321089"/>
    <w:rsid w:val="00321BB5"/>
    <w:rsid w:val="00327396"/>
    <w:rsid w:val="003575FC"/>
    <w:rsid w:val="00360FFE"/>
    <w:rsid w:val="00366109"/>
    <w:rsid w:val="0037102A"/>
    <w:rsid w:val="003723BF"/>
    <w:rsid w:val="003753E1"/>
    <w:rsid w:val="0037688F"/>
    <w:rsid w:val="00385F80"/>
    <w:rsid w:val="003A2505"/>
    <w:rsid w:val="003B7E1D"/>
    <w:rsid w:val="003C6784"/>
    <w:rsid w:val="003D002C"/>
    <w:rsid w:val="003D3F3B"/>
    <w:rsid w:val="003D67F8"/>
    <w:rsid w:val="00403297"/>
    <w:rsid w:val="00414117"/>
    <w:rsid w:val="00432FBD"/>
    <w:rsid w:val="0044189D"/>
    <w:rsid w:val="0044210A"/>
    <w:rsid w:val="00442B19"/>
    <w:rsid w:val="0044644C"/>
    <w:rsid w:val="004526B1"/>
    <w:rsid w:val="00460244"/>
    <w:rsid w:val="00477273"/>
    <w:rsid w:val="004965D1"/>
    <w:rsid w:val="00497DA3"/>
    <w:rsid w:val="004A7CA3"/>
    <w:rsid w:val="004B0772"/>
    <w:rsid w:val="004E03E7"/>
    <w:rsid w:val="004F322D"/>
    <w:rsid w:val="00510CC0"/>
    <w:rsid w:val="005159E6"/>
    <w:rsid w:val="00516281"/>
    <w:rsid w:val="00520023"/>
    <w:rsid w:val="0052084C"/>
    <w:rsid w:val="005227DC"/>
    <w:rsid w:val="005360A3"/>
    <w:rsid w:val="00550106"/>
    <w:rsid w:val="00555ED7"/>
    <w:rsid w:val="00563658"/>
    <w:rsid w:val="0056625B"/>
    <w:rsid w:val="00573499"/>
    <w:rsid w:val="00583626"/>
    <w:rsid w:val="00596538"/>
    <w:rsid w:val="005B4E14"/>
    <w:rsid w:val="005B5694"/>
    <w:rsid w:val="005C1409"/>
    <w:rsid w:val="005D65D2"/>
    <w:rsid w:val="005E30F5"/>
    <w:rsid w:val="005E3862"/>
    <w:rsid w:val="005E451F"/>
    <w:rsid w:val="005E45DB"/>
    <w:rsid w:val="005F38A9"/>
    <w:rsid w:val="00607F6F"/>
    <w:rsid w:val="00616BE7"/>
    <w:rsid w:val="006254FC"/>
    <w:rsid w:val="00636865"/>
    <w:rsid w:val="00641106"/>
    <w:rsid w:val="00644148"/>
    <w:rsid w:val="0064775F"/>
    <w:rsid w:val="00652E06"/>
    <w:rsid w:val="00672518"/>
    <w:rsid w:val="00675B9B"/>
    <w:rsid w:val="00687E71"/>
    <w:rsid w:val="006B0FBF"/>
    <w:rsid w:val="006D285D"/>
    <w:rsid w:val="006F24F3"/>
    <w:rsid w:val="00706509"/>
    <w:rsid w:val="00707F52"/>
    <w:rsid w:val="007159D3"/>
    <w:rsid w:val="00745794"/>
    <w:rsid w:val="0074582F"/>
    <w:rsid w:val="007459E7"/>
    <w:rsid w:val="00746EA5"/>
    <w:rsid w:val="007B5F22"/>
    <w:rsid w:val="007C68B1"/>
    <w:rsid w:val="007C714E"/>
    <w:rsid w:val="007D0545"/>
    <w:rsid w:val="007D083B"/>
    <w:rsid w:val="00801A70"/>
    <w:rsid w:val="00801D3E"/>
    <w:rsid w:val="0081597F"/>
    <w:rsid w:val="00816E16"/>
    <w:rsid w:val="00851E8C"/>
    <w:rsid w:val="008844BE"/>
    <w:rsid w:val="00886AE0"/>
    <w:rsid w:val="00890C4E"/>
    <w:rsid w:val="00891AF4"/>
    <w:rsid w:val="00897E2A"/>
    <w:rsid w:val="008B17B4"/>
    <w:rsid w:val="008B2675"/>
    <w:rsid w:val="008B4D2D"/>
    <w:rsid w:val="008C1D2D"/>
    <w:rsid w:val="008C3914"/>
    <w:rsid w:val="008C4AEA"/>
    <w:rsid w:val="008D0211"/>
    <w:rsid w:val="008D1DAE"/>
    <w:rsid w:val="008E5E85"/>
    <w:rsid w:val="008F1B22"/>
    <w:rsid w:val="008F1BF0"/>
    <w:rsid w:val="008F4676"/>
    <w:rsid w:val="00905937"/>
    <w:rsid w:val="00952085"/>
    <w:rsid w:val="009870F2"/>
    <w:rsid w:val="00996B5B"/>
    <w:rsid w:val="009A405C"/>
    <w:rsid w:val="009A45C4"/>
    <w:rsid w:val="009B4E91"/>
    <w:rsid w:val="009F3A2D"/>
    <w:rsid w:val="009F4901"/>
    <w:rsid w:val="009F6812"/>
    <w:rsid w:val="00A02BCF"/>
    <w:rsid w:val="00A03794"/>
    <w:rsid w:val="00A243A0"/>
    <w:rsid w:val="00A3309F"/>
    <w:rsid w:val="00A4686F"/>
    <w:rsid w:val="00A6485B"/>
    <w:rsid w:val="00A723AC"/>
    <w:rsid w:val="00A75C13"/>
    <w:rsid w:val="00A75D83"/>
    <w:rsid w:val="00A77C35"/>
    <w:rsid w:val="00A85241"/>
    <w:rsid w:val="00A864C7"/>
    <w:rsid w:val="00AA26EC"/>
    <w:rsid w:val="00AA52E4"/>
    <w:rsid w:val="00AB55AA"/>
    <w:rsid w:val="00AC1FA1"/>
    <w:rsid w:val="00AC715A"/>
    <w:rsid w:val="00AC78DB"/>
    <w:rsid w:val="00AE3C26"/>
    <w:rsid w:val="00AF562A"/>
    <w:rsid w:val="00B06CC0"/>
    <w:rsid w:val="00B223B5"/>
    <w:rsid w:val="00B2628A"/>
    <w:rsid w:val="00B27F1F"/>
    <w:rsid w:val="00B30DE8"/>
    <w:rsid w:val="00B35133"/>
    <w:rsid w:val="00B35C6F"/>
    <w:rsid w:val="00B562DE"/>
    <w:rsid w:val="00B61E60"/>
    <w:rsid w:val="00B75BA6"/>
    <w:rsid w:val="00B83F7D"/>
    <w:rsid w:val="00B975DC"/>
    <w:rsid w:val="00B97C46"/>
    <w:rsid w:val="00BA6E20"/>
    <w:rsid w:val="00BB2B88"/>
    <w:rsid w:val="00BB7DA1"/>
    <w:rsid w:val="00BC381E"/>
    <w:rsid w:val="00BE5C22"/>
    <w:rsid w:val="00BF22BF"/>
    <w:rsid w:val="00BF32A3"/>
    <w:rsid w:val="00C006EA"/>
    <w:rsid w:val="00C04D3A"/>
    <w:rsid w:val="00C0766F"/>
    <w:rsid w:val="00C33073"/>
    <w:rsid w:val="00C41BA0"/>
    <w:rsid w:val="00C444E3"/>
    <w:rsid w:val="00C44C55"/>
    <w:rsid w:val="00C50BEB"/>
    <w:rsid w:val="00C54ABB"/>
    <w:rsid w:val="00C73ADF"/>
    <w:rsid w:val="00C73D1A"/>
    <w:rsid w:val="00C8737D"/>
    <w:rsid w:val="00C9602B"/>
    <w:rsid w:val="00C96A00"/>
    <w:rsid w:val="00CA7CBA"/>
    <w:rsid w:val="00CB26D9"/>
    <w:rsid w:val="00CC6723"/>
    <w:rsid w:val="00CD630A"/>
    <w:rsid w:val="00CE51FA"/>
    <w:rsid w:val="00CF399B"/>
    <w:rsid w:val="00D04B56"/>
    <w:rsid w:val="00D11B4C"/>
    <w:rsid w:val="00D12729"/>
    <w:rsid w:val="00D14297"/>
    <w:rsid w:val="00D17AA6"/>
    <w:rsid w:val="00D251B4"/>
    <w:rsid w:val="00D452E3"/>
    <w:rsid w:val="00D5737F"/>
    <w:rsid w:val="00D577EB"/>
    <w:rsid w:val="00D623A3"/>
    <w:rsid w:val="00D80672"/>
    <w:rsid w:val="00D8369A"/>
    <w:rsid w:val="00D843FD"/>
    <w:rsid w:val="00D86041"/>
    <w:rsid w:val="00D86196"/>
    <w:rsid w:val="00DA6C87"/>
    <w:rsid w:val="00DB080D"/>
    <w:rsid w:val="00DD47AE"/>
    <w:rsid w:val="00DD5350"/>
    <w:rsid w:val="00DE3EBD"/>
    <w:rsid w:val="00DF2592"/>
    <w:rsid w:val="00DF2F89"/>
    <w:rsid w:val="00DF4B63"/>
    <w:rsid w:val="00E04A35"/>
    <w:rsid w:val="00E11E7B"/>
    <w:rsid w:val="00E22CAC"/>
    <w:rsid w:val="00E254C6"/>
    <w:rsid w:val="00E36C91"/>
    <w:rsid w:val="00E54321"/>
    <w:rsid w:val="00E671B1"/>
    <w:rsid w:val="00E7428B"/>
    <w:rsid w:val="00E7648D"/>
    <w:rsid w:val="00E81D86"/>
    <w:rsid w:val="00E83326"/>
    <w:rsid w:val="00E83414"/>
    <w:rsid w:val="00E903BF"/>
    <w:rsid w:val="00E91B9A"/>
    <w:rsid w:val="00E96D48"/>
    <w:rsid w:val="00EB15A3"/>
    <w:rsid w:val="00EB3455"/>
    <w:rsid w:val="00EE3680"/>
    <w:rsid w:val="00EE6B49"/>
    <w:rsid w:val="00F002DA"/>
    <w:rsid w:val="00F00438"/>
    <w:rsid w:val="00F004FF"/>
    <w:rsid w:val="00F13542"/>
    <w:rsid w:val="00F22C44"/>
    <w:rsid w:val="00F46C9A"/>
    <w:rsid w:val="00F502AF"/>
    <w:rsid w:val="00F62C03"/>
    <w:rsid w:val="00F72DD8"/>
    <w:rsid w:val="00F74541"/>
    <w:rsid w:val="00F8351A"/>
    <w:rsid w:val="00F8504B"/>
    <w:rsid w:val="00F90BB9"/>
    <w:rsid w:val="00F93C7B"/>
    <w:rsid w:val="00F94323"/>
    <w:rsid w:val="00F95B96"/>
    <w:rsid w:val="00FA42CF"/>
    <w:rsid w:val="00FA4781"/>
    <w:rsid w:val="00FB0D3C"/>
    <w:rsid w:val="00FB2493"/>
    <w:rsid w:val="00FB73C6"/>
    <w:rsid w:val="00FC499B"/>
    <w:rsid w:val="00FD7403"/>
    <w:rsid w:val="00FE2660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E3ECB"/>
  <w15:chartTrackingRefBased/>
  <w15:docId w15:val="{59867DCA-30BB-4D2F-9320-97344568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8369A"/>
    <w:rPr>
      <w:rFonts w:ascii="Cambria" w:hAnsi="Cambria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21">
    <w:name w:val="fontstyle21"/>
    <w:basedOn w:val="DefaultParagraphFont"/>
    <w:rsid w:val="00D8369A"/>
    <w:rPr>
      <w:rFonts w:ascii="Cambria-Bold" w:hAnsi="Cambria-Bold" w:hint="default"/>
      <w:b/>
      <w:bCs/>
      <w:i w:val="0"/>
      <w:iCs w:val="0"/>
      <w:color w:val="242424"/>
      <w:sz w:val="20"/>
      <w:szCs w:val="20"/>
    </w:rPr>
  </w:style>
  <w:style w:type="paragraph" w:styleId="ListParagraph">
    <w:name w:val="List Paragraph"/>
    <w:basedOn w:val="Normal"/>
    <w:uiPriority w:val="34"/>
    <w:qFormat/>
    <w:rsid w:val="00D8369A"/>
    <w:pPr>
      <w:ind w:left="720"/>
      <w:contextualSpacing/>
    </w:pPr>
  </w:style>
  <w:style w:type="paragraph" w:styleId="Revision">
    <w:name w:val="Revision"/>
    <w:hidden/>
    <w:uiPriority w:val="99"/>
    <w:semiHidden/>
    <w:rsid w:val="00D860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2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3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6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80"/>
  </w:style>
  <w:style w:type="paragraph" w:styleId="Footer">
    <w:name w:val="footer"/>
    <w:basedOn w:val="Normal"/>
    <w:link w:val="FooterChar"/>
    <w:uiPriority w:val="99"/>
    <w:unhideWhenUsed/>
    <w:rsid w:val="0038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Meetings/Docs/2025/Reports/2025_SCRS_ENG.pdf" TargetMode="External"/><Relationship Id="rId13" Type="http://schemas.openxmlformats.org/officeDocument/2006/relationships/hyperlink" Target="https://www.iccat.int/Documents/Meetings/Docs/2025/Reports/2025_SCRS_ENG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24-01-e.pdf" TargetMode="External"/><Relationship Id="rId12" Type="http://schemas.openxmlformats.org/officeDocument/2006/relationships/hyperlink" Target="https://www.iccat.int/Documents/Recs/compendiopdf-e/2024-01-e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cat.int/Documents/Meetings/Docs/2025/Reports/2025_SCRS_ENG.pdf" TargetMode="Externa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hyperlink" Target="https://www.iccat.int/Documents/Recs/compendiopdf-e/2024-01-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24-01-e.pdf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HP_ENVY</dc:creator>
  <cp:keywords/>
  <dc:description/>
  <cp:lastModifiedBy>Rebecca Campoy</cp:lastModifiedBy>
  <cp:revision>10</cp:revision>
  <dcterms:created xsi:type="dcterms:W3CDTF">2025-10-28T09:49:00Z</dcterms:created>
  <dcterms:modified xsi:type="dcterms:W3CDTF">2025-10-28T09:58:00Z</dcterms:modified>
</cp:coreProperties>
</file>