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1604" w14:textId="77777777" w:rsidR="00183AFD" w:rsidRPr="002D69E2" w:rsidRDefault="00183AFD" w:rsidP="00183AFD">
      <w:pPr>
        <w:spacing w:after="0"/>
        <w:ind w:left="88"/>
        <w:jc w:val="center"/>
        <w:rPr>
          <w:rFonts w:ascii="Cambria" w:eastAsia="Cambria" w:hAnsi="Cambria" w:cs="Cambria"/>
          <w:b/>
          <w:spacing w:val="-2"/>
          <w:kern w:val="0"/>
          <w:sz w:val="20"/>
          <w:szCs w:val="20"/>
          <w14:ligatures w14:val="none"/>
        </w:rPr>
      </w:pPr>
      <w:r w:rsidRPr="002D69E2">
        <w:rPr>
          <w:rFonts w:ascii="Cambria" w:hAnsi="Cambria"/>
          <w:b/>
          <w:sz w:val="20"/>
        </w:rPr>
        <w:t>Portada para acompañar nuevas propuestas</w:t>
      </w:r>
    </w:p>
    <w:p w14:paraId="69CF4D66" w14:textId="77777777" w:rsidR="00183AFD" w:rsidRPr="002D69E2" w:rsidRDefault="00183AFD" w:rsidP="00183AFD">
      <w:pPr>
        <w:tabs>
          <w:tab w:val="left" w:pos="7300"/>
        </w:tabs>
        <w:spacing w:after="0" w:line="240" w:lineRule="auto"/>
        <w:rPr>
          <w:rFonts w:ascii="Cambria" w:eastAsia="Times New Roman" w:hAnsi="Cambria" w:cs="Times New Roman"/>
          <w:b/>
          <w:bCs/>
          <w:kern w:val="0"/>
          <w:sz w:val="20"/>
          <w:szCs w:val="20"/>
          <w14:ligatures w14:val="none"/>
        </w:rPr>
      </w:pPr>
      <w:r w:rsidRPr="002D69E2">
        <w:rPr>
          <w:rFonts w:ascii="Cambria" w:hAnsi="Cambria"/>
          <w:b/>
          <w:sz w:val="20"/>
        </w:rPr>
        <w:tab/>
      </w:r>
    </w:p>
    <w:p w14:paraId="50D939DD" w14:textId="0E670B29" w:rsidR="00183AFD" w:rsidRPr="002D69E2" w:rsidRDefault="00183AFD" w:rsidP="00183AFD">
      <w:pPr>
        <w:widowControl w:val="0"/>
        <w:spacing w:after="0" w:line="240" w:lineRule="auto"/>
        <w:jc w:val="center"/>
        <w:rPr>
          <w:rFonts w:ascii="Cambria" w:eastAsia="Cambria" w:hAnsi="Cambria" w:cs="Cambria"/>
          <w:i/>
          <w:kern w:val="0"/>
          <w:sz w:val="20"/>
          <w:szCs w:val="20"/>
          <w14:ligatures w14:val="none"/>
        </w:rPr>
      </w:pPr>
      <w:r w:rsidRPr="002D69E2">
        <w:rPr>
          <w:rFonts w:ascii="Cambria" w:hAnsi="Cambria"/>
          <w:i/>
          <w:sz w:val="20"/>
        </w:rPr>
        <w:t>(</w:t>
      </w:r>
      <w:r w:rsidR="009A04B1" w:rsidRPr="002D69E2">
        <w:rPr>
          <w:rFonts w:ascii="Cambria" w:hAnsi="Cambria"/>
          <w:i/>
          <w:sz w:val="20"/>
        </w:rPr>
        <w:t xml:space="preserve">documento </w:t>
      </w:r>
      <w:r w:rsidRPr="002D69E2">
        <w:rPr>
          <w:rFonts w:ascii="Cambria" w:hAnsi="Cambria"/>
          <w:i/>
          <w:sz w:val="20"/>
        </w:rPr>
        <w:t>presentado por la Unión Europea)</w:t>
      </w:r>
    </w:p>
    <w:p w14:paraId="053F519F" w14:textId="31AD1439" w:rsidR="59E8B402" w:rsidRPr="002D69E2" w:rsidRDefault="59E8B402" w:rsidP="59E8B402">
      <w:pPr>
        <w:pStyle w:val="Default"/>
      </w:pPr>
    </w:p>
    <w:p w14:paraId="327036AB" w14:textId="77777777" w:rsidR="00183AFD" w:rsidRPr="002D69E2" w:rsidRDefault="00183AFD" w:rsidP="59E8B402">
      <w:pPr>
        <w:widowControl w:val="0"/>
        <w:spacing w:after="0" w:line="240" w:lineRule="auto"/>
        <w:ind w:hanging="10"/>
        <w:jc w:val="both"/>
        <w:rPr>
          <w:rFonts w:ascii="Cambria" w:eastAsia="Cambria" w:hAnsi="Cambria" w:cs="Cambria"/>
          <w:b/>
          <w:bCs/>
          <w:color w:val="000000" w:themeColor="text1"/>
          <w:sz w:val="20"/>
          <w:szCs w:val="20"/>
        </w:rPr>
      </w:pPr>
    </w:p>
    <w:p w14:paraId="7727B164" w14:textId="7DAE0D2E" w:rsidR="29EA7B88" w:rsidRPr="002D69E2" w:rsidRDefault="29EA7B88" w:rsidP="001C4718">
      <w:pPr>
        <w:widowControl w:val="0"/>
        <w:autoSpaceDE w:val="0"/>
        <w:autoSpaceDN w:val="0"/>
        <w:spacing w:after="0" w:line="240" w:lineRule="auto"/>
        <w:ind w:left="224"/>
        <w:jc w:val="both"/>
        <w:rPr>
          <w:rFonts w:ascii="Cambria" w:eastAsia="Cambria" w:hAnsi="Cambria" w:cs="Cambria"/>
          <w:b/>
          <w:bCs/>
          <w:spacing w:val="-2"/>
          <w:kern w:val="0"/>
          <w:sz w:val="20"/>
          <w:szCs w:val="20"/>
          <w14:ligatures w14:val="none"/>
        </w:rPr>
      </w:pPr>
      <w:r w:rsidRPr="002D69E2">
        <w:rPr>
          <w:rFonts w:ascii="Cambria" w:hAnsi="Cambria"/>
          <w:b/>
          <w:sz w:val="20"/>
        </w:rPr>
        <w:t xml:space="preserve">Título de la propuesta de Proyecto de Recomendación/Resolución: </w:t>
      </w:r>
      <w:r w:rsidRPr="002D69E2">
        <w:rPr>
          <w:rFonts w:ascii="Cambria" w:hAnsi="Cambria"/>
          <w:color w:val="FF0000"/>
          <w:sz w:val="20"/>
        </w:rPr>
        <w:t>Proyecto de Recomendación de ICCAT para un proyecto piloto de cría de atún rojo (</w:t>
      </w:r>
      <w:r w:rsidRPr="002D69E2">
        <w:rPr>
          <w:rFonts w:ascii="Cambria" w:hAnsi="Cambria"/>
          <w:i/>
          <w:iCs/>
          <w:color w:val="FF0000"/>
          <w:sz w:val="20"/>
        </w:rPr>
        <w:t>Thunnus thynnus</w:t>
      </w:r>
      <w:r w:rsidRPr="002D69E2">
        <w:rPr>
          <w:rFonts w:ascii="Cambria" w:hAnsi="Cambria"/>
          <w:color w:val="FF0000"/>
          <w:sz w:val="20"/>
        </w:rPr>
        <w:t>) y rabil (</w:t>
      </w:r>
      <w:r w:rsidRPr="002D69E2">
        <w:rPr>
          <w:rFonts w:ascii="Cambria" w:hAnsi="Cambria"/>
          <w:i/>
          <w:iCs/>
          <w:color w:val="FF0000"/>
          <w:sz w:val="20"/>
        </w:rPr>
        <w:t>Thunnus albacares</w:t>
      </w:r>
      <w:r w:rsidRPr="002D69E2">
        <w:rPr>
          <w:rFonts w:ascii="Cambria" w:hAnsi="Cambria"/>
          <w:color w:val="FF0000"/>
          <w:sz w:val="20"/>
        </w:rPr>
        <w:t>) en aguas de las islas Canarias</w:t>
      </w:r>
    </w:p>
    <w:p w14:paraId="58BB0674" w14:textId="0C54F0AD" w:rsidR="59E8B402" w:rsidRPr="002D69E2" w:rsidRDefault="59E8B402" w:rsidP="001C4718">
      <w:pPr>
        <w:widowControl w:val="0"/>
        <w:autoSpaceDE w:val="0"/>
        <w:autoSpaceDN w:val="0"/>
        <w:spacing w:after="0" w:line="240" w:lineRule="auto"/>
        <w:ind w:left="224"/>
        <w:jc w:val="both"/>
        <w:rPr>
          <w:rFonts w:ascii="Cambria" w:eastAsia="Cambria" w:hAnsi="Cambria" w:cs="Cambria"/>
          <w:color w:val="FF0000"/>
          <w:kern w:val="0"/>
          <w:sz w:val="20"/>
          <w:szCs w:val="20"/>
          <w14:ligatures w14:val="none"/>
        </w:rPr>
      </w:pPr>
    </w:p>
    <w:p w14:paraId="5BDC5553" w14:textId="0A00B610" w:rsidR="626CBDA3" w:rsidRPr="002D69E2" w:rsidRDefault="29EA7B88" w:rsidP="001C4718">
      <w:pPr>
        <w:widowControl w:val="0"/>
        <w:autoSpaceDE w:val="0"/>
        <w:autoSpaceDN w:val="0"/>
        <w:spacing w:after="0" w:line="240" w:lineRule="auto"/>
        <w:ind w:left="224"/>
        <w:jc w:val="both"/>
      </w:pPr>
      <w:r w:rsidRPr="002D69E2">
        <w:rPr>
          <w:rFonts w:ascii="Cambria" w:hAnsi="Cambria"/>
          <w:b/>
          <w:sz w:val="20"/>
        </w:rPr>
        <w:t>Título de la(s) recomendación(es) o resolución(es) actualmente vigente(s) que aborda(n) la misma cuestión o cuestiones relacionadas:</w:t>
      </w:r>
      <w:r w:rsidRPr="002D69E2">
        <w:rPr>
          <w:rFonts w:ascii="Cambria" w:hAnsi="Cambria"/>
          <w:b/>
          <w:color w:val="000000" w:themeColor="text1"/>
          <w:sz w:val="20"/>
        </w:rPr>
        <w:t xml:space="preserve">  </w:t>
      </w:r>
      <w:r w:rsidRPr="002D69E2">
        <w:rPr>
          <w:rFonts w:ascii="Cambria" w:hAnsi="Cambria"/>
          <w:color w:val="EE0000"/>
          <w:sz w:val="20"/>
        </w:rPr>
        <w:t>N/A</w:t>
      </w:r>
    </w:p>
    <w:p w14:paraId="3C7F956F" w14:textId="0EA621B4" w:rsidR="59E8B402" w:rsidRPr="002D69E2" w:rsidRDefault="59E8B402" w:rsidP="59E8B402">
      <w:pPr>
        <w:widowControl w:val="0"/>
        <w:spacing w:after="0" w:line="240" w:lineRule="auto"/>
        <w:ind w:hanging="10"/>
        <w:jc w:val="both"/>
        <w:rPr>
          <w:rFonts w:ascii="Cambria" w:eastAsia="Cambria" w:hAnsi="Cambria" w:cs="Cambria"/>
          <w:color w:val="000000" w:themeColor="text1"/>
          <w:sz w:val="20"/>
          <w:szCs w:val="20"/>
        </w:rPr>
      </w:pPr>
    </w:p>
    <w:p w14:paraId="17FD8F01" w14:textId="4E9198B9" w:rsidR="29EA7B88" w:rsidRPr="002D69E2"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2D69E2">
        <w:rPr>
          <w:rFonts w:ascii="Cambria" w:hAnsi="Cambria"/>
          <w:color w:val="000000" w:themeColor="text1"/>
          <w:sz w:val="20"/>
        </w:rPr>
        <w:t xml:space="preserve">¿Crea nuevas obligaciones de comunicación para las CPC?     </w:t>
      </w:r>
      <w:r w:rsidRPr="002D69E2">
        <w:rPr>
          <w:rFonts w:ascii="Cambria" w:hAnsi="Cambria"/>
          <w:color w:val="EE0000"/>
          <w:sz w:val="20"/>
        </w:rPr>
        <w:t xml:space="preserve">Sí  </w:t>
      </w:r>
      <w:r w:rsidRPr="002D69E2">
        <w:rPr>
          <w:rFonts w:ascii="MS Gothic" w:hAnsi="MS Gothic"/>
          <w:color w:val="EE0000"/>
          <w:sz w:val="20"/>
        </w:rPr>
        <w:t>☒</w:t>
      </w:r>
      <w:r w:rsidRPr="002D69E2">
        <w:rPr>
          <w:rFonts w:ascii="Cambria" w:hAnsi="Cambria"/>
          <w:color w:val="EE0000"/>
          <w:sz w:val="20"/>
        </w:rPr>
        <w:t xml:space="preserve"> </w:t>
      </w:r>
      <w:r w:rsidRPr="002D69E2">
        <w:tab/>
      </w:r>
      <w:r w:rsidRPr="002D69E2">
        <w:tab/>
      </w:r>
      <w:r w:rsidRPr="002D69E2">
        <w:rPr>
          <w:rFonts w:ascii="Cambria" w:hAnsi="Cambria"/>
          <w:color w:val="000000" w:themeColor="text1"/>
          <w:sz w:val="20"/>
        </w:rPr>
        <w:t xml:space="preserve">No  </w:t>
      </w:r>
      <w:r w:rsidRPr="002D69E2">
        <w:rPr>
          <w:rFonts w:ascii="Segoe UI Symbol" w:hAnsi="Segoe UI Symbol"/>
          <w:color w:val="000000" w:themeColor="text1"/>
          <w:sz w:val="20"/>
        </w:rPr>
        <w:t>☐</w:t>
      </w:r>
      <w:r w:rsidRPr="002D69E2">
        <w:rPr>
          <w:rFonts w:ascii="Cambria" w:hAnsi="Cambria"/>
          <w:color w:val="000000" w:themeColor="text1"/>
          <w:sz w:val="20"/>
        </w:rPr>
        <w:t xml:space="preserve"> </w:t>
      </w:r>
    </w:p>
    <w:p w14:paraId="41B1DDAD" w14:textId="2ABFEF5B" w:rsidR="59E8B402" w:rsidRPr="002D69E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5EE47BDD" w14:textId="75BEA42B" w:rsidR="29EA7B88" w:rsidRPr="002D69E2" w:rsidRDefault="29EA7B88" w:rsidP="59E8B402">
      <w:pPr>
        <w:widowControl w:val="0"/>
        <w:spacing w:after="0" w:line="240" w:lineRule="auto"/>
        <w:ind w:left="426" w:hanging="10"/>
        <w:jc w:val="both"/>
        <w:rPr>
          <w:rFonts w:ascii="Cambria" w:eastAsia="Cambria" w:hAnsi="Cambria" w:cs="Cambria"/>
          <w:color w:val="000000" w:themeColor="text1"/>
          <w:sz w:val="20"/>
          <w:szCs w:val="20"/>
        </w:rPr>
      </w:pPr>
      <w:r w:rsidRPr="002D69E2">
        <w:rPr>
          <w:rFonts w:ascii="Cambria" w:hAnsi="Cambria"/>
          <w:color w:val="000000" w:themeColor="text1"/>
          <w:sz w:val="20"/>
        </w:rPr>
        <w:t xml:space="preserve">Breve descripción de la(s) nueva(s) obligación(es) de comunicación: </w:t>
      </w:r>
    </w:p>
    <w:p w14:paraId="0104B8EE" w14:textId="77777777" w:rsidR="00710B5D" w:rsidRPr="002D69E2" w:rsidRDefault="00710B5D" w:rsidP="59E8B402">
      <w:pPr>
        <w:widowControl w:val="0"/>
        <w:spacing w:after="0" w:line="240" w:lineRule="auto"/>
        <w:ind w:left="426" w:hanging="10"/>
        <w:jc w:val="both"/>
        <w:rPr>
          <w:rFonts w:ascii="Cambria" w:eastAsia="Cambria" w:hAnsi="Cambria" w:cs="Cambria"/>
          <w:color w:val="0070C0"/>
          <w:sz w:val="20"/>
          <w:szCs w:val="20"/>
        </w:rPr>
      </w:pPr>
    </w:p>
    <w:p w14:paraId="33434905" w14:textId="22CA1ECA" w:rsidR="29EA7B88" w:rsidRPr="002D69E2" w:rsidRDefault="29EA7B88" w:rsidP="59E8B402">
      <w:pPr>
        <w:widowControl w:val="0"/>
        <w:spacing w:after="0" w:line="240" w:lineRule="auto"/>
        <w:ind w:left="426" w:hanging="10"/>
        <w:jc w:val="both"/>
        <w:rPr>
          <w:rFonts w:ascii="Cambria" w:eastAsia="Cambria" w:hAnsi="Cambria" w:cs="Cambria"/>
          <w:color w:val="EE0000"/>
          <w:sz w:val="20"/>
          <w:szCs w:val="20"/>
        </w:rPr>
      </w:pPr>
      <w:r w:rsidRPr="002D69E2">
        <w:rPr>
          <w:rFonts w:ascii="Cambria" w:hAnsi="Cambria"/>
          <w:color w:val="EE0000"/>
          <w:sz w:val="20"/>
        </w:rPr>
        <w:t xml:space="preserve">Obligación para la CPC que </w:t>
      </w:r>
      <w:r w:rsidR="002C1628" w:rsidRPr="002D69E2">
        <w:rPr>
          <w:rFonts w:ascii="Cambria" w:hAnsi="Cambria"/>
          <w:color w:val="EE0000"/>
          <w:sz w:val="20"/>
        </w:rPr>
        <w:t>aplique</w:t>
      </w:r>
      <w:r w:rsidRPr="002D69E2">
        <w:rPr>
          <w:rFonts w:ascii="Cambria" w:hAnsi="Cambria"/>
          <w:color w:val="EE0000"/>
          <w:sz w:val="20"/>
        </w:rPr>
        <w:t xml:space="preserve"> el proyecto piloto de presentar un informe sobre los resultados de este (párrafos 8 y 9).</w:t>
      </w:r>
    </w:p>
    <w:p w14:paraId="7AAFD496" w14:textId="34BA68A4" w:rsidR="59E8B402" w:rsidRPr="002D69E2" w:rsidRDefault="59E8B402" w:rsidP="59E8B402">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2AD4C13F" w14:textId="3BCBD4F4" w:rsidR="29EA7B88" w:rsidRPr="002D69E2" w:rsidRDefault="29EA7B88" w:rsidP="59E8B402">
      <w:pPr>
        <w:pStyle w:val="ListParagraph"/>
        <w:widowControl w:val="0"/>
        <w:numPr>
          <w:ilvl w:val="0"/>
          <w:numId w:val="1"/>
        </w:numPr>
        <w:spacing w:after="0" w:line="240" w:lineRule="auto"/>
        <w:ind w:left="426" w:hanging="426"/>
        <w:rPr>
          <w:rFonts w:ascii="Cambria" w:eastAsia="Cambria" w:hAnsi="Cambria" w:cs="Cambria"/>
          <w:color w:val="000000" w:themeColor="text1"/>
          <w:sz w:val="20"/>
          <w:szCs w:val="20"/>
        </w:rPr>
      </w:pPr>
      <w:r w:rsidRPr="002D69E2">
        <w:rPr>
          <w:rFonts w:ascii="Cambria" w:hAnsi="Cambria"/>
          <w:color w:val="000000" w:themeColor="text1"/>
          <w:sz w:val="20"/>
        </w:rPr>
        <w:t xml:space="preserve">¿Requiere aportaciones o trabajo adicional por parte del SCRS?    </w:t>
      </w:r>
      <w:r w:rsidRPr="002D69E2">
        <w:rPr>
          <w:rFonts w:ascii="Cambria" w:hAnsi="Cambria"/>
          <w:color w:val="EE0000"/>
        </w:rPr>
        <w:t>Sí  ☒</w:t>
      </w:r>
      <w:r w:rsidRPr="002D69E2">
        <w:rPr>
          <w:rFonts w:ascii="Cambria" w:hAnsi="Cambria"/>
          <w:sz w:val="20"/>
        </w:rPr>
        <w:t xml:space="preserve"> </w:t>
      </w:r>
      <w:r w:rsidRPr="002D69E2">
        <w:tab/>
      </w:r>
      <w:r w:rsidRPr="002D69E2">
        <w:tab/>
      </w:r>
      <w:r w:rsidRPr="002D69E2">
        <w:rPr>
          <w:color w:val="000000" w:themeColor="text1"/>
          <w:sz w:val="20"/>
        </w:rPr>
        <w:t xml:space="preserve">No  </w:t>
      </w:r>
      <w:r w:rsidRPr="002D69E2">
        <w:rPr>
          <w:rFonts w:ascii="Segoe UI Symbol" w:hAnsi="Segoe UI Symbol"/>
          <w:color w:val="000000" w:themeColor="text1"/>
          <w:sz w:val="20"/>
        </w:rPr>
        <w:t>☐</w:t>
      </w:r>
      <w:r w:rsidRPr="002D69E2">
        <w:rPr>
          <w:rFonts w:ascii="Cambria" w:hAnsi="Cambria"/>
          <w:color w:val="000000" w:themeColor="text1"/>
          <w:sz w:val="20"/>
        </w:rPr>
        <w:t xml:space="preserve"> </w:t>
      </w:r>
    </w:p>
    <w:p w14:paraId="11302243" w14:textId="3FEDFF03" w:rsidR="59E8B402" w:rsidRPr="002D69E2" w:rsidRDefault="59E8B402" w:rsidP="59E8B402">
      <w:pPr>
        <w:widowControl w:val="0"/>
        <w:spacing w:after="0" w:line="240" w:lineRule="auto"/>
        <w:ind w:left="360" w:hanging="10"/>
        <w:rPr>
          <w:rFonts w:ascii="Cambria" w:eastAsia="Cambria" w:hAnsi="Cambria" w:cs="Cambria"/>
          <w:color w:val="000000" w:themeColor="text1"/>
          <w:sz w:val="20"/>
          <w:szCs w:val="20"/>
          <w:lang w:val="en-IE"/>
        </w:rPr>
      </w:pPr>
    </w:p>
    <w:p w14:paraId="21A1385B" w14:textId="377165F9" w:rsidR="29EA7B88" w:rsidRPr="002D69E2" w:rsidRDefault="29EA7B88" w:rsidP="008A04BB">
      <w:pPr>
        <w:widowControl w:val="0"/>
        <w:spacing w:after="0" w:line="240" w:lineRule="auto"/>
        <w:ind w:left="360" w:firstLine="66"/>
        <w:jc w:val="both"/>
        <w:rPr>
          <w:rFonts w:ascii="Cambria" w:eastAsia="Cambria" w:hAnsi="Cambria" w:cs="Cambria"/>
          <w:color w:val="000000" w:themeColor="text1"/>
          <w:sz w:val="20"/>
          <w:szCs w:val="20"/>
        </w:rPr>
      </w:pPr>
      <w:r w:rsidRPr="002D69E2">
        <w:rPr>
          <w:rFonts w:ascii="Cambria" w:hAnsi="Cambria"/>
          <w:sz w:val="20"/>
          <w:szCs w:val="20"/>
        </w:rPr>
        <w:t>¿Está este trabajo ya incluido en el Plan de trabajo actual del SCRS?</w:t>
      </w:r>
      <w:r w:rsidRPr="002D69E2">
        <w:rPr>
          <w:rFonts w:ascii="Cambria" w:hAnsi="Cambria"/>
          <w:sz w:val="20"/>
          <w:szCs w:val="20"/>
        </w:rPr>
        <w:tab/>
        <w:t xml:space="preserve">Sí  </w:t>
      </w:r>
      <w:r w:rsidRPr="002D69E2">
        <w:rPr>
          <w:rFonts w:ascii="Segoe UI Symbol" w:hAnsi="Segoe UI Symbol" w:cs="Segoe UI Symbol"/>
          <w:sz w:val="20"/>
          <w:szCs w:val="20"/>
        </w:rPr>
        <w:t>☐</w:t>
      </w:r>
      <w:r w:rsidRPr="002D69E2">
        <w:rPr>
          <w:rFonts w:ascii="Cambria" w:hAnsi="Cambria"/>
          <w:sz w:val="20"/>
          <w:szCs w:val="20"/>
        </w:rPr>
        <w:tab/>
      </w:r>
      <w:r w:rsidRPr="002D69E2">
        <w:rPr>
          <w:rFonts w:ascii="Cambria" w:hAnsi="Cambria"/>
          <w:sz w:val="20"/>
          <w:szCs w:val="20"/>
        </w:rPr>
        <w:tab/>
      </w:r>
      <w:r w:rsidRPr="002D69E2">
        <w:rPr>
          <w:rFonts w:ascii="Cambria" w:hAnsi="Cambria"/>
          <w:color w:val="EE0000"/>
          <w:sz w:val="20"/>
          <w:szCs w:val="20"/>
        </w:rPr>
        <w:t xml:space="preserve">No  </w:t>
      </w:r>
      <w:r w:rsidRPr="002D69E2">
        <w:rPr>
          <w:rFonts w:ascii="Segoe UI Symbol" w:hAnsi="Segoe UI Symbol" w:cs="Segoe UI Symbol"/>
          <w:color w:val="EE0000"/>
          <w:sz w:val="20"/>
          <w:szCs w:val="20"/>
        </w:rPr>
        <w:t>☒</w:t>
      </w:r>
    </w:p>
    <w:p w14:paraId="75B81ADC" w14:textId="39C276A5" w:rsidR="59E8B402" w:rsidRPr="002D69E2" w:rsidRDefault="59E8B402" w:rsidP="59E8B402">
      <w:pPr>
        <w:widowControl w:val="0"/>
        <w:spacing w:after="0" w:line="240" w:lineRule="auto"/>
        <w:ind w:left="360" w:hanging="10"/>
        <w:rPr>
          <w:rFonts w:ascii="Cambria" w:eastAsia="Cambria" w:hAnsi="Cambria" w:cs="Cambria"/>
          <w:color w:val="000000" w:themeColor="text1"/>
          <w:sz w:val="20"/>
          <w:szCs w:val="20"/>
        </w:rPr>
      </w:pPr>
    </w:p>
    <w:p w14:paraId="2999695B" w14:textId="32A01E98" w:rsidR="29EA7B88" w:rsidRPr="002D69E2" w:rsidRDefault="29EA7B88" w:rsidP="008A04BB">
      <w:pPr>
        <w:widowControl w:val="0"/>
        <w:spacing w:after="0" w:line="240" w:lineRule="auto"/>
        <w:ind w:left="426" w:hanging="10"/>
        <w:jc w:val="both"/>
        <w:rPr>
          <w:rFonts w:ascii="Cambria" w:eastAsia="Cambria" w:hAnsi="Cambria" w:cs="Cambria"/>
          <w:color w:val="000000" w:themeColor="text1"/>
          <w:sz w:val="20"/>
          <w:szCs w:val="20"/>
        </w:rPr>
      </w:pPr>
      <w:r w:rsidRPr="002D69E2">
        <w:rPr>
          <w:rFonts w:ascii="Cambria" w:hAnsi="Cambria"/>
          <w:color w:val="000000" w:themeColor="text1"/>
          <w:sz w:val="20"/>
        </w:rPr>
        <w:t>Breve descripción del nuevo trabajo científico necesario (es decir, evaluación del stock, análisis, consultor externo):</w:t>
      </w:r>
    </w:p>
    <w:p w14:paraId="110D9D31" w14:textId="77777777" w:rsidR="008A04BB" w:rsidRPr="002D69E2" w:rsidRDefault="008A04BB" w:rsidP="59E8B402">
      <w:pPr>
        <w:widowControl w:val="0"/>
        <w:spacing w:after="0" w:line="240" w:lineRule="auto"/>
        <w:ind w:left="426" w:hanging="10"/>
        <w:jc w:val="both"/>
        <w:rPr>
          <w:rFonts w:ascii="Cambria" w:eastAsia="Cambria" w:hAnsi="Cambria" w:cs="Cambria"/>
          <w:color w:val="0070C0"/>
          <w:sz w:val="20"/>
          <w:szCs w:val="20"/>
        </w:rPr>
      </w:pPr>
    </w:p>
    <w:p w14:paraId="06A1BA20" w14:textId="14CD6F1A" w:rsidR="1EC2637E" w:rsidRPr="002D69E2" w:rsidRDefault="002C2C34" w:rsidP="59E8B402">
      <w:pPr>
        <w:widowControl w:val="0"/>
        <w:spacing w:after="0" w:line="240" w:lineRule="auto"/>
        <w:ind w:left="426" w:hanging="10"/>
        <w:jc w:val="both"/>
        <w:rPr>
          <w:rFonts w:ascii="Cambria" w:eastAsia="Cambria" w:hAnsi="Cambria" w:cs="Cambria"/>
          <w:color w:val="EE0000"/>
          <w:sz w:val="20"/>
          <w:szCs w:val="20"/>
        </w:rPr>
      </w:pPr>
      <w:r w:rsidRPr="002D69E2">
        <w:rPr>
          <w:rFonts w:ascii="Cambria" w:hAnsi="Cambria"/>
          <w:color w:val="EE0000"/>
          <w:sz w:val="20"/>
        </w:rPr>
        <w:t>Examen</w:t>
      </w:r>
      <w:r w:rsidR="1EC2637E" w:rsidRPr="002D69E2">
        <w:rPr>
          <w:rFonts w:ascii="Cambria" w:hAnsi="Cambria"/>
          <w:color w:val="EE0000"/>
          <w:sz w:val="20"/>
        </w:rPr>
        <w:t xml:space="preserve"> del informe de resultados del proyecto piloto.</w:t>
      </w:r>
    </w:p>
    <w:p w14:paraId="256FB624" w14:textId="67B39C27" w:rsidR="59E8B402" w:rsidRPr="002D69E2" w:rsidRDefault="59E8B402" w:rsidP="59E8B402">
      <w:pPr>
        <w:widowControl w:val="0"/>
        <w:spacing w:after="0" w:line="240" w:lineRule="auto"/>
        <w:ind w:left="426" w:hanging="10"/>
        <w:jc w:val="both"/>
        <w:rPr>
          <w:rFonts w:ascii="Cambria" w:eastAsia="Cambria" w:hAnsi="Cambria" w:cs="Cambria"/>
          <w:color w:val="0070C0"/>
          <w:sz w:val="20"/>
          <w:szCs w:val="20"/>
        </w:rPr>
      </w:pPr>
    </w:p>
    <w:p w14:paraId="30AD1F7F" w14:textId="282BFBBC" w:rsidR="29EA7B88" w:rsidRPr="002D69E2"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2D69E2">
        <w:rPr>
          <w:rFonts w:ascii="Cambria" w:hAnsi="Cambria"/>
          <w:color w:val="000000" w:themeColor="text1"/>
          <w:sz w:val="20"/>
        </w:rPr>
        <w:t xml:space="preserve">¿Implica la creación de un nuevo grupo de trabajo o proceso intersesiones?    Sí  </w:t>
      </w:r>
      <w:r w:rsidRPr="002D69E2">
        <w:rPr>
          <w:rFonts w:ascii="Segoe UI Symbol" w:hAnsi="Segoe UI Symbol"/>
          <w:color w:val="000000" w:themeColor="text1"/>
          <w:sz w:val="20"/>
        </w:rPr>
        <w:t>☐</w:t>
      </w:r>
      <w:r w:rsidRPr="002D69E2">
        <w:rPr>
          <w:rFonts w:ascii="Cambria" w:hAnsi="Cambria"/>
          <w:color w:val="000000" w:themeColor="text1"/>
          <w:sz w:val="20"/>
        </w:rPr>
        <w:t xml:space="preserve"> </w:t>
      </w:r>
      <w:r w:rsidRPr="002D69E2">
        <w:rPr>
          <w:sz w:val="20"/>
        </w:rPr>
        <w:tab/>
      </w:r>
      <w:r w:rsidRPr="002D69E2">
        <w:rPr>
          <w:rFonts w:ascii="Cambria" w:hAnsi="Cambria"/>
          <w:color w:val="EE0000"/>
          <w:sz w:val="20"/>
        </w:rPr>
        <w:t xml:space="preserve">No  </w:t>
      </w:r>
      <w:r w:rsidRPr="002D69E2">
        <w:rPr>
          <w:rFonts w:ascii="MS Gothic" w:hAnsi="MS Gothic"/>
          <w:color w:val="EE0000"/>
          <w:sz w:val="20"/>
        </w:rPr>
        <w:t>☒</w:t>
      </w:r>
      <w:r w:rsidRPr="002D69E2">
        <w:rPr>
          <w:rFonts w:ascii="Cambria" w:hAnsi="Cambria"/>
          <w:color w:val="EE0000"/>
          <w:sz w:val="20"/>
        </w:rPr>
        <w:t xml:space="preserve"> </w:t>
      </w:r>
    </w:p>
    <w:p w14:paraId="1DAFA74E" w14:textId="2BC882A9" w:rsidR="59E8B402" w:rsidRPr="002D69E2" w:rsidRDefault="59E8B402" w:rsidP="59E8B402">
      <w:pPr>
        <w:widowControl w:val="0"/>
        <w:spacing w:after="0" w:line="240" w:lineRule="auto"/>
        <w:ind w:hanging="10"/>
        <w:rPr>
          <w:rFonts w:ascii="Cambria" w:eastAsia="Cambria" w:hAnsi="Cambria" w:cs="Cambria"/>
          <w:color w:val="000000" w:themeColor="text1"/>
          <w:sz w:val="20"/>
          <w:szCs w:val="20"/>
          <w:lang w:val="en-IE"/>
        </w:rPr>
      </w:pPr>
    </w:p>
    <w:p w14:paraId="12343EB9" w14:textId="65FF09B1" w:rsidR="29EA7B88" w:rsidRPr="002D69E2"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2D69E2">
        <w:rPr>
          <w:rFonts w:ascii="Cambria" w:hAnsi="Cambria"/>
          <w:color w:val="000000" w:themeColor="text1"/>
          <w:sz w:val="20"/>
        </w:rPr>
        <w:t xml:space="preserve">¿Requiere un nuevo programa o actividades adicionales que deba gestionar la Secretaría?  </w:t>
      </w:r>
    </w:p>
    <w:p w14:paraId="1C61E492" w14:textId="70806B5D" w:rsidR="59E8B402" w:rsidRPr="002D69E2" w:rsidRDefault="59E8B402" w:rsidP="59E8B402">
      <w:pPr>
        <w:widowControl w:val="0"/>
        <w:spacing w:after="0" w:line="240" w:lineRule="auto"/>
        <w:ind w:left="426" w:hanging="10"/>
        <w:rPr>
          <w:rFonts w:ascii="Cambria" w:eastAsia="Cambria" w:hAnsi="Cambria" w:cs="Cambria"/>
          <w:color w:val="000000" w:themeColor="text1"/>
          <w:sz w:val="20"/>
          <w:szCs w:val="20"/>
        </w:rPr>
      </w:pPr>
    </w:p>
    <w:p w14:paraId="0FD430BD" w14:textId="2F68109D" w:rsidR="29EA7B88" w:rsidRPr="002D69E2" w:rsidRDefault="29EA7B88" w:rsidP="59E8B402">
      <w:pPr>
        <w:widowControl w:val="0"/>
        <w:spacing w:after="0" w:line="240" w:lineRule="auto"/>
        <w:ind w:left="426" w:hanging="10"/>
        <w:rPr>
          <w:rFonts w:ascii="Cambria" w:eastAsia="Cambria" w:hAnsi="Cambria" w:cs="Cambria"/>
          <w:color w:val="EE0000"/>
          <w:sz w:val="20"/>
          <w:szCs w:val="20"/>
        </w:rPr>
      </w:pPr>
      <w:r w:rsidRPr="002D69E2">
        <w:rPr>
          <w:rFonts w:ascii="Cambria" w:hAnsi="Cambria"/>
          <w:color w:val="000000" w:themeColor="text1"/>
          <w:sz w:val="20"/>
        </w:rPr>
        <w:t xml:space="preserve">Sí  </w:t>
      </w:r>
      <w:r w:rsidRPr="002D69E2">
        <w:rPr>
          <w:rFonts w:ascii="Segoe UI Symbol" w:hAnsi="Segoe UI Symbol"/>
          <w:color w:val="000000" w:themeColor="text1"/>
          <w:sz w:val="20"/>
        </w:rPr>
        <w:t>☐</w:t>
      </w:r>
      <w:r w:rsidRPr="002D69E2">
        <w:rPr>
          <w:rFonts w:ascii="Cambria" w:hAnsi="Cambria"/>
          <w:color w:val="000000" w:themeColor="text1"/>
          <w:sz w:val="20"/>
        </w:rPr>
        <w:t xml:space="preserve"> </w:t>
      </w:r>
      <w:r w:rsidRPr="002D69E2">
        <w:tab/>
      </w:r>
      <w:r w:rsidRPr="002D69E2">
        <w:tab/>
      </w:r>
      <w:r w:rsidRPr="002D69E2">
        <w:rPr>
          <w:rFonts w:ascii="Cambria" w:hAnsi="Cambria"/>
          <w:color w:val="EE0000"/>
          <w:sz w:val="20"/>
        </w:rPr>
        <w:t xml:space="preserve">No  </w:t>
      </w:r>
      <w:r w:rsidRPr="002D69E2">
        <w:rPr>
          <w:rFonts w:ascii="MS Gothic" w:hAnsi="MS Gothic"/>
          <w:color w:val="EE0000"/>
          <w:sz w:val="20"/>
        </w:rPr>
        <w:t>☒</w:t>
      </w:r>
      <w:r w:rsidRPr="002D69E2">
        <w:rPr>
          <w:rFonts w:ascii="Cambria" w:hAnsi="Cambria"/>
          <w:color w:val="EE0000"/>
          <w:sz w:val="20"/>
        </w:rPr>
        <w:t xml:space="preserve"> </w:t>
      </w:r>
    </w:p>
    <w:p w14:paraId="73FF972E" w14:textId="4AE34647" w:rsidR="59E8B402" w:rsidRPr="002D69E2" w:rsidRDefault="59E8B402" w:rsidP="59E8B402">
      <w:pPr>
        <w:widowControl w:val="0"/>
        <w:spacing w:after="0" w:line="240" w:lineRule="auto"/>
        <w:ind w:left="360" w:hanging="10"/>
        <w:jc w:val="both"/>
        <w:rPr>
          <w:rFonts w:ascii="Cambria" w:eastAsia="Cambria" w:hAnsi="Cambria" w:cs="Cambria"/>
          <w:color w:val="000000" w:themeColor="text1"/>
          <w:sz w:val="20"/>
          <w:szCs w:val="20"/>
        </w:rPr>
      </w:pPr>
    </w:p>
    <w:p w14:paraId="3BB7DAE2" w14:textId="2F11C3D2" w:rsidR="29EA7B88" w:rsidRPr="002D69E2" w:rsidRDefault="29EA7B88" w:rsidP="00625798">
      <w:pPr>
        <w:widowControl w:val="0"/>
        <w:spacing w:after="0" w:line="240" w:lineRule="auto"/>
        <w:ind w:left="426"/>
        <w:rPr>
          <w:rFonts w:ascii="Cambria" w:eastAsia="Cambria" w:hAnsi="Cambria" w:cs="Cambria"/>
          <w:color w:val="000000" w:themeColor="text1"/>
          <w:sz w:val="20"/>
          <w:szCs w:val="20"/>
        </w:rPr>
      </w:pPr>
      <w:r w:rsidRPr="002D69E2">
        <w:rPr>
          <w:rFonts w:ascii="Cambria" w:hAnsi="Cambria"/>
          <w:color w:val="000000" w:themeColor="text1"/>
          <w:sz w:val="20"/>
        </w:rPr>
        <w:t xml:space="preserve">Breve descripción del nuevo trabajo necesario de la Secretaría: </w:t>
      </w:r>
    </w:p>
    <w:p w14:paraId="7F51FC3E" w14:textId="712083BA" w:rsidR="59E8B402" w:rsidRPr="002D69E2" w:rsidRDefault="59E8B402" w:rsidP="59E8B402">
      <w:pPr>
        <w:widowControl w:val="0"/>
        <w:spacing w:after="0" w:line="240" w:lineRule="auto"/>
        <w:ind w:hanging="10"/>
        <w:rPr>
          <w:rFonts w:ascii="Cambria" w:eastAsia="Cambria" w:hAnsi="Cambria" w:cs="Cambria"/>
          <w:color w:val="000000" w:themeColor="text1"/>
          <w:sz w:val="20"/>
          <w:szCs w:val="20"/>
        </w:rPr>
      </w:pPr>
    </w:p>
    <w:p w14:paraId="7AF8543E" w14:textId="14F2448F" w:rsidR="29EA7B88" w:rsidRPr="002D69E2" w:rsidRDefault="29EA7B88" w:rsidP="00625798">
      <w:pPr>
        <w:pStyle w:val="ListParagraph"/>
        <w:widowControl w:val="0"/>
        <w:numPr>
          <w:ilvl w:val="0"/>
          <w:numId w:val="1"/>
        </w:numPr>
        <w:spacing w:after="0" w:line="240" w:lineRule="auto"/>
        <w:ind w:left="426" w:hanging="426"/>
        <w:jc w:val="both"/>
        <w:rPr>
          <w:rFonts w:ascii="Cambria" w:eastAsia="Cambria" w:hAnsi="Cambria" w:cs="Cambria"/>
          <w:color w:val="000000" w:themeColor="text1"/>
          <w:sz w:val="20"/>
          <w:szCs w:val="20"/>
        </w:rPr>
      </w:pPr>
      <w:r w:rsidRPr="002D69E2">
        <w:rPr>
          <w:rFonts w:ascii="Cambria" w:hAnsi="Cambria"/>
          <w:color w:val="000000" w:themeColor="text1"/>
          <w:sz w:val="20"/>
        </w:rPr>
        <w:t xml:space="preserve">¿Cuál es el calendario propuesto para la implementación? ¿Existen distintos calendarios específicos para determinadas CPC, pesquerías, regiones, etc.? </w:t>
      </w:r>
    </w:p>
    <w:p w14:paraId="3CC974AD" w14:textId="77777777" w:rsidR="00625798" w:rsidRPr="002D69E2" w:rsidRDefault="00625798" w:rsidP="00625798">
      <w:pPr>
        <w:pStyle w:val="ListParagraph"/>
        <w:widowControl w:val="0"/>
        <w:spacing w:after="0" w:line="240" w:lineRule="auto"/>
        <w:ind w:left="426"/>
        <w:jc w:val="both"/>
        <w:rPr>
          <w:rFonts w:ascii="Cambria" w:eastAsia="Cambria" w:hAnsi="Cambria" w:cs="Cambria"/>
          <w:color w:val="000000" w:themeColor="text1"/>
          <w:sz w:val="20"/>
          <w:szCs w:val="20"/>
        </w:rPr>
      </w:pPr>
    </w:p>
    <w:p w14:paraId="2BDF4DB6" w14:textId="293D12A3" w:rsidR="74054BE3" w:rsidRPr="002D69E2" w:rsidRDefault="74054BE3" w:rsidP="00625798">
      <w:pPr>
        <w:widowControl w:val="0"/>
        <w:spacing w:after="0" w:line="240" w:lineRule="auto"/>
        <w:ind w:left="426" w:hanging="10"/>
        <w:jc w:val="both"/>
        <w:rPr>
          <w:rFonts w:ascii="Cambria" w:eastAsia="Cambria" w:hAnsi="Cambria" w:cs="Cambria"/>
          <w:color w:val="EE0000"/>
          <w:sz w:val="20"/>
          <w:szCs w:val="20"/>
        </w:rPr>
      </w:pPr>
      <w:r w:rsidRPr="002D69E2">
        <w:rPr>
          <w:rFonts w:ascii="Cambria" w:hAnsi="Cambria"/>
          <w:color w:val="EE0000"/>
          <w:sz w:val="20"/>
        </w:rPr>
        <w:t>El proyecto piloto durará un año, a partir de marzo de 2026. El informe de resultados se elaborará y enviará a ICCAT al final del proyecto piloto.</w:t>
      </w:r>
    </w:p>
    <w:p w14:paraId="1943E0D4" w14:textId="17AEFC3E" w:rsidR="59E8B402" w:rsidRPr="002D69E2" w:rsidRDefault="59E8B402" w:rsidP="59E8B402">
      <w:pPr>
        <w:widowControl w:val="0"/>
        <w:spacing w:after="0" w:line="240" w:lineRule="auto"/>
        <w:ind w:hanging="10"/>
        <w:rPr>
          <w:rFonts w:ascii="Cambria" w:eastAsia="Cambria" w:hAnsi="Cambria" w:cs="Cambria"/>
          <w:color w:val="000000" w:themeColor="text1"/>
          <w:sz w:val="20"/>
          <w:szCs w:val="20"/>
        </w:rPr>
      </w:pPr>
    </w:p>
    <w:p w14:paraId="1807A16B" w14:textId="379E2F48" w:rsidR="29EA7B88" w:rsidRPr="002D69E2" w:rsidRDefault="29EA7B88" w:rsidP="008C4A65">
      <w:pPr>
        <w:pStyle w:val="ListParagraph"/>
        <w:widowControl w:val="0"/>
        <w:numPr>
          <w:ilvl w:val="0"/>
          <w:numId w:val="1"/>
        </w:numPr>
        <w:spacing w:after="0" w:line="240" w:lineRule="auto"/>
        <w:ind w:left="426" w:hanging="426"/>
        <w:jc w:val="both"/>
        <w:rPr>
          <w:rFonts w:ascii="Cambria" w:eastAsia="Cambria" w:hAnsi="Cambria" w:cs="Cambria"/>
          <w:color w:val="EE0000"/>
          <w:sz w:val="20"/>
          <w:szCs w:val="20"/>
        </w:rPr>
      </w:pPr>
      <w:r w:rsidRPr="002D69E2">
        <w:rPr>
          <w:rFonts w:ascii="Cambria" w:hAnsi="Cambria"/>
          <w:color w:val="000000" w:themeColor="text1"/>
          <w:sz w:val="20"/>
        </w:rPr>
        <w:t xml:space="preserve">Hay alguna otra información pertinente sobre las repercusiones de la propuesta en lo referente a los recursos y a la carga de trabajo? </w:t>
      </w:r>
      <w:r w:rsidRPr="002D69E2">
        <w:rPr>
          <w:rFonts w:ascii="Cambria" w:hAnsi="Cambria"/>
          <w:color w:val="EE0000"/>
          <w:sz w:val="20"/>
        </w:rPr>
        <w:t>No.</w:t>
      </w:r>
    </w:p>
    <w:p w14:paraId="6F47DE17" w14:textId="0CCF48AB" w:rsidR="59E8B402" w:rsidRPr="002D69E2" w:rsidRDefault="59E8B402" w:rsidP="59E8B402">
      <w:pPr>
        <w:widowControl w:val="0"/>
        <w:spacing w:after="0" w:line="240" w:lineRule="auto"/>
        <w:ind w:left="426" w:hanging="10"/>
        <w:rPr>
          <w:rFonts w:ascii="Cambria" w:eastAsia="Cambria" w:hAnsi="Cambria" w:cs="Cambria"/>
          <w:color w:val="000000" w:themeColor="text1"/>
          <w:sz w:val="20"/>
          <w:szCs w:val="20"/>
          <w:lang w:val="en-IE"/>
        </w:rPr>
      </w:pPr>
    </w:p>
    <w:p w14:paraId="7A7E9FEA" w14:textId="4A88A1A4" w:rsidR="008C4A65" w:rsidRPr="002D69E2" w:rsidRDefault="008C4A65">
      <w:pPr>
        <w:rPr>
          <w:rFonts w:ascii="Cambria" w:eastAsia="Cambria" w:hAnsi="Cambria" w:cs="Cambria"/>
          <w:color w:val="000000" w:themeColor="text1"/>
          <w:sz w:val="20"/>
          <w:szCs w:val="20"/>
        </w:rPr>
      </w:pPr>
      <w:r w:rsidRPr="002D69E2">
        <w:br w:type="page"/>
      </w:r>
    </w:p>
    <w:p w14:paraId="76ADEB2A" w14:textId="67A15CD5" w:rsidR="59E8B402" w:rsidRPr="002D69E2" w:rsidRDefault="008C4A65" w:rsidP="008C4A65">
      <w:pPr>
        <w:widowControl w:val="0"/>
        <w:spacing w:after="0" w:line="240" w:lineRule="auto"/>
        <w:ind w:hanging="10"/>
        <w:jc w:val="right"/>
        <w:rPr>
          <w:rFonts w:ascii="Cambria" w:eastAsia="Cambria" w:hAnsi="Cambria" w:cs="Cambria"/>
          <w:b/>
          <w:bCs/>
          <w:color w:val="000000" w:themeColor="text1"/>
          <w:sz w:val="20"/>
          <w:szCs w:val="20"/>
        </w:rPr>
      </w:pPr>
      <w:r w:rsidRPr="002D69E2">
        <w:rPr>
          <w:rFonts w:ascii="Cambria" w:hAnsi="Cambria"/>
          <w:b/>
          <w:color w:val="000000" w:themeColor="text1"/>
          <w:sz w:val="20"/>
        </w:rPr>
        <w:lastRenderedPageBreak/>
        <w:t>Original: inglés</w:t>
      </w:r>
    </w:p>
    <w:p w14:paraId="2125DD25" w14:textId="77777777" w:rsidR="00BA6462" w:rsidRPr="002D69E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0626FA2E" w14:textId="77777777" w:rsidR="00BA6462" w:rsidRPr="002D69E2" w:rsidRDefault="00BA6462" w:rsidP="59E8B402">
      <w:pPr>
        <w:widowControl w:val="0"/>
        <w:spacing w:after="0" w:line="240" w:lineRule="auto"/>
        <w:ind w:hanging="10"/>
        <w:jc w:val="both"/>
        <w:rPr>
          <w:rFonts w:ascii="Cambria" w:eastAsia="Cambria" w:hAnsi="Cambria" w:cs="Cambria"/>
          <w:b/>
          <w:bCs/>
          <w:color w:val="000000" w:themeColor="text1"/>
          <w:sz w:val="20"/>
          <w:szCs w:val="20"/>
          <w:lang w:val="en-US"/>
        </w:rPr>
      </w:pPr>
    </w:p>
    <w:p w14:paraId="1860B573" w14:textId="2EB8D0DC" w:rsidR="29EA7B88" w:rsidRPr="002D69E2" w:rsidRDefault="29EA7B88" w:rsidP="00BA6462">
      <w:pPr>
        <w:widowControl w:val="0"/>
        <w:spacing w:after="0" w:line="240" w:lineRule="auto"/>
        <w:ind w:hanging="10"/>
        <w:jc w:val="center"/>
        <w:rPr>
          <w:rFonts w:ascii="Cambria" w:eastAsia="Cambria" w:hAnsi="Cambria" w:cs="Cambria"/>
          <w:b/>
          <w:bCs/>
          <w:color w:val="000000" w:themeColor="text1"/>
          <w:sz w:val="20"/>
          <w:szCs w:val="20"/>
        </w:rPr>
      </w:pPr>
      <w:r w:rsidRPr="002D69E2">
        <w:rPr>
          <w:rFonts w:ascii="Cambria" w:hAnsi="Cambria"/>
          <w:b/>
          <w:color w:val="000000" w:themeColor="text1"/>
          <w:sz w:val="20"/>
        </w:rPr>
        <w:t>No explicativa sobre un Proyecto de Recomendación de ICCAT para un proyecto piloto de cría de atún rojo (</w:t>
      </w:r>
      <w:r w:rsidRPr="002D69E2">
        <w:rPr>
          <w:rFonts w:ascii="Cambria" w:hAnsi="Cambria"/>
          <w:b/>
          <w:i/>
          <w:iCs/>
          <w:color w:val="000000" w:themeColor="text1"/>
          <w:sz w:val="20"/>
        </w:rPr>
        <w:t>Thunnus thynnus</w:t>
      </w:r>
      <w:r w:rsidRPr="002D69E2">
        <w:rPr>
          <w:rFonts w:ascii="Cambria" w:hAnsi="Cambria"/>
          <w:b/>
          <w:color w:val="000000" w:themeColor="text1"/>
          <w:sz w:val="20"/>
        </w:rPr>
        <w:t>) y rabil (</w:t>
      </w:r>
      <w:r w:rsidRPr="002D69E2">
        <w:rPr>
          <w:rFonts w:ascii="Cambria" w:hAnsi="Cambria"/>
          <w:b/>
          <w:i/>
          <w:iCs/>
          <w:color w:val="000000" w:themeColor="text1"/>
          <w:sz w:val="20"/>
        </w:rPr>
        <w:t>Thunnus albacares</w:t>
      </w:r>
      <w:r w:rsidRPr="002D69E2">
        <w:rPr>
          <w:rFonts w:ascii="Cambria" w:hAnsi="Cambria"/>
          <w:b/>
          <w:color w:val="000000" w:themeColor="text1"/>
          <w:sz w:val="20"/>
        </w:rPr>
        <w:t>) en aguas de las islas Canarias</w:t>
      </w:r>
    </w:p>
    <w:p w14:paraId="43E60F7D" w14:textId="77777777" w:rsidR="008C4A65" w:rsidRPr="002D69E2" w:rsidRDefault="008C4A65" w:rsidP="59E8B402">
      <w:pPr>
        <w:widowControl w:val="0"/>
        <w:spacing w:after="0" w:line="240" w:lineRule="auto"/>
        <w:ind w:hanging="10"/>
        <w:jc w:val="both"/>
        <w:rPr>
          <w:rFonts w:ascii="Cambria" w:eastAsia="Cambria" w:hAnsi="Cambria" w:cs="Cambria"/>
          <w:b/>
          <w:bCs/>
          <w:color w:val="000000" w:themeColor="text1"/>
          <w:sz w:val="20"/>
          <w:szCs w:val="20"/>
        </w:rPr>
      </w:pPr>
    </w:p>
    <w:p w14:paraId="6489FCAA" w14:textId="14C8C42D" w:rsidR="008C4A65" w:rsidRPr="002D69E2" w:rsidRDefault="008C4A65" w:rsidP="008C4A65">
      <w:pPr>
        <w:widowControl w:val="0"/>
        <w:spacing w:after="0" w:line="240" w:lineRule="auto"/>
        <w:jc w:val="center"/>
        <w:rPr>
          <w:rFonts w:ascii="Cambria" w:eastAsia="Cambria" w:hAnsi="Cambria" w:cs="Cambria"/>
          <w:i/>
          <w:kern w:val="0"/>
          <w:sz w:val="20"/>
          <w:szCs w:val="20"/>
          <w14:ligatures w14:val="none"/>
        </w:rPr>
      </w:pPr>
      <w:r w:rsidRPr="002D69E2">
        <w:rPr>
          <w:rFonts w:ascii="Cambria" w:hAnsi="Cambria"/>
          <w:i/>
          <w:sz w:val="20"/>
        </w:rPr>
        <w:t>(</w:t>
      </w:r>
      <w:r w:rsidR="00E15CD1" w:rsidRPr="002D69E2">
        <w:rPr>
          <w:rFonts w:ascii="Cambria" w:hAnsi="Cambria"/>
          <w:i/>
          <w:sz w:val="20"/>
        </w:rPr>
        <w:t>document</w:t>
      </w:r>
      <w:r w:rsidR="007E2D92" w:rsidRPr="002D69E2">
        <w:rPr>
          <w:rFonts w:ascii="Cambria" w:hAnsi="Cambria"/>
          <w:i/>
          <w:sz w:val="20"/>
        </w:rPr>
        <w:t xml:space="preserve">o </w:t>
      </w:r>
      <w:r w:rsidRPr="002D69E2">
        <w:rPr>
          <w:rFonts w:ascii="Cambria" w:hAnsi="Cambria"/>
          <w:i/>
          <w:sz w:val="20"/>
        </w:rPr>
        <w:t>presentado por la Unión Europea)</w:t>
      </w:r>
    </w:p>
    <w:p w14:paraId="7E0C404F" w14:textId="77777777" w:rsidR="008C4A65" w:rsidRPr="002D69E2" w:rsidRDefault="008C4A65" w:rsidP="59E8B402">
      <w:pPr>
        <w:widowControl w:val="0"/>
        <w:spacing w:after="0" w:line="240" w:lineRule="auto"/>
        <w:ind w:hanging="10"/>
        <w:jc w:val="both"/>
        <w:rPr>
          <w:rFonts w:ascii="Cambria" w:eastAsia="Cambria" w:hAnsi="Cambria" w:cs="Cambria"/>
          <w:color w:val="000000" w:themeColor="text1"/>
          <w:sz w:val="20"/>
          <w:szCs w:val="20"/>
        </w:rPr>
      </w:pPr>
    </w:p>
    <w:p w14:paraId="1FF5E0DB" w14:textId="77777777" w:rsidR="00BB656F" w:rsidRPr="002D69E2" w:rsidRDefault="00BB656F" w:rsidP="00A24CB9">
      <w:pPr>
        <w:widowControl w:val="0"/>
        <w:spacing w:after="0" w:line="240" w:lineRule="auto"/>
        <w:jc w:val="both"/>
        <w:rPr>
          <w:rFonts w:ascii="Cambria" w:eastAsiaTheme="minorEastAsia" w:hAnsi="Cambria"/>
          <w:color w:val="000000" w:themeColor="text1"/>
          <w:sz w:val="20"/>
          <w:szCs w:val="20"/>
        </w:rPr>
      </w:pPr>
    </w:p>
    <w:p w14:paraId="06AE89EC" w14:textId="751AAC1D" w:rsidR="5D923915" w:rsidRPr="002D69E2" w:rsidRDefault="5D923915" w:rsidP="00A24CB9">
      <w:pPr>
        <w:widowControl w:val="0"/>
        <w:spacing w:after="0" w:line="240" w:lineRule="auto"/>
        <w:jc w:val="both"/>
        <w:rPr>
          <w:rFonts w:ascii="Cambria" w:eastAsiaTheme="minorEastAsia" w:hAnsi="Cambria"/>
          <w:color w:val="000000" w:themeColor="text1"/>
          <w:sz w:val="20"/>
          <w:szCs w:val="20"/>
        </w:rPr>
      </w:pPr>
      <w:r w:rsidRPr="002D69E2">
        <w:rPr>
          <w:rFonts w:ascii="Cambria" w:hAnsi="Cambria"/>
          <w:color w:val="000000" w:themeColor="text1"/>
          <w:sz w:val="20"/>
        </w:rPr>
        <w:t>El objetivo del proyecto piloto es evaluar las condiciones de pesca y cría del atún rojo (</w:t>
      </w:r>
      <w:r w:rsidRPr="002D69E2">
        <w:rPr>
          <w:rFonts w:ascii="Cambria" w:hAnsi="Cambria"/>
          <w:i/>
          <w:iCs/>
          <w:color w:val="000000" w:themeColor="text1"/>
          <w:sz w:val="20"/>
        </w:rPr>
        <w:t>Thunnus thynnus</w:t>
      </w:r>
      <w:r w:rsidRPr="002D69E2">
        <w:rPr>
          <w:rFonts w:ascii="Cambria" w:hAnsi="Cambria"/>
          <w:color w:val="000000" w:themeColor="text1"/>
          <w:sz w:val="20"/>
        </w:rPr>
        <w:t xml:space="preserve">) (BFT) y </w:t>
      </w:r>
      <w:r w:rsidR="007E2D92" w:rsidRPr="002D69E2">
        <w:rPr>
          <w:rFonts w:ascii="Cambria" w:hAnsi="Cambria"/>
          <w:color w:val="000000" w:themeColor="text1"/>
          <w:sz w:val="20"/>
        </w:rPr>
        <w:t>d</w:t>
      </w:r>
      <w:r w:rsidRPr="002D69E2">
        <w:rPr>
          <w:rFonts w:ascii="Cambria" w:hAnsi="Cambria"/>
          <w:color w:val="000000" w:themeColor="text1"/>
          <w:sz w:val="20"/>
        </w:rPr>
        <w:t>el rabil (</w:t>
      </w:r>
      <w:r w:rsidRPr="002D69E2">
        <w:rPr>
          <w:rFonts w:ascii="Cambria" w:hAnsi="Cambria"/>
          <w:i/>
          <w:iCs/>
          <w:color w:val="000000" w:themeColor="text1"/>
          <w:sz w:val="20"/>
        </w:rPr>
        <w:t>Thunnus albacares</w:t>
      </w:r>
      <w:r w:rsidRPr="002D69E2">
        <w:rPr>
          <w:rFonts w:ascii="Cambria" w:hAnsi="Cambria"/>
          <w:color w:val="000000" w:themeColor="text1"/>
          <w:sz w:val="20"/>
        </w:rPr>
        <w:t xml:space="preserve">) en el océano Atlántico, concretamente en la zona 34.1 de la FAO, para informar sobre el posible desarrollo futuro de dichas actividades.  </w:t>
      </w:r>
    </w:p>
    <w:p w14:paraId="3659A2A3" w14:textId="02B6699C" w:rsidR="59E8B402" w:rsidRPr="002D69E2" w:rsidRDefault="59E8B402" w:rsidP="00A24CB9">
      <w:pPr>
        <w:spacing w:after="0" w:line="240" w:lineRule="auto"/>
        <w:rPr>
          <w:rFonts w:ascii="Cambria" w:hAnsi="Cambria"/>
          <w:color w:val="000000" w:themeColor="text1"/>
        </w:rPr>
      </w:pPr>
      <w:r w:rsidRPr="002D69E2">
        <w:br w:type="page"/>
      </w:r>
    </w:p>
    <w:p w14:paraId="3A73830B" w14:textId="77777777" w:rsidR="00BB656F" w:rsidRPr="002D69E2" w:rsidRDefault="00BB656F" w:rsidP="00BB656F">
      <w:pPr>
        <w:widowControl w:val="0"/>
        <w:spacing w:after="0" w:line="240" w:lineRule="auto"/>
        <w:ind w:hanging="10"/>
        <w:jc w:val="right"/>
        <w:rPr>
          <w:rFonts w:ascii="Cambria" w:eastAsia="Cambria" w:hAnsi="Cambria" w:cs="Cambria"/>
          <w:b/>
          <w:bCs/>
          <w:color w:val="000000" w:themeColor="text1"/>
          <w:sz w:val="20"/>
          <w:szCs w:val="20"/>
        </w:rPr>
      </w:pPr>
      <w:r w:rsidRPr="002D69E2">
        <w:rPr>
          <w:rFonts w:ascii="Cambria" w:hAnsi="Cambria"/>
          <w:b/>
          <w:color w:val="000000" w:themeColor="text1"/>
          <w:sz w:val="20"/>
        </w:rPr>
        <w:lastRenderedPageBreak/>
        <w:t>Original: inglés</w:t>
      </w:r>
    </w:p>
    <w:p w14:paraId="017FCCBA" w14:textId="77777777" w:rsidR="00BB656F" w:rsidRPr="002D69E2"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1EDDA78E" w14:textId="5254B9AB" w:rsidR="00BB656F" w:rsidRPr="002D69E2" w:rsidRDefault="00BB656F" w:rsidP="00BB656F">
      <w:pPr>
        <w:widowControl w:val="0"/>
        <w:spacing w:after="0" w:line="240" w:lineRule="auto"/>
        <w:ind w:hanging="10"/>
        <w:jc w:val="center"/>
        <w:rPr>
          <w:rFonts w:ascii="Cambria" w:eastAsia="Cambria" w:hAnsi="Cambria" w:cs="Cambria"/>
          <w:b/>
          <w:bCs/>
          <w:color w:val="000000" w:themeColor="text1"/>
          <w:sz w:val="20"/>
          <w:szCs w:val="20"/>
        </w:rPr>
      </w:pPr>
      <w:r w:rsidRPr="002D69E2">
        <w:rPr>
          <w:rFonts w:ascii="Cambria" w:hAnsi="Cambria"/>
          <w:b/>
          <w:color w:val="000000" w:themeColor="text1"/>
          <w:sz w:val="20"/>
        </w:rPr>
        <w:t>Proyecto de Recomendación de ICCAT para un proyecto piloto de cría de atún rojo (</w:t>
      </w:r>
      <w:r w:rsidRPr="002D69E2">
        <w:rPr>
          <w:rFonts w:ascii="Cambria" w:hAnsi="Cambria"/>
          <w:b/>
          <w:i/>
          <w:iCs/>
          <w:color w:val="000000" w:themeColor="text1"/>
          <w:sz w:val="20"/>
        </w:rPr>
        <w:t>Thunnus thynnus</w:t>
      </w:r>
      <w:r w:rsidRPr="002D69E2">
        <w:rPr>
          <w:rFonts w:ascii="Cambria" w:hAnsi="Cambria"/>
          <w:b/>
          <w:color w:val="000000" w:themeColor="text1"/>
          <w:sz w:val="20"/>
        </w:rPr>
        <w:t>) y rabil (</w:t>
      </w:r>
      <w:r w:rsidRPr="002D69E2">
        <w:rPr>
          <w:rFonts w:ascii="Cambria" w:hAnsi="Cambria"/>
          <w:b/>
          <w:i/>
          <w:iCs/>
          <w:color w:val="000000" w:themeColor="text1"/>
          <w:sz w:val="20"/>
        </w:rPr>
        <w:t>Thunnus albacares</w:t>
      </w:r>
      <w:r w:rsidRPr="002D69E2">
        <w:rPr>
          <w:rFonts w:ascii="Cambria" w:hAnsi="Cambria"/>
          <w:b/>
          <w:color w:val="000000" w:themeColor="text1"/>
          <w:sz w:val="20"/>
        </w:rPr>
        <w:t>) en aguas de las islas Canarias</w:t>
      </w:r>
    </w:p>
    <w:p w14:paraId="3871BDF7" w14:textId="77777777" w:rsidR="00BB656F" w:rsidRPr="002D69E2" w:rsidRDefault="00BB656F" w:rsidP="00BB656F">
      <w:pPr>
        <w:widowControl w:val="0"/>
        <w:spacing w:after="0" w:line="240" w:lineRule="auto"/>
        <w:ind w:hanging="10"/>
        <w:jc w:val="both"/>
        <w:rPr>
          <w:rFonts w:ascii="Cambria" w:eastAsia="Cambria" w:hAnsi="Cambria" w:cs="Cambria"/>
          <w:b/>
          <w:bCs/>
          <w:color w:val="000000" w:themeColor="text1"/>
          <w:sz w:val="20"/>
          <w:szCs w:val="20"/>
        </w:rPr>
      </w:pPr>
    </w:p>
    <w:p w14:paraId="7E9187BA" w14:textId="1FFA8EB2" w:rsidR="00BB656F" w:rsidRPr="002D69E2" w:rsidRDefault="00BB656F" w:rsidP="00BB656F">
      <w:pPr>
        <w:widowControl w:val="0"/>
        <w:spacing w:after="0" w:line="240" w:lineRule="auto"/>
        <w:jc w:val="center"/>
        <w:rPr>
          <w:rFonts w:ascii="Cambria" w:eastAsia="Cambria" w:hAnsi="Cambria" w:cs="Cambria"/>
          <w:i/>
          <w:kern w:val="0"/>
          <w:sz w:val="20"/>
          <w:szCs w:val="20"/>
          <w14:ligatures w14:val="none"/>
        </w:rPr>
      </w:pPr>
      <w:r w:rsidRPr="002D69E2">
        <w:rPr>
          <w:rFonts w:ascii="Cambria" w:hAnsi="Cambria"/>
          <w:i/>
          <w:sz w:val="20"/>
        </w:rPr>
        <w:t>(</w:t>
      </w:r>
      <w:r w:rsidR="00823F80" w:rsidRPr="002D69E2">
        <w:rPr>
          <w:rFonts w:ascii="Cambria" w:hAnsi="Cambria"/>
          <w:i/>
          <w:sz w:val="20"/>
        </w:rPr>
        <w:t xml:space="preserve">documento </w:t>
      </w:r>
      <w:r w:rsidRPr="002D69E2">
        <w:rPr>
          <w:rFonts w:ascii="Cambria" w:hAnsi="Cambria"/>
          <w:i/>
          <w:sz w:val="20"/>
        </w:rPr>
        <w:t>presentado por la Unión Europea)</w:t>
      </w:r>
    </w:p>
    <w:p w14:paraId="79604C58" w14:textId="77F0F464" w:rsidR="59E8B402" w:rsidRPr="002D69E2" w:rsidRDefault="59E8B402" w:rsidP="59E8B402">
      <w:pPr>
        <w:pStyle w:val="Default"/>
      </w:pPr>
    </w:p>
    <w:p w14:paraId="661A735C" w14:textId="3F916B13" w:rsidR="00FE510B" w:rsidRPr="002D69E2" w:rsidRDefault="00FE510B" w:rsidP="00B92310">
      <w:pPr>
        <w:pStyle w:val="Default"/>
        <w:ind w:firstLine="426"/>
        <w:jc w:val="both"/>
        <w:rPr>
          <w:sz w:val="20"/>
        </w:rPr>
      </w:pPr>
      <w:r w:rsidRPr="002D69E2">
        <w:rPr>
          <w:i/>
          <w:sz w:val="20"/>
        </w:rPr>
        <w:t>TENIENDO EN CUENTA</w:t>
      </w:r>
      <w:r w:rsidRPr="002D69E2">
        <w:rPr>
          <w:sz w:val="20"/>
        </w:rPr>
        <w:t xml:space="preserve"> que ICCAT ha adoptado la </w:t>
      </w:r>
      <w:r w:rsidRPr="002D69E2">
        <w:rPr>
          <w:i/>
          <w:sz w:val="20"/>
        </w:rPr>
        <w:t xml:space="preserve">Recomendación de ICCAT que enmienda la Recomendación </w:t>
      </w:r>
      <w:r w:rsidR="00902FA0" w:rsidRPr="002D69E2">
        <w:rPr>
          <w:i/>
          <w:sz w:val="20"/>
        </w:rPr>
        <w:t>22</w:t>
      </w:r>
      <w:r w:rsidRPr="002D69E2">
        <w:rPr>
          <w:i/>
          <w:sz w:val="20"/>
        </w:rPr>
        <w:t xml:space="preserve">-08 que enmienda la Recomendación 18-02 que establece un plan de ordenación plurianual para el atún rojo en el Atlántico este y el Mediterráneo </w:t>
      </w:r>
      <w:r w:rsidRPr="002D69E2">
        <w:rPr>
          <w:sz w:val="20"/>
        </w:rPr>
        <w:t xml:space="preserve"> (Rec. 2</w:t>
      </w:r>
      <w:r w:rsidR="00902FA0" w:rsidRPr="002D69E2">
        <w:rPr>
          <w:sz w:val="20"/>
        </w:rPr>
        <w:t>4</w:t>
      </w:r>
      <w:r w:rsidRPr="002D69E2">
        <w:rPr>
          <w:sz w:val="20"/>
        </w:rPr>
        <w:t>-0</w:t>
      </w:r>
      <w:r w:rsidR="00902FA0" w:rsidRPr="002D69E2">
        <w:rPr>
          <w:sz w:val="20"/>
        </w:rPr>
        <w:t>5</w:t>
      </w:r>
      <w:r w:rsidRPr="002D69E2">
        <w:rPr>
          <w:sz w:val="20"/>
        </w:rPr>
        <w:t xml:space="preserve">), la </w:t>
      </w:r>
      <w:r w:rsidRPr="002D69E2">
        <w:rPr>
          <w:i/>
          <w:sz w:val="20"/>
        </w:rPr>
        <w:t xml:space="preserve">Recomendación de ICCAT que enmienda la Recomendación </w:t>
      </w:r>
      <w:r w:rsidR="00AB357F" w:rsidRPr="002D69E2">
        <w:rPr>
          <w:i/>
          <w:sz w:val="20"/>
        </w:rPr>
        <w:t>22</w:t>
      </w:r>
      <w:r w:rsidRPr="002D69E2">
        <w:rPr>
          <w:i/>
          <w:sz w:val="20"/>
        </w:rPr>
        <w:t>-</w:t>
      </w:r>
      <w:r w:rsidR="00AB357F" w:rsidRPr="002D69E2">
        <w:rPr>
          <w:i/>
          <w:sz w:val="20"/>
        </w:rPr>
        <w:t>16</w:t>
      </w:r>
      <w:r w:rsidR="00DD4B5A" w:rsidRPr="002D69E2">
        <w:rPr>
          <w:i/>
          <w:sz w:val="20"/>
        </w:rPr>
        <w:t xml:space="preserve"> que enmienda la Rec. 21-18</w:t>
      </w:r>
      <w:r w:rsidRPr="002D69E2">
        <w:rPr>
          <w:i/>
          <w:sz w:val="20"/>
        </w:rPr>
        <w:t xml:space="preserve"> sobre la aplicación del sistema eBCD</w:t>
      </w:r>
      <w:r w:rsidRPr="002D69E2">
        <w:rPr>
          <w:sz w:val="20"/>
        </w:rPr>
        <w:t xml:space="preserve"> (Rec. </w:t>
      </w:r>
      <w:r w:rsidR="001B7EA2" w:rsidRPr="002D69E2">
        <w:rPr>
          <w:sz w:val="20"/>
        </w:rPr>
        <w:t>24</w:t>
      </w:r>
      <w:r w:rsidRPr="002D69E2">
        <w:rPr>
          <w:sz w:val="20"/>
        </w:rPr>
        <w:t>-1</w:t>
      </w:r>
      <w:r w:rsidR="001B7EA2" w:rsidRPr="002D69E2">
        <w:rPr>
          <w:sz w:val="20"/>
        </w:rPr>
        <w:t>6</w:t>
      </w:r>
      <w:r w:rsidRPr="002D69E2">
        <w:rPr>
          <w:sz w:val="20"/>
        </w:rPr>
        <w:t xml:space="preserve">) y la </w:t>
      </w:r>
      <w:r w:rsidRPr="002D69E2">
        <w:rPr>
          <w:i/>
          <w:iCs/>
          <w:sz w:val="20"/>
        </w:rPr>
        <w:t xml:space="preserve">Recomendación de ICCAT que enmienda </w:t>
      </w:r>
      <w:r w:rsidR="00DD4B5A" w:rsidRPr="002D69E2">
        <w:rPr>
          <w:i/>
          <w:iCs/>
          <w:sz w:val="20"/>
        </w:rPr>
        <w:t xml:space="preserve">y reemplaza </w:t>
      </w:r>
      <w:r w:rsidRPr="002D69E2">
        <w:rPr>
          <w:i/>
          <w:iCs/>
          <w:sz w:val="20"/>
        </w:rPr>
        <w:t xml:space="preserve">la Recomendación 18-13 </w:t>
      </w:r>
      <w:r w:rsidR="00DD4B5A" w:rsidRPr="002D69E2">
        <w:rPr>
          <w:i/>
          <w:iCs/>
          <w:sz w:val="20"/>
        </w:rPr>
        <w:t>s</w:t>
      </w:r>
      <w:r w:rsidRPr="002D69E2">
        <w:rPr>
          <w:i/>
          <w:iCs/>
          <w:sz w:val="20"/>
        </w:rPr>
        <w:t>obre el programa ICCAT de documentación de capturas de atún rojo</w:t>
      </w:r>
      <w:r w:rsidRPr="002D69E2">
        <w:rPr>
          <w:sz w:val="20"/>
        </w:rPr>
        <w:t xml:space="preserve"> (Rec. </w:t>
      </w:r>
      <w:r w:rsidR="00B92310" w:rsidRPr="002D69E2">
        <w:rPr>
          <w:sz w:val="20"/>
        </w:rPr>
        <w:t>23</w:t>
      </w:r>
      <w:r w:rsidRPr="002D69E2">
        <w:rPr>
          <w:sz w:val="20"/>
        </w:rPr>
        <w:t>-</w:t>
      </w:r>
      <w:r w:rsidR="00B92310" w:rsidRPr="002D69E2">
        <w:rPr>
          <w:sz w:val="20"/>
        </w:rPr>
        <w:t>21</w:t>
      </w:r>
      <w:r w:rsidRPr="002D69E2">
        <w:rPr>
          <w:sz w:val="20"/>
        </w:rPr>
        <w:t xml:space="preserve">); </w:t>
      </w:r>
    </w:p>
    <w:p w14:paraId="7639B2ED" w14:textId="77777777" w:rsidR="00FE510B" w:rsidRPr="002D69E2" w:rsidRDefault="00FE510B" w:rsidP="00893807">
      <w:pPr>
        <w:pStyle w:val="Default"/>
        <w:ind w:firstLine="720"/>
        <w:jc w:val="both"/>
        <w:rPr>
          <w:sz w:val="20"/>
          <w:szCs w:val="20"/>
        </w:rPr>
      </w:pPr>
    </w:p>
    <w:p w14:paraId="1FC86D69" w14:textId="77777777" w:rsidR="00FE510B" w:rsidRPr="002D69E2" w:rsidRDefault="00FE510B" w:rsidP="00F3785F">
      <w:pPr>
        <w:pStyle w:val="Default"/>
        <w:ind w:firstLine="426"/>
        <w:jc w:val="both"/>
        <w:rPr>
          <w:sz w:val="20"/>
          <w:szCs w:val="20"/>
        </w:rPr>
      </w:pPr>
      <w:r w:rsidRPr="002D69E2">
        <w:rPr>
          <w:i/>
          <w:iCs/>
          <w:sz w:val="20"/>
        </w:rPr>
        <w:t>RECORDANDO</w:t>
      </w:r>
      <w:r w:rsidRPr="002D69E2">
        <w:rPr>
          <w:sz w:val="20"/>
        </w:rPr>
        <w:t xml:space="preserve"> que en su 23ª Reunión extraordinaria la Comisión de ICCAT adoptó un procedimiento de ordenación (MP) para el atún rojo (Rec. 22-09) con el fin de garantizar una ordenación sostenible de la pesquería de atún rojo y proporcionar estabilidad y previsibilidad a la actividad pesquera del atún rojo, incluyendo al sector de cría; </w:t>
      </w:r>
    </w:p>
    <w:p w14:paraId="6A4BE307" w14:textId="77777777" w:rsidR="00FE510B" w:rsidRPr="002D69E2" w:rsidRDefault="00FE510B" w:rsidP="00893807">
      <w:pPr>
        <w:pStyle w:val="Default"/>
        <w:ind w:firstLine="720"/>
        <w:jc w:val="both"/>
        <w:rPr>
          <w:sz w:val="20"/>
          <w:szCs w:val="20"/>
        </w:rPr>
      </w:pPr>
    </w:p>
    <w:p w14:paraId="671A1894" w14:textId="677F974C" w:rsidR="00FE510B" w:rsidRPr="002D69E2" w:rsidRDefault="2A1B8ACC" w:rsidP="00F3785F">
      <w:pPr>
        <w:pStyle w:val="Default"/>
        <w:ind w:firstLine="426"/>
        <w:jc w:val="both"/>
        <w:rPr>
          <w:sz w:val="20"/>
          <w:szCs w:val="20"/>
        </w:rPr>
      </w:pPr>
      <w:r w:rsidRPr="002D69E2">
        <w:rPr>
          <w:i/>
          <w:sz w:val="20"/>
        </w:rPr>
        <w:t>OBSERVANDO</w:t>
      </w:r>
      <w:r w:rsidRPr="002D69E2">
        <w:rPr>
          <w:sz w:val="20"/>
        </w:rPr>
        <w:t xml:space="preserve"> el interés por explorar formas de:</w:t>
      </w:r>
      <w:r w:rsidR="005E2997" w:rsidRPr="002D69E2">
        <w:rPr>
          <w:sz w:val="20"/>
        </w:rPr>
        <w:t xml:space="preserve"> </w:t>
      </w:r>
      <w:r w:rsidRPr="002D69E2">
        <w:rPr>
          <w:sz w:val="20"/>
        </w:rPr>
        <w:t xml:space="preserve">a) criar atún rojo en zonas distintas del Mediterráneo, b) explorar la innovación tecnológica para la introducción en jaulas y la cría de atún rojo, y c) evaluar la viabilidad de implementar la disposición actual sobre el seguimiento de la operación de cría cuando la granja opera en condiciones de mar abierto; </w:t>
      </w:r>
    </w:p>
    <w:p w14:paraId="473860A6" w14:textId="741C2EC3" w:rsidR="6D00600D" w:rsidRPr="002D69E2" w:rsidRDefault="6D00600D" w:rsidP="6D00600D">
      <w:pPr>
        <w:pStyle w:val="Default"/>
        <w:ind w:firstLine="720"/>
        <w:jc w:val="both"/>
        <w:rPr>
          <w:sz w:val="20"/>
          <w:szCs w:val="20"/>
        </w:rPr>
      </w:pPr>
    </w:p>
    <w:p w14:paraId="44F04027" w14:textId="03E31B66" w:rsidR="487CFB33" w:rsidRPr="002D69E2" w:rsidRDefault="487CFB33" w:rsidP="00F3785F">
      <w:pPr>
        <w:pStyle w:val="Default"/>
        <w:ind w:firstLine="426"/>
        <w:jc w:val="both"/>
        <w:rPr>
          <w:sz w:val="20"/>
          <w:szCs w:val="20"/>
        </w:rPr>
      </w:pPr>
      <w:r w:rsidRPr="002D69E2">
        <w:rPr>
          <w:i/>
          <w:iCs/>
          <w:sz w:val="20"/>
        </w:rPr>
        <w:t>OBSERVANDO</w:t>
      </w:r>
      <w:r w:rsidRPr="002D69E2">
        <w:rPr>
          <w:sz w:val="20"/>
        </w:rPr>
        <w:t xml:space="preserve"> los escasos estudios y experiencias disponibles en la actualidad en relación con el engorde del rabil, así como el interés que reviste desde el punto de vista de la investigación, el fomento de la innovación, la mejora de la disponibilidad de productos de mayor calidad y la posibilidad de que las comunidades pesqueras obtengan mayores beneficios de la utilización sostenible de los mismos recursos;</w:t>
      </w:r>
    </w:p>
    <w:p w14:paraId="5D5AB204" w14:textId="77777777" w:rsidR="00FE510B" w:rsidRPr="002D69E2" w:rsidRDefault="00FE510B" w:rsidP="00893807">
      <w:pPr>
        <w:pStyle w:val="Default"/>
        <w:ind w:firstLine="720"/>
        <w:jc w:val="both"/>
        <w:rPr>
          <w:sz w:val="20"/>
          <w:szCs w:val="20"/>
        </w:rPr>
      </w:pPr>
    </w:p>
    <w:p w14:paraId="6F2DD1E2" w14:textId="2125A871" w:rsidR="00FE510B" w:rsidRPr="002D69E2" w:rsidRDefault="2A1B8ACC" w:rsidP="00F3785F">
      <w:pPr>
        <w:pStyle w:val="Default"/>
        <w:ind w:firstLine="426"/>
        <w:jc w:val="both"/>
        <w:rPr>
          <w:sz w:val="20"/>
          <w:szCs w:val="20"/>
        </w:rPr>
      </w:pPr>
      <w:r w:rsidRPr="002D69E2">
        <w:rPr>
          <w:i/>
          <w:sz w:val="20"/>
        </w:rPr>
        <w:t>RECONOCIENDO</w:t>
      </w:r>
      <w:r w:rsidRPr="002D69E2">
        <w:rPr>
          <w:sz w:val="20"/>
        </w:rPr>
        <w:t xml:space="preserve"> que los resultados de la investigación podrían indicar la necesidad de realizar ajustes en las medidas pertinentes de ICCAT, o la elaboración de otras nuevas, incluida la necesidad de incluir normas adicionales a la temporada de pesca en consecuencia y/o añadir o revisar las disposiciones actuales relacionadas con las medidas de seguimiento y control de las actividades de cría fuera del mar Mediterráneo; </w:t>
      </w:r>
    </w:p>
    <w:p w14:paraId="5DA97880" w14:textId="77777777" w:rsidR="00D97B6C" w:rsidRPr="002D69E2" w:rsidRDefault="00D97B6C" w:rsidP="00893807">
      <w:pPr>
        <w:pStyle w:val="Default"/>
        <w:ind w:firstLine="720"/>
        <w:jc w:val="both"/>
        <w:rPr>
          <w:sz w:val="20"/>
          <w:szCs w:val="20"/>
        </w:rPr>
      </w:pPr>
    </w:p>
    <w:p w14:paraId="4BD9CF6D" w14:textId="3275013F" w:rsidR="00FE510B" w:rsidRPr="002D69E2" w:rsidRDefault="00FE510B" w:rsidP="00893807">
      <w:pPr>
        <w:pStyle w:val="Default"/>
        <w:jc w:val="center"/>
        <w:rPr>
          <w:sz w:val="20"/>
          <w:szCs w:val="20"/>
        </w:rPr>
      </w:pPr>
      <w:r w:rsidRPr="002D69E2">
        <w:rPr>
          <w:sz w:val="20"/>
        </w:rPr>
        <w:t>LA COMISIÓN INTERNACIONAL PARA LA CONSERVACIÓN</w:t>
      </w:r>
    </w:p>
    <w:p w14:paraId="7DF75A0B" w14:textId="4DBD96CB" w:rsidR="00FE510B" w:rsidRPr="002D69E2" w:rsidRDefault="00FE510B" w:rsidP="00893807">
      <w:pPr>
        <w:pStyle w:val="Default"/>
        <w:jc w:val="center"/>
        <w:rPr>
          <w:sz w:val="20"/>
          <w:szCs w:val="20"/>
        </w:rPr>
      </w:pPr>
      <w:r w:rsidRPr="002D69E2">
        <w:rPr>
          <w:sz w:val="20"/>
        </w:rPr>
        <w:t>DEL ATÚN ATLÁNTICO (ICCAT) RECOMIENDA LO SIGUIENTE:</w:t>
      </w:r>
    </w:p>
    <w:p w14:paraId="18EF6150" w14:textId="77777777" w:rsidR="00FE510B" w:rsidRPr="002D69E2" w:rsidRDefault="00FE510B" w:rsidP="00893807">
      <w:pPr>
        <w:pStyle w:val="Default"/>
        <w:jc w:val="both"/>
        <w:rPr>
          <w:sz w:val="20"/>
          <w:szCs w:val="20"/>
        </w:rPr>
      </w:pPr>
    </w:p>
    <w:p w14:paraId="154642D9" w14:textId="23463129" w:rsidR="00FE510B" w:rsidRPr="002D69E2" w:rsidRDefault="2A1B8ACC" w:rsidP="00F3785F">
      <w:pPr>
        <w:pStyle w:val="Default"/>
        <w:numPr>
          <w:ilvl w:val="0"/>
          <w:numId w:val="3"/>
        </w:numPr>
        <w:ind w:left="426" w:hanging="426"/>
        <w:jc w:val="both"/>
        <w:rPr>
          <w:sz w:val="20"/>
          <w:szCs w:val="20"/>
        </w:rPr>
      </w:pPr>
      <w:r w:rsidRPr="002D69E2">
        <w:rPr>
          <w:sz w:val="20"/>
        </w:rPr>
        <w:t>El objetivo del proyecto piloto es evaluar las condiciones de pesca y cría del atún rojo (</w:t>
      </w:r>
      <w:r w:rsidRPr="002D69E2">
        <w:rPr>
          <w:i/>
          <w:iCs/>
          <w:sz w:val="20"/>
        </w:rPr>
        <w:t>Thunnus thynnus</w:t>
      </w:r>
      <w:r w:rsidRPr="002D69E2">
        <w:rPr>
          <w:sz w:val="20"/>
        </w:rPr>
        <w:t xml:space="preserve">) (BFT) y </w:t>
      </w:r>
      <w:r w:rsidR="003E1DE9" w:rsidRPr="002D69E2">
        <w:rPr>
          <w:sz w:val="20"/>
        </w:rPr>
        <w:t>d</w:t>
      </w:r>
      <w:r w:rsidRPr="002D69E2">
        <w:rPr>
          <w:sz w:val="20"/>
        </w:rPr>
        <w:t>el rabil (</w:t>
      </w:r>
      <w:r w:rsidRPr="002D69E2">
        <w:rPr>
          <w:i/>
          <w:iCs/>
          <w:sz w:val="20"/>
        </w:rPr>
        <w:t>Thunnus albacares</w:t>
      </w:r>
      <w:r w:rsidRPr="002D69E2">
        <w:rPr>
          <w:sz w:val="20"/>
        </w:rPr>
        <w:t xml:space="preserve">) (YFT) en el océano Atlántico, concretamente en la zona 34.1 de la FAO, para informar sobre el posible desarrollo futuro de dichas actividades. </w:t>
      </w:r>
    </w:p>
    <w:p w14:paraId="437F3335" w14:textId="77777777" w:rsidR="00FE510B" w:rsidRPr="002D69E2" w:rsidRDefault="00FE510B" w:rsidP="00893807">
      <w:pPr>
        <w:pStyle w:val="Default"/>
        <w:jc w:val="both"/>
        <w:rPr>
          <w:sz w:val="20"/>
          <w:szCs w:val="20"/>
        </w:rPr>
      </w:pPr>
    </w:p>
    <w:p w14:paraId="01DC50D3" w14:textId="1759E248" w:rsidR="00FE510B" w:rsidRPr="002D69E2" w:rsidRDefault="2A1B8ACC" w:rsidP="00F3785F">
      <w:pPr>
        <w:pStyle w:val="Default"/>
        <w:numPr>
          <w:ilvl w:val="0"/>
          <w:numId w:val="3"/>
        </w:numPr>
        <w:ind w:left="426" w:hanging="426"/>
        <w:jc w:val="both"/>
        <w:rPr>
          <w:sz w:val="20"/>
          <w:szCs w:val="20"/>
        </w:rPr>
      </w:pPr>
      <w:r w:rsidRPr="002D69E2">
        <w:rPr>
          <w:sz w:val="20"/>
        </w:rPr>
        <w:t>La investigación llevada a cabo como parte del proyecto piloto debería tener como objetivo proporcionar respuestas a las preguntas clave relacionadas con la pesca y la cría de atún rojo</w:t>
      </w:r>
      <w:r w:rsidR="00844B60" w:rsidRPr="002D69E2">
        <w:rPr>
          <w:sz w:val="20"/>
        </w:rPr>
        <w:t xml:space="preserve"> y de rabil</w:t>
      </w:r>
      <w:r w:rsidRPr="002D69E2">
        <w:rPr>
          <w:sz w:val="20"/>
        </w:rPr>
        <w:t xml:space="preserve"> en la zona de la </w:t>
      </w:r>
      <w:proofErr w:type="spellStart"/>
      <w:r w:rsidRPr="002D69E2">
        <w:rPr>
          <w:sz w:val="20"/>
        </w:rPr>
        <w:t>Macaronesia</w:t>
      </w:r>
      <w:proofErr w:type="spellEnd"/>
      <w:r w:rsidRPr="002D69E2">
        <w:rPr>
          <w:sz w:val="20"/>
        </w:rPr>
        <w:t xml:space="preserve"> del océano Atlántico, incluyendo, pero no </w:t>
      </w:r>
      <w:r w:rsidR="00844B60" w:rsidRPr="002D69E2">
        <w:rPr>
          <w:sz w:val="20"/>
        </w:rPr>
        <w:t xml:space="preserve">limitándose </w:t>
      </w:r>
      <w:r w:rsidR="006916EA" w:rsidRPr="002D69E2">
        <w:rPr>
          <w:sz w:val="20"/>
        </w:rPr>
        <w:t>a ello</w:t>
      </w:r>
      <w:r w:rsidRPr="002D69E2">
        <w:rPr>
          <w:sz w:val="20"/>
        </w:rPr>
        <w:t xml:space="preserve">, </w:t>
      </w:r>
      <w:r w:rsidR="006916EA" w:rsidRPr="002D69E2">
        <w:rPr>
          <w:sz w:val="20"/>
        </w:rPr>
        <w:t>la evaluaci</w:t>
      </w:r>
      <w:r w:rsidR="0085743F" w:rsidRPr="002D69E2">
        <w:rPr>
          <w:sz w:val="20"/>
        </w:rPr>
        <w:t>ón de los siguientes elementos</w:t>
      </w:r>
      <w:r w:rsidRPr="002D69E2">
        <w:rPr>
          <w:sz w:val="20"/>
        </w:rPr>
        <w:t xml:space="preserve">: </w:t>
      </w:r>
    </w:p>
    <w:p w14:paraId="7C155696" w14:textId="77777777" w:rsidR="00FE510B" w:rsidRPr="002D69E2" w:rsidRDefault="00FE510B" w:rsidP="00893807">
      <w:pPr>
        <w:pStyle w:val="Default"/>
        <w:jc w:val="both"/>
        <w:rPr>
          <w:sz w:val="20"/>
          <w:szCs w:val="20"/>
        </w:rPr>
      </w:pPr>
    </w:p>
    <w:p w14:paraId="59A7B194" w14:textId="4E2B2220" w:rsidR="00FE510B" w:rsidRPr="002D69E2" w:rsidRDefault="00FE510B" w:rsidP="00BF1D3D">
      <w:pPr>
        <w:pStyle w:val="Default"/>
        <w:numPr>
          <w:ilvl w:val="0"/>
          <w:numId w:val="11"/>
        </w:numPr>
        <w:ind w:left="851" w:hanging="425"/>
        <w:jc w:val="both"/>
        <w:rPr>
          <w:sz w:val="20"/>
          <w:szCs w:val="20"/>
        </w:rPr>
      </w:pPr>
      <w:r w:rsidRPr="002D69E2">
        <w:rPr>
          <w:sz w:val="20"/>
        </w:rPr>
        <w:t xml:space="preserve">el funcionamiento de los desarrollos tecnológicos de las jaulas sumergibles en condiciones meteorológicas extremas. </w:t>
      </w:r>
    </w:p>
    <w:p w14:paraId="7298F6C2" w14:textId="77777777" w:rsidR="00FE510B" w:rsidRPr="002D69E2" w:rsidRDefault="00FE510B" w:rsidP="00893807">
      <w:pPr>
        <w:pStyle w:val="Default"/>
        <w:ind w:left="720"/>
        <w:jc w:val="both"/>
        <w:rPr>
          <w:sz w:val="20"/>
          <w:szCs w:val="20"/>
        </w:rPr>
      </w:pPr>
    </w:p>
    <w:p w14:paraId="6C02072F" w14:textId="67C90216" w:rsidR="00FE510B" w:rsidRPr="002D69E2" w:rsidRDefault="5D8D4600" w:rsidP="00BF1D3D">
      <w:pPr>
        <w:pStyle w:val="Default"/>
        <w:numPr>
          <w:ilvl w:val="0"/>
          <w:numId w:val="11"/>
        </w:numPr>
        <w:ind w:left="851" w:hanging="425"/>
        <w:jc w:val="both"/>
        <w:rPr>
          <w:sz w:val="20"/>
          <w:szCs w:val="20"/>
        </w:rPr>
      </w:pPr>
      <w:r w:rsidRPr="002D69E2">
        <w:rPr>
          <w:sz w:val="20"/>
        </w:rPr>
        <w:t xml:space="preserve">la disponibilidad de atún rojo (pez mediano-grande) para la pesca con red de cerco entre los meses de marzo y mayo, en la zona 34 de la FAO. </w:t>
      </w:r>
    </w:p>
    <w:p w14:paraId="24DA8A24" w14:textId="77777777" w:rsidR="00FE510B" w:rsidRPr="002D69E2" w:rsidRDefault="00FE510B" w:rsidP="00893807">
      <w:pPr>
        <w:pStyle w:val="Default"/>
        <w:jc w:val="both"/>
        <w:rPr>
          <w:sz w:val="20"/>
          <w:szCs w:val="20"/>
        </w:rPr>
      </w:pPr>
    </w:p>
    <w:p w14:paraId="6EF2487D" w14:textId="799C6688" w:rsidR="00FE510B" w:rsidRPr="002D69E2" w:rsidRDefault="2A1B8ACC" w:rsidP="00BF1D3D">
      <w:pPr>
        <w:pStyle w:val="Default"/>
        <w:numPr>
          <w:ilvl w:val="0"/>
          <w:numId w:val="11"/>
        </w:numPr>
        <w:ind w:left="851" w:hanging="425"/>
        <w:jc w:val="both"/>
        <w:rPr>
          <w:sz w:val="20"/>
          <w:szCs w:val="20"/>
        </w:rPr>
      </w:pPr>
      <w:r w:rsidRPr="002D69E2">
        <w:rPr>
          <w:sz w:val="20"/>
        </w:rPr>
        <w:t xml:space="preserve">el crecimiento y engorde del atún rojo y </w:t>
      </w:r>
      <w:r w:rsidR="002C2A57" w:rsidRPr="002D69E2">
        <w:rPr>
          <w:sz w:val="20"/>
        </w:rPr>
        <w:t>d</w:t>
      </w:r>
      <w:r w:rsidRPr="002D69E2">
        <w:rPr>
          <w:sz w:val="20"/>
        </w:rPr>
        <w:t xml:space="preserve">el rabil en esta zona y </w:t>
      </w:r>
      <w:r w:rsidR="002C2A57" w:rsidRPr="002D69E2">
        <w:rPr>
          <w:sz w:val="20"/>
        </w:rPr>
        <w:t>la exploración d</w:t>
      </w:r>
      <w:r w:rsidRPr="002D69E2">
        <w:rPr>
          <w:sz w:val="20"/>
        </w:rPr>
        <w:t xml:space="preserve">el potencial valor añadido de la actividad, incluso en términos de beneficios directos para los pescadores y de potencial económico para las comunidades pesqueras locales. </w:t>
      </w:r>
    </w:p>
    <w:p w14:paraId="5FD3D334" w14:textId="77777777" w:rsidR="00FE510B" w:rsidRPr="002D69E2" w:rsidRDefault="00FE510B" w:rsidP="00893807">
      <w:pPr>
        <w:pStyle w:val="Default"/>
        <w:jc w:val="both"/>
        <w:rPr>
          <w:sz w:val="20"/>
          <w:szCs w:val="20"/>
        </w:rPr>
      </w:pPr>
    </w:p>
    <w:p w14:paraId="0D99C484" w14:textId="77777777" w:rsidR="00CD1F9E" w:rsidRPr="002D69E2" w:rsidRDefault="00CD1F9E" w:rsidP="00893807">
      <w:pPr>
        <w:pStyle w:val="Default"/>
        <w:jc w:val="both"/>
        <w:rPr>
          <w:sz w:val="20"/>
          <w:szCs w:val="20"/>
        </w:rPr>
      </w:pPr>
    </w:p>
    <w:p w14:paraId="5C5A4C07" w14:textId="749331C3" w:rsidR="00FE510B" w:rsidRPr="002D69E2" w:rsidRDefault="00FE510B" w:rsidP="00CD1F9E">
      <w:pPr>
        <w:pStyle w:val="Default"/>
        <w:numPr>
          <w:ilvl w:val="0"/>
          <w:numId w:val="11"/>
        </w:numPr>
        <w:ind w:left="851" w:hanging="425"/>
        <w:jc w:val="both"/>
        <w:rPr>
          <w:sz w:val="20"/>
          <w:szCs w:val="20"/>
        </w:rPr>
      </w:pPr>
      <w:r w:rsidRPr="002D69E2">
        <w:rPr>
          <w:sz w:val="20"/>
        </w:rPr>
        <w:t xml:space="preserve">si el seguimiento y el control de las actividades de pesca, transferencia y cría establecidos por la </w:t>
      </w:r>
      <w:r w:rsidRPr="002D69E2">
        <w:rPr>
          <w:i/>
          <w:sz w:val="20"/>
        </w:rPr>
        <w:t xml:space="preserve">Recomendación de ICCAT que enmienda la Recomendación 22-08 que establece un plan de ordenación plurianual para el atún rojo del Atlántico este y Mediterráneo </w:t>
      </w:r>
      <w:r w:rsidRPr="002D69E2">
        <w:rPr>
          <w:sz w:val="20"/>
        </w:rPr>
        <w:t xml:space="preserve">(Rec. 24-05) de ICCAT son adecuados y factibles de aplicar. </w:t>
      </w:r>
    </w:p>
    <w:p w14:paraId="0F239617" w14:textId="77777777" w:rsidR="00FE510B" w:rsidRPr="002D69E2" w:rsidRDefault="00FE510B" w:rsidP="00893807">
      <w:pPr>
        <w:pStyle w:val="Default"/>
        <w:jc w:val="both"/>
        <w:rPr>
          <w:sz w:val="20"/>
          <w:szCs w:val="20"/>
        </w:rPr>
      </w:pPr>
    </w:p>
    <w:p w14:paraId="6341B942" w14:textId="4F5457CF" w:rsidR="00FE510B" w:rsidRPr="002D69E2" w:rsidRDefault="2A1B8ACC" w:rsidP="00F3785F">
      <w:pPr>
        <w:pStyle w:val="Default"/>
        <w:numPr>
          <w:ilvl w:val="0"/>
          <w:numId w:val="3"/>
        </w:numPr>
        <w:ind w:left="426" w:hanging="426"/>
        <w:jc w:val="both"/>
        <w:rPr>
          <w:sz w:val="20"/>
          <w:szCs w:val="20"/>
        </w:rPr>
      </w:pPr>
      <w:r w:rsidRPr="002D69E2">
        <w:rPr>
          <w:sz w:val="20"/>
        </w:rPr>
        <w:t>El proyecto piloto se llevará a cabo con cantidades no superiores a 250 t de rabil y 250 t de atún rojo.</w:t>
      </w:r>
    </w:p>
    <w:p w14:paraId="6B6D0F10" w14:textId="77777777" w:rsidR="00FE510B" w:rsidRPr="002D69E2" w:rsidRDefault="00FE510B" w:rsidP="00893807">
      <w:pPr>
        <w:pStyle w:val="Default"/>
        <w:jc w:val="both"/>
        <w:rPr>
          <w:sz w:val="20"/>
          <w:szCs w:val="20"/>
        </w:rPr>
      </w:pPr>
    </w:p>
    <w:p w14:paraId="51E7BCD7" w14:textId="7BDADAE7" w:rsidR="00FE510B" w:rsidRPr="002D69E2" w:rsidRDefault="08907BC5" w:rsidP="00F3785F">
      <w:pPr>
        <w:pStyle w:val="Default"/>
        <w:numPr>
          <w:ilvl w:val="0"/>
          <w:numId w:val="3"/>
        </w:numPr>
        <w:ind w:left="426" w:hanging="426"/>
        <w:jc w:val="both"/>
        <w:rPr>
          <w:sz w:val="20"/>
          <w:szCs w:val="20"/>
        </w:rPr>
      </w:pPr>
      <w:r w:rsidRPr="002D69E2">
        <w:rPr>
          <w:sz w:val="20"/>
        </w:rPr>
        <w:t xml:space="preserve">La temporada de pesca del rabil estará comprendida entre el 1 de julio y el 30 de noviembre. Para el atún rojo, no obstante lo dispuesto en el párrafo 28 de la Rec. 24-05, la temporada de pesca en el marco de este proyecto piloto tendrá lugar entre el 15 de marzo y el 30 de mayo. </w:t>
      </w:r>
    </w:p>
    <w:p w14:paraId="779C16A6" w14:textId="77777777" w:rsidR="00D97B6C" w:rsidRPr="002D69E2" w:rsidRDefault="00D97B6C" w:rsidP="00D97B6C">
      <w:pPr>
        <w:pStyle w:val="Default"/>
        <w:jc w:val="both"/>
        <w:rPr>
          <w:sz w:val="20"/>
          <w:szCs w:val="20"/>
        </w:rPr>
      </w:pPr>
    </w:p>
    <w:p w14:paraId="43232E74" w14:textId="6CCB0D6F" w:rsidR="00FE510B" w:rsidRPr="002D69E2" w:rsidRDefault="2A1B8ACC" w:rsidP="00F3785F">
      <w:pPr>
        <w:pStyle w:val="Default"/>
        <w:numPr>
          <w:ilvl w:val="0"/>
          <w:numId w:val="3"/>
        </w:numPr>
        <w:ind w:left="426" w:hanging="426"/>
        <w:jc w:val="both"/>
        <w:rPr>
          <w:sz w:val="20"/>
          <w:szCs w:val="20"/>
        </w:rPr>
      </w:pPr>
      <w:r w:rsidRPr="002D69E2">
        <w:rPr>
          <w:sz w:val="20"/>
        </w:rPr>
        <w:t xml:space="preserve">Los detalles precisos del proyecto piloto para el atún rojo se incluirán en los planes anuales de pesca, cría e inspección de 2026 establecidos de conformidad con el párrafo 10 de la </w:t>
      </w:r>
      <w:r w:rsidR="00A46019" w:rsidRPr="002D69E2">
        <w:rPr>
          <w:sz w:val="20"/>
        </w:rPr>
        <w:t>Rec.</w:t>
      </w:r>
      <w:r w:rsidRPr="002D69E2">
        <w:rPr>
          <w:sz w:val="20"/>
        </w:rPr>
        <w:t xml:space="preserve"> 24-05. La asignación de la cuota nacional de </w:t>
      </w:r>
      <w:r w:rsidR="00CA2735" w:rsidRPr="002D69E2">
        <w:rPr>
          <w:sz w:val="20"/>
        </w:rPr>
        <w:t>cada</w:t>
      </w:r>
      <w:r w:rsidRPr="002D69E2">
        <w:rPr>
          <w:sz w:val="20"/>
        </w:rPr>
        <w:t xml:space="preserve"> CPC y la capacidad </w:t>
      </w:r>
      <w:r w:rsidR="00FE4EFC" w:rsidRPr="002D69E2">
        <w:rPr>
          <w:sz w:val="20"/>
        </w:rPr>
        <w:t>de</w:t>
      </w:r>
      <w:r w:rsidRPr="002D69E2">
        <w:rPr>
          <w:sz w:val="20"/>
        </w:rPr>
        <w:t xml:space="preserve"> cría </w:t>
      </w:r>
      <w:r w:rsidR="00FE4EFC" w:rsidRPr="002D69E2">
        <w:rPr>
          <w:sz w:val="20"/>
        </w:rPr>
        <w:t xml:space="preserve">de entrada </w:t>
      </w:r>
      <w:r w:rsidRPr="002D69E2">
        <w:rPr>
          <w:sz w:val="20"/>
        </w:rPr>
        <w:t>para el proyecto piloto se especificarán en el plan de pesca anual.</w:t>
      </w:r>
    </w:p>
    <w:p w14:paraId="7E661641" w14:textId="77777777" w:rsidR="00893807" w:rsidRPr="002D69E2" w:rsidRDefault="00893807" w:rsidP="00893807">
      <w:pPr>
        <w:pStyle w:val="Default"/>
        <w:ind w:left="360"/>
        <w:jc w:val="both"/>
        <w:rPr>
          <w:sz w:val="20"/>
          <w:szCs w:val="20"/>
        </w:rPr>
      </w:pPr>
    </w:p>
    <w:p w14:paraId="736A7B9B" w14:textId="4B6CD416" w:rsidR="00FE510B" w:rsidRPr="002D69E2" w:rsidRDefault="2A1B8ACC" w:rsidP="00F3785F">
      <w:pPr>
        <w:pStyle w:val="Default"/>
        <w:numPr>
          <w:ilvl w:val="0"/>
          <w:numId w:val="3"/>
        </w:numPr>
        <w:ind w:left="426" w:hanging="426"/>
        <w:jc w:val="both"/>
        <w:rPr>
          <w:sz w:val="20"/>
          <w:szCs w:val="20"/>
        </w:rPr>
      </w:pPr>
      <w:r w:rsidRPr="002D69E2">
        <w:rPr>
          <w:sz w:val="20"/>
        </w:rPr>
        <w:t>Este plan incluirá detalles de las medidas de control que se establecerán para garantizar que la actividad se lleva a cabo de conformidad con las normas de ICCAT y con la presente Recomendación. El plan también incluirá las medidas de control e inspección que se aplicarán para garantizar que las dos especies no se mezclan en la misma jaula y que se asegura la trazabilidad de todos los peces capturados e introducidos en jaulas hasta el momento de su sacrificio.</w:t>
      </w:r>
    </w:p>
    <w:p w14:paraId="4CB8D2C4" w14:textId="3C2C9246" w:rsidR="00FE510B" w:rsidRPr="002D69E2" w:rsidRDefault="00FE510B" w:rsidP="6D00600D">
      <w:pPr>
        <w:pStyle w:val="Default"/>
        <w:ind w:left="360" w:hanging="360"/>
        <w:jc w:val="both"/>
        <w:rPr>
          <w:sz w:val="20"/>
          <w:szCs w:val="20"/>
        </w:rPr>
      </w:pPr>
    </w:p>
    <w:p w14:paraId="5592A33F" w14:textId="3DE232A0" w:rsidR="00FE510B" w:rsidRPr="002D69E2" w:rsidRDefault="2A1B8ACC" w:rsidP="00F3785F">
      <w:pPr>
        <w:pStyle w:val="Default"/>
        <w:numPr>
          <w:ilvl w:val="0"/>
          <w:numId w:val="3"/>
        </w:numPr>
        <w:ind w:left="426" w:hanging="426"/>
        <w:jc w:val="both"/>
        <w:rPr>
          <w:sz w:val="20"/>
          <w:szCs w:val="20"/>
        </w:rPr>
      </w:pPr>
      <w:r w:rsidRPr="002D69E2">
        <w:rPr>
          <w:sz w:val="20"/>
        </w:rPr>
        <w:t xml:space="preserve">El plan será analizado y, en su caso, aprobado por la Subcomisión 2 en su reunión intersesiones de 2026, de </w:t>
      </w:r>
      <w:r w:rsidR="00E65976" w:rsidRPr="002D69E2">
        <w:rPr>
          <w:sz w:val="20"/>
        </w:rPr>
        <w:t xml:space="preserve">conformidad con el párrafo 11 de </w:t>
      </w:r>
      <w:r w:rsidRPr="002D69E2">
        <w:rPr>
          <w:sz w:val="20"/>
        </w:rPr>
        <w:t>la Rec</w:t>
      </w:r>
      <w:r w:rsidR="00E65976" w:rsidRPr="002D69E2">
        <w:rPr>
          <w:sz w:val="20"/>
        </w:rPr>
        <w:t>. 24</w:t>
      </w:r>
      <w:r w:rsidRPr="002D69E2">
        <w:rPr>
          <w:sz w:val="20"/>
        </w:rPr>
        <w:t>-05.</w:t>
      </w:r>
    </w:p>
    <w:p w14:paraId="5163067B" w14:textId="5C0B7126" w:rsidR="00FE510B" w:rsidRPr="002D69E2" w:rsidRDefault="00FE510B" w:rsidP="00893807">
      <w:pPr>
        <w:pStyle w:val="Default"/>
        <w:ind w:left="360"/>
        <w:jc w:val="both"/>
        <w:rPr>
          <w:sz w:val="20"/>
          <w:szCs w:val="20"/>
        </w:rPr>
      </w:pPr>
    </w:p>
    <w:p w14:paraId="1C007871" w14:textId="41736774" w:rsidR="00FE510B" w:rsidRPr="002D69E2" w:rsidRDefault="180BA0CE" w:rsidP="00F3785F">
      <w:pPr>
        <w:pStyle w:val="Default"/>
        <w:numPr>
          <w:ilvl w:val="0"/>
          <w:numId w:val="3"/>
        </w:numPr>
        <w:ind w:left="426" w:hanging="426"/>
        <w:jc w:val="both"/>
        <w:rPr>
          <w:sz w:val="20"/>
          <w:szCs w:val="20"/>
        </w:rPr>
      </w:pPr>
      <w:r w:rsidRPr="002D69E2">
        <w:rPr>
          <w:sz w:val="20"/>
        </w:rPr>
        <w:t xml:space="preserve">Una vez finalizado el proyecto piloto, la CPC que participe en él presentará un informe exhaustivo sobre los resultados del proyecto para su examen por parte del Comité Permanente de Investigación y Estadísticas (SCRS) y la posterior consideración por parte de la Comisión a más tardar a finales de 2027. </w:t>
      </w:r>
    </w:p>
    <w:p w14:paraId="2A6E0C4F" w14:textId="60ACBF85" w:rsidR="00FE510B" w:rsidRPr="002D69E2" w:rsidRDefault="00FE510B" w:rsidP="6D00600D">
      <w:pPr>
        <w:pStyle w:val="Default"/>
        <w:ind w:left="360" w:hanging="360"/>
        <w:jc w:val="both"/>
        <w:rPr>
          <w:sz w:val="20"/>
          <w:szCs w:val="20"/>
        </w:rPr>
      </w:pPr>
    </w:p>
    <w:p w14:paraId="5EFC8B80" w14:textId="2F0093BD" w:rsidR="00FE510B" w:rsidRPr="002D69E2" w:rsidRDefault="2A1B8ACC" w:rsidP="00F3785F">
      <w:pPr>
        <w:pStyle w:val="Default"/>
        <w:numPr>
          <w:ilvl w:val="0"/>
          <w:numId w:val="3"/>
        </w:numPr>
        <w:ind w:left="426" w:hanging="426"/>
        <w:jc w:val="both"/>
        <w:rPr>
          <w:sz w:val="20"/>
          <w:szCs w:val="20"/>
        </w:rPr>
      </w:pPr>
      <w:r w:rsidRPr="002D69E2">
        <w:rPr>
          <w:sz w:val="20"/>
        </w:rPr>
        <w:t xml:space="preserve">El informe proporcionará información detallada sobre las cuestiones clave mencionadas en el párrafo 2 anterior, así como los datos estadísticos relevantes, incluido el número final de atún rojo capturado/introducido en jaula y el peso y la talla de los peces en el momento de la captura y en el momento del </w:t>
      </w:r>
      <w:r w:rsidR="001F7B1A" w:rsidRPr="002D69E2">
        <w:rPr>
          <w:sz w:val="20"/>
        </w:rPr>
        <w:t>sacrificio.</w:t>
      </w:r>
      <w:r w:rsidRPr="002D69E2">
        <w:rPr>
          <w:sz w:val="20"/>
        </w:rPr>
        <w:t xml:space="preserve"> El informe también identificará los retos o dificultades encontrados, incluyendo cualquier posible problema relacionado con el seguimiento y el control, y la idoneidad de las disposiciones actuales de ICCAT para esta actividad.</w:t>
      </w:r>
    </w:p>
    <w:p w14:paraId="1980A025" w14:textId="4CB38239" w:rsidR="00FE510B" w:rsidRPr="002D69E2" w:rsidRDefault="00FE510B" w:rsidP="00893807">
      <w:pPr>
        <w:pStyle w:val="Default"/>
        <w:ind w:left="360"/>
        <w:jc w:val="both"/>
        <w:rPr>
          <w:sz w:val="20"/>
          <w:szCs w:val="20"/>
        </w:rPr>
      </w:pPr>
    </w:p>
    <w:p w14:paraId="01704C75" w14:textId="2953C391" w:rsidR="00FE510B" w:rsidRPr="002D69E2" w:rsidRDefault="00DE7727" w:rsidP="00F3785F">
      <w:pPr>
        <w:pStyle w:val="Default"/>
        <w:numPr>
          <w:ilvl w:val="0"/>
          <w:numId w:val="3"/>
        </w:numPr>
        <w:ind w:left="426" w:hanging="426"/>
        <w:jc w:val="both"/>
        <w:rPr>
          <w:sz w:val="20"/>
          <w:szCs w:val="20"/>
        </w:rPr>
      </w:pPr>
      <w:r w:rsidRPr="002D69E2">
        <w:rPr>
          <w:sz w:val="20"/>
          <w:u w:val="single"/>
        </w:rPr>
        <w:t xml:space="preserve">Sin perjuicio de lo dispuesto en el párrafo 2 del artículo VIII del Convenio, se insta encarecidamente a todas las CPC </w:t>
      </w:r>
      <w:r w:rsidR="002D69E2" w:rsidRPr="002D69E2">
        <w:rPr>
          <w:sz w:val="20"/>
          <w:u w:val="single"/>
        </w:rPr>
        <w:t xml:space="preserve">a </w:t>
      </w:r>
      <w:r w:rsidRPr="002D69E2">
        <w:rPr>
          <w:sz w:val="20"/>
          <w:u w:val="single"/>
        </w:rPr>
        <w:t xml:space="preserve">que apliquen la presente </w:t>
      </w:r>
      <w:r w:rsidR="2A1B8ACC" w:rsidRPr="002D69E2">
        <w:rPr>
          <w:sz w:val="20"/>
          <w:u w:val="single"/>
        </w:rPr>
        <w:t xml:space="preserve">Recomendación </w:t>
      </w:r>
      <w:r w:rsidRPr="002D69E2">
        <w:rPr>
          <w:sz w:val="20"/>
          <w:u w:val="single"/>
        </w:rPr>
        <w:t>de forma voluntaria a partir d</w:t>
      </w:r>
      <w:r w:rsidR="2A1B8ACC" w:rsidRPr="002D69E2">
        <w:rPr>
          <w:sz w:val="20"/>
        </w:rPr>
        <w:t>el 1 de enero de 2026.</w:t>
      </w:r>
    </w:p>
    <w:sectPr w:rsidR="00FE510B" w:rsidRPr="002D69E2" w:rsidSect="00A369B5">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3E511" w14:textId="77777777" w:rsidR="003D64E9" w:rsidRDefault="003D64E9" w:rsidP="00893807">
      <w:pPr>
        <w:spacing w:after="0" w:line="240" w:lineRule="auto"/>
      </w:pPr>
      <w:r>
        <w:separator/>
      </w:r>
    </w:p>
  </w:endnote>
  <w:endnote w:type="continuationSeparator" w:id="0">
    <w:p w14:paraId="490EF110" w14:textId="77777777" w:rsidR="003D64E9" w:rsidRDefault="003D64E9" w:rsidP="00893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5924" w14:textId="77777777" w:rsidR="00EE42D9" w:rsidRPr="00EE42D9" w:rsidRDefault="00EE42D9" w:rsidP="00EE42D9">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sidRPr="00EE42D9">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sidRPr="00EE42D9">
      <w:rPr>
        <w:rFonts w:ascii="Cambria" w:eastAsia="Calibri" w:hAnsi="Cambria" w:cs="Calibri"/>
        <w:sz w:val="20"/>
      </w:rPr>
      <w:t>11</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0EDE" w14:textId="77777777" w:rsidR="003D64E9" w:rsidRDefault="003D64E9" w:rsidP="00893807">
      <w:pPr>
        <w:spacing w:after="0" w:line="240" w:lineRule="auto"/>
      </w:pPr>
      <w:r>
        <w:separator/>
      </w:r>
    </w:p>
  </w:footnote>
  <w:footnote w:type="continuationSeparator" w:id="0">
    <w:p w14:paraId="63EBF17C" w14:textId="77777777" w:rsidR="003D64E9" w:rsidRDefault="003D64E9" w:rsidP="00893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F776" w14:textId="49329EF0" w:rsidR="00AA236C" w:rsidRPr="00AA236C" w:rsidRDefault="00AA236C" w:rsidP="00AA236C">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1_502</w:t>
    </w:r>
    <w:r w:rsidR="00DE7727">
      <w:rPr>
        <w:rFonts w:ascii="Cambria" w:hAnsi="Cambria"/>
        <w:b/>
        <w:sz w:val="20"/>
      </w:rPr>
      <w:t>A</w:t>
    </w:r>
    <w:r>
      <w:rPr>
        <w:rFonts w:ascii="Cambria" w:hAnsi="Cambria"/>
        <w:b/>
        <w:sz w:val="20"/>
      </w:rPr>
      <w:t>/2025</w:t>
    </w:r>
  </w:p>
  <w:p w14:paraId="37580018" w14:textId="059EEE29" w:rsidR="00EE42D9" w:rsidRDefault="00AA236C" w:rsidP="00AA236C">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2D69E2">
      <w:rPr>
        <w:rFonts w:ascii="Cambria" w:eastAsia="Calibri" w:hAnsi="Cambria" w:cs="Times New Roman"/>
        <w:b/>
        <w:noProof/>
        <w:sz w:val="16"/>
      </w:rPr>
      <w:t>23/11/2025 12:34</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5B3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14C36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938F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1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DCF3EBD"/>
    <w:multiLevelType w:val="hybridMultilevel"/>
    <w:tmpl w:val="3F82E9B6"/>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8F2DE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47FD0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91B14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C3A38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691325"/>
    <w:multiLevelType w:val="hybridMultilevel"/>
    <w:tmpl w:val="6728EC74"/>
    <w:lvl w:ilvl="0" w:tplc="B5D404C4">
      <w:start w:val="24"/>
      <w:numFmt w:val="bullet"/>
      <w:lvlText w:val="-"/>
      <w:lvlJc w:val="left"/>
      <w:pPr>
        <w:ind w:left="720" w:hanging="360"/>
      </w:pPr>
      <w:rPr>
        <w:rFonts w:ascii="Cambria" w:eastAsiaTheme="minorHAnsi" w:hAnsi="Cambria" w:cs="Cambri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E3B5D64"/>
    <w:multiLevelType w:val="hybridMultilevel"/>
    <w:tmpl w:val="4954975A"/>
    <w:lvl w:ilvl="0" w:tplc="E7404786">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384334680">
    <w:abstractNumId w:val="10"/>
  </w:num>
  <w:num w:numId="2" w16cid:durableId="1670281226">
    <w:abstractNumId w:val="5"/>
  </w:num>
  <w:num w:numId="3" w16cid:durableId="2047174683">
    <w:abstractNumId w:val="3"/>
  </w:num>
  <w:num w:numId="4" w16cid:durableId="482233529">
    <w:abstractNumId w:val="8"/>
  </w:num>
  <w:num w:numId="5" w16cid:durableId="702945546">
    <w:abstractNumId w:val="2"/>
  </w:num>
  <w:num w:numId="6" w16cid:durableId="1489636354">
    <w:abstractNumId w:val="7"/>
  </w:num>
  <w:num w:numId="7" w16cid:durableId="1229612019">
    <w:abstractNumId w:val="0"/>
  </w:num>
  <w:num w:numId="8" w16cid:durableId="876771864">
    <w:abstractNumId w:val="6"/>
  </w:num>
  <w:num w:numId="9" w16cid:durableId="1238441730">
    <w:abstractNumId w:val="1"/>
  </w:num>
  <w:num w:numId="10" w16cid:durableId="1659648923">
    <w:abstractNumId w:val="4"/>
  </w:num>
  <w:num w:numId="11" w16cid:durableId="1352337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E510B"/>
    <w:rsid w:val="00064CCF"/>
    <w:rsid w:val="000A6018"/>
    <w:rsid w:val="000F37A3"/>
    <w:rsid w:val="0010E6EA"/>
    <w:rsid w:val="00183AFD"/>
    <w:rsid w:val="001B41D2"/>
    <w:rsid w:val="001B7EA2"/>
    <w:rsid w:val="001C4718"/>
    <w:rsid w:val="001F7B1A"/>
    <w:rsid w:val="001FCA1A"/>
    <w:rsid w:val="002A4332"/>
    <w:rsid w:val="002C1628"/>
    <w:rsid w:val="002C2A57"/>
    <w:rsid w:val="002C2C34"/>
    <w:rsid w:val="002D69E2"/>
    <w:rsid w:val="00315DB1"/>
    <w:rsid w:val="00325FFD"/>
    <w:rsid w:val="003572F1"/>
    <w:rsid w:val="003D64E9"/>
    <w:rsid w:val="003E1DE9"/>
    <w:rsid w:val="003F31FF"/>
    <w:rsid w:val="00436B95"/>
    <w:rsid w:val="004B7464"/>
    <w:rsid w:val="00540A70"/>
    <w:rsid w:val="00565099"/>
    <w:rsid w:val="005B1A54"/>
    <w:rsid w:val="005E2997"/>
    <w:rsid w:val="00625798"/>
    <w:rsid w:val="006717EF"/>
    <w:rsid w:val="006916EA"/>
    <w:rsid w:val="00710648"/>
    <w:rsid w:val="00710B5D"/>
    <w:rsid w:val="00747F24"/>
    <w:rsid w:val="007B2CD9"/>
    <w:rsid w:val="007C4C44"/>
    <w:rsid w:val="007E2D92"/>
    <w:rsid w:val="00823F80"/>
    <w:rsid w:val="00844B60"/>
    <w:rsid w:val="0085743F"/>
    <w:rsid w:val="00893807"/>
    <w:rsid w:val="008A04BB"/>
    <w:rsid w:val="008C4A65"/>
    <w:rsid w:val="008D4399"/>
    <w:rsid w:val="00902FA0"/>
    <w:rsid w:val="00903507"/>
    <w:rsid w:val="00994F12"/>
    <w:rsid w:val="009A04B1"/>
    <w:rsid w:val="009B409A"/>
    <w:rsid w:val="009E7F61"/>
    <w:rsid w:val="009F395F"/>
    <w:rsid w:val="00A1174D"/>
    <w:rsid w:val="00A24CB9"/>
    <w:rsid w:val="00A369B5"/>
    <w:rsid w:val="00A46019"/>
    <w:rsid w:val="00A47241"/>
    <w:rsid w:val="00A534E6"/>
    <w:rsid w:val="00A931C0"/>
    <w:rsid w:val="00AA236C"/>
    <w:rsid w:val="00AB357F"/>
    <w:rsid w:val="00B92310"/>
    <w:rsid w:val="00BA6462"/>
    <w:rsid w:val="00BB656F"/>
    <w:rsid w:val="00BF1D3D"/>
    <w:rsid w:val="00C95DC0"/>
    <w:rsid w:val="00C965E6"/>
    <w:rsid w:val="00CA2735"/>
    <w:rsid w:val="00CC002F"/>
    <w:rsid w:val="00CD1F9E"/>
    <w:rsid w:val="00D30353"/>
    <w:rsid w:val="00D97B6C"/>
    <w:rsid w:val="00DA3123"/>
    <w:rsid w:val="00DD4B5A"/>
    <w:rsid w:val="00DE7727"/>
    <w:rsid w:val="00E15CD1"/>
    <w:rsid w:val="00E65976"/>
    <w:rsid w:val="00E74FAB"/>
    <w:rsid w:val="00EC0B7B"/>
    <w:rsid w:val="00EC17B5"/>
    <w:rsid w:val="00ED4814"/>
    <w:rsid w:val="00ED5CC1"/>
    <w:rsid w:val="00EE42D9"/>
    <w:rsid w:val="00F34743"/>
    <w:rsid w:val="00F3785F"/>
    <w:rsid w:val="00F80F67"/>
    <w:rsid w:val="00FC1089"/>
    <w:rsid w:val="00FE4EFC"/>
    <w:rsid w:val="00FE510B"/>
    <w:rsid w:val="015DAB09"/>
    <w:rsid w:val="01D739ED"/>
    <w:rsid w:val="01E37013"/>
    <w:rsid w:val="03D3A344"/>
    <w:rsid w:val="0404F333"/>
    <w:rsid w:val="05315DFE"/>
    <w:rsid w:val="0579556D"/>
    <w:rsid w:val="060E3071"/>
    <w:rsid w:val="0620C72D"/>
    <w:rsid w:val="073DCF28"/>
    <w:rsid w:val="07E38392"/>
    <w:rsid w:val="08907BC5"/>
    <w:rsid w:val="091C525C"/>
    <w:rsid w:val="0A697B49"/>
    <w:rsid w:val="0B094103"/>
    <w:rsid w:val="0B29FB6D"/>
    <w:rsid w:val="0B2C727C"/>
    <w:rsid w:val="0EF5453D"/>
    <w:rsid w:val="0F999997"/>
    <w:rsid w:val="110170DA"/>
    <w:rsid w:val="117B9EC3"/>
    <w:rsid w:val="1181C7B3"/>
    <w:rsid w:val="12DA9361"/>
    <w:rsid w:val="12DB999A"/>
    <w:rsid w:val="13755DB1"/>
    <w:rsid w:val="1399EB88"/>
    <w:rsid w:val="139E9A19"/>
    <w:rsid w:val="14ACD325"/>
    <w:rsid w:val="156DD9C1"/>
    <w:rsid w:val="159290D5"/>
    <w:rsid w:val="15929476"/>
    <w:rsid w:val="15FC5714"/>
    <w:rsid w:val="166FF965"/>
    <w:rsid w:val="1738A7DA"/>
    <w:rsid w:val="1778CD4F"/>
    <w:rsid w:val="180BA0CE"/>
    <w:rsid w:val="182F26AB"/>
    <w:rsid w:val="199A1AAE"/>
    <w:rsid w:val="1A25681D"/>
    <w:rsid w:val="1AD3B88B"/>
    <w:rsid w:val="1CB539A8"/>
    <w:rsid w:val="1D010D80"/>
    <w:rsid w:val="1D50DCC5"/>
    <w:rsid w:val="1E0B6F20"/>
    <w:rsid w:val="1E178D85"/>
    <w:rsid w:val="1EC2637E"/>
    <w:rsid w:val="20B892E9"/>
    <w:rsid w:val="226BA2BA"/>
    <w:rsid w:val="22C00039"/>
    <w:rsid w:val="22FDEFB6"/>
    <w:rsid w:val="2401597E"/>
    <w:rsid w:val="2445BECB"/>
    <w:rsid w:val="25021A13"/>
    <w:rsid w:val="251D35FD"/>
    <w:rsid w:val="26005FCF"/>
    <w:rsid w:val="27B4DE4E"/>
    <w:rsid w:val="289DC320"/>
    <w:rsid w:val="295216AC"/>
    <w:rsid w:val="29EA7B88"/>
    <w:rsid w:val="2A1B8ACC"/>
    <w:rsid w:val="2A551B8C"/>
    <w:rsid w:val="2ABA3A94"/>
    <w:rsid w:val="2AC96E99"/>
    <w:rsid w:val="2C6DC048"/>
    <w:rsid w:val="2CAD5A8B"/>
    <w:rsid w:val="2DFFF2DD"/>
    <w:rsid w:val="3128D0FA"/>
    <w:rsid w:val="3323BED5"/>
    <w:rsid w:val="357B237B"/>
    <w:rsid w:val="35880677"/>
    <w:rsid w:val="364D5618"/>
    <w:rsid w:val="37FB4455"/>
    <w:rsid w:val="384A1D9D"/>
    <w:rsid w:val="38A33F24"/>
    <w:rsid w:val="3A435EE8"/>
    <w:rsid w:val="3A9AADD3"/>
    <w:rsid w:val="3B100DFD"/>
    <w:rsid w:val="3BF3D643"/>
    <w:rsid w:val="3C2BA37E"/>
    <w:rsid w:val="4082C9DC"/>
    <w:rsid w:val="4139D380"/>
    <w:rsid w:val="41F3D599"/>
    <w:rsid w:val="425DD67A"/>
    <w:rsid w:val="45F7A636"/>
    <w:rsid w:val="467A9F89"/>
    <w:rsid w:val="47CBC120"/>
    <w:rsid w:val="487CFB33"/>
    <w:rsid w:val="4D093456"/>
    <w:rsid w:val="4DE718BB"/>
    <w:rsid w:val="4F8F413E"/>
    <w:rsid w:val="4FCABF82"/>
    <w:rsid w:val="4FD16591"/>
    <w:rsid w:val="51CA302D"/>
    <w:rsid w:val="5218F754"/>
    <w:rsid w:val="5246EFC2"/>
    <w:rsid w:val="54015508"/>
    <w:rsid w:val="544DD910"/>
    <w:rsid w:val="54978F71"/>
    <w:rsid w:val="55EC3DDE"/>
    <w:rsid w:val="561BAF7E"/>
    <w:rsid w:val="56410B77"/>
    <w:rsid w:val="5686EDFC"/>
    <w:rsid w:val="56C0FEFC"/>
    <w:rsid w:val="570D8B51"/>
    <w:rsid w:val="57E11D8A"/>
    <w:rsid w:val="58D7A1D1"/>
    <w:rsid w:val="594083FC"/>
    <w:rsid w:val="59E8B402"/>
    <w:rsid w:val="5A2F96C9"/>
    <w:rsid w:val="5B17B8B3"/>
    <w:rsid w:val="5C204CE3"/>
    <w:rsid w:val="5CD6749C"/>
    <w:rsid w:val="5D4B5289"/>
    <w:rsid w:val="5D8D4600"/>
    <w:rsid w:val="5D923915"/>
    <w:rsid w:val="5E386BE3"/>
    <w:rsid w:val="5F78B558"/>
    <w:rsid w:val="6015DE03"/>
    <w:rsid w:val="61C68891"/>
    <w:rsid w:val="62117BEB"/>
    <w:rsid w:val="626CBDA3"/>
    <w:rsid w:val="629C39DD"/>
    <w:rsid w:val="631EF4D7"/>
    <w:rsid w:val="6434C373"/>
    <w:rsid w:val="646B5B46"/>
    <w:rsid w:val="64E2B827"/>
    <w:rsid w:val="65024AA3"/>
    <w:rsid w:val="6509ABEC"/>
    <w:rsid w:val="660AEF44"/>
    <w:rsid w:val="66C7D379"/>
    <w:rsid w:val="66FA3C94"/>
    <w:rsid w:val="674BA6D2"/>
    <w:rsid w:val="69F5EB69"/>
    <w:rsid w:val="6A44A2C3"/>
    <w:rsid w:val="6A797455"/>
    <w:rsid w:val="6A91CA38"/>
    <w:rsid w:val="6AA0BFB0"/>
    <w:rsid w:val="6BA44D3F"/>
    <w:rsid w:val="6BD0CED9"/>
    <w:rsid w:val="6D00600D"/>
    <w:rsid w:val="6ED4ACB1"/>
    <w:rsid w:val="6F430350"/>
    <w:rsid w:val="6FF9C2CB"/>
    <w:rsid w:val="70777218"/>
    <w:rsid w:val="71F6C259"/>
    <w:rsid w:val="72025993"/>
    <w:rsid w:val="726D9DDB"/>
    <w:rsid w:val="74017509"/>
    <w:rsid w:val="74054BE3"/>
    <w:rsid w:val="78368B39"/>
    <w:rsid w:val="7A4CF8DF"/>
    <w:rsid w:val="7A6E3819"/>
    <w:rsid w:val="7B8498AF"/>
    <w:rsid w:val="7BA3F387"/>
    <w:rsid w:val="7BE611F6"/>
    <w:rsid w:val="7C9C36DB"/>
    <w:rsid w:val="7E0E142B"/>
    <w:rsid w:val="7EF5652F"/>
    <w:rsid w:val="7FC4E596"/>
    <w:rsid w:val="7FDB460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CDC7"/>
  <w15:chartTrackingRefBased/>
  <w15:docId w15:val="{73D8E4FA-1DBD-4818-B516-B2D1B0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1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51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510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510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510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5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0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510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510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510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510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5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10B"/>
    <w:rPr>
      <w:rFonts w:eastAsiaTheme="majorEastAsia" w:cstheme="majorBidi"/>
      <w:color w:val="272727" w:themeColor="text1" w:themeTint="D8"/>
    </w:rPr>
  </w:style>
  <w:style w:type="paragraph" w:styleId="Title">
    <w:name w:val="Title"/>
    <w:basedOn w:val="Normal"/>
    <w:next w:val="Normal"/>
    <w:link w:val="TitleChar"/>
    <w:uiPriority w:val="10"/>
    <w:qFormat/>
    <w:rsid w:val="00FE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1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1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510B"/>
    <w:rPr>
      <w:i/>
      <w:iCs/>
      <w:color w:val="404040" w:themeColor="text1" w:themeTint="BF"/>
    </w:rPr>
  </w:style>
  <w:style w:type="paragraph" w:styleId="ListParagraph">
    <w:name w:val="List Paragraph"/>
    <w:basedOn w:val="Normal"/>
    <w:uiPriority w:val="34"/>
    <w:qFormat/>
    <w:rsid w:val="00FE510B"/>
    <w:pPr>
      <w:ind w:left="720"/>
      <w:contextualSpacing/>
    </w:pPr>
  </w:style>
  <w:style w:type="character" w:styleId="IntenseEmphasis">
    <w:name w:val="Intense Emphasis"/>
    <w:basedOn w:val="DefaultParagraphFont"/>
    <w:uiPriority w:val="21"/>
    <w:qFormat/>
    <w:rsid w:val="00FE510B"/>
    <w:rPr>
      <w:i/>
      <w:iCs/>
      <w:color w:val="365F91" w:themeColor="accent1" w:themeShade="BF"/>
    </w:rPr>
  </w:style>
  <w:style w:type="paragraph" w:styleId="IntenseQuote">
    <w:name w:val="Intense Quote"/>
    <w:basedOn w:val="Normal"/>
    <w:next w:val="Normal"/>
    <w:link w:val="IntenseQuoteChar"/>
    <w:uiPriority w:val="30"/>
    <w:qFormat/>
    <w:rsid w:val="00FE51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510B"/>
    <w:rPr>
      <w:i/>
      <w:iCs/>
      <w:color w:val="365F91" w:themeColor="accent1" w:themeShade="BF"/>
    </w:rPr>
  </w:style>
  <w:style w:type="character" w:styleId="IntenseReference">
    <w:name w:val="Intense Reference"/>
    <w:basedOn w:val="DefaultParagraphFont"/>
    <w:uiPriority w:val="32"/>
    <w:qFormat/>
    <w:rsid w:val="00FE510B"/>
    <w:rPr>
      <w:b/>
      <w:bCs/>
      <w:smallCaps/>
      <w:color w:val="365F91" w:themeColor="accent1" w:themeShade="BF"/>
      <w:spacing w:val="5"/>
    </w:rPr>
  </w:style>
  <w:style w:type="paragraph" w:customStyle="1" w:styleId="Default">
    <w:name w:val="Default"/>
    <w:rsid w:val="00FE510B"/>
    <w:pPr>
      <w:autoSpaceDE w:val="0"/>
      <w:autoSpaceDN w:val="0"/>
      <w:adjustRightInd w:val="0"/>
      <w:spacing w:after="0" w:line="240" w:lineRule="auto"/>
    </w:pPr>
    <w:rPr>
      <w:rFonts w:ascii="Cambria" w:hAnsi="Cambria" w:cs="Cambria"/>
      <w:color w:val="000000"/>
      <w:kern w:val="0"/>
      <w:sz w:val="24"/>
      <w:szCs w:val="24"/>
    </w:rPr>
  </w:style>
  <w:style w:type="table" w:styleId="TableGrid">
    <w:name w:val="Table Grid"/>
    <w:basedOn w:val="TableNormal"/>
    <w:uiPriority w:val="59"/>
    <w:rsid w:val="00FE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807"/>
  </w:style>
  <w:style w:type="paragraph" w:styleId="Footer">
    <w:name w:val="footer"/>
    <w:basedOn w:val="Normal"/>
    <w:link w:val="FooterChar"/>
    <w:uiPriority w:val="99"/>
    <w:unhideWhenUsed/>
    <w:rsid w:val="0089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8F71D-A3D6-433C-B780-EAA6F3915B19}">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C8036598-31BD-4B1B-81FF-260991FFF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312DEA-6730-49A3-BC92-99F58EE2E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1323</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Author</cp:lastModifiedBy>
  <cp:revision>4</cp:revision>
  <dcterms:created xsi:type="dcterms:W3CDTF">2025-10-29T10:21:00Z</dcterms:created>
  <dcterms:modified xsi:type="dcterms:W3CDTF">2025-11-23T11:42:00Z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2025-09-11T11:55:02Z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e1621103-528f-458f-a890-2157fb3384f0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0x01010017FF78C904FD5D479F9D99C5899B7D55</vt:lpwstr>
  </property>
  <property fmtid="{D5CDD505-2E9C-101B-9397-08002B2CF9AE}" pid="11" name="MediaServiceImageTags">
    <vt:lpwstr/>
  </property>
</Properties>
</file>