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00FC" w14:textId="1C287726" w:rsidR="004F39B9" w:rsidRPr="00A63F69" w:rsidRDefault="004F39B9" w:rsidP="00A63F69">
      <w:pPr>
        <w:pStyle w:val="paragraph"/>
        <w:spacing w:before="0" w:beforeAutospacing="0" w:after="0" w:afterAutospacing="0"/>
        <w:jc w:val="right"/>
        <w:textAlignment w:val="baseline"/>
        <w:rPr>
          <w:rFonts w:ascii="Cambria" w:hAnsi="Cambria" w:cs="Segoe UI"/>
          <w:sz w:val="20"/>
          <w:szCs w:val="20"/>
        </w:rPr>
      </w:pPr>
      <w:bookmarkStart w:id="0" w:name="_Hlk149656739"/>
      <w:r w:rsidRPr="00A63F69">
        <w:rPr>
          <w:rFonts w:ascii="Cambria" w:hAnsi="Cambria"/>
          <w:b/>
          <w:sz w:val="20"/>
          <w:szCs w:val="20"/>
        </w:rPr>
        <w:t>Original: inglés</w:t>
      </w:r>
      <w:r w:rsidRPr="00A63F69">
        <w:rPr>
          <w:rFonts w:ascii="Cambria" w:hAnsi="Cambria"/>
          <w:sz w:val="20"/>
          <w:szCs w:val="20"/>
        </w:rPr>
        <w:t> </w:t>
      </w:r>
    </w:p>
    <w:p w14:paraId="502E888E" w14:textId="2C083B66" w:rsidR="004F39B9" w:rsidRPr="00A63F69" w:rsidRDefault="004F39B9" w:rsidP="00A63F69">
      <w:pPr>
        <w:jc w:val="center"/>
        <w:textAlignment w:val="baseline"/>
        <w:rPr>
          <w:rFonts w:ascii="Cambria" w:hAnsi="Cambria" w:cs="Segoe UI"/>
          <w:sz w:val="20"/>
          <w:szCs w:val="20"/>
        </w:rPr>
      </w:pPr>
      <w:r w:rsidRPr="00A63F69">
        <w:rPr>
          <w:rFonts w:ascii="Cambria" w:hAnsi="Cambria"/>
          <w:b/>
          <w:sz w:val="20"/>
          <w:szCs w:val="20"/>
        </w:rPr>
        <w:t>29ª Reunión ordinaria de la Comisión Internacional</w:t>
      </w:r>
    </w:p>
    <w:p w14:paraId="24399497" w14:textId="52DB7DE3" w:rsidR="004F39B9" w:rsidRPr="00A63F69" w:rsidRDefault="004F39B9" w:rsidP="00A63F69">
      <w:pPr>
        <w:jc w:val="center"/>
        <w:textAlignment w:val="baseline"/>
        <w:rPr>
          <w:rFonts w:ascii="Cambria" w:hAnsi="Cambria" w:cs="Segoe UI"/>
          <w:sz w:val="20"/>
          <w:szCs w:val="20"/>
        </w:rPr>
      </w:pPr>
      <w:r w:rsidRPr="00A63F69">
        <w:rPr>
          <w:rFonts w:ascii="Cambria" w:hAnsi="Cambria"/>
          <w:b/>
          <w:sz w:val="20"/>
          <w:szCs w:val="20"/>
        </w:rPr>
        <w:t>para la Conservación del Atún Atlántico (ICCAT)</w:t>
      </w:r>
    </w:p>
    <w:p w14:paraId="50063900" w14:textId="49795265" w:rsidR="004F39B9" w:rsidRPr="00A63F69" w:rsidRDefault="004F39B9" w:rsidP="00A63F69">
      <w:pPr>
        <w:jc w:val="center"/>
        <w:textAlignment w:val="baseline"/>
        <w:rPr>
          <w:rFonts w:ascii="Cambria" w:hAnsi="Cambria" w:cs="Segoe UI"/>
          <w:sz w:val="20"/>
          <w:szCs w:val="20"/>
        </w:rPr>
      </w:pPr>
      <w:r w:rsidRPr="00A63F69">
        <w:rPr>
          <w:rFonts w:ascii="Cambria" w:hAnsi="Cambria"/>
          <w:i/>
          <w:sz w:val="20"/>
          <w:szCs w:val="20"/>
        </w:rPr>
        <w:t>(17-24 de noviembre de 2025)</w:t>
      </w:r>
    </w:p>
    <w:p w14:paraId="19C58E2B" w14:textId="4E5AB9DE" w:rsidR="004F39B9" w:rsidRPr="00A63F69" w:rsidRDefault="004F39B9" w:rsidP="00A63F69">
      <w:pPr>
        <w:jc w:val="center"/>
        <w:textAlignment w:val="baseline"/>
        <w:rPr>
          <w:rFonts w:ascii="Cambria" w:hAnsi="Cambria" w:cs="Segoe UI"/>
          <w:sz w:val="20"/>
          <w:szCs w:val="20"/>
        </w:rPr>
      </w:pPr>
    </w:p>
    <w:p w14:paraId="04FCBB39" w14:textId="099956F0" w:rsidR="00991363" w:rsidRPr="00A63F69" w:rsidRDefault="00991363" w:rsidP="00A63F69">
      <w:pPr>
        <w:jc w:val="center"/>
        <w:textAlignment w:val="baseline"/>
        <w:rPr>
          <w:rFonts w:ascii="Cambria" w:hAnsi="Cambria" w:cs="Segoe UI"/>
          <w:sz w:val="20"/>
          <w:szCs w:val="20"/>
        </w:rPr>
      </w:pPr>
      <w:r w:rsidRPr="00A63F69">
        <w:rPr>
          <w:rFonts w:ascii="Cambria" w:hAnsi="Cambria"/>
          <w:b/>
          <w:sz w:val="20"/>
          <w:szCs w:val="20"/>
        </w:rPr>
        <w:t>Órdenes del día provisionales comentados</w:t>
      </w:r>
    </w:p>
    <w:p w14:paraId="1C04D233" w14:textId="77777777" w:rsidR="00991363" w:rsidRPr="00A63F69" w:rsidRDefault="00991363" w:rsidP="00A63F69">
      <w:pPr>
        <w:jc w:val="center"/>
        <w:textAlignment w:val="baseline"/>
        <w:rPr>
          <w:rFonts w:ascii="Cambria" w:hAnsi="Cambria" w:cs="Segoe UI"/>
          <w:sz w:val="20"/>
          <w:szCs w:val="20"/>
        </w:rPr>
      </w:pPr>
    </w:p>
    <w:p w14:paraId="4AEBC0F1" w14:textId="7659259A" w:rsidR="004F39B9" w:rsidRPr="00A63F69" w:rsidRDefault="00991363" w:rsidP="00A63F69">
      <w:pPr>
        <w:jc w:val="center"/>
        <w:textAlignment w:val="baseline"/>
        <w:rPr>
          <w:rFonts w:ascii="Cambria" w:hAnsi="Cambria" w:cs="Segoe UI"/>
          <w:b/>
          <w:bCs/>
          <w:sz w:val="20"/>
          <w:szCs w:val="20"/>
        </w:rPr>
      </w:pPr>
      <w:r w:rsidRPr="00A63F69">
        <w:rPr>
          <w:rFonts w:ascii="Cambria" w:hAnsi="Cambria"/>
          <w:b/>
          <w:sz w:val="20"/>
          <w:szCs w:val="20"/>
        </w:rPr>
        <w:t>Sesiones plenarias</w:t>
      </w:r>
    </w:p>
    <w:p w14:paraId="5155B5AA"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60272BF9" w14:textId="77777777" w:rsidR="004F39B9" w:rsidRPr="00A63F69" w:rsidRDefault="004F39B9" w:rsidP="00A63F69">
      <w:pPr>
        <w:numPr>
          <w:ilvl w:val="0"/>
          <w:numId w:val="15"/>
        </w:numPr>
        <w:tabs>
          <w:tab w:val="clear" w:pos="720"/>
        </w:tabs>
        <w:ind w:left="426" w:hanging="426"/>
        <w:jc w:val="both"/>
        <w:textAlignment w:val="baseline"/>
        <w:rPr>
          <w:rFonts w:ascii="Cambria" w:hAnsi="Cambria" w:cs="Segoe UI"/>
          <w:bCs/>
          <w:sz w:val="20"/>
          <w:szCs w:val="20"/>
        </w:rPr>
      </w:pPr>
      <w:r w:rsidRPr="00A63F69">
        <w:rPr>
          <w:rFonts w:ascii="Cambria" w:hAnsi="Cambria"/>
          <w:bCs/>
          <w:sz w:val="20"/>
          <w:szCs w:val="20"/>
        </w:rPr>
        <w:t>Apertura de la reunión </w:t>
      </w:r>
    </w:p>
    <w:p w14:paraId="59CEDAE7"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6FB0BBE3"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La reunión será inaugurada por el Sr. Ernesto Penas (UE), presidente de la Comisión, que dará la bienvenida a los participantes, tanto presenciales como en línea.</w:t>
      </w:r>
      <w:r w:rsidRPr="00A63F69">
        <w:rPr>
          <w:rFonts w:ascii="Cambria" w:hAnsi="Cambria"/>
          <w:sz w:val="20"/>
          <w:szCs w:val="20"/>
        </w:rPr>
        <w:t> </w:t>
      </w:r>
    </w:p>
    <w:p w14:paraId="6A24E9D9"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32DB1D56" w14:textId="4E605579" w:rsidR="000A2BB3" w:rsidRPr="00A63F69" w:rsidRDefault="00650AE3" w:rsidP="00A63F69">
      <w:pPr>
        <w:ind w:left="426" w:hanging="426"/>
        <w:jc w:val="both"/>
        <w:textAlignment w:val="baseline"/>
        <w:rPr>
          <w:rFonts w:ascii="Cambria" w:hAnsi="Cambria" w:cs="Segoe UI"/>
          <w:bCs/>
          <w:sz w:val="20"/>
          <w:szCs w:val="20"/>
        </w:rPr>
      </w:pPr>
      <w:r w:rsidRPr="00A63F69">
        <w:rPr>
          <w:rFonts w:ascii="Cambria" w:hAnsi="Cambria"/>
          <w:bCs/>
          <w:sz w:val="20"/>
          <w:szCs w:val="20"/>
        </w:rPr>
        <w:t xml:space="preserve">2.  </w:t>
      </w:r>
      <w:r w:rsidRPr="00A63F69">
        <w:rPr>
          <w:rFonts w:ascii="Cambria" w:hAnsi="Cambria"/>
          <w:bCs/>
          <w:sz w:val="20"/>
          <w:szCs w:val="20"/>
        </w:rPr>
        <w:tab/>
        <w:t>Disposiciones para la reunión, adopción del orden del día y nombramiento del relator</w:t>
      </w:r>
    </w:p>
    <w:p w14:paraId="10C5CE73" w14:textId="77777777" w:rsidR="00601C14" w:rsidRPr="00A63F69" w:rsidRDefault="00601C14" w:rsidP="00A63F69">
      <w:pPr>
        <w:ind w:left="435"/>
        <w:jc w:val="both"/>
        <w:textAlignment w:val="baseline"/>
        <w:rPr>
          <w:rFonts w:ascii="Cambria" w:hAnsi="Cambria" w:cs="Segoe UI"/>
          <w:sz w:val="20"/>
          <w:szCs w:val="20"/>
        </w:rPr>
      </w:pPr>
    </w:p>
    <w:p w14:paraId="2A49ED76" w14:textId="60BBE9E8" w:rsidR="004F39B9" w:rsidRPr="00A63F69" w:rsidRDefault="000A2BB3" w:rsidP="00A63F69">
      <w:pPr>
        <w:ind w:left="435"/>
        <w:jc w:val="both"/>
        <w:textAlignment w:val="baseline"/>
        <w:rPr>
          <w:rFonts w:ascii="Cambria" w:hAnsi="Cambria" w:cs="Segoe UI"/>
          <w:i/>
          <w:iCs/>
          <w:sz w:val="20"/>
          <w:szCs w:val="20"/>
        </w:rPr>
      </w:pPr>
      <w:r w:rsidRPr="00A63F69">
        <w:rPr>
          <w:rFonts w:ascii="Cambria" w:hAnsi="Cambria"/>
          <w:i/>
          <w:sz w:val="20"/>
          <w:szCs w:val="20"/>
        </w:rPr>
        <w:t>La Secretaría proporcionará información sobre la organización de la reunión y su logística.</w:t>
      </w:r>
    </w:p>
    <w:p w14:paraId="41CFCB9C" w14:textId="77777777" w:rsidR="000A2BB3" w:rsidRPr="00A63F69" w:rsidRDefault="000A2BB3" w:rsidP="00A63F69">
      <w:pPr>
        <w:ind w:left="435"/>
        <w:jc w:val="both"/>
        <w:textAlignment w:val="baseline"/>
        <w:rPr>
          <w:rFonts w:ascii="Cambria" w:hAnsi="Cambria" w:cs="Segoe UI"/>
          <w:i/>
          <w:iCs/>
          <w:sz w:val="20"/>
          <w:szCs w:val="20"/>
        </w:rPr>
      </w:pPr>
    </w:p>
    <w:p w14:paraId="71278B60" w14:textId="6C468085"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El orden del día de la reunión plenaria es el documento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 xml:space="preserve">100/2025. </w:t>
      </w:r>
      <w:r w:rsidRPr="00A63F69">
        <w:rPr>
          <w:rFonts w:ascii="Cambria" w:hAnsi="Cambria"/>
          <w:i/>
          <w:sz w:val="20"/>
          <w:szCs w:val="20"/>
        </w:rPr>
        <w:t>El calendario provisional figura en el</w:t>
      </w:r>
      <w:r w:rsidR="00BB7F78" w:rsidRPr="00A63F69">
        <w:rPr>
          <w:rFonts w:ascii="Cambria" w:hAnsi="Cambria"/>
          <w:i/>
          <w:sz w:val="20"/>
          <w:szCs w:val="20"/>
        </w:rPr>
        <w:t xml:space="preserve"> documento</w:t>
      </w:r>
      <w:r w:rsidRPr="00A63F69">
        <w:rPr>
          <w:rFonts w:ascii="Cambria" w:hAnsi="Cambria"/>
          <w:i/>
          <w:sz w:val="20"/>
          <w:szCs w:val="20"/>
        </w:rPr>
        <w:t xml:space="preserve"> </w:t>
      </w:r>
      <w:r w:rsidRPr="00A63F69">
        <w:rPr>
          <w:rFonts w:ascii="Cambria" w:hAnsi="Cambria"/>
          <w:b/>
          <w:i/>
          <w:sz w:val="20"/>
          <w:szCs w:val="20"/>
        </w:rPr>
        <w:t>GEN</w:t>
      </w:r>
      <w:r w:rsidR="00D95A50" w:rsidRPr="00A63F69">
        <w:rPr>
          <w:rFonts w:ascii="Cambria" w:hAnsi="Cambria"/>
          <w:b/>
          <w:i/>
          <w:sz w:val="20"/>
          <w:szCs w:val="20"/>
        </w:rPr>
        <w:t>_</w:t>
      </w:r>
      <w:r w:rsidRPr="00A63F69">
        <w:rPr>
          <w:rFonts w:ascii="Cambria" w:hAnsi="Cambria"/>
          <w:b/>
          <w:i/>
          <w:sz w:val="20"/>
          <w:szCs w:val="20"/>
        </w:rPr>
        <w:t>002</w:t>
      </w:r>
      <w:r w:rsidR="00D95A50" w:rsidRPr="00A63F69">
        <w:rPr>
          <w:rFonts w:ascii="Cambria" w:hAnsi="Cambria"/>
          <w:b/>
          <w:i/>
          <w:sz w:val="20"/>
          <w:szCs w:val="20"/>
        </w:rPr>
        <w:t>_</w:t>
      </w:r>
      <w:r w:rsidR="00B31715" w:rsidRPr="00A63F69">
        <w:rPr>
          <w:rFonts w:ascii="Cambria" w:hAnsi="Cambria"/>
          <w:b/>
          <w:i/>
          <w:sz w:val="20"/>
          <w:szCs w:val="20"/>
        </w:rPr>
        <w:t>REV</w:t>
      </w:r>
      <w:r w:rsidR="00D95A50" w:rsidRPr="00A63F69">
        <w:rPr>
          <w:rFonts w:ascii="Cambria" w:hAnsi="Cambria"/>
          <w:b/>
          <w:i/>
          <w:sz w:val="20"/>
          <w:szCs w:val="20"/>
        </w:rPr>
        <w:t>_</w:t>
      </w:r>
      <w:r w:rsidR="00B31715" w:rsidRPr="00A63F69">
        <w:rPr>
          <w:rFonts w:ascii="Cambria" w:hAnsi="Cambria"/>
          <w:b/>
          <w:i/>
          <w:sz w:val="20"/>
          <w:szCs w:val="20"/>
        </w:rPr>
        <w:t>1</w:t>
      </w:r>
      <w:r w:rsidRPr="00A63F69">
        <w:rPr>
          <w:rFonts w:ascii="Cambria" w:hAnsi="Cambria"/>
          <w:b/>
          <w:i/>
          <w:sz w:val="20"/>
          <w:szCs w:val="20"/>
        </w:rPr>
        <w:t>/2025</w:t>
      </w:r>
      <w:r w:rsidRPr="00A63F69">
        <w:rPr>
          <w:rFonts w:ascii="Cambria" w:hAnsi="Cambria"/>
          <w:i/>
          <w:sz w:val="20"/>
          <w:szCs w:val="20"/>
        </w:rPr>
        <w:t>. No obstante, esta información podrá modificarse a medida que avance la reunión, por lo que se recomienda a los participantes que consulten periódicamente el sitio web de la reunión para conocer las versiones actualizadas.</w:t>
      </w:r>
      <w:r w:rsidRPr="00A63F69">
        <w:rPr>
          <w:rFonts w:ascii="Cambria" w:hAnsi="Cambria"/>
          <w:sz w:val="20"/>
          <w:szCs w:val="20"/>
        </w:rPr>
        <w:t> </w:t>
      </w:r>
    </w:p>
    <w:p w14:paraId="757A2B8D" w14:textId="77777777" w:rsidR="00601C14" w:rsidRPr="00A63F69" w:rsidRDefault="00601C14" w:rsidP="00A63F69">
      <w:pPr>
        <w:ind w:left="435"/>
        <w:jc w:val="both"/>
        <w:textAlignment w:val="baseline"/>
        <w:rPr>
          <w:rFonts w:ascii="Cambria" w:hAnsi="Cambria" w:cs="Segoe UI"/>
          <w:sz w:val="20"/>
          <w:szCs w:val="20"/>
        </w:rPr>
      </w:pPr>
    </w:p>
    <w:p w14:paraId="4168E192" w14:textId="3DFCEA7E" w:rsidR="004F39B9" w:rsidRPr="00A63F69" w:rsidRDefault="004F39B9" w:rsidP="00A63F69">
      <w:pPr>
        <w:ind w:left="426" w:hanging="426"/>
        <w:jc w:val="both"/>
        <w:textAlignment w:val="baseline"/>
        <w:rPr>
          <w:rFonts w:ascii="Cambria" w:hAnsi="Cambria" w:cs="Segoe UI"/>
          <w:bCs/>
          <w:sz w:val="20"/>
          <w:szCs w:val="20"/>
        </w:rPr>
      </w:pPr>
      <w:r w:rsidRPr="00A63F69">
        <w:rPr>
          <w:rFonts w:ascii="Cambria" w:hAnsi="Cambria"/>
          <w:sz w:val="20"/>
          <w:szCs w:val="20"/>
        </w:rPr>
        <w:t> </w:t>
      </w:r>
      <w:r w:rsidRPr="00A63F69">
        <w:rPr>
          <w:rFonts w:ascii="Cambria" w:hAnsi="Cambria"/>
          <w:bCs/>
          <w:sz w:val="20"/>
          <w:szCs w:val="20"/>
        </w:rPr>
        <w:t xml:space="preserve">3. </w:t>
      </w:r>
      <w:r w:rsidRPr="00A63F69">
        <w:rPr>
          <w:rFonts w:ascii="Cambria" w:hAnsi="Cambria"/>
          <w:bCs/>
          <w:sz w:val="20"/>
          <w:szCs w:val="20"/>
        </w:rPr>
        <w:tab/>
        <w:t>Presentación de las delegaciones de las Partes contratantes </w:t>
      </w:r>
    </w:p>
    <w:p w14:paraId="6FA26FB5" w14:textId="77777777" w:rsidR="004F39B9" w:rsidRPr="00A63F69" w:rsidRDefault="004F39B9" w:rsidP="00A63F69">
      <w:pPr>
        <w:ind w:left="435"/>
        <w:jc w:val="both"/>
        <w:textAlignment w:val="baseline"/>
        <w:rPr>
          <w:rFonts w:ascii="Cambria" w:hAnsi="Cambria" w:cs="Segoe UI"/>
          <w:bCs/>
          <w:sz w:val="20"/>
          <w:szCs w:val="20"/>
        </w:rPr>
      </w:pPr>
      <w:r w:rsidRPr="00A63F69">
        <w:rPr>
          <w:rFonts w:ascii="Cambria" w:hAnsi="Cambria"/>
          <w:bCs/>
          <w:sz w:val="20"/>
          <w:szCs w:val="20"/>
        </w:rPr>
        <w:t> </w:t>
      </w:r>
    </w:p>
    <w:p w14:paraId="45A47282" w14:textId="12579598"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El Sr. Camille Jean Pierre Manel, secretario ejecutivo</w:t>
      </w:r>
      <w:r w:rsidR="00BB7F78" w:rsidRPr="00A63F69">
        <w:rPr>
          <w:rFonts w:ascii="Cambria" w:hAnsi="Cambria"/>
          <w:i/>
          <w:sz w:val="20"/>
          <w:szCs w:val="20"/>
        </w:rPr>
        <w:t xml:space="preserve"> de ICCAT</w:t>
      </w:r>
      <w:r w:rsidRPr="00A63F69">
        <w:rPr>
          <w:rFonts w:ascii="Cambria" w:hAnsi="Cambria"/>
          <w:i/>
          <w:sz w:val="20"/>
          <w:szCs w:val="20"/>
        </w:rPr>
        <w:t xml:space="preserve">, presentará a las Partes contratantes presentes. La lista de participantes se circulará como </w:t>
      </w:r>
      <w:r w:rsidRPr="00A63F69">
        <w:rPr>
          <w:rFonts w:ascii="Cambria" w:hAnsi="Cambria"/>
          <w:b/>
          <w:i/>
          <w:sz w:val="20"/>
          <w:szCs w:val="20"/>
        </w:rPr>
        <w:t>GEN</w:t>
      </w:r>
      <w:r w:rsidR="00D95A50" w:rsidRPr="00A63F69">
        <w:rPr>
          <w:rFonts w:ascii="Cambria" w:hAnsi="Cambria"/>
          <w:b/>
          <w:i/>
          <w:sz w:val="20"/>
          <w:szCs w:val="20"/>
        </w:rPr>
        <w:t>_</w:t>
      </w:r>
      <w:r w:rsidRPr="00A63F69">
        <w:rPr>
          <w:rFonts w:ascii="Cambria" w:hAnsi="Cambria"/>
          <w:b/>
          <w:i/>
          <w:sz w:val="20"/>
          <w:szCs w:val="20"/>
        </w:rPr>
        <w:t>008/2025.</w:t>
      </w:r>
      <w:r w:rsidRPr="00A63F69">
        <w:rPr>
          <w:rFonts w:ascii="Cambria" w:hAnsi="Cambria"/>
          <w:sz w:val="20"/>
          <w:szCs w:val="20"/>
        </w:rPr>
        <w:t> </w:t>
      </w:r>
    </w:p>
    <w:p w14:paraId="50C9B387"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64F914C3" w14:textId="7C3BCA06" w:rsidR="004F39B9" w:rsidRPr="00A63F69" w:rsidRDefault="00601C14" w:rsidP="00A63F69">
      <w:pPr>
        <w:ind w:left="426" w:hanging="426"/>
        <w:jc w:val="both"/>
        <w:textAlignment w:val="baseline"/>
        <w:rPr>
          <w:rFonts w:ascii="Cambria" w:hAnsi="Cambria" w:cs="Segoe UI"/>
          <w:bCs/>
          <w:sz w:val="20"/>
          <w:szCs w:val="20"/>
        </w:rPr>
      </w:pPr>
      <w:r w:rsidRPr="00A63F69">
        <w:rPr>
          <w:rFonts w:ascii="Cambria" w:hAnsi="Cambria"/>
          <w:bCs/>
          <w:sz w:val="20"/>
          <w:szCs w:val="20"/>
        </w:rPr>
        <w:t>4.</w:t>
      </w:r>
      <w:r w:rsidRPr="00A63F69">
        <w:rPr>
          <w:rFonts w:ascii="Cambria" w:hAnsi="Cambria"/>
          <w:bCs/>
          <w:sz w:val="20"/>
          <w:szCs w:val="20"/>
        </w:rPr>
        <w:tab/>
        <w:t>Presentación de observadores </w:t>
      </w:r>
    </w:p>
    <w:p w14:paraId="429E6B0F"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527DFFB5" w14:textId="3A279DF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El Sr. Camille Jean Pierre Manel, secretario ejecutivo de ICCAT, presentará a las delegaciones de observadores presentes. La lista de participantes se circulará como </w:t>
      </w:r>
      <w:r w:rsidRPr="00A63F69">
        <w:rPr>
          <w:rFonts w:ascii="Cambria" w:hAnsi="Cambria"/>
          <w:b/>
          <w:i/>
          <w:sz w:val="20"/>
          <w:szCs w:val="20"/>
        </w:rPr>
        <w:t>GEN</w:t>
      </w:r>
      <w:r w:rsidR="00D95A50" w:rsidRPr="00A63F69">
        <w:rPr>
          <w:rFonts w:ascii="Cambria" w:hAnsi="Cambria"/>
          <w:b/>
          <w:i/>
          <w:sz w:val="20"/>
          <w:szCs w:val="20"/>
        </w:rPr>
        <w:t>_</w:t>
      </w:r>
      <w:r w:rsidRPr="00A63F69">
        <w:rPr>
          <w:rFonts w:ascii="Cambria" w:hAnsi="Cambria"/>
          <w:b/>
          <w:i/>
          <w:sz w:val="20"/>
          <w:szCs w:val="20"/>
        </w:rPr>
        <w:t>008/2025.</w:t>
      </w:r>
      <w:r w:rsidRPr="00A63F69">
        <w:rPr>
          <w:rFonts w:ascii="Cambria" w:hAnsi="Cambria"/>
          <w:sz w:val="20"/>
          <w:szCs w:val="20"/>
        </w:rPr>
        <w:t> </w:t>
      </w:r>
    </w:p>
    <w:p w14:paraId="46C793C0"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717C1426" w14:textId="01B36861" w:rsidR="004F39B9" w:rsidRPr="00A63F69" w:rsidRDefault="00601C14" w:rsidP="00A63F69">
      <w:pPr>
        <w:ind w:left="426" w:hanging="426"/>
        <w:jc w:val="both"/>
        <w:textAlignment w:val="baseline"/>
        <w:rPr>
          <w:rFonts w:ascii="Cambria" w:hAnsi="Cambria" w:cs="Segoe UI"/>
          <w:bCs/>
          <w:sz w:val="20"/>
          <w:szCs w:val="20"/>
        </w:rPr>
      </w:pPr>
      <w:r w:rsidRPr="00A63F69">
        <w:rPr>
          <w:rFonts w:ascii="Cambria" w:hAnsi="Cambria"/>
          <w:bCs/>
          <w:sz w:val="20"/>
          <w:szCs w:val="20"/>
        </w:rPr>
        <w:t>5.</w:t>
      </w:r>
      <w:r w:rsidRPr="00A63F69">
        <w:rPr>
          <w:rFonts w:ascii="Cambria" w:hAnsi="Cambria"/>
          <w:bCs/>
          <w:sz w:val="20"/>
          <w:szCs w:val="20"/>
        </w:rPr>
        <w:tab/>
        <w:t>Examen del informe del Comité Permanente de Investigación y Estadísticas (SCRS) </w:t>
      </w:r>
    </w:p>
    <w:p w14:paraId="401DE91F"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568512B7" w14:textId="0C4A0452" w:rsidR="004F39B9"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 xml:space="preserve">El presidente/vicepresidente del SCRS presentará las principales conclusiones del SCRS, recogidas en el informe del SCRS </w:t>
      </w:r>
      <w:r w:rsidR="00B31715" w:rsidRPr="00A63F69">
        <w:rPr>
          <w:rFonts w:ascii="Cambria" w:hAnsi="Cambria"/>
          <w:i/>
          <w:sz w:val="20"/>
          <w:szCs w:val="20"/>
        </w:rPr>
        <w:t>(</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104/2025</w:t>
      </w:r>
      <w:r w:rsidR="00B31715" w:rsidRPr="00A63F69">
        <w:rPr>
          <w:rFonts w:ascii="Cambria" w:hAnsi="Cambria"/>
          <w:bCs/>
          <w:i/>
          <w:sz w:val="20"/>
          <w:szCs w:val="20"/>
        </w:rPr>
        <w:t>)</w:t>
      </w:r>
      <w:r w:rsidRPr="00A63F69">
        <w:rPr>
          <w:rFonts w:ascii="Cambria" w:hAnsi="Cambria"/>
          <w:b/>
          <w:i/>
          <w:sz w:val="20"/>
          <w:szCs w:val="20"/>
        </w:rPr>
        <w:t xml:space="preserve"> </w:t>
      </w:r>
      <w:r w:rsidRPr="00A63F69">
        <w:rPr>
          <w:rFonts w:ascii="Cambria" w:hAnsi="Cambria"/>
          <w:i/>
          <w:sz w:val="20"/>
          <w:szCs w:val="20"/>
        </w:rPr>
        <w:t>y en el informe de la Secretaría sobre Investigación y estadísticas</w:t>
      </w:r>
      <w:r w:rsidR="00B31715" w:rsidRPr="00A63F69">
        <w:rPr>
          <w:rFonts w:ascii="Cambria" w:hAnsi="Cambria"/>
          <w:i/>
          <w:sz w:val="20"/>
          <w:szCs w:val="20"/>
        </w:rPr>
        <w:t xml:space="preserve">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105/2025</w:t>
      </w:r>
      <w:r w:rsidR="00B31715" w:rsidRPr="00A63F69">
        <w:rPr>
          <w:rFonts w:ascii="Cambria" w:hAnsi="Cambria"/>
          <w:bCs/>
          <w:i/>
          <w:sz w:val="20"/>
          <w:szCs w:val="20"/>
        </w:rPr>
        <w:t>)</w:t>
      </w:r>
      <w:r w:rsidRPr="00A63F69">
        <w:rPr>
          <w:rFonts w:ascii="Cambria" w:hAnsi="Cambria"/>
          <w:i/>
          <w:sz w:val="20"/>
          <w:szCs w:val="20"/>
        </w:rPr>
        <w:t xml:space="preserve">. La información sobre cada especie se presentará en las reuniones de las Subcomisiones. El </w:t>
      </w:r>
      <w:r w:rsidR="00F9304F" w:rsidRPr="00A63F69">
        <w:rPr>
          <w:rFonts w:ascii="Cambria" w:hAnsi="Cambria"/>
          <w:i/>
          <w:sz w:val="20"/>
          <w:szCs w:val="20"/>
        </w:rPr>
        <w:t xml:space="preserve">presidente del SCRS </w:t>
      </w:r>
      <w:r w:rsidRPr="00A63F69">
        <w:rPr>
          <w:rFonts w:ascii="Cambria" w:hAnsi="Cambria"/>
          <w:i/>
          <w:sz w:val="20"/>
          <w:szCs w:val="20"/>
        </w:rPr>
        <w:t>ofrecerá algunas respuestas a la Comisión sobre las cuestiones planteadas en relación con las tortugas marinas, los sistemas electrónicos de seguimiento, la consideración de los ecosistemas y el cambio climático y la idoneidad de los enfoques alternativos de los programas de observadores científicos propuestos por las CPC.</w:t>
      </w:r>
      <w:r w:rsidRPr="00A63F69">
        <w:rPr>
          <w:rFonts w:ascii="Cambria" w:hAnsi="Cambria"/>
          <w:sz w:val="20"/>
          <w:szCs w:val="20"/>
        </w:rPr>
        <w:t> </w:t>
      </w:r>
    </w:p>
    <w:p w14:paraId="4A2BE91F"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119B20A8" w14:textId="70D4EA89"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La hoja de ruta revisada para los procesos de MSE de ICCAT se presentará como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 xml:space="preserve">108/2025. </w:t>
      </w:r>
      <w:r w:rsidRPr="00A63F69">
        <w:rPr>
          <w:rFonts w:ascii="Cambria" w:hAnsi="Cambria"/>
          <w:i/>
          <w:sz w:val="20"/>
          <w:szCs w:val="20"/>
        </w:rPr>
        <w:t>Es posible que la aprobación definitiva de esta hoja de ruta deba posponerse hasta la última sesión plenaria, una vez finalizada la deliberación de las Subcomisiones.</w:t>
      </w:r>
      <w:r w:rsidRPr="00A63F69">
        <w:rPr>
          <w:rFonts w:ascii="Cambria" w:hAnsi="Cambria"/>
          <w:sz w:val="20"/>
          <w:szCs w:val="20"/>
        </w:rPr>
        <w:t> </w:t>
      </w:r>
    </w:p>
    <w:p w14:paraId="358D8920" w14:textId="77777777" w:rsidR="0099649A" w:rsidRPr="00A63F69" w:rsidRDefault="0099649A" w:rsidP="00A63F69">
      <w:pPr>
        <w:ind w:left="435"/>
        <w:jc w:val="both"/>
        <w:textAlignment w:val="baseline"/>
        <w:rPr>
          <w:rFonts w:ascii="Cambria" w:hAnsi="Cambria" w:cs="Segoe UI"/>
          <w:sz w:val="20"/>
          <w:szCs w:val="20"/>
        </w:rPr>
      </w:pPr>
    </w:p>
    <w:p w14:paraId="3C627331" w14:textId="6FD58EDB" w:rsidR="0099649A" w:rsidRPr="00A63F69" w:rsidRDefault="0099649A" w:rsidP="00A63F69">
      <w:pPr>
        <w:ind w:left="435"/>
        <w:jc w:val="both"/>
        <w:textAlignment w:val="baseline"/>
        <w:rPr>
          <w:rFonts w:ascii="Cambria" w:hAnsi="Cambria" w:cs="Segoe UI"/>
          <w:i/>
          <w:iCs/>
          <w:sz w:val="20"/>
          <w:szCs w:val="20"/>
        </w:rPr>
      </w:pPr>
      <w:r w:rsidRPr="00A63F69">
        <w:rPr>
          <w:rFonts w:ascii="Cambria" w:hAnsi="Cambria"/>
          <w:i/>
          <w:sz w:val="20"/>
          <w:szCs w:val="20"/>
        </w:rPr>
        <w:t xml:space="preserve">El SCRS ha propuesto un formato alternativo a la </w:t>
      </w:r>
      <w:r w:rsidR="00F015F2" w:rsidRPr="00A63F69">
        <w:rPr>
          <w:rFonts w:ascii="Cambria" w:hAnsi="Cambria"/>
          <w:i/>
          <w:sz w:val="20"/>
          <w:szCs w:val="20"/>
        </w:rPr>
        <w:t>h</w:t>
      </w:r>
      <w:r w:rsidRPr="00A63F69">
        <w:rPr>
          <w:rFonts w:ascii="Cambria" w:hAnsi="Cambria"/>
          <w:i/>
          <w:sz w:val="20"/>
          <w:szCs w:val="20"/>
        </w:rPr>
        <w:t xml:space="preserve">oja de ruta adoptada, que se presentará como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109/2025</w:t>
      </w:r>
      <w:r w:rsidRPr="00A63F69">
        <w:rPr>
          <w:rFonts w:ascii="Cambria" w:hAnsi="Cambria"/>
          <w:i/>
          <w:sz w:val="20"/>
          <w:szCs w:val="20"/>
        </w:rPr>
        <w:t>.</w:t>
      </w:r>
    </w:p>
    <w:p w14:paraId="07409112"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530A1051" w14:textId="5192CFE8"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6.</w:t>
      </w:r>
      <w:r w:rsidRPr="00A63F69">
        <w:rPr>
          <w:rFonts w:ascii="Cambria" w:hAnsi="Cambria"/>
          <w:bCs/>
          <w:sz w:val="20"/>
          <w:szCs w:val="20"/>
        </w:rPr>
        <w:tab/>
        <w:t>Examen de los informes de las reuniones intersesiones de 2025 y consideración de las acciones necesarias </w:t>
      </w:r>
    </w:p>
    <w:p w14:paraId="4420D6C8"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3ADC8AF4" w14:textId="0BCCF6E3" w:rsidR="004F39B9" w:rsidRPr="00A63F69" w:rsidRDefault="004F39B9" w:rsidP="00A63F69">
      <w:pPr>
        <w:ind w:left="420"/>
        <w:jc w:val="both"/>
        <w:textAlignment w:val="baseline"/>
        <w:rPr>
          <w:rFonts w:ascii="Cambria" w:hAnsi="Cambria" w:cs="Segoe UI"/>
          <w:i/>
          <w:iCs/>
          <w:sz w:val="20"/>
          <w:szCs w:val="20"/>
        </w:rPr>
      </w:pPr>
      <w:r w:rsidRPr="00A63F69">
        <w:rPr>
          <w:rFonts w:ascii="Cambria" w:hAnsi="Cambria"/>
          <w:i/>
          <w:sz w:val="20"/>
          <w:szCs w:val="20"/>
        </w:rPr>
        <w:t>Los informes de las distintas reuniones intersesiones los debatirán los órganos subsidiarios pertinentes, que podrán informar a la Comisión de sus conclusiones tras el examen. Los informes de las distintas reuniones intersesiones se han publicado como: Informe de la reunión intersesiones de la Subcomisión 1 (</w:t>
      </w:r>
      <w:r w:rsidRPr="00A63F69">
        <w:rPr>
          <w:rFonts w:ascii="Cambria" w:hAnsi="Cambria"/>
          <w:b/>
          <w:i/>
          <w:sz w:val="20"/>
          <w:szCs w:val="20"/>
        </w:rPr>
        <w:t>PA1</w:t>
      </w:r>
      <w:r w:rsidR="00D95A50" w:rsidRPr="00A63F69">
        <w:rPr>
          <w:rFonts w:ascii="Cambria" w:hAnsi="Cambria"/>
          <w:b/>
          <w:i/>
          <w:sz w:val="20"/>
          <w:szCs w:val="20"/>
        </w:rPr>
        <w:t>_</w:t>
      </w:r>
      <w:r w:rsidRPr="00A63F69">
        <w:rPr>
          <w:rFonts w:ascii="Cambria" w:hAnsi="Cambria"/>
          <w:b/>
          <w:i/>
          <w:sz w:val="20"/>
          <w:szCs w:val="20"/>
        </w:rPr>
        <w:t>501/2025</w:t>
      </w:r>
      <w:r w:rsidRPr="00A63F69">
        <w:rPr>
          <w:rFonts w:ascii="Cambria" w:hAnsi="Cambria"/>
          <w:i/>
          <w:sz w:val="20"/>
          <w:szCs w:val="20"/>
        </w:rPr>
        <w:t>); Informe de la reunión intersesiones de la Subcomisión 2 (</w:t>
      </w:r>
      <w:r w:rsidRPr="00A63F69">
        <w:rPr>
          <w:rFonts w:ascii="Cambria" w:hAnsi="Cambria"/>
          <w:b/>
          <w:i/>
          <w:sz w:val="20"/>
          <w:szCs w:val="20"/>
        </w:rPr>
        <w:t>PA2</w:t>
      </w:r>
      <w:r w:rsidR="00D95A50" w:rsidRPr="00A63F69">
        <w:rPr>
          <w:rFonts w:ascii="Cambria" w:hAnsi="Cambria"/>
          <w:b/>
          <w:i/>
          <w:sz w:val="20"/>
          <w:szCs w:val="20"/>
        </w:rPr>
        <w:t>_</w:t>
      </w:r>
      <w:r w:rsidRPr="00A63F69">
        <w:rPr>
          <w:rFonts w:ascii="Cambria" w:hAnsi="Cambria"/>
          <w:b/>
          <w:i/>
          <w:sz w:val="20"/>
          <w:szCs w:val="20"/>
        </w:rPr>
        <w:t>602/2025</w:t>
      </w:r>
      <w:r w:rsidRPr="00A63F69">
        <w:rPr>
          <w:rFonts w:ascii="Cambria" w:hAnsi="Cambria"/>
          <w:i/>
          <w:sz w:val="20"/>
          <w:szCs w:val="20"/>
        </w:rPr>
        <w:t>);</w:t>
      </w:r>
      <w:r w:rsidR="001537AF" w:rsidRPr="00A63F69">
        <w:rPr>
          <w:rFonts w:ascii="Cambria" w:hAnsi="Cambria"/>
          <w:i/>
          <w:sz w:val="20"/>
          <w:szCs w:val="20"/>
        </w:rPr>
        <w:t xml:space="preserve"> </w:t>
      </w:r>
      <w:r w:rsidRPr="00A63F69">
        <w:rPr>
          <w:rFonts w:ascii="Cambria" w:hAnsi="Cambria"/>
          <w:i/>
          <w:sz w:val="20"/>
          <w:szCs w:val="20"/>
        </w:rPr>
        <w:t>Informe de la primera reunión del Grupo de trabajo virtual sobre una posición financiera sostenible para ICCAT (</w:t>
      </w:r>
      <w:proofErr w:type="spellStart"/>
      <w:r w:rsidRPr="00A63F69">
        <w:rPr>
          <w:rFonts w:ascii="Cambria" w:hAnsi="Cambria"/>
          <w:i/>
          <w:sz w:val="20"/>
          <w:szCs w:val="20"/>
        </w:rPr>
        <w:t>VGW-SF</w:t>
      </w:r>
      <w:proofErr w:type="spellEnd"/>
      <w:r w:rsidRPr="00A63F69">
        <w:rPr>
          <w:rFonts w:ascii="Cambria" w:hAnsi="Cambria"/>
          <w:i/>
          <w:sz w:val="20"/>
          <w:szCs w:val="20"/>
        </w:rPr>
        <w:t>) (</w:t>
      </w:r>
      <w:r w:rsidRPr="00A63F69">
        <w:rPr>
          <w:rFonts w:ascii="Cambria" w:hAnsi="Cambria"/>
          <w:b/>
          <w:i/>
          <w:sz w:val="20"/>
          <w:szCs w:val="20"/>
        </w:rPr>
        <w:t>STF</w:t>
      </w:r>
      <w:r w:rsidR="00D95A50" w:rsidRPr="00A63F69">
        <w:rPr>
          <w:rFonts w:ascii="Cambria" w:hAnsi="Cambria"/>
          <w:b/>
          <w:i/>
          <w:sz w:val="20"/>
          <w:szCs w:val="20"/>
        </w:rPr>
        <w:t>_</w:t>
      </w:r>
      <w:r w:rsidRPr="00A63F69">
        <w:rPr>
          <w:rFonts w:ascii="Cambria" w:hAnsi="Cambria"/>
          <w:b/>
          <w:i/>
          <w:sz w:val="20"/>
          <w:szCs w:val="20"/>
        </w:rPr>
        <w:t>211/2025</w:t>
      </w:r>
      <w:r w:rsidRPr="00A63F69">
        <w:rPr>
          <w:rFonts w:ascii="Cambria" w:hAnsi="Cambria"/>
          <w:i/>
          <w:sz w:val="20"/>
          <w:szCs w:val="20"/>
        </w:rPr>
        <w:t>)</w:t>
      </w:r>
      <w:r w:rsidR="001537AF" w:rsidRPr="00A63F69">
        <w:rPr>
          <w:rFonts w:ascii="Cambria" w:hAnsi="Cambria"/>
          <w:i/>
          <w:sz w:val="20"/>
          <w:szCs w:val="20"/>
        </w:rPr>
        <w:t>;</w:t>
      </w:r>
      <w:r w:rsidRPr="00A63F69">
        <w:rPr>
          <w:rFonts w:ascii="Cambria" w:hAnsi="Cambria"/>
          <w:i/>
          <w:sz w:val="20"/>
          <w:szCs w:val="20"/>
        </w:rPr>
        <w:t xml:space="preserve"> Informe de la segunda reunión del Grupo de trabajo virtual sobre una </w:t>
      </w:r>
      <w:r w:rsidRPr="00A63F69">
        <w:rPr>
          <w:rFonts w:ascii="Cambria" w:hAnsi="Cambria"/>
          <w:i/>
          <w:sz w:val="20"/>
          <w:szCs w:val="20"/>
        </w:rPr>
        <w:lastRenderedPageBreak/>
        <w:t>posición financiera sostenible para ICCAT (</w:t>
      </w:r>
      <w:proofErr w:type="spellStart"/>
      <w:r w:rsidRPr="00A63F69">
        <w:rPr>
          <w:rFonts w:ascii="Cambria" w:hAnsi="Cambria"/>
          <w:i/>
          <w:sz w:val="20"/>
          <w:szCs w:val="20"/>
        </w:rPr>
        <w:t>VGW-SF</w:t>
      </w:r>
      <w:proofErr w:type="spellEnd"/>
      <w:r w:rsidRPr="00A63F69">
        <w:rPr>
          <w:rFonts w:ascii="Cambria" w:hAnsi="Cambria"/>
          <w:i/>
          <w:sz w:val="20"/>
          <w:szCs w:val="20"/>
        </w:rPr>
        <w:t>) (</w:t>
      </w:r>
      <w:r w:rsidRPr="00A63F69">
        <w:rPr>
          <w:rFonts w:ascii="Cambria" w:hAnsi="Cambria"/>
          <w:b/>
          <w:i/>
          <w:sz w:val="20"/>
          <w:szCs w:val="20"/>
        </w:rPr>
        <w:t>STF</w:t>
      </w:r>
      <w:r w:rsidR="00D95A50" w:rsidRPr="00A63F69">
        <w:rPr>
          <w:rFonts w:ascii="Cambria" w:hAnsi="Cambria"/>
          <w:b/>
          <w:i/>
          <w:sz w:val="20"/>
          <w:szCs w:val="20"/>
        </w:rPr>
        <w:t>_</w:t>
      </w:r>
      <w:r w:rsidRPr="00A63F69">
        <w:rPr>
          <w:rFonts w:ascii="Cambria" w:hAnsi="Cambria"/>
          <w:b/>
          <w:i/>
          <w:sz w:val="20"/>
          <w:szCs w:val="20"/>
        </w:rPr>
        <w:t>212/2025</w:t>
      </w:r>
      <w:r w:rsidRPr="00A63F69">
        <w:rPr>
          <w:rFonts w:ascii="Cambria" w:hAnsi="Cambria"/>
          <w:i/>
          <w:sz w:val="20"/>
          <w:szCs w:val="20"/>
        </w:rPr>
        <w:t>); Informe de la reunión del Grupo de trabajo sobre tecnología de comunicación en línea (WG-ORT) (</w:t>
      </w:r>
      <w:r w:rsidRPr="00A63F69">
        <w:rPr>
          <w:rFonts w:ascii="Cambria" w:hAnsi="Cambria"/>
          <w:b/>
          <w:i/>
          <w:sz w:val="20"/>
          <w:szCs w:val="20"/>
        </w:rPr>
        <w:t>COC</w:t>
      </w:r>
      <w:r w:rsidR="00D95A50" w:rsidRPr="00A63F69">
        <w:rPr>
          <w:rFonts w:ascii="Cambria" w:hAnsi="Cambria"/>
          <w:b/>
          <w:i/>
          <w:sz w:val="20"/>
          <w:szCs w:val="20"/>
        </w:rPr>
        <w:t>_</w:t>
      </w:r>
      <w:r w:rsidRPr="00A63F69">
        <w:rPr>
          <w:rFonts w:ascii="Cambria" w:hAnsi="Cambria"/>
          <w:b/>
          <w:i/>
          <w:sz w:val="20"/>
          <w:szCs w:val="20"/>
        </w:rPr>
        <w:t>302/2025</w:t>
      </w:r>
      <w:r w:rsidRPr="00A63F69">
        <w:rPr>
          <w:rFonts w:ascii="Cambria" w:hAnsi="Cambria"/>
          <w:i/>
          <w:sz w:val="20"/>
          <w:szCs w:val="20"/>
        </w:rPr>
        <w:t>); Informe del presidente sobre la</w:t>
      </w:r>
      <w:r w:rsidRPr="00A63F69">
        <w:rPr>
          <w:rFonts w:ascii="Cambria" w:hAnsi="Cambria"/>
          <w:b/>
          <w:i/>
          <w:sz w:val="20"/>
          <w:szCs w:val="20"/>
        </w:rPr>
        <w:t xml:space="preserve"> </w:t>
      </w:r>
      <w:r w:rsidRPr="00A63F69">
        <w:rPr>
          <w:rFonts w:ascii="Cambria" w:hAnsi="Cambria"/>
          <w:i/>
          <w:sz w:val="20"/>
          <w:szCs w:val="20"/>
        </w:rPr>
        <w:t>primera</w:t>
      </w:r>
      <w:r w:rsidRPr="00A63F69">
        <w:rPr>
          <w:rFonts w:ascii="Cambria" w:hAnsi="Cambria"/>
          <w:b/>
          <w:i/>
          <w:sz w:val="20"/>
          <w:szCs w:val="20"/>
        </w:rPr>
        <w:t xml:space="preserve"> </w:t>
      </w:r>
      <w:r w:rsidRPr="00A63F69">
        <w:rPr>
          <w:rFonts w:ascii="Cambria" w:hAnsi="Cambria"/>
          <w:i/>
          <w:sz w:val="20"/>
          <w:szCs w:val="20"/>
        </w:rPr>
        <w:t>reunión del Grupo de trabajo permanente sobre sistemas de documentación de capturas (CDS-WG)</w:t>
      </w:r>
      <w:r w:rsidR="003628D9" w:rsidRPr="00A63F69">
        <w:rPr>
          <w:rFonts w:ascii="Cambria" w:hAnsi="Cambria"/>
          <w:b/>
          <w:i/>
          <w:sz w:val="20"/>
          <w:szCs w:val="20"/>
        </w:rPr>
        <w:t xml:space="preserve"> </w:t>
      </w:r>
      <w:r w:rsidRPr="00A63F69">
        <w:rPr>
          <w:rFonts w:ascii="Cambria" w:hAnsi="Cambria"/>
          <w:i/>
          <w:sz w:val="20"/>
          <w:szCs w:val="20"/>
        </w:rPr>
        <w:t>(</w:t>
      </w:r>
      <w:r w:rsidRPr="00A63F69">
        <w:rPr>
          <w:rFonts w:ascii="Cambria" w:hAnsi="Cambria"/>
          <w:b/>
          <w:i/>
          <w:sz w:val="20"/>
          <w:szCs w:val="20"/>
        </w:rPr>
        <w:t>PWG</w:t>
      </w:r>
      <w:r w:rsidR="00D95A50" w:rsidRPr="00A63F69">
        <w:rPr>
          <w:rFonts w:ascii="Cambria" w:hAnsi="Cambria"/>
          <w:b/>
          <w:i/>
          <w:sz w:val="20"/>
          <w:szCs w:val="20"/>
        </w:rPr>
        <w:t>_</w:t>
      </w:r>
      <w:r w:rsidRPr="00A63F69">
        <w:rPr>
          <w:rFonts w:ascii="Cambria" w:hAnsi="Cambria"/>
          <w:b/>
          <w:i/>
          <w:sz w:val="20"/>
          <w:szCs w:val="20"/>
        </w:rPr>
        <w:t>403/2025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Informe de la segunda reunión del Grupo de trabajo permanente sobre sistemas de documentación de capturas (CDS-WG)  (</w:t>
      </w:r>
      <w:r w:rsidRPr="00A63F69">
        <w:rPr>
          <w:rFonts w:ascii="Cambria" w:hAnsi="Cambria"/>
          <w:b/>
          <w:i/>
          <w:sz w:val="20"/>
          <w:szCs w:val="20"/>
        </w:rPr>
        <w:t>PWG</w:t>
      </w:r>
      <w:r w:rsidR="00D95A50" w:rsidRPr="00A63F69">
        <w:rPr>
          <w:rFonts w:ascii="Cambria" w:hAnsi="Cambria"/>
          <w:b/>
          <w:i/>
          <w:sz w:val="20"/>
          <w:szCs w:val="20"/>
        </w:rPr>
        <w:t>_</w:t>
      </w:r>
      <w:r w:rsidRPr="00A63F69">
        <w:rPr>
          <w:rFonts w:ascii="Cambria" w:hAnsi="Cambria"/>
          <w:b/>
          <w:i/>
          <w:sz w:val="20"/>
          <w:szCs w:val="20"/>
        </w:rPr>
        <w:t>404/2025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Informe de la 18</w:t>
      </w:r>
      <w:r w:rsidR="003628D9" w:rsidRPr="00A63F69">
        <w:rPr>
          <w:rFonts w:ascii="Cambria" w:hAnsi="Cambria"/>
          <w:i/>
          <w:sz w:val="20"/>
          <w:szCs w:val="20"/>
        </w:rPr>
        <w:t>.ª</w:t>
      </w:r>
      <w:r w:rsidRPr="00A63F69">
        <w:rPr>
          <w:rFonts w:ascii="Cambria" w:hAnsi="Cambria"/>
          <w:i/>
          <w:sz w:val="20"/>
          <w:szCs w:val="20"/>
        </w:rPr>
        <w:t xml:space="preserve"> reunión del Grupo de trabajo sobre medidas de seguimiento integradas (IMM)</w:t>
      </w:r>
      <w:r w:rsidRPr="00A63F69">
        <w:rPr>
          <w:rFonts w:ascii="Cambria" w:hAnsi="Cambria"/>
          <w:b/>
          <w:i/>
          <w:sz w:val="20"/>
          <w:szCs w:val="20"/>
        </w:rPr>
        <w:t xml:space="preserve"> </w:t>
      </w:r>
      <w:r w:rsidRPr="00A63F69">
        <w:rPr>
          <w:rFonts w:ascii="Cambria" w:hAnsi="Cambria"/>
          <w:i/>
          <w:sz w:val="20"/>
          <w:szCs w:val="20"/>
        </w:rPr>
        <w:t>(</w:t>
      </w:r>
      <w:r w:rsidRPr="00A63F69">
        <w:rPr>
          <w:rFonts w:ascii="Cambria" w:hAnsi="Cambria"/>
          <w:b/>
          <w:i/>
          <w:sz w:val="20"/>
          <w:szCs w:val="20"/>
        </w:rPr>
        <w:t>PWG</w:t>
      </w:r>
      <w:r w:rsidR="00D95A50" w:rsidRPr="00A63F69">
        <w:rPr>
          <w:rFonts w:ascii="Cambria" w:hAnsi="Cambria"/>
          <w:b/>
          <w:i/>
          <w:sz w:val="20"/>
          <w:szCs w:val="20"/>
        </w:rPr>
        <w:t>_</w:t>
      </w:r>
      <w:r w:rsidRPr="00A63F69">
        <w:rPr>
          <w:rFonts w:ascii="Cambria" w:hAnsi="Cambria"/>
          <w:b/>
          <w:i/>
          <w:sz w:val="20"/>
          <w:szCs w:val="20"/>
        </w:rPr>
        <w:t>407/2025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Informe de la  reunión del Grupo de trabajo sobre sistemas de seguimiento electrónico (EMS-WG)</w:t>
      </w:r>
      <w:r w:rsidRPr="00A63F69">
        <w:rPr>
          <w:rFonts w:ascii="Cambria" w:hAnsi="Cambria"/>
          <w:b/>
          <w:i/>
          <w:sz w:val="20"/>
          <w:szCs w:val="20"/>
        </w:rPr>
        <w:t xml:space="preserve"> </w:t>
      </w:r>
      <w:r w:rsidRPr="00A63F69">
        <w:rPr>
          <w:rFonts w:ascii="Cambria" w:hAnsi="Cambria"/>
          <w:i/>
          <w:sz w:val="20"/>
          <w:szCs w:val="20"/>
        </w:rPr>
        <w:t>(</w:t>
      </w:r>
      <w:r w:rsidRPr="00A63F69">
        <w:rPr>
          <w:rFonts w:ascii="Cambria" w:hAnsi="Cambria"/>
          <w:b/>
          <w:i/>
          <w:sz w:val="20"/>
          <w:szCs w:val="20"/>
        </w:rPr>
        <w:t>PWG</w:t>
      </w:r>
      <w:r w:rsidR="00D95A50" w:rsidRPr="00A63F69">
        <w:rPr>
          <w:rFonts w:ascii="Cambria" w:hAnsi="Cambria"/>
          <w:b/>
          <w:i/>
          <w:sz w:val="20"/>
          <w:szCs w:val="20"/>
        </w:rPr>
        <w:t>_</w:t>
      </w:r>
      <w:r w:rsidRPr="00A63F69">
        <w:rPr>
          <w:rFonts w:ascii="Cambria" w:hAnsi="Cambria"/>
          <w:b/>
          <w:i/>
          <w:sz w:val="20"/>
          <w:szCs w:val="20"/>
        </w:rPr>
        <w:t>406/2025</w:t>
      </w:r>
      <w:r w:rsidRPr="00A63F69">
        <w:rPr>
          <w:rFonts w:ascii="Cambria" w:hAnsi="Cambria"/>
          <w:i/>
          <w:sz w:val="20"/>
          <w:szCs w:val="20"/>
        </w:rPr>
        <w:t>); Informe de la reunión del Grupo de trabajo permanente para mejorar el diálogo entre los gestores y los científicos pesqueros (SWGSM)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101/2025</w:t>
      </w:r>
      <w:r w:rsidRPr="00A63F69">
        <w:rPr>
          <w:rFonts w:ascii="Cambria" w:hAnsi="Cambria"/>
          <w:i/>
          <w:sz w:val="20"/>
          <w:szCs w:val="20"/>
        </w:rPr>
        <w:t>).</w:t>
      </w:r>
    </w:p>
    <w:p w14:paraId="39CB7361" w14:textId="77777777" w:rsidR="004F39B9" w:rsidRPr="00A63F69" w:rsidRDefault="004F39B9" w:rsidP="00A63F69">
      <w:pPr>
        <w:ind w:left="420"/>
        <w:jc w:val="both"/>
        <w:textAlignment w:val="baseline"/>
        <w:rPr>
          <w:rFonts w:ascii="Cambria" w:hAnsi="Cambria" w:cs="Segoe UI"/>
          <w:sz w:val="20"/>
          <w:szCs w:val="20"/>
        </w:rPr>
      </w:pPr>
      <w:r w:rsidRPr="00A63F69">
        <w:rPr>
          <w:rFonts w:ascii="Cambria" w:hAnsi="Cambria"/>
          <w:sz w:val="20"/>
          <w:szCs w:val="20"/>
        </w:rPr>
        <w:t> </w:t>
      </w:r>
    </w:p>
    <w:p w14:paraId="575285B4" w14:textId="75053A04" w:rsidR="00C95774" w:rsidRPr="00A63F69" w:rsidRDefault="00226609" w:rsidP="00A63F69">
      <w:pPr>
        <w:ind w:left="426" w:hanging="426"/>
        <w:jc w:val="both"/>
        <w:textAlignment w:val="baseline"/>
        <w:rPr>
          <w:rFonts w:ascii="Cambria" w:hAnsi="Cambria" w:cs="Segoe UI"/>
          <w:bCs/>
          <w:sz w:val="20"/>
          <w:szCs w:val="20"/>
        </w:rPr>
      </w:pPr>
      <w:r w:rsidRPr="00A63F69">
        <w:rPr>
          <w:rFonts w:ascii="Cambria" w:hAnsi="Cambria"/>
          <w:bCs/>
          <w:sz w:val="20"/>
          <w:szCs w:val="20"/>
        </w:rPr>
        <w:t>7.</w:t>
      </w:r>
      <w:r w:rsidRPr="00A63F69">
        <w:rPr>
          <w:rFonts w:ascii="Cambria" w:hAnsi="Cambria"/>
          <w:bCs/>
          <w:sz w:val="20"/>
          <w:szCs w:val="20"/>
        </w:rPr>
        <w:tab/>
        <w:t>Consideraciones sobre la próxima revisión del desempeño de ICCAT</w:t>
      </w:r>
    </w:p>
    <w:p w14:paraId="01167FB7" w14:textId="77777777" w:rsidR="00C95774" w:rsidRPr="00A63F69" w:rsidRDefault="00C95774" w:rsidP="00A63F69">
      <w:pPr>
        <w:pStyle w:val="ListParagraph"/>
        <w:jc w:val="both"/>
        <w:textAlignment w:val="baseline"/>
        <w:rPr>
          <w:rFonts w:ascii="Cambria" w:hAnsi="Cambria" w:cs="Segoe UI"/>
          <w:sz w:val="20"/>
          <w:szCs w:val="20"/>
        </w:rPr>
      </w:pPr>
    </w:p>
    <w:p w14:paraId="3A6A07B1" w14:textId="259074C1" w:rsidR="00C95774" w:rsidRPr="00A63F69" w:rsidRDefault="00EE697E" w:rsidP="00A63F69">
      <w:pPr>
        <w:ind w:left="420"/>
        <w:jc w:val="both"/>
        <w:textAlignment w:val="baseline"/>
        <w:rPr>
          <w:rFonts w:ascii="Cambria" w:hAnsi="Cambria" w:cs="Segoe UI"/>
          <w:i/>
          <w:iCs/>
          <w:sz w:val="20"/>
          <w:szCs w:val="20"/>
        </w:rPr>
      </w:pPr>
      <w:r w:rsidRPr="00A63F69">
        <w:rPr>
          <w:rFonts w:ascii="Cambria" w:hAnsi="Cambria"/>
          <w:i/>
          <w:sz w:val="20"/>
          <w:szCs w:val="20"/>
        </w:rPr>
        <w:t>El presidente de la Comisión presentará un documento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113/2025</w:t>
      </w:r>
      <w:r w:rsidRPr="00A63F69">
        <w:rPr>
          <w:rFonts w:ascii="Cambria" w:hAnsi="Cambria"/>
          <w:i/>
          <w:sz w:val="20"/>
          <w:szCs w:val="20"/>
        </w:rPr>
        <w:t xml:space="preserve">) para su consideración sobre la realización de la tercera revisión de desempeño de ICCAT prevista inicialmente para 2027. </w:t>
      </w:r>
    </w:p>
    <w:p w14:paraId="5D6DA780"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52BFC938"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8.</w:t>
      </w:r>
      <w:r w:rsidRPr="00A63F69">
        <w:rPr>
          <w:rFonts w:ascii="Cambria" w:hAnsi="Cambria"/>
          <w:bCs/>
          <w:sz w:val="20"/>
          <w:szCs w:val="20"/>
        </w:rPr>
        <w:tab/>
        <w:t>Asistencia a los Estados costeros en desarrollo y creación de capacidad </w:t>
      </w:r>
    </w:p>
    <w:p w14:paraId="22973C84"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1EF95F42" w14:textId="37F25DC6" w:rsidR="004F39B9"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 xml:space="preserve">La información sobre los gastos del fondo de participación en reuniones (MPF) se recoge en el </w:t>
      </w:r>
      <w:r w:rsidR="003628D9" w:rsidRPr="00A63F69">
        <w:rPr>
          <w:rFonts w:ascii="Cambria" w:hAnsi="Cambria"/>
          <w:i/>
          <w:sz w:val="20"/>
          <w:szCs w:val="20"/>
        </w:rPr>
        <w:t xml:space="preserve">documento </w:t>
      </w:r>
      <w:r w:rsidRPr="00A63F69">
        <w:rPr>
          <w:rFonts w:ascii="Cambria" w:hAnsi="Cambria"/>
          <w:b/>
          <w:i/>
          <w:sz w:val="20"/>
          <w:szCs w:val="20"/>
        </w:rPr>
        <w:t>STF</w:t>
      </w:r>
      <w:r w:rsidR="00D95A50" w:rsidRPr="00A63F69">
        <w:rPr>
          <w:rFonts w:ascii="Cambria" w:hAnsi="Cambria"/>
          <w:b/>
          <w:i/>
          <w:sz w:val="20"/>
          <w:szCs w:val="20"/>
        </w:rPr>
        <w:t>_</w:t>
      </w:r>
      <w:r w:rsidRPr="00A63F69">
        <w:rPr>
          <w:rFonts w:ascii="Cambria" w:hAnsi="Cambria"/>
          <w:b/>
          <w:i/>
          <w:sz w:val="20"/>
          <w:szCs w:val="20"/>
        </w:rPr>
        <w:t>206/2025</w:t>
      </w:r>
      <w:r w:rsidRPr="00A63F69">
        <w:rPr>
          <w:rFonts w:ascii="Cambria" w:hAnsi="Cambria"/>
          <w:i/>
          <w:sz w:val="20"/>
          <w:szCs w:val="20"/>
        </w:rPr>
        <w:t>.</w:t>
      </w:r>
      <w:r w:rsidRPr="00A63F69">
        <w:rPr>
          <w:rFonts w:ascii="Cambria" w:hAnsi="Cambria"/>
          <w:sz w:val="20"/>
          <w:szCs w:val="20"/>
        </w:rPr>
        <w:t> </w:t>
      </w:r>
    </w:p>
    <w:p w14:paraId="5FC82F81"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1DD36179"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9</w:t>
      </w:r>
      <w:r w:rsidRPr="00A63F69">
        <w:rPr>
          <w:rFonts w:ascii="Cambria" w:hAnsi="Cambria"/>
          <w:bCs/>
          <w:i/>
          <w:sz w:val="20"/>
          <w:szCs w:val="20"/>
        </w:rPr>
        <w:t>.</w:t>
      </w:r>
      <w:r w:rsidRPr="00A63F69">
        <w:rPr>
          <w:rFonts w:ascii="Cambria" w:hAnsi="Cambria"/>
          <w:bCs/>
          <w:sz w:val="20"/>
          <w:szCs w:val="20"/>
        </w:rPr>
        <w:tab/>
        <w:t>Cooperación con otras organizaciones y actualizaciones  </w:t>
      </w:r>
    </w:p>
    <w:p w14:paraId="514F313A"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 </w:t>
      </w:r>
    </w:p>
    <w:p w14:paraId="662068D7" w14:textId="77777777" w:rsidR="004F39B9" w:rsidRPr="00A63F69" w:rsidRDefault="004F39B9" w:rsidP="00A63F69">
      <w:pPr>
        <w:ind w:left="840" w:hanging="420"/>
        <w:jc w:val="both"/>
        <w:textAlignment w:val="baseline"/>
        <w:rPr>
          <w:rFonts w:ascii="Cambria" w:hAnsi="Cambria" w:cs="Segoe UI"/>
          <w:bCs/>
          <w:iCs/>
          <w:sz w:val="20"/>
          <w:szCs w:val="20"/>
        </w:rPr>
      </w:pPr>
      <w:r w:rsidRPr="00A63F69">
        <w:rPr>
          <w:rFonts w:ascii="Cambria" w:hAnsi="Cambria"/>
          <w:bCs/>
          <w:iCs/>
          <w:sz w:val="20"/>
          <w:szCs w:val="20"/>
        </w:rPr>
        <w:t>9.1 Cooperación con otras organizaciones intergubernamentales </w:t>
      </w:r>
    </w:p>
    <w:p w14:paraId="0462FA18" w14:textId="77777777" w:rsidR="004F39B9" w:rsidRPr="00A63F69" w:rsidRDefault="004F39B9" w:rsidP="00A63F69">
      <w:pPr>
        <w:ind w:left="840" w:hanging="420"/>
        <w:jc w:val="both"/>
        <w:textAlignment w:val="baseline"/>
        <w:rPr>
          <w:rFonts w:ascii="Cambria" w:hAnsi="Cambria" w:cs="Segoe UI"/>
          <w:sz w:val="20"/>
          <w:szCs w:val="20"/>
        </w:rPr>
      </w:pPr>
      <w:r w:rsidRPr="00A63F69">
        <w:rPr>
          <w:rFonts w:ascii="Cambria" w:hAnsi="Cambria"/>
          <w:sz w:val="20"/>
          <w:szCs w:val="20"/>
        </w:rPr>
        <w:t> </w:t>
      </w:r>
    </w:p>
    <w:p w14:paraId="63E6C8F9" w14:textId="0E74018E" w:rsidR="004F39B9" w:rsidRPr="00A63F69" w:rsidRDefault="004F39B9" w:rsidP="00A63F69">
      <w:pPr>
        <w:ind w:left="426"/>
        <w:jc w:val="both"/>
        <w:textAlignment w:val="baseline"/>
        <w:rPr>
          <w:rFonts w:ascii="Cambria" w:hAnsi="Cambria" w:cs="Segoe UI"/>
          <w:sz w:val="20"/>
          <w:szCs w:val="20"/>
        </w:rPr>
      </w:pPr>
      <w:r w:rsidRPr="00A63F69">
        <w:rPr>
          <w:rFonts w:ascii="Cambria" w:hAnsi="Cambria"/>
          <w:i/>
          <w:sz w:val="20"/>
          <w:szCs w:val="20"/>
        </w:rPr>
        <w:t xml:space="preserve">La información al respecto se puede encontrar en el </w:t>
      </w:r>
      <w:r w:rsidR="003628D9" w:rsidRPr="00A63F69">
        <w:rPr>
          <w:rFonts w:ascii="Cambria" w:hAnsi="Cambria"/>
          <w:i/>
          <w:sz w:val="20"/>
          <w:szCs w:val="20"/>
        </w:rPr>
        <w:t xml:space="preserve">documento </w:t>
      </w:r>
      <w:r w:rsidRPr="00A63F69">
        <w:rPr>
          <w:rFonts w:ascii="Cambria" w:hAnsi="Cambria"/>
          <w:b/>
          <w:i/>
          <w:sz w:val="20"/>
          <w:szCs w:val="20"/>
        </w:rPr>
        <w:t>PLE_106/2025</w:t>
      </w:r>
      <w:r w:rsidRPr="00A63F69">
        <w:rPr>
          <w:rFonts w:ascii="Cambria" w:hAnsi="Cambria"/>
          <w:i/>
          <w:sz w:val="20"/>
          <w:szCs w:val="20"/>
        </w:rPr>
        <w:t>. Además, Canadá presentó un documento de discusión sobre un Memorando de Entendimiento ICCAT-</w:t>
      </w:r>
      <w:proofErr w:type="spellStart"/>
      <w:r w:rsidRPr="00A63F69">
        <w:rPr>
          <w:rFonts w:ascii="Cambria" w:hAnsi="Cambria"/>
          <w:i/>
          <w:sz w:val="20"/>
          <w:szCs w:val="20"/>
        </w:rPr>
        <w:t>NAFO</w:t>
      </w:r>
      <w:proofErr w:type="spellEnd"/>
      <w:r w:rsidRPr="00A63F69">
        <w:rPr>
          <w:rFonts w:ascii="Cambria" w:hAnsi="Cambria"/>
          <w:sz w:val="20"/>
          <w:szCs w:val="20"/>
        </w:rPr>
        <w:t xml:space="preserve"> (</w:t>
      </w:r>
      <w:r w:rsidRPr="00A63F69">
        <w:rPr>
          <w:rFonts w:ascii="Cambria" w:hAnsi="Cambria"/>
          <w:b/>
          <w:i/>
          <w:sz w:val="20"/>
          <w:szCs w:val="20"/>
        </w:rPr>
        <w:t>PLE_111/2025)</w:t>
      </w:r>
      <w:r w:rsidRPr="00A63F69">
        <w:rPr>
          <w:rFonts w:ascii="Cambria" w:hAnsi="Cambria"/>
          <w:sz w:val="20"/>
          <w:szCs w:val="20"/>
        </w:rPr>
        <w:t>.</w:t>
      </w:r>
    </w:p>
    <w:p w14:paraId="18FEBA49" w14:textId="77777777" w:rsidR="00601C14" w:rsidRPr="00A63F69" w:rsidRDefault="00601C14" w:rsidP="00A63F69">
      <w:pPr>
        <w:ind w:left="709" w:hanging="289"/>
        <w:jc w:val="both"/>
        <w:textAlignment w:val="baseline"/>
        <w:rPr>
          <w:rFonts w:ascii="Cambria" w:hAnsi="Cambria" w:cs="Segoe UI"/>
          <w:b/>
          <w:bCs/>
          <w:i/>
          <w:iCs/>
          <w:sz w:val="20"/>
          <w:szCs w:val="20"/>
        </w:rPr>
      </w:pPr>
    </w:p>
    <w:p w14:paraId="26DB86FC" w14:textId="14792F37" w:rsidR="00C23619" w:rsidRPr="00A63F69" w:rsidRDefault="00060FB1" w:rsidP="00A63F69">
      <w:pPr>
        <w:ind w:left="709" w:hanging="289"/>
        <w:jc w:val="both"/>
        <w:textAlignment w:val="baseline"/>
        <w:rPr>
          <w:rFonts w:ascii="Cambria" w:hAnsi="Cambria"/>
          <w:bCs/>
          <w:iCs/>
          <w:sz w:val="20"/>
          <w:szCs w:val="20"/>
        </w:rPr>
      </w:pPr>
      <w:r w:rsidRPr="00A63F69">
        <w:rPr>
          <w:rFonts w:ascii="Cambria" w:hAnsi="Cambria"/>
          <w:bCs/>
          <w:iCs/>
          <w:sz w:val="20"/>
          <w:szCs w:val="20"/>
        </w:rPr>
        <w:t>9.2 Actualización sobre los progresos de ABNJ2</w:t>
      </w:r>
    </w:p>
    <w:p w14:paraId="2CB72761" w14:textId="77777777" w:rsidR="0002683B" w:rsidRPr="00A63F69" w:rsidRDefault="0002683B" w:rsidP="00A63F69">
      <w:pPr>
        <w:ind w:left="709" w:hanging="289"/>
        <w:jc w:val="both"/>
        <w:textAlignment w:val="baseline"/>
        <w:rPr>
          <w:rFonts w:ascii="Cambria" w:hAnsi="Cambria" w:cs="Segoe UI"/>
          <w:bCs/>
          <w:i/>
          <w:iCs/>
          <w:sz w:val="20"/>
          <w:szCs w:val="20"/>
        </w:rPr>
      </w:pPr>
    </w:p>
    <w:p w14:paraId="4177BAD8" w14:textId="77777777" w:rsidR="00B31715" w:rsidRPr="00A63F69" w:rsidRDefault="00B31715" w:rsidP="00A63F69">
      <w:pPr>
        <w:ind w:left="426"/>
        <w:jc w:val="both"/>
        <w:textAlignment w:val="baseline"/>
        <w:rPr>
          <w:rFonts w:ascii="Cambria" w:hAnsi="Cambria"/>
          <w:i/>
          <w:sz w:val="20"/>
          <w:szCs w:val="20"/>
        </w:rPr>
      </w:pPr>
      <w:r w:rsidRPr="00A63F69">
        <w:rPr>
          <w:rFonts w:ascii="Cambria" w:hAnsi="Cambria"/>
          <w:i/>
          <w:iCs/>
          <w:sz w:val="20"/>
          <w:szCs w:val="20"/>
        </w:rPr>
        <w:t>El representante de FAO hará una breve presentación sobre el ABNJ2.</w:t>
      </w:r>
    </w:p>
    <w:p w14:paraId="7D818490" w14:textId="77777777" w:rsidR="004F39B9" w:rsidRPr="00A63F69" w:rsidRDefault="004F39B9" w:rsidP="00A63F69">
      <w:pPr>
        <w:ind w:left="840" w:hanging="420"/>
        <w:jc w:val="both"/>
        <w:textAlignment w:val="baseline"/>
        <w:rPr>
          <w:rFonts w:ascii="Cambria" w:hAnsi="Cambria" w:cs="Segoe UI"/>
          <w:sz w:val="20"/>
          <w:szCs w:val="20"/>
        </w:rPr>
      </w:pPr>
      <w:r w:rsidRPr="00A63F69">
        <w:rPr>
          <w:rFonts w:ascii="Cambria" w:hAnsi="Cambria"/>
          <w:sz w:val="20"/>
          <w:szCs w:val="20"/>
        </w:rPr>
        <w:t> </w:t>
      </w:r>
    </w:p>
    <w:p w14:paraId="5784B8E7" w14:textId="6BC44569" w:rsidR="00CC5949" w:rsidRPr="00A63F69" w:rsidRDefault="00CC5949" w:rsidP="00A63F69">
      <w:pPr>
        <w:ind w:left="420" w:hanging="420"/>
        <w:jc w:val="both"/>
        <w:textAlignment w:val="baseline"/>
        <w:rPr>
          <w:rFonts w:ascii="Cambria" w:hAnsi="Cambria" w:cs="Segoe UI"/>
          <w:bCs/>
          <w:sz w:val="20"/>
          <w:szCs w:val="20"/>
        </w:rPr>
      </w:pPr>
      <w:r w:rsidRPr="00A63F69">
        <w:rPr>
          <w:rFonts w:ascii="Cambria" w:hAnsi="Cambria"/>
          <w:bCs/>
          <w:sz w:val="20"/>
          <w:szCs w:val="20"/>
        </w:rPr>
        <w:t xml:space="preserve">10. </w:t>
      </w:r>
      <w:r w:rsidRPr="00A63F69">
        <w:rPr>
          <w:rFonts w:ascii="Cambria" w:hAnsi="Cambria"/>
          <w:bCs/>
          <w:sz w:val="20"/>
          <w:szCs w:val="20"/>
        </w:rPr>
        <w:tab/>
        <w:t>Debate relativo a la implementación de los instrumentos sobre biodiversidad</w:t>
      </w:r>
    </w:p>
    <w:p w14:paraId="0C0254C5" w14:textId="77777777" w:rsidR="00E67B15" w:rsidRPr="00A63F69" w:rsidRDefault="00E67B15" w:rsidP="00A63F69">
      <w:pPr>
        <w:ind w:left="420" w:hanging="420"/>
        <w:jc w:val="both"/>
        <w:textAlignment w:val="baseline"/>
        <w:rPr>
          <w:rFonts w:ascii="Cambria" w:hAnsi="Cambria" w:cs="Segoe UI"/>
          <w:sz w:val="20"/>
          <w:szCs w:val="20"/>
        </w:rPr>
      </w:pPr>
    </w:p>
    <w:p w14:paraId="6A06193B" w14:textId="63A7AF86" w:rsidR="00E67B15" w:rsidRPr="00A63F69" w:rsidRDefault="00EE697E" w:rsidP="00A63F69">
      <w:pPr>
        <w:ind w:left="420"/>
        <w:jc w:val="both"/>
        <w:textAlignment w:val="baseline"/>
        <w:rPr>
          <w:rFonts w:ascii="Cambria" w:hAnsi="Cambria" w:cs="Segoe UI"/>
          <w:sz w:val="20"/>
          <w:szCs w:val="20"/>
        </w:rPr>
      </w:pPr>
      <w:r w:rsidRPr="00A63F69">
        <w:rPr>
          <w:rFonts w:ascii="Cambria" w:hAnsi="Cambria"/>
          <w:i/>
          <w:sz w:val="20"/>
          <w:szCs w:val="20"/>
        </w:rPr>
        <w:t xml:space="preserve">El presidente presentará un documento introductorio sobre el </w:t>
      </w:r>
      <w:proofErr w:type="spellStart"/>
      <w:r w:rsidRPr="00A63F69">
        <w:rPr>
          <w:rFonts w:ascii="Cambria" w:hAnsi="Cambria"/>
          <w:i/>
          <w:sz w:val="20"/>
          <w:szCs w:val="20"/>
        </w:rPr>
        <w:t>BBNJ</w:t>
      </w:r>
      <w:proofErr w:type="spellEnd"/>
      <w:r w:rsidRPr="00A63F69">
        <w:rPr>
          <w:rFonts w:ascii="Cambria" w:hAnsi="Cambria"/>
          <w:i/>
          <w:sz w:val="20"/>
          <w:szCs w:val="20"/>
        </w:rPr>
        <w:t xml:space="preserve"> (</w:t>
      </w:r>
      <w:r w:rsidRPr="00A63F69">
        <w:rPr>
          <w:rFonts w:ascii="Cambria" w:hAnsi="Cambria"/>
          <w:b/>
          <w:i/>
          <w:sz w:val="20"/>
          <w:szCs w:val="20"/>
        </w:rPr>
        <w:t>PLE_114/2025</w:t>
      </w:r>
      <w:r w:rsidRPr="00A63F69">
        <w:rPr>
          <w:rFonts w:ascii="Cambria" w:hAnsi="Cambria"/>
          <w:i/>
          <w:sz w:val="20"/>
          <w:szCs w:val="20"/>
        </w:rPr>
        <w:t>) para debates sobre las próximas etapas de este instrumento.</w:t>
      </w:r>
    </w:p>
    <w:p w14:paraId="2F8F4816" w14:textId="77777777" w:rsidR="00CC5949" w:rsidRPr="00A63F69" w:rsidRDefault="00CC5949" w:rsidP="00A63F69">
      <w:pPr>
        <w:ind w:left="420" w:hanging="420"/>
        <w:jc w:val="both"/>
        <w:textAlignment w:val="baseline"/>
        <w:rPr>
          <w:rFonts w:ascii="Cambria" w:hAnsi="Cambria" w:cs="Segoe UI"/>
          <w:sz w:val="20"/>
          <w:szCs w:val="20"/>
        </w:rPr>
      </w:pPr>
    </w:p>
    <w:p w14:paraId="151E3008" w14:textId="3305948D" w:rsidR="00CC5949" w:rsidRPr="00A63F69" w:rsidRDefault="00CC5949" w:rsidP="00A63F69">
      <w:pPr>
        <w:ind w:left="420" w:hanging="420"/>
        <w:jc w:val="both"/>
        <w:textAlignment w:val="baseline"/>
        <w:rPr>
          <w:rFonts w:ascii="Cambria" w:hAnsi="Cambria" w:cs="Segoe UI"/>
          <w:bCs/>
          <w:sz w:val="20"/>
          <w:szCs w:val="20"/>
        </w:rPr>
      </w:pPr>
      <w:r w:rsidRPr="00A63F69">
        <w:rPr>
          <w:rFonts w:ascii="Cambria" w:hAnsi="Cambria"/>
          <w:bCs/>
          <w:sz w:val="20"/>
          <w:szCs w:val="20"/>
        </w:rPr>
        <w:t xml:space="preserve">11. </w:t>
      </w:r>
      <w:r w:rsidRPr="00A63F69">
        <w:rPr>
          <w:rFonts w:ascii="Cambria" w:hAnsi="Cambria"/>
          <w:bCs/>
          <w:sz w:val="20"/>
          <w:szCs w:val="20"/>
        </w:rPr>
        <w:tab/>
        <w:t>Próximos pasos en relación con el Grupo conjunto de expertos en cambio climático</w:t>
      </w:r>
    </w:p>
    <w:p w14:paraId="4916E6EA" w14:textId="77777777" w:rsidR="00157B26" w:rsidRPr="00A63F69" w:rsidRDefault="00157B26" w:rsidP="00A63F69">
      <w:pPr>
        <w:ind w:left="420" w:hanging="420"/>
        <w:jc w:val="both"/>
        <w:textAlignment w:val="baseline"/>
        <w:rPr>
          <w:rFonts w:ascii="Cambria" w:hAnsi="Cambria" w:cs="Segoe UI"/>
          <w:i/>
          <w:iCs/>
          <w:sz w:val="20"/>
          <w:szCs w:val="20"/>
        </w:rPr>
      </w:pPr>
    </w:p>
    <w:p w14:paraId="519CC18B" w14:textId="149E3D71" w:rsidR="00975089" w:rsidRPr="00A63F69" w:rsidRDefault="00975089" w:rsidP="00A63F69">
      <w:pPr>
        <w:ind w:left="420"/>
        <w:jc w:val="both"/>
        <w:textAlignment w:val="baseline"/>
        <w:rPr>
          <w:rFonts w:ascii="Cambria" w:hAnsi="Cambria" w:cs="Segoe UI"/>
          <w:i/>
          <w:iCs/>
          <w:sz w:val="20"/>
          <w:szCs w:val="20"/>
        </w:rPr>
      </w:pPr>
      <w:r w:rsidRPr="00A63F69">
        <w:rPr>
          <w:rFonts w:ascii="Cambria" w:hAnsi="Cambria"/>
          <w:i/>
          <w:sz w:val="20"/>
          <w:szCs w:val="20"/>
        </w:rPr>
        <w:t>La Comisión determinará y considerará las fechas de la próxima reunión del Grupo en 2026.</w:t>
      </w:r>
    </w:p>
    <w:p w14:paraId="46361B9F" w14:textId="77777777" w:rsidR="00EF24E1" w:rsidRPr="00A63F69" w:rsidRDefault="00EF24E1" w:rsidP="00A63F69">
      <w:pPr>
        <w:ind w:left="420"/>
        <w:jc w:val="both"/>
        <w:textAlignment w:val="baseline"/>
        <w:rPr>
          <w:rFonts w:ascii="Cambria" w:hAnsi="Cambria" w:cs="Segoe UI"/>
          <w:i/>
          <w:iCs/>
          <w:sz w:val="20"/>
          <w:szCs w:val="20"/>
        </w:rPr>
      </w:pPr>
    </w:p>
    <w:p w14:paraId="2D6D9901" w14:textId="7820BC23" w:rsidR="00EF24E1" w:rsidRPr="00A63F69" w:rsidRDefault="00EF24E1" w:rsidP="00A63F69">
      <w:pPr>
        <w:ind w:left="426" w:hanging="426"/>
        <w:jc w:val="both"/>
        <w:textAlignment w:val="baseline"/>
        <w:rPr>
          <w:rFonts w:ascii="Cambria" w:hAnsi="Cambria"/>
          <w:sz w:val="20"/>
          <w:szCs w:val="20"/>
        </w:rPr>
      </w:pPr>
      <w:r w:rsidRPr="00A63F69">
        <w:rPr>
          <w:rFonts w:ascii="Cambria" w:hAnsi="Cambria"/>
          <w:sz w:val="20"/>
          <w:szCs w:val="20"/>
        </w:rPr>
        <w:t>12.  Grupo de trabajo permanente sobre el diálogo entre gestores y científicos pesqueros (SWGSM) y consideración de las recomendaciones propuestas relacionadas</w:t>
      </w:r>
    </w:p>
    <w:p w14:paraId="1C7E0691" w14:textId="77777777" w:rsidR="009C4673" w:rsidRPr="00A63F69" w:rsidRDefault="009C4673" w:rsidP="00A63F69">
      <w:pPr>
        <w:jc w:val="both"/>
        <w:textAlignment w:val="baseline"/>
        <w:rPr>
          <w:rFonts w:ascii="Cambria" w:hAnsi="Cambria"/>
          <w:sz w:val="20"/>
          <w:szCs w:val="20"/>
        </w:rPr>
      </w:pPr>
    </w:p>
    <w:p w14:paraId="19FC1AE0" w14:textId="136C6ED8" w:rsidR="009C4673" w:rsidRPr="00A63F69" w:rsidRDefault="009C4673" w:rsidP="00A63F69">
      <w:pPr>
        <w:ind w:left="420"/>
        <w:jc w:val="both"/>
        <w:textAlignment w:val="baseline"/>
        <w:rPr>
          <w:rFonts w:ascii="Cambria" w:hAnsi="Cambria" w:cs="Segoe UI"/>
          <w:sz w:val="20"/>
          <w:szCs w:val="20"/>
        </w:rPr>
      </w:pPr>
      <w:r w:rsidRPr="00A63F69">
        <w:rPr>
          <w:rFonts w:ascii="Cambria" w:hAnsi="Cambria"/>
          <w:i/>
          <w:sz w:val="20"/>
          <w:szCs w:val="20"/>
        </w:rPr>
        <w:t>La Comisión debería considerar las recomendaciones remitidas por el Grupo de trabajo, y las acciones que puedan requerirse para su adopción. También considerará el trabajo Grupo para 2026.</w:t>
      </w:r>
    </w:p>
    <w:p w14:paraId="539CE2B0" w14:textId="77777777" w:rsidR="000D5959" w:rsidRPr="00A63F69" w:rsidRDefault="000D5959" w:rsidP="00A63F69">
      <w:pPr>
        <w:ind w:left="420" w:hanging="420"/>
        <w:jc w:val="both"/>
        <w:textAlignment w:val="baseline"/>
        <w:rPr>
          <w:rFonts w:ascii="Cambria" w:hAnsi="Cambria" w:cs="Segoe UI"/>
          <w:sz w:val="20"/>
          <w:szCs w:val="20"/>
        </w:rPr>
      </w:pPr>
    </w:p>
    <w:p w14:paraId="4198D1E2" w14:textId="33E467EB"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13.</w:t>
      </w:r>
      <w:r w:rsidRPr="00A63F69">
        <w:rPr>
          <w:rFonts w:ascii="Cambria" w:hAnsi="Cambria"/>
          <w:sz w:val="20"/>
          <w:szCs w:val="20"/>
        </w:rPr>
        <w:tab/>
        <w:t>Informe del Comité permanente de finanzas y administración (STACFAD) y consideración de las recomendaciones propuestas relacionadas</w:t>
      </w:r>
    </w:p>
    <w:p w14:paraId="1EB8B461"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2EECA895" w14:textId="502193CA" w:rsidR="004F39B9" w:rsidRPr="00A63F69" w:rsidRDefault="00B05282" w:rsidP="00A63F69">
      <w:pPr>
        <w:ind w:left="435"/>
        <w:jc w:val="both"/>
        <w:textAlignment w:val="baseline"/>
        <w:rPr>
          <w:rFonts w:ascii="Cambria" w:hAnsi="Cambria" w:cs="Segoe UI"/>
          <w:sz w:val="20"/>
          <w:szCs w:val="20"/>
        </w:rPr>
      </w:pPr>
      <w:r w:rsidRPr="00A63F69">
        <w:rPr>
          <w:rFonts w:ascii="Cambria" w:hAnsi="Cambria"/>
          <w:i/>
          <w:sz w:val="20"/>
          <w:szCs w:val="20"/>
        </w:rPr>
        <w:t>La presidenta del STACFAD informará de los trabajos emprendidos y de las recomendaciones del STACFAD, lo que incluye decisiones relacionadas con el presupuesto y contribuciones para el 2025 (</w:t>
      </w:r>
      <w:r w:rsidRPr="00A63F69">
        <w:rPr>
          <w:rFonts w:ascii="Cambria" w:hAnsi="Cambria"/>
          <w:b/>
          <w:i/>
          <w:sz w:val="20"/>
          <w:szCs w:val="20"/>
        </w:rPr>
        <w:t>STF_203</w:t>
      </w:r>
      <w:r w:rsidR="00D95A50" w:rsidRPr="00A63F69">
        <w:rPr>
          <w:rFonts w:ascii="Cambria" w:hAnsi="Cambria"/>
          <w:b/>
          <w:i/>
          <w:sz w:val="20"/>
          <w:szCs w:val="20"/>
        </w:rPr>
        <w:t>_</w:t>
      </w:r>
      <w:r w:rsidR="00F9304F" w:rsidRPr="00A63F69">
        <w:rPr>
          <w:rFonts w:ascii="Cambria" w:hAnsi="Cambria"/>
          <w:b/>
          <w:i/>
          <w:sz w:val="20"/>
          <w:szCs w:val="20"/>
        </w:rPr>
        <w:t>REV</w:t>
      </w:r>
      <w:r w:rsidR="00D95A50" w:rsidRPr="00A63F69">
        <w:rPr>
          <w:rFonts w:ascii="Cambria" w:hAnsi="Cambria"/>
          <w:b/>
          <w:i/>
          <w:sz w:val="20"/>
          <w:szCs w:val="20"/>
        </w:rPr>
        <w:t>_</w:t>
      </w:r>
      <w:r w:rsidR="00F9304F" w:rsidRPr="00A63F69">
        <w:rPr>
          <w:rFonts w:ascii="Cambria" w:hAnsi="Cambria"/>
          <w:b/>
          <w:i/>
          <w:sz w:val="20"/>
          <w:szCs w:val="20"/>
        </w:rPr>
        <w:t>1</w:t>
      </w:r>
      <w:r w:rsidRPr="00A63F69">
        <w:rPr>
          <w:rFonts w:ascii="Cambria" w:hAnsi="Cambria"/>
          <w:b/>
          <w:i/>
          <w:sz w:val="20"/>
          <w:szCs w:val="20"/>
        </w:rPr>
        <w:t xml:space="preserve">/2025, STF_204/2025 </w:t>
      </w:r>
      <w:r w:rsidRPr="00A63F69">
        <w:rPr>
          <w:rFonts w:ascii="Cambria" w:hAnsi="Cambria"/>
          <w:i/>
          <w:sz w:val="20"/>
          <w:szCs w:val="20"/>
        </w:rPr>
        <w:t>y</w:t>
      </w:r>
      <w:r w:rsidRPr="00A63F69">
        <w:rPr>
          <w:rFonts w:ascii="Cambria" w:hAnsi="Cambria"/>
          <w:b/>
          <w:i/>
          <w:sz w:val="20"/>
          <w:szCs w:val="20"/>
        </w:rPr>
        <w:t xml:space="preserve"> STF_205</w:t>
      </w:r>
      <w:r w:rsidR="00F9304F"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w:t>
      </w:r>
      <w:r w:rsidRPr="00A63F69">
        <w:rPr>
          <w:rFonts w:ascii="Cambria" w:hAnsi="Cambria"/>
          <w:sz w:val="20"/>
          <w:szCs w:val="20"/>
        </w:rPr>
        <w:t> </w:t>
      </w:r>
    </w:p>
    <w:p w14:paraId="480C3093"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16B04614" w14:textId="00DE71DE"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14.</w:t>
      </w:r>
      <w:r w:rsidRPr="00A63F69">
        <w:rPr>
          <w:rFonts w:ascii="Cambria" w:hAnsi="Cambria"/>
          <w:bCs/>
          <w:sz w:val="20"/>
          <w:szCs w:val="20"/>
        </w:rPr>
        <w:tab/>
        <w:t>Informes de las Subcomisiones 1 a 4 y consideración de las recomendaciones propuestas</w:t>
      </w:r>
    </w:p>
    <w:p w14:paraId="037D3C78"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76857AD7"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Los informes de las Subcomisiones se adoptarán por correspondencia. La Comisión debería considerar las recomendaciones remitidas por las Subcomisiones para su adopción.</w:t>
      </w:r>
      <w:r w:rsidRPr="00A63F69">
        <w:rPr>
          <w:rFonts w:ascii="Cambria" w:hAnsi="Cambria"/>
          <w:sz w:val="20"/>
          <w:szCs w:val="20"/>
        </w:rPr>
        <w:t> </w:t>
      </w:r>
    </w:p>
    <w:p w14:paraId="79C69398"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52193A69" w14:textId="41E5082B"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lastRenderedPageBreak/>
        <w:t>15.</w:t>
      </w:r>
      <w:r w:rsidRPr="00A63F69">
        <w:rPr>
          <w:rFonts w:ascii="Cambria" w:hAnsi="Cambria"/>
          <w:bCs/>
          <w:sz w:val="20"/>
          <w:szCs w:val="20"/>
        </w:rPr>
        <w:tab/>
        <w:t>Informe del Comité de Cumplimiento de las medidas de conservación y ordenación de ICCAT (COC) y consideración de cualquier recomendación propuesta</w:t>
      </w:r>
    </w:p>
    <w:p w14:paraId="2CE2A24A"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13E3941D" w14:textId="6D69F5AC"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La Comisión debería considerar las recomendaciones remitidas por el Comité, así como las tablas de cumplimiento </w:t>
      </w:r>
      <w:r w:rsidR="00F9304F" w:rsidRPr="00A63F69">
        <w:rPr>
          <w:rFonts w:ascii="Cambria" w:hAnsi="Cambria"/>
          <w:i/>
          <w:sz w:val="20"/>
          <w:szCs w:val="20"/>
        </w:rPr>
        <w:t xml:space="preserve">de 2024 </w:t>
      </w:r>
      <w:r w:rsidRPr="00A63F69">
        <w:rPr>
          <w:rFonts w:ascii="Cambria" w:hAnsi="Cambria"/>
          <w:i/>
          <w:sz w:val="20"/>
          <w:szCs w:val="20"/>
        </w:rPr>
        <w:t>(</w:t>
      </w:r>
      <w:r w:rsidR="003E6065" w:rsidRPr="00A63F69">
        <w:rPr>
          <w:rFonts w:ascii="Cambria" w:hAnsi="Cambria"/>
          <w:b/>
          <w:i/>
          <w:sz w:val="20"/>
          <w:szCs w:val="20"/>
        </w:rPr>
        <w:t>COC_304_TRI_REV_3</w:t>
      </w:r>
      <w:r w:rsidRPr="00A63F69">
        <w:rPr>
          <w:rFonts w:ascii="Cambria" w:hAnsi="Cambria"/>
          <w:b/>
          <w:i/>
          <w:sz w:val="20"/>
          <w:szCs w:val="20"/>
        </w:rPr>
        <w:t>/2025</w:t>
      </w:r>
      <w:r w:rsidRPr="00A63F69">
        <w:rPr>
          <w:rFonts w:ascii="Cambria" w:hAnsi="Cambria"/>
          <w:i/>
          <w:sz w:val="20"/>
          <w:szCs w:val="20"/>
        </w:rPr>
        <w:t xml:space="preserve">) y las acciones que puedan requerirse basándose en las discusiones del COC, que </w:t>
      </w:r>
      <w:r w:rsidR="003628D9" w:rsidRPr="00A63F69">
        <w:rPr>
          <w:rFonts w:ascii="Cambria" w:hAnsi="Cambria"/>
          <w:i/>
          <w:sz w:val="20"/>
          <w:szCs w:val="20"/>
        </w:rPr>
        <w:t>están</w:t>
      </w:r>
      <w:r w:rsidRPr="00A63F69">
        <w:rPr>
          <w:rFonts w:ascii="Cambria" w:hAnsi="Cambria"/>
          <w:i/>
          <w:sz w:val="20"/>
          <w:szCs w:val="20"/>
        </w:rPr>
        <w:t xml:space="preserve"> disponibles </w:t>
      </w:r>
      <w:r w:rsidR="003628D9" w:rsidRPr="00A63F69">
        <w:rPr>
          <w:rFonts w:ascii="Cambria" w:hAnsi="Cambria"/>
          <w:i/>
          <w:sz w:val="20"/>
          <w:szCs w:val="20"/>
        </w:rPr>
        <w:t>en el “Proyecto de tablas resumen de cumplimiento” (</w:t>
      </w:r>
      <w:r w:rsidRPr="00A63F69">
        <w:rPr>
          <w:rFonts w:ascii="Cambria" w:hAnsi="Cambria"/>
          <w:b/>
          <w:i/>
          <w:sz w:val="20"/>
          <w:szCs w:val="20"/>
        </w:rPr>
        <w:t>COC_308</w:t>
      </w:r>
      <w:r w:rsidR="003628D9" w:rsidRPr="00A63F69">
        <w:rPr>
          <w:rFonts w:ascii="Cambria" w:hAnsi="Cambria"/>
          <w:b/>
          <w:i/>
          <w:sz w:val="20"/>
          <w:szCs w:val="20"/>
        </w:rPr>
        <w:t>A_REV_1</w:t>
      </w:r>
      <w:r w:rsidRPr="00A63F69">
        <w:rPr>
          <w:rFonts w:ascii="Cambria" w:hAnsi="Cambria"/>
          <w:b/>
          <w:i/>
          <w:sz w:val="20"/>
          <w:szCs w:val="20"/>
        </w:rPr>
        <w:t>/2025</w:t>
      </w:r>
      <w:r w:rsidR="003628D9" w:rsidRPr="00A63F69">
        <w:rPr>
          <w:rFonts w:ascii="Cambria" w:hAnsi="Cambria"/>
          <w:b/>
          <w:i/>
          <w:sz w:val="20"/>
          <w:szCs w:val="20"/>
        </w:rPr>
        <w:t>)</w:t>
      </w:r>
      <w:r w:rsidRPr="00A63F69">
        <w:rPr>
          <w:rFonts w:ascii="Cambria" w:hAnsi="Cambria"/>
          <w:i/>
          <w:sz w:val="20"/>
          <w:szCs w:val="20"/>
        </w:rPr>
        <w:t xml:space="preserve">. El COC para sus acciones podría guiarse por la </w:t>
      </w:r>
      <w:hyperlink r:id="rId11" w:history="1">
        <w:r w:rsidRPr="00A63F69">
          <w:rPr>
            <w:rStyle w:val="Hyperlink"/>
            <w:rFonts w:ascii="Cambria" w:hAnsi="Cambria"/>
            <w:i/>
            <w:sz w:val="20"/>
            <w:szCs w:val="20"/>
            <w:u w:val="none"/>
          </w:rPr>
          <w:t>Res.</w:t>
        </w:r>
        <w:r w:rsidR="00F9304F" w:rsidRPr="00A63F69">
          <w:rPr>
            <w:rStyle w:val="Hyperlink"/>
            <w:rFonts w:ascii="Cambria" w:hAnsi="Cambria"/>
            <w:i/>
            <w:sz w:val="20"/>
            <w:szCs w:val="20"/>
            <w:u w:val="none"/>
          </w:rPr>
          <w:t> </w:t>
        </w:r>
        <w:r w:rsidRPr="00A63F69">
          <w:rPr>
            <w:rStyle w:val="Hyperlink"/>
            <w:rFonts w:ascii="Cambria" w:hAnsi="Cambria"/>
            <w:i/>
            <w:sz w:val="20"/>
            <w:szCs w:val="20"/>
            <w:u w:val="none"/>
          </w:rPr>
          <w:t>16-17</w:t>
        </w:r>
      </w:hyperlink>
      <w:r w:rsidRPr="00A63F69">
        <w:rPr>
          <w:rFonts w:ascii="Cambria" w:hAnsi="Cambria"/>
          <w:sz w:val="20"/>
          <w:szCs w:val="20"/>
        </w:rPr>
        <w:t>.</w:t>
      </w:r>
    </w:p>
    <w:p w14:paraId="097AAC6A"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4235241E" w14:textId="1FF81E8E"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16.</w:t>
      </w:r>
      <w:r w:rsidRPr="00A63F69">
        <w:rPr>
          <w:rFonts w:ascii="Cambria" w:hAnsi="Cambria"/>
          <w:bCs/>
          <w:sz w:val="20"/>
          <w:szCs w:val="20"/>
        </w:rPr>
        <w:tab/>
        <w:t>Informe del Grupo de Trabajo Permanente para la mejora de las estadísticas y normas de conservación de ICCAT (GTP) y consideración de cualquier recomendación propuesta</w:t>
      </w:r>
    </w:p>
    <w:p w14:paraId="0BB762ED"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155AD147" w14:textId="640B6E0C"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La Comisión debería considerar las recomendaciones remitidas por el Grupo, incluida la aprobación </w:t>
      </w:r>
      <w:r w:rsidR="00CE069A" w:rsidRPr="00A63F69">
        <w:rPr>
          <w:rFonts w:ascii="Cambria" w:hAnsi="Cambria"/>
          <w:i/>
          <w:sz w:val="20"/>
          <w:szCs w:val="20"/>
        </w:rPr>
        <w:t xml:space="preserve">del proyecto de </w:t>
      </w:r>
      <w:r w:rsidRPr="00A63F69">
        <w:rPr>
          <w:rFonts w:ascii="Cambria" w:hAnsi="Cambria"/>
          <w:i/>
          <w:sz w:val="20"/>
          <w:szCs w:val="20"/>
        </w:rPr>
        <w:t xml:space="preserve">lista </w:t>
      </w:r>
      <w:r w:rsidR="00CE069A" w:rsidRPr="00A63F69">
        <w:rPr>
          <w:rFonts w:ascii="Cambria" w:hAnsi="Cambria"/>
          <w:i/>
          <w:sz w:val="20"/>
          <w:szCs w:val="20"/>
        </w:rPr>
        <w:t xml:space="preserve">de buques </w:t>
      </w:r>
      <w:proofErr w:type="spellStart"/>
      <w:r w:rsidRPr="00A63F69">
        <w:rPr>
          <w:rFonts w:ascii="Cambria" w:hAnsi="Cambria"/>
          <w:i/>
          <w:sz w:val="20"/>
          <w:szCs w:val="20"/>
        </w:rPr>
        <w:t>IUU</w:t>
      </w:r>
      <w:proofErr w:type="spellEnd"/>
      <w:r w:rsidRPr="00A63F69">
        <w:rPr>
          <w:rFonts w:ascii="Cambria" w:hAnsi="Cambria"/>
          <w:i/>
          <w:sz w:val="20"/>
          <w:szCs w:val="20"/>
        </w:rPr>
        <w:t xml:space="preserve"> (</w:t>
      </w:r>
      <w:r w:rsidRPr="00A63F69">
        <w:rPr>
          <w:rFonts w:ascii="Cambria" w:hAnsi="Cambria"/>
          <w:b/>
          <w:i/>
          <w:sz w:val="20"/>
          <w:szCs w:val="20"/>
        </w:rPr>
        <w:t>PWG_405/2025</w:t>
      </w:r>
      <w:r w:rsidRPr="00A63F69">
        <w:rPr>
          <w:rFonts w:ascii="Cambria" w:hAnsi="Cambria"/>
          <w:i/>
          <w:sz w:val="20"/>
          <w:szCs w:val="20"/>
        </w:rPr>
        <w:t>).</w:t>
      </w:r>
      <w:r w:rsidRPr="00A63F69">
        <w:rPr>
          <w:rFonts w:ascii="Cambria" w:hAnsi="Cambria"/>
          <w:sz w:val="20"/>
          <w:szCs w:val="20"/>
        </w:rPr>
        <w:t> </w:t>
      </w:r>
    </w:p>
    <w:p w14:paraId="581B4697" w14:textId="77777777" w:rsidR="004F39B9" w:rsidRPr="00A63F69" w:rsidRDefault="004F39B9" w:rsidP="00A63F69">
      <w:pPr>
        <w:jc w:val="both"/>
        <w:textAlignment w:val="baseline"/>
        <w:rPr>
          <w:rFonts w:ascii="Cambria" w:hAnsi="Cambria" w:cs="Segoe UI"/>
          <w:bCs/>
          <w:sz w:val="20"/>
          <w:szCs w:val="20"/>
        </w:rPr>
      </w:pPr>
      <w:r w:rsidRPr="00A63F69">
        <w:rPr>
          <w:rFonts w:ascii="Cambria" w:hAnsi="Cambria"/>
          <w:bCs/>
          <w:sz w:val="20"/>
          <w:szCs w:val="20"/>
        </w:rPr>
        <w:t> </w:t>
      </w:r>
    </w:p>
    <w:p w14:paraId="296FF8BB" w14:textId="641A6F72"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17.</w:t>
      </w:r>
      <w:r w:rsidRPr="00A63F69">
        <w:rPr>
          <w:rFonts w:ascii="Cambria" w:hAnsi="Cambria"/>
          <w:bCs/>
          <w:sz w:val="20"/>
          <w:szCs w:val="20"/>
        </w:rPr>
        <w:tab/>
        <w:t>Simplificación de las medidas de conservación y ordenación </w:t>
      </w:r>
    </w:p>
    <w:p w14:paraId="47A5EAA9"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 </w:t>
      </w:r>
    </w:p>
    <w:p w14:paraId="43282F3C" w14:textId="653261CC"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La Secretaría, en consulta con el presidente de la Comisión, ha redactado el documento </w:t>
      </w:r>
      <w:r w:rsidRPr="00A63F69">
        <w:rPr>
          <w:rFonts w:ascii="Cambria" w:hAnsi="Cambria"/>
          <w:b/>
          <w:i/>
          <w:sz w:val="20"/>
          <w:szCs w:val="20"/>
        </w:rPr>
        <w:t>PLE_103_REV_1/2025</w:t>
      </w:r>
      <w:r w:rsidRPr="00A63F69">
        <w:rPr>
          <w:rFonts w:ascii="Cambria" w:hAnsi="Cambria"/>
          <w:i/>
          <w:sz w:val="20"/>
          <w:szCs w:val="20"/>
        </w:rPr>
        <w:t>.</w:t>
      </w:r>
      <w:r w:rsidRPr="00A63F69">
        <w:rPr>
          <w:rFonts w:ascii="Cambria" w:hAnsi="Cambria"/>
          <w:b/>
          <w:i/>
          <w:sz w:val="20"/>
          <w:szCs w:val="20"/>
        </w:rPr>
        <w:t> </w:t>
      </w:r>
      <w:r w:rsidRPr="00A63F69">
        <w:rPr>
          <w:rFonts w:ascii="Cambria" w:hAnsi="Cambria"/>
          <w:sz w:val="20"/>
          <w:szCs w:val="20"/>
        </w:rPr>
        <w:t> </w:t>
      </w:r>
    </w:p>
    <w:p w14:paraId="28E761A0" w14:textId="77777777" w:rsidR="00B05282" w:rsidRPr="00A63F69" w:rsidRDefault="00B05282" w:rsidP="00A63F69">
      <w:pPr>
        <w:ind w:left="435"/>
        <w:jc w:val="both"/>
        <w:textAlignment w:val="baseline"/>
        <w:rPr>
          <w:rFonts w:ascii="Cambria" w:hAnsi="Cambria" w:cs="Segoe UI"/>
          <w:sz w:val="20"/>
          <w:szCs w:val="20"/>
        </w:rPr>
      </w:pPr>
    </w:p>
    <w:p w14:paraId="77A8E277" w14:textId="727FB2E0"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18.</w:t>
      </w:r>
      <w:r w:rsidRPr="00A63F69">
        <w:rPr>
          <w:rFonts w:ascii="Cambria" w:hAnsi="Cambria"/>
          <w:bCs/>
          <w:sz w:val="20"/>
          <w:szCs w:val="20"/>
        </w:rPr>
        <w:tab/>
        <w:t>Reuniones intersesiones en 2026 </w:t>
      </w:r>
    </w:p>
    <w:p w14:paraId="2504EEFC" w14:textId="77777777" w:rsidR="004F39B9" w:rsidRPr="00A63F69" w:rsidRDefault="004F39B9" w:rsidP="00A63F69">
      <w:pPr>
        <w:jc w:val="both"/>
        <w:textAlignment w:val="baseline"/>
        <w:rPr>
          <w:rFonts w:ascii="Cambria" w:hAnsi="Cambria" w:cs="Segoe UI"/>
          <w:bCs/>
          <w:sz w:val="20"/>
          <w:szCs w:val="20"/>
        </w:rPr>
      </w:pPr>
      <w:r w:rsidRPr="00A63F69">
        <w:rPr>
          <w:rFonts w:ascii="Cambria" w:hAnsi="Cambria"/>
          <w:bCs/>
          <w:sz w:val="20"/>
          <w:szCs w:val="20"/>
        </w:rPr>
        <w:t> </w:t>
      </w:r>
    </w:p>
    <w:p w14:paraId="495107D9" w14:textId="5F810523" w:rsidR="004F39B9" w:rsidRPr="00A63F69" w:rsidRDefault="004F39B9" w:rsidP="00A63F69">
      <w:pPr>
        <w:ind w:left="420" w:hanging="15"/>
        <w:jc w:val="both"/>
        <w:textAlignment w:val="baseline"/>
        <w:rPr>
          <w:rFonts w:ascii="Cambria" w:hAnsi="Cambria" w:cs="Segoe UI"/>
          <w:bCs/>
          <w:sz w:val="20"/>
          <w:szCs w:val="20"/>
        </w:rPr>
      </w:pPr>
      <w:r w:rsidRPr="00A63F69">
        <w:rPr>
          <w:rFonts w:ascii="Cambria" w:hAnsi="Cambria"/>
          <w:bCs/>
          <w:i/>
          <w:sz w:val="20"/>
          <w:szCs w:val="20"/>
        </w:rPr>
        <w:t xml:space="preserve">La Comisión podría fijar las fechas y lugares de las reuniones intersesiones en 2026, </w:t>
      </w:r>
      <w:r w:rsidR="00CE069A" w:rsidRPr="00A63F69">
        <w:rPr>
          <w:rFonts w:ascii="Cambria" w:hAnsi="Cambria"/>
          <w:bCs/>
          <w:i/>
          <w:sz w:val="20"/>
          <w:szCs w:val="20"/>
        </w:rPr>
        <w:t xml:space="preserve">así como </w:t>
      </w:r>
      <w:r w:rsidRPr="00A63F69">
        <w:rPr>
          <w:rFonts w:ascii="Cambria" w:hAnsi="Cambria"/>
          <w:bCs/>
          <w:i/>
          <w:sz w:val="20"/>
          <w:szCs w:val="20"/>
        </w:rPr>
        <w:t xml:space="preserve">su formato (presencial, en línea o híbrido). </w:t>
      </w:r>
    </w:p>
    <w:p w14:paraId="44A6E28E" w14:textId="77777777" w:rsidR="004F39B9" w:rsidRPr="00A63F69" w:rsidRDefault="004F39B9" w:rsidP="00A63F69">
      <w:pPr>
        <w:ind w:left="435"/>
        <w:jc w:val="both"/>
        <w:textAlignment w:val="baseline"/>
        <w:rPr>
          <w:rFonts w:ascii="Cambria" w:hAnsi="Cambria" w:cs="Segoe UI"/>
          <w:bCs/>
          <w:sz w:val="20"/>
          <w:szCs w:val="20"/>
        </w:rPr>
      </w:pPr>
      <w:r w:rsidRPr="00A63F69">
        <w:rPr>
          <w:rFonts w:ascii="Cambria" w:hAnsi="Cambria"/>
          <w:bCs/>
          <w:sz w:val="20"/>
          <w:szCs w:val="20"/>
        </w:rPr>
        <w:t> </w:t>
      </w:r>
    </w:p>
    <w:p w14:paraId="514E2971" w14:textId="798D07B4"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19.</w:t>
      </w:r>
      <w:r w:rsidRPr="00A63F69">
        <w:rPr>
          <w:rFonts w:ascii="Cambria" w:hAnsi="Cambria"/>
          <w:bCs/>
          <w:sz w:val="20"/>
          <w:szCs w:val="20"/>
        </w:rPr>
        <w:tab/>
        <w:t>Elección del presidente y del primer y segundo vicepresidentes</w:t>
      </w:r>
    </w:p>
    <w:p w14:paraId="3E98B54F"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 </w:t>
      </w:r>
    </w:p>
    <w:p w14:paraId="037068B3" w14:textId="77777777" w:rsidR="004F39B9" w:rsidRPr="00A63F69" w:rsidRDefault="004F39B9" w:rsidP="00A63F69">
      <w:pPr>
        <w:ind w:left="420" w:hanging="15"/>
        <w:jc w:val="both"/>
        <w:textAlignment w:val="baseline"/>
        <w:rPr>
          <w:rFonts w:ascii="Cambria" w:hAnsi="Cambria" w:cs="Segoe UI"/>
          <w:bCs/>
          <w:sz w:val="20"/>
          <w:szCs w:val="20"/>
        </w:rPr>
      </w:pPr>
      <w:r w:rsidRPr="00A63F69">
        <w:rPr>
          <w:rFonts w:ascii="Cambria" w:hAnsi="Cambria"/>
          <w:bCs/>
          <w:i/>
          <w:sz w:val="20"/>
          <w:szCs w:val="20"/>
        </w:rPr>
        <w:t>Como es habitual en una reunión ordinaria, la Comisión debe elegir un presidente, un primer vicepresidente y un segundo vicepresidente.</w:t>
      </w:r>
      <w:r w:rsidRPr="00A63F69">
        <w:rPr>
          <w:rFonts w:ascii="Cambria" w:hAnsi="Cambria"/>
          <w:bCs/>
          <w:sz w:val="20"/>
          <w:szCs w:val="20"/>
        </w:rPr>
        <w:t> </w:t>
      </w:r>
    </w:p>
    <w:p w14:paraId="0A6D5C12" w14:textId="77777777" w:rsidR="004F39B9" w:rsidRPr="00A63F69" w:rsidRDefault="004F39B9" w:rsidP="00A63F69">
      <w:pPr>
        <w:jc w:val="both"/>
        <w:textAlignment w:val="baseline"/>
        <w:rPr>
          <w:rFonts w:ascii="Cambria" w:hAnsi="Cambria" w:cs="Segoe UI"/>
          <w:bCs/>
          <w:sz w:val="20"/>
          <w:szCs w:val="20"/>
        </w:rPr>
      </w:pPr>
      <w:r w:rsidRPr="00A63F69">
        <w:rPr>
          <w:rFonts w:ascii="Cambria" w:hAnsi="Cambria"/>
          <w:bCs/>
          <w:sz w:val="20"/>
          <w:szCs w:val="20"/>
        </w:rPr>
        <w:t> </w:t>
      </w:r>
    </w:p>
    <w:p w14:paraId="2071C521" w14:textId="326D8D36" w:rsidR="004F39B9" w:rsidRPr="00A63F69" w:rsidRDefault="002D7AD8" w:rsidP="00A63F69">
      <w:pPr>
        <w:ind w:left="420" w:hanging="420"/>
        <w:jc w:val="both"/>
        <w:textAlignment w:val="baseline"/>
        <w:rPr>
          <w:rFonts w:ascii="Cambria" w:hAnsi="Cambria" w:cs="Segoe UI"/>
          <w:bCs/>
          <w:sz w:val="20"/>
          <w:szCs w:val="20"/>
        </w:rPr>
      </w:pPr>
      <w:r w:rsidRPr="00A63F69">
        <w:rPr>
          <w:rFonts w:ascii="Cambria" w:hAnsi="Cambria"/>
          <w:bCs/>
          <w:sz w:val="20"/>
          <w:szCs w:val="20"/>
        </w:rPr>
        <w:t>20.</w:t>
      </w:r>
      <w:r w:rsidRPr="00A63F69">
        <w:rPr>
          <w:rFonts w:ascii="Cambria" w:hAnsi="Cambria"/>
          <w:bCs/>
          <w:sz w:val="20"/>
          <w:szCs w:val="20"/>
        </w:rPr>
        <w:tab/>
        <w:t>Otros asuntos </w:t>
      </w:r>
    </w:p>
    <w:p w14:paraId="47A44B5E" w14:textId="77777777" w:rsidR="004F39B9" w:rsidRPr="00A63F69" w:rsidRDefault="004F39B9" w:rsidP="00A63F69">
      <w:pPr>
        <w:ind w:left="330" w:hanging="330"/>
        <w:jc w:val="both"/>
        <w:textAlignment w:val="baseline"/>
        <w:rPr>
          <w:rFonts w:ascii="Cambria" w:hAnsi="Cambria" w:cs="Segoe UI"/>
          <w:bCs/>
          <w:sz w:val="20"/>
          <w:szCs w:val="20"/>
        </w:rPr>
      </w:pPr>
      <w:r w:rsidRPr="00A63F69">
        <w:rPr>
          <w:rFonts w:ascii="Cambria" w:hAnsi="Cambria"/>
          <w:bCs/>
          <w:sz w:val="20"/>
          <w:szCs w:val="20"/>
        </w:rPr>
        <w:t> </w:t>
      </w:r>
    </w:p>
    <w:p w14:paraId="04EC40D3" w14:textId="77777777" w:rsidR="004F39B9"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Las Partes contratantes presentes en la reunión o el presidente, en caso necesario, podrán plantear otras cuestiones. Sin embargo, cuando sea posible, las CPC deberían informar al presidente antes de la reunión de cualquier otro asunto que deseen plantear, y presentar con antelación cualquier documento relacionado.</w:t>
      </w:r>
      <w:r w:rsidRPr="00A63F69">
        <w:rPr>
          <w:rFonts w:ascii="Cambria" w:hAnsi="Cambria"/>
          <w:sz w:val="20"/>
          <w:szCs w:val="20"/>
        </w:rPr>
        <w:t> </w:t>
      </w:r>
    </w:p>
    <w:p w14:paraId="48D3DEDA" w14:textId="08ACF8B5" w:rsidR="004F39B9" w:rsidRPr="00A63F69" w:rsidRDefault="004F39B9" w:rsidP="00A63F69">
      <w:pPr>
        <w:ind w:left="330" w:hanging="330"/>
        <w:jc w:val="both"/>
        <w:textAlignment w:val="baseline"/>
        <w:rPr>
          <w:rFonts w:ascii="Cambria" w:hAnsi="Cambria" w:cs="Segoe UI"/>
          <w:sz w:val="20"/>
          <w:szCs w:val="20"/>
        </w:rPr>
      </w:pPr>
      <w:r w:rsidRPr="00A63F69">
        <w:rPr>
          <w:rFonts w:ascii="Cambria" w:hAnsi="Cambria"/>
          <w:sz w:val="20"/>
          <w:szCs w:val="20"/>
        </w:rPr>
        <w:t>  </w:t>
      </w:r>
    </w:p>
    <w:p w14:paraId="031923FF" w14:textId="6ECDE77B" w:rsidR="004F39B9" w:rsidRPr="00A63F69" w:rsidRDefault="002D7AD8" w:rsidP="00A63F69">
      <w:pPr>
        <w:ind w:left="420" w:hanging="420"/>
        <w:jc w:val="both"/>
        <w:textAlignment w:val="baseline"/>
        <w:rPr>
          <w:rFonts w:ascii="Cambria" w:hAnsi="Cambria" w:cs="Segoe UI"/>
          <w:bCs/>
          <w:sz w:val="20"/>
          <w:szCs w:val="20"/>
        </w:rPr>
      </w:pPr>
      <w:r w:rsidRPr="00A63F69">
        <w:rPr>
          <w:rFonts w:ascii="Cambria" w:hAnsi="Cambria"/>
          <w:bCs/>
          <w:sz w:val="20"/>
          <w:szCs w:val="20"/>
        </w:rPr>
        <w:t>21.</w:t>
      </w:r>
      <w:r w:rsidRPr="00A63F69">
        <w:rPr>
          <w:rFonts w:ascii="Cambria" w:hAnsi="Cambria"/>
          <w:bCs/>
          <w:sz w:val="20"/>
          <w:szCs w:val="20"/>
        </w:rPr>
        <w:tab/>
        <w:t>Fecha y lugar de la próxima reunión de la Comisión </w:t>
      </w:r>
    </w:p>
    <w:p w14:paraId="76869618"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18EB6782" w14:textId="6D440AD2" w:rsidR="00821CFF"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La Comisión debe</w:t>
      </w:r>
      <w:r w:rsidR="00CE069A" w:rsidRPr="00A63F69">
        <w:rPr>
          <w:rFonts w:ascii="Cambria" w:hAnsi="Cambria"/>
          <w:i/>
          <w:sz w:val="20"/>
          <w:szCs w:val="20"/>
        </w:rPr>
        <w:t>ría</w:t>
      </w:r>
      <w:r w:rsidRPr="00A63F69">
        <w:rPr>
          <w:rFonts w:ascii="Cambria" w:hAnsi="Cambria"/>
          <w:i/>
          <w:sz w:val="20"/>
          <w:szCs w:val="20"/>
        </w:rPr>
        <w:t xml:space="preserve"> determinar las fechas de la próxima reunión anual,</w:t>
      </w:r>
      <w:r w:rsidR="00CE069A" w:rsidRPr="00A63F69">
        <w:rPr>
          <w:rFonts w:ascii="Cambria" w:hAnsi="Cambria"/>
          <w:i/>
          <w:sz w:val="20"/>
          <w:szCs w:val="20"/>
        </w:rPr>
        <w:t>.</w:t>
      </w:r>
    </w:p>
    <w:p w14:paraId="3DAFBEB8" w14:textId="6E3B2360" w:rsidR="004F39B9" w:rsidRPr="00A63F69" w:rsidRDefault="004F39B9" w:rsidP="00A63F69">
      <w:pPr>
        <w:ind w:left="420"/>
        <w:jc w:val="both"/>
        <w:textAlignment w:val="baseline"/>
        <w:rPr>
          <w:rFonts w:ascii="Cambria" w:hAnsi="Cambria" w:cs="Segoe UI"/>
          <w:sz w:val="20"/>
          <w:szCs w:val="20"/>
        </w:rPr>
      </w:pPr>
    </w:p>
    <w:p w14:paraId="1A3473A9" w14:textId="6DC90FA9" w:rsidR="004F39B9" w:rsidRPr="00A63F69" w:rsidRDefault="002D7AD8" w:rsidP="00A63F69">
      <w:pPr>
        <w:ind w:left="420" w:hanging="420"/>
        <w:jc w:val="both"/>
        <w:textAlignment w:val="baseline"/>
        <w:rPr>
          <w:rFonts w:ascii="Cambria" w:hAnsi="Cambria" w:cs="Segoe UI"/>
          <w:bCs/>
          <w:sz w:val="20"/>
          <w:szCs w:val="20"/>
        </w:rPr>
      </w:pPr>
      <w:r w:rsidRPr="00A63F69">
        <w:rPr>
          <w:rFonts w:ascii="Cambria" w:hAnsi="Cambria"/>
          <w:bCs/>
          <w:sz w:val="20"/>
          <w:szCs w:val="20"/>
        </w:rPr>
        <w:t>22.</w:t>
      </w:r>
      <w:r w:rsidRPr="00A63F69">
        <w:rPr>
          <w:rFonts w:ascii="Cambria" w:hAnsi="Cambria"/>
          <w:bCs/>
          <w:sz w:val="20"/>
          <w:szCs w:val="20"/>
        </w:rPr>
        <w:tab/>
        <w:t>Adopción del informe y clausura </w:t>
      </w:r>
    </w:p>
    <w:p w14:paraId="6945D390"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36D22BDB" w14:textId="59F486AC" w:rsidR="004F39B9"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En el momento de redactar este documento</w:t>
      </w:r>
      <w:r w:rsidR="00F9304F" w:rsidRPr="00A63F69">
        <w:rPr>
          <w:rFonts w:ascii="Cambria" w:hAnsi="Cambria"/>
          <w:i/>
          <w:sz w:val="20"/>
          <w:szCs w:val="20"/>
        </w:rPr>
        <w:t xml:space="preserve">, </w:t>
      </w:r>
      <w:r w:rsidRPr="00A63F69">
        <w:rPr>
          <w:rFonts w:ascii="Cambria" w:hAnsi="Cambria"/>
          <w:i/>
          <w:sz w:val="20"/>
          <w:szCs w:val="20"/>
        </w:rPr>
        <w:t>se había</w:t>
      </w:r>
      <w:r w:rsidR="00F9304F" w:rsidRPr="00A63F69">
        <w:rPr>
          <w:rFonts w:ascii="Cambria" w:hAnsi="Cambria"/>
          <w:i/>
          <w:sz w:val="20"/>
          <w:szCs w:val="20"/>
        </w:rPr>
        <w:t>n</w:t>
      </w:r>
      <w:r w:rsidRPr="00A63F69">
        <w:rPr>
          <w:rFonts w:ascii="Cambria" w:hAnsi="Cambria"/>
          <w:i/>
          <w:sz w:val="20"/>
          <w:szCs w:val="20"/>
        </w:rPr>
        <w:t xml:space="preserve"> recibido </w:t>
      </w:r>
      <w:r w:rsidR="00CE069A" w:rsidRPr="00A63F69">
        <w:rPr>
          <w:rFonts w:ascii="Cambria" w:hAnsi="Cambria"/>
          <w:i/>
          <w:sz w:val="20"/>
          <w:szCs w:val="20"/>
        </w:rPr>
        <w:t>10</w:t>
      </w:r>
      <w:r w:rsidR="00F9304F" w:rsidRPr="00A63F69">
        <w:rPr>
          <w:rFonts w:ascii="Cambria" w:hAnsi="Cambria"/>
          <w:i/>
          <w:sz w:val="20"/>
          <w:szCs w:val="20"/>
        </w:rPr>
        <w:t xml:space="preserve"> declaraciones </w:t>
      </w:r>
      <w:r w:rsidRPr="00A63F69">
        <w:rPr>
          <w:rFonts w:ascii="Cambria" w:hAnsi="Cambria"/>
          <w:i/>
          <w:sz w:val="20"/>
          <w:szCs w:val="20"/>
        </w:rPr>
        <w:t>de posición para la</w:t>
      </w:r>
      <w:r w:rsidR="00F9304F" w:rsidRPr="00A63F69">
        <w:rPr>
          <w:rFonts w:ascii="Cambria" w:hAnsi="Cambria"/>
          <w:i/>
          <w:sz w:val="20"/>
          <w:szCs w:val="20"/>
        </w:rPr>
        <w:t xml:space="preserve">s sesiones plenarias, </w:t>
      </w:r>
      <w:r w:rsidRPr="00A63F69">
        <w:rPr>
          <w:rFonts w:ascii="Cambria" w:hAnsi="Cambria"/>
          <w:i/>
          <w:sz w:val="20"/>
          <w:szCs w:val="20"/>
        </w:rPr>
        <w:t>que se ha</w:t>
      </w:r>
      <w:r w:rsidR="00F9304F" w:rsidRPr="00A63F69">
        <w:rPr>
          <w:rFonts w:ascii="Cambria" w:hAnsi="Cambria"/>
          <w:i/>
          <w:sz w:val="20"/>
          <w:szCs w:val="20"/>
        </w:rPr>
        <w:t>n</w:t>
      </w:r>
      <w:r w:rsidRPr="00A63F69">
        <w:rPr>
          <w:rFonts w:ascii="Cambria" w:hAnsi="Cambria"/>
          <w:i/>
          <w:sz w:val="20"/>
          <w:szCs w:val="20"/>
        </w:rPr>
        <w:t xml:space="preserve"> publicado como </w:t>
      </w:r>
      <w:r w:rsidR="00F9304F" w:rsidRPr="00A63F69">
        <w:rPr>
          <w:rFonts w:ascii="Cambria" w:eastAsia="Calibri" w:hAnsi="Cambria" w:cs="Calibri"/>
          <w:b/>
          <w:bCs/>
          <w:sz w:val="20"/>
          <w:szCs w:val="20"/>
          <w:lang w:eastAsia="es-ES"/>
        </w:rPr>
        <w:t>PLE_110/2025,</w:t>
      </w:r>
      <w:r w:rsidR="00F9304F" w:rsidRPr="00A63F69">
        <w:rPr>
          <w:rFonts w:ascii="Cambria" w:eastAsia="Calibri" w:hAnsi="Cambria" w:cs="Calibri"/>
          <w:sz w:val="20"/>
          <w:szCs w:val="20"/>
          <w:lang w:eastAsia="es-ES"/>
        </w:rPr>
        <w:t xml:space="preserve"> </w:t>
      </w:r>
      <w:r w:rsidR="00F9304F" w:rsidRPr="00A63F69">
        <w:rPr>
          <w:rFonts w:ascii="Cambria" w:eastAsia="Calibri" w:hAnsi="Cambria" w:cs="Calibri"/>
          <w:b/>
          <w:bCs/>
          <w:sz w:val="20"/>
          <w:szCs w:val="20"/>
          <w:lang w:eastAsia="es-ES"/>
        </w:rPr>
        <w:t xml:space="preserve">PLE_112/2025, </w:t>
      </w:r>
      <w:r w:rsidR="00F9304F" w:rsidRPr="00A63F69">
        <w:rPr>
          <w:rFonts w:ascii="Cambria" w:hAnsi="Cambria"/>
          <w:b/>
          <w:sz w:val="20"/>
          <w:szCs w:val="20"/>
        </w:rPr>
        <w:t>PLE_117</w:t>
      </w:r>
      <w:r w:rsidR="00F9304F" w:rsidRPr="00A63F69">
        <w:rPr>
          <w:rFonts w:ascii="Cambria" w:eastAsia="Calibri" w:hAnsi="Cambria" w:cs="Calibri"/>
          <w:b/>
          <w:bCs/>
          <w:sz w:val="20"/>
          <w:szCs w:val="20"/>
          <w:lang w:eastAsia="es-ES"/>
        </w:rPr>
        <w:t>/2025</w:t>
      </w:r>
      <w:r w:rsidR="00F9304F" w:rsidRPr="00A63F69">
        <w:rPr>
          <w:rFonts w:ascii="Cambria" w:hAnsi="Cambria"/>
          <w:b/>
          <w:sz w:val="20"/>
          <w:szCs w:val="20"/>
        </w:rPr>
        <w:t>, PLE_120</w:t>
      </w:r>
      <w:r w:rsidR="00F9304F" w:rsidRPr="00A63F69">
        <w:rPr>
          <w:rFonts w:ascii="Cambria" w:eastAsia="Calibri" w:hAnsi="Cambria" w:cs="Calibri"/>
          <w:b/>
          <w:bCs/>
          <w:sz w:val="20"/>
          <w:szCs w:val="20"/>
          <w:lang w:eastAsia="es-ES"/>
        </w:rPr>
        <w:t>/2025</w:t>
      </w:r>
      <w:r w:rsidR="00F9304F" w:rsidRPr="00A63F69">
        <w:rPr>
          <w:rFonts w:ascii="Cambria" w:hAnsi="Cambria"/>
          <w:b/>
          <w:sz w:val="20"/>
          <w:szCs w:val="20"/>
        </w:rPr>
        <w:t>, PLE</w:t>
      </w:r>
      <w:r w:rsidR="008C55CA" w:rsidRPr="00A63F69">
        <w:rPr>
          <w:rFonts w:ascii="Cambria" w:hAnsi="Cambria"/>
          <w:b/>
          <w:sz w:val="20"/>
          <w:szCs w:val="20"/>
        </w:rPr>
        <w:t>_</w:t>
      </w:r>
      <w:r w:rsidR="00F9304F" w:rsidRPr="00A63F69">
        <w:rPr>
          <w:rFonts w:ascii="Cambria" w:hAnsi="Cambria"/>
          <w:b/>
          <w:sz w:val="20"/>
          <w:szCs w:val="20"/>
        </w:rPr>
        <w:t>121</w:t>
      </w:r>
      <w:r w:rsidR="00F9304F" w:rsidRPr="00A63F69">
        <w:rPr>
          <w:rFonts w:ascii="Cambria" w:eastAsia="Calibri" w:hAnsi="Cambria" w:cs="Calibri"/>
          <w:b/>
          <w:bCs/>
          <w:sz w:val="20"/>
          <w:szCs w:val="20"/>
          <w:lang w:eastAsia="es-ES"/>
        </w:rPr>
        <w:t>/2025</w:t>
      </w:r>
      <w:r w:rsidR="00F9304F" w:rsidRPr="00A63F69">
        <w:rPr>
          <w:rFonts w:ascii="Cambria" w:hAnsi="Cambria"/>
          <w:b/>
          <w:sz w:val="20"/>
          <w:szCs w:val="20"/>
        </w:rPr>
        <w:t>, PLE</w:t>
      </w:r>
      <w:r w:rsidR="008C55CA" w:rsidRPr="00A63F69">
        <w:rPr>
          <w:rFonts w:ascii="Cambria" w:hAnsi="Cambria"/>
          <w:b/>
          <w:sz w:val="20"/>
          <w:szCs w:val="20"/>
        </w:rPr>
        <w:t>_</w:t>
      </w:r>
      <w:r w:rsidR="00F9304F" w:rsidRPr="00A63F69">
        <w:rPr>
          <w:rFonts w:ascii="Cambria" w:hAnsi="Cambria"/>
          <w:b/>
          <w:sz w:val="20"/>
          <w:szCs w:val="20"/>
        </w:rPr>
        <w:t>122</w:t>
      </w:r>
      <w:r w:rsidR="00F9304F" w:rsidRPr="00A63F69">
        <w:rPr>
          <w:rFonts w:ascii="Cambria" w:eastAsia="Calibri" w:hAnsi="Cambria" w:cs="Calibri"/>
          <w:b/>
          <w:bCs/>
          <w:sz w:val="20"/>
          <w:szCs w:val="20"/>
          <w:lang w:eastAsia="es-ES"/>
        </w:rPr>
        <w:t>/2025</w:t>
      </w:r>
      <w:r w:rsidR="00F9304F" w:rsidRPr="00A63F69">
        <w:rPr>
          <w:rFonts w:ascii="Cambria" w:hAnsi="Cambria"/>
          <w:b/>
          <w:sz w:val="20"/>
          <w:szCs w:val="20"/>
        </w:rPr>
        <w:t xml:space="preserve">, </w:t>
      </w:r>
      <w:r w:rsidR="00CE069A" w:rsidRPr="00A63F69">
        <w:rPr>
          <w:rFonts w:ascii="Cambria" w:hAnsi="Cambria"/>
          <w:b/>
          <w:sz w:val="20"/>
          <w:szCs w:val="20"/>
        </w:rPr>
        <w:t>PLE</w:t>
      </w:r>
      <w:r w:rsidR="008C55CA" w:rsidRPr="00A63F69">
        <w:rPr>
          <w:rFonts w:ascii="Cambria" w:hAnsi="Cambria"/>
          <w:b/>
          <w:sz w:val="20"/>
          <w:szCs w:val="20"/>
        </w:rPr>
        <w:t>_</w:t>
      </w:r>
      <w:r w:rsidR="00CE069A" w:rsidRPr="00A63F69">
        <w:rPr>
          <w:rFonts w:ascii="Cambria" w:hAnsi="Cambria"/>
          <w:b/>
          <w:sz w:val="20"/>
          <w:szCs w:val="20"/>
        </w:rPr>
        <w:t>123</w:t>
      </w:r>
      <w:r w:rsidR="00CE069A" w:rsidRPr="00A63F69">
        <w:rPr>
          <w:rFonts w:ascii="Cambria" w:eastAsia="Calibri" w:hAnsi="Cambria" w:cs="Calibri"/>
          <w:b/>
          <w:bCs/>
          <w:sz w:val="20"/>
          <w:szCs w:val="20"/>
          <w:lang w:eastAsia="es-ES"/>
        </w:rPr>
        <w:t>/2025</w:t>
      </w:r>
      <w:r w:rsidR="00CE069A" w:rsidRPr="00A63F69">
        <w:rPr>
          <w:rFonts w:ascii="Cambria" w:hAnsi="Cambria"/>
          <w:b/>
          <w:sz w:val="20"/>
          <w:szCs w:val="20"/>
        </w:rPr>
        <w:t xml:space="preserve">, </w:t>
      </w:r>
      <w:r w:rsidR="00F9304F" w:rsidRPr="00A63F69">
        <w:rPr>
          <w:rFonts w:ascii="Cambria" w:hAnsi="Cambria"/>
          <w:b/>
          <w:bCs/>
          <w:sz w:val="20"/>
          <w:szCs w:val="20"/>
        </w:rPr>
        <w:t>PLE</w:t>
      </w:r>
      <w:r w:rsidR="008C55CA" w:rsidRPr="00A63F69">
        <w:rPr>
          <w:rFonts w:ascii="Cambria" w:hAnsi="Cambria"/>
          <w:b/>
          <w:bCs/>
          <w:sz w:val="20"/>
          <w:szCs w:val="20"/>
        </w:rPr>
        <w:t>_</w:t>
      </w:r>
      <w:r w:rsidR="00F9304F" w:rsidRPr="00A63F69">
        <w:rPr>
          <w:rFonts w:ascii="Cambria" w:hAnsi="Cambria"/>
          <w:b/>
          <w:bCs/>
          <w:sz w:val="20"/>
          <w:szCs w:val="20"/>
        </w:rPr>
        <w:t>124</w:t>
      </w:r>
      <w:r w:rsidR="00F9304F" w:rsidRPr="00A63F69">
        <w:rPr>
          <w:rFonts w:ascii="Cambria" w:eastAsia="Calibri" w:hAnsi="Cambria" w:cs="Calibri"/>
          <w:b/>
          <w:bCs/>
          <w:sz w:val="20"/>
          <w:szCs w:val="20"/>
          <w:lang w:eastAsia="es-ES"/>
        </w:rPr>
        <w:t>/2025</w:t>
      </w:r>
      <w:r w:rsidR="00CE069A" w:rsidRPr="00A63F69">
        <w:rPr>
          <w:rFonts w:ascii="Cambria" w:hAnsi="Cambria"/>
          <w:b/>
          <w:bCs/>
          <w:sz w:val="20"/>
          <w:szCs w:val="20"/>
        </w:rPr>
        <w:t xml:space="preserve">, </w:t>
      </w:r>
      <w:r w:rsidR="00F9304F" w:rsidRPr="00A63F69">
        <w:rPr>
          <w:rFonts w:ascii="Cambria" w:hAnsi="Cambria"/>
          <w:b/>
          <w:bCs/>
          <w:sz w:val="20"/>
          <w:szCs w:val="20"/>
        </w:rPr>
        <w:t>PLE</w:t>
      </w:r>
      <w:r w:rsidR="008C55CA" w:rsidRPr="00A63F69">
        <w:rPr>
          <w:rFonts w:ascii="Cambria" w:hAnsi="Cambria"/>
          <w:b/>
          <w:bCs/>
          <w:sz w:val="20"/>
          <w:szCs w:val="20"/>
        </w:rPr>
        <w:t>_</w:t>
      </w:r>
      <w:r w:rsidR="00F9304F" w:rsidRPr="00A63F69">
        <w:rPr>
          <w:rFonts w:ascii="Cambria" w:hAnsi="Cambria"/>
          <w:b/>
          <w:bCs/>
          <w:sz w:val="20"/>
          <w:szCs w:val="20"/>
        </w:rPr>
        <w:t>125</w:t>
      </w:r>
      <w:r w:rsidR="00F9304F" w:rsidRPr="00A63F69">
        <w:rPr>
          <w:rFonts w:ascii="Cambria" w:eastAsia="Calibri" w:hAnsi="Cambria" w:cs="Calibri"/>
          <w:b/>
          <w:bCs/>
          <w:sz w:val="20"/>
          <w:szCs w:val="20"/>
          <w:lang w:eastAsia="es-ES"/>
        </w:rPr>
        <w:t>/2025</w:t>
      </w:r>
      <w:r w:rsidR="00CE069A" w:rsidRPr="00A63F69">
        <w:rPr>
          <w:rFonts w:ascii="Cambria" w:eastAsia="Calibri" w:hAnsi="Cambria" w:cs="Calibri"/>
          <w:b/>
          <w:bCs/>
          <w:sz w:val="20"/>
          <w:szCs w:val="20"/>
          <w:lang w:eastAsia="es-ES"/>
        </w:rPr>
        <w:t xml:space="preserve"> </w:t>
      </w:r>
      <w:r w:rsidR="00CE069A" w:rsidRPr="00A63F69">
        <w:rPr>
          <w:rFonts w:ascii="Cambria" w:eastAsia="Calibri" w:hAnsi="Cambria" w:cs="Calibri"/>
          <w:sz w:val="20"/>
          <w:szCs w:val="20"/>
          <w:lang w:eastAsia="es-ES"/>
        </w:rPr>
        <w:t>y</w:t>
      </w:r>
      <w:r w:rsidR="00CE069A" w:rsidRPr="00A63F69">
        <w:rPr>
          <w:rFonts w:ascii="Cambria" w:eastAsia="Calibri" w:hAnsi="Cambria" w:cs="Calibri"/>
          <w:b/>
          <w:bCs/>
          <w:sz w:val="20"/>
          <w:szCs w:val="20"/>
          <w:lang w:eastAsia="es-ES"/>
        </w:rPr>
        <w:t xml:space="preserve"> </w:t>
      </w:r>
      <w:r w:rsidR="00CE069A" w:rsidRPr="00A63F69">
        <w:rPr>
          <w:rFonts w:ascii="Cambria" w:hAnsi="Cambria"/>
          <w:b/>
          <w:sz w:val="20"/>
          <w:szCs w:val="20"/>
        </w:rPr>
        <w:t>PLE</w:t>
      </w:r>
      <w:r w:rsidR="008C55CA" w:rsidRPr="00A63F69">
        <w:rPr>
          <w:rFonts w:ascii="Cambria" w:hAnsi="Cambria"/>
          <w:b/>
          <w:sz w:val="20"/>
          <w:szCs w:val="20"/>
        </w:rPr>
        <w:t>_</w:t>
      </w:r>
      <w:r w:rsidR="00CE069A" w:rsidRPr="00A63F69">
        <w:rPr>
          <w:rFonts w:ascii="Cambria" w:hAnsi="Cambria"/>
          <w:b/>
          <w:sz w:val="20"/>
          <w:szCs w:val="20"/>
        </w:rPr>
        <w:t>126</w:t>
      </w:r>
      <w:r w:rsidR="00CE069A" w:rsidRPr="00A63F69">
        <w:rPr>
          <w:rFonts w:ascii="Cambria" w:eastAsia="Calibri" w:hAnsi="Cambria" w:cs="Calibri"/>
          <w:b/>
          <w:bCs/>
          <w:sz w:val="20"/>
          <w:szCs w:val="20"/>
          <w:lang w:eastAsia="es-ES"/>
        </w:rPr>
        <w:t>/2025</w:t>
      </w:r>
      <w:r w:rsidRPr="00A63F69">
        <w:rPr>
          <w:rFonts w:ascii="Cambria" w:hAnsi="Cambria"/>
          <w:bCs/>
          <w:i/>
          <w:sz w:val="20"/>
          <w:szCs w:val="20"/>
        </w:rPr>
        <w:t>.</w:t>
      </w:r>
      <w:r w:rsidRPr="00A63F69">
        <w:rPr>
          <w:rFonts w:ascii="Cambria" w:hAnsi="Cambria"/>
          <w:i/>
          <w:sz w:val="20"/>
          <w:szCs w:val="20"/>
        </w:rPr>
        <w:t xml:space="preserve"> Las declaraciones adicionales se publicarán a medida que vayan llegando.</w:t>
      </w:r>
      <w:r w:rsidRPr="00A63F69">
        <w:rPr>
          <w:rFonts w:ascii="Cambria" w:hAnsi="Cambria"/>
          <w:sz w:val="20"/>
          <w:szCs w:val="20"/>
        </w:rPr>
        <w:t> </w:t>
      </w:r>
    </w:p>
    <w:p w14:paraId="37E943A8"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337D44A0" w14:textId="77777777" w:rsidR="00B05282" w:rsidRPr="00A63F69" w:rsidRDefault="00B05282" w:rsidP="00A63F69">
      <w:pPr>
        <w:jc w:val="both"/>
        <w:textAlignment w:val="baseline"/>
        <w:rPr>
          <w:rFonts w:ascii="Cambria" w:hAnsi="Cambria" w:cs="Segoe UI"/>
          <w:b/>
          <w:bCs/>
          <w:sz w:val="20"/>
          <w:szCs w:val="20"/>
        </w:rPr>
      </w:pPr>
    </w:p>
    <w:p w14:paraId="4A6BD19B" w14:textId="77777777" w:rsidR="009B2781" w:rsidRPr="00A63F69" w:rsidRDefault="009B2781" w:rsidP="00A63F69">
      <w:pPr>
        <w:jc w:val="both"/>
        <w:textAlignment w:val="baseline"/>
        <w:rPr>
          <w:rFonts w:ascii="Cambria" w:hAnsi="Cambria" w:cs="Segoe UI"/>
          <w:b/>
          <w:bCs/>
          <w:sz w:val="20"/>
          <w:szCs w:val="20"/>
        </w:rPr>
      </w:pPr>
    </w:p>
    <w:p w14:paraId="5BEAD901"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32FC252B" w14:textId="5B93EB01" w:rsidR="004F39B9" w:rsidRPr="00A63F69" w:rsidRDefault="004F39B9" w:rsidP="00A63F69">
      <w:pPr>
        <w:spacing w:after="160" w:line="259" w:lineRule="auto"/>
        <w:jc w:val="both"/>
        <w:rPr>
          <w:rFonts w:ascii="Cambria" w:hAnsi="Cambria"/>
          <w:b/>
          <w:sz w:val="20"/>
          <w:szCs w:val="20"/>
        </w:rPr>
      </w:pPr>
    </w:p>
    <w:p w14:paraId="1D3CB5F1" w14:textId="77777777" w:rsidR="00821CFF" w:rsidRPr="00A63F69" w:rsidRDefault="00821CFF" w:rsidP="00A63F69">
      <w:pPr>
        <w:spacing w:after="160" w:line="259" w:lineRule="auto"/>
        <w:jc w:val="both"/>
        <w:rPr>
          <w:rFonts w:ascii="Cambria" w:hAnsi="Cambria"/>
          <w:b/>
          <w:sz w:val="20"/>
          <w:szCs w:val="20"/>
        </w:rPr>
      </w:pPr>
      <w:r w:rsidRPr="00A63F69">
        <w:rPr>
          <w:rFonts w:ascii="Cambria" w:hAnsi="Cambria"/>
          <w:sz w:val="20"/>
          <w:szCs w:val="20"/>
        </w:rPr>
        <w:br w:type="page"/>
      </w:r>
    </w:p>
    <w:p w14:paraId="24D1C513" w14:textId="77777777" w:rsidR="000A777B" w:rsidRPr="00A63F69" w:rsidRDefault="000A777B" w:rsidP="00A63F69">
      <w:pPr>
        <w:jc w:val="both"/>
        <w:rPr>
          <w:rFonts w:ascii="Cambria" w:hAnsi="Cambria"/>
          <w:b/>
          <w:bCs/>
          <w:sz w:val="20"/>
          <w:szCs w:val="20"/>
        </w:rPr>
      </w:pPr>
    </w:p>
    <w:p w14:paraId="5A90B6C5" w14:textId="4CFD19C0" w:rsidR="00743EF7" w:rsidRPr="00A63F69" w:rsidRDefault="00743EF7" w:rsidP="00A63F69">
      <w:pPr>
        <w:jc w:val="center"/>
        <w:rPr>
          <w:rFonts w:ascii="Cambria" w:hAnsi="Cambria"/>
          <w:b/>
          <w:bCs/>
          <w:sz w:val="20"/>
          <w:szCs w:val="20"/>
        </w:rPr>
      </w:pPr>
      <w:r w:rsidRPr="00A63F69">
        <w:rPr>
          <w:rFonts w:ascii="Cambria" w:hAnsi="Cambria"/>
          <w:b/>
          <w:sz w:val="20"/>
          <w:szCs w:val="20"/>
        </w:rPr>
        <w:t>Comité de cumplimiento de las medidas de conservación y ordenación de ICCAT (COC)</w:t>
      </w:r>
    </w:p>
    <w:p w14:paraId="7CC09B86" w14:textId="77777777" w:rsidR="00743EF7" w:rsidRPr="00A63F69" w:rsidRDefault="00743EF7" w:rsidP="00A63F69">
      <w:pPr>
        <w:jc w:val="both"/>
        <w:rPr>
          <w:rFonts w:ascii="Cambria" w:hAnsi="Cambria"/>
          <w:b/>
          <w:bCs/>
          <w:sz w:val="20"/>
          <w:szCs w:val="20"/>
        </w:rPr>
      </w:pPr>
    </w:p>
    <w:p w14:paraId="041B5C78" w14:textId="77777777" w:rsidR="00743EF7" w:rsidRPr="00A63F69" w:rsidRDefault="00743EF7" w:rsidP="00A63F69">
      <w:pPr>
        <w:jc w:val="both"/>
        <w:rPr>
          <w:rFonts w:ascii="Cambria" w:hAnsi="Cambria"/>
          <w:b/>
          <w:bCs/>
          <w:sz w:val="20"/>
          <w:szCs w:val="20"/>
        </w:rPr>
      </w:pPr>
    </w:p>
    <w:p w14:paraId="28B71394"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Apertura de la reunión</w:t>
      </w:r>
    </w:p>
    <w:p w14:paraId="1276E026" w14:textId="77777777" w:rsidR="00743EF7" w:rsidRPr="00A63F69" w:rsidRDefault="00743EF7" w:rsidP="00A63F69">
      <w:pPr>
        <w:tabs>
          <w:tab w:val="left" w:pos="426"/>
        </w:tabs>
        <w:jc w:val="both"/>
        <w:rPr>
          <w:rFonts w:ascii="Cambria" w:hAnsi="Cambria"/>
          <w:sz w:val="20"/>
          <w:szCs w:val="20"/>
          <w:lang w:val="en-GB"/>
        </w:rPr>
      </w:pPr>
    </w:p>
    <w:p w14:paraId="7581BAF0" w14:textId="77777777" w:rsidR="00743EF7" w:rsidRPr="00A63F69" w:rsidRDefault="00743EF7" w:rsidP="00A63F69">
      <w:pPr>
        <w:ind w:left="360"/>
        <w:jc w:val="both"/>
        <w:rPr>
          <w:rFonts w:ascii="Cambria" w:hAnsi="Cambria"/>
          <w:sz w:val="20"/>
          <w:szCs w:val="20"/>
        </w:rPr>
      </w:pPr>
      <w:r w:rsidRPr="00A63F69">
        <w:rPr>
          <w:rFonts w:ascii="Cambria" w:hAnsi="Cambria"/>
          <w:i/>
          <w:sz w:val="20"/>
          <w:szCs w:val="20"/>
        </w:rPr>
        <w:t>La reunión será inaugurada por el presidente del Comité de Cumplimiento, Sr. Derek Campbell (Estados Unidos).</w:t>
      </w:r>
    </w:p>
    <w:p w14:paraId="0CED7EAE" w14:textId="77777777" w:rsidR="00743EF7" w:rsidRPr="00A63F69" w:rsidRDefault="00743EF7" w:rsidP="00A63F69">
      <w:pPr>
        <w:ind w:left="360"/>
        <w:jc w:val="both"/>
        <w:rPr>
          <w:rFonts w:ascii="Cambria" w:hAnsi="Cambria"/>
          <w:sz w:val="20"/>
          <w:szCs w:val="20"/>
        </w:rPr>
      </w:pPr>
    </w:p>
    <w:p w14:paraId="0E21857F"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Nombramiento del relator</w:t>
      </w:r>
    </w:p>
    <w:p w14:paraId="370B1A07" w14:textId="77777777" w:rsidR="00743EF7" w:rsidRPr="00A63F69" w:rsidRDefault="00743EF7" w:rsidP="00A63F69">
      <w:pPr>
        <w:pStyle w:val="ListParagraph"/>
        <w:tabs>
          <w:tab w:val="left" w:pos="426"/>
        </w:tabs>
        <w:ind w:left="360"/>
        <w:jc w:val="both"/>
        <w:rPr>
          <w:rFonts w:ascii="Cambria" w:hAnsi="Cambria"/>
          <w:sz w:val="20"/>
          <w:szCs w:val="20"/>
          <w:lang w:val="en-GB"/>
        </w:rPr>
      </w:pPr>
    </w:p>
    <w:p w14:paraId="3FF23D8F" w14:textId="77777777" w:rsidR="00743EF7" w:rsidRPr="00A63F69" w:rsidRDefault="00743EF7" w:rsidP="00A63F69">
      <w:pPr>
        <w:pStyle w:val="ListParagraph"/>
        <w:tabs>
          <w:tab w:val="left" w:pos="426"/>
        </w:tabs>
        <w:ind w:left="360"/>
        <w:jc w:val="both"/>
        <w:rPr>
          <w:rFonts w:ascii="Cambria" w:hAnsi="Cambria"/>
          <w:i/>
          <w:iCs/>
          <w:sz w:val="20"/>
          <w:szCs w:val="20"/>
        </w:rPr>
      </w:pPr>
      <w:r w:rsidRPr="00A63F69">
        <w:rPr>
          <w:rFonts w:ascii="Cambria" w:hAnsi="Cambria"/>
          <w:i/>
          <w:sz w:val="20"/>
          <w:szCs w:val="20"/>
        </w:rPr>
        <w:t>La Secretaría proporcionará un relator.</w:t>
      </w:r>
    </w:p>
    <w:p w14:paraId="4B306792" w14:textId="77777777" w:rsidR="00743EF7" w:rsidRPr="00A63F69" w:rsidRDefault="00743EF7" w:rsidP="00A63F69">
      <w:pPr>
        <w:tabs>
          <w:tab w:val="left" w:pos="426"/>
        </w:tabs>
        <w:jc w:val="both"/>
        <w:rPr>
          <w:rFonts w:ascii="Cambria" w:hAnsi="Cambria"/>
          <w:sz w:val="20"/>
          <w:szCs w:val="20"/>
        </w:rPr>
      </w:pPr>
    </w:p>
    <w:p w14:paraId="1B0236F7"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Adopción del orden del día</w:t>
      </w:r>
    </w:p>
    <w:p w14:paraId="3F035CED" w14:textId="77777777" w:rsidR="00743EF7" w:rsidRPr="00A63F69" w:rsidRDefault="00743EF7" w:rsidP="00A63F69">
      <w:pPr>
        <w:pStyle w:val="ListParagraph"/>
        <w:jc w:val="both"/>
        <w:rPr>
          <w:rFonts w:ascii="Cambria" w:hAnsi="Cambria"/>
          <w:sz w:val="20"/>
          <w:szCs w:val="20"/>
          <w:lang w:val="en-GB"/>
        </w:rPr>
      </w:pPr>
    </w:p>
    <w:p w14:paraId="7F10B69A" w14:textId="4F6229CA"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El orden del día está disponible como </w:t>
      </w:r>
      <w:r w:rsidRPr="00A63F69">
        <w:rPr>
          <w:rFonts w:ascii="Cambria" w:hAnsi="Cambria"/>
          <w:b/>
          <w:i/>
          <w:sz w:val="20"/>
          <w:szCs w:val="20"/>
        </w:rPr>
        <w:t>COC_300</w:t>
      </w:r>
      <w:r w:rsidR="00F9304F" w:rsidRPr="00A63F69">
        <w:rPr>
          <w:rFonts w:ascii="Cambria" w:hAnsi="Cambria"/>
          <w:b/>
          <w:i/>
          <w:sz w:val="20"/>
          <w:szCs w:val="20"/>
        </w:rPr>
        <w:t>_REV_1</w:t>
      </w:r>
      <w:r w:rsidRPr="00A63F69">
        <w:rPr>
          <w:rFonts w:ascii="Cambria" w:hAnsi="Cambria"/>
          <w:b/>
          <w:i/>
          <w:sz w:val="20"/>
          <w:szCs w:val="20"/>
        </w:rPr>
        <w:t>/2025.</w:t>
      </w:r>
    </w:p>
    <w:p w14:paraId="3F3A2F3A" w14:textId="77777777" w:rsidR="00743EF7" w:rsidRPr="00A63F69" w:rsidRDefault="00743EF7" w:rsidP="00A63F69">
      <w:pPr>
        <w:tabs>
          <w:tab w:val="left" w:pos="426"/>
        </w:tabs>
        <w:jc w:val="both"/>
        <w:rPr>
          <w:rFonts w:ascii="Cambria" w:hAnsi="Cambria"/>
          <w:sz w:val="20"/>
          <w:szCs w:val="20"/>
        </w:rPr>
      </w:pPr>
    </w:p>
    <w:p w14:paraId="36329285"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Examen de los progresos realizados por el Grupo de trabajo sobre tecnología de comunicación en línea (WG-ORT) y próximos pasos</w:t>
      </w:r>
    </w:p>
    <w:p w14:paraId="4D2BD8F9" w14:textId="77777777" w:rsidR="00743EF7" w:rsidRPr="00A63F69" w:rsidRDefault="00743EF7" w:rsidP="00A63F69">
      <w:pPr>
        <w:pStyle w:val="ListParagraph"/>
        <w:jc w:val="both"/>
        <w:rPr>
          <w:rFonts w:ascii="Cambria" w:hAnsi="Cambria"/>
          <w:sz w:val="20"/>
          <w:szCs w:val="20"/>
        </w:rPr>
      </w:pPr>
    </w:p>
    <w:p w14:paraId="262FAE70" w14:textId="77777777"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El informe de la reunión del Grupo de trabajo de comunicación en línea está disponible como </w:t>
      </w:r>
      <w:r w:rsidRPr="00A63F69">
        <w:rPr>
          <w:rFonts w:ascii="Cambria" w:hAnsi="Cambria"/>
          <w:b/>
          <w:i/>
          <w:sz w:val="20"/>
          <w:szCs w:val="20"/>
        </w:rPr>
        <w:t xml:space="preserve">COC_302/2025. </w:t>
      </w:r>
      <w:r w:rsidRPr="00A63F69">
        <w:rPr>
          <w:rFonts w:ascii="Cambria" w:hAnsi="Cambria"/>
          <w:i/>
          <w:sz w:val="20"/>
          <w:szCs w:val="20"/>
        </w:rPr>
        <w:t xml:space="preserve">En el documento </w:t>
      </w:r>
      <w:r w:rsidRPr="00A63F69">
        <w:rPr>
          <w:rFonts w:ascii="Cambria" w:hAnsi="Cambria"/>
          <w:b/>
          <w:bCs/>
          <w:i/>
          <w:sz w:val="20"/>
          <w:szCs w:val="20"/>
        </w:rPr>
        <w:t xml:space="preserve">COC_316/2025 </w:t>
      </w:r>
      <w:r w:rsidRPr="00A63F69">
        <w:rPr>
          <w:rFonts w:ascii="Cambria" w:hAnsi="Cambria"/>
          <w:i/>
          <w:sz w:val="20"/>
          <w:szCs w:val="20"/>
        </w:rPr>
        <w:t>figura una actualización de la situación actual del IOMS.</w:t>
      </w:r>
      <w:r w:rsidRPr="00A63F69">
        <w:rPr>
          <w:rFonts w:ascii="Cambria" w:hAnsi="Cambria"/>
          <w:b/>
          <w:i/>
          <w:sz w:val="20"/>
          <w:szCs w:val="20"/>
        </w:rPr>
        <w:t xml:space="preserve"> </w:t>
      </w:r>
    </w:p>
    <w:p w14:paraId="0E43BA55" w14:textId="77777777" w:rsidR="00743EF7" w:rsidRPr="00A63F69" w:rsidRDefault="00743EF7" w:rsidP="00A63F69">
      <w:pPr>
        <w:pStyle w:val="ListParagraph"/>
        <w:tabs>
          <w:tab w:val="left" w:pos="426"/>
        </w:tabs>
        <w:ind w:left="360"/>
        <w:jc w:val="both"/>
        <w:rPr>
          <w:rFonts w:ascii="Cambria" w:hAnsi="Cambria"/>
          <w:sz w:val="20"/>
          <w:szCs w:val="20"/>
        </w:rPr>
      </w:pPr>
    </w:p>
    <w:p w14:paraId="075D0628" w14:textId="77777777" w:rsidR="009A1A60" w:rsidRPr="00A63F69" w:rsidRDefault="009A1A60" w:rsidP="00A63F69">
      <w:pPr>
        <w:ind w:left="360"/>
        <w:jc w:val="both"/>
        <w:rPr>
          <w:rFonts w:ascii="Cambria" w:hAnsi="Cambria"/>
          <w:sz w:val="20"/>
          <w:szCs w:val="20"/>
        </w:rPr>
      </w:pPr>
      <w:r w:rsidRPr="00A63F69">
        <w:rPr>
          <w:rFonts w:ascii="Cambria" w:hAnsi="Cambria"/>
          <w:i/>
          <w:sz w:val="20"/>
          <w:szCs w:val="20"/>
        </w:rPr>
        <w:t>La Secretaría ha preparado una evaluación de costes para la traducción de los datos y documentos del IOMS (</w:t>
      </w:r>
      <w:r w:rsidRPr="00A63F69">
        <w:rPr>
          <w:rFonts w:ascii="Cambria" w:hAnsi="Cambria"/>
          <w:b/>
          <w:i/>
          <w:sz w:val="20"/>
          <w:szCs w:val="20"/>
        </w:rPr>
        <w:t>COC_319/2025</w:t>
      </w:r>
      <w:r w:rsidRPr="00A63F69">
        <w:rPr>
          <w:rFonts w:ascii="Cambria" w:hAnsi="Cambria"/>
          <w:i/>
          <w:sz w:val="20"/>
          <w:szCs w:val="20"/>
        </w:rPr>
        <w:t>).</w:t>
      </w:r>
    </w:p>
    <w:p w14:paraId="5EFF72B8" w14:textId="77777777" w:rsidR="009A1A60" w:rsidRPr="00A63F69" w:rsidRDefault="009A1A60" w:rsidP="00A63F69">
      <w:pPr>
        <w:pStyle w:val="ListParagraph"/>
        <w:tabs>
          <w:tab w:val="left" w:pos="426"/>
        </w:tabs>
        <w:ind w:left="360"/>
        <w:jc w:val="both"/>
        <w:rPr>
          <w:rFonts w:ascii="Cambria" w:hAnsi="Cambria"/>
          <w:sz w:val="20"/>
          <w:szCs w:val="20"/>
        </w:rPr>
      </w:pPr>
    </w:p>
    <w:p w14:paraId="575018D5" w14:textId="6BC1363B" w:rsidR="00743EF7" w:rsidRPr="00A63F69" w:rsidRDefault="00743EF7" w:rsidP="00A63F69">
      <w:pPr>
        <w:pStyle w:val="ListParagraph"/>
        <w:tabs>
          <w:tab w:val="left" w:pos="426"/>
        </w:tabs>
        <w:ind w:left="360"/>
        <w:jc w:val="both"/>
        <w:rPr>
          <w:rFonts w:ascii="Cambria" w:hAnsi="Cambria"/>
          <w:b/>
          <w:bCs/>
          <w:i/>
          <w:iCs/>
          <w:sz w:val="20"/>
          <w:szCs w:val="20"/>
        </w:rPr>
      </w:pPr>
      <w:r w:rsidRPr="00A63F69">
        <w:rPr>
          <w:rFonts w:ascii="Cambria" w:hAnsi="Cambria"/>
          <w:i/>
          <w:sz w:val="20"/>
          <w:szCs w:val="20"/>
        </w:rPr>
        <w:t xml:space="preserve">Las directrices destinadas a simplificar las hojas de comprobación de tiburones e istiofóridos, basadas en las comunicadas en 2025 y preparadas por la Secretaría, están disponibles como documento </w:t>
      </w:r>
      <w:r w:rsidRPr="00A63F69">
        <w:rPr>
          <w:rFonts w:ascii="Cambria" w:hAnsi="Cambria"/>
          <w:b/>
          <w:bCs/>
          <w:i/>
          <w:sz w:val="20"/>
          <w:szCs w:val="20"/>
        </w:rPr>
        <w:t>COC_321/2025</w:t>
      </w:r>
      <w:r w:rsidRPr="00A63F69">
        <w:rPr>
          <w:rFonts w:ascii="Cambria" w:hAnsi="Cambria"/>
          <w:i/>
          <w:sz w:val="20"/>
          <w:szCs w:val="20"/>
        </w:rPr>
        <w:t>.</w:t>
      </w:r>
    </w:p>
    <w:p w14:paraId="36D587EF" w14:textId="77777777" w:rsidR="00743EF7" w:rsidRPr="00A63F69" w:rsidRDefault="00743EF7" w:rsidP="00A63F69">
      <w:pPr>
        <w:pStyle w:val="ListParagraph"/>
        <w:tabs>
          <w:tab w:val="left" w:pos="426"/>
        </w:tabs>
        <w:ind w:left="360"/>
        <w:jc w:val="both"/>
        <w:rPr>
          <w:rFonts w:ascii="Cambria" w:hAnsi="Cambria"/>
          <w:b/>
          <w:bCs/>
          <w:i/>
          <w:iCs/>
          <w:sz w:val="20"/>
          <w:szCs w:val="20"/>
        </w:rPr>
      </w:pPr>
    </w:p>
    <w:p w14:paraId="00D95F30"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Examen del Informe de la Secretaría al Comité de Cumplimiento</w:t>
      </w:r>
    </w:p>
    <w:p w14:paraId="2E256179" w14:textId="77777777" w:rsidR="00743EF7" w:rsidRPr="00A63F69" w:rsidRDefault="00743EF7" w:rsidP="00A63F69">
      <w:pPr>
        <w:pStyle w:val="ListParagraph"/>
        <w:jc w:val="both"/>
        <w:rPr>
          <w:rFonts w:ascii="Cambria" w:hAnsi="Cambria"/>
          <w:sz w:val="20"/>
          <w:szCs w:val="20"/>
        </w:rPr>
      </w:pPr>
    </w:p>
    <w:p w14:paraId="6B1918CD" w14:textId="77777777"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El Informe de la Secretaría al Comité de Cumplimiento está disponible como documento </w:t>
      </w:r>
      <w:r w:rsidRPr="00A63F69">
        <w:rPr>
          <w:rFonts w:ascii="Cambria" w:hAnsi="Cambria"/>
          <w:b/>
          <w:i/>
          <w:sz w:val="20"/>
          <w:szCs w:val="20"/>
        </w:rPr>
        <w:t>COC_303/2025</w:t>
      </w:r>
      <w:r w:rsidRPr="00A63F69">
        <w:rPr>
          <w:rFonts w:ascii="Cambria" w:hAnsi="Cambria"/>
          <w:i/>
          <w:sz w:val="20"/>
          <w:szCs w:val="20"/>
        </w:rPr>
        <w:t>.</w:t>
      </w:r>
    </w:p>
    <w:p w14:paraId="3CD95E81" w14:textId="77777777" w:rsidR="00743EF7" w:rsidRPr="00A63F69" w:rsidRDefault="00743EF7" w:rsidP="00A63F69">
      <w:pPr>
        <w:pStyle w:val="ListParagraph"/>
        <w:jc w:val="both"/>
        <w:rPr>
          <w:rFonts w:ascii="Cambria" w:hAnsi="Cambria"/>
          <w:sz w:val="20"/>
          <w:szCs w:val="20"/>
        </w:rPr>
      </w:pPr>
    </w:p>
    <w:p w14:paraId="7A0B5DFD" w14:textId="562B738E"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Revisión prioritaria de las Recomendaciones, teniendo en cuenta las medidas identificadas para su revisión en la reunión del COC de 2024, las aportaciones de las CPC en respuesta a la carta del presidente del COC (</w:t>
      </w:r>
      <w:r w:rsidRPr="00A63F69">
        <w:rPr>
          <w:rFonts w:ascii="Cambria" w:hAnsi="Cambria"/>
          <w:b/>
          <w:bCs/>
          <w:sz w:val="20"/>
          <w:szCs w:val="20"/>
        </w:rPr>
        <w:t>COC_31</w:t>
      </w:r>
      <w:r w:rsidR="008C55CA" w:rsidRPr="00A63F69">
        <w:rPr>
          <w:rFonts w:ascii="Cambria" w:hAnsi="Cambria"/>
          <w:b/>
          <w:bCs/>
          <w:sz w:val="20"/>
          <w:szCs w:val="20"/>
        </w:rPr>
        <w:t>7</w:t>
      </w:r>
      <w:r w:rsidRPr="00A63F69">
        <w:rPr>
          <w:rFonts w:ascii="Cambria" w:hAnsi="Cambria"/>
          <w:b/>
          <w:bCs/>
          <w:sz w:val="20"/>
          <w:szCs w:val="20"/>
        </w:rPr>
        <w:t>/2025</w:t>
      </w:r>
      <w:r w:rsidRPr="00A63F69">
        <w:rPr>
          <w:rFonts w:ascii="Cambria" w:hAnsi="Cambria"/>
          <w:sz w:val="20"/>
          <w:szCs w:val="20"/>
        </w:rPr>
        <w:t xml:space="preserve">), el calendario de expiración de las Recomendaciones y, cuando sea posible, el calendario de evaluaciones del SCRS, según proceda </w:t>
      </w:r>
    </w:p>
    <w:p w14:paraId="2121BF07" w14:textId="77777777" w:rsidR="00743EF7" w:rsidRPr="00A63F69" w:rsidRDefault="00743EF7" w:rsidP="00A63F69">
      <w:pPr>
        <w:pStyle w:val="ListParagraph"/>
        <w:jc w:val="both"/>
        <w:rPr>
          <w:rFonts w:ascii="Cambria" w:hAnsi="Cambria"/>
          <w:sz w:val="20"/>
          <w:szCs w:val="20"/>
        </w:rPr>
      </w:pPr>
    </w:p>
    <w:p w14:paraId="26AA3CCC" w14:textId="4FD5B74A" w:rsidR="00743EF7" w:rsidRPr="00A63F69" w:rsidRDefault="00743EF7" w:rsidP="00A63F69">
      <w:pPr>
        <w:pStyle w:val="ListParagraph"/>
        <w:widowControl w:val="0"/>
        <w:numPr>
          <w:ilvl w:val="1"/>
          <w:numId w:val="31"/>
        </w:numPr>
        <w:tabs>
          <w:tab w:val="left" w:pos="426"/>
        </w:tabs>
        <w:jc w:val="both"/>
        <w:rPr>
          <w:rFonts w:ascii="Cambria" w:hAnsi="Cambria"/>
          <w:i/>
          <w:iCs/>
          <w:sz w:val="20"/>
          <w:szCs w:val="20"/>
        </w:rPr>
      </w:pPr>
      <w:hyperlink r:id="rId12" w:history="1">
        <w:r w:rsidRPr="00A63F69">
          <w:rPr>
            <w:rFonts w:ascii="Cambria" w:hAnsi="Cambria"/>
            <w:i/>
            <w:iCs/>
            <w:color w:val="0563C1"/>
            <w:sz w:val="20"/>
            <w:szCs w:val="20"/>
          </w:rPr>
          <w:t xml:space="preserve">Recomendación de ICCAT que enmienda la Recomendación 18-09 sobre medidas del Estado rector del puerto para prevenir, desalentar  y eliminar la pesca ilegal, no declarada y no reglamentada </w:t>
        </w:r>
        <w:r w:rsidRPr="00A63F69">
          <w:rPr>
            <w:rFonts w:ascii="Cambria" w:hAnsi="Cambria"/>
            <w:color w:val="0563C1"/>
            <w:sz w:val="20"/>
            <w:szCs w:val="20"/>
          </w:rPr>
          <w:t>(Rec. 23-17)</w:t>
        </w:r>
      </w:hyperlink>
      <w:r w:rsidR="003E11F9" w:rsidRPr="00A63F69">
        <w:rPr>
          <w:rFonts w:ascii="Cambria" w:hAnsi="Cambria"/>
          <w:sz w:val="20"/>
          <w:szCs w:val="20"/>
        </w:rPr>
        <w:t xml:space="preserve">. </w:t>
      </w:r>
      <w:r w:rsidRPr="00A63F69">
        <w:rPr>
          <w:rFonts w:ascii="Cambria" w:hAnsi="Cambria"/>
          <w:i/>
          <w:sz w:val="20"/>
          <w:szCs w:val="20"/>
        </w:rPr>
        <w:t xml:space="preserve">La información relativa a la implementación de esta Recomendación figura en las secciones pertinentes del documento </w:t>
      </w:r>
      <w:r w:rsidRPr="00A63F69">
        <w:rPr>
          <w:rFonts w:ascii="Cambria" w:hAnsi="Cambria"/>
          <w:b/>
          <w:bCs/>
          <w:i/>
          <w:sz w:val="20"/>
          <w:szCs w:val="20"/>
        </w:rPr>
        <w:t>COC_303/2025</w:t>
      </w:r>
      <w:r w:rsidRPr="00A63F69">
        <w:rPr>
          <w:rFonts w:ascii="Cambria" w:hAnsi="Cambria"/>
          <w:i/>
          <w:sz w:val="20"/>
          <w:szCs w:val="20"/>
        </w:rPr>
        <w:t xml:space="preserve">. Puede incluirse información adicional en el documento </w:t>
      </w:r>
      <w:r w:rsidRPr="00A63F69">
        <w:rPr>
          <w:rFonts w:ascii="Cambria" w:hAnsi="Cambria"/>
          <w:b/>
          <w:bCs/>
          <w:i/>
          <w:sz w:val="20"/>
          <w:szCs w:val="20"/>
        </w:rPr>
        <w:t>PWG_401/2025</w:t>
      </w:r>
      <w:r w:rsidRPr="00A63F69">
        <w:rPr>
          <w:rFonts w:ascii="Cambria" w:hAnsi="Cambria"/>
          <w:i/>
          <w:sz w:val="20"/>
          <w:szCs w:val="20"/>
        </w:rPr>
        <w:t>.</w:t>
      </w:r>
    </w:p>
    <w:p w14:paraId="6BEB1BFF" w14:textId="77777777" w:rsidR="00743EF7" w:rsidRPr="00A63F69" w:rsidRDefault="00743EF7" w:rsidP="00A63F69">
      <w:pPr>
        <w:pStyle w:val="ListParagraph"/>
        <w:tabs>
          <w:tab w:val="left" w:pos="426"/>
        </w:tabs>
        <w:ind w:left="792"/>
        <w:jc w:val="both"/>
        <w:rPr>
          <w:rFonts w:ascii="Cambria" w:hAnsi="Cambria"/>
          <w:sz w:val="20"/>
          <w:szCs w:val="20"/>
        </w:rPr>
      </w:pPr>
    </w:p>
    <w:p w14:paraId="359E0730"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hyperlink r:id="rId13" w:history="1">
        <w:r w:rsidRPr="00A63F69">
          <w:rPr>
            <w:rFonts w:ascii="Cambria" w:hAnsi="Cambria"/>
            <w:i/>
            <w:iCs/>
            <w:color w:val="0563C1"/>
            <w:sz w:val="20"/>
            <w:szCs w:val="20"/>
          </w:rPr>
          <w:t xml:space="preserve">Recomendación de ICCAT para mejorar la revisión del cumplimiento de las medidas de conservación y ordenación relacionadas con los istiofóridos capturados en la zona del Convenio de ICCAT </w:t>
        </w:r>
        <w:r w:rsidRPr="00A63F69">
          <w:rPr>
            <w:rFonts w:ascii="Cambria" w:hAnsi="Cambria"/>
            <w:color w:val="0563C1"/>
            <w:sz w:val="20"/>
            <w:szCs w:val="20"/>
          </w:rPr>
          <w:t>(Rec. 18-05)</w:t>
        </w:r>
      </w:hyperlink>
      <w:r w:rsidRPr="00A63F69">
        <w:rPr>
          <w:rFonts w:ascii="Cambria" w:hAnsi="Cambria"/>
          <w:b/>
          <w:i/>
          <w:sz w:val="20"/>
          <w:szCs w:val="20"/>
        </w:rPr>
        <w:t xml:space="preserve"> </w:t>
      </w:r>
      <w:r w:rsidRPr="00A63F69">
        <w:rPr>
          <w:rFonts w:ascii="Cambria" w:hAnsi="Cambria"/>
          <w:sz w:val="20"/>
          <w:szCs w:val="20"/>
        </w:rPr>
        <w:t>(hoja de comprobación de istiofóridos) (</w:t>
      </w:r>
      <w:r w:rsidRPr="00A63F69">
        <w:rPr>
          <w:rFonts w:ascii="Cambria" w:hAnsi="Cambria"/>
          <w:b/>
          <w:i/>
          <w:sz w:val="20"/>
          <w:szCs w:val="20"/>
        </w:rPr>
        <w:t>COC_315/2025</w:t>
      </w:r>
      <w:r w:rsidRPr="00A63F69">
        <w:rPr>
          <w:rFonts w:ascii="Cambria" w:hAnsi="Cambria"/>
          <w:i/>
          <w:sz w:val="20"/>
          <w:szCs w:val="20"/>
        </w:rPr>
        <w:t>)</w:t>
      </w:r>
      <w:r w:rsidRPr="00A63F69">
        <w:rPr>
          <w:rFonts w:ascii="Cambria" w:hAnsi="Cambria"/>
          <w:sz w:val="20"/>
          <w:szCs w:val="20"/>
        </w:rPr>
        <w:t>.</w:t>
      </w:r>
    </w:p>
    <w:p w14:paraId="0A869887" w14:textId="77777777" w:rsidR="00743EF7" w:rsidRPr="00A63F69" w:rsidRDefault="00743EF7" w:rsidP="00A63F69">
      <w:pPr>
        <w:tabs>
          <w:tab w:val="left" w:pos="426"/>
        </w:tabs>
        <w:jc w:val="both"/>
        <w:rPr>
          <w:rFonts w:ascii="Cambria" w:hAnsi="Cambria"/>
          <w:sz w:val="20"/>
          <w:szCs w:val="20"/>
        </w:rPr>
      </w:pPr>
    </w:p>
    <w:p w14:paraId="68962F95"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hyperlink r:id="rId14" w:history="1">
        <w:r w:rsidRPr="00A63F69">
          <w:rPr>
            <w:rFonts w:ascii="Cambria" w:hAnsi="Cambria"/>
            <w:i/>
            <w:color w:val="0563C1"/>
            <w:sz w:val="20"/>
            <w:szCs w:val="20"/>
          </w:rPr>
          <w:t xml:space="preserve">Recomendación de ICCAT para sustituir la Recomendación 16-13 para mejorar la revisión del cumplimiento de las medidas de conservación y ordenación relacionadas con los tiburones capturados en asociación con las pesquerías de ICCAT </w:t>
        </w:r>
        <w:r w:rsidRPr="00A63F69">
          <w:rPr>
            <w:rFonts w:ascii="Cambria" w:hAnsi="Cambria"/>
            <w:color w:val="0563C1"/>
            <w:sz w:val="20"/>
            <w:szCs w:val="20"/>
          </w:rPr>
          <w:t>(Rec. 18-06)</w:t>
        </w:r>
      </w:hyperlink>
      <w:r w:rsidRPr="00A63F69">
        <w:rPr>
          <w:rFonts w:ascii="Cambria" w:hAnsi="Cambria"/>
          <w:color w:val="000000" w:themeColor="text1"/>
          <w:sz w:val="20"/>
          <w:szCs w:val="20"/>
        </w:rPr>
        <w:t xml:space="preserve"> (hoja de comprobación de tiburones) (</w:t>
      </w:r>
      <w:r w:rsidRPr="00A63F69">
        <w:rPr>
          <w:rFonts w:ascii="Cambria" w:hAnsi="Cambria"/>
          <w:b/>
          <w:i/>
          <w:color w:val="000000" w:themeColor="text1"/>
          <w:sz w:val="20"/>
          <w:szCs w:val="20"/>
        </w:rPr>
        <w:t>COC_314/2025</w:t>
      </w:r>
      <w:r w:rsidRPr="00A63F69">
        <w:rPr>
          <w:rFonts w:ascii="Cambria" w:hAnsi="Cambria"/>
          <w:i/>
          <w:color w:val="000000" w:themeColor="text1"/>
          <w:sz w:val="20"/>
          <w:szCs w:val="20"/>
        </w:rPr>
        <w:t>)</w:t>
      </w:r>
      <w:r w:rsidRPr="00A63F69">
        <w:rPr>
          <w:rFonts w:ascii="Cambria" w:hAnsi="Cambria"/>
          <w:color w:val="000000" w:themeColor="text1"/>
          <w:sz w:val="20"/>
          <w:szCs w:val="20"/>
        </w:rPr>
        <w:t>.</w:t>
      </w:r>
    </w:p>
    <w:p w14:paraId="51369204" w14:textId="77777777" w:rsidR="009A1A60" w:rsidRPr="00A63F69" w:rsidRDefault="009A1A60" w:rsidP="00A63F69">
      <w:pPr>
        <w:widowControl w:val="0"/>
        <w:tabs>
          <w:tab w:val="left" w:pos="426"/>
        </w:tabs>
        <w:ind w:left="360"/>
        <w:jc w:val="both"/>
        <w:rPr>
          <w:rFonts w:ascii="Cambria" w:hAnsi="Cambria"/>
          <w:sz w:val="20"/>
          <w:szCs w:val="20"/>
        </w:rPr>
      </w:pPr>
    </w:p>
    <w:p w14:paraId="2B6B4CA4" w14:textId="35B739F1" w:rsidR="009A1A60" w:rsidRPr="00A63F69" w:rsidRDefault="009A1A60" w:rsidP="00A63F69">
      <w:pPr>
        <w:widowControl w:val="0"/>
        <w:tabs>
          <w:tab w:val="left" w:pos="426"/>
        </w:tabs>
        <w:ind w:left="720"/>
        <w:jc w:val="both"/>
        <w:rPr>
          <w:rFonts w:ascii="Cambria" w:hAnsi="Cambria"/>
          <w:i/>
          <w:iCs/>
          <w:sz w:val="20"/>
          <w:szCs w:val="20"/>
        </w:rPr>
      </w:pPr>
      <w:r w:rsidRPr="00A63F69">
        <w:rPr>
          <w:rFonts w:ascii="Cambria" w:hAnsi="Cambria"/>
          <w:i/>
          <w:iCs/>
          <w:sz w:val="20"/>
          <w:szCs w:val="20"/>
        </w:rPr>
        <w:t xml:space="preserve">Japón, como miembro del Grupo de amigos del presidente del COC, ha presentado una "Revisión de la implementación de las Recomendaciones sobre tiburones" como documento </w:t>
      </w:r>
      <w:r w:rsidRPr="00A63F69">
        <w:rPr>
          <w:rFonts w:ascii="Cambria" w:hAnsi="Cambria"/>
          <w:b/>
          <w:bCs/>
          <w:i/>
          <w:iCs/>
          <w:sz w:val="20"/>
          <w:szCs w:val="20"/>
        </w:rPr>
        <w:t>COC_324/2025</w:t>
      </w:r>
      <w:r w:rsidRPr="00A63F69">
        <w:rPr>
          <w:rFonts w:ascii="Cambria" w:hAnsi="Cambria"/>
          <w:i/>
          <w:iCs/>
          <w:sz w:val="20"/>
          <w:szCs w:val="20"/>
        </w:rPr>
        <w:t>.</w:t>
      </w:r>
    </w:p>
    <w:p w14:paraId="64AC5E57" w14:textId="77777777" w:rsidR="00743EF7" w:rsidRPr="00A63F69" w:rsidRDefault="00743EF7" w:rsidP="00A63F69">
      <w:pPr>
        <w:tabs>
          <w:tab w:val="left" w:pos="426"/>
        </w:tabs>
        <w:jc w:val="both"/>
        <w:rPr>
          <w:rFonts w:ascii="Cambria" w:hAnsi="Cambria"/>
          <w:sz w:val="20"/>
          <w:szCs w:val="20"/>
        </w:rPr>
      </w:pPr>
    </w:p>
    <w:p w14:paraId="2B991D5D" w14:textId="77777777" w:rsidR="003E11F9" w:rsidRPr="00A63F69" w:rsidRDefault="003E11F9" w:rsidP="00A63F69">
      <w:pPr>
        <w:tabs>
          <w:tab w:val="left" w:pos="426"/>
        </w:tabs>
        <w:jc w:val="both"/>
        <w:rPr>
          <w:rFonts w:ascii="Cambria" w:hAnsi="Cambria"/>
          <w:sz w:val="20"/>
          <w:szCs w:val="20"/>
        </w:rPr>
      </w:pPr>
    </w:p>
    <w:p w14:paraId="43AC0912"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hyperlink r:id="rId15" w:history="1">
        <w:r w:rsidRPr="00A63F69">
          <w:rPr>
            <w:rFonts w:ascii="Cambria" w:hAnsi="Cambria"/>
            <w:i/>
            <w:color w:val="0563C1"/>
            <w:sz w:val="20"/>
            <w:szCs w:val="20"/>
          </w:rPr>
          <w:t xml:space="preserve">Recomendación de ICCAT para establecer unas normas mínimas para programas de observadores científicos en buques pesqueros </w:t>
        </w:r>
        <w:r w:rsidRPr="00A63F69">
          <w:rPr>
            <w:rFonts w:ascii="Cambria" w:hAnsi="Cambria"/>
            <w:color w:val="0563C1"/>
            <w:sz w:val="20"/>
            <w:szCs w:val="20"/>
          </w:rPr>
          <w:t>(Rec. 16</w:t>
        </w:r>
        <w:r w:rsidRPr="00A63F69">
          <w:rPr>
            <w:rFonts w:ascii="Cambria" w:hAnsi="Cambria"/>
            <w:i/>
            <w:color w:val="0563C1"/>
            <w:sz w:val="20"/>
            <w:szCs w:val="20"/>
          </w:rPr>
          <w:t>-</w:t>
        </w:r>
        <w:r w:rsidRPr="00A63F69">
          <w:rPr>
            <w:rFonts w:ascii="Cambria" w:hAnsi="Cambria"/>
            <w:color w:val="0563C1"/>
            <w:sz w:val="20"/>
            <w:szCs w:val="20"/>
          </w:rPr>
          <w:t>14)</w:t>
        </w:r>
      </w:hyperlink>
      <w:r w:rsidRPr="00A63F69">
        <w:rPr>
          <w:rFonts w:ascii="Cambria" w:hAnsi="Cambria"/>
          <w:sz w:val="20"/>
          <w:szCs w:val="20"/>
        </w:rPr>
        <w:t xml:space="preserve"> </w:t>
      </w:r>
      <w:r w:rsidRPr="00A63F69">
        <w:rPr>
          <w:rFonts w:ascii="Cambria" w:hAnsi="Cambria"/>
          <w:i/>
          <w:color w:val="000000"/>
          <w:sz w:val="20"/>
          <w:szCs w:val="20"/>
        </w:rPr>
        <w:t>(</w:t>
      </w:r>
      <w:r w:rsidRPr="00A63F69">
        <w:rPr>
          <w:rFonts w:ascii="Cambria" w:hAnsi="Cambria"/>
          <w:b/>
          <w:i/>
          <w:color w:val="000000"/>
          <w:sz w:val="20"/>
          <w:szCs w:val="20"/>
        </w:rPr>
        <w:t>COC_318/2025</w:t>
      </w:r>
      <w:r w:rsidRPr="00A63F69">
        <w:rPr>
          <w:rFonts w:ascii="Cambria" w:hAnsi="Cambria"/>
          <w:i/>
          <w:color w:val="000000"/>
          <w:sz w:val="20"/>
          <w:szCs w:val="20"/>
        </w:rPr>
        <w:t>)</w:t>
      </w:r>
      <w:r w:rsidRPr="00A63F69">
        <w:rPr>
          <w:rFonts w:ascii="Cambria" w:hAnsi="Cambria"/>
          <w:sz w:val="20"/>
          <w:szCs w:val="20"/>
        </w:rPr>
        <w:t>.</w:t>
      </w:r>
    </w:p>
    <w:p w14:paraId="39E4CCBC" w14:textId="77777777" w:rsidR="00743EF7" w:rsidRPr="00A63F69" w:rsidRDefault="00743EF7" w:rsidP="00A63F69">
      <w:pPr>
        <w:pStyle w:val="ListParagraph"/>
        <w:jc w:val="both"/>
        <w:rPr>
          <w:rFonts w:ascii="Cambria" w:hAnsi="Cambria"/>
          <w:sz w:val="20"/>
          <w:szCs w:val="20"/>
        </w:rPr>
      </w:pPr>
    </w:p>
    <w:p w14:paraId="198F0FEE" w14:textId="3366EBE7" w:rsidR="00743EF7" w:rsidRPr="00A63F69" w:rsidRDefault="00743EF7" w:rsidP="00A63F69">
      <w:pPr>
        <w:pStyle w:val="ListParagraph"/>
        <w:widowControl w:val="0"/>
        <w:numPr>
          <w:ilvl w:val="1"/>
          <w:numId w:val="31"/>
        </w:numPr>
        <w:tabs>
          <w:tab w:val="left" w:pos="426"/>
        </w:tabs>
        <w:jc w:val="both"/>
        <w:rPr>
          <w:rFonts w:ascii="Cambria" w:hAnsi="Cambria"/>
          <w:i/>
          <w:iCs/>
          <w:sz w:val="20"/>
          <w:szCs w:val="20"/>
        </w:rPr>
      </w:pPr>
      <w:hyperlink r:id="rId16" w:history="1">
        <w:r w:rsidRPr="00A63F69">
          <w:rPr>
            <w:rStyle w:val="Hyperlink"/>
            <w:rFonts w:ascii="Cambria" w:hAnsi="Cambria"/>
            <w:i/>
            <w:iCs/>
            <w:sz w:val="20"/>
            <w:szCs w:val="20"/>
            <w:u w:val="none"/>
          </w:rPr>
          <w:t xml:space="preserve">Recomendación de ICCAT sobre tortugas marinas capturadas de forma fortuita en asociación con las pesquerías de ICCAT (combina, simplifica y enmienda las Recomendaciones 10-09 y 13-11) </w:t>
        </w:r>
        <w:r w:rsidRPr="00A63F69">
          <w:rPr>
            <w:rStyle w:val="Hyperlink"/>
            <w:rFonts w:ascii="Cambria" w:hAnsi="Cambria"/>
            <w:sz w:val="20"/>
            <w:szCs w:val="20"/>
            <w:u w:val="none"/>
          </w:rPr>
          <w:t>(Rec. 22-12)</w:t>
        </w:r>
      </w:hyperlink>
      <w:r w:rsidRPr="00A63F69">
        <w:rPr>
          <w:rFonts w:ascii="Cambria" w:hAnsi="Cambria"/>
          <w:sz w:val="20"/>
          <w:szCs w:val="20"/>
        </w:rPr>
        <w:t xml:space="preserve"> enmendada por la</w:t>
      </w:r>
      <w:r w:rsidR="00F9304F" w:rsidRPr="00A63F69">
        <w:rPr>
          <w:rFonts w:ascii="Cambria" w:hAnsi="Cambria"/>
          <w:sz w:val="20"/>
          <w:szCs w:val="20"/>
        </w:rPr>
        <w:t xml:space="preserve"> </w:t>
      </w:r>
      <w:hyperlink r:id="rId17" w:history="1">
        <w:r w:rsidRPr="00A63F69">
          <w:rPr>
            <w:rStyle w:val="Hyperlink"/>
            <w:rFonts w:ascii="Cambria" w:hAnsi="Cambria"/>
            <w:i/>
            <w:iCs/>
            <w:sz w:val="20"/>
            <w:szCs w:val="20"/>
            <w:u w:val="none"/>
          </w:rPr>
          <w:t xml:space="preserve">Recomendación suplementaria de ICCAT que enmienda la Recomendación 22-12 sobre captura fortuita de tortugas marinas capturadas en asociación con las pesquerías de ICCAT </w:t>
        </w:r>
        <w:r w:rsidRPr="00A63F69">
          <w:rPr>
            <w:rStyle w:val="Hyperlink"/>
            <w:rFonts w:ascii="Cambria" w:hAnsi="Cambria"/>
            <w:sz w:val="20"/>
            <w:szCs w:val="20"/>
            <w:u w:val="none"/>
          </w:rPr>
          <w:t>(Rec. 23-13)</w:t>
        </w:r>
      </w:hyperlink>
      <w:r w:rsidRPr="00A63F69">
        <w:rPr>
          <w:rFonts w:ascii="Cambria" w:hAnsi="Cambria"/>
          <w:sz w:val="20"/>
          <w:szCs w:val="20"/>
        </w:rPr>
        <w:t xml:space="preserve"> </w:t>
      </w:r>
      <w:r w:rsidRPr="00A63F69">
        <w:rPr>
          <w:rFonts w:ascii="Cambria" w:hAnsi="Cambria"/>
          <w:i/>
          <w:color w:val="000000"/>
          <w:sz w:val="20"/>
          <w:szCs w:val="20"/>
        </w:rPr>
        <w:t>(</w:t>
      </w:r>
      <w:r w:rsidRPr="00A63F69">
        <w:rPr>
          <w:rFonts w:ascii="Cambria" w:hAnsi="Cambria"/>
          <w:b/>
          <w:i/>
          <w:color w:val="000000"/>
          <w:sz w:val="20"/>
          <w:szCs w:val="20"/>
        </w:rPr>
        <w:t>Anexo 9</w:t>
      </w:r>
      <w:r w:rsidRPr="00A63F69">
        <w:rPr>
          <w:rFonts w:ascii="Cambria" w:hAnsi="Cambria"/>
          <w:i/>
          <w:color w:val="000000"/>
          <w:sz w:val="20"/>
          <w:szCs w:val="20"/>
        </w:rPr>
        <w:t xml:space="preserve"> al </w:t>
      </w:r>
      <w:r w:rsidRPr="00A63F69">
        <w:rPr>
          <w:rFonts w:ascii="Cambria" w:hAnsi="Cambria"/>
          <w:b/>
          <w:i/>
          <w:color w:val="000000"/>
          <w:sz w:val="20"/>
          <w:szCs w:val="20"/>
        </w:rPr>
        <w:t>COC_303/2025</w:t>
      </w:r>
      <w:r w:rsidRPr="00A63F69">
        <w:rPr>
          <w:rFonts w:ascii="Cambria" w:hAnsi="Cambria"/>
          <w:i/>
          <w:color w:val="000000"/>
          <w:sz w:val="20"/>
          <w:szCs w:val="20"/>
        </w:rPr>
        <w:t>)</w:t>
      </w:r>
      <w:r w:rsidRPr="00A63F69">
        <w:rPr>
          <w:rFonts w:ascii="Cambria" w:hAnsi="Cambria"/>
          <w:i/>
          <w:sz w:val="20"/>
          <w:szCs w:val="20"/>
        </w:rPr>
        <w:t>.</w:t>
      </w:r>
    </w:p>
    <w:p w14:paraId="2062E9D1" w14:textId="77777777" w:rsidR="00743EF7" w:rsidRPr="00A63F69" w:rsidRDefault="00743EF7" w:rsidP="00A63F69">
      <w:pPr>
        <w:pStyle w:val="ListParagraph"/>
        <w:jc w:val="both"/>
        <w:rPr>
          <w:rFonts w:ascii="Cambria" w:hAnsi="Cambria"/>
          <w:i/>
          <w:iCs/>
          <w:sz w:val="20"/>
          <w:szCs w:val="20"/>
        </w:rPr>
      </w:pPr>
    </w:p>
    <w:p w14:paraId="0DB0ADED" w14:textId="77777777" w:rsidR="00743EF7" w:rsidRPr="00A63F69" w:rsidRDefault="00743EF7" w:rsidP="00A63F69">
      <w:pPr>
        <w:pStyle w:val="ListParagraph"/>
        <w:widowControl w:val="0"/>
        <w:numPr>
          <w:ilvl w:val="1"/>
          <w:numId w:val="31"/>
        </w:numPr>
        <w:tabs>
          <w:tab w:val="left" w:pos="426"/>
        </w:tabs>
        <w:jc w:val="both"/>
        <w:rPr>
          <w:rFonts w:ascii="Cambria" w:hAnsi="Cambria"/>
          <w:i/>
          <w:iCs/>
          <w:sz w:val="20"/>
          <w:szCs w:val="20"/>
        </w:rPr>
      </w:pPr>
      <w:hyperlink r:id="rId18" w:history="1">
        <w:r w:rsidRPr="00A63F69">
          <w:rPr>
            <w:rStyle w:val="Hyperlink"/>
            <w:rFonts w:ascii="Cambria" w:hAnsi="Cambria"/>
            <w:i/>
            <w:iCs/>
            <w:sz w:val="20"/>
            <w:szCs w:val="20"/>
            <w:u w:val="none"/>
          </w:rPr>
          <w:t xml:space="preserve">Recomendación de ICCAT sobre medidas de ordenación para la conservación del pez vela del Atlántico </w:t>
        </w:r>
        <w:r w:rsidRPr="00A63F69">
          <w:rPr>
            <w:rStyle w:val="Hyperlink"/>
            <w:rFonts w:ascii="Cambria" w:hAnsi="Cambria"/>
            <w:sz w:val="20"/>
            <w:szCs w:val="20"/>
            <w:u w:val="none"/>
          </w:rPr>
          <w:t>(Rec. 16-11)</w:t>
        </w:r>
      </w:hyperlink>
      <w:r w:rsidRPr="00A63F69">
        <w:rPr>
          <w:rFonts w:ascii="Cambria" w:hAnsi="Cambria"/>
          <w:sz w:val="20"/>
          <w:szCs w:val="20"/>
        </w:rPr>
        <w:t xml:space="preserve">. La información relativa a la implementación de esta Recomendación figura en las secciones pertinentes del documento </w:t>
      </w:r>
      <w:r w:rsidRPr="00A63F69">
        <w:rPr>
          <w:rFonts w:ascii="Cambria" w:hAnsi="Cambria"/>
          <w:b/>
          <w:bCs/>
          <w:sz w:val="20"/>
          <w:szCs w:val="20"/>
        </w:rPr>
        <w:t>COC_303/2025</w:t>
      </w:r>
      <w:r w:rsidRPr="00A63F69">
        <w:rPr>
          <w:rFonts w:ascii="Cambria" w:hAnsi="Cambria"/>
          <w:sz w:val="20"/>
          <w:szCs w:val="20"/>
        </w:rPr>
        <w:t>.</w:t>
      </w:r>
    </w:p>
    <w:p w14:paraId="4E0D1D03" w14:textId="77777777" w:rsidR="00743EF7" w:rsidRPr="00A63F69" w:rsidRDefault="00743EF7" w:rsidP="00A63F69">
      <w:pPr>
        <w:pStyle w:val="ListParagraph"/>
        <w:jc w:val="both"/>
        <w:rPr>
          <w:rFonts w:ascii="Cambria" w:hAnsi="Cambria"/>
          <w:sz w:val="20"/>
          <w:szCs w:val="20"/>
        </w:rPr>
      </w:pPr>
    </w:p>
    <w:p w14:paraId="681ED39B"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r w:rsidRPr="00A63F69">
        <w:rPr>
          <w:rFonts w:ascii="Cambria" w:hAnsi="Cambria"/>
          <w:sz w:val="20"/>
          <w:szCs w:val="20"/>
        </w:rPr>
        <w:t>Otras medidas identificadas para su revisión prioritaria</w:t>
      </w:r>
    </w:p>
    <w:p w14:paraId="01A8C125" w14:textId="77777777" w:rsidR="00743EF7" w:rsidRPr="00A63F69" w:rsidRDefault="00743EF7" w:rsidP="00A63F69">
      <w:pPr>
        <w:pStyle w:val="Default"/>
        <w:jc w:val="both"/>
        <w:rPr>
          <w:sz w:val="20"/>
          <w:szCs w:val="20"/>
        </w:rPr>
      </w:pPr>
    </w:p>
    <w:p w14:paraId="42066821"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 xml:space="preserve">Consideración de la creación de capacidad como herramienta para mejorar el cumplimiento, incluida la identificación de las oportunidades de creación de capacidad disponibles y las necesidades y solicitudes de las CPC en cuanto a la creación de capacidad </w:t>
      </w:r>
    </w:p>
    <w:p w14:paraId="0AD5A2F8" w14:textId="77777777" w:rsidR="00743EF7" w:rsidRPr="00A63F69" w:rsidRDefault="00743EF7" w:rsidP="00A63F69">
      <w:pPr>
        <w:tabs>
          <w:tab w:val="left" w:pos="426"/>
        </w:tabs>
        <w:jc w:val="both"/>
        <w:rPr>
          <w:rFonts w:ascii="Cambria" w:hAnsi="Cambria"/>
          <w:sz w:val="20"/>
          <w:szCs w:val="20"/>
        </w:rPr>
      </w:pPr>
    </w:p>
    <w:p w14:paraId="40D9AF07" w14:textId="622C0E94" w:rsidR="00743EF7" w:rsidRPr="00A63F69" w:rsidRDefault="00743EF7" w:rsidP="00A63F69">
      <w:pPr>
        <w:autoSpaceDE w:val="0"/>
        <w:autoSpaceDN w:val="0"/>
        <w:adjustRightInd w:val="0"/>
        <w:ind w:left="360"/>
        <w:jc w:val="both"/>
        <w:rPr>
          <w:rFonts w:ascii="Cambria" w:eastAsiaTheme="minorHAnsi" w:hAnsi="Cambria" w:cs="Cambria"/>
          <w:b/>
          <w:bCs/>
          <w:i/>
          <w:iCs/>
          <w:color w:val="000000"/>
          <w:sz w:val="20"/>
          <w:szCs w:val="20"/>
        </w:rPr>
      </w:pPr>
      <w:r w:rsidRPr="00A63F69">
        <w:rPr>
          <w:rFonts w:ascii="Cambria" w:hAnsi="Cambria"/>
          <w:i/>
          <w:color w:val="000000"/>
          <w:sz w:val="20"/>
          <w:szCs w:val="20"/>
        </w:rPr>
        <w:t xml:space="preserve">La lista de iniciativas de desarrollo de capacidades relacionadas con el cumplimiento ofrecidas por las CPC, tal y como solicitó el presidente, está disponible como </w:t>
      </w:r>
      <w:r w:rsidRPr="00A63F69">
        <w:rPr>
          <w:rFonts w:ascii="Cambria" w:hAnsi="Cambria"/>
          <w:b/>
          <w:i/>
          <w:color w:val="000000"/>
          <w:sz w:val="20"/>
          <w:szCs w:val="20"/>
        </w:rPr>
        <w:t>COC_307/2025</w:t>
      </w:r>
      <w:r w:rsidRPr="00A63F69">
        <w:rPr>
          <w:rFonts w:ascii="Cambria" w:hAnsi="Cambria"/>
          <w:i/>
          <w:color w:val="000000"/>
          <w:sz w:val="20"/>
          <w:szCs w:val="20"/>
        </w:rPr>
        <w:t>.</w:t>
      </w:r>
    </w:p>
    <w:p w14:paraId="7A1C7C73" w14:textId="77777777" w:rsidR="00743EF7" w:rsidRPr="00A63F69" w:rsidRDefault="00743EF7" w:rsidP="00A63F69">
      <w:pPr>
        <w:autoSpaceDE w:val="0"/>
        <w:autoSpaceDN w:val="0"/>
        <w:adjustRightInd w:val="0"/>
        <w:ind w:left="360"/>
        <w:jc w:val="both"/>
        <w:rPr>
          <w:rFonts w:ascii="Cambria" w:eastAsiaTheme="minorHAnsi" w:hAnsi="Cambria" w:cs="Cambria"/>
          <w:color w:val="000000"/>
          <w:sz w:val="20"/>
          <w:szCs w:val="20"/>
        </w:rPr>
      </w:pPr>
    </w:p>
    <w:p w14:paraId="31DF50F9" w14:textId="77777777" w:rsidR="00743EF7" w:rsidRPr="00A63F69" w:rsidRDefault="00743EF7" w:rsidP="00A63F69">
      <w:pPr>
        <w:autoSpaceDE w:val="0"/>
        <w:autoSpaceDN w:val="0"/>
        <w:adjustRightInd w:val="0"/>
        <w:ind w:left="360"/>
        <w:jc w:val="both"/>
        <w:rPr>
          <w:rFonts w:ascii="Cambria" w:eastAsiaTheme="minorHAnsi" w:hAnsi="Cambria" w:cs="Cambria"/>
          <w:b/>
          <w:bCs/>
          <w:i/>
          <w:iCs/>
          <w:color w:val="000000"/>
          <w:sz w:val="20"/>
          <w:szCs w:val="20"/>
        </w:rPr>
      </w:pPr>
      <w:r w:rsidRPr="00A63F69">
        <w:rPr>
          <w:rFonts w:ascii="Cambria" w:hAnsi="Cambria"/>
          <w:i/>
          <w:color w:val="000000"/>
          <w:sz w:val="20"/>
          <w:szCs w:val="20"/>
        </w:rPr>
        <w:t>En</w:t>
      </w:r>
      <w:r w:rsidRPr="00A63F69">
        <w:rPr>
          <w:rFonts w:ascii="Cambria" w:hAnsi="Cambria"/>
          <w:b/>
          <w:i/>
          <w:color w:val="000000"/>
          <w:sz w:val="20"/>
          <w:szCs w:val="20"/>
        </w:rPr>
        <w:t xml:space="preserve"> </w:t>
      </w:r>
      <w:r w:rsidRPr="00A63F69">
        <w:rPr>
          <w:rFonts w:ascii="Cambria" w:hAnsi="Cambria"/>
          <w:i/>
          <w:color w:val="000000"/>
          <w:sz w:val="20"/>
          <w:szCs w:val="20"/>
        </w:rPr>
        <w:t xml:space="preserve">el </w:t>
      </w:r>
      <w:r w:rsidRPr="00A63F69">
        <w:rPr>
          <w:rFonts w:ascii="Cambria" w:hAnsi="Cambria"/>
          <w:b/>
          <w:i/>
          <w:color w:val="000000"/>
          <w:sz w:val="20"/>
          <w:szCs w:val="20"/>
        </w:rPr>
        <w:t xml:space="preserve">COC_311/2025 </w:t>
      </w:r>
      <w:r w:rsidRPr="00A63F69">
        <w:rPr>
          <w:rFonts w:ascii="Cambria" w:hAnsi="Cambria"/>
          <w:i/>
          <w:color w:val="000000"/>
          <w:sz w:val="20"/>
          <w:szCs w:val="20"/>
        </w:rPr>
        <w:t>se recogen extractos de las dificultades encontradas en la implementación de las medidas de conservación y ordenación de ICCAT comunicadas por las CPC en sus Informes anuales.</w:t>
      </w:r>
    </w:p>
    <w:p w14:paraId="5F322A69" w14:textId="77777777" w:rsidR="00743EF7" w:rsidRPr="00A63F69" w:rsidRDefault="00743EF7" w:rsidP="00A63F69">
      <w:pPr>
        <w:autoSpaceDE w:val="0"/>
        <w:autoSpaceDN w:val="0"/>
        <w:adjustRightInd w:val="0"/>
        <w:jc w:val="both"/>
        <w:rPr>
          <w:rFonts w:ascii="Cambria" w:eastAsiaTheme="minorHAnsi" w:hAnsi="Cambria" w:cs="Cambria"/>
          <w:color w:val="000000"/>
          <w:sz w:val="20"/>
          <w:szCs w:val="20"/>
        </w:rPr>
      </w:pPr>
      <w:r w:rsidRPr="00A63F69">
        <w:rPr>
          <w:rFonts w:ascii="Cambria" w:hAnsi="Cambria"/>
          <w:color w:val="000000"/>
          <w:sz w:val="20"/>
          <w:szCs w:val="20"/>
        </w:rPr>
        <w:t xml:space="preserve"> </w:t>
      </w:r>
    </w:p>
    <w:p w14:paraId="2291E2B3" w14:textId="4F382E63" w:rsidR="00743EF7" w:rsidRPr="00A63F69" w:rsidRDefault="00743EF7" w:rsidP="00A63F69">
      <w:pPr>
        <w:pStyle w:val="ListParagraph"/>
        <w:tabs>
          <w:tab w:val="left" w:pos="426"/>
        </w:tabs>
        <w:ind w:left="360"/>
        <w:jc w:val="both"/>
        <w:rPr>
          <w:rFonts w:ascii="Cambria" w:hAnsi="Cambria" w:cs="Cambria"/>
          <w:b/>
          <w:bCs/>
          <w:i/>
          <w:iCs/>
          <w:color w:val="000000"/>
          <w:sz w:val="20"/>
          <w:szCs w:val="20"/>
        </w:rPr>
      </w:pPr>
      <w:r w:rsidRPr="00A63F69">
        <w:rPr>
          <w:rFonts w:ascii="Cambria" w:hAnsi="Cambria"/>
          <w:i/>
          <w:color w:val="000000"/>
          <w:sz w:val="20"/>
          <w:szCs w:val="20"/>
        </w:rPr>
        <w:t>Las solicitudes de asistencia en materia de cumplimiento de conformidad con la financiación disponible del ABNJ2 se han recopilado en</w:t>
      </w:r>
      <w:r w:rsidRPr="00A63F69">
        <w:rPr>
          <w:rFonts w:ascii="Cambria" w:hAnsi="Cambria"/>
          <w:b/>
          <w:i/>
          <w:color w:val="000000"/>
          <w:sz w:val="20"/>
          <w:szCs w:val="20"/>
        </w:rPr>
        <w:t xml:space="preserve"> </w:t>
      </w:r>
      <w:r w:rsidRPr="00A63F69">
        <w:rPr>
          <w:rFonts w:ascii="Cambria" w:hAnsi="Cambria"/>
          <w:i/>
          <w:color w:val="000000"/>
          <w:sz w:val="20"/>
          <w:szCs w:val="20"/>
        </w:rPr>
        <w:t xml:space="preserve">el </w:t>
      </w:r>
      <w:r w:rsidRPr="00A63F69">
        <w:rPr>
          <w:rFonts w:ascii="Cambria" w:hAnsi="Cambria"/>
          <w:b/>
          <w:i/>
          <w:color w:val="000000"/>
          <w:sz w:val="20"/>
          <w:szCs w:val="20"/>
        </w:rPr>
        <w:t>COC_313</w:t>
      </w:r>
      <w:r w:rsidR="00F9304F" w:rsidRPr="00A63F69">
        <w:rPr>
          <w:rFonts w:ascii="Cambria" w:hAnsi="Cambria"/>
          <w:b/>
          <w:i/>
          <w:color w:val="000000"/>
          <w:sz w:val="20"/>
          <w:szCs w:val="20"/>
        </w:rPr>
        <w:t>_REV_1</w:t>
      </w:r>
      <w:r w:rsidRPr="00A63F69">
        <w:rPr>
          <w:rFonts w:ascii="Cambria" w:hAnsi="Cambria"/>
          <w:b/>
          <w:i/>
          <w:color w:val="000000"/>
          <w:sz w:val="20"/>
          <w:szCs w:val="20"/>
        </w:rPr>
        <w:t>/2025.</w:t>
      </w:r>
    </w:p>
    <w:p w14:paraId="51B2BDB9" w14:textId="77777777" w:rsidR="00743EF7" w:rsidRPr="00A63F69" w:rsidRDefault="00743EF7" w:rsidP="00A63F69">
      <w:pPr>
        <w:pStyle w:val="ListParagraph"/>
        <w:tabs>
          <w:tab w:val="left" w:pos="426"/>
        </w:tabs>
        <w:ind w:left="360"/>
        <w:jc w:val="both"/>
        <w:rPr>
          <w:rFonts w:ascii="Cambria" w:hAnsi="Cambria"/>
          <w:sz w:val="20"/>
          <w:szCs w:val="20"/>
        </w:rPr>
      </w:pPr>
    </w:p>
    <w:p w14:paraId="51255419" w14:textId="77777777" w:rsidR="00743EF7" w:rsidRPr="00A63F69" w:rsidRDefault="00743EF7" w:rsidP="00A63F69">
      <w:pPr>
        <w:pStyle w:val="ListParagraph"/>
        <w:widowControl w:val="0"/>
        <w:numPr>
          <w:ilvl w:val="0"/>
          <w:numId w:val="31"/>
        </w:numPr>
        <w:jc w:val="both"/>
        <w:rPr>
          <w:rFonts w:ascii="Cambria" w:hAnsi="Cambria"/>
          <w:sz w:val="20"/>
          <w:szCs w:val="20"/>
        </w:rPr>
      </w:pPr>
      <w:r w:rsidRPr="00A63F69">
        <w:rPr>
          <w:rFonts w:ascii="Cambria" w:hAnsi="Cambria"/>
          <w:sz w:val="20"/>
          <w:szCs w:val="20"/>
        </w:rPr>
        <w:t>Examen de las respuestas a las cartas del presidente derivadas de la reunión de 2024</w:t>
      </w:r>
    </w:p>
    <w:p w14:paraId="20182085" w14:textId="77777777" w:rsidR="00743EF7" w:rsidRPr="00A63F69" w:rsidRDefault="00743EF7" w:rsidP="00A63F69">
      <w:pPr>
        <w:pStyle w:val="ListParagraph"/>
        <w:jc w:val="both"/>
        <w:rPr>
          <w:rFonts w:ascii="Cambria" w:hAnsi="Cambria"/>
          <w:sz w:val="20"/>
          <w:szCs w:val="20"/>
        </w:rPr>
      </w:pPr>
    </w:p>
    <w:p w14:paraId="58A45533" w14:textId="0B54BBEE"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Las respuestas y los planes de acción enviados por las CPC en respuesta a una solicitud del presidente del COC están disponibles en el </w:t>
      </w:r>
      <w:r w:rsidRPr="00A63F69">
        <w:rPr>
          <w:rFonts w:ascii="Cambria" w:hAnsi="Cambria"/>
          <w:b/>
          <w:bCs/>
          <w:i/>
          <w:sz w:val="20"/>
          <w:szCs w:val="20"/>
        </w:rPr>
        <w:t>COC_309</w:t>
      </w:r>
      <w:r w:rsidR="0098600F" w:rsidRPr="00A63F69">
        <w:rPr>
          <w:rFonts w:ascii="Cambria" w:hAnsi="Cambria"/>
          <w:b/>
          <w:bCs/>
          <w:i/>
          <w:sz w:val="20"/>
          <w:szCs w:val="20"/>
        </w:rPr>
        <w:t>_REV_1</w:t>
      </w:r>
      <w:r w:rsidRPr="00A63F69">
        <w:rPr>
          <w:rFonts w:ascii="Cambria" w:hAnsi="Cambria"/>
          <w:b/>
          <w:bCs/>
          <w:i/>
          <w:sz w:val="20"/>
          <w:szCs w:val="20"/>
        </w:rPr>
        <w:t>/</w:t>
      </w:r>
      <w:r w:rsidRPr="00A63F69">
        <w:rPr>
          <w:rFonts w:ascii="Cambria" w:hAnsi="Cambria"/>
          <w:b/>
          <w:i/>
          <w:sz w:val="20"/>
          <w:szCs w:val="20"/>
        </w:rPr>
        <w:t>2025</w:t>
      </w:r>
      <w:r w:rsidRPr="00A63F69">
        <w:rPr>
          <w:rFonts w:ascii="Cambria" w:hAnsi="Cambria"/>
          <w:i/>
          <w:sz w:val="20"/>
          <w:szCs w:val="20"/>
        </w:rPr>
        <w:t xml:space="preserve">. Las respuestas recibidas tras la fecha límite se </w:t>
      </w:r>
      <w:r w:rsidR="0098600F" w:rsidRPr="00A63F69">
        <w:rPr>
          <w:rFonts w:ascii="Cambria" w:hAnsi="Cambria"/>
          <w:i/>
          <w:sz w:val="20"/>
          <w:szCs w:val="20"/>
        </w:rPr>
        <w:t>publican</w:t>
      </w:r>
      <w:r w:rsidRPr="00A63F69">
        <w:rPr>
          <w:rFonts w:ascii="Cambria" w:hAnsi="Cambria"/>
          <w:i/>
          <w:sz w:val="20"/>
          <w:szCs w:val="20"/>
        </w:rPr>
        <w:t xml:space="preserve"> en un adenda a dicho documento. </w:t>
      </w:r>
    </w:p>
    <w:p w14:paraId="336558EC" w14:textId="77777777" w:rsidR="00743EF7" w:rsidRPr="00A63F69" w:rsidRDefault="00743EF7" w:rsidP="00A63F69">
      <w:pPr>
        <w:tabs>
          <w:tab w:val="left" w:pos="426"/>
        </w:tabs>
        <w:jc w:val="both"/>
        <w:rPr>
          <w:rFonts w:ascii="Cambria" w:hAnsi="Cambria"/>
          <w:sz w:val="20"/>
          <w:szCs w:val="20"/>
        </w:rPr>
      </w:pPr>
    </w:p>
    <w:p w14:paraId="521135F1"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Examen y aprobación del Anexo de cumplimiento (tablas de cumplimiento por especies)</w:t>
      </w:r>
    </w:p>
    <w:p w14:paraId="794F4114" w14:textId="77777777" w:rsidR="00743EF7" w:rsidRPr="00A63F69" w:rsidRDefault="00743EF7" w:rsidP="00A63F69">
      <w:pPr>
        <w:pStyle w:val="ListParagraph"/>
        <w:jc w:val="both"/>
        <w:rPr>
          <w:rFonts w:ascii="Cambria" w:hAnsi="Cambria"/>
          <w:sz w:val="20"/>
          <w:szCs w:val="20"/>
        </w:rPr>
      </w:pPr>
    </w:p>
    <w:p w14:paraId="708096FF" w14:textId="20A2131F" w:rsidR="00743EF7" w:rsidRPr="00A63F69" w:rsidRDefault="00743EF7" w:rsidP="00A63F69">
      <w:pPr>
        <w:pStyle w:val="ListParagraph"/>
        <w:tabs>
          <w:tab w:val="left" w:pos="426"/>
        </w:tabs>
        <w:ind w:left="360"/>
        <w:jc w:val="both"/>
        <w:rPr>
          <w:rFonts w:ascii="Cambria" w:hAnsi="Cambria"/>
          <w:i/>
          <w:iCs/>
          <w:sz w:val="20"/>
          <w:szCs w:val="20"/>
        </w:rPr>
      </w:pPr>
      <w:r w:rsidRPr="00A63F69">
        <w:rPr>
          <w:rFonts w:ascii="Cambria" w:hAnsi="Cambria"/>
          <w:i/>
          <w:sz w:val="20"/>
          <w:szCs w:val="20"/>
        </w:rPr>
        <w:t xml:space="preserve">El proyecto de tablas de cumplimiento se ha circulado como </w:t>
      </w:r>
      <w:r w:rsidRPr="00A63F69">
        <w:rPr>
          <w:rFonts w:ascii="Cambria" w:hAnsi="Cambria"/>
          <w:b/>
          <w:i/>
          <w:sz w:val="20"/>
          <w:szCs w:val="20"/>
        </w:rPr>
        <w:t>COC_304</w:t>
      </w:r>
      <w:r w:rsidR="00F9304F" w:rsidRPr="00A63F69">
        <w:rPr>
          <w:rFonts w:ascii="Cambria" w:hAnsi="Cambria"/>
          <w:b/>
          <w:i/>
          <w:sz w:val="20"/>
          <w:szCs w:val="20"/>
        </w:rPr>
        <w:t>_REV_1</w:t>
      </w:r>
      <w:r w:rsidRPr="00A63F69">
        <w:rPr>
          <w:rFonts w:ascii="Cambria" w:hAnsi="Cambria"/>
          <w:b/>
          <w:i/>
          <w:sz w:val="20"/>
          <w:szCs w:val="20"/>
        </w:rPr>
        <w:t>/2025.</w:t>
      </w:r>
    </w:p>
    <w:p w14:paraId="102DA2DC" w14:textId="77777777" w:rsidR="00743EF7" w:rsidRPr="00A63F69" w:rsidRDefault="00743EF7" w:rsidP="00A63F69">
      <w:pPr>
        <w:pStyle w:val="ListParagraph"/>
        <w:tabs>
          <w:tab w:val="left" w:pos="426"/>
        </w:tabs>
        <w:ind w:left="360"/>
        <w:jc w:val="both"/>
        <w:rPr>
          <w:rFonts w:ascii="Cambria" w:hAnsi="Cambria"/>
          <w:i/>
          <w:iCs/>
          <w:sz w:val="20"/>
          <w:szCs w:val="20"/>
        </w:rPr>
      </w:pPr>
    </w:p>
    <w:p w14:paraId="41CD8CE4"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Acciones con arreglo a las recomendaciones sobre datos (Rec. 05-09 y Rec. 11-15)</w:t>
      </w:r>
    </w:p>
    <w:p w14:paraId="05A2DECC" w14:textId="77777777" w:rsidR="00743EF7" w:rsidRPr="00A63F69" w:rsidRDefault="00743EF7" w:rsidP="00A63F69">
      <w:pPr>
        <w:tabs>
          <w:tab w:val="left" w:pos="426"/>
        </w:tabs>
        <w:jc w:val="both"/>
        <w:rPr>
          <w:rFonts w:ascii="Cambria" w:hAnsi="Cambria"/>
          <w:sz w:val="20"/>
          <w:szCs w:val="20"/>
        </w:rPr>
      </w:pPr>
    </w:p>
    <w:p w14:paraId="5449F506" w14:textId="77777777" w:rsidR="00743EF7" w:rsidRPr="00A63F69" w:rsidRDefault="00743EF7" w:rsidP="00A63F69">
      <w:pPr>
        <w:tabs>
          <w:tab w:val="left" w:pos="426"/>
        </w:tabs>
        <w:ind w:left="810" w:hanging="450"/>
        <w:jc w:val="both"/>
        <w:rPr>
          <w:rFonts w:ascii="Cambria" w:hAnsi="Cambria"/>
          <w:i/>
          <w:iCs/>
          <w:sz w:val="20"/>
          <w:szCs w:val="20"/>
        </w:rPr>
      </w:pPr>
      <w:r w:rsidRPr="00A63F69">
        <w:rPr>
          <w:rFonts w:ascii="Cambria" w:hAnsi="Cambria"/>
          <w:i/>
          <w:sz w:val="20"/>
          <w:szCs w:val="20"/>
        </w:rPr>
        <w:t>10.1</w:t>
      </w:r>
      <w:r w:rsidRPr="00A63F69">
        <w:rPr>
          <w:rFonts w:ascii="Cambria" w:hAnsi="Cambria"/>
          <w:i/>
          <w:sz w:val="20"/>
          <w:szCs w:val="20"/>
        </w:rPr>
        <w:tab/>
        <w:t xml:space="preserve">La </w:t>
      </w:r>
      <w:hyperlink r:id="rId19" w:history="1">
        <w:r w:rsidRPr="00A63F69">
          <w:rPr>
            <w:rStyle w:val="Hyperlink"/>
            <w:rFonts w:ascii="Cambria" w:hAnsi="Cambria"/>
            <w:i/>
            <w:sz w:val="20"/>
            <w:szCs w:val="20"/>
            <w:u w:val="none"/>
          </w:rPr>
          <w:t xml:space="preserve">Recomendación de ICCAT sobre cumplimiento de las obligaciones de comunicar las estadísticas </w:t>
        </w:r>
        <w:r w:rsidRPr="00A63F69">
          <w:rPr>
            <w:rStyle w:val="Hyperlink"/>
            <w:rFonts w:ascii="Cambria" w:hAnsi="Cambria"/>
            <w:sz w:val="20"/>
            <w:szCs w:val="20"/>
            <w:u w:val="none"/>
          </w:rPr>
          <w:t>(Rec. 05-09)</w:t>
        </w:r>
      </w:hyperlink>
      <w:r w:rsidRPr="00A63F69">
        <w:rPr>
          <w:rFonts w:ascii="Cambria" w:hAnsi="Cambria"/>
          <w:i/>
          <w:sz w:val="20"/>
          <w:szCs w:val="20"/>
        </w:rPr>
        <w:t xml:space="preserve"> establece que el Comité de Cumplimiento o el GTP identificarán deficiencias problemáticas en los datos y recomendarán las acciones oportunas que deberán emprender las respectivas CPC para tratar el problema (</w:t>
      </w:r>
      <w:r w:rsidRPr="00A63F69">
        <w:rPr>
          <w:rFonts w:ascii="Cambria" w:hAnsi="Cambria"/>
          <w:b/>
          <w:i/>
          <w:sz w:val="20"/>
          <w:szCs w:val="20"/>
        </w:rPr>
        <w:t>Anexo 8</w:t>
      </w:r>
      <w:r w:rsidRPr="00A63F69">
        <w:rPr>
          <w:rFonts w:ascii="Cambria" w:hAnsi="Cambria"/>
          <w:i/>
          <w:sz w:val="20"/>
          <w:szCs w:val="20"/>
        </w:rPr>
        <w:t xml:space="preserve"> al </w:t>
      </w:r>
      <w:r w:rsidRPr="00A63F69">
        <w:rPr>
          <w:rFonts w:ascii="Cambria" w:hAnsi="Cambria"/>
          <w:b/>
          <w:i/>
          <w:sz w:val="20"/>
          <w:szCs w:val="20"/>
        </w:rPr>
        <w:t>COC_303/2025</w:t>
      </w:r>
      <w:r w:rsidRPr="00A63F69">
        <w:rPr>
          <w:rFonts w:ascii="Cambria" w:hAnsi="Cambria"/>
          <w:i/>
          <w:sz w:val="20"/>
          <w:szCs w:val="20"/>
        </w:rPr>
        <w:t>).</w:t>
      </w:r>
    </w:p>
    <w:p w14:paraId="3449DADF" w14:textId="77777777" w:rsidR="00743EF7" w:rsidRPr="00A63F69" w:rsidRDefault="00743EF7" w:rsidP="00A63F69">
      <w:pPr>
        <w:tabs>
          <w:tab w:val="left" w:pos="426"/>
        </w:tabs>
        <w:ind w:left="810" w:hanging="450"/>
        <w:jc w:val="both"/>
        <w:rPr>
          <w:rFonts w:ascii="Cambria" w:hAnsi="Cambria"/>
          <w:i/>
          <w:iCs/>
          <w:sz w:val="20"/>
          <w:szCs w:val="20"/>
        </w:rPr>
      </w:pPr>
    </w:p>
    <w:p w14:paraId="105E61E0" w14:textId="77777777" w:rsidR="00743EF7" w:rsidRPr="00A63F69" w:rsidRDefault="00743EF7" w:rsidP="00A63F69">
      <w:pPr>
        <w:ind w:left="720" w:hanging="360"/>
        <w:jc w:val="both"/>
        <w:rPr>
          <w:rFonts w:ascii="Cambria" w:eastAsia="Calibri" w:hAnsi="Cambria" w:cs="Calibri"/>
          <w:sz w:val="20"/>
          <w:szCs w:val="20"/>
        </w:rPr>
      </w:pPr>
      <w:r w:rsidRPr="00A63F69">
        <w:rPr>
          <w:rFonts w:ascii="Cambria" w:hAnsi="Cambria"/>
          <w:i/>
          <w:sz w:val="20"/>
          <w:szCs w:val="20"/>
        </w:rPr>
        <w:t>10.2</w:t>
      </w:r>
      <w:r w:rsidRPr="00A63F69">
        <w:rPr>
          <w:rFonts w:ascii="Cambria" w:hAnsi="Cambria"/>
          <w:i/>
          <w:sz w:val="20"/>
          <w:szCs w:val="20"/>
        </w:rPr>
        <w:tab/>
        <w:t xml:space="preserve"> La </w:t>
      </w:r>
      <w:hyperlink r:id="rId20" w:history="1">
        <w:r w:rsidRPr="00A63F69">
          <w:rPr>
            <w:rStyle w:val="Hyperlink"/>
            <w:rFonts w:ascii="Cambria" w:hAnsi="Cambria"/>
            <w:i/>
            <w:iCs/>
            <w:sz w:val="20"/>
            <w:szCs w:val="20"/>
            <w:u w:val="none"/>
          </w:rPr>
          <w:t>Recomendación de ICCAT sobre las penalizaciones aplicables en caso de incumplimiento de las obligaciones en materia de comunicación</w:t>
        </w:r>
        <w:r w:rsidRPr="00A63F69">
          <w:rPr>
            <w:rStyle w:val="Hyperlink"/>
            <w:rFonts w:ascii="Cambria" w:hAnsi="Cambria"/>
            <w:sz w:val="20"/>
            <w:szCs w:val="20"/>
            <w:u w:val="none"/>
          </w:rPr>
          <w:t xml:space="preserve"> (Rec. 11-15)</w:t>
        </w:r>
      </w:hyperlink>
      <w:r w:rsidRPr="00A63F69">
        <w:rPr>
          <w:rFonts w:ascii="Cambria" w:hAnsi="Cambria"/>
          <w:i/>
          <w:sz w:val="20"/>
          <w:szCs w:val="20"/>
        </w:rPr>
        <w:t xml:space="preserve"> proporciona la base para prohibir pesquerías si no se reciben los datos de Tarea 1 (</w:t>
      </w:r>
      <w:r w:rsidRPr="00A63F69">
        <w:rPr>
          <w:rFonts w:ascii="Cambria" w:hAnsi="Cambria"/>
          <w:b/>
          <w:i/>
          <w:sz w:val="20"/>
          <w:szCs w:val="20"/>
        </w:rPr>
        <w:t>Apéndice 3</w:t>
      </w:r>
      <w:r w:rsidRPr="00A63F69">
        <w:rPr>
          <w:rFonts w:ascii="Cambria" w:hAnsi="Cambria"/>
          <w:i/>
          <w:sz w:val="20"/>
          <w:szCs w:val="20"/>
        </w:rPr>
        <w:t xml:space="preserve"> al </w:t>
      </w:r>
      <w:r w:rsidRPr="00A63F69">
        <w:rPr>
          <w:rFonts w:ascii="Cambria" w:hAnsi="Cambria"/>
          <w:b/>
          <w:i/>
          <w:sz w:val="20"/>
          <w:szCs w:val="20"/>
        </w:rPr>
        <w:t>COC_303/2025</w:t>
      </w:r>
      <w:r w:rsidRPr="00A63F69">
        <w:rPr>
          <w:rFonts w:ascii="Cambria" w:hAnsi="Cambria"/>
          <w:i/>
          <w:sz w:val="20"/>
          <w:szCs w:val="20"/>
        </w:rPr>
        <w:t>)</w:t>
      </w:r>
      <w:r w:rsidRPr="00A63F69">
        <w:rPr>
          <w:rFonts w:ascii="Cambria" w:hAnsi="Cambria"/>
          <w:sz w:val="20"/>
          <w:szCs w:val="20"/>
        </w:rPr>
        <w:t>.</w:t>
      </w:r>
    </w:p>
    <w:p w14:paraId="0FDD7F15" w14:textId="77777777" w:rsidR="00743EF7" w:rsidRPr="00A63F69" w:rsidRDefault="00743EF7" w:rsidP="00A63F69">
      <w:pPr>
        <w:autoSpaceDE w:val="0"/>
        <w:autoSpaceDN w:val="0"/>
        <w:adjustRightInd w:val="0"/>
        <w:jc w:val="both"/>
        <w:rPr>
          <w:rFonts w:ascii="Cambria" w:hAnsi="Cambria"/>
          <w:sz w:val="20"/>
          <w:szCs w:val="20"/>
        </w:rPr>
      </w:pPr>
    </w:p>
    <w:p w14:paraId="3F60FEA7"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 xml:space="preserve">Examen de otra información pertinente, lo que incluye presentaciones con arreglo a la </w:t>
      </w:r>
      <w:hyperlink r:id="rId21" w:history="1">
        <w:r w:rsidRPr="00A63F69">
          <w:rPr>
            <w:rStyle w:val="Hyperlink"/>
            <w:rFonts w:ascii="Cambria" w:hAnsi="Cambria"/>
            <w:sz w:val="20"/>
            <w:szCs w:val="20"/>
            <w:u w:val="none"/>
          </w:rPr>
          <w:t>Rec. 08-09</w:t>
        </w:r>
      </w:hyperlink>
    </w:p>
    <w:p w14:paraId="07162516" w14:textId="77777777" w:rsidR="00743EF7" w:rsidRPr="00A63F69" w:rsidRDefault="00743EF7" w:rsidP="00A63F69">
      <w:pPr>
        <w:pStyle w:val="ListParagraph"/>
        <w:jc w:val="both"/>
        <w:rPr>
          <w:rFonts w:ascii="Cambria" w:hAnsi="Cambria"/>
          <w:sz w:val="20"/>
          <w:szCs w:val="20"/>
        </w:rPr>
      </w:pPr>
    </w:p>
    <w:p w14:paraId="77997D5A" w14:textId="4EE787EA"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iCs/>
          <w:sz w:val="20"/>
          <w:szCs w:val="20"/>
        </w:rPr>
        <w:t xml:space="preserve">La información presentada con arreglo a la </w:t>
      </w:r>
      <w:hyperlink r:id="rId22" w:history="1">
        <w:r w:rsidRPr="00A63F69">
          <w:rPr>
            <w:rStyle w:val="Hyperlink"/>
            <w:rFonts w:ascii="Cambria" w:hAnsi="Cambria"/>
            <w:i/>
            <w:iCs/>
            <w:sz w:val="20"/>
            <w:szCs w:val="20"/>
            <w:u w:val="none"/>
          </w:rPr>
          <w:t>Rec. 08-09</w:t>
        </w:r>
      </w:hyperlink>
      <w:r w:rsidRPr="00A63F69">
        <w:rPr>
          <w:rFonts w:ascii="Cambria" w:hAnsi="Cambria"/>
          <w:i/>
          <w:iCs/>
          <w:sz w:val="20"/>
          <w:szCs w:val="20"/>
        </w:rPr>
        <w:t xml:space="preserve"> está disponible como </w:t>
      </w:r>
      <w:r w:rsidRPr="00A63F69">
        <w:rPr>
          <w:rFonts w:ascii="Cambria" w:hAnsi="Cambria"/>
          <w:b/>
          <w:bCs/>
          <w:i/>
          <w:iCs/>
          <w:sz w:val="20"/>
          <w:szCs w:val="20"/>
        </w:rPr>
        <w:t>COC_312/2025</w:t>
      </w:r>
      <w:r w:rsidRPr="00A63F69">
        <w:rPr>
          <w:rFonts w:ascii="Cambria" w:hAnsi="Cambria"/>
          <w:i/>
          <w:sz w:val="20"/>
          <w:szCs w:val="20"/>
        </w:rPr>
        <w:t>, junto con las respuestas recibidas hasta la fecha.</w:t>
      </w:r>
    </w:p>
    <w:p w14:paraId="566AE705" w14:textId="77777777" w:rsidR="00743EF7" w:rsidRPr="00A63F69" w:rsidRDefault="00743EF7" w:rsidP="00A63F69">
      <w:pPr>
        <w:autoSpaceDE w:val="0"/>
        <w:autoSpaceDN w:val="0"/>
        <w:adjustRightInd w:val="0"/>
        <w:jc w:val="both"/>
        <w:rPr>
          <w:rFonts w:ascii="Cambria" w:hAnsi="Cambria"/>
          <w:sz w:val="20"/>
          <w:szCs w:val="20"/>
        </w:rPr>
      </w:pPr>
    </w:p>
    <w:p w14:paraId="5E2D986F"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Examen de la implementación y el cumplimiento de los requisitos de ICCAT por parte de las CPC</w:t>
      </w:r>
    </w:p>
    <w:p w14:paraId="163DD090" w14:textId="77777777" w:rsidR="00743EF7" w:rsidRPr="00A63F69" w:rsidRDefault="00743EF7" w:rsidP="00A63F69">
      <w:pPr>
        <w:pStyle w:val="ListParagraph"/>
        <w:jc w:val="both"/>
        <w:rPr>
          <w:rFonts w:ascii="Cambria" w:hAnsi="Cambria"/>
          <w:sz w:val="20"/>
          <w:szCs w:val="20"/>
        </w:rPr>
      </w:pPr>
    </w:p>
    <w:p w14:paraId="5C76EFEA" w14:textId="589C784B"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Los informes anuales presentados por las CPC están disponibles en el documento </w:t>
      </w:r>
      <w:r w:rsidRPr="00A63F69">
        <w:rPr>
          <w:rFonts w:ascii="Cambria" w:hAnsi="Cambria"/>
          <w:b/>
          <w:i/>
          <w:sz w:val="20"/>
          <w:szCs w:val="20"/>
        </w:rPr>
        <w:t>COC_301/2025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 xml:space="preserve">Las preguntas y respuestas sobre la versión del </w:t>
      </w:r>
      <w:r w:rsidRPr="00A63F69">
        <w:rPr>
          <w:rFonts w:ascii="Cambria" w:hAnsi="Cambria"/>
          <w:b/>
          <w:bCs/>
          <w:i/>
          <w:sz w:val="20"/>
          <w:szCs w:val="20"/>
        </w:rPr>
        <w:t>COC_308/2025</w:t>
      </w:r>
      <w:r w:rsidRPr="00A63F69">
        <w:rPr>
          <w:rFonts w:ascii="Cambria" w:hAnsi="Cambria"/>
          <w:i/>
          <w:sz w:val="20"/>
          <w:szCs w:val="20"/>
        </w:rPr>
        <w:t xml:space="preserve"> están publicadas como </w:t>
      </w:r>
      <w:r w:rsidRPr="00A63F69">
        <w:rPr>
          <w:rFonts w:ascii="Cambria" w:hAnsi="Cambria"/>
          <w:b/>
          <w:bCs/>
          <w:i/>
          <w:sz w:val="20"/>
          <w:szCs w:val="20"/>
        </w:rPr>
        <w:t>COC_306</w:t>
      </w:r>
      <w:r w:rsidR="00F9304F" w:rsidRPr="00A63F69">
        <w:rPr>
          <w:rFonts w:ascii="Cambria" w:hAnsi="Cambria"/>
          <w:b/>
          <w:bCs/>
          <w:i/>
          <w:sz w:val="20"/>
          <w:szCs w:val="20"/>
        </w:rPr>
        <w:t>_REV_2</w:t>
      </w:r>
      <w:r w:rsidRPr="00A63F69">
        <w:rPr>
          <w:rFonts w:ascii="Cambria" w:hAnsi="Cambria"/>
          <w:b/>
          <w:bCs/>
          <w:i/>
          <w:sz w:val="20"/>
          <w:szCs w:val="20"/>
        </w:rPr>
        <w:t>/2025</w:t>
      </w:r>
      <w:r w:rsidRPr="00A63F69">
        <w:rPr>
          <w:rFonts w:ascii="Cambria" w:hAnsi="Cambria"/>
          <w:i/>
          <w:sz w:val="20"/>
          <w:szCs w:val="20"/>
        </w:rPr>
        <w:t>. Una versión revisada de las tablas resumen de cumplimiento (</w:t>
      </w:r>
      <w:r w:rsidRPr="00A63F69">
        <w:rPr>
          <w:rFonts w:ascii="Cambria" w:hAnsi="Cambria"/>
          <w:b/>
          <w:bCs/>
          <w:i/>
          <w:sz w:val="20"/>
          <w:szCs w:val="20"/>
        </w:rPr>
        <w:t>COC_308A</w:t>
      </w:r>
      <w:r w:rsidR="0098600F" w:rsidRPr="00A63F69">
        <w:rPr>
          <w:rFonts w:ascii="Cambria" w:hAnsi="Cambria"/>
          <w:b/>
          <w:bCs/>
          <w:i/>
          <w:sz w:val="20"/>
          <w:szCs w:val="20"/>
        </w:rPr>
        <w:t>_REV_1</w:t>
      </w:r>
      <w:r w:rsidRPr="00A63F69">
        <w:rPr>
          <w:rFonts w:ascii="Cambria" w:hAnsi="Cambria"/>
          <w:b/>
          <w:bCs/>
          <w:i/>
          <w:sz w:val="20"/>
          <w:szCs w:val="20"/>
        </w:rPr>
        <w:t>/2025</w:t>
      </w:r>
      <w:r w:rsidRPr="00A63F69">
        <w:rPr>
          <w:rFonts w:ascii="Cambria" w:hAnsi="Cambria"/>
          <w:i/>
          <w:sz w:val="20"/>
          <w:szCs w:val="20"/>
        </w:rPr>
        <w:t xml:space="preserve">) contiene las respuestas escritas recibidas antes de la reunión, la presentación de datos adicionales y las revisiones realizadas por la Secretaría. Véanse también el </w:t>
      </w:r>
      <w:r w:rsidRPr="00A63F69">
        <w:rPr>
          <w:rFonts w:ascii="Cambria" w:hAnsi="Cambria"/>
          <w:b/>
          <w:i/>
          <w:sz w:val="20"/>
          <w:szCs w:val="20"/>
        </w:rPr>
        <w:t>COC_303/2025</w:t>
      </w:r>
      <w:r w:rsidRPr="00A63F69">
        <w:rPr>
          <w:rFonts w:ascii="Cambria" w:hAnsi="Cambria"/>
          <w:i/>
          <w:sz w:val="20"/>
          <w:szCs w:val="20"/>
        </w:rPr>
        <w:t xml:space="preserve">, </w:t>
      </w:r>
      <w:r w:rsidRPr="00A63F69">
        <w:rPr>
          <w:rFonts w:ascii="Cambria" w:hAnsi="Cambria"/>
          <w:b/>
          <w:i/>
          <w:sz w:val="20"/>
          <w:szCs w:val="20"/>
        </w:rPr>
        <w:t>COC_305/2025</w:t>
      </w:r>
      <w:r w:rsidRPr="00A63F69">
        <w:rPr>
          <w:rFonts w:ascii="Cambria" w:hAnsi="Cambria"/>
          <w:i/>
          <w:sz w:val="20"/>
          <w:szCs w:val="20"/>
        </w:rPr>
        <w:t xml:space="preserve"> y </w:t>
      </w:r>
      <w:r w:rsidRPr="00A63F69">
        <w:rPr>
          <w:rFonts w:ascii="Cambria" w:hAnsi="Cambria"/>
          <w:b/>
          <w:i/>
          <w:sz w:val="20"/>
          <w:szCs w:val="20"/>
        </w:rPr>
        <w:t>COC_312/2025</w:t>
      </w:r>
      <w:r w:rsidRPr="00A63F69">
        <w:rPr>
          <w:rFonts w:ascii="Cambria" w:hAnsi="Cambria"/>
          <w:i/>
          <w:sz w:val="20"/>
          <w:szCs w:val="20"/>
        </w:rPr>
        <w:t xml:space="preserve">, que contienen información sobre posibles problemas de cumplimiento que son relevantes para la revisión del cumplimiento de </w:t>
      </w:r>
      <w:r w:rsidR="00C80D3D" w:rsidRPr="00A63F69">
        <w:rPr>
          <w:rFonts w:ascii="Cambria" w:hAnsi="Cambria"/>
          <w:i/>
          <w:sz w:val="20"/>
          <w:szCs w:val="20"/>
        </w:rPr>
        <w:t xml:space="preserve">cada </w:t>
      </w:r>
      <w:r w:rsidRPr="00A63F69">
        <w:rPr>
          <w:rFonts w:ascii="Cambria" w:hAnsi="Cambria"/>
          <w:i/>
          <w:sz w:val="20"/>
          <w:szCs w:val="20"/>
        </w:rPr>
        <w:t xml:space="preserve">CPC. Las hojas de comprobación de tiburones actualizadas recibidas hasta la fecha están disponibles como </w:t>
      </w:r>
      <w:r w:rsidRPr="00A63F69">
        <w:rPr>
          <w:rFonts w:ascii="Cambria" w:hAnsi="Cambria"/>
          <w:b/>
          <w:i/>
          <w:sz w:val="20"/>
          <w:szCs w:val="20"/>
        </w:rPr>
        <w:t>COC_314/2025</w:t>
      </w:r>
      <w:r w:rsidRPr="00A63F69">
        <w:rPr>
          <w:rFonts w:ascii="Cambria" w:hAnsi="Cambria"/>
          <w:i/>
          <w:sz w:val="20"/>
          <w:szCs w:val="20"/>
        </w:rPr>
        <w:t xml:space="preserve"> y las hojas de comprobación de istiofóridos como </w:t>
      </w:r>
      <w:r w:rsidRPr="00A63F69">
        <w:rPr>
          <w:rFonts w:ascii="Cambria" w:hAnsi="Cambria"/>
          <w:b/>
          <w:i/>
          <w:sz w:val="20"/>
          <w:szCs w:val="20"/>
        </w:rPr>
        <w:t>COC_315</w:t>
      </w:r>
      <w:r w:rsidR="009220F3"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 xml:space="preserve">. La información relacionada con la implementación de los programas de observadores científicos se resume en el documento </w:t>
      </w:r>
      <w:r w:rsidRPr="00A63F69">
        <w:rPr>
          <w:rFonts w:ascii="Cambria" w:hAnsi="Cambria"/>
          <w:b/>
          <w:bCs/>
          <w:i/>
          <w:sz w:val="20"/>
          <w:szCs w:val="20"/>
        </w:rPr>
        <w:t>COC_318/2025</w:t>
      </w:r>
      <w:r w:rsidRPr="00A63F69">
        <w:rPr>
          <w:rFonts w:ascii="Cambria" w:hAnsi="Cambria"/>
          <w:i/>
          <w:sz w:val="20"/>
          <w:szCs w:val="20"/>
        </w:rPr>
        <w:t xml:space="preserve">. Puede incluirse información adicional en el documento </w:t>
      </w:r>
      <w:r w:rsidRPr="00A63F69">
        <w:rPr>
          <w:rFonts w:ascii="Cambria" w:hAnsi="Cambria"/>
          <w:b/>
          <w:bCs/>
          <w:i/>
          <w:sz w:val="20"/>
          <w:szCs w:val="20"/>
        </w:rPr>
        <w:t>PLE_105/2025</w:t>
      </w:r>
      <w:r w:rsidRPr="00A63F69">
        <w:rPr>
          <w:rFonts w:ascii="Cambria" w:hAnsi="Cambria"/>
          <w:i/>
          <w:sz w:val="20"/>
          <w:szCs w:val="20"/>
        </w:rPr>
        <w:t>.</w:t>
      </w:r>
    </w:p>
    <w:p w14:paraId="59DEC869" w14:textId="77777777" w:rsidR="00743EF7" w:rsidRPr="00A63F69" w:rsidRDefault="00743EF7" w:rsidP="00A63F69">
      <w:pPr>
        <w:tabs>
          <w:tab w:val="left" w:pos="426"/>
        </w:tabs>
        <w:jc w:val="both"/>
        <w:rPr>
          <w:rFonts w:ascii="Cambria" w:hAnsi="Cambria"/>
          <w:sz w:val="20"/>
          <w:szCs w:val="20"/>
          <w:lang w:val="en-GB"/>
        </w:rPr>
      </w:pPr>
    </w:p>
    <w:p w14:paraId="52BB4D45"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Examen de la información relacionada con las no CPC</w:t>
      </w:r>
    </w:p>
    <w:p w14:paraId="769023D5" w14:textId="77777777" w:rsidR="00743EF7" w:rsidRPr="00A63F69" w:rsidRDefault="00743EF7" w:rsidP="00A63F69">
      <w:pPr>
        <w:pStyle w:val="ListParagraph"/>
        <w:jc w:val="both"/>
        <w:rPr>
          <w:rFonts w:ascii="Cambria" w:hAnsi="Cambria"/>
          <w:sz w:val="20"/>
          <w:szCs w:val="20"/>
        </w:rPr>
      </w:pPr>
    </w:p>
    <w:p w14:paraId="12BBA56E" w14:textId="77777777" w:rsidR="00743EF7" w:rsidRPr="00A63F69" w:rsidRDefault="00743EF7" w:rsidP="00A63F69">
      <w:pPr>
        <w:ind w:left="360"/>
        <w:jc w:val="both"/>
        <w:rPr>
          <w:rFonts w:ascii="Cambria" w:hAnsi="Cambria"/>
          <w:sz w:val="20"/>
          <w:szCs w:val="20"/>
        </w:rPr>
      </w:pPr>
      <w:r w:rsidRPr="00A63F69">
        <w:rPr>
          <w:rFonts w:ascii="Cambria" w:hAnsi="Cambria"/>
          <w:i/>
          <w:sz w:val="20"/>
          <w:szCs w:val="20"/>
        </w:rPr>
        <w:t xml:space="preserve">Las respuestas a las cartas del presidente están publicadas como </w:t>
      </w:r>
      <w:r w:rsidRPr="00A63F69">
        <w:rPr>
          <w:rFonts w:ascii="Cambria" w:hAnsi="Cambria"/>
          <w:b/>
          <w:bCs/>
          <w:i/>
          <w:sz w:val="20"/>
          <w:szCs w:val="20"/>
        </w:rPr>
        <w:t>COC_310/2025</w:t>
      </w:r>
      <w:r w:rsidRPr="00A63F69">
        <w:rPr>
          <w:rFonts w:ascii="Cambria" w:hAnsi="Cambria"/>
          <w:i/>
          <w:sz w:val="20"/>
          <w:szCs w:val="20"/>
        </w:rPr>
        <w:t>.</w:t>
      </w:r>
      <w:r w:rsidRPr="00A63F69">
        <w:rPr>
          <w:rFonts w:ascii="Cambria" w:hAnsi="Cambria"/>
          <w:b/>
          <w:i/>
          <w:sz w:val="20"/>
          <w:szCs w:val="20"/>
        </w:rPr>
        <w:t xml:space="preserve"> </w:t>
      </w:r>
    </w:p>
    <w:p w14:paraId="43C63AF6" w14:textId="77777777" w:rsidR="00743EF7" w:rsidRPr="00A63F69" w:rsidRDefault="00743EF7" w:rsidP="00A63F69">
      <w:pPr>
        <w:ind w:left="360"/>
        <w:jc w:val="both"/>
        <w:rPr>
          <w:rFonts w:ascii="Cambria" w:hAnsi="Cambria"/>
          <w:i/>
          <w:iCs/>
          <w:sz w:val="20"/>
          <w:szCs w:val="20"/>
        </w:rPr>
      </w:pPr>
    </w:p>
    <w:p w14:paraId="26D0CC94" w14:textId="7E08573C" w:rsidR="00743EF7" w:rsidRPr="00A63F69" w:rsidRDefault="00743EF7" w:rsidP="00A63F69">
      <w:pPr>
        <w:ind w:left="360"/>
        <w:jc w:val="both"/>
        <w:rPr>
          <w:rFonts w:ascii="Cambria" w:hAnsi="Cambria"/>
          <w:sz w:val="20"/>
          <w:szCs w:val="20"/>
        </w:rPr>
      </w:pPr>
      <w:r w:rsidRPr="00A63F69">
        <w:rPr>
          <w:rFonts w:ascii="Cambria" w:hAnsi="Cambria"/>
          <w:i/>
          <w:sz w:val="20"/>
          <w:szCs w:val="20"/>
        </w:rPr>
        <w:t>La Secretaría, en consulta con Japón y el presidente del COC, ha preparado un documento (</w:t>
      </w:r>
      <w:r w:rsidRPr="00A63F69">
        <w:rPr>
          <w:rFonts w:ascii="Cambria" w:hAnsi="Cambria"/>
          <w:b/>
          <w:i/>
          <w:sz w:val="20"/>
          <w:szCs w:val="20"/>
        </w:rPr>
        <w:t>COC_320/2025</w:t>
      </w:r>
      <w:r w:rsidRPr="00A63F69">
        <w:rPr>
          <w:rFonts w:ascii="Cambria" w:hAnsi="Cambria"/>
          <w:i/>
          <w:sz w:val="20"/>
          <w:szCs w:val="20"/>
        </w:rPr>
        <w:t>) en el que se recopilan los datos de capturas de las no CPC de los últimos cinco años, basándose en los datos estadísticos presentados por las no CPC a la Secretaría, así como a la FAO.</w:t>
      </w:r>
    </w:p>
    <w:p w14:paraId="3345221B" w14:textId="77777777" w:rsidR="00743EF7" w:rsidRPr="00A63F69" w:rsidRDefault="00743EF7" w:rsidP="00A63F69">
      <w:pPr>
        <w:tabs>
          <w:tab w:val="left" w:pos="426"/>
        </w:tabs>
        <w:jc w:val="both"/>
        <w:rPr>
          <w:rFonts w:ascii="Cambria" w:hAnsi="Cambria"/>
          <w:sz w:val="20"/>
          <w:szCs w:val="20"/>
        </w:rPr>
      </w:pPr>
    </w:p>
    <w:p w14:paraId="7E3A4590"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 xml:space="preserve">Determinación de las acciones recomendadas para abordar los temas relacionados con el incumplimiento de las CPC y con los temas relacionados con las no CPC </w:t>
      </w:r>
    </w:p>
    <w:p w14:paraId="1C8BAAC3" w14:textId="77777777" w:rsidR="00743EF7" w:rsidRPr="00A63F69" w:rsidRDefault="00743EF7" w:rsidP="00A63F69">
      <w:pPr>
        <w:tabs>
          <w:tab w:val="left" w:pos="426"/>
        </w:tabs>
        <w:ind w:left="360"/>
        <w:jc w:val="both"/>
        <w:rPr>
          <w:rFonts w:ascii="Cambria" w:hAnsi="Cambria"/>
          <w:sz w:val="20"/>
          <w:szCs w:val="20"/>
        </w:rPr>
      </w:pPr>
    </w:p>
    <w:p w14:paraId="3522C1A6" w14:textId="4098ADFE"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r w:rsidRPr="00A63F69">
        <w:rPr>
          <w:rFonts w:ascii="Cambria" w:hAnsi="Cambria"/>
          <w:sz w:val="20"/>
          <w:szCs w:val="20"/>
        </w:rPr>
        <w:t>Identificación u otras acciones con arreglo a la Recomendación sobre medidas comerciales (</w:t>
      </w:r>
      <w:hyperlink r:id="rId23" w:history="1">
        <w:r w:rsidRPr="00A63F69">
          <w:rPr>
            <w:rStyle w:val="Hyperlink"/>
            <w:rFonts w:ascii="Cambria" w:hAnsi="Cambria"/>
            <w:sz w:val="20"/>
            <w:szCs w:val="20"/>
            <w:u w:val="none"/>
          </w:rPr>
          <w:t>Rec.</w:t>
        </w:r>
        <w:r w:rsidR="000336B8" w:rsidRPr="00A63F69">
          <w:rPr>
            <w:rStyle w:val="Hyperlink"/>
            <w:rFonts w:ascii="Cambria" w:hAnsi="Cambria"/>
            <w:sz w:val="20"/>
            <w:szCs w:val="20"/>
            <w:u w:val="none"/>
          </w:rPr>
          <w:t> </w:t>
        </w:r>
        <w:r w:rsidRPr="00A63F69">
          <w:rPr>
            <w:rStyle w:val="Hyperlink"/>
            <w:rFonts w:ascii="Cambria" w:hAnsi="Cambria"/>
            <w:sz w:val="20"/>
            <w:szCs w:val="20"/>
            <w:u w:val="none"/>
          </w:rPr>
          <w:t>06-13</w:t>
        </w:r>
      </w:hyperlink>
      <w:r w:rsidRPr="00A63F69">
        <w:rPr>
          <w:rFonts w:ascii="Cambria" w:hAnsi="Cambria"/>
          <w:sz w:val="20"/>
          <w:szCs w:val="20"/>
        </w:rPr>
        <w:t>).</w:t>
      </w:r>
    </w:p>
    <w:p w14:paraId="116BC9BC" w14:textId="77777777" w:rsidR="00743EF7" w:rsidRPr="00A63F69" w:rsidRDefault="00743EF7" w:rsidP="00A63F69">
      <w:pPr>
        <w:pStyle w:val="ListParagraph"/>
        <w:jc w:val="both"/>
        <w:rPr>
          <w:rFonts w:ascii="Cambria" w:hAnsi="Cambria"/>
          <w:sz w:val="20"/>
          <w:szCs w:val="20"/>
        </w:rPr>
      </w:pPr>
    </w:p>
    <w:p w14:paraId="6F26EF43" w14:textId="22F3F00A" w:rsidR="00743EF7" w:rsidRPr="00A63F69" w:rsidRDefault="00743EF7" w:rsidP="00A63F69">
      <w:pPr>
        <w:pStyle w:val="ListParagraph"/>
        <w:tabs>
          <w:tab w:val="left" w:pos="426"/>
        </w:tabs>
        <w:ind w:left="792"/>
        <w:jc w:val="both"/>
        <w:rPr>
          <w:rFonts w:ascii="Cambria" w:hAnsi="Cambria"/>
          <w:sz w:val="20"/>
          <w:szCs w:val="20"/>
        </w:rPr>
      </w:pPr>
      <w:r w:rsidRPr="00A63F69">
        <w:rPr>
          <w:rFonts w:ascii="Cambria" w:hAnsi="Cambria"/>
          <w:i/>
          <w:sz w:val="20"/>
          <w:szCs w:val="20"/>
        </w:rPr>
        <w:t xml:space="preserve">Los datos presentados de conformidad con la </w:t>
      </w:r>
      <w:hyperlink r:id="rId24" w:history="1">
        <w:r w:rsidRPr="00A63F69">
          <w:rPr>
            <w:rStyle w:val="Hyperlink"/>
            <w:rFonts w:ascii="Cambria" w:hAnsi="Cambria"/>
            <w:i/>
            <w:sz w:val="20"/>
            <w:szCs w:val="20"/>
            <w:u w:val="none"/>
          </w:rPr>
          <w:t>Rec. 06-13</w:t>
        </w:r>
      </w:hyperlink>
      <w:r w:rsidRPr="00A63F69">
        <w:rPr>
          <w:rFonts w:ascii="Cambria" w:hAnsi="Cambria"/>
          <w:i/>
          <w:sz w:val="20"/>
          <w:szCs w:val="20"/>
        </w:rPr>
        <w:t xml:space="preserve"> están publicados electrónicamente como </w:t>
      </w:r>
      <w:r w:rsidRPr="00A63F69">
        <w:rPr>
          <w:rFonts w:ascii="Cambria" w:hAnsi="Cambria"/>
          <w:b/>
          <w:bCs/>
          <w:i/>
          <w:sz w:val="20"/>
          <w:szCs w:val="20"/>
        </w:rPr>
        <w:t>Anexo 1</w:t>
      </w:r>
      <w:r w:rsidRPr="00A63F69">
        <w:rPr>
          <w:rFonts w:ascii="Cambria" w:hAnsi="Cambria"/>
          <w:i/>
          <w:sz w:val="20"/>
          <w:szCs w:val="20"/>
        </w:rPr>
        <w:t xml:space="preserve"> al </w:t>
      </w:r>
      <w:r w:rsidRPr="00A63F69">
        <w:rPr>
          <w:rFonts w:ascii="Cambria" w:hAnsi="Cambria"/>
          <w:b/>
          <w:bCs/>
          <w:i/>
          <w:sz w:val="20"/>
          <w:szCs w:val="20"/>
        </w:rPr>
        <w:t>COC_303/2025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 xml:space="preserve">Puede incluirse información adicional en el documento </w:t>
      </w:r>
      <w:r w:rsidRPr="00A63F69">
        <w:rPr>
          <w:rFonts w:ascii="Cambria" w:hAnsi="Cambria"/>
          <w:b/>
          <w:bCs/>
          <w:i/>
          <w:sz w:val="20"/>
          <w:szCs w:val="20"/>
        </w:rPr>
        <w:t>PWG_401/2025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 xml:space="preserve">El Comité debería considerar cualquier acción necesaria basándose en el </w:t>
      </w:r>
      <w:r w:rsidRPr="00A63F69">
        <w:rPr>
          <w:rFonts w:ascii="Cambria" w:hAnsi="Cambria"/>
          <w:b/>
          <w:i/>
          <w:sz w:val="20"/>
          <w:szCs w:val="20"/>
        </w:rPr>
        <w:t>COC_308</w:t>
      </w:r>
      <w:r w:rsidR="00EA4CB8" w:rsidRPr="00A63F69">
        <w:rPr>
          <w:rFonts w:ascii="Cambria" w:hAnsi="Cambria"/>
          <w:b/>
          <w:i/>
          <w:sz w:val="20"/>
          <w:szCs w:val="20"/>
        </w:rPr>
        <w:t>A_REV_1</w:t>
      </w:r>
      <w:r w:rsidRPr="00A63F69">
        <w:rPr>
          <w:rFonts w:ascii="Cambria" w:hAnsi="Cambria"/>
          <w:b/>
          <w:i/>
          <w:sz w:val="20"/>
          <w:szCs w:val="20"/>
        </w:rPr>
        <w:t>/2025</w:t>
      </w:r>
      <w:r w:rsidRPr="00A63F69">
        <w:rPr>
          <w:rFonts w:ascii="Cambria" w:hAnsi="Cambria"/>
          <w:i/>
          <w:sz w:val="20"/>
          <w:szCs w:val="20"/>
        </w:rPr>
        <w:t xml:space="preserve"> y cualquier otra información pertinente.</w:t>
      </w:r>
    </w:p>
    <w:p w14:paraId="43B5BF7F" w14:textId="77777777" w:rsidR="00743EF7" w:rsidRPr="00A63F69" w:rsidRDefault="00743EF7" w:rsidP="00A63F69">
      <w:pPr>
        <w:tabs>
          <w:tab w:val="left" w:pos="426"/>
        </w:tabs>
        <w:jc w:val="both"/>
        <w:rPr>
          <w:rFonts w:ascii="Cambria" w:hAnsi="Cambria"/>
          <w:sz w:val="20"/>
          <w:szCs w:val="20"/>
        </w:rPr>
      </w:pPr>
    </w:p>
    <w:p w14:paraId="2E80432E"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r w:rsidRPr="00A63F69">
        <w:rPr>
          <w:rFonts w:ascii="Cambria" w:hAnsi="Cambria"/>
          <w:sz w:val="20"/>
          <w:szCs w:val="20"/>
        </w:rPr>
        <w:t xml:space="preserve">Cualquier otra acción en virtud de la </w:t>
      </w:r>
      <w:hyperlink r:id="rId25" w:history="1">
        <w:r w:rsidRPr="00A63F69">
          <w:rPr>
            <w:rStyle w:val="Hyperlink"/>
            <w:rFonts w:ascii="Cambria" w:hAnsi="Cambria"/>
            <w:sz w:val="20"/>
            <w:szCs w:val="20"/>
            <w:u w:val="none"/>
          </w:rPr>
          <w:t>Ref. 22-18</w:t>
        </w:r>
      </w:hyperlink>
    </w:p>
    <w:p w14:paraId="099DFF9A" w14:textId="77777777" w:rsidR="00743EF7" w:rsidRPr="00A63F69" w:rsidRDefault="00743EF7" w:rsidP="00A63F69">
      <w:pPr>
        <w:tabs>
          <w:tab w:val="left" w:pos="426"/>
        </w:tabs>
        <w:ind w:left="1068"/>
        <w:contextualSpacing/>
        <w:jc w:val="both"/>
        <w:rPr>
          <w:rFonts w:ascii="Cambria" w:hAnsi="Cambria"/>
          <w:sz w:val="20"/>
          <w:szCs w:val="20"/>
        </w:rPr>
      </w:pPr>
    </w:p>
    <w:p w14:paraId="0D6359CA"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Consideración de las renovaciones del estatus de colaborador y de cualquier solicitud de estatus de colaborador</w:t>
      </w:r>
    </w:p>
    <w:p w14:paraId="37785F9E" w14:textId="77777777" w:rsidR="00743EF7" w:rsidRPr="00A63F69" w:rsidRDefault="00743EF7" w:rsidP="00A63F69">
      <w:pPr>
        <w:tabs>
          <w:tab w:val="left" w:pos="426"/>
        </w:tabs>
        <w:jc w:val="both"/>
        <w:rPr>
          <w:rFonts w:ascii="Cambria" w:hAnsi="Cambria"/>
          <w:sz w:val="20"/>
          <w:szCs w:val="20"/>
        </w:rPr>
      </w:pPr>
    </w:p>
    <w:p w14:paraId="1FF903F2" w14:textId="77777777" w:rsidR="00743EF7" w:rsidRPr="00A63F69" w:rsidRDefault="00743EF7" w:rsidP="00A63F69">
      <w:pPr>
        <w:ind w:left="360"/>
        <w:jc w:val="both"/>
        <w:rPr>
          <w:rFonts w:ascii="Cambria" w:hAnsi="Cambria"/>
          <w:sz w:val="20"/>
          <w:szCs w:val="20"/>
        </w:rPr>
      </w:pPr>
      <w:r w:rsidRPr="00A63F69">
        <w:rPr>
          <w:rFonts w:ascii="Cambria" w:hAnsi="Cambria"/>
          <w:i/>
          <w:sz w:val="20"/>
          <w:szCs w:val="20"/>
        </w:rPr>
        <w:t>No se han recibido nuevas solicitudes dentro del plazo establecido. Bolivia, Taipei Chino, Guyana y Surinam tienen actualmente el estatus de colaborador.</w:t>
      </w:r>
    </w:p>
    <w:p w14:paraId="2F1922B2" w14:textId="77777777" w:rsidR="00743EF7" w:rsidRPr="00A63F69" w:rsidRDefault="00743EF7" w:rsidP="00A63F69">
      <w:pPr>
        <w:tabs>
          <w:tab w:val="left" w:pos="426"/>
        </w:tabs>
        <w:jc w:val="both"/>
        <w:rPr>
          <w:rFonts w:ascii="Cambria" w:hAnsi="Cambria"/>
          <w:b/>
          <w:bCs/>
          <w:i/>
          <w:iCs/>
          <w:sz w:val="20"/>
          <w:szCs w:val="20"/>
        </w:rPr>
      </w:pPr>
    </w:p>
    <w:p w14:paraId="7254E0F3"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Consideraciones sobre las actualizaciones del Plan estratégico para el examen de las prioridades de cumplimiento en 2026</w:t>
      </w:r>
    </w:p>
    <w:p w14:paraId="3D46C5C2" w14:textId="77777777" w:rsidR="00743EF7" w:rsidRPr="00A63F69" w:rsidRDefault="00743EF7" w:rsidP="00A63F69">
      <w:pPr>
        <w:pStyle w:val="ListParagraph"/>
        <w:jc w:val="both"/>
        <w:rPr>
          <w:rFonts w:ascii="Cambria" w:hAnsi="Cambria"/>
          <w:sz w:val="20"/>
          <w:szCs w:val="20"/>
        </w:rPr>
      </w:pPr>
    </w:p>
    <w:p w14:paraId="5F1D8A80" w14:textId="77777777" w:rsidR="00743EF7" w:rsidRPr="00A63F69" w:rsidRDefault="00743EF7" w:rsidP="00A63F69">
      <w:pPr>
        <w:pStyle w:val="ListParagraph"/>
        <w:tabs>
          <w:tab w:val="left" w:pos="426"/>
        </w:tabs>
        <w:ind w:left="360"/>
        <w:jc w:val="both"/>
        <w:rPr>
          <w:rFonts w:ascii="Cambria" w:hAnsi="Cambria"/>
          <w:i/>
          <w:iCs/>
          <w:sz w:val="20"/>
          <w:szCs w:val="20"/>
        </w:rPr>
      </w:pPr>
      <w:r w:rsidRPr="00A63F69">
        <w:rPr>
          <w:rFonts w:ascii="Cambria" w:hAnsi="Cambria"/>
          <w:i/>
          <w:sz w:val="20"/>
          <w:szCs w:val="20"/>
        </w:rPr>
        <w:t>Antes de la sesión final del COC se publicará un proyecto de plan estratégico que tenga en cuenta las aportaciones de las CPC en respuesta a la carta del presidente del COC y a los debates del COC.</w:t>
      </w:r>
    </w:p>
    <w:p w14:paraId="0B574757" w14:textId="77777777" w:rsidR="00743EF7" w:rsidRPr="00A63F69" w:rsidRDefault="00743EF7" w:rsidP="00A63F69">
      <w:pPr>
        <w:pStyle w:val="ListParagraph"/>
        <w:jc w:val="both"/>
        <w:rPr>
          <w:rFonts w:ascii="Cambria" w:hAnsi="Cambria"/>
          <w:sz w:val="20"/>
          <w:szCs w:val="20"/>
        </w:rPr>
      </w:pPr>
    </w:p>
    <w:p w14:paraId="2E588B3B"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Recomendaciones a la Comisión para mejorar el cumplimiento</w:t>
      </w:r>
    </w:p>
    <w:p w14:paraId="15E219DF" w14:textId="77777777" w:rsidR="00743EF7" w:rsidRPr="00A63F69" w:rsidRDefault="00743EF7" w:rsidP="00A63F69">
      <w:pPr>
        <w:tabs>
          <w:tab w:val="left" w:pos="426"/>
        </w:tabs>
        <w:jc w:val="both"/>
        <w:rPr>
          <w:rFonts w:ascii="Cambria" w:hAnsi="Cambria"/>
          <w:sz w:val="20"/>
          <w:szCs w:val="20"/>
        </w:rPr>
      </w:pPr>
    </w:p>
    <w:p w14:paraId="1E0745C6" w14:textId="77777777" w:rsidR="00743EF7" w:rsidRPr="00A63F69" w:rsidRDefault="00743EF7" w:rsidP="00A63F69">
      <w:pPr>
        <w:tabs>
          <w:tab w:val="left" w:pos="426"/>
        </w:tabs>
        <w:ind w:left="360"/>
        <w:jc w:val="both"/>
        <w:rPr>
          <w:rFonts w:ascii="Cambria" w:hAnsi="Cambria"/>
          <w:i/>
          <w:iCs/>
          <w:sz w:val="20"/>
          <w:szCs w:val="20"/>
        </w:rPr>
      </w:pPr>
      <w:r w:rsidRPr="00A63F69">
        <w:rPr>
          <w:rFonts w:ascii="Cambria" w:hAnsi="Cambria"/>
          <w:i/>
          <w:sz w:val="20"/>
          <w:szCs w:val="20"/>
        </w:rPr>
        <w:t xml:space="preserve">La Unión Europea ha presentado una "Propuesta para racionalizar y reforzar el proceso del Comité de Cumplimiento (COC) de la </w:t>
      </w:r>
      <w:proofErr w:type="spellStart"/>
      <w:r w:rsidRPr="00A63F69">
        <w:rPr>
          <w:rFonts w:ascii="Cambria" w:hAnsi="Cambria"/>
          <w:i/>
          <w:sz w:val="20"/>
          <w:szCs w:val="20"/>
        </w:rPr>
        <w:t>CICAA</w:t>
      </w:r>
      <w:proofErr w:type="spellEnd"/>
      <w:r w:rsidRPr="00A63F69">
        <w:rPr>
          <w:rFonts w:ascii="Cambria" w:hAnsi="Cambria"/>
          <w:i/>
          <w:sz w:val="20"/>
          <w:szCs w:val="20"/>
        </w:rPr>
        <w:t>" (</w:t>
      </w:r>
      <w:r w:rsidRPr="00A63F69">
        <w:rPr>
          <w:rFonts w:ascii="Cambria" w:hAnsi="Cambria"/>
          <w:b/>
          <w:bCs/>
          <w:i/>
          <w:sz w:val="20"/>
          <w:szCs w:val="20"/>
        </w:rPr>
        <w:t>COC_323/2025</w:t>
      </w:r>
      <w:r w:rsidRPr="00A63F69">
        <w:rPr>
          <w:rFonts w:ascii="Cambria" w:hAnsi="Cambria"/>
          <w:i/>
          <w:sz w:val="20"/>
          <w:szCs w:val="20"/>
        </w:rPr>
        <w:t>).</w:t>
      </w:r>
    </w:p>
    <w:p w14:paraId="180C7487" w14:textId="77777777" w:rsidR="00743EF7" w:rsidRPr="00A63F69" w:rsidRDefault="00743EF7" w:rsidP="00A63F69">
      <w:pPr>
        <w:pStyle w:val="ListParagraph"/>
        <w:jc w:val="both"/>
        <w:rPr>
          <w:rFonts w:ascii="Cambria" w:hAnsi="Cambria"/>
          <w:sz w:val="20"/>
          <w:szCs w:val="20"/>
        </w:rPr>
      </w:pPr>
    </w:p>
    <w:p w14:paraId="30DF3057"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Elección del presidente y del posible vicepresidente</w:t>
      </w:r>
    </w:p>
    <w:p w14:paraId="7D4E5683" w14:textId="77777777" w:rsidR="00743EF7" w:rsidRPr="00A63F69" w:rsidRDefault="00743EF7" w:rsidP="00A63F69">
      <w:pPr>
        <w:pStyle w:val="ListParagraph"/>
        <w:jc w:val="both"/>
        <w:rPr>
          <w:rFonts w:ascii="Cambria" w:hAnsi="Cambria"/>
          <w:sz w:val="20"/>
          <w:szCs w:val="20"/>
        </w:rPr>
      </w:pPr>
    </w:p>
    <w:p w14:paraId="7E058C75" w14:textId="699AD25B" w:rsidR="00FB2466"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El Comité de Cumplimiento elegirá un presidente para el período bienal 2026/2027. De conformidad con las "</w:t>
      </w:r>
      <w:hyperlink r:id="rId26" w:history="1">
        <w:r w:rsidRPr="00A63F69">
          <w:rPr>
            <w:rStyle w:val="Hyperlink"/>
            <w:rFonts w:ascii="Cambria" w:hAnsi="Cambria"/>
            <w:i/>
            <w:sz w:val="20"/>
            <w:szCs w:val="20"/>
            <w:u w:val="none"/>
          </w:rPr>
          <w:t>Directrices para la elección de los presidentes y vicepresidentes de la Comisión y de sus órganos subsidiarios</w:t>
        </w:r>
      </w:hyperlink>
      <w:r w:rsidRPr="00A63F69">
        <w:rPr>
          <w:rFonts w:ascii="Cambria" w:hAnsi="Cambria"/>
          <w:i/>
          <w:sz w:val="20"/>
          <w:szCs w:val="20"/>
        </w:rPr>
        <w:t>" (Apéndice 2 al ANEXO 7 del Informe bienal 2024-25, Parte I, Vol.</w:t>
      </w:r>
      <w:r w:rsidR="009220F3" w:rsidRPr="00A63F69">
        <w:rPr>
          <w:rFonts w:ascii="Cambria" w:hAnsi="Cambria"/>
          <w:i/>
          <w:sz w:val="20"/>
          <w:szCs w:val="20"/>
        </w:rPr>
        <w:t> </w:t>
      </w:r>
      <w:r w:rsidRPr="00A63F69">
        <w:rPr>
          <w:rFonts w:ascii="Cambria" w:hAnsi="Cambria"/>
          <w:i/>
          <w:sz w:val="20"/>
          <w:szCs w:val="20"/>
        </w:rPr>
        <w:t>1, p. 288), la Comisión también podrá considerar la posibilidad de elegir un vicepresidente.</w:t>
      </w:r>
    </w:p>
    <w:p w14:paraId="314430FA" w14:textId="77777777" w:rsidR="00743EF7" w:rsidRPr="00A63F69" w:rsidRDefault="00743EF7" w:rsidP="00A63F69">
      <w:pPr>
        <w:tabs>
          <w:tab w:val="left" w:pos="426"/>
        </w:tabs>
        <w:jc w:val="both"/>
        <w:rPr>
          <w:rFonts w:ascii="Cambria" w:hAnsi="Cambria"/>
          <w:sz w:val="20"/>
          <w:szCs w:val="20"/>
        </w:rPr>
      </w:pPr>
    </w:p>
    <w:p w14:paraId="2017A503"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Otros asuntos</w:t>
      </w:r>
    </w:p>
    <w:p w14:paraId="462234CA" w14:textId="77777777" w:rsidR="00743EF7" w:rsidRPr="00A63F69" w:rsidRDefault="00743EF7" w:rsidP="00A63F69">
      <w:pPr>
        <w:pStyle w:val="ListParagraph"/>
        <w:jc w:val="both"/>
        <w:rPr>
          <w:rFonts w:ascii="Cambria" w:hAnsi="Cambria"/>
          <w:sz w:val="20"/>
          <w:szCs w:val="20"/>
          <w:lang w:val="en-GB"/>
        </w:rPr>
      </w:pPr>
    </w:p>
    <w:p w14:paraId="294FF4EA" w14:textId="77777777" w:rsidR="00743EF7" w:rsidRPr="00A63F69" w:rsidRDefault="00743EF7" w:rsidP="00A63F69">
      <w:pPr>
        <w:pStyle w:val="ListParagraph"/>
        <w:ind w:left="360"/>
        <w:jc w:val="both"/>
        <w:rPr>
          <w:rFonts w:ascii="Cambria" w:hAnsi="Cambria"/>
          <w:i/>
          <w:iCs/>
          <w:sz w:val="20"/>
          <w:szCs w:val="20"/>
        </w:rPr>
      </w:pPr>
      <w:r w:rsidRPr="00A63F69">
        <w:rPr>
          <w:rFonts w:ascii="Cambria" w:hAnsi="Cambria"/>
          <w:i/>
          <w:sz w:val="20"/>
          <w:szCs w:val="20"/>
        </w:rPr>
        <w:t>Las CPC podrían plantear cualquier otro asunto para su inclusión en este punto del orden del día.</w:t>
      </w:r>
    </w:p>
    <w:p w14:paraId="7B736C14" w14:textId="77777777" w:rsidR="00743EF7" w:rsidRPr="00A63F69" w:rsidRDefault="00743EF7" w:rsidP="00A63F69">
      <w:pPr>
        <w:jc w:val="both"/>
        <w:rPr>
          <w:rFonts w:ascii="Cambria" w:hAnsi="Cambria"/>
          <w:sz w:val="20"/>
          <w:szCs w:val="20"/>
        </w:rPr>
      </w:pPr>
    </w:p>
    <w:p w14:paraId="60CBB56C" w14:textId="3A6D581C" w:rsidR="00581207" w:rsidRPr="00A63F69" w:rsidRDefault="00743EF7" w:rsidP="00A63F69">
      <w:pPr>
        <w:pStyle w:val="ListParagraph"/>
        <w:widowControl w:val="0"/>
        <w:numPr>
          <w:ilvl w:val="0"/>
          <w:numId w:val="31"/>
        </w:numPr>
        <w:tabs>
          <w:tab w:val="left" w:pos="426"/>
        </w:tabs>
        <w:spacing w:after="160" w:line="259" w:lineRule="auto"/>
        <w:jc w:val="both"/>
        <w:rPr>
          <w:rFonts w:ascii="Cambria" w:hAnsi="Cambria"/>
          <w:sz w:val="20"/>
          <w:szCs w:val="20"/>
        </w:rPr>
      </w:pPr>
      <w:r w:rsidRPr="00A63F69">
        <w:rPr>
          <w:rFonts w:ascii="Cambria" w:hAnsi="Cambria"/>
          <w:sz w:val="20"/>
          <w:szCs w:val="20"/>
        </w:rPr>
        <w:t>Adopción del informe y clausura</w:t>
      </w:r>
      <w:r w:rsidR="00581207" w:rsidRPr="00A63F69">
        <w:rPr>
          <w:rFonts w:ascii="Cambria" w:hAnsi="Cambria"/>
          <w:sz w:val="20"/>
          <w:szCs w:val="20"/>
        </w:rPr>
        <w:br w:type="page"/>
      </w:r>
    </w:p>
    <w:p w14:paraId="5033F46C" w14:textId="77777777" w:rsidR="00581207" w:rsidRPr="00A63F69" w:rsidRDefault="00581207" w:rsidP="00A63F69">
      <w:pPr>
        <w:jc w:val="both"/>
        <w:rPr>
          <w:rFonts w:ascii="Cambria" w:hAnsi="Cambria"/>
          <w:b/>
          <w:sz w:val="20"/>
          <w:szCs w:val="20"/>
        </w:rPr>
      </w:pPr>
      <w:bookmarkStart w:id="1" w:name="_Hlk104196551"/>
      <w:bookmarkStart w:id="2" w:name="_Hlk21091310"/>
    </w:p>
    <w:p w14:paraId="2DB74734" w14:textId="0FD9FB19" w:rsidR="009220F3" w:rsidRPr="00A63F69" w:rsidRDefault="00581207" w:rsidP="00A63F69">
      <w:pPr>
        <w:tabs>
          <w:tab w:val="left" w:pos="426"/>
        </w:tabs>
        <w:ind w:left="426" w:hanging="426"/>
        <w:jc w:val="center"/>
        <w:rPr>
          <w:rFonts w:ascii="Cambria" w:hAnsi="Cambria"/>
          <w:b/>
          <w:sz w:val="20"/>
          <w:szCs w:val="20"/>
        </w:rPr>
      </w:pPr>
      <w:r w:rsidRPr="00A63F69">
        <w:rPr>
          <w:rFonts w:ascii="Cambria" w:hAnsi="Cambria"/>
          <w:b/>
          <w:sz w:val="20"/>
          <w:szCs w:val="20"/>
        </w:rPr>
        <w:t>Grupo de trabajo permanente para la mejora</w:t>
      </w:r>
    </w:p>
    <w:p w14:paraId="24A9BA86" w14:textId="6F01A8D8" w:rsidR="00581207" w:rsidRPr="00A63F69" w:rsidRDefault="00581207" w:rsidP="00A63F69">
      <w:pPr>
        <w:tabs>
          <w:tab w:val="left" w:pos="426"/>
        </w:tabs>
        <w:ind w:left="426" w:hanging="426"/>
        <w:jc w:val="center"/>
        <w:rPr>
          <w:rFonts w:ascii="Cambria" w:hAnsi="Cambria"/>
          <w:sz w:val="20"/>
          <w:szCs w:val="20"/>
        </w:rPr>
      </w:pPr>
      <w:r w:rsidRPr="00A63F69">
        <w:rPr>
          <w:rFonts w:ascii="Cambria" w:hAnsi="Cambria"/>
          <w:b/>
          <w:sz w:val="20"/>
          <w:szCs w:val="20"/>
        </w:rPr>
        <w:t>de las estadísticas y normas de conservación de ICCAT (GTP)</w:t>
      </w:r>
    </w:p>
    <w:p w14:paraId="1E656C24" w14:textId="77777777" w:rsidR="00581207" w:rsidRPr="00A63F69" w:rsidRDefault="00581207" w:rsidP="00A63F69">
      <w:pPr>
        <w:jc w:val="both"/>
        <w:rPr>
          <w:rFonts w:ascii="Cambria" w:hAnsi="Cambria"/>
          <w:bCs/>
          <w:sz w:val="20"/>
          <w:szCs w:val="20"/>
        </w:rPr>
      </w:pPr>
    </w:p>
    <w:p w14:paraId="74D32409" w14:textId="77777777" w:rsidR="00581207" w:rsidRPr="00A63F69" w:rsidRDefault="00581207" w:rsidP="00A63F69">
      <w:pPr>
        <w:pStyle w:val="ListParagraph"/>
        <w:widowControl w:val="0"/>
        <w:numPr>
          <w:ilvl w:val="0"/>
          <w:numId w:val="32"/>
        </w:numPr>
        <w:tabs>
          <w:tab w:val="left" w:pos="426"/>
        </w:tabs>
        <w:jc w:val="both"/>
        <w:rPr>
          <w:rFonts w:ascii="Cambria" w:hAnsi="Cambria"/>
          <w:sz w:val="20"/>
          <w:szCs w:val="20"/>
        </w:rPr>
      </w:pPr>
      <w:r w:rsidRPr="00A63F69">
        <w:rPr>
          <w:rFonts w:ascii="Cambria" w:hAnsi="Cambria"/>
          <w:sz w:val="20"/>
          <w:szCs w:val="20"/>
        </w:rPr>
        <w:t>Apertura de la reunión</w:t>
      </w:r>
    </w:p>
    <w:p w14:paraId="631A6F0B" w14:textId="77777777" w:rsidR="00581207" w:rsidRPr="00A63F69" w:rsidRDefault="00581207" w:rsidP="00A63F69">
      <w:pPr>
        <w:tabs>
          <w:tab w:val="left" w:pos="426"/>
        </w:tabs>
        <w:jc w:val="both"/>
        <w:rPr>
          <w:rFonts w:ascii="Cambria" w:hAnsi="Cambria"/>
          <w:sz w:val="20"/>
          <w:szCs w:val="20"/>
          <w:lang w:val="en-GB"/>
        </w:rPr>
      </w:pPr>
    </w:p>
    <w:p w14:paraId="0822E9EB" w14:textId="77777777"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sz w:val="20"/>
          <w:szCs w:val="20"/>
        </w:rPr>
        <w:t>La reunión será inaugurada por el Sr. Neil Ansell (UE), presidente del GTP.</w:t>
      </w:r>
    </w:p>
    <w:p w14:paraId="3E748595" w14:textId="77777777" w:rsidR="00581207" w:rsidRPr="00A63F69" w:rsidRDefault="00581207" w:rsidP="00A63F69">
      <w:pPr>
        <w:tabs>
          <w:tab w:val="left" w:pos="426"/>
        </w:tabs>
        <w:jc w:val="both"/>
        <w:rPr>
          <w:rFonts w:ascii="Cambria" w:hAnsi="Cambria"/>
          <w:sz w:val="20"/>
          <w:szCs w:val="20"/>
        </w:rPr>
      </w:pPr>
    </w:p>
    <w:p w14:paraId="17357B39" w14:textId="77777777" w:rsidR="00581207" w:rsidRPr="00A63F69" w:rsidRDefault="00581207" w:rsidP="00A63F69">
      <w:pPr>
        <w:pStyle w:val="ListParagraph"/>
        <w:widowControl w:val="0"/>
        <w:numPr>
          <w:ilvl w:val="0"/>
          <w:numId w:val="32"/>
        </w:numPr>
        <w:tabs>
          <w:tab w:val="left" w:pos="426"/>
        </w:tabs>
        <w:jc w:val="both"/>
        <w:rPr>
          <w:rFonts w:ascii="Cambria" w:hAnsi="Cambria"/>
          <w:sz w:val="20"/>
          <w:szCs w:val="20"/>
        </w:rPr>
      </w:pPr>
      <w:r w:rsidRPr="00A63F69">
        <w:rPr>
          <w:rFonts w:ascii="Cambria" w:hAnsi="Cambria"/>
          <w:sz w:val="20"/>
          <w:szCs w:val="20"/>
        </w:rPr>
        <w:t xml:space="preserve">Nombramiento del relator </w:t>
      </w:r>
    </w:p>
    <w:p w14:paraId="79C5083B" w14:textId="77777777" w:rsidR="00581207" w:rsidRPr="00A63F69" w:rsidRDefault="00581207" w:rsidP="00A63F69">
      <w:pPr>
        <w:pStyle w:val="ListParagraph"/>
        <w:tabs>
          <w:tab w:val="left" w:pos="426"/>
        </w:tabs>
        <w:ind w:left="360"/>
        <w:jc w:val="both"/>
        <w:rPr>
          <w:rFonts w:ascii="Cambria" w:hAnsi="Cambria"/>
          <w:sz w:val="20"/>
          <w:szCs w:val="20"/>
          <w:lang w:val="en-GB"/>
        </w:rPr>
      </w:pPr>
    </w:p>
    <w:p w14:paraId="16D9A710" w14:textId="77777777" w:rsidR="00581207" w:rsidRPr="00A63F69" w:rsidRDefault="00581207" w:rsidP="00A63F69">
      <w:pPr>
        <w:tabs>
          <w:tab w:val="left" w:pos="426"/>
        </w:tabs>
        <w:jc w:val="both"/>
        <w:rPr>
          <w:rFonts w:ascii="Cambria" w:hAnsi="Cambria"/>
          <w:i/>
          <w:iCs/>
          <w:sz w:val="20"/>
          <w:szCs w:val="20"/>
        </w:rPr>
      </w:pPr>
      <w:r w:rsidRPr="00A63F69">
        <w:rPr>
          <w:rFonts w:ascii="Cambria" w:hAnsi="Cambria"/>
          <w:i/>
          <w:sz w:val="20"/>
          <w:szCs w:val="20"/>
        </w:rPr>
        <w:tab/>
        <w:t>La Secretaría proporcionará un relator.</w:t>
      </w:r>
    </w:p>
    <w:p w14:paraId="36EACC62" w14:textId="77777777" w:rsidR="00581207" w:rsidRPr="00A63F69" w:rsidRDefault="00581207" w:rsidP="00A63F69">
      <w:pPr>
        <w:tabs>
          <w:tab w:val="left" w:pos="426"/>
        </w:tabs>
        <w:jc w:val="both"/>
        <w:rPr>
          <w:rFonts w:ascii="Cambria" w:hAnsi="Cambria"/>
          <w:sz w:val="20"/>
          <w:szCs w:val="20"/>
        </w:rPr>
      </w:pPr>
    </w:p>
    <w:p w14:paraId="68AF8E96" w14:textId="77777777" w:rsidR="00581207" w:rsidRPr="00A63F69" w:rsidRDefault="00581207" w:rsidP="00A63F69">
      <w:pPr>
        <w:pStyle w:val="ListParagraph"/>
        <w:widowControl w:val="0"/>
        <w:numPr>
          <w:ilvl w:val="0"/>
          <w:numId w:val="32"/>
        </w:numPr>
        <w:tabs>
          <w:tab w:val="left" w:pos="426"/>
        </w:tabs>
        <w:jc w:val="both"/>
        <w:rPr>
          <w:rFonts w:ascii="Cambria" w:hAnsi="Cambria"/>
          <w:sz w:val="20"/>
          <w:szCs w:val="20"/>
        </w:rPr>
      </w:pPr>
      <w:r w:rsidRPr="00A63F69">
        <w:rPr>
          <w:rFonts w:ascii="Cambria" w:hAnsi="Cambria"/>
          <w:sz w:val="20"/>
          <w:szCs w:val="20"/>
        </w:rPr>
        <w:t>Adopción del orden del día</w:t>
      </w:r>
    </w:p>
    <w:p w14:paraId="31FDF92B" w14:textId="77777777" w:rsidR="00581207" w:rsidRPr="00A63F69" w:rsidRDefault="00581207" w:rsidP="00A63F69">
      <w:pPr>
        <w:pStyle w:val="ListParagraph"/>
        <w:jc w:val="both"/>
        <w:rPr>
          <w:rFonts w:ascii="Cambria" w:hAnsi="Cambria"/>
          <w:sz w:val="20"/>
          <w:szCs w:val="20"/>
          <w:lang w:val="en-GB"/>
        </w:rPr>
      </w:pPr>
    </w:p>
    <w:p w14:paraId="774CB6F1" w14:textId="2C724BB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El orden del día se ha distribuido como documento</w:t>
      </w:r>
      <w:r w:rsidRPr="00A63F69">
        <w:rPr>
          <w:rFonts w:ascii="Cambria" w:hAnsi="Cambria"/>
          <w:b/>
          <w:i/>
          <w:sz w:val="20"/>
          <w:szCs w:val="20"/>
        </w:rPr>
        <w:t xml:space="preserve"> PWG</w:t>
      </w:r>
      <w:r w:rsidR="009220F3" w:rsidRPr="00A63F69">
        <w:rPr>
          <w:rFonts w:ascii="Cambria" w:hAnsi="Cambria"/>
          <w:b/>
          <w:i/>
          <w:sz w:val="20"/>
          <w:szCs w:val="20"/>
        </w:rPr>
        <w:t>_</w:t>
      </w:r>
      <w:r w:rsidRPr="00A63F69">
        <w:rPr>
          <w:rFonts w:ascii="Cambria" w:hAnsi="Cambria"/>
          <w:b/>
          <w:i/>
          <w:sz w:val="20"/>
          <w:szCs w:val="20"/>
        </w:rPr>
        <w:t>400/2025.</w:t>
      </w:r>
    </w:p>
    <w:p w14:paraId="551330F6" w14:textId="77777777" w:rsidR="00581207" w:rsidRPr="00A63F69" w:rsidRDefault="00581207" w:rsidP="00A63F69">
      <w:pPr>
        <w:tabs>
          <w:tab w:val="left" w:pos="426"/>
        </w:tabs>
        <w:jc w:val="both"/>
        <w:rPr>
          <w:rFonts w:ascii="Cambria" w:hAnsi="Cambria"/>
          <w:sz w:val="20"/>
          <w:szCs w:val="20"/>
        </w:rPr>
      </w:pPr>
    </w:p>
    <w:p w14:paraId="5C4A3F7B" w14:textId="77777777" w:rsidR="00581207" w:rsidRPr="00A63F69" w:rsidRDefault="00581207" w:rsidP="00A63F69">
      <w:pPr>
        <w:pStyle w:val="ListParagraph"/>
        <w:widowControl w:val="0"/>
        <w:numPr>
          <w:ilvl w:val="0"/>
          <w:numId w:val="32"/>
        </w:numPr>
        <w:tabs>
          <w:tab w:val="left" w:pos="426"/>
        </w:tabs>
        <w:jc w:val="both"/>
        <w:rPr>
          <w:rFonts w:ascii="Cambria" w:hAnsi="Cambria"/>
          <w:sz w:val="20"/>
          <w:szCs w:val="20"/>
        </w:rPr>
      </w:pPr>
      <w:r w:rsidRPr="00A63F69">
        <w:rPr>
          <w:rFonts w:ascii="Cambria" w:hAnsi="Cambria"/>
          <w:sz w:val="20"/>
          <w:szCs w:val="20"/>
        </w:rPr>
        <w:t>Examen del informe de la decimoctava reunión del Grupo de trabajo sobre medidas de seguimiento integradas (IMM), grupos de trabajo subsidiarios relacionados y consideración de las acciones necesarias</w:t>
      </w:r>
    </w:p>
    <w:p w14:paraId="27724407" w14:textId="77777777" w:rsidR="00581207" w:rsidRPr="00A63F69" w:rsidRDefault="00581207" w:rsidP="00A63F69">
      <w:pPr>
        <w:tabs>
          <w:tab w:val="left" w:pos="426"/>
        </w:tabs>
        <w:jc w:val="both"/>
        <w:rPr>
          <w:rFonts w:ascii="Cambria" w:hAnsi="Cambria"/>
          <w:sz w:val="20"/>
          <w:szCs w:val="20"/>
        </w:rPr>
      </w:pPr>
    </w:p>
    <w:p w14:paraId="65A87B0F" w14:textId="77777777"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sz w:val="20"/>
          <w:szCs w:val="20"/>
        </w:rPr>
        <w:t xml:space="preserve">El informe de la decimoctava reunión del Grupo de trabajo sobre medidas de seguimiento integradas (IMM) está disponible como documento </w:t>
      </w:r>
      <w:r w:rsidRPr="00A63F69">
        <w:rPr>
          <w:rFonts w:ascii="Cambria" w:hAnsi="Cambria"/>
          <w:b/>
          <w:i/>
          <w:sz w:val="20"/>
          <w:szCs w:val="20"/>
        </w:rPr>
        <w:t>PWG_407/2025</w:t>
      </w:r>
      <w:r w:rsidRPr="00A63F69">
        <w:rPr>
          <w:rFonts w:ascii="Cambria" w:hAnsi="Cambria"/>
          <w:i/>
          <w:sz w:val="20"/>
          <w:szCs w:val="20"/>
        </w:rPr>
        <w:t>. Los informes de otros grupos de trabajo subsidiarios se examinarán en los puntos respectivos del punto 5 del orden del día.</w:t>
      </w:r>
    </w:p>
    <w:p w14:paraId="0B85E956" w14:textId="77777777" w:rsidR="00581207" w:rsidRPr="00A63F69" w:rsidRDefault="00581207" w:rsidP="00A63F69">
      <w:pPr>
        <w:tabs>
          <w:tab w:val="left" w:pos="426"/>
        </w:tabs>
        <w:jc w:val="both"/>
        <w:rPr>
          <w:rFonts w:ascii="Cambria" w:hAnsi="Cambria"/>
          <w:sz w:val="20"/>
          <w:szCs w:val="20"/>
        </w:rPr>
      </w:pPr>
    </w:p>
    <w:p w14:paraId="2B553786" w14:textId="77777777" w:rsidR="00581207" w:rsidRPr="00A63F69" w:rsidRDefault="00581207" w:rsidP="00A63F69">
      <w:pPr>
        <w:tabs>
          <w:tab w:val="left" w:pos="426"/>
        </w:tabs>
        <w:jc w:val="both"/>
        <w:rPr>
          <w:rFonts w:ascii="Cambria" w:hAnsi="Cambria"/>
          <w:sz w:val="20"/>
          <w:szCs w:val="20"/>
        </w:rPr>
      </w:pPr>
      <w:r w:rsidRPr="00A63F69">
        <w:rPr>
          <w:rFonts w:ascii="Cambria" w:hAnsi="Cambria"/>
          <w:sz w:val="20"/>
          <w:szCs w:val="20"/>
        </w:rPr>
        <w:t>5.</w:t>
      </w:r>
      <w:r w:rsidRPr="00A63F69">
        <w:rPr>
          <w:rFonts w:ascii="Cambria" w:hAnsi="Cambria"/>
          <w:sz w:val="20"/>
          <w:szCs w:val="20"/>
        </w:rPr>
        <w:tab/>
        <w:t xml:space="preserve">Consideración de la eficacia y aspectos prácticos de la implementación de:  </w:t>
      </w:r>
    </w:p>
    <w:p w14:paraId="7F3FDAC1" w14:textId="77777777" w:rsidR="00581207" w:rsidRPr="00A63F69" w:rsidRDefault="00581207" w:rsidP="00A63F69">
      <w:pPr>
        <w:pStyle w:val="ListParagraph"/>
        <w:jc w:val="both"/>
        <w:rPr>
          <w:rFonts w:ascii="Cambria" w:hAnsi="Cambria"/>
          <w:sz w:val="20"/>
          <w:szCs w:val="20"/>
        </w:rPr>
      </w:pPr>
    </w:p>
    <w:p w14:paraId="4FB81E77"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5.1 Programa de documentación de capturas y Programas de documento estadístico</w:t>
      </w:r>
    </w:p>
    <w:p w14:paraId="65759AE9" w14:textId="77777777" w:rsidR="00581207" w:rsidRPr="00A63F69" w:rsidRDefault="00581207" w:rsidP="00A63F69">
      <w:pPr>
        <w:tabs>
          <w:tab w:val="left" w:pos="426"/>
        </w:tabs>
        <w:ind w:left="360"/>
        <w:jc w:val="both"/>
        <w:rPr>
          <w:rFonts w:ascii="Cambria" w:hAnsi="Cambria"/>
          <w:sz w:val="20"/>
          <w:szCs w:val="20"/>
        </w:rPr>
      </w:pPr>
    </w:p>
    <w:p w14:paraId="6BC4DB1F"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Los informes de las reuniones del Grupo de trabajo permanente sobre sistemas de documentación de capturas (CDS WG) figuran en los documentos </w:t>
      </w:r>
      <w:r w:rsidRPr="00A63F69">
        <w:rPr>
          <w:rFonts w:ascii="Cambria" w:hAnsi="Cambria"/>
          <w:b/>
          <w:bCs/>
          <w:i/>
          <w:sz w:val="20"/>
          <w:szCs w:val="20"/>
        </w:rPr>
        <w:t>PWG_403/2025</w:t>
      </w:r>
      <w:r w:rsidRPr="00A63F69">
        <w:rPr>
          <w:rFonts w:ascii="Cambria" w:hAnsi="Cambria"/>
          <w:i/>
          <w:sz w:val="20"/>
          <w:szCs w:val="20"/>
        </w:rPr>
        <w:t xml:space="preserve"> y </w:t>
      </w:r>
      <w:r w:rsidRPr="00A63F69">
        <w:rPr>
          <w:rFonts w:ascii="Cambria" w:hAnsi="Cambria"/>
          <w:b/>
          <w:bCs/>
          <w:i/>
          <w:sz w:val="20"/>
          <w:szCs w:val="20"/>
        </w:rPr>
        <w:t>PWG_404/2025</w:t>
      </w:r>
      <w:r w:rsidRPr="00A63F69">
        <w:rPr>
          <w:rFonts w:ascii="Cambria" w:hAnsi="Cambria"/>
          <w:i/>
          <w:sz w:val="20"/>
          <w:szCs w:val="20"/>
        </w:rPr>
        <w:t>, respectivamente.</w:t>
      </w:r>
    </w:p>
    <w:p w14:paraId="7A17257A" w14:textId="77777777" w:rsidR="00581207" w:rsidRPr="00A63F69" w:rsidRDefault="00581207" w:rsidP="00A63F69">
      <w:pPr>
        <w:tabs>
          <w:tab w:val="left" w:pos="810"/>
        </w:tabs>
        <w:ind w:left="360"/>
        <w:jc w:val="both"/>
        <w:rPr>
          <w:rFonts w:ascii="Cambria" w:hAnsi="Cambria"/>
          <w:i/>
          <w:iCs/>
          <w:sz w:val="20"/>
          <w:szCs w:val="20"/>
        </w:rPr>
      </w:pPr>
    </w:p>
    <w:p w14:paraId="2491BF1F" w14:textId="35509650"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Puede consultarse la información en el “Informe de la Secretaría al Grupo de trabajo permanente para la mejora de las estadísticas de ICCAT y de sus medidas de conservación (GTP)” (</w:t>
      </w:r>
      <w:r w:rsidRPr="00A63F69">
        <w:rPr>
          <w:rFonts w:ascii="Cambria" w:hAnsi="Cambria"/>
          <w:b/>
          <w:bCs/>
          <w:i/>
          <w:sz w:val="20"/>
          <w:szCs w:val="20"/>
        </w:rPr>
        <w:t>PWG_401/2025</w:t>
      </w:r>
      <w:r w:rsidRPr="00A63F69">
        <w:rPr>
          <w:rFonts w:ascii="Cambria" w:hAnsi="Cambria"/>
          <w:i/>
          <w:sz w:val="20"/>
          <w:szCs w:val="20"/>
        </w:rPr>
        <w:t>)</w:t>
      </w:r>
      <w:r w:rsidR="00BA26B4" w:rsidRPr="00A63F69">
        <w:rPr>
          <w:rFonts w:ascii="Cambria" w:hAnsi="Cambria"/>
          <w:i/>
          <w:sz w:val="20"/>
          <w:szCs w:val="20"/>
        </w:rPr>
        <w:t>, Sección 2</w:t>
      </w:r>
      <w:r w:rsidRPr="00A63F69">
        <w:rPr>
          <w:rFonts w:ascii="Cambria" w:hAnsi="Cambria"/>
          <w:i/>
          <w:sz w:val="20"/>
          <w:szCs w:val="20"/>
        </w:rPr>
        <w:t xml:space="preserve"> y en el “Informe de la Secretaría de ICCAT sobre investigación y estadísticas de 2025” (</w:t>
      </w:r>
      <w:r w:rsidRPr="00A63F69">
        <w:rPr>
          <w:rFonts w:ascii="Cambria" w:hAnsi="Cambria"/>
          <w:b/>
          <w:bCs/>
          <w:i/>
          <w:sz w:val="20"/>
          <w:szCs w:val="20"/>
        </w:rPr>
        <w:t>PLE_105/2025</w:t>
      </w:r>
      <w:r w:rsidRPr="00A63F69">
        <w:rPr>
          <w:rFonts w:ascii="Cambria" w:hAnsi="Cambria"/>
          <w:i/>
          <w:sz w:val="20"/>
          <w:szCs w:val="20"/>
        </w:rPr>
        <w:t>).</w:t>
      </w:r>
    </w:p>
    <w:p w14:paraId="065DDB23" w14:textId="77777777" w:rsidR="00581207" w:rsidRPr="00A63F69" w:rsidRDefault="00581207" w:rsidP="00A63F69">
      <w:pPr>
        <w:tabs>
          <w:tab w:val="left" w:pos="810"/>
        </w:tabs>
        <w:ind w:left="360"/>
        <w:jc w:val="both"/>
        <w:rPr>
          <w:rFonts w:ascii="Cambria" w:hAnsi="Cambria"/>
          <w:i/>
          <w:iCs/>
          <w:sz w:val="20"/>
          <w:szCs w:val="20"/>
        </w:rPr>
      </w:pPr>
    </w:p>
    <w:p w14:paraId="59AC7D25" w14:textId="77777777" w:rsidR="00581207" w:rsidRPr="00A63F69" w:rsidRDefault="00581207" w:rsidP="00A63F69">
      <w:pPr>
        <w:tabs>
          <w:tab w:val="left" w:pos="810"/>
        </w:tabs>
        <w:ind w:left="360"/>
        <w:jc w:val="both"/>
        <w:rPr>
          <w:rFonts w:ascii="Cambria" w:hAnsi="Cambria"/>
          <w:sz w:val="20"/>
          <w:szCs w:val="20"/>
        </w:rPr>
      </w:pPr>
      <w:r w:rsidRPr="00A63F69">
        <w:rPr>
          <w:rFonts w:ascii="Cambria" w:hAnsi="Cambria"/>
          <w:i/>
          <w:iCs/>
          <w:sz w:val="20"/>
          <w:szCs w:val="20"/>
        </w:rPr>
        <w:t xml:space="preserve">El "Proyecto de convocatoria de ofertas para un estudio de viabilidad sobre la migración tecnológica del sistema eBCD y opciones de ampliación a múltiples especies", preparado por la Secretaría en consulta con las CPC, figura en el documento </w:t>
      </w:r>
      <w:r w:rsidRPr="00A63F69">
        <w:rPr>
          <w:rFonts w:ascii="Cambria" w:hAnsi="Cambria"/>
          <w:b/>
          <w:bCs/>
          <w:i/>
          <w:iCs/>
          <w:sz w:val="20"/>
          <w:szCs w:val="20"/>
        </w:rPr>
        <w:t>PWG_409/2025</w:t>
      </w:r>
      <w:r w:rsidRPr="00A63F69">
        <w:rPr>
          <w:rFonts w:ascii="Cambria" w:hAnsi="Cambria"/>
          <w:i/>
          <w:iCs/>
          <w:sz w:val="20"/>
          <w:szCs w:val="20"/>
        </w:rPr>
        <w:t>.</w:t>
      </w:r>
    </w:p>
    <w:p w14:paraId="4949CD75" w14:textId="77777777" w:rsidR="00581207" w:rsidRPr="00A63F69" w:rsidRDefault="00581207" w:rsidP="00A63F69">
      <w:pPr>
        <w:tabs>
          <w:tab w:val="left" w:pos="810"/>
        </w:tabs>
        <w:ind w:left="360"/>
        <w:jc w:val="both"/>
        <w:rPr>
          <w:rFonts w:ascii="Cambria" w:hAnsi="Cambria"/>
          <w:i/>
          <w:iCs/>
          <w:sz w:val="20"/>
          <w:szCs w:val="20"/>
        </w:rPr>
      </w:pPr>
    </w:p>
    <w:p w14:paraId="2F5BD341" w14:textId="6FA33A26"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El "Informe sobre la implementación de la derogación para validar los BCD para el comercio de atún rojo entre los Estados miembros de la UE en 2024 (párrafo 5b de la Recomendación 24-16 de ICCAT</w:t>
      </w:r>
      <w:r w:rsidR="00BA26B4" w:rsidRPr="00A63F69">
        <w:rPr>
          <w:rFonts w:ascii="Cambria" w:hAnsi="Cambria"/>
          <w:i/>
          <w:sz w:val="20"/>
          <w:szCs w:val="20"/>
        </w:rPr>
        <w:t>)</w:t>
      </w:r>
      <w:r w:rsidRPr="00A63F69">
        <w:rPr>
          <w:rFonts w:ascii="Cambria" w:hAnsi="Cambria"/>
          <w:i/>
          <w:sz w:val="20"/>
          <w:szCs w:val="20"/>
        </w:rPr>
        <w:t xml:space="preserve">", presentado por la Unión Europea se incluye en el documento </w:t>
      </w:r>
      <w:r w:rsidRPr="00A63F69">
        <w:rPr>
          <w:rFonts w:ascii="Cambria" w:hAnsi="Cambria"/>
          <w:b/>
          <w:bCs/>
          <w:i/>
          <w:sz w:val="20"/>
          <w:szCs w:val="20"/>
        </w:rPr>
        <w:t>PWG_410/2025</w:t>
      </w:r>
      <w:r w:rsidRPr="00A63F69">
        <w:rPr>
          <w:rFonts w:ascii="Cambria" w:hAnsi="Cambria"/>
          <w:i/>
          <w:sz w:val="20"/>
          <w:szCs w:val="20"/>
        </w:rPr>
        <w:t>.</w:t>
      </w:r>
    </w:p>
    <w:p w14:paraId="70C41E9B" w14:textId="77777777" w:rsidR="00581207" w:rsidRPr="00A63F69" w:rsidRDefault="00581207" w:rsidP="00A63F69">
      <w:pPr>
        <w:tabs>
          <w:tab w:val="left" w:pos="810"/>
        </w:tabs>
        <w:ind w:left="360"/>
        <w:jc w:val="both"/>
        <w:rPr>
          <w:rFonts w:ascii="Cambria" w:hAnsi="Cambria"/>
          <w:i/>
          <w:iCs/>
          <w:sz w:val="20"/>
          <w:szCs w:val="20"/>
        </w:rPr>
      </w:pPr>
    </w:p>
    <w:p w14:paraId="2ED710C7"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 “Proyecto de Recomendación de ICCAT que modifica y reemplaza la Recomendación 23-21 sobre un programa ICCAT de documentación de capturas de atún rojo”, presentado por Egipto como documento </w:t>
      </w:r>
      <w:r w:rsidRPr="00A63F69">
        <w:rPr>
          <w:rFonts w:ascii="Cambria" w:hAnsi="Cambria"/>
          <w:b/>
          <w:i/>
          <w:sz w:val="20"/>
          <w:szCs w:val="20"/>
        </w:rPr>
        <w:t>PWG_412/2025</w:t>
      </w:r>
      <w:r w:rsidRPr="00A63F69">
        <w:rPr>
          <w:rFonts w:ascii="Cambria" w:hAnsi="Cambria"/>
          <w:i/>
          <w:sz w:val="20"/>
          <w:szCs w:val="20"/>
        </w:rPr>
        <w:t>.</w:t>
      </w:r>
    </w:p>
    <w:p w14:paraId="0BAB6E80" w14:textId="77777777" w:rsidR="00581207" w:rsidRPr="00A63F69" w:rsidRDefault="00581207" w:rsidP="00A63F69">
      <w:pPr>
        <w:tabs>
          <w:tab w:val="left" w:pos="810"/>
        </w:tabs>
        <w:ind w:left="360"/>
        <w:jc w:val="both"/>
        <w:rPr>
          <w:rFonts w:ascii="Cambria" w:hAnsi="Cambria"/>
          <w:i/>
          <w:iCs/>
          <w:sz w:val="20"/>
          <w:szCs w:val="20"/>
        </w:rPr>
      </w:pPr>
    </w:p>
    <w:p w14:paraId="4ABACD8F"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Documento de debate sobre "Puntos de decisión clave sobre los elementos técnicos de un nuevo sistema de documentación de capturas (CDS): actualizaciones a partir de junio de 2025", presentado por Japón como documento </w:t>
      </w:r>
      <w:r w:rsidRPr="00A63F69">
        <w:rPr>
          <w:rFonts w:ascii="Cambria" w:hAnsi="Cambria"/>
          <w:b/>
          <w:bCs/>
          <w:i/>
          <w:sz w:val="20"/>
          <w:szCs w:val="20"/>
        </w:rPr>
        <w:t>PWG_413/2025</w:t>
      </w:r>
      <w:r w:rsidRPr="00A63F69">
        <w:rPr>
          <w:rFonts w:ascii="Cambria" w:hAnsi="Cambria"/>
          <w:i/>
          <w:sz w:val="20"/>
          <w:szCs w:val="20"/>
        </w:rPr>
        <w:t>.</w:t>
      </w:r>
    </w:p>
    <w:p w14:paraId="7B6CD577" w14:textId="77777777" w:rsidR="00581207" w:rsidRPr="00A63F69" w:rsidRDefault="00581207" w:rsidP="00A63F69">
      <w:pPr>
        <w:tabs>
          <w:tab w:val="left" w:pos="810"/>
        </w:tabs>
        <w:ind w:left="360"/>
        <w:jc w:val="both"/>
        <w:rPr>
          <w:rFonts w:ascii="Cambria" w:hAnsi="Cambria"/>
          <w:i/>
          <w:iCs/>
          <w:sz w:val="20"/>
          <w:szCs w:val="20"/>
        </w:rPr>
      </w:pPr>
    </w:p>
    <w:p w14:paraId="1946335D" w14:textId="77777777" w:rsidR="00581207" w:rsidRPr="00A63F69" w:rsidRDefault="00581207" w:rsidP="00A63F69">
      <w:pPr>
        <w:tabs>
          <w:tab w:val="left" w:pos="360"/>
        </w:tabs>
        <w:ind w:left="360"/>
        <w:jc w:val="both"/>
        <w:rPr>
          <w:rFonts w:ascii="Cambria" w:hAnsi="Cambria"/>
          <w:sz w:val="20"/>
          <w:szCs w:val="20"/>
        </w:rPr>
      </w:pPr>
      <w:bookmarkStart w:id="3" w:name="_Hlk77007853"/>
      <w:r w:rsidRPr="00A63F69">
        <w:rPr>
          <w:rFonts w:ascii="Cambria" w:hAnsi="Cambria"/>
          <w:sz w:val="20"/>
          <w:szCs w:val="20"/>
        </w:rPr>
        <w:t>5.2 Programas de observadores y Sistema de seguimiento electrónico (EMS)</w:t>
      </w:r>
    </w:p>
    <w:p w14:paraId="352D3773" w14:textId="77777777" w:rsidR="00581207" w:rsidRPr="00A63F69" w:rsidRDefault="00581207" w:rsidP="00A63F69">
      <w:pPr>
        <w:tabs>
          <w:tab w:val="left" w:pos="360"/>
        </w:tabs>
        <w:ind w:left="360"/>
        <w:jc w:val="both"/>
        <w:rPr>
          <w:rFonts w:ascii="Cambria" w:hAnsi="Cambria"/>
          <w:sz w:val="20"/>
          <w:szCs w:val="20"/>
        </w:rPr>
      </w:pPr>
    </w:p>
    <w:p w14:paraId="22B50741" w14:textId="77777777" w:rsidR="00581207" w:rsidRPr="00A63F69" w:rsidRDefault="00581207" w:rsidP="00A63F69">
      <w:pPr>
        <w:tabs>
          <w:tab w:val="left" w:pos="360"/>
        </w:tabs>
        <w:ind w:left="360"/>
        <w:jc w:val="both"/>
        <w:rPr>
          <w:rFonts w:ascii="Cambria" w:hAnsi="Cambria"/>
          <w:i/>
          <w:iCs/>
          <w:sz w:val="20"/>
          <w:szCs w:val="20"/>
        </w:rPr>
      </w:pPr>
      <w:r w:rsidRPr="00A63F69">
        <w:rPr>
          <w:rFonts w:ascii="Cambria" w:hAnsi="Cambria"/>
          <w:i/>
          <w:sz w:val="20"/>
          <w:szCs w:val="20"/>
        </w:rPr>
        <w:t>El “Informe sobre la implementación del programa regional de observadores de ICCAT para el atún rojo del Atlántico este y Mediterráneo (</w:t>
      </w:r>
      <w:proofErr w:type="spellStart"/>
      <w:r w:rsidRPr="00A63F69">
        <w:rPr>
          <w:rFonts w:ascii="Cambria" w:hAnsi="Cambria"/>
          <w:i/>
          <w:sz w:val="20"/>
          <w:szCs w:val="20"/>
        </w:rPr>
        <w:t>ROP</w:t>
      </w:r>
      <w:proofErr w:type="spellEnd"/>
      <w:r w:rsidRPr="00A63F69">
        <w:rPr>
          <w:rFonts w:ascii="Cambria" w:hAnsi="Cambria"/>
          <w:i/>
          <w:sz w:val="20"/>
          <w:szCs w:val="20"/>
        </w:rPr>
        <w:t xml:space="preserve">-BFT)” se incluye en el </w:t>
      </w:r>
      <w:r w:rsidRPr="00A63F69">
        <w:rPr>
          <w:rFonts w:ascii="Cambria" w:hAnsi="Cambria"/>
          <w:b/>
          <w:i/>
          <w:sz w:val="20"/>
          <w:szCs w:val="20"/>
        </w:rPr>
        <w:t xml:space="preserve">PA2_601/2025 </w:t>
      </w:r>
      <w:r w:rsidRPr="00A63F69">
        <w:rPr>
          <w:rFonts w:ascii="Cambria" w:hAnsi="Cambria"/>
          <w:i/>
          <w:sz w:val="20"/>
          <w:szCs w:val="20"/>
        </w:rPr>
        <w:t>y el “Informe sobre la implementación del Programa regional de observadores de ICCAT (</w:t>
      </w:r>
      <w:proofErr w:type="spellStart"/>
      <w:r w:rsidRPr="00A63F69">
        <w:rPr>
          <w:rFonts w:ascii="Cambria" w:hAnsi="Cambria"/>
          <w:i/>
          <w:sz w:val="20"/>
          <w:szCs w:val="20"/>
        </w:rPr>
        <w:t>ROP</w:t>
      </w:r>
      <w:proofErr w:type="spellEnd"/>
      <w:r w:rsidRPr="00A63F69">
        <w:rPr>
          <w:rFonts w:ascii="Cambria" w:hAnsi="Cambria"/>
          <w:i/>
          <w:sz w:val="20"/>
          <w:szCs w:val="20"/>
        </w:rPr>
        <w:t xml:space="preserve">) para el transbordo 2024/2025” se incluye en el </w:t>
      </w:r>
      <w:r w:rsidRPr="00A63F69">
        <w:rPr>
          <w:rFonts w:ascii="Cambria" w:hAnsi="Cambria"/>
          <w:b/>
          <w:i/>
          <w:sz w:val="20"/>
          <w:szCs w:val="20"/>
        </w:rPr>
        <w:t>PWG_402/2025</w:t>
      </w:r>
      <w:r w:rsidRPr="00A63F69">
        <w:rPr>
          <w:rFonts w:ascii="Cambria" w:hAnsi="Cambria"/>
          <w:i/>
          <w:sz w:val="20"/>
          <w:szCs w:val="20"/>
        </w:rPr>
        <w:t>.</w:t>
      </w:r>
    </w:p>
    <w:p w14:paraId="15E3FF3D" w14:textId="77777777" w:rsidR="00581207" w:rsidRPr="00A63F69" w:rsidRDefault="00581207" w:rsidP="00A63F69">
      <w:pPr>
        <w:tabs>
          <w:tab w:val="left" w:pos="360"/>
        </w:tabs>
        <w:ind w:left="360"/>
        <w:jc w:val="both"/>
        <w:rPr>
          <w:rFonts w:ascii="Cambria" w:hAnsi="Cambria"/>
          <w:i/>
          <w:iCs/>
          <w:sz w:val="20"/>
          <w:szCs w:val="20"/>
        </w:rPr>
      </w:pPr>
    </w:p>
    <w:p w14:paraId="66C38A98" w14:textId="77777777" w:rsidR="00581207" w:rsidRPr="00A63F69" w:rsidRDefault="00581207" w:rsidP="00A63F69">
      <w:pPr>
        <w:tabs>
          <w:tab w:val="left" w:pos="360"/>
        </w:tabs>
        <w:ind w:left="360"/>
        <w:jc w:val="both"/>
        <w:rPr>
          <w:rFonts w:ascii="Cambria" w:hAnsi="Cambria"/>
          <w:i/>
          <w:iCs/>
          <w:sz w:val="20"/>
          <w:szCs w:val="20"/>
        </w:rPr>
      </w:pPr>
      <w:r w:rsidRPr="00A63F69">
        <w:rPr>
          <w:rFonts w:ascii="Cambria" w:hAnsi="Cambria"/>
          <w:i/>
          <w:sz w:val="20"/>
          <w:szCs w:val="20"/>
        </w:rPr>
        <w:t xml:space="preserve">En 2025 se celebró una reunión del Grupo de trabajo sobre sistemas de seguimiento electrónico (EMS WG), cuyo informe está disponible como </w:t>
      </w:r>
      <w:r w:rsidRPr="00A63F69">
        <w:rPr>
          <w:rFonts w:ascii="Cambria" w:hAnsi="Cambria"/>
          <w:b/>
          <w:bCs/>
          <w:i/>
          <w:sz w:val="20"/>
          <w:szCs w:val="20"/>
        </w:rPr>
        <w:t>PWG_406/2025</w:t>
      </w:r>
      <w:r w:rsidRPr="00A63F69">
        <w:rPr>
          <w:rFonts w:ascii="Cambria" w:hAnsi="Cambria"/>
          <w:i/>
          <w:sz w:val="20"/>
          <w:szCs w:val="20"/>
        </w:rPr>
        <w:t>.</w:t>
      </w:r>
    </w:p>
    <w:p w14:paraId="76A8D556" w14:textId="77777777" w:rsidR="00581207" w:rsidRPr="00A63F69" w:rsidRDefault="00581207" w:rsidP="00A63F69">
      <w:pPr>
        <w:tabs>
          <w:tab w:val="left" w:pos="360"/>
        </w:tabs>
        <w:ind w:left="360"/>
        <w:jc w:val="both"/>
        <w:rPr>
          <w:rFonts w:ascii="Cambria" w:hAnsi="Cambria"/>
          <w:i/>
          <w:iCs/>
          <w:sz w:val="20"/>
          <w:szCs w:val="20"/>
        </w:rPr>
      </w:pPr>
    </w:p>
    <w:p w14:paraId="06A5B420" w14:textId="63FAC1C2"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El Reino Unido presentó un documento de debate sobre "Normas mínimas para el uso de sistemas de seguimiento electrónico (EMS) en barcos de pequeña escala en las pesquerías de ICCAT"</w:t>
      </w:r>
      <w:r w:rsidR="00BA26B4" w:rsidRPr="00A63F69">
        <w:rPr>
          <w:rFonts w:ascii="Cambria" w:hAnsi="Cambria"/>
          <w:i/>
          <w:sz w:val="20"/>
          <w:szCs w:val="20"/>
        </w:rPr>
        <w:t xml:space="preserve"> </w:t>
      </w:r>
      <w:r w:rsidRPr="00A63F69">
        <w:rPr>
          <w:rFonts w:ascii="Cambria" w:hAnsi="Cambria"/>
          <w:i/>
          <w:sz w:val="20"/>
          <w:szCs w:val="20"/>
        </w:rPr>
        <w:t xml:space="preserve">como documento </w:t>
      </w:r>
      <w:r w:rsidRPr="00A63F69">
        <w:rPr>
          <w:rFonts w:ascii="Cambria" w:hAnsi="Cambria"/>
          <w:b/>
          <w:bCs/>
          <w:i/>
          <w:sz w:val="20"/>
          <w:szCs w:val="20"/>
        </w:rPr>
        <w:t>PWG_417/2025</w:t>
      </w:r>
      <w:r w:rsidRPr="00A63F69">
        <w:rPr>
          <w:rFonts w:ascii="Cambria" w:hAnsi="Cambria"/>
          <w:i/>
          <w:sz w:val="20"/>
          <w:szCs w:val="20"/>
        </w:rPr>
        <w:t>.</w:t>
      </w:r>
    </w:p>
    <w:p w14:paraId="1DFBF41D" w14:textId="77777777" w:rsidR="00581207" w:rsidRPr="00A63F69" w:rsidRDefault="00581207" w:rsidP="00A63F69">
      <w:pPr>
        <w:tabs>
          <w:tab w:val="left" w:pos="810"/>
        </w:tabs>
        <w:ind w:left="360"/>
        <w:jc w:val="both"/>
        <w:rPr>
          <w:rFonts w:ascii="Cambria" w:hAnsi="Cambria"/>
          <w:i/>
          <w:iCs/>
          <w:sz w:val="20"/>
          <w:szCs w:val="20"/>
        </w:rPr>
      </w:pPr>
    </w:p>
    <w:p w14:paraId="65D0B0C2" w14:textId="25E8165B"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La Unión Europea presentó una "Propuesta para introducir sistemas de seguimiento electrónico (EMS) para mejorar el control de los buques de transformación de atún rojo" como documento </w:t>
      </w:r>
      <w:r w:rsidRPr="00A63F69">
        <w:rPr>
          <w:rFonts w:ascii="Cambria" w:hAnsi="Cambria"/>
          <w:b/>
          <w:i/>
          <w:sz w:val="20"/>
          <w:szCs w:val="20"/>
        </w:rPr>
        <w:t>PWG_422/2025</w:t>
      </w:r>
      <w:r w:rsidRPr="00A63F69">
        <w:rPr>
          <w:rFonts w:ascii="Cambria" w:hAnsi="Cambria"/>
          <w:i/>
          <w:sz w:val="20"/>
          <w:szCs w:val="20"/>
        </w:rPr>
        <w:t>.</w:t>
      </w:r>
    </w:p>
    <w:p w14:paraId="1219F379" w14:textId="77777777" w:rsidR="00581207" w:rsidRPr="00A63F69" w:rsidRDefault="00581207" w:rsidP="00A63F69">
      <w:pPr>
        <w:tabs>
          <w:tab w:val="left" w:pos="810"/>
        </w:tabs>
        <w:ind w:left="360"/>
        <w:jc w:val="both"/>
        <w:rPr>
          <w:rFonts w:ascii="Cambria" w:hAnsi="Cambria"/>
          <w:i/>
          <w:iCs/>
          <w:sz w:val="20"/>
          <w:szCs w:val="20"/>
        </w:rPr>
      </w:pPr>
    </w:p>
    <w:p w14:paraId="089E1924" w14:textId="129E35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La Unión Europea presentó un "Proyecto de Recomendación de ICCAT que enmienda la Recomendación</w:t>
      </w:r>
      <w:r w:rsidR="00BA26B4" w:rsidRPr="00A63F69">
        <w:rPr>
          <w:rFonts w:ascii="Cambria" w:hAnsi="Cambria"/>
          <w:i/>
          <w:sz w:val="20"/>
          <w:szCs w:val="20"/>
        </w:rPr>
        <w:t> </w:t>
      </w:r>
      <w:r w:rsidRPr="00A63F69">
        <w:rPr>
          <w:rFonts w:ascii="Cambria" w:hAnsi="Cambria"/>
          <w:i/>
          <w:sz w:val="20"/>
          <w:szCs w:val="20"/>
        </w:rPr>
        <w:t xml:space="preserve">23-18 que establece normas mínimas y requisitos de programa para el uso de sistemas de seguimiento electrónico (EMS) en las pesquerías de ICCAT" como documento </w:t>
      </w:r>
      <w:r w:rsidRPr="00A63F69">
        <w:rPr>
          <w:rFonts w:ascii="Cambria" w:hAnsi="Cambria"/>
          <w:b/>
          <w:i/>
          <w:sz w:val="20"/>
          <w:szCs w:val="20"/>
        </w:rPr>
        <w:t>PWG_423/2025</w:t>
      </w:r>
      <w:r w:rsidRPr="00A63F69">
        <w:rPr>
          <w:rFonts w:ascii="Cambria" w:hAnsi="Cambria"/>
          <w:i/>
          <w:sz w:val="20"/>
          <w:szCs w:val="20"/>
        </w:rPr>
        <w:t>.</w:t>
      </w:r>
    </w:p>
    <w:p w14:paraId="343725B0" w14:textId="77777777" w:rsidR="00581207" w:rsidRPr="00A63F69" w:rsidRDefault="00581207" w:rsidP="00A63F69">
      <w:pPr>
        <w:tabs>
          <w:tab w:val="left" w:pos="810"/>
        </w:tabs>
        <w:ind w:left="360"/>
        <w:jc w:val="both"/>
        <w:rPr>
          <w:rFonts w:ascii="Cambria" w:hAnsi="Cambria"/>
          <w:i/>
          <w:iCs/>
          <w:sz w:val="20"/>
          <w:szCs w:val="20"/>
        </w:rPr>
      </w:pPr>
    </w:p>
    <w:p w14:paraId="42AD9FD6" w14:textId="77777777" w:rsidR="00581207" w:rsidRPr="00A63F69" w:rsidRDefault="00581207" w:rsidP="00A63F69">
      <w:pPr>
        <w:tabs>
          <w:tab w:val="left" w:pos="360"/>
        </w:tabs>
        <w:ind w:left="360"/>
        <w:jc w:val="both"/>
        <w:rPr>
          <w:rFonts w:ascii="Cambria" w:hAnsi="Cambria"/>
          <w:i/>
          <w:iCs/>
          <w:sz w:val="20"/>
          <w:szCs w:val="20"/>
        </w:rPr>
      </w:pPr>
      <w:r w:rsidRPr="00A63F69">
        <w:rPr>
          <w:rFonts w:ascii="Cambria" w:hAnsi="Cambria"/>
          <w:i/>
          <w:sz w:val="20"/>
          <w:szCs w:val="20"/>
        </w:rPr>
        <w:t>El "Resumen ejecutivo del proyecto piloto de cámaras estereoscópicas, objetivo 1: probar el uso de cámaras estereoscópicas en la primera transferencia (</w:t>
      </w:r>
      <w:proofErr w:type="spellStart"/>
      <w:r w:rsidRPr="00A63F69">
        <w:rPr>
          <w:rFonts w:ascii="Cambria" w:hAnsi="Cambria"/>
          <w:i/>
          <w:sz w:val="20"/>
          <w:szCs w:val="20"/>
        </w:rPr>
        <w:t>Universitat</w:t>
      </w:r>
      <w:proofErr w:type="spellEnd"/>
      <w:r w:rsidRPr="00A63F69">
        <w:rPr>
          <w:rFonts w:ascii="Cambria" w:hAnsi="Cambria"/>
          <w:i/>
          <w:sz w:val="20"/>
          <w:szCs w:val="20"/>
        </w:rPr>
        <w:t xml:space="preserve"> </w:t>
      </w:r>
      <w:proofErr w:type="spellStart"/>
      <w:r w:rsidRPr="00A63F69">
        <w:rPr>
          <w:rFonts w:ascii="Cambria" w:hAnsi="Cambria"/>
          <w:i/>
          <w:sz w:val="20"/>
          <w:szCs w:val="20"/>
        </w:rPr>
        <w:t>Politècnica</w:t>
      </w:r>
      <w:proofErr w:type="spellEnd"/>
      <w:r w:rsidRPr="00A63F69">
        <w:rPr>
          <w:rFonts w:ascii="Cambria" w:hAnsi="Cambria"/>
          <w:i/>
          <w:sz w:val="20"/>
          <w:szCs w:val="20"/>
        </w:rPr>
        <w:t xml:space="preserve"> de València - UPV)" figura en el documento </w:t>
      </w:r>
      <w:r w:rsidRPr="00A63F69">
        <w:rPr>
          <w:rFonts w:ascii="Cambria" w:hAnsi="Cambria"/>
          <w:b/>
          <w:bCs/>
          <w:i/>
          <w:sz w:val="20"/>
          <w:szCs w:val="20"/>
        </w:rPr>
        <w:t>PWG_425/2025</w:t>
      </w:r>
      <w:r w:rsidRPr="00A63F69">
        <w:rPr>
          <w:rFonts w:ascii="Cambria" w:hAnsi="Cambria"/>
          <w:i/>
          <w:sz w:val="20"/>
          <w:szCs w:val="20"/>
        </w:rPr>
        <w:t xml:space="preserve">. El proyecto del informe final y una presentación están disponibles como </w:t>
      </w:r>
      <w:r w:rsidRPr="00A63F69">
        <w:rPr>
          <w:rFonts w:ascii="Cambria" w:hAnsi="Cambria"/>
          <w:b/>
          <w:bCs/>
          <w:i/>
          <w:sz w:val="20"/>
          <w:szCs w:val="20"/>
        </w:rPr>
        <w:t>Anexo 1</w:t>
      </w:r>
      <w:r w:rsidRPr="00A63F69">
        <w:rPr>
          <w:rFonts w:ascii="Cambria" w:hAnsi="Cambria"/>
          <w:i/>
          <w:sz w:val="20"/>
          <w:szCs w:val="20"/>
        </w:rPr>
        <w:t xml:space="preserve"> y </w:t>
      </w:r>
      <w:r w:rsidRPr="00A63F69">
        <w:rPr>
          <w:rFonts w:ascii="Cambria" w:hAnsi="Cambria"/>
          <w:b/>
          <w:bCs/>
          <w:i/>
          <w:sz w:val="20"/>
          <w:szCs w:val="20"/>
        </w:rPr>
        <w:t>Anexo 2</w:t>
      </w:r>
      <w:r w:rsidRPr="00A63F69">
        <w:rPr>
          <w:rFonts w:ascii="Cambria" w:hAnsi="Cambria"/>
          <w:i/>
          <w:sz w:val="20"/>
          <w:szCs w:val="20"/>
        </w:rPr>
        <w:t xml:space="preserve"> de este documento, respectivamente.</w:t>
      </w:r>
    </w:p>
    <w:p w14:paraId="19D9B8D9" w14:textId="77777777" w:rsidR="00581207" w:rsidRPr="00A63F69" w:rsidRDefault="00581207" w:rsidP="00A63F69">
      <w:pPr>
        <w:tabs>
          <w:tab w:val="left" w:pos="360"/>
        </w:tabs>
        <w:ind w:left="360"/>
        <w:jc w:val="both"/>
        <w:rPr>
          <w:rFonts w:ascii="Cambria" w:hAnsi="Cambria"/>
          <w:i/>
          <w:iCs/>
          <w:sz w:val="20"/>
          <w:szCs w:val="20"/>
        </w:rPr>
      </w:pPr>
    </w:p>
    <w:p w14:paraId="50952A15" w14:textId="51AE8978" w:rsidR="00581207" w:rsidRPr="00A63F69" w:rsidRDefault="00581207" w:rsidP="00A63F69">
      <w:pPr>
        <w:tabs>
          <w:tab w:val="left" w:pos="360"/>
        </w:tabs>
        <w:ind w:left="360"/>
        <w:jc w:val="both"/>
        <w:rPr>
          <w:rFonts w:ascii="Cambria" w:hAnsi="Cambria"/>
          <w:i/>
          <w:iCs/>
          <w:sz w:val="20"/>
          <w:szCs w:val="20"/>
        </w:rPr>
      </w:pPr>
      <w:r w:rsidRPr="00A63F69">
        <w:rPr>
          <w:rFonts w:ascii="Cambria" w:hAnsi="Cambria"/>
          <w:i/>
          <w:sz w:val="20"/>
          <w:szCs w:val="20"/>
        </w:rPr>
        <w:t>El "</w:t>
      </w:r>
      <w:r w:rsidR="00BA26B4" w:rsidRPr="00A63F69">
        <w:rPr>
          <w:rFonts w:ascii="Cambria" w:hAnsi="Cambria"/>
          <w:i/>
          <w:sz w:val="20"/>
          <w:szCs w:val="20"/>
        </w:rPr>
        <w:t>Resumen</w:t>
      </w:r>
      <w:r w:rsidRPr="00A63F69">
        <w:rPr>
          <w:rFonts w:ascii="Cambria" w:hAnsi="Cambria"/>
          <w:i/>
          <w:sz w:val="20"/>
          <w:szCs w:val="20"/>
        </w:rPr>
        <w:t xml:space="preserve"> ejecutivo</w:t>
      </w:r>
      <w:r w:rsidR="00BA26B4" w:rsidRPr="00A63F69">
        <w:rPr>
          <w:rFonts w:ascii="Cambria" w:hAnsi="Cambria"/>
          <w:i/>
          <w:sz w:val="20"/>
          <w:szCs w:val="20"/>
        </w:rPr>
        <w:t xml:space="preserve"> </w:t>
      </w:r>
      <w:r w:rsidRPr="00A63F69">
        <w:rPr>
          <w:rFonts w:ascii="Cambria" w:hAnsi="Cambria"/>
          <w:i/>
          <w:sz w:val="20"/>
          <w:szCs w:val="20"/>
        </w:rPr>
        <w:t>del proyecto piloto de cámaras estereoscópicas, objetivo 2: automatización del análisis de grabaciones de vídeo</w:t>
      </w:r>
      <w:r w:rsidR="00BA26B4" w:rsidRPr="00A63F69">
        <w:rPr>
          <w:rFonts w:ascii="Cambria" w:hAnsi="Cambria"/>
          <w:i/>
          <w:sz w:val="20"/>
          <w:szCs w:val="20"/>
        </w:rPr>
        <w:t xml:space="preserve"> </w:t>
      </w:r>
      <w:r w:rsidRPr="00A63F69">
        <w:rPr>
          <w:rFonts w:ascii="Cambria" w:hAnsi="Cambria"/>
          <w:i/>
          <w:sz w:val="20"/>
          <w:szCs w:val="20"/>
        </w:rPr>
        <w:t>(</w:t>
      </w:r>
      <w:proofErr w:type="spellStart"/>
      <w:r w:rsidRPr="00A63F69">
        <w:rPr>
          <w:rFonts w:ascii="Cambria" w:hAnsi="Cambria"/>
          <w:i/>
          <w:sz w:val="20"/>
          <w:szCs w:val="20"/>
        </w:rPr>
        <w:t>Universitat</w:t>
      </w:r>
      <w:proofErr w:type="spellEnd"/>
      <w:r w:rsidRPr="00A63F69">
        <w:rPr>
          <w:rFonts w:ascii="Cambria" w:hAnsi="Cambria"/>
          <w:i/>
          <w:sz w:val="20"/>
          <w:szCs w:val="20"/>
        </w:rPr>
        <w:t xml:space="preserve"> </w:t>
      </w:r>
      <w:proofErr w:type="spellStart"/>
      <w:r w:rsidRPr="00A63F69">
        <w:rPr>
          <w:rFonts w:ascii="Cambria" w:hAnsi="Cambria"/>
          <w:i/>
          <w:sz w:val="20"/>
          <w:szCs w:val="20"/>
        </w:rPr>
        <w:t>Politècnica</w:t>
      </w:r>
      <w:proofErr w:type="spellEnd"/>
      <w:r w:rsidRPr="00A63F69">
        <w:rPr>
          <w:rFonts w:ascii="Cambria" w:hAnsi="Cambria"/>
          <w:i/>
          <w:sz w:val="20"/>
          <w:szCs w:val="20"/>
        </w:rPr>
        <w:t xml:space="preserve"> de València - UPV y AQ1)" figura en el documento </w:t>
      </w:r>
      <w:r w:rsidRPr="00A63F69">
        <w:rPr>
          <w:rFonts w:ascii="Cambria" w:hAnsi="Cambria"/>
          <w:b/>
          <w:bCs/>
          <w:i/>
          <w:sz w:val="20"/>
          <w:szCs w:val="20"/>
        </w:rPr>
        <w:t>PWG_426/2025</w:t>
      </w:r>
      <w:r w:rsidRPr="00A63F69">
        <w:rPr>
          <w:rFonts w:ascii="Cambria" w:hAnsi="Cambria"/>
          <w:i/>
          <w:sz w:val="20"/>
          <w:szCs w:val="20"/>
        </w:rPr>
        <w:t xml:space="preserve">. Las presentaciones de la UPV y AQ1 están disponibles como </w:t>
      </w:r>
      <w:r w:rsidRPr="00A63F69">
        <w:rPr>
          <w:rFonts w:ascii="Cambria" w:hAnsi="Cambria"/>
          <w:b/>
          <w:bCs/>
          <w:i/>
          <w:sz w:val="20"/>
          <w:szCs w:val="20"/>
        </w:rPr>
        <w:t>Anexo 1</w:t>
      </w:r>
      <w:r w:rsidRPr="00A63F69">
        <w:rPr>
          <w:rFonts w:ascii="Cambria" w:hAnsi="Cambria"/>
          <w:i/>
          <w:sz w:val="20"/>
          <w:szCs w:val="20"/>
        </w:rPr>
        <w:t xml:space="preserve"> y </w:t>
      </w:r>
      <w:r w:rsidRPr="00A63F69">
        <w:rPr>
          <w:rFonts w:ascii="Cambria" w:hAnsi="Cambria"/>
          <w:b/>
          <w:bCs/>
          <w:i/>
          <w:sz w:val="20"/>
          <w:szCs w:val="20"/>
        </w:rPr>
        <w:t>Anexo 2</w:t>
      </w:r>
      <w:r w:rsidRPr="00A63F69">
        <w:rPr>
          <w:rFonts w:ascii="Cambria" w:hAnsi="Cambria"/>
          <w:i/>
          <w:sz w:val="20"/>
          <w:szCs w:val="20"/>
        </w:rPr>
        <w:t xml:space="preserve"> de este documento, respectivamente.</w:t>
      </w:r>
    </w:p>
    <w:p w14:paraId="057C4BE3" w14:textId="77777777" w:rsidR="00581207" w:rsidRPr="00A63F69" w:rsidRDefault="00581207" w:rsidP="00A63F69">
      <w:pPr>
        <w:tabs>
          <w:tab w:val="left" w:pos="360"/>
        </w:tabs>
        <w:ind w:left="360"/>
        <w:jc w:val="both"/>
        <w:rPr>
          <w:rFonts w:ascii="Cambria" w:hAnsi="Cambria"/>
          <w:i/>
          <w:iCs/>
          <w:sz w:val="20"/>
          <w:szCs w:val="20"/>
        </w:rPr>
      </w:pPr>
    </w:p>
    <w:p w14:paraId="0C77F84B" w14:textId="77777777" w:rsidR="00581207" w:rsidRPr="00A63F69" w:rsidRDefault="00581207" w:rsidP="00A63F69">
      <w:pPr>
        <w:tabs>
          <w:tab w:val="left" w:pos="426"/>
        </w:tabs>
        <w:ind w:left="360"/>
        <w:jc w:val="both"/>
        <w:rPr>
          <w:rFonts w:ascii="Cambria" w:hAnsi="Cambria"/>
          <w:sz w:val="20"/>
          <w:szCs w:val="20"/>
        </w:rPr>
      </w:pPr>
      <w:bookmarkStart w:id="4" w:name="_Hlk77007826"/>
      <w:bookmarkEnd w:id="3"/>
      <w:r w:rsidRPr="00A63F69">
        <w:rPr>
          <w:rFonts w:ascii="Cambria" w:hAnsi="Cambria"/>
          <w:sz w:val="20"/>
          <w:szCs w:val="20"/>
        </w:rPr>
        <w:t>5.3 Requisitos para los transbordos en puerto y en mar</w:t>
      </w:r>
      <w:bookmarkEnd w:id="4"/>
    </w:p>
    <w:p w14:paraId="717D0AE4" w14:textId="77777777" w:rsidR="00581207" w:rsidRPr="00A63F69" w:rsidRDefault="00581207" w:rsidP="00A63F69">
      <w:pPr>
        <w:tabs>
          <w:tab w:val="left" w:pos="426"/>
        </w:tabs>
        <w:ind w:left="360"/>
        <w:jc w:val="both"/>
        <w:rPr>
          <w:rFonts w:ascii="Cambria" w:hAnsi="Cambria"/>
          <w:sz w:val="20"/>
          <w:szCs w:val="20"/>
        </w:rPr>
      </w:pPr>
    </w:p>
    <w:p w14:paraId="6517CF20" w14:textId="61455163"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 xml:space="preserve">La </w:t>
      </w:r>
      <w:hyperlink r:id="rId27" w:history="1">
        <w:r w:rsidR="00BA26B4" w:rsidRPr="00A63F69">
          <w:rPr>
            <w:rStyle w:val="Hyperlink"/>
            <w:rFonts w:ascii="Cambria" w:hAnsi="Cambria"/>
            <w:i/>
            <w:sz w:val="20"/>
            <w:szCs w:val="20"/>
            <w:u w:val="none"/>
          </w:rPr>
          <w:t xml:space="preserve">Recomendación de ICCAT </w:t>
        </w:r>
        <w:r w:rsidR="007F5B1C" w:rsidRPr="00A63F69">
          <w:rPr>
            <w:rStyle w:val="Hyperlink"/>
            <w:rFonts w:ascii="Cambria" w:hAnsi="Cambria"/>
            <w:i/>
            <w:sz w:val="20"/>
            <w:szCs w:val="20"/>
            <w:u w:val="none"/>
          </w:rPr>
          <w:t xml:space="preserve">que enmienda la Recomendación </w:t>
        </w:r>
        <w:r w:rsidR="00BA26B4" w:rsidRPr="00A63F69">
          <w:rPr>
            <w:rStyle w:val="Hyperlink"/>
            <w:rFonts w:ascii="Cambria" w:hAnsi="Cambria"/>
            <w:i/>
            <w:sz w:val="20"/>
            <w:szCs w:val="20"/>
            <w:u w:val="none"/>
          </w:rPr>
          <w:t xml:space="preserve">21-15 </w:t>
        </w:r>
        <w:r w:rsidR="007F5B1C" w:rsidRPr="00A63F69">
          <w:rPr>
            <w:rStyle w:val="Hyperlink"/>
            <w:rFonts w:ascii="Cambria" w:hAnsi="Cambria"/>
            <w:i/>
            <w:sz w:val="20"/>
            <w:szCs w:val="20"/>
            <w:u w:val="none"/>
          </w:rPr>
          <w:t xml:space="preserve">sobre transbordo </w:t>
        </w:r>
        <w:r w:rsidRPr="00A63F69">
          <w:rPr>
            <w:rStyle w:val="Hyperlink"/>
            <w:rFonts w:ascii="Cambria" w:hAnsi="Cambria"/>
            <w:i/>
            <w:sz w:val="20"/>
            <w:szCs w:val="20"/>
            <w:u w:val="none"/>
          </w:rPr>
          <w:t>(Rec. 24-15)</w:t>
        </w:r>
      </w:hyperlink>
      <w:r w:rsidR="00BA26B4" w:rsidRPr="00A63F69">
        <w:rPr>
          <w:rFonts w:ascii="Cambria" w:hAnsi="Cambria"/>
          <w:i/>
          <w:sz w:val="20"/>
          <w:szCs w:val="20"/>
        </w:rPr>
        <w:t xml:space="preserve"> se actualizó en 2024</w:t>
      </w:r>
      <w:r w:rsidRPr="00A63F69">
        <w:rPr>
          <w:rFonts w:ascii="Cambria" w:hAnsi="Cambria"/>
          <w:i/>
          <w:sz w:val="20"/>
          <w:szCs w:val="20"/>
        </w:rPr>
        <w:t xml:space="preserve">. El Registro ICCAT de buques puede consultarse </w:t>
      </w:r>
      <w:hyperlink r:id="rId28" w:history="1">
        <w:r w:rsidRPr="00A63F69">
          <w:rPr>
            <w:rStyle w:val="Hyperlink"/>
            <w:rFonts w:ascii="Cambria" w:hAnsi="Cambria"/>
            <w:i/>
            <w:sz w:val="20"/>
            <w:szCs w:val="20"/>
            <w:u w:val="none"/>
          </w:rPr>
          <w:t>aquí.</w:t>
        </w:r>
      </w:hyperlink>
      <w:r w:rsidRPr="00A63F69">
        <w:rPr>
          <w:rFonts w:ascii="Cambria" w:hAnsi="Cambria"/>
          <w:i/>
          <w:sz w:val="20"/>
          <w:szCs w:val="20"/>
        </w:rPr>
        <w:t xml:space="preserve"> Para más información sobre los requisitos de transbordo, véase el "Informe sobre la implementación del Programa regional de observadores de ICCAT (</w:t>
      </w:r>
      <w:proofErr w:type="spellStart"/>
      <w:r w:rsidRPr="00A63F69">
        <w:rPr>
          <w:rFonts w:ascii="Cambria" w:hAnsi="Cambria"/>
          <w:i/>
          <w:sz w:val="20"/>
          <w:szCs w:val="20"/>
        </w:rPr>
        <w:t>ROP</w:t>
      </w:r>
      <w:proofErr w:type="spellEnd"/>
      <w:r w:rsidRPr="00A63F69">
        <w:rPr>
          <w:rFonts w:ascii="Cambria" w:hAnsi="Cambria"/>
          <w:i/>
          <w:sz w:val="20"/>
          <w:szCs w:val="20"/>
        </w:rPr>
        <w:t>) para</w:t>
      </w:r>
      <w:r w:rsidR="009220F3" w:rsidRPr="00A63F69">
        <w:rPr>
          <w:rFonts w:ascii="Cambria" w:hAnsi="Cambria"/>
          <w:i/>
          <w:sz w:val="20"/>
          <w:szCs w:val="20"/>
        </w:rPr>
        <w:t xml:space="preserve"> </w:t>
      </w:r>
      <w:r w:rsidRPr="00A63F69">
        <w:rPr>
          <w:rFonts w:ascii="Cambria" w:hAnsi="Cambria"/>
          <w:i/>
          <w:sz w:val="20"/>
          <w:szCs w:val="20"/>
        </w:rPr>
        <w:t>el transbordo 2024</w:t>
      </w:r>
      <w:r w:rsidR="007F5B1C" w:rsidRPr="00A63F69">
        <w:rPr>
          <w:rFonts w:ascii="Cambria" w:hAnsi="Cambria"/>
          <w:i/>
          <w:sz w:val="20"/>
          <w:szCs w:val="20"/>
        </w:rPr>
        <w:t>/2025</w:t>
      </w:r>
      <w:r w:rsidRPr="00A63F69">
        <w:rPr>
          <w:rFonts w:ascii="Cambria" w:hAnsi="Cambria"/>
          <w:i/>
          <w:sz w:val="20"/>
          <w:szCs w:val="20"/>
        </w:rPr>
        <w:t>" (</w:t>
      </w:r>
      <w:r w:rsidRPr="00A63F69">
        <w:rPr>
          <w:rFonts w:ascii="Cambria" w:hAnsi="Cambria"/>
          <w:b/>
          <w:bCs/>
          <w:i/>
          <w:sz w:val="20"/>
          <w:szCs w:val="20"/>
        </w:rPr>
        <w:t>PWG_402/2025</w:t>
      </w:r>
      <w:r w:rsidRPr="00A63F69">
        <w:rPr>
          <w:rFonts w:ascii="Cambria" w:hAnsi="Cambria"/>
          <w:i/>
          <w:sz w:val="20"/>
          <w:szCs w:val="20"/>
        </w:rPr>
        <w:t>) y "Cuestiones de posible incumplimiento derivadas de los Programas regionales de observadores de ICCAT y respuestas" (</w:t>
      </w:r>
      <w:r w:rsidRPr="00A63F69">
        <w:rPr>
          <w:rFonts w:ascii="Cambria" w:hAnsi="Cambria"/>
          <w:b/>
          <w:bCs/>
          <w:i/>
          <w:sz w:val="20"/>
          <w:szCs w:val="20"/>
        </w:rPr>
        <w:t>COC_305/2025</w:t>
      </w:r>
      <w:r w:rsidRPr="00A63F69">
        <w:rPr>
          <w:rFonts w:ascii="Cambria" w:hAnsi="Cambria"/>
          <w:i/>
          <w:sz w:val="20"/>
          <w:szCs w:val="20"/>
        </w:rPr>
        <w:t>).</w:t>
      </w:r>
    </w:p>
    <w:p w14:paraId="5D71FA08" w14:textId="77777777" w:rsidR="00581207" w:rsidRPr="00A63F69" w:rsidRDefault="00581207" w:rsidP="00A63F69">
      <w:pPr>
        <w:tabs>
          <w:tab w:val="left" w:pos="426"/>
        </w:tabs>
        <w:ind w:left="360"/>
        <w:jc w:val="both"/>
        <w:rPr>
          <w:rFonts w:ascii="Cambria" w:hAnsi="Cambria"/>
          <w:i/>
          <w:iCs/>
          <w:sz w:val="20"/>
          <w:szCs w:val="20"/>
        </w:rPr>
      </w:pPr>
    </w:p>
    <w:p w14:paraId="7891E4F6"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5.4 Normas de los acuerdos de fletamento y otros acuerdos pesqueros</w:t>
      </w:r>
    </w:p>
    <w:p w14:paraId="1009AC54" w14:textId="77777777" w:rsidR="00581207" w:rsidRPr="00A63F69" w:rsidRDefault="00581207" w:rsidP="00A63F69">
      <w:pPr>
        <w:tabs>
          <w:tab w:val="left" w:pos="426"/>
        </w:tabs>
        <w:ind w:left="360"/>
        <w:jc w:val="both"/>
        <w:rPr>
          <w:rFonts w:ascii="Cambria" w:hAnsi="Cambria"/>
          <w:sz w:val="20"/>
          <w:szCs w:val="20"/>
        </w:rPr>
      </w:pPr>
    </w:p>
    <w:p w14:paraId="5E24C8D6" w14:textId="55B76777"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iCs/>
          <w:sz w:val="20"/>
          <w:szCs w:val="20"/>
        </w:rPr>
        <w:t xml:space="preserve">Se ha presentado al Comité de </w:t>
      </w:r>
      <w:r w:rsidR="007F5B1C" w:rsidRPr="00A63F69">
        <w:rPr>
          <w:rFonts w:ascii="Cambria" w:hAnsi="Cambria"/>
          <w:i/>
          <w:iCs/>
          <w:sz w:val="20"/>
          <w:szCs w:val="20"/>
        </w:rPr>
        <w:t xml:space="preserve">Cumplimiento </w:t>
      </w:r>
      <w:r w:rsidRPr="00A63F69">
        <w:rPr>
          <w:rFonts w:ascii="Cambria" w:hAnsi="Cambria"/>
          <w:i/>
          <w:iCs/>
          <w:sz w:val="20"/>
          <w:szCs w:val="20"/>
        </w:rPr>
        <w:t xml:space="preserve">un resumen sobre acuerdos de fletamento e informes de las CPC en el documento </w:t>
      </w:r>
      <w:r w:rsidRPr="00A63F69">
        <w:rPr>
          <w:rFonts w:ascii="Cambria" w:hAnsi="Cambria"/>
          <w:b/>
          <w:bCs/>
          <w:i/>
          <w:iCs/>
          <w:sz w:val="20"/>
          <w:szCs w:val="20"/>
        </w:rPr>
        <w:t>COC_303/2025</w:t>
      </w:r>
      <w:r w:rsidRPr="00A63F69">
        <w:rPr>
          <w:rFonts w:ascii="Cambria" w:hAnsi="Cambria"/>
          <w:i/>
          <w:iCs/>
          <w:sz w:val="20"/>
          <w:szCs w:val="20"/>
        </w:rPr>
        <w:t xml:space="preserve">. En el </w:t>
      </w:r>
      <w:r w:rsidRPr="00A63F69">
        <w:rPr>
          <w:rFonts w:ascii="Cambria" w:hAnsi="Cambria"/>
          <w:b/>
          <w:bCs/>
          <w:i/>
          <w:iCs/>
          <w:sz w:val="20"/>
          <w:szCs w:val="20"/>
        </w:rPr>
        <w:t>COC</w:t>
      </w:r>
      <w:r w:rsidR="007F5B1C" w:rsidRPr="00A63F69">
        <w:rPr>
          <w:rFonts w:ascii="Cambria" w:hAnsi="Cambria"/>
          <w:b/>
          <w:bCs/>
          <w:i/>
          <w:iCs/>
          <w:sz w:val="20"/>
          <w:szCs w:val="20"/>
        </w:rPr>
        <w:t>_</w:t>
      </w:r>
      <w:r w:rsidRPr="00A63F69">
        <w:rPr>
          <w:rFonts w:ascii="Cambria" w:hAnsi="Cambria"/>
          <w:b/>
          <w:bCs/>
          <w:i/>
          <w:iCs/>
          <w:sz w:val="20"/>
          <w:szCs w:val="20"/>
        </w:rPr>
        <w:t>303/2025</w:t>
      </w:r>
      <w:r w:rsidR="007F5B1C" w:rsidRPr="00A63F69">
        <w:rPr>
          <w:rFonts w:ascii="Cambria" w:hAnsi="Cambria"/>
          <w:i/>
          <w:iCs/>
          <w:sz w:val="20"/>
          <w:szCs w:val="20"/>
        </w:rPr>
        <w:t xml:space="preserve"> </w:t>
      </w:r>
      <w:r w:rsidRPr="00A63F69">
        <w:rPr>
          <w:rFonts w:ascii="Cambria" w:hAnsi="Cambria"/>
          <w:i/>
          <w:iCs/>
          <w:sz w:val="20"/>
          <w:szCs w:val="20"/>
        </w:rPr>
        <w:t>también se incluye una tabla que resume los acuerdos de acceso.</w:t>
      </w:r>
    </w:p>
    <w:p w14:paraId="4439AE08" w14:textId="77777777" w:rsidR="00581207" w:rsidRPr="00A63F69" w:rsidRDefault="00581207" w:rsidP="00A63F69">
      <w:pPr>
        <w:tabs>
          <w:tab w:val="left" w:pos="426"/>
        </w:tabs>
        <w:ind w:left="360"/>
        <w:jc w:val="both"/>
        <w:rPr>
          <w:rFonts w:ascii="Cambria" w:hAnsi="Cambria"/>
          <w:i/>
          <w:iCs/>
          <w:sz w:val="20"/>
          <w:szCs w:val="20"/>
        </w:rPr>
      </w:pPr>
    </w:p>
    <w:p w14:paraId="73D63F25"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sobre acuerdos de fletamento de buques y acuerdos de acceso", presentado por Estados Unidos como documento </w:t>
      </w:r>
      <w:r w:rsidRPr="00A63F69">
        <w:rPr>
          <w:rFonts w:ascii="Cambria" w:hAnsi="Cambria"/>
          <w:b/>
          <w:i/>
          <w:sz w:val="20"/>
          <w:szCs w:val="20"/>
        </w:rPr>
        <w:t>PWG_414/2025</w:t>
      </w:r>
      <w:r w:rsidRPr="00A63F69">
        <w:rPr>
          <w:rFonts w:ascii="Cambria" w:hAnsi="Cambria"/>
          <w:i/>
          <w:sz w:val="20"/>
          <w:szCs w:val="20"/>
        </w:rPr>
        <w:t>.</w:t>
      </w:r>
    </w:p>
    <w:p w14:paraId="7D417143" w14:textId="77777777" w:rsidR="00581207" w:rsidRPr="00A63F69" w:rsidRDefault="00581207" w:rsidP="00A63F69">
      <w:pPr>
        <w:tabs>
          <w:tab w:val="left" w:pos="426"/>
        </w:tabs>
        <w:ind w:left="360"/>
        <w:jc w:val="both"/>
        <w:rPr>
          <w:rFonts w:ascii="Cambria" w:hAnsi="Cambria"/>
          <w:i/>
          <w:iCs/>
          <w:sz w:val="20"/>
          <w:szCs w:val="20"/>
        </w:rPr>
      </w:pPr>
    </w:p>
    <w:p w14:paraId="52A31D3C"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5.5 Avistamiento de buques en el mar y programas de inspección</w:t>
      </w:r>
    </w:p>
    <w:p w14:paraId="56A5776A" w14:textId="77777777" w:rsidR="00581207" w:rsidRPr="00A63F69" w:rsidRDefault="00581207" w:rsidP="00A63F69">
      <w:pPr>
        <w:tabs>
          <w:tab w:val="left" w:pos="426"/>
        </w:tabs>
        <w:ind w:left="360"/>
        <w:jc w:val="both"/>
        <w:rPr>
          <w:rFonts w:ascii="Cambria" w:hAnsi="Cambria"/>
          <w:sz w:val="20"/>
          <w:szCs w:val="20"/>
        </w:rPr>
      </w:pPr>
    </w:p>
    <w:p w14:paraId="24E2F793" w14:textId="0E97EB66"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sz w:val="20"/>
          <w:szCs w:val="20"/>
        </w:rPr>
        <w:t xml:space="preserve">Los informes de inspección presentados en el marco del programa conjunto ICCAT de inspección internacional </w:t>
      </w:r>
      <w:r w:rsidR="009220F3" w:rsidRPr="00A63F69">
        <w:rPr>
          <w:rFonts w:ascii="Cambria" w:hAnsi="Cambria"/>
          <w:i/>
          <w:sz w:val="20"/>
          <w:szCs w:val="20"/>
        </w:rPr>
        <w:t xml:space="preserve">con infracciones </w:t>
      </w:r>
      <w:r w:rsidRPr="00A63F69">
        <w:rPr>
          <w:rFonts w:ascii="Cambria" w:hAnsi="Cambria"/>
          <w:i/>
          <w:sz w:val="20"/>
          <w:szCs w:val="20"/>
        </w:rPr>
        <w:t xml:space="preserve">figuran en el </w:t>
      </w:r>
      <w:r w:rsidRPr="00A63F69">
        <w:rPr>
          <w:rFonts w:ascii="Cambria" w:hAnsi="Cambria"/>
          <w:b/>
          <w:bCs/>
          <w:i/>
          <w:sz w:val="20"/>
          <w:szCs w:val="20"/>
        </w:rPr>
        <w:t xml:space="preserve">Anexo 3 </w:t>
      </w:r>
      <w:r w:rsidRPr="00A63F69">
        <w:rPr>
          <w:rFonts w:ascii="Cambria" w:hAnsi="Cambria"/>
          <w:i/>
          <w:sz w:val="20"/>
          <w:szCs w:val="20"/>
        </w:rPr>
        <w:t xml:space="preserve">al </w:t>
      </w:r>
      <w:r w:rsidRPr="00A63F69">
        <w:rPr>
          <w:rFonts w:ascii="Cambria" w:hAnsi="Cambria"/>
          <w:b/>
          <w:bCs/>
          <w:i/>
          <w:sz w:val="20"/>
          <w:szCs w:val="20"/>
        </w:rPr>
        <w:t>COC-303/2025</w:t>
      </w:r>
      <w:r w:rsidRPr="00A63F69">
        <w:rPr>
          <w:rFonts w:ascii="Cambria" w:hAnsi="Cambria"/>
          <w:i/>
          <w:sz w:val="20"/>
          <w:szCs w:val="20"/>
        </w:rPr>
        <w:t xml:space="preserve">, mientras que los avistamientos de buques y las comunicaciones relacionadas, cuando procede, figuran en el </w:t>
      </w:r>
      <w:r w:rsidRPr="00A63F69">
        <w:rPr>
          <w:rFonts w:ascii="Cambria" w:hAnsi="Cambria"/>
          <w:b/>
          <w:bCs/>
          <w:i/>
          <w:sz w:val="20"/>
          <w:szCs w:val="20"/>
        </w:rPr>
        <w:t>Apéndice 5</w:t>
      </w:r>
      <w:r w:rsidRPr="00A63F69">
        <w:rPr>
          <w:rFonts w:ascii="Cambria" w:hAnsi="Cambria"/>
          <w:i/>
          <w:sz w:val="20"/>
          <w:szCs w:val="20"/>
        </w:rPr>
        <w:t xml:space="preserve"> del </w:t>
      </w:r>
      <w:r w:rsidRPr="00A63F69">
        <w:rPr>
          <w:rFonts w:ascii="Cambria" w:hAnsi="Cambria"/>
          <w:b/>
          <w:bCs/>
          <w:i/>
          <w:sz w:val="20"/>
          <w:szCs w:val="20"/>
        </w:rPr>
        <w:t>COC-303/2025</w:t>
      </w:r>
      <w:r w:rsidRPr="00A63F69">
        <w:rPr>
          <w:rFonts w:ascii="Cambria" w:hAnsi="Cambria"/>
          <w:i/>
          <w:sz w:val="20"/>
          <w:szCs w:val="20"/>
        </w:rPr>
        <w:t>.</w:t>
      </w:r>
    </w:p>
    <w:p w14:paraId="3240829E" w14:textId="77777777" w:rsidR="00581207" w:rsidRPr="00A63F69" w:rsidRDefault="00581207" w:rsidP="00A63F69">
      <w:pPr>
        <w:tabs>
          <w:tab w:val="left" w:pos="426"/>
        </w:tabs>
        <w:ind w:left="360"/>
        <w:jc w:val="both"/>
        <w:rPr>
          <w:rFonts w:ascii="Cambria" w:hAnsi="Cambria"/>
          <w:i/>
          <w:iCs/>
          <w:sz w:val="20"/>
          <w:szCs w:val="20"/>
        </w:rPr>
      </w:pPr>
    </w:p>
    <w:p w14:paraId="6FDFB46C"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"Documento de trabajo sobre un programa de visita e inspección en alta mar (</w:t>
      </w:r>
      <w:proofErr w:type="spellStart"/>
      <w:r w:rsidRPr="00A63F69">
        <w:rPr>
          <w:rFonts w:ascii="Cambria" w:hAnsi="Cambria"/>
          <w:i/>
          <w:sz w:val="20"/>
          <w:szCs w:val="20"/>
        </w:rPr>
        <w:t>HSBI</w:t>
      </w:r>
      <w:proofErr w:type="spellEnd"/>
      <w:r w:rsidRPr="00A63F69">
        <w:rPr>
          <w:rFonts w:ascii="Cambria" w:hAnsi="Cambria"/>
          <w:i/>
          <w:sz w:val="20"/>
          <w:szCs w:val="20"/>
        </w:rPr>
        <w:t xml:space="preserve">) para las medidas de seguimiento integradas (IMM) de 2026", presentado por Canadá y la Unión Europea como documento </w:t>
      </w:r>
      <w:r w:rsidRPr="00A63F69">
        <w:rPr>
          <w:rFonts w:ascii="Cambria" w:hAnsi="Cambria"/>
          <w:b/>
          <w:bCs/>
          <w:i/>
          <w:sz w:val="20"/>
          <w:szCs w:val="20"/>
        </w:rPr>
        <w:t>PWG-418/2025</w:t>
      </w:r>
      <w:r w:rsidRPr="00A63F69">
        <w:rPr>
          <w:rFonts w:ascii="Cambria" w:hAnsi="Cambria"/>
          <w:i/>
          <w:sz w:val="20"/>
          <w:szCs w:val="20"/>
        </w:rPr>
        <w:t xml:space="preserve">. </w:t>
      </w:r>
    </w:p>
    <w:p w14:paraId="741988F2" w14:textId="77777777" w:rsidR="00581207" w:rsidRPr="00A63F69" w:rsidRDefault="00581207" w:rsidP="00A63F69">
      <w:pPr>
        <w:tabs>
          <w:tab w:val="left" w:pos="810"/>
        </w:tabs>
        <w:ind w:left="360"/>
        <w:jc w:val="both"/>
        <w:rPr>
          <w:rFonts w:ascii="Cambria" w:hAnsi="Cambria"/>
          <w:i/>
          <w:iCs/>
          <w:sz w:val="20"/>
          <w:szCs w:val="20"/>
        </w:rPr>
      </w:pPr>
    </w:p>
    <w:p w14:paraId="41D3F710"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sobre el seguimiento de las posibles infracciones detectadas en el marco del Programa conjunto de inspección internacional (JIS) para el atún rojo y el pez espada", presentado por la Unión Europea como documento </w:t>
      </w:r>
      <w:r w:rsidRPr="00A63F69">
        <w:rPr>
          <w:rFonts w:ascii="Cambria" w:hAnsi="Cambria"/>
          <w:b/>
          <w:i/>
          <w:sz w:val="20"/>
          <w:szCs w:val="20"/>
        </w:rPr>
        <w:t>PWG-424/2025</w:t>
      </w:r>
      <w:r w:rsidRPr="00A63F69">
        <w:rPr>
          <w:rFonts w:ascii="Cambria" w:hAnsi="Cambria"/>
          <w:i/>
          <w:sz w:val="20"/>
          <w:szCs w:val="20"/>
        </w:rPr>
        <w:t>.</w:t>
      </w:r>
    </w:p>
    <w:p w14:paraId="7BBA0A29" w14:textId="77777777" w:rsidR="00581207" w:rsidRPr="00A63F69" w:rsidRDefault="00581207" w:rsidP="00A63F69">
      <w:pPr>
        <w:tabs>
          <w:tab w:val="left" w:pos="426"/>
        </w:tabs>
        <w:ind w:left="720"/>
        <w:jc w:val="both"/>
        <w:rPr>
          <w:rFonts w:ascii="Cambria" w:hAnsi="Cambria"/>
          <w:sz w:val="20"/>
          <w:szCs w:val="20"/>
        </w:rPr>
      </w:pPr>
    </w:p>
    <w:p w14:paraId="25C3C579" w14:textId="77777777" w:rsidR="000336B8" w:rsidRPr="00A63F69" w:rsidRDefault="000336B8" w:rsidP="00A63F69">
      <w:pPr>
        <w:spacing w:after="160" w:line="259" w:lineRule="auto"/>
        <w:jc w:val="both"/>
        <w:rPr>
          <w:rFonts w:ascii="Cambria" w:hAnsi="Cambria"/>
          <w:sz w:val="20"/>
          <w:szCs w:val="20"/>
        </w:rPr>
      </w:pPr>
      <w:r w:rsidRPr="00A63F69">
        <w:rPr>
          <w:rFonts w:ascii="Cambria" w:hAnsi="Cambria"/>
          <w:sz w:val="20"/>
          <w:szCs w:val="20"/>
        </w:rPr>
        <w:br w:type="page"/>
      </w:r>
    </w:p>
    <w:p w14:paraId="2B24AF92" w14:textId="4459028D"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5.6 Programas de inspección en puerto y otras medidas del Estado rector del puerto</w:t>
      </w:r>
    </w:p>
    <w:p w14:paraId="39704470" w14:textId="77777777" w:rsidR="00581207" w:rsidRPr="00A63F69" w:rsidRDefault="00581207" w:rsidP="00A63F69">
      <w:pPr>
        <w:tabs>
          <w:tab w:val="left" w:pos="426"/>
        </w:tabs>
        <w:ind w:left="360"/>
        <w:jc w:val="both"/>
        <w:rPr>
          <w:rFonts w:ascii="Cambria" w:hAnsi="Cambria"/>
          <w:sz w:val="20"/>
          <w:szCs w:val="20"/>
        </w:rPr>
      </w:pPr>
    </w:p>
    <w:p w14:paraId="22FE52B5" w14:textId="7777777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 xml:space="preserve">El "Informe sobre la misión de evaluación de las necesidades de inspección en puerto de ICCAT y misiones de formación en </w:t>
      </w:r>
      <w:proofErr w:type="spellStart"/>
      <w:r w:rsidRPr="00A63F69">
        <w:rPr>
          <w:rFonts w:ascii="Cambria" w:hAnsi="Cambria"/>
          <w:i/>
          <w:sz w:val="20"/>
          <w:szCs w:val="20"/>
        </w:rPr>
        <w:t>Walvis</w:t>
      </w:r>
      <w:proofErr w:type="spellEnd"/>
      <w:r w:rsidRPr="00A63F69">
        <w:rPr>
          <w:rFonts w:ascii="Cambria" w:hAnsi="Cambria"/>
          <w:i/>
          <w:sz w:val="20"/>
          <w:szCs w:val="20"/>
        </w:rPr>
        <w:t xml:space="preserve"> Bay, Namibia" figura como documento </w:t>
      </w:r>
      <w:r w:rsidRPr="00A63F69">
        <w:rPr>
          <w:rFonts w:ascii="Cambria" w:hAnsi="Cambria"/>
          <w:b/>
          <w:bCs/>
          <w:i/>
          <w:sz w:val="20"/>
          <w:szCs w:val="20"/>
        </w:rPr>
        <w:t>PWG-408/2025</w:t>
      </w:r>
      <w:r w:rsidRPr="00A63F69">
        <w:rPr>
          <w:rFonts w:ascii="Cambria" w:hAnsi="Cambria"/>
          <w:i/>
          <w:sz w:val="20"/>
          <w:szCs w:val="20"/>
        </w:rPr>
        <w:t>.</w:t>
      </w:r>
    </w:p>
    <w:p w14:paraId="11B7B150" w14:textId="77777777" w:rsidR="00581207" w:rsidRPr="00A63F69" w:rsidRDefault="00581207" w:rsidP="00A63F69">
      <w:pPr>
        <w:tabs>
          <w:tab w:val="left" w:pos="426"/>
        </w:tabs>
        <w:ind w:left="360"/>
        <w:jc w:val="both"/>
        <w:rPr>
          <w:rFonts w:ascii="Cambria" w:hAnsi="Cambria"/>
          <w:b/>
          <w:bCs/>
          <w:i/>
          <w:iCs/>
          <w:sz w:val="20"/>
          <w:szCs w:val="20"/>
        </w:rPr>
      </w:pPr>
    </w:p>
    <w:p w14:paraId="4F1A0F72"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 “Estado actual del mecanismo de comunicación con el Sistema Global de Intercambio de Información (</w:t>
      </w:r>
      <w:proofErr w:type="spellStart"/>
      <w:r w:rsidRPr="00A63F69">
        <w:rPr>
          <w:rFonts w:ascii="Cambria" w:hAnsi="Cambria"/>
          <w:i/>
          <w:sz w:val="20"/>
          <w:szCs w:val="20"/>
        </w:rPr>
        <w:t>GIES</w:t>
      </w:r>
      <w:proofErr w:type="spellEnd"/>
      <w:r w:rsidRPr="00A63F69">
        <w:rPr>
          <w:rFonts w:ascii="Cambria" w:hAnsi="Cambria"/>
          <w:i/>
          <w:sz w:val="20"/>
          <w:szCs w:val="20"/>
        </w:rPr>
        <w:t xml:space="preserve">) de la FAO”, preparado por la Secretaría como documento </w:t>
      </w:r>
      <w:r w:rsidRPr="00A63F69">
        <w:rPr>
          <w:rFonts w:ascii="Cambria" w:hAnsi="Cambria"/>
          <w:b/>
          <w:i/>
          <w:sz w:val="20"/>
          <w:szCs w:val="20"/>
        </w:rPr>
        <w:t>PWG-411/2025</w:t>
      </w:r>
      <w:r w:rsidRPr="00A63F69">
        <w:rPr>
          <w:rFonts w:ascii="Cambria" w:hAnsi="Cambria"/>
          <w:i/>
          <w:sz w:val="20"/>
          <w:szCs w:val="20"/>
        </w:rPr>
        <w:t>.</w:t>
      </w:r>
    </w:p>
    <w:p w14:paraId="35CF69E6" w14:textId="77777777" w:rsidR="00581207" w:rsidRPr="00A63F69" w:rsidRDefault="00581207" w:rsidP="00A63F69">
      <w:pPr>
        <w:tabs>
          <w:tab w:val="left" w:pos="426"/>
        </w:tabs>
        <w:ind w:left="360"/>
        <w:jc w:val="both"/>
        <w:rPr>
          <w:rFonts w:ascii="Cambria" w:hAnsi="Cambria"/>
          <w:b/>
          <w:bCs/>
          <w:i/>
          <w:iCs/>
          <w:sz w:val="20"/>
          <w:szCs w:val="20"/>
        </w:rPr>
      </w:pPr>
    </w:p>
    <w:p w14:paraId="711E5C17"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que modifica la Recomendación 23-17 sobre medidas del Estado rector del puerto para prevenir, desalentar y eliminar la pesca ilegal, no declarada y no reglamentada (</w:t>
      </w:r>
      <w:proofErr w:type="spellStart"/>
      <w:r w:rsidRPr="00A63F69">
        <w:rPr>
          <w:rFonts w:ascii="Cambria" w:hAnsi="Cambria"/>
          <w:i/>
          <w:sz w:val="20"/>
          <w:szCs w:val="20"/>
        </w:rPr>
        <w:t>IUU</w:t>
      </w:r>
      <w:proofErr w:type="spellEnd"/>
      <w:r w:rsidRPr="00A63F69">
        <w:rPr>
          <w:rFonts w:ascii="Cambria" w:hAnsi="Cambria"/>
          <w:i/>
          <w:sz w:val="20"/>
          <w:szCs w:val="20"/>
        </w:rPr>
        <w:t xml:space="preserve">)", presentado por el Reino Unido como documento </w:t>
      </w:r>
      <w:r w:rsidRPr="00A63F69">
        <w:rPr>
          <w:rFonts w:ascii="Cambria" w:hAnsi="Cambria"/>
          <w:b/>
          <w:bCs/>
          <w:i/>
          <w:sz w:val="20"/>
          <w:szCs w:val="20"/>
        </w:rPr>
        <w:t>PWG-416/2025</w:t>
      </w:r>
      <w:r w:rsidRPr="00A63F69">
        <w:rPr>
          <w:rFonts w:ascii="Cambria" w:hAnsi="Cambria"/>
          <w:i/>
          <w:sz w:val="20"/>
          <w:szCs w:val="20"/>
        </w:rPr>
        <w:t>.</w:t>
      </w:r>
    </w:p>
    <w:p w14:paraId="34BFDFC2" w14:textId="77777777" w:rsidR="00581207" w:rsidRPr="00A63F69" w:rsidRDefault="00581207" w:rsidP="00A63F69">
      <w:pPr>
        <w:tabs>
          <w:tab w:val="left" w:pos="426"/>
        </w:tabs>
        <w:ind w:left="360"/>
        <w:jc w:val="both"/>
        <w:rPr>
          <w:rFonts w:ascii="Cambria" w:hAnsi="Cambria"/>
          <w:b/>
          <w:bCs/>
          <w:i/>
          <w:iCs/>
          <w:sz w:val="20"/>
          <w:szCs w:val="20"/>
        </w:rPr>
      </w:pPr>
    </w:p>
    <w:p w14:paraId="3FF7E3A1"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5.7 Requisitos para la inclusión de buques en las listas</w:t>
      </w:r>
    </w:p>
    <w:p w14:paraId="23E45C46" w14:textId="77777777" w:rsidR="00581207" w:rsidRPr="00A63F69" w:rsidRDefault="00581207" w:rsidP="00A63F69">
      <w:pPr>
        <w:tabs>
          <w:tab w:val="left" w:pos="426"/>
        </w:tabs>
        <w:ind w:left="360"/>
        <w:jc w:val="both"/>
        <w:rPr>
          <w:rFonts w:ascii="Cambria" w:hAnsi="Cambria"/>
          <w:sz w:val="20"/>
          <w:szCs w:val="20"/>
        </w:rPr>
      </w:pPr>
    </w:p>
    <w:p w14:paraId="0AB4B988" w14:textId="7777777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 xml:space="preserve">Alguna información se ha incluido en el documento </w:t>
      </w:r>
      <w:r w:rsidRPr="00A63F69">
        <w:rPr>
          <w:rFonts w:ascii="Cambria" w:hAnsi="Cambria"/>
          <w:b/>
          <w:bCs/>
          <w:i/>
          <w:sz w:val="20"/>
          <w:szCs w:val="20"/>
        </w:rPr>
        <w:t>PWG-401/2025</w:t>
      </w:r>
      <w:r w:rsidRPr="00A63F69">
        <w:rPr>
          <w:rFonts w:ascii="Cambria" w:hAnsi="Cambria"/>
          <w:i/>
          <w:sz w:val="20"/>
          <w:szCs w:val="20"/>
        </w:rPr>
        <w:t>.</w:t>
      </w:r>
    </w:p>
    <w:p w14:paraId="523E508D" w14:textId="77777777" w:rsidR="00581207" w:rsidRPr="00A63F69" w:rsidRDefault="00581207" w:rsidP="00A63F69">
      <w:pPr>
        <w:tabs>
          <w:tab w:val="left" w:pos="426"/>
        </w:tabs>
        <w:ind w:left="360"/>
        <w:jc w:val="both"/>
        <w:rPr>
          <w:rFonts w:ascii="Cambria" w:hAnsi="Cambria"/>
          <w:b/>
          <w:bCs/>
          <w:i/>
          <w:iCs/>
          <w:sz w:val="20"/>
          <w:szCs w:val="20"/>
        </w:rPr>
      </w:pPr>
    </w:p>
    <w:p w14:paraId="3BA50944"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sobre el establecimiento de un Registro ICCAT de buques con una eslora total de 20 metros o superior con autorización para operar en la zona del Convenio", presentado por la Unión Europea como documento </w:t>
      </w:r>
      <w:r w:rsidRPr="00A63F69">
        <w:rPr>
          <w:rFonts w:ascii="Cambria" w:hAnsi="Cambria"/>
          <w:b/>
          <w:i/>
          <w:sz w:val="20"/>
          <w:szCs w:val="20"/>
        </w:rPr>
        <w:t>PWG-419/2025.</w:t>
      </w:r>
    </w:p>
    <w:p w14:paraId="45613997" w14:textId="77777777" w:rsidR="00581207" w:rsidRPr="00A63F69" w:rsidRDefault="00581207" w:rsidP="00A63F69">
      <w:pPr>
        <w:tabs>
          <w:tab w:val="left" w:pos="426"/>
        </w:tabs>
        <w:ind w:left="360"/>
        <w:jc w:val="both"/>
        <w:rPr>
          <w:rFonts w:ascii="Cambria" w:hAnsi="Cambria"/>
          <w:b/>
          <w:bCs/>
          <w:i/>
          <w:iCs/>
          <w:sz w:val="20"/>
          <w:szCs w:val="20"/>
        </w:rPr>
      </w:pPr>
    </w:p>
    <w:p w14:paraId="3DEB1F10"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5.8 Requisitos del sistema de seguimiento de buques por satélite</w:t>
      </w:r>
    </w:p>
    <w:p w14:paraId="00136E0D" w14:textId="77777777" w:rsidR="00581207" w:rsidRPr="00A63F69" w:rsidRDefault="00581207" w:rsidP="00A63F69">
      <w:pPr>
        <w:tabs>
          <w:tab w:val="left" w:pos="426"/>
        </w:tabs>
        <w:ind w:left="360"/>
        <w:jc w:val="both"/>
        <w:rPr>
          <w:rFonts w:ascii="Cambria" w:hAnsi="Cambria"/>
          <w:sz w:val="20"/>
          <w:szCs w:val="20"/>
        </w:rPr>
      </w:pPr>
    </w:p>
    <w:p w14:paraId="047195E9" w14:textId="7777777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ab/>
        <w:t xml:space="preserve">La información  de la Secretaría se incluye en el </w:t>
      </w:r>
      <w:r w:rsidRPr="00A63F69">
        <w:rPr>
          <w:rFonts w:ascii="Cambria" w:hAnsi="Cambria"/>
          <w:b/>
          <w:i/>
          <w:sz w:val="20"/>
          <w:szCs w:val="20"/>
        </w:rPr>
        <w:t>COC-303/2025</w:t>
      </w:r>
      <w:r w:rsidRPr="00A63F69">
        <w:rPr>
          <w:rFonts w:ascii="Cambria" w:hAnsi="Cambria"/>
          <w:i/>
          <w:sz w:val="20"/>
          <w:szCs w:val="20"/>
        </w:rPr>
        <w:t>.</w:t>
      </w:r>
    </w:p>
    <w:p w14:paraId="1490AD11" w14:textId="77777777" w:rsidR="00581207" w:rsidRPr="00A63F69" w:rsidRDefault="00581207" w:rsidP="00A63F69">
      <w:pPr>
        <w:tabs>
          <w:tab w:val="left" w:pos="426"/>
        </w:tabs>
        <w:ind w:left="360"/>
        <w:jc w:val="both"/>
        <w:rPr>
          <w:rFonts w:ascii="Cambria" w:hAnsi="Cambria"/>
          <w:i/>
          <w:iCs/>
          <w:sz w:val="20"/>
          <w:szCs w:val="20"/>
        </w:rPr>
      </w:pPr>
    </w:p>
    <w:p w14:paraId="0D4C26C3" w14:textId="3B5AF0F0"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 "Propuesta de </w:t>
      </w:r>
      <w:r w:rsidR="00E865EB" w:rsidRPr="00A63F69">
        <w:rPr>
          <w:rFonts w:ascii="Cambria" w:hAnsi="Cambria"/>
          <w:i/>
          <w:sz w:val="20"/>
          <w:szCs w:val="20"/>
        </w:rPr>
        <w:t>migración del sist</w:t>
      </w:r>
      <w:r w:rsidRPr="00A63F69">
        <w:rPr>
          <w:rFonts w:ascii="Cambria" w:hAnsi="Cambria"/>
          <w:i/>
          <w:sz w:val="20"/>
          <w:szCs w:val="20"/>
        </w:rPr>
        <w:t xml:space="preserve">ema VMS a </w:t>
      </w:r>
      <w:r w:rsidR="00E865EB" w:rsidRPr="00A63F69">
        <w:rPr>
          <w:rFonts w:ascii="Cambria" w:hAnsi="Cambria"/>
          <w:i/>
          <w:sz w:val="20"/>
          <w:szCs w:val="20"/>
        </w:rPr>
        <w:t xml:space="preserve">infraestructura </w:t>
      </w:r>
      <w:proofErr w:type="spellStart"/>
      <w:r w:rsidR="00E865EB" w:rsidRPr="00A63F69">
        <w:rPr>
          <w:rFonts w:ascii="Cambria" w:hAnsi="Cambria"/>
          <w:i/>
          <w:sz w:val="20"/>
          <w:szCs w:val="20"/>
        </w:rPr>
        <w:t>c</w:t>
      </w:r>
      <w:r w:rsidRPr="00A63F69">
        <w:rPr>
          <w:rFonts w:ascii="Cambria" w:hAnsi="Cambria"/>
          <w:i/>
          <w:sz w:val="20"/>
          <w:szCs w:val="20"/>
        </w:rPr>
        <w:t>loud</w:t>
      </w:r>
      <w:proofErr w:type="spellEnd"/>
      <w:r w:rsidRPr="00A63F69">
        <w:rPr>
          <w:rFonts w:ascii="Cambria" w:hAnsi="Cambria"/>
          <w:i/>
          <w:sz w:val="20"/>
          <w:szCs w:val="20"/>
        </w:rPr>
        <w:t xml:space="preserve">”, preparado por la Secretaría como documento </w:t>
      </w:r>
      <w:r w:rsidRPr="00A63F69">
        <w:rPr>
          <w:rFonts w:ascii="Cambria" w:hAnsi="Cambria"/>
          <w:b/>
          <w:i/>
          <w:sz w:val="20"/>
          <w:szCs w:val="20"/>
        </w:rPr>
        <w:t>PWG-428/2025</w:t>
      </w:r>
      <w:r w:rsidRPr="00A63F69">
        <w:rPr>
          <w:rFonts w:ascii="Cambria" w:hAnsi="Cambria"/>
          <w:i/>
          <w:sz w:val="20"/>
          <w:szCs w:val="20"/>
        </w:rPr>
        <w:t>.</w:t>
      </w:r>
    </w:p>
    <w:p w14:paraId="3D77AFFF" w14:textId="77777777" w:rsidR="00581207" w:rsidRPr="00A63F69" w:rsidRDefault="00581207" w:rsidP="00A63F69">
      <w:pPr>
        <w:tabs>
          <w:tab w:val="left" w:pos="426"/>
        </w:tabs>
        <w:ind w:left="720"/>
        <w:jc w:val="both"/>
        <w:rPr>
          <w:rFonts w:ascii="Cambria" w:hAnsi="Cambria"/>
          <w:sz w:val="20"/>
          <w:szCs w:val="20"/>
        </w:rPr>
      </w:pPr>
    </w:p>
    <w:p w14:paraId="33A790EA"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5.9 Responsabilidades de la CPC de pabellón</w:t>
      </w:r>
    </w:p>
    <w:p w14:paraId="3E6F2904" w14:textId="77777777" w:rsidR="00581207" w:rsidRPr="00A63F69" w:rsidRDefault="00581207" w:rsidP="00A63F69">
      <w:pPr>
        <w:tabs>
          <w:tab w:val="left" w:pos="426"/>
        </w:tabs>
        <w:ind w:left="360"/>
        <w:jc w:val="both"/>
        <w:rPr>
          <w:rFonts w:ascii="Cambria" w:hAnsi="Cambria"/>
          <w:sz w:val="20"/>
          <w:szCs w:val="20"/>
        </w:rPr>
      </w:pPr>
    </w:p>
    <w:p w14:paraId="49854748" w14:textId="77777777"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sz w:val="20"/>
          <w:szCs w:val="20"/>
        </w:rPr>
        <w:t xml:space="preserve"> "Proyecto de Recomendación de ICCAT sobre artes de pesca abandonados, perdidos o descartados de algún otro modo", presentado por Canadá y Noruega como documento </w:t>
      </w:r>
      <w:r w:rsidRPr="00A63F69">
        <w:rPr>
          <w:rFonts w:ascii="Cambria" w:hAnsi="Cambria"/>
          <w:b/>
          <w:i/>
          <w:sz w:val="20"/>
          <w:szCs w:val="20"/>
        </w:rPr>
        <w:t>PWG-415/2025</w:t>
      </w:r>
      <w:r w:rsidRPr="00A63F69">
        <w:rPr>
          <w:rFonts w:ascii="Cambria" w:hAnsi="Cambria"/>
          <w:i/>
          <w:sz w:val="20"/>
          <w:szCs w:val="20"/>
        </w:rPr>
        <w:t xml:space="preserve">. </w:t>
      </w:r>
    </w:p>
    <w:p w14:paraId="190C8447" w14:textId="77777777" w:rsidR="00581207" w:rsidRPr="00A63F69" w:rsidRDefault="00581207" w:rsidP="00A63F69">
      <w:pPr>
        <w:tabs>
          <w:tab w:val="left" w:pos="426"/>
        </w:tabs>
        <w:ind w:left="360"/>
        <w:jc w:val="both"/>
        <w:rPr>
          <w:rFonts w:ascii="Cambria" w:hAnsi="Cambria"/>
          <w:i/>
          <w:iCs/>
          <w:sz w:val="20"/>
          <w:szCs w:val="20"/>
        </w:rPr>
      </w:pPr>
    </w:p>
    <w:p w14:paraId="103B5995"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que enmienda la Rec. 06-13 sobre medidas comerciales", presentado por la Unión Europea como documento </w:t>
      </w:r>
      <w:r w:rsidRPr="00A63F69">
        <w:rPr>
          <w:rFonts w:ascii="Cambria" w:hAnsi="Cambria"/>
          <w:b/>
          <w:i/>
          <w:sz w:val="20"/>
          <w:szCs w:val="20"/>
        </w:rPr>
        <w:t>PWG-420/2025</w:t>
      </w:r>
      <w:r w:rsidRPr="00A63F69">
        <w:rPr>
          <w:rFonts w:ascii="Cambria" w:hAnsi="Cambria"/>
          <w:i/>
          <w:sz w:val="20"/>
          <w:szCs w:val="20"/>
        </w:rPr>
        <w:t>.</w:t>
      </w:r>
    </w:p>
    <w:p w14:paraId="74B779B2" w14:textId="77777777" w:rsidR="00066A81" w:rsidRPr="00A63F69" w:rsidRDefault="00066A81" w:rsidP="00A63F69">
      <w:pPr>
        <w:tabs>
          <w:tab w:val="left" w:pos="426"/>
        </w:tabs>
        <w:ind w:left="360"/>
        <w:jc w:val="both"/>
        <w:rPr>
          <w:rFonts w:ascii="Cambria" w:eastAsia="Calibri" w:hAnsi="Cambria"/>
          <w:i/>
          <w:iCs/>
          <w:sz w:val="20"/>
          <w:szCs w:val="20"/>
        </w:rPr>
      </w:pPr>
    </w:p>
    <w:p w14:paraId="3B4BF5C7" w14:textId="6C20AE41" w:rsidR="00066A81" w:rsidRPr="00A63F69" w:rsidRDefault="00066A81"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"Proyecto de Recomendación de ICCAT que establece una prohibición de las redes de deriva para la captura de determinadas especies de ICCAT", presentada por la Unión Europea como documento </w:t>
      </w:r>
      <w:r w:rsidRPr="00A63F69">
        <w:rPr>
          <w:rFonts w:ascii="Cambria" w:hAnsi="Cambria"/>
          <w:b/>
          <w:i/>
          <w:sz w:val="20"/>
          <w:szCs w:val="20"/>
        </w:rPr>
        <w:t>PWG-421/2025</w:t>
      </w:r>
      <w:r w:rsidRPr="00A63F69">
        <w:rPr>
          <w:rFonts w:ascii="Cambria" w:hAnsi="Cambria"/>
          <w:i/>
          <w:sz w:val="20"/>
          <w:szCs w:val="20"/>
        </w:rPr>
        <w:t>.</w:t>
      </w:r>
    </w:p>
    <w:p w14:paraId="4FE86F09" w14:textId="77777777" w:rsidR="00581207" w:rsidRPr="00A63F69" w:rsidRDefault="00581207" w:rsidP="00A63F69">
      <w:pPr>
        <w:tabs>
          <w:tab w:val="left" w:pos="426"/>
        </w:tabs>
        <w:ind w:left="720"/>
        <w:jc w:val="both"/>
        <w:rPr>
          <w:rFonts w:ascii="Cambria" w:hAnsi="Cambria"/>
          <w:sz w:val="20"/>
          <w:szCs w:val="20"/>
        </w:rPr>
      </w:pPr>
    </w:p>
    <w:p w14:paraId="22F8982B"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5.10 Otros asuntos</w:t>
      </w:r>
    </w:p>
    <w:p w14:paraId="21B93B04" w14:textId="77777777" w:rsidR="00581207" w:rsidRPr="00A63F69" w:rsidRDefault="00581207" w:rsidP="00A63F69">
      <w:pPr>
        <w:tabs>
          <w:tab w:val="left" w:pos="426"/>
        </w:tabs>
        <w:ind w:left="360"/>
        <w:jc w:val="both"/>
        <w:rPr>
          <w:rFonts w:ascii="Cambria" w:hAnsi="Cambria"/>
          <w:sz w:val="20"/>
          <w:szCs w:val="20"/>
        </w:rPr>
      </w:pPr>
    </w:p>
    <w:p w14:paraId="5A19CF7C"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 "Análisis de las obligaciones de comunicación de información a ICCAT", presentado por la Unión Europea como documento </w:t>
      </w:r>
      <w:r w:rsidRPr="00A63F69">
        <w:rPr>
          <w:rFonts w:ascii="Cambria" w:hAnsi="Cambria"/>
          <w:b/>
          <w:bCs/>
          <w:i/>
          <w:sz w:val="20"/>
          <w:szCs w:val="20"/>
        </w:rPr>
        <w:t>PWG-427/2025</w:t>
      </w:r>
      <w:r w:rsidRPr="00A63F69">
        <w:rPr>
          <w:rFonts w:ascii="Cambria" w:hAnsi="Cambria"/>
          <w:i/>
          <w:sz w:val="20"/>
          <w:szCs w:val="20"/>
        </w:rPr>
        <w:t>.</w:t>
      </w:r>
    </w:p>
    <w:p w14:paraId="2B39A961" w14:textId="77777777" w:rsidR="00581207" w:rsidRPr="00A63F69" w:rsidRDefault="00581207" w:rsidP="00A63F69">
      <w:pPr>
        <w:tabs>
          <w:tab w:val="left" w:pos="810"/>
        </w:tabs>
        <w:ind w:left="360"/>
        <w:jc w:val="both"/>
        <w:rPr>
          <w:rFonts w:ascii="Cambria" w:hAnsi="Cambria"/>
          <w:i/>
          <w:iCs/>
          <w:sz w:val="20"/>
          <w:szCs w:val="20"/>
        </w:rPr>
      </w:pPr>
    </w:p>
    <w:p w14:paraId="5E23C634"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La Secretaría ha solicitado algunas aclaraciones sobre la </w:t>
      </w:r>
      <w:hyperlink r:id="rId29" w:history="1">
        <w:r w:rsidRPr="00A63F69">
          <w:rPr>
            <w:rStyle w:val="Hyperlink"/>
            <w:rFonts w:ascii="Cambria" w:hAnsi="Cambria"/>
            <w:i/>
            <w:sz w:val="20"/>
            <w:szCs w:val="20"/>
            <w:u w:val="none"/>
          </w:rPr>
          <w:t>Rec. 24-05</w:t>
        </w:r>
      </w:hyperlink>
      <w:r w:rsidRPr="00A63F69">
        <w:rPr>
          <w:rFonts w:ascii="Cambria" w:hAnsi="Cambria"/>
          <w:i/>
          <w:sz w:val="20"/>
          <w:szCs w:val="20"/>
        </w:rPr>
        <w:t xml:space="preserve">; las preguntas y, en su caso, las respuestas preliminares figuran en el documento </w:t>
      </w:r>
      <w:r w:rsidRPr="00A63F69">
        <w:rPr>
          <w:rFonts w:ascii="Cambria" w:hAnsi="Cambria"/>
          <w:b/>
          <w:bCs/>
          <w:i/>
          <w:sz w:val="20"/>
          <w:szCs w:val="20"/>
        </w:rPr>
        <w:t>PA2-606/2025</w:t>
      </w:r>
      <w:r w:rsidRPr="00A63F69">
        <w:rPr>
          <w:rFonts w:ascii="Cambria" w:hAnsi="Cambria"/>
          <w:i/>
          <w:sz w:val="20"/>
          <w:szCs w:val="20"/>
        </w:rPr>
        <w:t>. Este es un documento transversal que se debatirá tanto en la Subcomisión 2 como en el GTP.</w:t>
      </w:r>
    </w:p>
    <w:p w14:paraId="1D779C2C" w14:textId="77777777" w:rsidR="00581207" w:rsidRPr="00A63F69" w:rsidRDefault="00581207" w:rsidP="00A63F69">
      <w:pPr>
        <w:tabs>
          <w:tab w:val="left" w:pos="426"/>
          <w:tab w:val="left" w:pos="851"/>
        </w:tabs>
        <w:ind w:left="360"/>
        <w:jc w:val="both"/>
        <w:rPr>
          <w:rFonts w:ascii="Cambria" w:hAnsi="Cambria"/>
          <w:sz w:val="20"/>
          <w:szCs w:val="20"/>
        </w:rPr>
      </w:pPr>
    </w:p>
    <w:p w14:paraId="10AF1150" w14:textId="77777777" w:rsidR="00581207" w:rsidRPr="00A63F69" w:rsidRDefault="00581207" w:rsidP="00A63F69">
      <w:pPr>
        <w:pStyle w:val="ListParagraph"/>
        <w:widowControl w:val="0"/>
        <w:numPr>
          <w:ilvl w:val="0"/>
          <w:numId w:val="33"/>
        </w:numPr>
        <w:tabs>
          <w:tab w:val="left" w:pos="426"/>
        </w:tabs>
        <w:jc w:val="both"/>
        <w:rPr>
          <w:rFonts w:ascii="Cambria" w:hAnsi="Cambria"/>
          <w:sz w:val="20"/>
          <w:szCs w:val="20"/>
        </w:rPr>
      </w:pPr>
      <w:r w:rsidRPr="00A63F69">
        <w:rPr>
          <w:rFonts w:ascii="Cambria" w:hAnsi="Cambria"/>
          <w:sz w:val="20"/>
          <w:szCs w:val="20"/>
        </w:rPr>
        <w:t>Examen y establecimiento de la lista de buques de pesca ilegal, no declarada y no reglamentada (</w:t>
      </w:r>
      <w:proofErr w:type="spellStart"/>
      <w:r w:rsidRPr="00A63F69">
        <w:rPr>
          <w:rFonts w:ascii="Cambria" w:hAnsi="Cambria"/>
          <w:sz w:val="20"/>
          <w:szCs w:val="20"/>
        </w:rPr>
        <w:t>IUU</w:t>
      </w:r>
      <w:proofErr w:type="spellEnd"/>
      <w:r w:rsidRPr="00A63F69">
        <w:rPr>
          <w:rFonts w:ascii="Cambria" w:hAnsi="Cambria"/>
          <w:sz w:val="20"/>
          <w:szCs w:val="20"/>
        </w:rPr>
        <w:t>)</w:t>
      </w:r>
    </w:p>
    <w:p w14:paraId="2737EEEC" w14:textId="77777777" w:rsidR="00581207" w:rsidRPr="00A63F69" w:rsidRDefault="00581207" w:rsidP="00A63F69">
      <w:pPr>
        <w:tabs>
          <w:tab w:val="left" w:pos="426"/>
        </w:tabs>
        <w:jc w:val="both"/>
        <w:rPr>
          <w:rFonts w:ascii="Cambria" w:hAnsi="Cambria"/>
          <w:sz w:val="20"/>
          <w:szCs w:val="20"/>
        </w:rPr>
      </w:pPr>
    </w:p>
    <w:p w14:paraId="27D5AACE" w14:textId="7777777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 xml:space="preserve">El "Proyecto de lista de 2025 de buques supuestamente implicados en actividades de pesca </w:t>
      </w:r>
      <w:proofErr w:type="spellStart"/>
      <w:r w:rsidRPr="00A63F69">
        <w:rPr>
          <w:rFonts w:ascii="Cambria" w:hAnsi="Cambria"/>
          <w:i/>
          <w:sz w:val="20"/>
          <w:szCs w:val="20"/>
        </w:rPr>
        <w:t>IUU</w:t>
      </w:r>
      <w:proofErr w:type="spellEnd"/>
      <w:r w:rsidRPr="00A63F69">
        <w:rPr>
          <w:rFonts w:ascii="Cambria" w:hAnsi="Cambria"/>
          <w:i/>
          <w:sz w:val="20"/>
          <w:szCs w:val="20"/>
        </w:rPr>
        <w:t xml:space="preserve">" figura como </w:t>
      </w:r>
      <w:r w:rsidRPr="00A63F69">
        <w:rPr>
          <w:rFonts w:ascii="Cambria" w:hAnsi="Cambria"/>
          <w:b/>
          <w:bCs/>
          <w:i/>
          <w:sz w:val="20"/>
          <w:szCs w:val="20"/>
        </w:rPr>
        <w:t>PWG_405/2025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El proyecto de la lista contiene nuevos buques, así como información actualizada de otras OROP de túnidos.</w:t>
      </w:r>
    </w:p>
    <w:p w14:paraId="4B0656DC" w14:textId="77777777" w:rsidR="00581207" w:rsidRPr="00A63F69" w:rsidRDefault="00581207" w:rsidP="00A63F69">
      <w:pPr>
        <w:tabs>
          <w:tab w:val="left" w:pos="426"/>
        </w:tabs>
        <w:jc w:val="both"/>
        <w:rPr>
          <w:rFonts w:ascii="Cambria" w:hAnsi="Cambria"/>
          <w:i/>
          <w:iCs/>
          <w:sz w:val="20"/>
          <w:szCs w:val="20"/>
        </w:rPr>
      </w:pPr>
    </w:p>
    <w:p w14:paraId="4D3F0E56" w14:textId="77777777" w:rsidR="00581207" w:rsidRPr="00A63F69" w:rsidRDefault="00581207" w:rsidP="00A63F69">
      <w:pPr>
        <w:pStyle w:val="ListParagraph"/>
        <w:widowControl w:val="0"/>
        <w:numPr>
          <w:ilvl w:val="0"/>
          <w:numId w:val="33"/>
        </w:numPr>
        <w:tabs>
          <w:tab w:val="left" w:pos="426"/>
        </w:tabs>
        <w:jc w:val="both"/>
        <w:rPr>
          <w:rFonts w:ascii="Cambria" w:hAnsi="Cambria"/>
          <w:sz w:val="20"/>
          <w:szCs w:val="20"/>
        </w:rPr>
      </w:pPr>
      <w:r w:rsidRPr="00A63F69">
        <w:rPr>
          <w:rFonts w:ascii="Cambria" w:hAnsi="Cambria"/>
          <w:sz w:val="20"/>
          <w:szCs w:val="20"/>
        </w:rPr>
        <w:t>Elección del presidente y del posible vicepresidente</w:t>
      </w:r>
    </w:p>
    <w:p w14:paraId="0715DFF9" w14:textId="77777777" w:rsidR="00581207" w:rsidRPr="00A63F69" w:rsidRDefault="00581207" w:rsidP="00A63F69">
      <w:pPr>
        <w:tabs>
          <w:tab w:val="left" w:pos="426"/>
        </w:tabs>
        <w:jc w:val="both"/>
        <w:rPr>
          <w:rFonts w:ascii="Cambria" w:hAnsi="Cambria"/>
          <w:sz w:val="20"/>
          <w:szCs w:val="20"/>
        </w:rPr>
      </w:pPr>
    </w:p>
    <w:p w14:paraId="6D3E080E" w14:textId="77777777" w:rsidR="00581207" w:rsidRPr="00A63F69" w:rsidRDefault="0058120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El Grupo de trabajo permanente para la mejora de las estadísticas y normas de conservación de ICCAT elegirá un presidente para el periodo bienal 2026/2027. </w:t>
      </w:r>
    </w:p>
    <w:p w14:paraId="7FC7EE8D" w14:textId="77777777" w:rsidR="00581207" w:rsidRPr="00A63F69" w:rsidRDefault="00581207" w:rsidP="00A63F69">
      <w:pPr>
        <w:pStyle w:val="ListParagraph"/>
        <w:jc w:val="both"/>
        <w:rPr>
          <w:rFonts w:ascii="Cambria" w:hAnsi="Cambria"/>
          <w:sz w:val="20"/>
          <w:szCs w:val="20"/>
        </w:rPr>
      </w:pPr>
    </w:p>
    <w:p w14:paraId="3417A5F6" w14:textId="77777777" w:rsidR="00581207" w:rsidRPr="00A63F69" w:rsidRDefault="00581207" w:rsidP="00A63F69">
      <w:pPr>
        <w:tabs>
          <w:tab w:val="left" w:pos="426"/>
        </w:tabs>
        <w:jc w:val="both"/>
        <w:rPr>
          <w:rFonts w:ascii="Cambria" w:hAnsi="Cambria"/>
          <w:sz w:val="20"/>
          <w:szCs w:val="20"/>
        </w:rPr>
      </w:pPr>
      <w:r w:rsidRPr="00A63F69">
        <w:rPr>
          <w:rFonts w:ascii="Cambria" w:hAnsi="Cambria"/>
          <w:sz w:val="20"/>
          <w:szCs w:val="20"/>
        </w:rPr>
        <w:t>8.</w:t>
      </w:r>
      <w:r w:rsidRPr="00A63F69">
        <w:rPr>
          <w:rFonts w:ascii="Cambria" w:hAnsi="Cambria"/>
          <w:sz w:val="20"/>
          <w:szCs w:val="20"/>
        </w:rPr>
        <w:tab/>
        <w:t>Reunión(es) intersesiones y Grupos de trabajo</w:t>
      </w:r>
    </w:p>
    <w:p w14:paraId="0A46A942" w14:textId="77777777" w:rsidR="00581207" w:rsidRPr="00A63F69" w:rsidRDefault="00581207" w:rsidP="00A63F69">
      <w:pPr>
        <w:pStyle w:val="ListParagraph"/>
        <w:tabs>
          <w:tab w:val="left" w:pos="426"/>
        </w:tabs>
        <w:ind w:left="360"/>
        <w:jc w:val="both"/>
        <w:rPr>
          <w:rFonts w:ascii="Cambria" w:hAnsi="Cambria"/>
          <w:sz w:val="20"/>
          <w:szCs w:val="20"/>
        </w:rPr>
      </w:pPr>
    </w:p>
    <w:p w14:paraId="53D8091D" w14:textId="77777777" w:rsidR="00581207" w:rsidRPr="00A63F69" w:rsidRDefault="00581207" w:rsidP="00A63F69">
      <w:pPr>
        <w:pStyle w:val="ListParagraph"/>
        <w:widowControl w:val="0"/>
        <w:numPr>
          <w:ilvl w:val="0"/>
          <w:numId w:val="34"/>
        </w:numPr>
        <w:tabs>
          <w:tab w:val="left" w:pos="426"/>
        </w:tabs>
        <w:jc w:val="both"/>
        <w:rPr>
          <w:rFonts w:ascii="Cambria" w:hAnsi="Cambria"/>
          <w:sz w:val="20"/>
          <w:szCs w:val="20"/>
        </w:rPr>
      </w:pPr>
      <w:r w:rsidRPr="00A63F69">
        <w:rPr>
          <w:rFonts w:ascii="Cambria" w:hAnsi="Cambria"/>
          <w:sz w:val="20"/>
          <w:szCs w:val="20"/>
        </w:rPr>
        <w:t>Otros asuntos</w:t>
      </w:r>
    </w:p>
    <w:p w14:paraId="21E289F5" w14:textId="77777777" w:rsidR="00581207" w:rsidRPr="00A63F69" w:rsidRDefault="00581207" w:rsidP="00A63F69">
      <w:pPr>
        <w:tabs>
          <w:tab w:val="left" w:pos="426"/>
        </w:tabs>
        <w:jc w:val="both"/>
        <w:rPr>
          <w:rFonts w:ascii="Cambria" w:hAnsi="Cambria"/>
          <w:sz w:val="20"/>
          <w:szCs w:val="20"/>
          <w:lang w:val="en-GB"/>
        </w:rPr>
      </w:pPr>
    </w:p>
    <w:p w14:paraId="0AD34F7A" w14:textId="77777777" w:rsidR="00581207" w:rsidRPr="00A63F69" w:rsidRDefault="00581207" w:rsidP="00A63F69">
      <w:pPr>
        <w:pStyle w:val="ListParagraph"/>
        <w:ind w:left="360"/>
        <w:jc w:val="both"/>
        <w:rPr>
          <w:rFonts w:ascii="Cambria" w:hAnsi="Cambria"/>
          <w:i/>
          <w:iCs/>
          <w:sz w:val="20"/>
          <w:szCs w:val="20"/>
        </w:rPr>
      </w:pPr>
      <w:r w:rsidRPr="00A63F69">
        <w:rPr>
          <w:rFonts w:ascii="Cambria" w:hAnsi="Cambria"/>
          <w:i/>
          <w:sz w:val="20"/>
          <w:szCs w:val="20"/>
        </w:rPr>
        <w:t>Las CPC podrían plantear cualquier otro asunto para su inclusión en este punto del orden del día.</w:t>
      </w:r>
    </w:p>
    <w:p w14:paraId="679CBC22" w14:textId="77777777" w:rsidR="00581207" w:rsidRPr="00A63F69" w:rsidRDefault="00581207" w:rsidP="00A63F69">
      <w:pPr>
        <w:tabs>
          <w:tab w:val="left" w:pos="426"/>
        </w:tabs>
        <w:jc w:val="both"/>
        <w:rPr>
          <w:rFonts w:ascii="Cambria" w:eastAsia="Calibri" w:hAnsi="Cambria"/>
          <w:sz w:val="20"/>
          <w:szCs w:val="20"/>
        </w:rPr>
      </w:pPr>
    </w:p>
    <w:p w14:paraId="02EA42C4" w14:textId="77777777" w:rsidR="00581207" w:rsidRPr="00A63F69" w:rsidRDefault="00581207" w:rsidP="00A63F69">
      <w:pPr>
        <w:tabs>
          <w:tab w:val="left" w:pos="426"/>
        </w:tabs>
        <w:jc w:val="both"/>
        <w:rPr>
          <w:rFonts w:ascii="Cambria" w:hAnsi="Cambria"/>
          <w:sz w:val="20"/>
          <w:szCs w:val="20"/>
        </w:rPr>
      </w:pPr>
      <w:r w:rsidRPr="00A63F69">
        <w:rPr>
          <w:rFonts w:ascii="Cambria" w:hAnsi="Cambria"/>
          <w:sz w:val="20"/>
          <w:szCs w:val="20"/>
        </w:rPr>
        <w:t>10.</w:t>
      </w:r>
      <w:r w:rsidRPr="00A63F69">
        <w:rPr>
          <w:rFonts w:ascii="Cambria" w:hAnsi="Cambria"/>
          <w:sz w:val="20"/>
          <w:szCs w:val="20"/>
        </w:rPr>
        <w:tab/>
        <w:t xml:space="preserve">Adopción del informe y clausura </w:t>
      </w:r>
    </w:p>
    <w:p w14:paraId="70100795" w14:textId="77777777" w:rsidR="00581207" w:rsidRPr="00A63F69" w:rsidRDefault="00581207" w:rsidP="00A63F69">
      <w:pPr>
        <w:jc w:val="both"/>
        <w:rPr>
          <w:rFonts w:ascii="Cambria" w:eastAsia="Calibri" w:hAnsi="Cambria"/>
          <w:sz w:val="20"/>
          <w:szCs w:val="20"/>
        </w:rPr>
      </w:pPr>
    </w:p>
    <w:bookmarkEnd w:id="1"/>
    <w:bookmarkEnd w:id="2"/>
    <w:p w14:paraId="31FFC9AE" w14:textId="77777777" w:rsidR="00581207" w:rsidRPr="00A63F69" w:rsidRDefault="00581207" w:rsidP="00A63F69">
      <w:pPr>
        <w:spacing w:after="160" w:line="259" w:lineRule="auto"/>
        <w:jc w:val="both"/>
        <w:rPr>
          <w:rFonts w:ascii="Cambria" w:hAnsi="Cambria"/>
          <w:b/>
          <w:bCs/>
          <w:sz w:val="20"/>
          <w:szCs w:val="20"/>
        </w:rPr>
      </w:pPr>
    </w:p>
    <w:p w14:paraId="6EB7A2F0" w14:textId="52A1DBE3" w:rsidR="00743EF7" w:rsidRPr="00A63F69" w:rsidRDefault="00743EF7" w:rsidP="00A63F69">
      <w:pPr>
        <w:spacing w:after="160" w:line="259" w:lineRule="auto"/>
        <w:jc w:val="both"/>
        <w:rPr>
          <w:rFonts w:ascii="Cambria" w:eastAsiaTheme="minorHAnsi" w:hAnsi="Cambria" w:cs="Cambria"/>
          <w:color w:val="000000"/>
          <w:sz w:val="20"/>
          <w:szCs w:val="20"/>
        </w:rPr>
      </w:pPr>
    </w:p>
    <w:p w14:paraId="36571C7E" w14:textId="77777777" w:rsidR="000336B8" w:rsidRPr="00A63F69" w:rsidRDefault="000336B8" w:rsidP="00A63F69">
      <w:pPr>
        <w:spacing w:after="160" w:line="259" w:lineRule="auto"/>
        <w:jc w:val="both"/>
        <w:rPr>
          <w:rFonts w:ascii="Cambria" w:hAnsi="Cambria"/>
          <w:b/>
          <w:sz w:val="20"/>
          <w:szCs w:val="20"/>
        </w:rPr>
      </w:pPr>
      <w:r w:rsidRPr="00A63F69">
        <w:rPr>
          <w:rFonts w:ascii="Cambria" w:hAnsi="Cambria"/>
          <w:b/>
          <w:sz w:val="20"/>
          <w:szCs w:val="20"/>
        </w:rPr>
        <w:br w:type="page"/>
      </w:r>
    </w:p>
    <w:p w14:paraId="6955FC3A" w14:textId="627B7C29" w:rsidR="001A68AB" w:rsidRPr="00A63F69" w:rsidRDefault="00CD7285" w:rsidP="00A63F69">
      <w:pPr>
        <w:autoSpaceDE w:val="0"/>
        <w:autoSpaceDN w:val="0"/>
        <w:adjustRightInd w:val="0"/>
        <w:jc w:val="center"/>
        <w:rPr>
          <w:rFonts w:ascii="Cambria" w:hAnsi="Cambria"/>
          <w:b/>
          <w:sz w:val="20"/>
          <w:szCs w:val="20"/>
        </w:rPr>
      </w:pPr>
      <w:r w:rsidRPr="00A63F69">
        <w:rPr>
          <w:rFonts w:ascii="Cambria" w:hAnsi="Cambria"/>
          <w:b/>
          <w:sz w:val="20"/>
          <w:szCs w:val="20"/>
        </w:rPr>
        <w:t>Comité permanente de finanzas y administración (STACFAD)</w:t>
      </w:r>
    </w:p>
    <w:p w14:paraId="22BA3A0E" w14:textId="77777777" w:rsidR="001A68AB" w:rsidRPr="00A63F69" w:rsidRDefault="001A68AB" w:rsidP="00A63F69">
      <w:pPr>
        <w:jc w:val="both"/>
        <w:rPr>
          <w:rFonts w:ascii="Cambria" w:hAnsi="Cambria"/>
          <w:b/>
          <w:sz w:val="20"/>
          <w:szCs w:val="20"/>
        </w:rPr>
      </w:pPr>
    </w:p>
    <w:p w14:paraId="5D51DDA9" w14:textId="77777777" w:rsidR="001A68AB" w:rsidRPr="00A63F69" w:rsidRDefault="001A68AB" w:rsidP="00A63F69">
      <w:pPr>
        <w:jc w:val="both"/>
        <w:rPr>
          <w:rFonts w:ascii="Cambria" w:hAnsi="Cambria"/>
          <w:bCs/>
          <w:sz w:val="20"/>
          <w:szCs w:val="20"/>
        </w:rPr>
      </w:pPr>
    </w:p>
    <w:p w14:paraId="28B18D8A" w14:textId="77777777" w:rsidR="001A68AB" w:rsidRPr="00A63F69" w:rsidRDefault="001A68AB" w:rsidP="00A63F69">
      <w:pPr>
        <w:tabs>
          <w:tab w:val="left" w:pos="426"/>
        </w:tabs>
        <w:ind w:left="426" w:hanging="426"/>
        <w:jc w:val="both"/>
        <w:rPr>
          <w:rFonts w:ascii="Cambria" w:hAnsi="Cambria"/>
          <w:bCs/>
          <w:sz w:val="20"/>
          <w:szCs w:val="20"/>
        </w:rPr>
      </w:pPr>
      <w:r w:rsidRPr="00A63F69">
        <w:rPr>
          <w:rFonts w:ascii="Cambria" w:hAnsi="Cambria"/>
          <w:bCs/>
          <w:sz w:val="20"/>
          <w:szCs w:val="20"/>
        </w:rPr>
        <w:t>1.</w:t>
      </w:r>
      <w:r w:rsidRPr="00A63F69">
        <w:rPr>
          <w:rFonts w:ascii="Cambria" w:hAnsi="Cambria"/>
          <w:bCs/>
          <w:sz w:val="20"/>
          <w:szCs w:val="20"/>
        </w:rPr>
        <w:tab/>
        <w:t>Apertura de la reunión</w:t>
      </w:r>
    </w:p>
    <w:p w14:paraId="3E8FA540" w14:textId="77777777" w:rsidR="001A68AB" w:rsidRPr="00A63F69" w:rsidRDefault="001A68AB" w:rsidP="00A63F69">
      <w:pPr>
        <w:tabs>
          <w:tab w:val="left" w:pos="426"/>
        </w:tabs>
        <w:ind w:left="426" w:hanging="426"/>
        <w:jc w:val="both"/>
        <w:rPr>
          <w:rFonts w:ascii="Cambria" w:hAnsi="Cambria"/>
          <w:bCs/>
          <w:sz w:val="20"/>
          <w:szCs w:val="20"/>
        </w:rPr>
      </w:pPr>
    </w:p>
    <w:p w14:paraId="27C351FB" w14:textId="3DD9F620" w:rsidR="001A68AB" w:rsidRPr="00A63F69" w:rsidRDefault="001A68AB" w:rsidP="00A63F69">
      <w:pPr>
        <w:tabs>
          <w:tab w:val="left" w:pos="426"/>
        </w:tabs>
        <w:ind w:left="426" w:firstLine="26"/>
        <w:jc w:val="both"/>
        <w:rPr>
          <w:rFonts w:ascii="Cambria" w:hAnsi="Cambria"/>
          <w:bCs/>
          <w:sz w:val="20"/>
          <w:szCs w:val="20"/>
        </w:rPr>
      </w:pPr>
      <w:r w:rsidRPr="00A63F69">
        <w:rPr>
          <w:rFonts w:ascii="Cambria" w:hAnsi="Cambria"/>
          <w:bCs/>
          <w:i/>
          <w:sz w:val="20"/>
          <w:szCs w:val="20"/>
        </w:rPr>
        <w:t>La reunión será inaugurada por la Sra. Deirdre Warner-Kramer (</w:t>
      </w:r>
      <w:r w:rsidR="003D46CF" w:rsidRPr="00A63F69">
        <w:rPr>
          <w:rFonts w:ascii="Cambria" w:hAnsi="Cambria"/>
          <w:bCs/>
          <w:i/>
          <w:sz w:val="20"/>
          <w:szCs w:val="20"/>
        </w:rPr>
        <w:t>Estados Unidos</w:t>
      </w:r>
      <w:r w:rsidRPr="00A63F69">
        <w:rPr>
          <w:rFonts w:ascii="Cambria" w:hAnsi="Cambria"/>
          <w:bCs/>
          <w:i/>
          <w:sz w:val="20"/>
          <w:szCs w:val="20"/>
        </w:rPr>
        <w:t>), presidenta del STACFAD.</w:t>
      </w:r>
    </w:p>
    <w:p w14:paraId="0B2CD9D6" w14:textId="77777777" w:rsidR="001A68AB" w:rsidRPr="00A63F69" w:rsidRDefault="001A68AB" w:rsidP="00A63F69">
      <w:pPr>
        <w:tabs>
          <w:tab w:val="left" w:pos="426"/>
        </w:tabs>
        <w:ind w:left="426" w:hanging="426"/>
        <w:jc w:val="both"/>
        <w:rPr>
          <w:rFonts w:ascii="Cambria" w:hAnsi="Cambria"/>
          <w:bCs/>
          <w:sz w:val="20"/>
          <w:szCs w:val="20"/>
        </w:rPr>
      </w:pPr>
    </w:p>
    <w:p w14:paraId="52AD9D70" w14:textId="77777777" w:rsidR="001A68AB" w:rsidRPr="00A63F69" w:rsidRDefault="001A68AB" w:rsidP="00A63F69">
      <w:pPr>
        <w:tabs>
          <w:tab w:val="left" w:pos="426"/>
        </w:tabs>
        <w:ind w:left="426" w:hanging="426"/>
        <w:jc w:val="both"/>
        <w:rPr>
          <w:rFonts w:ascii="Cambria" w:hAnsi="Cambria"/>
          <w:bCs/>
          <w:sz w:val="20"/>
          <w:szCs w:val="20"/>
        </w:rPr>
      </w:pPr>
      <w:r w:rsidRPr="00A63F69">
        <w:rPr>
          <w:rFonts w:ascii="Cambria" w:hAnsi="Cambria"/>
          <w:bCs/>
          <w:sz w:val="20"/>
          <w:szCs w:val="20"/>
        </w:rPr>
        <w:t>2</w:t>
      </w:r>
      <w:r w:rsidRPr="00A63F69">
        <w:rPr>
          <w:rFonts w:ascii="Cambria" w:hAnsi="Cambria"/>
          <w:bCs/>
          <w:i/>
          <w:sz w:val="20"/>
          <w:szCs w:val="20"/>
        </w:rPr>
        <w:t>.</w:t>
      </w:r>
      <w:r w:rsidRPr="00A63F69">
        <w:rPr>
          <w:rFonts w:ascii="Cambria" w:hAnsi="Cambria"/>
          <w:bCs/>
          <w:sz w:val="20"/>
          <w:szCs w:val="20"/>
        </w:rPr>
        <w:tab/>
        <w:t>Nombramiento del relator</w:t>
      </w:r>
    </w:p>
    <w:p w14:paraId="27115604" w14:textId="77777777" w:rsidR="00120AE6" w:rsidRPr="00A63F69" w:rsidRDefault="00120AE6" w:rsidP="00A63F69">
      <w:pPr>
        <w:tabs>
          <w:tab w:val="left" w:pos="426"/>
        </w:tabs>
        <w:ind w:left="426" w:hanging="426"/>
        <w:jc w:val="both"/>
        <w:rPr>
          <w:rFonts w:ascii="Cambria" w:hAnsi="Cambria"/>
          <w:bCs/>
          <w:sz w:val="20"/>
          <w:szCs w:val="20"/>
        </w:rPr>
      </w:pPr>
    </w:p>
    <w:p w14:paraId="3B9EE54A" w14:textId="58CE3E55" w:rsidR="00120AE6" w:rsidRPr="00A63F69" w:rsidRDefault="00120AE6" w:rsidP="00A63F69">
      <w:pPr>
        <w:tabs>
          <w:tab w:val="left" w:pos="426"/>
        </w:tabs>
        <w:ind w:left="426" w:hanging="426"/>
        <w:jc w:val="both"/>
        <w:rPr>
          <w:rFonts w:ascii="Cambria" w:hAnsi="Cambria"/>
          <w:bCs/>
          <w:i/>
          <w:iCs/>
          <w:sz w:val="20"/>
          <w:szCs w:val="20"/>
        </w:rPr>
      </w:pPr>
      <w:r w:rsidRPr="00A63F69">
        <w:rPr>
          <w:rFonts w:ascii="Cambria" w:hAnsi="Cambria"/>
          <w:bCs/>
          <w:i/>
          <w:sz w:val="20"/>
          <w:szCs w:val="20"/>
        </w:rPr>
        <w:tab/>
        <w:t>La Secretaría actuará como relatora.</w:t>
      </w:r>
    </w:p>
    <w:p w14:paraId="697DC274" w14:textId="77777777" w:rsidR="001A68AB" w:rsidRPr="00A63F69" w:rsidRDefault="001A68AB" w:rsidP="00A63F69">
      <w:pPr>
        <w:tabs>
          <w:tab w:val="left" w:pos="426"/>
        </w:tabs>
        <w:ind w:left="426" w:hanging="426"/>
        <w:jc w:val="both"/>
        <w:rPr>
          <w:rFonts w:ascii="Cambria" w:hAnsi="Cambria"/>
          <w:bCs/>
          <w:sz w:val="20"/>
          <w:szCs w:val="20"/>
        </w:rPr>
      </w:pPr>
    </w:p>
    <w:p w14:paraId="1899C425" w14:textId="4BA4047F" w:rsidR="001A68AB" w:rsidRPr="00A63F69" w:rsidRDefault="001A68AB" w:rsidP="00A63F69">
      <w:pPr>
        <w:tabs>
          <w:tab w:val="left" w:pos="426"/>
        </w:tabs>
        <w:ind w:left="426" w:hanging="426"/>
        <w:jc w:val="both"/>
        <w:rPr>
          <w:rFonts w:ascii="Cambria" w:hAnsi="Cambria"/>
          <w:bCs/>
          <w:sz w:val="20"/>
          <w:szCs w:val="20"/>
        </w:rPr>
      </w:pPr>
      <w:r w:rsidRPr="00A63F69">
        <w:rPr>
          <w:rFonts w:ascii="Cambria" w:hAnsi="Cambria"/>
          <w:bCs/>
          <w:sz w:val="20"/>
          <w:szCs w:val="20"/>
        </w:rPr>
        <w:t>3.</w:t>
      </w:r>
      <w:r w:rsidRPr="00A63F69">
        <w:rPr>
          <w:rFonts w:ascii="Cambria" w:hAnsi="Cambria"/>
          <w:bCs/>
          <w:sz w:val="20"/>
          <w:szCs w:val="20"/>
        </w:rPr>
        <w:tab/>
        <w:t>Adopción del orden del día</w:t>
      </w:r>
    </w:p>
    <w:p w14:paraId="5E067769" w14:textId="77777777" w:rsidR="001A68AB" w:rsidRPr="00A63F69" w:rsidRDefault="001A68AB" w:rsidP="00A63F69">
      <w:pPr>
        <w:tabs>
          <w:tab w:val="left" w:pos="426"/>
        </w:tabs>
        <w:ind w:left="426" w:hanging="426"/>
        <w:jc w:val="both"/>
        <w:rPr>
          <w:rFonts w:ascii="Cambria" w:hAnsi="Cambria"/>
          <w:bCs/>
          <w:sz w:val="20"/>
          <w:szCs w:val="20"/>
        </w:rPr>
      </w:pPr>
    </w:p>
    <w:p w14:paraId="391FEB49" w14:textId="2E6056A3" w:rsidR="001A68AB" w:rsidRPr="00A63F69" w:rsidRDefault="001A68AB" w:rsidP="00A63F69">
      <w:pPr>
        <w:tabs>
          <w:tab w:val="left" w:pos="426"/>
        </w:tabs>
        <w:ind w:left="446"/>
        <w:jc w:val="both"/>
        <w:rPr>
          <w:rFonts w:ascii="Cambria" w:hAnsi="Cambria"/>
          <w:bCs/>
          <w:sz w:val="20"/>
          <w:szCs w:val="20"/>
        </w:rPr>
      </w:pPr>
      <w:r w:rsidRPr="00A63F69">
        <w:rPr>
          <w:rFonts w:ascii="Cambria" w:hAnsi="Cambria"/>
          <w:i/>
          <w:sz w:val="20"/>
          <w:szCs w:val="20"/>
        </w:rPr>
        <w:t xml:space="preserve">El orden del día se ha distribuido como </w:t>
      </w:r>
      <w:r w:rsidRPr="00A63F69">
        <w:rPr>
          <w:rFonts w:ascii="Cambria" w:hAnsi="Cambria"/>
          <w:b/>
          <w:i/>
          <w:sz w:val="20"/>
          <w:szCs w:val="20"/>
        </w:rPr>
        <w:t>STF_200</w:t>
      </w:r>
      <w:r w:rsidR="009220F3"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w:t>
      </w:r>
    </w:p>
    <w:p w14:paraId="189217D4" w14:textId="77777777" w:rsidR="001A68AB" w:rsidRPr="00A63F69" w:rsidRDefault="001A68AB" w:rsidP="00A63F69">
      <w:pPr>
        <w:tabs>
          <w:tab w:val="left" w:pos="426"/>
        </w:tabs>
        <w:ind w:left="426" w:hanging="426"/>
        <w:jc w:val="both"/>
        <w:rPr>
          <w:rFonts w:ascii="Cambria" w:hAnsi="Cambria"/>
          <w:bCs/>
          <w:sz w:val="20"/>
          <w:szCs w:val="20"/>
        </w:rPr>
      </w:pPr>
    </w:p>
    <w:p w14:paraId="37A8DE5B" w14:textId="77777777" w:rsidR="001A68AB" w:rsidRPr="00A63F69" w:rsidRDefault="001A68AB" w:rsidP="00A63F69">
      <w:pPr>
        <w:tabs>
          <w:tab w:val="left" w:pos="426"/>
        </w:tabs>
        <w:ind w:left="432" w:hanging="432"/>
        <w:jc w:val="both"/>
        <w:rPr>
          <w:rFonts w:ascii="Cambria" w:hAnsi="Cambria"/>
          <w:bCs/>
          <w:sz w:val="20"/>
          <w:szCs w:val="20"/>
        </w:rPr>
      </w:pPr>
      <w:r w:rsidRPr="00A63F69">
        <w:rPr>
          <w:rFonts w:ascii="Cambria" w:hAnsi="Cambria"/>
          <w:bCs/>
          <w:sz w:val="20"/>
          <w:szCs w:val="20"/>
        </w:rPr>
        <w:t>4</w:t>
      </w:r>
      <w:r w:rsidRPr="00A63F69">
        <w:rPr>
          <w:rFonts w:ascii="Cambria" w:hAnsi="Cambria"/>
          <w:bCs/>
          <w:i/>
          <w:sz w:val="20"/>
          <w:szCs w:val="20"/>
        </w:rPr>
        <w:t>.</w:t>
      </w:r>
      <w:r w:rsidRPr="00A63F69">
        <w:rPr>
          <w:rFonts w:ascii="Cambria" w:hAnsi="Cambria"/>
          <w:bCs/>
          <w:sz w:val="20"/>
          <w:szCs w:val="20"/>
        </w:rPr>
        <w:tab/>
        <w:t>Informes de la Secretaría</w:t>
      </w:r>
    </w:p>
    <w:p w14:paraId="646727B1" w14:textId="77777777" w:rsidR="001A68AB" w:rsidRPr="00A63F69" w:rsidRDefault="001A68AB" w:rsidP="00A63F69">
      <w:pPr>
        <w:tabs>
          <w:tab w:val="left" w:pos="426"/>
        </w:tabs>
        <w:ind w:left="426" w:hanging="426"/>
        <w:jc w:val="both"/>
        <w:rPr>
          <w:rFonts w:ascii="Cambria" w:hAnsi="Cambria"/>
          <w:bCs/>
          <w:sz w:val="20"/>
          <w:szCs w:val="20"/>
        </w:rPr>
      </w:pPr>
    </w:p>
    <w:p w14:paraId="646A9AF3" w14:textId="02660980" w:rsidR="001A68AB" w:rsidRPr="00A63F69" w:rsidRDefault="001A68AB" w:rsidP="00A63F69">
      <w:pPr>
        <w:tabs>
          <w:tab w:val="left" w:pos="426"/>
          <w:tab w:val="left" w:pos="851"/>
        </w:tabs>
        <w:jc w:val="both"/>
        <w:rPr>
          <w:rFonts w:ascii="Cambria" w:hAnsi="Cambria"/>
          <w:bCs/>
          <w:iCs/>
          <w:sz w:val="20"/>
          <w:szCs w:val="20"/>
        </w:rPr>
      </w:pPr>
      <w:r w:rsidRPr="00A63F69">
        <w:rPr>
          <w:rFonts w:ascii="Cambria" w:hAnsi="Cambria"/>
          <w:bCs/>
          <w:sz w:val="20"/>
          <w:szCs w:val="20"/>
        </w:rPr>
        <w:tab/>
      </w:r>
      <w:r w:rsidRPr="00A63F69">
        <w:rPr>
          <w:rFonts w:ascii="Cambria" w:hAnsi="Cambria"/>
          <w:bCs/>
          <w:iCs/>
          <w:sz w:val="20"/>
          <w:szCs w:val="20"/>
        </w:rPr>
        <w:t>4.1</w:t>
      </w:r>
      <w:r w:rsidRPr="00A63F69">
        <w:rPr>
          <w:rFonts w:ascii="Cambria" w:hAnsi="Cambria"/>
          <w:bCs/>
          <w:iCs/>
          <w:sz w:val="20"/>
          <w:szCs w:val="20"/>
        </w:rPr>
        <w:tab/>
        <w:t>Informe administrativo de 2025</w:t>
      </w:r>
    </w:p>
    <w:p w14:paraId="5E2A0DAD" w14:textId="77777777" w:rsidR="00B3628C" w:rsidRPr="00A63F69" w:rsidRDefault="00B3628C" w:rsidP="00A63F69">
      <w:pPr>
        <w:tabs>
          <w:tab w:val="left" w:pos="426"/>
          <w:tab w:val="left" w:pos="851"/>
        </w:tabs>
        <w:jc w:val="both"/>
        <w:rPr>
          <w:rFonts w:ascii="Cambria" w:hAnsi="Cambria"/>
          <w:bCs/>
          <w:sz w:val="20"/>
          <w:szCs w:val="20"/>
        </w:rPr>
      </w:pPr>
    </w:p>
    <w:p w14:paraId="68C73A76" w14:textId="1F871F8F" w:rsidR="001A68AB" w:rsidRPr="00A63F69" w:rsidRDefault="001A68AB" w:rsidP="00A63F69">
      <w:pPr>
        <w:tabs>
          <w:tab w:val="left" w:pos="426"/>
          <w:tab w:val="left" w:pos="851"/>
        </w:tabs>
        <w:ind w:left="446"/>
        <w:jc w:val="both"/>
        <w:rPr>
          <w:rFonts w:ascii="Cambria" w:hAnsi="Cambria"/>
          <w:bCs/>
          <w:i/>
          <w:iCs/>
          <w:sz w:val="20"/>
          <w:szCs w:val="20"/>
        </w:rPr>
      </w:pPr>
      <w:r w:rsidRPr="00A63F69">
        <w:rPr>
          <w:rFonts w:ascii="Cambria" w:hAnsi="Cambria"/>
          <w:i/>
          <w:sz w:val="20"/>
          <w:szCs w:val="20"/>
        </w:rPr>
        <w:t xml:space="preserve">Este informe está disponible como documento </w:t>
      </w:r>
      <w:r w:rsidRPr="00A63F69">
        <w:rPr>
          <w:rFonts w:ascii="Cambria" w:hAnsi="Cambria"/>
          <w:b/>
          <w:i/>
          <w:sz w:val="20"/>
          <w:szCs w:val="20"/>
        </w:rPr>
        <w:t>STF_201/2025</w:t>
      </w:r>
      <w:r w:rsidRPr="00A63F69">
        <w:rPr>
          <w:rFonts w:ascii="Cambria" w:hAnsi="Cambria"/>
          <w:i/>
          <w:sz w:val="20"/>
          <w:szCs w:val="20"/>
        </w:rPr>
        <w:t>.</w:t>
      </w:r>
    </w:p>
    <w:p w14:paraId="3E1AA712" w14:textId="77777777" w:rsidR="001A68AB" w:rsidRPr="00A63F69" w:rsidRDefault="001A68AB" w:rsidP="00A63F69">
      <w:pPr>
        <w:tabs>
          <w:tab w:val="left" w:pos="426"/>
          <w:tab w:val="left" w:pos="851"/>
        </w:tabs>
        <w:jc w:val="both"/>
        <w:rPr>
          <w:rFonts w:ascii="Cambria" w:hAnsi="Cambria"/>
          <w:bCs/>
          <w:sz w:val="20"/>
          <w:szCs w:val="20"/>
        </w:rPr>
      </w:pPr>
    </w:p>
    <w:p w14:paraId="1F882E17" w14:textId="1DD2834D" w:rsidR="001A68AB" w:rsidRPr="00A63F69" w:rsidRDefault="001A68AB" w:rsidP="00A63F69">
      <w:pPr>
        <w:tabs>
          <w:tab w:val="left" w:pos="426"/>
          <w:tab w:val="left" w:pos="851"/>
        </w:tabs>
        <w:jc w:val="both"/>
        <w:rPr>
          <w:rFonts w:ascii="Cambria" w:hAnsi="Cambria"/>
          <w:bCs/>
          <w:iCs/>
          <w:sz w:val="20"/>
          <w:szCs w:val="20"/>
        </w:rPr>
      </w:pPr>
      <w:r w:rsidRPr="00A63F69">
        <w:rPr>
          <w:rFonts w:ascii="Cambria" w:hAnsi="Cambria"/>
          <w:iCs/>
          <w:sz w:val="20"/>
          <w:szCs w:val="20"/>
        </w:rPr>
        <w:tab/>
      </w:r>
      <w:r w:rsidRPr="00A63F69">
        <w:rPr>
          <w:rFonts w:ascii="Cambria" w:hAnsi="Cambria"/>
          <w:bCs/>
          <w:iCs/>
          <w:sz w:val="20"/>
          <w:szCs w:val="20"/>
        </w:rPr>
        <w:t>4.2</w:t>
      </w:r>
      <w:r w:rsidRPr="00A63F69">
        <w:rPr>
          <w:rFonts w:ascii="Cambria" w:hAnsi="Cambria"/>
          <w:bCs/>
          <w:iCs/>
          <w:sz w:val="20"/>
          <w:szCs w:val="20"/>
        </w:rPr>
        <w:tab/>
        <w:t>Informe financiero de 2025</w:t>
      </w:r>
    </w:p>
    <w:p w14:paraId="6BD03FF9" w14:textId="77777777" w:rsidR="00B3628C" w:rsidRPr="00A63F69" w:rsidRDefault="00B3628C" w:rsidP="00A63F69">
      <w:pPr>
        <w:tabs>
          <w:tab w:val="left" w:pos="426"/>
          <w:tab w:val="left" w:pos="851"/>
        </w:tabs>
        <w:jc w:val="both"/>
        <w:rPr>
          <w:rFonts w:ascii="Cambria" w:hAnsi="Cambria"/>
          <w:bCs/>
          <w:sz w:val="20"/>
          <w:szCs w:val="20"/>
        </w:rPr>
      </w:pPr>
    </w:p>
    <w:p w14:paraId="465CE5F2" w14:textId="1182C25E" w:rsidR="001A68AB" w:rsidRPr="00A63F69" w:rsidRDefault="001A68AB" w:rsidP="00A63F69">
      <w:pPr>
        <w:tabs>
          <w:tab w:val="left" w:pos="450"/>
        </w:tabs>
        <w:ind w:left="446"/>
        <w:jc w:val="both"/>
        <w:rPr>
          <w:rFonts w:ascii="Cambria" w:hAnsi="Cambria"/>
          <w:bCs/>
          <w:i/>
          <w:iCs/>
          <w:sz w:val="20"/>
          <w:szCs w:val="20"/>
        </w:rPr>
      </w:pPr>
      <w:r w:rsidRPr="00A63F69">
        <w:rPr>
          <w:rFonts w:ascii="Cambria" w:hAnsi="Cambria"/>
          <w:i/>
          <w:sz w:val="20"/>
          <w:szCs w:val="20"/>
        </w:rPr>
        <w:t>El Informe financiero se ha publicado como</w:t>
      </w:r>
      <w:r w:rsidRPr="00A63F69">
        <w:rPr>
          <w:rFonts w:ascii="Cambria" w:hAnsi="Cambria"/>
          <w:b/>
          <w:i/>
          <w:sz w:val="20"/>
          <w:szCs w:val="20"/>
        </w:rPr>
        <w:t xml:space="preserve"> STF_202</w:t>
      </w:r>
      <w:r w:rsidR="009220F3" w:rsidRPr="00A63F69">
        <w:rPr>
          <w:rFonts w:ascii="Cambria" w:hAnsi="Cambria"/>
          <w:b/>
          <w:i/>
          <w:sz w:val="20"/>
          <w:szCs w:val="20"/>
        </w:rPr>
        <w:t>_REV_1</w:t>
      </w:r>
      <w:r w:rsidRPr="00A63F69">
        <w:rPr>
          <w:rFonts w:ascii="Cambria" w:hAnsi="Cambria"/>
          <w:b/>
          <w:i/>
          <w:sz w:val="20"/>
          <w:szCs w:val="20"/>
        </w:rPr>
        <w:t xml:space="preserve">/2025 </w:t>
      </w:r>
    </w:p>
    <w:p w14:paraId="74EE5A97" w14:textId="77777777" w:rsidR="001A68AB" w:rsidRPr="00A63F69" w:rsidRDefault="001A68AB" w:rsidP="00A63F69">
      <w:pPr>
        <w:tabs>
          <w:tab w:val="left" w:pos="426"/>
          <w:tab w:val="left" w:pos="851"/>
        </w:tabs>
        <w:jc w:val="both"/>
        <w:rPr>
          <w:rFonts w:ascii="Cambria" w:hAnsi="Cambria"/>
          <w:bCs/>
          <w:sz w:val="20"/>
          <w:szCs w:val="20"/>
        </w:rPr>
      </w:pPr>
    </w:p>
    <w:p w14:paraId="77163F59" w14:textId="77777777" w:rsidR="001A68AB" w:rsidRPr="00A63F69" w:rsidRDefault="001A68AB" w:rsidP="00A63F69">
      <w:pPr>
        <w:tabs>
          <w:tab w:val="left" w:pos="426"/>
          <w:tab w:val="left" w:pos="851"/>
        </w:tabs>
        <w:jc w:val="both"/>
        <w:rPr>
          <w:rFonts w:ascii="Cambria" w:hAnsi="Cambria"/>
          <w:bCs/>
          <w:iCs/>
          <w:sz w:val="20"/>
          <w:szCs w:val="20"/>
        </w:rPr>
      </w:pPr>
      <w:r w:rsidRPr="00A63F69">
        <w:rPr>
          <w:rFonts w:ascii="Cambria" w:hAnsi="Cambria"/>
          <w:iCs/>
          <w:sz w:val="20"/>
          <w:szCs w:val="20"/>
        </w:rPr>
        <w:tab/>
      </w:r>
      <w:r w:rsidRPr="00A63F69">
        <w:rPr>
          <w:rFonts w:ascii="Cambria" w:hAnsi="Cambria"/>
          <w:bCs/>
          <w:iCs/>
          <w:sz w:val="20"/>
          <w:szCs w:val="20"/>
        </w:rPr>
        <w:t>4.3</w:t>
      </w:r>
      <w:r w:rsidRPr="00A63F69">
        <w:rPr>
          <w:rFonts w:ascii="Cambria" w:hAnsi="Cambria"/>
          <w:bCs/>
          <w:iCs/>
          <w:sz w:val="20"/>
          <w:szCs w:val="20"/>
        </w:rPr>
        <w:tab/>
        <w:t>Examen de los progresos en los pagos de los atrasos y derechos de voto</w:t>
      </w:r>
    </w:p>
    <w:p w14:paraId="561BBC90" w14:textId="77777777" w:rsidR="00B3628C" w:rsidRPr="00A63F69" w:rsidRDefault="00B3628C" w:rsidP="00A63F69">
      <w:pPr>
        <w:tabs>
          <w:tab w:val="left" w:pos="426"/>
          <w:tab w:val="left" w:pos="851"/>
        </w:tabs>
        <w:jc w:val="both"/>
        <w:rPr>
          <w:rFonts w:ascii="Cambria" w:hAnsi="Cambria"/>
          <w:bCs/>
          <w:sz w:val="20"/>
          <w:szCs w:val="20"/>
        </w:rPr>
      </w:pPr>
    </w:p>
    <w:p w14:paraId="2B893A23" w14:textId="2B46BB10" w:rsidR="001A68AB" w:rsidRPr="00A63F69" w:rsidRDefault="001A68AB" w:rsidP="00A63F69">
      <w:pPr>
        <w:tabs>
          <w:tab w:val="left" w:pos="426"/>
          <w:tab w:val="left" w:pos="851"/>
        </w:tabs>
        <w:ind w:left="446"/>
        <w:jc w:val="both"/>
        <w:rPr>
          <w:rFonts w:ascii="Cambria" w:hAnsi="Cambria"/>
          <w:bCs/>
          <w:i/>
          <w:sz w:val="20"/>
          <w:szCs w:val="20"/>
        </w:rPr>
      </w:pPr>
      <w:r w:rsidRPr="00A63F69">
        <w:rPr>
          <w:rFonts w:ascii="Cambria" w:hAnsi="Cambria"/>
          <w:i/>
          <w:sz w:val="20"/>
          <w:szCs w:val="20"/>
        </w:rPr>
        <w:t xml:space="preserve">La información se distribuirá durante la reunión teniendo en cuenta la información más actualizada disponible en el documento </w:t>
      </w:r>
      <w:r w:rsidR="003D46CF" w:rsidRPr="00A63F69">
        <w:rPr>
          <w:rFonts w:ascii="Cambria" w:hAnsi="Cambria"/>
          <w:i/>
          <w:sz w:val="20"/>
          <w:szCs w:val="20"/>
        </w:rPr>
        <w:t>“</w:t>
      </w:r>
      <w:r w:rsidRPr="00A63F69">
        <w:rPr>
          <w:rFonts w:ascii="Cambria" w:hAnsi="Cambria"/>
          <w:i/>
          <w:sz w:val="20"/>
          <w:szCs w:val="20"/>
        </w:rPr>
        <w:t>Información sobre las sumas adeudadas y los planes de pago de atrasos</w:t>
      </w:r>
      <w:r w:rsidR="003D46CF" w:rsidRPr="00A63F69">
        <w:rPr>
          <w:rFonts w:ascii="Cambria" w:hAnsi="Cambria"/>
          <w:i/>
          <w:sz w:val="20"/>
          <w:szCs w:val="20"/>
        </w:rPr>
        <w:t>” (</w:t>
      </w:r>
      <w:r w:rsidR="003D46CF" w:rsidRPr="00A63F69">
        <w:rPr>
          <w:rFonts w:ascii="Cambria" w:hAnsi="Cambria"/>
          <w:b/>
          <w:i/>
          <w:sz w:val="20"/>
          <w:szCs w:val="20"/>
        </w:rPr>
        <w:t>STF_205_REV_1/2025</w:t>
      </w:r>
      <w:r w:rsidRPr="00A63F69">
        <w:rPr>
          <w:rFonts w:ascii="Cambria" w:hAnsi="Cambria"/>
          <w:i/>
          <w:sz w:val="20"/>
          <w:szCs w:val="20"/>
        </w:rPr>
        <w:t>).</w:t>
      </w:r>
    </w:p>
    <w:p w14:paraId="4A880D7B" w14:textId="77777777" w:rsidR="001A68AB" w:rsidRPr="00A63F69" w:rsidRDefault="001A68AB" w:rsidP="00A63F69">
      <w:pPr>
        <w:tabs>
          <w:tab w:val="left" w:pos="426"/>
          <w:tab w:val="left" w:pos="851"/>
        </w:tabs>
        <w:jc w:val="both"/>
        <w:rPr>
          <w:rFonts w:ascii="Cambria" w:hAnsi="Cambria"/>
          <w:bCs/>
          <w:sz w:val="20"/>
          <w:szCs w:val="20"/>
        </w:rPr>
      </w:pPr>
    </w:p>
    <w:p w14:paraId="607A0D6F" w14:textId="77777777" w:rsidR="001A68AB" w:rsidRPr="00A63F69" w:rsidRDefault="001A68AB" w:rsidP="00A63F69">
      <w:pPr>
        <w:ind w:left="432" w:hanging="432"/>
        <w:jc w:val="both"/>
        <w:rPr>
          <w:rFonts w:ascii="Cambria" w:hAnsi="Cambria"/>
          <w:bCs/>
          <w:sz w:val="20"/>
          <w:szCs w:val="20"/>
        </w:rPr>
      </w:pPr>
      <w:bookmarkStart w:id="5" w:name="_Hlk104888643"/>
      <w:r w:rsidRPr="00A63F69">
        <w:rPr>
          <w:rFonts w:ascii="Cambria" w:hAnsi="Cambria"/>
          <w:bCs/>
          <w:sz w:val="20"/>
          <w:szCs w:val="20"/>
        </w:rPr>
        <w:t>5</w:t>
      </w:r>
      <w:r w:rsidRPr="00A63F69">
        <w:rPr>
          <w:rFonts w:ascii="Cambria" w:hAnsi="Cambria"/>
          <w:bCs/>
          <w:i/>
          <w:sz w:val="20"/>
          <w:szCs w:val="20"/>
        </w:rPr>
        <w:t>.</w:t>
      </w:r>
      <w:r w:rsidRPr="00A63F69">
        <w:rPr>
          <w:rFonts w:ascii="Cambria" w:hAnsi="Cambria"/>
          <w:bCs/>
          <w:sz w:val="20"/>
          <w:szCs w:val="20"/>
        </w:rPr>
        <w:tab/>
        <w:t>Asistencia a las CPC en desarrollo</w:t>
      </w:r>
    </w:p>
    <w:p w14:paraId="45624ECA" w14:textId="77777777" w:rsidR="001A68AB" w:rsidRPr="00A63F69" w:rsidRDefault="001A68AB" w:rsidP="00A63F69">
      <w:pPr>
        <w:jc w:val="both"/>
        <w:rPr>
          <w:rFonts w:ascii="Cambria" w:hAnsi="Cambria"/>
          <w:bCs/>
          <w:sz w:val="20"/>
          <w:szCs w:val="20"/>
        </w:rPr>
      </w:pPr>
    </w:p>
    <w:p w14:paraId="677571B3" w14:textId="77777777" w:rsidR="001A68AB" w:rsidRPr="00A63F69" w:rsidRDefault="001A68AB" w:rsidP="00A63F69">
      <w:pPr>
        <w:ind w:left="446"/>
        <w:jc w:val="both"/>
        <w:rPr>
          <w:rFonts w:ascii="Cambria" w:hAnsi="Cambria"/>
          <w:bCs/>
          <w:iCs/>
          <w:sz w:val="20"/>
          <w:szCs w:val="20"/>
        </w:rPr>
      </w:pPr>
      <w:r w:rsidRPr="00A63F69">
        <w:rPr>
          <w:rFonts w:ascii="Cambria" w:hAnsi="Cambria"/>
          <w:bCs/>
          <w:iCs/>
          <w:sz w:val="20"/>
          <w:szCs w:val="20"/>
        </w:rPr>
        <w:t>5.1 Examen de los procedimientos y financiación del Fondo para la participación en reuniones (MPF)</w:t>
      </w:r>
    </w:p>
    <w:p w14:paraId="1F97C376" w14:textId="77777777" w:rsidR="001A68AB" w:rsidRPr="00A63F69" w:rsidRDefault="001A68AB" w:rsidP="00A63F69">
      <w:pPr>
        <w:ind w:left="446"/>
        <w:jc w:val="both"/>
        <w:rPr>
          <w:rFonts w:ascii="Cambria" w:hAnsi="Cambria"/>
          <w:bCs/>
          <w:sz w:val="20"/>
          <w:szCs w:val="20"/>
        </w:rPr>
      </w:pPr>
    </w:p>
    <w:p w14:paraId="1C323AC5" w14:textId="7E109D91" w:rsidR="001A68AB" w:rsidRPr="00A63F69" w:rsidRDefault="001A68AB" w:rsidP="00A63F69">
      <w:pPr>
        <w:ind w:left="446"/>
        <w:jc w:val="both"/>
        <w:rPr>
          <w:rFonts w:ascii="Cambria" w:hAnsi="Cambria"/>
          <w:bCs/>
          <w:i/>
          <w:sz w:val="20"/>
          <w:szCs w:val="20"/>
        </w:rPr>
      </w:pPr>
      <w:r w:rsidRPr="00A63F69">
        <w:rPr>
          <w:rFonts w:ascii="Cambria" w:hAnsi="Cambria"/>
          <w:i/>
          <w:sz w:val="20"/>
          <w:szCs w:val="20"/>
        </w:rPr>
        <w:t xml:space="preserve">La información sobre los gastos del Fondo para la participación en reuniones se recoge en el documento </w:t>
      </w:r>
      <w:r w:rsidRPr="00A63F69">
        <w:rPr>
          <w:rFonts w:ascii="Cambria" w:hAnsi="Cambria"/>
          <w:b/>
          <w:i/>
          <w:sz w:val="20"/>
          <w:szCs w:val="20"/>
        </w:rPr>
        <w:t>STF_206/2025</w:t>
      </w:r>
      <w:r w:rsidRPr="00A63F69">
        <w:rPr>
          <w:rFonts w:ascii="Cambria" w:hAnsi="Cambria"/>
          <w:i/>
          <w:sz w:val="20"/>
          <w:szCs w:val="20"/>
        </w:rPr>
        <w:t>.</w:t>
      </w:r>
    </w:p>
    <w:p w14:paraId="1039A78B" w14:textId="77777777" w:rsidR="000517FA" w:rsidRPr="00A63F69" w:rsidRDefault="000517FA" w:rsidP="00A63F69">
      <w:pPr>
        <w:ind w:left="446"/>
        <w:jc w:val="both"/>
        <w:rPr>
          <w:rFonts w:ascii="Cambria" w:hAnsi="Cambria"/>
          <w:bCs/>
          <w:i/>
          <w:sz w:val="20"/>
          <w:szCs w:val="20"/>
        </w:rPr>
      </w:pPr>
    </w:p>
    <w:p w14:paraId="3EDAB1FB" w14:textId="03AEBDCA" w:rsidR="000517FA" w:rsidRPr="00A63F69" w:rsidRDefault="000517FA" w:rsidP="00A63F69">
      <w:pPr>
        <w:ind w:left="446"/>
        <w:jc w:val="both"/>
        <w:rPr>
          <w:rFonts w:ascii="Cambria" w:hAnsi="Cambria"/>
          <w:bCs/>
          <w:i/>
          <w:sz w:val="20"/>
          <w:szCs w:val="20"/>
        </w:rPr>
      </w:pPr>
      <w:r w:rsidRPr="00A63F69">
        <w:rPr>
          <w:rFonts w:ascii="Cambria" w:hAnsi="Cambria"/>
          <w:i/>
          <w:sz w:val="20"/>
          <w:szCs w:val="20"/>
        </w:rPr>
        <w:t>La información sobre las Reglas de procedimiento para la administración del fondo especial para la participación en reuniones se detalla en el documento (</w:t>
      </w:r>
      <w:r w:rsidRPr="00A63F69">
        <w:rPr>
          <w:rFonts w:ascii="Cambria" w:hAnsi="Cambria"/>
          <w:b/>
          <w:i/>
          <w:sz w:val="20"/>
          <w:szCs w:val="20"/>
        </w:rPr>
        <w:t>STF_218/2025</w:t>
      </w:r>
      <w:r w:rsidRPr="00A63F69">
        <w:rPr>
          <w:rFonts w:ascii="Cambria" w:hAnsi="Cambria"/>
          <w:i/>
          <w:sz w:val="20"/>
          <w:szCs w:val="20"/>
        </w:rPr>
        <w:t>)</w:t>
      </w:r>
    </w:p>
    <w:p w14:paraId="4E05542F" w14:textId="77777777" w:rsidR="001A68AB" w:rsidRPr="00A63F69" w:rsidRDefault="001A68AB" w:rsidP="00A63F69">
      <w:pPr>
        <w:ind w:left="446"/>
        <w:jc w:val="both"/>
        <w:rPr>
          <w:rFonts w:ascii="Cambria" w:hAnsi="Cambria"/>
          <w:bCs/>
          <w:sz w:val="20"/>
          <w:szCs w:val="20"/>
        </w:rPr>
      </w:pPr>
    </w:p>
    <w:p w14:paraId="3D7B66E4" w14:textId="34E54C0F" w:rsidR="001A68AB" w:rsidRPr="00A63F69" w:rsidRDefault="003948C5" w:rsidP="00A63F69">
      <w:pPr>
        <w:ind w:left="446"/>
        <w:jc w:val="both"/>
        <w:rPr>
          <w:rFonts w:ascii="Cambria" w:hAnsi="Cambria"/>
          <w:bCs/>
          <w:i/>
          <w:iCs/>
          <w:sz w:val="20"/>
          <w:szCs w:val="20"/>
        </w:rPr>
      </w:pPr>
      <w:r w:rsidRPr="00A63F69">
        <w:rPr>
          <w:rFonts w:ascii="Cambria" w:hAnsi="Cambria"/>
          <w:i/>
          <w:sz w:val="20"/>
          <w:szCs w:val="20"/>
        </w:rPr>
        <w:t xml:space="preserve">Egipto </w:t>
      </w:r>
      <w:r w:rsidR="00B95304" w:rsidRPr="00A63F69">
        <w:rPr>
          <w:rFonts w:ascii="Cambria" w:hAnsi="Cambria"/>
          <w:i/>
          <w:sz w:val="20"/>
          <w:szCs w:val="20"/>
        </w:rPr>
        <w:t>presentó un “</w:t>
      </w:r>
      <w:r w:rsidR="00B95304" w:rsidRPr="00A63F69">
        <w:rPr>
          <w:rFonts w:ascii="Cambria" w:hAnsi="Cambria"/>
          <w:i/>
          <w:sz w:val="20"/>
          <w:szCs w:val="20"/>
        </w:rPr>
        <w:t>Proyecto de Reglas de procedimiento para la administración del Fondo especial para la participación en reuniones</w:t>
      </w:r>
      <w:r w:rsidR="00B95304" w:rsidRPr="00A63F69">
        <w:rPr>
          <w:rFonts w:ascii="Cambria" w:hAnsi="Cambria"/>
          <w:i/>
          <w:sz w:val="20"/>
          <w:szCs w:val="20"/>
        </w:rPr>
        <w:t xml:space="preserve">” </w:t>
      </w:r>
      <w:r w:rsidRPr="00A63F69">
        <w:rPr>
          <w:rFonts w:ascii="Cambria" w:hAnsi="Cambria"/>
          <w:i/>
          <w:sz w:val="20"/>
          <w:szCs w:val="20"/>
        </w:rPr>
        <w:t>(</w:t>
      </w:r>
      <w:r w:rsidRPr="00A63F69">
        <w:rPr>
          <w:rFonts w:ascii="Cambria" w:hAnsi="Cambria"/>
          <w:b/>
          <w:i/>
          <w:sz w:val="20"/>
          <w:szCs w:val="20"/>
        </w:rPr>
        <w:t>STF_213/2025</w:t>
      </w:r>
      <w:r w:rsidR="00B95304" w:rsidRPr="00A63F69">
        <w:rPr>
          <w:rFonts w:ascii="Cambria" w:hAnsi="Cambria"/>
          <w:bCs/>
          <w:i/>
          <w:sz w:val="20"/>
          <w:szCs w:val="20"/>
        </w:rPr>
        <w:t>) y</w:t>
      </w:r>
      <w:r w:rsidR="00B95304" w:rsidRPr="00A63F69">
        <w:rPr>
          <w:rFonts w:ascii="Cambria" w:hAnsi="Cambria"/>
          <w:i/>
          <w:sz w:val="20"/>
          <w:szCs w:val="20"/>
        </w:rPr>
        <w:t xml:space="preserve"> un</w:t>
      </w:r>
      <w:r w:rsidRPr="00A63F69">
        <w:rPr>
          <w:rFonts w:ascii="Cambria" w:hAnsi="Cambria"/>
          <w:i/>
          <w:sz w:val="20"/>
          <w:szCs w:val="20"/>
        </w:rPr>
        <w:t xml:space="preserve"> </w:t>
      </w:r>
      <w:r w:rsidR="00B95304" w:rsidRPr="00A63F69">
        <w:rPr>
          <w:rFonts w:ascii="Cambria" w:hAnsi="Cambria"/>
          <w:i/>
          <w:sz w:val="20"/>
          <w:szCs w:val="20"/>
        </w:rPr>
        <w:t>“</w:t>
      </w:r>
      <w:r w:rsidR="00B95304" w:rsidRPr="00A63F69">
        <w:rPr>
          <w:rFonts w:ascii="Cambria" w:hAnsi="Cambria"/>
          <w:i/>
          <w:sz w:val="20"/>
          <w:szCs w:val="20"/>
        </w:rPr>
        <w:t>Proyecto de Recomendación de ICCAT que enmienda la Recomendación 20-09</w:t>
      </w:r>
      <w:r w:rsidR="00B95304" w:rsidRPr="00A63F69">
        <w:rPr>
          <w:rFonts w:ascii="Cambria" w:hAnsi="Cambria"/>
          <w:i/>
          <w:sz w:val="20"/>
          <w:szCs w:val="20"/>
        </w:rPr>
        <w:t xml:space="preserve"> </w:t>
      </w:r>
      <w:r w:rsidR="00B95304" w:rsidRPr="00A63F69">
        <w:rPr>
          <w:rFonts w:ascii="Cambria" w:hAnsi="Cambria"/>
          <w:i/>
          <w:sz w:val="20"/>
          <w:szCs w:val="20"/>
        </w:rPr>
        <w:t>sobre el establecimiento de un Fondo para la participación en reuniones</w:t>
      </w:r>
      <w:r w:rsidR="00B95304" w:rsidRPr="00A63F69">
        <w:rPr>
          <w:rFonts w:ascii="Cambria" w:hAnsi="Cambria"/>
          <w:i/>
          <w:sz w:val="20"/>
          <w:szCs w:val="20"/>
        </w:rPr>
        <w:t xml:space="preserve"> </w:t>
      </w:r>
      <w:r w:rsidR="00B95304" w:rsidRPr="00A63F69">
        <w:rPr>
          <w:rFonts w:ascii="Cambria" w:hAnsi="Cambria"/>
          <w:i/>
          <w:sz w:val="20"/>
          <w:szCs w:val="20"/>
        </w:rPr>
        <w:t>para las Partes contratantes en desarrollo de ICCAT</w:t>
      </w:r>
      <w:r w:rsidR="00B95304" w:rsidRPr="00A63F69">
        <w:rPr>
          <w:rFonts w:ascii="Cambria" w:hAnsi="Cambria"/>
          <w:i/>
          <w:sz w:val="20"/>
          <w:szCs w:val="20"/>
        </w:rPr>
        <w:t xml:space="preserve">” </w:t>
      </w:r>
      <w:r w:rsidRPr="00A63F69">
        <w:rPr>
          <w:rFonts w:ascii="Cambria" w:hAnsi="Cambria"/>
          <w:i/>
          <w:sz w:val="20"/>
          <w:szCs w:val="20"/>
        </w:rPr>
        <w:t>(</w:t>
      </w:r>
      <w:r w:rsidRPr="00A63F69">
        <w:rPr>
          <w:rFonts w:ascii="Cambria" w:hAnsi="Cambria"/>
          <w:b/>
          <w:i/>
          <w:sz w:val="20"/>
          <w:szCs w:val="20"/>
        </w:rPr>
        <w:t>STF_214/2025</w:t>
      </w:r>
      <w:r w:rsidRPr="00A63F69">
        <w:rPr>
          <w:rFonts w:ascii="Cambria" w:hAnsi="Cambria"/>
          <w:i/>
          <w:sz w:val="20"/>
          <w:szCs w:val="20"/>
        </w:rPr>
        <w:t>)</w:t>
      </w:r>
      <w:r w:rsidR="00B95304" w:rsidRPr="00A63F69">
        <w:rPr>
          <w:rFonts w:ascii="Cambria" w:hAnsi="Cambria"/>
          <w:i/>
          <w:sz w:val="20"/>
          <w:szCs w:val="20"/>
        </w:rPr>
        <w:t>;</w:t>
      </w:r>
      <w:r w:rsidRPr="00A63F69">
        <w:rPr>
          <w:rFonts w:ascii="Cambria" w:hAnsi="Cambria"/>
          <w:i/>
          <w:sz w:val="20"/>
          <w:szCs w:val="20"/>
        </w:rPr>
        <w:t xml:space="preserve"> y Argelia y Túnez </w:t>
      </w:r>
      <w:r w:rsidR="00B95304" w:rsidRPr="00A63F69">
        <w:rPr>
          <w:rFonts w:ascii="Cambria" w:hAnsi="Cambria"/>
          <w:i/>
          <w:sz w:val="20"/>
          <w:szCs w:val="20"/>
        </w:rPr>
        <w:t>presentaron una “</w:t>
      </w:r>
      <w:r w:rsidR="00B95304" w:rsidRPr="00A63F69">
        <w:rPr>
          <w:rFonts w:ascii="Cambria" w:hAnsi="Cambria"/>
          <w:i/>
          <w:sz w:val="20"/>
          <w:szCs w:val="20"/>
        </w:rPr>
        <w:t>Propuesta de Argelia y Túnez para aumentar el número de representantes por delegación financiados para las reuniones de la Comisión</w:t>
      </w:r>
      <w:r w:rsidR="00B95304" w:rsidRPr="00A63F69">
        <w:rPr>
          <w:rFonts w:ascii="Cambria" w:hAnsi="Cambria"/>
          <w:i/>
          <w:sz w:val="20"/>
          <w:szCs w:val="20"/>
        </w:rPr>
        <w:t xml:space="preserve">” </w:t>
      </w:r>
      <w:r w:rsidRPr="00A63F69">
        <w:rPr>
          <w:rFonts w:ascii="Cambria" w:hAnsi="Cambria"/>
          <w:i/>
          <w:sz w:val="20"/>
          <w:szCs w:val="20"/>
        </w:rPr>
        <w:t>(</w:t>
      </w:r>
      <w:r w:rsidRPr="00A63F69">
        <w:rPr>
          <w:rFonts w:ascii="Cambria" w:hAnsi="Cambria"/>
          <w:b/>
          <w:i/>
          <w:sz w:val="20"/>
          <w:szCs w:val="20"/>
        </w:rPr>
        <w:t>STF_215/2025</w:t>
      </w:r>
      <w:r w:rsidRPr="00A63F69">
        <w:rPr>
          <w:rFonts w:ascii="Cambria" w:hAnsi="Cambria"/>
          <w:i/>
          <w:sz w:val="20"/>
          <w:szCs w:val="20"/>
        </w:rPr>
        <w:t>) para que el STACFAD lo considere.</w:t>
      </w:r>
    </w:p>
    <w:p w14:paraId="2A8E01E9" w14:textId="77777777" w:rsidR="00635DBD" w:rsidRPr="00A63F69" w:rsidRDefault="00635DBD" w:rsidP="00A63F69">
      <w:pPr>
        <w:ind w:left="446"/>
        <w:jc w:val="both"/>
        <w:rPr>
          <w:rFonts w:ascii="Cambria" w:hAnsi="Cambria"/>
          <w:bCs/>
          <w:i/>
          <w:iCs/>
          <w:sz w:val="20"/>
          <w:szCs w:val="20"/>
        </w:rPr>
      </w:pPr>
    </w:p>
    <w:p w14:paraId="73AC376D" w14:textId="77777777" w:rsidR="003D46CF" w:rsidRPr="00A63F69" w:rsidRDefault="003D46CF" w:rsidP="00A63F69">
      <w:pPr>
        <w:tabs>
          <w:tab w:val="left" w:pos="851"/>
        </w:tabs>
        <w:ind w:firstLine="426"/>
        <w:rPr>
          <w:rFonts w:ascii="Ccam" w:hAnsi="Ccam"/>
          <w:sz w:val="20"/>
          <w:szCs w:val="20"/>
        </w:rPr>
      </w:pPr>
      <w:r w:rsidRPr="00A63F69">
        <w:rPr>
          <w:rFonts w:ascii="Ccam" w:hAnsi="Ccam"/>
          <w:sz w:val="20"/>
        </w:rPr>
        <w:t>5.2</w:t>
      </w:r>
      <w:r w:rsidRPr="00A63F69">
        <w:rPr>
          <w:rFonts w:ascii="Ccam" w:hAnsi="Ccam"/>
          <w:sz w:val="20"/>
        </w:rPr>
        <w:tab/>
        <w:t>Mecanismos de financiación para otras actividades de creación de capacidad</w:t>
      </w:r>
    </w:p>
    <w:p w14:paraId="256BCA44" w14:textId="77777777" w:rsidR="003D46CF" w:rsidRPr="00A63F69" w:rsidRDefault="003D46CF" w:rsidP="00A63F69">
      <w:pPr>
        <w:ind w:left="446"/>
        <w:jc w:val="both"/>
        <w:rPr>
          <w:rFonts w:ascii="Cambria" w:hAnsi="Cambria"/>
          <w:bCs/>
          <w:i/>
          <w:iCs/>
          <w:sz w:val="20"/>
          <w:szCs w:val="20"/>
        </w:rPr>
      </w:pPr>
    </w:p>
    <w:bookmarkEnd w:id="5"/>
    <w:p w14:paraId="0B5EA2B3" w14:textId="33471666"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6</w:t>
      </w:r>
      <w:r w:rsidRPr="00A63F69">
        <w:rPr>
          <w:rFonts w:ascii="Cambria" w:hAnsi="Cambria"/>
          <w:bCs/>
          <w:i/>
          <w:sz w:val="20"/>
          <w:szCs w:val="20"/>
        </w:rPr>
        <w:t>.</w:t>
      </w:r>
      <w:r w:rsidRPr="00A63F69">
        <w:rPr>
          <w:rFonts w:ascii="Cambria" w:hAnsi="Cambria"/>
          <w:bCs/>
          <w:sz w:val="20"/>
          <w:szCs w:val="20"/>
        </w:rPr>
        <w:tab/>
        <w:t xml:space="preserve">Acuerdos institucionales </w:t>
      </w:r>
    </w:p>
    <w:p w14:paraId="489464D9" w14:textId="77777777" w:rsidR="001A68AB" w:rsidRPr="00A63F69" w:rsidRDefault="001A68AB" w:rsidP="00A63F69">
      <w:pPr>
        <w:tabs>
          <w:tab w:val="left" w:pos="426"/>
        </w:tabs>
        <w:jc w:val="both"/>
        <w:rPr>
          <w:rFonts w:ascii="Cambria" w:hAnsi="Cambria"/>
          <w:bCs/>
          <w:sz w:val="20"/>
          <w:szCs w:val="20"/>
        </w:rPr>
      </w:pPr>
    </w:p>
    <w:p w14:paraId="0AC53AFC" w14:textId="6F09EEA7" w:rsidR="0066614E" w:rsidRPr="00A63F69" w:rsidRDefault="004A6437" w:rsidP="00A63F69">
      <w:pPr>
        <w:tabs>
          <w:tab w:val="left" w:pos="426"/>
        </w:tabs>
        <w:ind w:left="450"/>
        <w:jc w:val="both"/>
        <w:rPr>
          <w:rFonts w:ascii="Cambria" w:hAnsi="Cambria"/>
          <w:bCs/>
          <w:iCs/>
          <w:sz w:val="20"/>
          <w:szCs w:val="20"/>
        </w:rPr>
      </w:pPr>
      <w:r w:rsidRPr="00A63F69">
        <w:rPr>
          <w:rFonts w:ascii="Cambria" w:hAnsi="Cambria"/>
          <w:bCs/>
          <w:iCs/>
          <w:sz w:val="20"/>
          <w:szCs w:val="20"/>
        </w:rPr>
        <w:t>6.1 Consideración sobre la actualización del Convenio de Sede entre el Estado Español y la Comisión Internacional para la Conservación del Atún del Atlántico</w:t>
      </w:r>
    </w:p>
    <w:p w14:paraId="7FC59A85" w14:textId="77777777" w:rsidR="009E4284" w:rsidRPr="00A63F69" w:rsidRDefault="009E4284" w:rsidP="00A63F69">
      <w:pPr>
        <w:tabs>
          <w:tab w:val="left" w:pos="426"/>
        </w:tabs>
        <w:ind w:left="450"/>
        <w:jc w:val="both"/>
        <w:rPr>
          <w:rFonts w:ascii="Cambria" w:hAnsi="Cambria"/>
          <w:bCs/>
          <w:i/>
          <w:sz w:val="20"/>
          <w:szCs w:val="20"/>
        </w:rPr>
      </w:pPr>
    </w:p>
    <w:p w14:paraId="533260FE" w14:textId="1D42B677" w:rsidR="009E4284" w:rsidRPr="00A63F69" w:rsidRDefault="009E4284" w:rsidP="00A63F69">
      <w:pPr>
        <w:tabs>
          <w:tab w:val="left" w:pos="426"/>
        </w:tabs>
        <w:ind w:left="450"/>
        <w:jc w:val="both"/>
        <w:rPr>
          <w:rFonts w:ascii="Cambria" w:hAnsi="Cambria"/>
          <w:bCs/>
          <w:i/>
          <w:iCs/>
          <w:sz w:val="20"/>
          <w:szCs w:val="20"/>
        </w:rPr>
      </w:pPr>
      <w:r w:rsidRPr="00A63F69">
        <w:rPr>
          <w:rFonts w:ascii="Cambria" w:hAnsi="Cambria"/>
          <w:i/>
          <w:sz w:val="20"/>
          <w:szCs w:val="20"/>
        </w:rPr>
        <w:t>La Secretaría ha preparado un documento relacionado con la consideración de la actualización del Convenio de sede (</w:t>
      </w:r>
      <w:r w:rsidRPr="00A63F69">
        <w:rPr>
          <w:rFonts w:ascii="Cambria" w:hAnsi="Cambria"/>
          <w:b/>
          <w:i/>
          <w:sz w:val="20"/>
          <w:szCs w:val="20"/>
        </w:rPr>
        <w:t>STF-210/2025</w:t>
      </w:r>
      <w:r w:rsidRPr="00A63F69">
        <w:rPr>
          <w:rFonts w:ascii="Cambria" w:hAnsi="Cambria"/>
          <w:i/>
          <w:sz w:val="20"/>
          <w:szCs w:val="20"/>
        </w:rPr>
        <w:t>), que contiene un sumario de los pasos que se han dado hasta la fecha</w:t>
      </w:r>
    </w:p>
    <w:p w14:paraId="2DD53556" w14:textId="0AE42270" w:rsidR="00087667" w:rsidRPr="00A63F69" w:rsidRDefault="0066614E" w:rsidP="00A63F69">
      <w:pPr>
        <w:tabs>
          <w:tab w:val="left" w:pos="426"/>
        </w:tabs>
        <w:ind w:left="450"/>
        <w:jc w:val="both"/>
        <w:rPr>
          <w:rFonts w:ascii="Cambria" w:hAnsi="Cambria"/>
          <w:bCs/>
          <w:iCs/>
          <w:sz w:val="20"/>
          <w:szCs w:val="20"/>
        </w:rPr>
      </w:pPr>
      <w:r w:rsidRPr="00A63F69">
        <w:rPr>
          <w:rFonts w:ascii="Cambria" w:hAnsi="Cambria"/>
          <w:bCs/>
          <w:iCs/>
          <w:sz w:val="20"/>
          <w:szCs w:val="20"/>
        </w:rPr>
        <w:t>6.2 Cuestiones e implicaciones sobre el Estado actual de la Sede de ICCAT.</w:t>
      </w:r>
    </w:p>
    <w:p w14:paraId="2BFD3C5D" w14:textId="77777777" w:rsidR="00087667" w:rsidRPr="00A63F69" w:rsidRDefault="00087667" w:rsidP="00A63F69">
      <w:pPr>
        <w:tabs>
          <w:tab w:val="left" w:pos="426"/>
        </w:tabs>
        <w:ind w:left="450"/>
        <w:jc w:val="both"/>
        <w:rPr>
          <w:rFonts w:ascii="Cambria" w:hAnsi="Cambria"/>
          <w:bCs/>
          <w:i/>
          <w:sz w:val="20"/>
          <w:szCs w:val="20"/>
        </w:rPr>
      </w:pPr>
    </w:p>
    <w:p w14:paraId="352DD5B6" w14:textId="45DB8CE5" w:rsidR="00087667" w:rsidRPr="00A63F69" w:rsidRDefault="00087667" w:rsidP="00A63F69">
      <w:pPr>
        <w:tabs>
          <w:tab w:val="left" w:pos="426"/>
        </w:tabs>
        <w:ind w:left="450"/>
        <w:jc w:val="both"/>
        <w:rPr>
          <w:rFonts w:ascii="Cambria" w:hAnsi="Cambria"/>
          <w:bCs/>
          <w:i/>
          <w:iCs/>
          <w:sz w:val="20"/>
          <w:szCs w:val="20"/>
        </w:rPr>
      </w:pPr>
      <w:r w:rsidRPr="00A63F69">
        <w:rPr>
          <w:rFonts w:ascii="Cambria" w:hAnsi="Cambria"/>
          <w:i/>
          <w:sz w:val="20"/>
          <w:szCs w:val="20"/>
        </w:rPr>
        <w:t>La Secretaría ha comunicado al Ministerio de Exteriores, Unión Europea y Cooperación la necesidad de mejoras del edificio que alberga la sede de ICCAT. La Secretaría informará de las informaciones futuras que se tengan a este respecto.</w:t>
      </w:r>
    </w:p>
    <w:p w14:paraId="5EC68CD1" w14:textId="2E4FB7ED" w:rsidR="001A68AB" w:rsidRPr="00A63F69" w:rsidRDefault="001A68AB" w:rsidP="00A63F69">
      <w:pPr>
        <w:tabs>
          <w:tab w:val="left" w:pos="426"/>
        </w:tabs>
        <w:ind w:left="450"/>
        <w:jc w:val="both"/>
        <w:rPr>
          <w:rFonts w:ascii="Cambria" w:hAnsi="Cambria"/>
          <w:bCs/>
          <w:sz w:val="20"/>
          <w:szCs w:val="20"/>
        </w:rPr>
      </w:pPr>
      <w:r w:rsidRPr="00A63F69">
        <w:rPr>
          <w:rFonts w:ascii="Cambria" w:hAnsi="Cambria"/>
          <w:i/>
          <w:sz w:val="20"/>
          <w:szCs w:val="20"/>
        </w:rPr>
        <w:t xml:space="preserve"> </w:t>
      </w:r>
    </w:p>
    <w:p w14:paraId="021511F6" w14:textId="2E2C5C69" w:rsidR="001A68AB" w:rsidRPr="00A63F69" w:rsidRDefault="001A68AB" w:rsidP="00A63F69">
      <w:pPr>
        <w:tabs>
          <w:tab w:val="left" w:pos="426"/>
        </w:tabs>
        <w:ind w:left="426" w:hanging="426"/>
        <w:jc w:val="both"/>
        <w:rPr>
          <w:rFonts w:ascii="Cambria" w:hAnsi="Cambria"/>
          <w:bCs/>
          <w:sz w:val="20"/>
          <w:szCs w:val="20"/>
        </w:rPr>
      </w:pPr>
      <w:r w:rsidRPr="00A63F69">
        <w:rPr>
          <w:rFonts w:ascii="Cambria" w:hAnsi="Cambria"/>
          <w:bCs/>
          <w:sz w:val="20"/>
          <w:szCs w:val="20"/>
        </w:rPr>
        <w:t>7</w:t>
      </w:r>
      <w:r w:rsidRPr="00A63F69">
        <w:rPr>
          <w:rFonts w:ascii="Cambria" w:hAnsi="Cambria"/>
          <w:bCs/>
          <w:i/>
          <w:sz w:val="20"/>
          <w:szCs w:val="20"/>
        </w:rPr>
        <w:t>.</w:t>
      </w:r>
      <w:r w:rsidRPr="00A63F69">
        <w:rPr>
          <w:rFonts w:ascii="Cambria" w:hAnsi="Cambria"/>
          <w:bCs/>
          <w:sz w:val="20"/>
          <w:szCs w:val="20"/>
        </w:rPr>
        <w:tab/>
        <w:t>Examen de los resultados de las reuniones intersesiones del Grupo de trabajo virtual sobre una posición financiera sostenible para ICCAT (VWG-</w:t>
      </w:r>
      <w:proofErr w:type="spellStart"/>
      <w:r w:rsidRPr="00A63F69">
        <w:rPr>
          <w:rFonts w:ascii="Cambria" w:hAnsi="Cambria"/>
          <w:bCs/>
          <w:sz w:val="20"/>
          <w:szCs w:val="20"/>
        </w:rPr>
        <w:t>SF</w:t>
      </w:r>
      <w:proofErr w:type="spellEnd"/>
      <w:r w:rsidRPr="00A63F69">
        <w:rPr>
          <w:rFonts w:ascii="Cambria" w:hAnsi="Cambria"/>
          <w:bCs/>
          <w:sz w:val="20"/>
          <w:szCs w:val="20"/>
        </w:rPr>
        <w:t xml:space="preserve">) </w:t>
      </w:r>
    </w:p>
    <w:p w14:paraId="7D5EAA49" w14:textId="77777777" w:rsidR="001A68AB" w:rsidRPr="00A63F69" w:rsidRDefault="001A68AB" w:rsidP="00A63F69">
      <w:pPr>
        <w:tabs>
          <w:tab w:val="left" w:pos="426"/>
        </w:tabs>
        <w:jc w:val="both"/>
        <w:rPr>
          <w:rFonts w:ascii="Cambria" w:hAnsi="Cambria"/>
          <w:bCs/>
          <w:sz w:val="20"/>
          <w:szCs w:val="20"/>
        </w:rPr>
      </w:pPr>
    </w:p>
    <w:p w14:paraId="33B79AE6" w14:textId="470B2E9F" w:rsidR="001A68AB" w:rsidRPr="00A63F69" w:rsidRDefault="001A68AB" w:rsidP="00A63F69">
      <w:pPr>
        <w:tabs>
          <w:tab w:val="left" w:pos="360"/>
        </w:tabs>
        <w:ind w:left="450"/>
        <w:jc w:val="both"/>
        <w:rPr>
          <w:rFonts w:ascii="Cambria" w:hAnsi="Cambria"/>
          <w:b/>
          <w:i/>
          <w:strike/>
          <w:sz w:val="20"/>
          <w:szCs w:val="20"/>
        </w:rPr>
      </w:pPr>
      <w:r w:rsidRPr="00A63F69">
        <w:rPr>
          <w:rFonts w:ascii="Cambria" w:hAnsi="Cambria"/>
          <w:i/>
          <w:sz w:val="20"/>
          <w:szCs w:val="20"/>
        </w:rPr>
        <w:t>La presidenta del STACFAD informará también a la Comisión sobre los progresos realizados por el Grupo de trabajo virtual sobre una posición financiera sostenible (VWG-</w:t>
      </w:r>
      <w:proofErr w:type="spellStart"/>
      <w:r w:rsidRPr="00A63F69">
        <w:rPr>
          <w:rFonts w:ascii="Cambria" w:hAnsi="Cambria"/>
          <w:i/>
          <w:sz w:val="20"/>
          <w:szCs w:val="20"/>
        </w:rPr>
        <w:t>SF</w:t>
      </w:r>
      <w:proofErr w:type="spellEnd"/>
      <w:r w:rsidRPr="00A63F69">
        <w:rPr>
          <w:rFonts w:ascii="Cambria" w:hAnsi="Cambria"/>
          <w:i/>
          <w:sz w:val="20"/>
          <w:szCs w:val="20"/>
        </w:rPr>
        <w:t>). Los informes de las reuniones celebradas por el VWG-</w:t>
      </w:r>
      <w:proofErr w:type="spellStart"/>
      <w:r w:rsidRPr="00A63F69">
        <w:rPr>
          <w:rFonts w:ascii="Cambria" w:hAnsi="Cambria"/>
          <w:i/>
          <w:sz w:val="20"/>
          <w:szCs w:val="20"/>
        </w:rPr>
        <w:t>SF</w:t>
      </w:r>
      <w:proofErr w:type="spellEnd"/>
      <w:r w:rsidRPr="00A63F69">
        <w:rPr>
          <w:rFonts w:ascii="Cambria" w:hAnsi="Cambria"/>
          <w:i/>
          <w:sz w:val="20"/>
          <w:szCs w:val="20"/>
        </w:rPr>
        <w:t xml:space="preserve"> se han publicado como documentos </w:t>
      </w:r>
      <w:r w:rsidRPr="00A63F69">
        <w:rPr>
          <w:rFonts w:ascii="Cambria" w:hAnsi="Cambria"/>
          <w:b/>
          <w:i/>
          <w:sz w:val="20"/>
          <w:szCs w:val="20"/>
        </w:rPr>
        <w:t>STF_211/2025</w:t>
      </w:r>
      <w:r w:rsidRPr="00A63F69">
        <w:rPr>
          <w:rFonts w:ascii="Cambria" w:hAnsi="Cambria"/>
          <w:i/>
          <w:sz w:val="20"/>
          <w:szCs w:val="20"/>
        </w:rPr>
        <w:t xml:space="preserve"> y </w:t>
      </w:r>
      <w:r w:rsidRPr="00A63F69">
        <w:rPr>
          <w:rFonts w:ascii="Cambria" w:hAnsi="Cambria"/>
          <w:b/>
          <w:i/>
          <w:sz w:val="20"/>
          <w:szCs w:val="20"/>
        </w:rPr>
        <w:t>STF_212/2025.</w:t>
      </w:r>
    </w:p>
    <w:p w14:paraId="25BE3502" w14:textId="77777777" w:rsidR="001A68AB" w:rsidRPr="00A63F69" w:rsidRDefault="001A68AB" w:rsidP="00A63F69">
      <w:pPr>
        <w:tabs>
          <w:tab w:val="left" w:pos="426"/>
        </w:tabs>
        <w:jc w:val="both"/>
        <w:rPr>
          <w:rFonts w:ascii="Cambria" w:hAnsi="Cambria"/>
          <w:bCs/>
          <w:sz w:val="20"/>
          <w:szCs w:val="20"/>
        </w:rPr>
      </w:pPr>
    </w:p>
    <w:p w14:paraId="5F909095" w14:textId="76E2032E" w:rsidR="00152E0C"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8</w:t>
      </w:r>
      <w:r w:rsidRPr="00A63F69">
        <w:rPr>
          <w:rFonts w:ascii="Cambria" w:hAnsi="Cambria"/>
          <w:bCs/>
          <w:i/>
          <w:sz w:val="20"/>
          <w:szCs w:val="20"/>
        </w:rPr>
        <w:t>.</w:t>
      </w:r>
      <w:r w:rsidRPr="00A63F69">
        <w:rPr>
          <w:rFonts w:ascii="Cambria" w:hAnsi="Cambria"/>
          <w:bCs/>
          <w:sz w:val="20"/>
          <w:szCs w:val="20"/>
        </w:rPr>
        <w:tab/>
        <w:t>Información sobre las pensiones del personal y futuras acciones necesarias</w:t>
      </w:r>
    </w:p>
    <w:p w14:paraId="3A77E931" w14:textId="77777777" w:rsidR="00152E0C" w:rsidRPr="00A63F69" w:rsidRDefault="00152E0C" w:rsidP="00A63F69">
      <w:pPr>
        <w:tabs>
          <w:tab w:val="left" w:pos="426"/>
        </w:tabs>
        <w:jc w:val="both"/>
        <w:rPr>
          <w:rFonts w:ascii="Cambria" w:hAnsi="Cambria"/>
          <w:bCs/>
          <w:sz w:val="20"/>
          <w:szCs w:val="20"/>
        </w:rPr>
      </w:pPr>
    </w:p>
    <w:p w14:paraId="778F170E" w14:textId="511E3CE2" w:rsidR="009632D3" w:rsidRPr="00A63F69" w:rsidRDefault="009632D3" w:rsidP="00A63F69">
      <w:pPr>
        <w:tabs>
          <w:tab w:val="left" w:pos="360"/>
        </w:tabs>
        <w:ind w:left="450"/>
        <w:jc w:val="both"/>
        <w:rPr>
          <w:rFonts w:ascii="Cambria" w:hAnsi="Cambria"/>
          <w:bCs/>
          <w:i/>
          <w:iCs/>
          <w:sz w:val="20"/>
          <w:szCs w:val="20"/>
        </w:rPr>
      </w:pPr>
      <w:r w:rsidRPr="00A63F69">
        <w:rPr>
          <w:rFonts w:ascii="Cambria" w:hAnsi="Cambria"/>
          <w:i/>
          <w:sz w:val="20"/>
          <w:szCs w:val="20"/>
        </w:rPr>
        <w:t xml:space="preserve">La Secretaría </w:t>
      </w:r>
      <w:r w:rsidR="00721E75" w:rsidRPr="00A63F69">
        <w:rPr>
          <w:rFonts w:ascii="Cambria" w:hAnsi="Cambria"/>
          <w:i/>
          <w:sz w:val="20"/>
          <w:szCs w:val="20"/>
        </w:rPr>
        <w:t>ha presentado</w:t>
      </w:r>
      <w:r w:rsidRPr="00A63F69">
        <w:rPr>
          <w:rFonts w:ascii="Cambria" w:hAnsi="Cambria"/>
          <w:i/>
          <w:sz w:val="20"/>
          <w:szCs w:val="20"/>
        </w:rPr>
        <w:t xml:space="preserve"> un documento “Modificación del sistema de plan de pensiones en ICCAT: Propuesta para la nueva redacción del Artículo 6 de los Estatutos y reglamento del personal de ICCAT en materia de plan de pensiones” que recoge más información sobre las pensiones del personal y las futuras acciones necesarias al respecto (</w:t>
      </w:r>
      <w:r w:rsidRPr="00A63F69">
        <w:rPr>
          <w:rFonts w:ascii="Cambria" w:hAnsi="Cambria"/>
          <w:b/>
          <w:i/>
          <w:sz w:val="20"/>
          <w:szCs w:val="20"/>
        </w:rPr>
        <w:t>STF_219/2025</w:t>
      </w:r>
      <w:r w:rsidRPr="00A63F69">
        <w:rPr>
          <w:rFonts w:ascii="Cambria" w:hAnsi="Cambria"/>
          <w:i/>
          <w:sz w:val="20"/>
          <w:szCs w:val="20"/>
        </w:rPr>
        <w:t xml:space="preserve">). </w:t>
      </w:r>
    </w:p>
    <w:p w14:paraId="1C45704F" w14:textId="77777777" w:rsidR="001A68AB" w:rsidRPr="00A63F69" w:rsidRDefault="001A68AB" w:rsidP="00A63F69">
      <w:pPr>
        <w:tabs>
          <w:tab w:val="left" w:pos="426"/>
        </w:tabs>
        <w:jc w:val="both"/>
        <w:rPr>
          <w:rFonts w:ascii="Cambria" w:hAnsi="Cambria"/>
          <w:bCs/>
          <w:sz w:val="20"/>
          <w:szCs w:val="20"/>
        </w:rPr>
      </w:pPr>
    </w:p>
    <w:p w14:paraId="2EF25779" w14:textId="78AE0828" w:rsidR="001A68AB" w:rsidRPr="00A63F69" w:rsidRDefault="000D11D4" w:rsidP="00A63F69">
      <w:pPr>
        <w:tabs>
          <w:tab w:val="left" w:pos="426"/>
        </w:tabs>
        <w:ind w:left="450" w:hanging="450"/>
        <w:jc w:val="both"/>
        <w:rPr>
          <w:rFonts w:ascii="Cambria" w:hAnsi="Cambria"/>
          <w:bCs/>
          <w:sz w:val="20"/>
          <w:szCs w:val="20"/>
        </w:rPr>
      </w:pPr>
      <w:r w:rsidRPr="00A63F69">
        <w:rPr>
          <w:rFonts w:ascii="Cambria" w:hAnsi="Cambria"/>
          <w:bCs/>
          <w:sz w:val="20"/>
          <w:szCs w:val="20"/>
        </w:rPr>
        <w:t>9</w:t>
      </w:r>
      <w:r w:rsidRPr="00A63F69">
        <w:rPr>
          <w:rFonts w:ascii="Cambria" w:hAnsi="Cambria"/>
          <w:bCs/>
          <w:i/>
          <w:sz w:val="20"/>
          <w:szCs w:val="20"/>
        </w:rPr>
        <w:t>.</w:t>
      </w:r>
      <w:r w:rsidRPr="00A63F69">
        <w:rPr>
          <w:rFonts w:ascii="Cambria" w:hAnsi="Cambria"/>
          <w:bCs/>
          <w:sz w:val="20"/>
          <w:szCs w:val="20"/>
        </w:rPr>
        <w:tab/>
        <w:t>Consideración de las implicaciones financieras de las medidas de conservación y ordenación de ICCAT propuestas</w:t>
      </w:r>
    </w:p>
    <w:p w14:paraId="22128F75" w14:textId="77777777" w:rsidR="001A68AB" w:rsidRPr="00A63F69" w:rsidRDefault="001A68AB" w:rsidP="00A63F69">
      <w:pPr>
        <w:tabs>
          <w:tab w:val="left" w:pos="426"/>
        </w:tabs>
        <w:jc w:val="both"/>
        <w:rPr>
          <w:rFonts w:ascii="Cambria" w:hAnsi="Cambria"/>
          <w:bCs/>
          <w:sz w:val="20"/>
          <w:szCs w:val="20"/>
        </w:rPr>
      </w:pPr>
    </w:p>
    <w:p w14:paraId="3D162E75" w14:textId="477BDC05" w:rsidR="001A68AB" w:rsidRPr="00A63F69" w:rsidRDefault="001A68AB" w:rsidP="00A63F69">
      <w:pPr>
        <w:tabs>
          <w:tab w:val="left" w:pos="426"/>
        </w:tabs>
        <w:ind w:left="446"/>
        <w:jc w:val="both"/>
        <w:rPr>
          <w:rFonts w:ascii="Cambria" w:hAnsi="Cambria"/>
          <w:bCs/>
          <w:i/>
          <w:sz w:val="20"/>
          <w:szCs w:val="20"/>
        </w:rPr>
      </w:pPr>
      <w:r w:rsidRPr="00A63F69">
        <w:rPr>
          <w:rFonts w:ascii="Cambria" w:hAnsi="Cambria"/>
          <w:i/>
          <w:sz w:val="20"/>
          <w:szCs w:val="20"/>
        </w:rPr>
        <w:t>Tras una decisión de la Comisión en 2019, cada propuesta debería ir acompañada de una estimación de los recursos adicionales necesarios requeridos, especialmente por parte de la Secretaría de ICCAT, para la implementación de cualquier nuevo requisito de comunicación u otras tareas que contenga (</w:t>
      </w:r>
      <w:r w:rsidRPr="00A63F69">
        <w:rPr>
          <w:rFonts w:ascii="Cambria" w:hAnsi="Cambria"/>
          <w:b/>
          <w:i/>
          <w:sz w:val="20"/>
          <w:szCs w:val="20"/>
        </w:rPr>
        <w:t>STF_209/2025</w:t>
      </w:r>
      <w:r w:rsidRPr="00A63F69">
        <w:rPr>
          <w:rFonts w:ascii="Cambria" w:hAnsi="Cambria"/>
          <w:i/>
          <w:sz w:val="20"/>
          <w:szCs w:val="20"/>
        </w:rPr>
        <w:t>).</w:t>
      </w:r>
    </w:p>
    <w:p w14:paraId="730565CB" w14:textId="77777777" w:rsidR="004E7B8E" w:rsidRPr="00A63F69" w:rsidRDefault="004E7B8E" w:rsidP="00A63F69">
      <w:pPr>
        <w:tabs>
          <w:tab w:val="left" w:pos="426"/>
        </w:tabs>
        <w:ind w:left="446"/>
        <w:jc w:val="both"/>
        <w:rPr>
          <w:rFonts w:ascii="Cambria" w:hAnsi="Cambria"/>
          <w:bCs/>
          <w:i/>
          <w:sz w:val="20"/>
          <w:szCs w:val="20"/>
        </w:rPr>
      </w:pPr>
    </w:p>
    <w:p w14:paraId="54D31829" w14:textId="7D79F00F" w:rsidR="004E7B8E" w:rsidRPr="00A63F69" w:rsidRDefault="004E7B8E" w:rsidP="00A63F69">
      <w:pPr>
        <w:tabs>
          <w:tab w:val="left" w:pos="450"/>
        </w:tabs>
        <w:jc w:val="both"/>
        <w:rPr>
          <w:rFonts w:ascii="Cambria" w:hAnsi="Cambria"/>
          <w:bCs/>
          <w:iCs/>
          <w:sz w:val="20"/>
          <w:szCs w:val="20"/>
        </w:rPr>
      </w:pPr>
      <w:r w:rsidRPr="00A63F69">
        <w:rPr>
          <w:rFonts w:ascii="Cambria" w:hAnsi="Cambria"/>
          <w:bCs/>
          <w:sz w:val="20"/>
          <w:szCs w:val="20"/>
        </w:rPr>
        <w:t>10.  Examen del Fondo de operaciones</w:t>
      </w:r>
    </w:p>
    <w:p w14:paraId="1E702BF2" w14:textId="77777777" w:rsidR="004E7B8E" w:rsidRPr="00A63F69" w:rsidRDefault="004E7B8E" w:rsidP="00A63F69">
      <w:pPr>
        <w:tabs>
          <w:tab w:val="left" w:pos="450"/>
        </w:tabs>
        <w:ind w:left="446"/>
        <w:jc w:val="both"/>
        <w:rPr>
          <w:rFonts w:ascii="Cambria" w:hAnsi="Cambria"/>
          <w:bCs/>
          <w:sz w:val="20"/>
          <w:szCs w:val="20"/>
        </w:rPr>
      </w:pPr>
    </w:p>
    <w:p w14:paraId="47E8BEF4" w14:textId="26E7DFF1" w:rsidR="004E7B8E" w:rsidRPr="00A63F69" w:rsidRDefault="004E7B8E" w:rsidP="00A63F69">
      <w:pPr>
        <w:tabs>
          <w:tab w:val="left" w:pos="450"/>
        </w:tabs>
        <w:ind w:left="446"/>
        <w:jc w:val="both"/>
        <w:rPr>
          <w:rFonts w:ascii="Cambria" w:hAnsi="Cambria"/>
          <w:bCs/>
          <w:i/>
          <w:sz w:val="20"/>
          <w:szCs w:val="20"/>
        </w:rPr>
      </w:pPr>
      <w:r w:rsidRPr="00A63F69">
        <w:rPr>
          <w:rFonts w:ascii="Cambria" w:hAnsi="Cambria"/>
          <w:i/>
          <w:sz w:val="20"/>
          <w:szCs w:val="20"/>
        </w:rPr>
        <w:t xml:space="preserve"> La presidenta del STACFAD informará de la Propuesta para la Gestión del Fondo de operaciones (</w:t>
      </w:r>
      <w:r w:rsidRPr="00A63F69">
        <w:rPr>
          <w:rFonts w:ascii="Cambria" w:hAnsi="Cambria"/>
          <w:b/>
          <w:i/>
          <w:sz w:val="20"/>
          <w:szCs w:val="20"/>
        </w:rPr>
        <w:t>STF-217/2025</w:t>
      </w:r>
      <w:r w:rsidRPr="00A63F69">
        <w:rPr>
          <w:rFonts w:ascii="Cambria" w:hAnsi="Cambria"/>
          <w:i/>
          <w:sz w:val="20"/>
          <w:szCs w:val="20"/>
        </w:rPr>
        <w:t>), estando disponible además</w:t>
      </w:r>
      <w:r w:rsidRPr="00A63F69">
        <w:rPr>
          <w:rFonts w:ascii="Cambria" w:hAnsi="Cambria"/>
          <w:b/>
          <w:i/>
          <w:sz w:val="20"/>
          <w:szCs w:val="20"/>
        </w:rPr>
        <w:t xml:space="preserve"> </w:t>
      </w:r>
      <w:r w:rsidRPr="00A63F69">
        <w:rPr>
          <w:rFonts w:ascii="Cambria" w:hAnsi="Cambria"/>
          <w:i/>
          <w:sz w:val="20"/>
          <w:szCs w:val="20"/>
        </w:rPr>
        <w:t>la situación actual del Fondo de operaciones de ICCAT en el documento (</w:t>
      </w:r>
      <w:r w:rsidRPr="00A63F69">
        <w:rPr>
          <w:rFonts w:ascii="Cambria" w:hAnsi="Cambria"/>
          <w:b/>
          <w:i/>
          <w:sz w:val="20"/>
          <w:szCs w:val="20"/>
        </w:rPr>
        <w:t>STF_207/2025</w:t>
      </w:r>
      <w:r w:rsidRPr="00A63F69">
        <w:rPr>
          <w:rFonts w:ascii="Cambria" w:hAnsi="Cambria"/>
          <w:i/>
          <w:sz w:val="20"/>
          <w:szCs w:val="20"/>
        </w:rPr>
        <w:t>).</w:t>
      </w:r>
    </w:p>
    <w:p w14:paraId="190F1E13" w14:textId="46F26970" w:rsidR="004E7B8E" w:rsidRPr="00A63F69" w:rsidRDefault="004E7B8E" w:rsidP="00A63F69">
      <w:pPr>
        <w:tabs>
          <w:tab w:val="left" w:pos="426"/>
        </w:tabs>
        <w:jc w:val="both"/>
        <w:rPr>
          <w:rFonts w:ascii="Cambria" w:hAnsi="Cambria"/>
          <w:bCs/>
          <w:i/>
          <w:iCs/>
          <w:sz w:val="20"/>
          <w:szCs w:val="20"/>
        </w:rPr>
      </w:pPr>
    </w:p>
    <w:p w14:paraId="1D46D9B7" w14:textId="48129AFF"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11</w:t>
      </w:r>
      <w:r w:rsidRPr="00A63F69">
        <w:rPr>
          <w:rFonts w:ascii="Cambria" w:hAnsi="Cambria"/>
          <w:bCs/>
          <w:i/>
          <w:sz w:val="20"/>
          <w:szCs w:val="20"/>
        </w:rPr>
        <w:t>.</w:t>
      </w:r>
      <w:r w:rsidRPr="00A63F69">
        <w:rPr>
          <w:rFonts w:ascii="Cambria" w:hAnsi="Cambria"/>
          <w:bCs/>
          <w:sz w:val="20"/>
          <w:szCs w:val="20"/>
        </w:rPr>
        <w:tab/>
        <w:t>Presupuesto y contribuciones de las Partes contratantes para 2026/2027</w:t>
      </w:r>
    </w:p>
    <w:p w14:paraId="421B0D15" w14:textId="77777777" w:rsidR="001A68AB" w:rsidRPr="00A63F69" w:rsidRDefault="001A68AB" w:rsidP="00A63F69">
      <w:pPr>
        <w:tabs>
          <w:tab w:val="left" w:pos="426"/>
        </w:tabs>
        <w:jc w:val="both"/>
        <w:rPr>
          <w:rFonts w:ascii="Cambria" w:hAnsi="Cambria"/>
          <w:bCs/>
          <w:sz w:val="20"/>
          <w:szCs w:val="20"/>
        </w:rPr>
      </w:pPr>
    </w:p>
    <w:p w14:paraId="22D1C309" w14:textId="098828B7" w:rsidR="001A68AB" w:rsidRPr="00A63F69" w:rsidRDefault="001A68AB" w:rsidP="00A63F69">
      <w:pPr>
        <w:tabs>
          <w:tab w:val="left" w:pos="426"/>
        </w:tabs>
        <w:ind w:left="450"/>
        <w:jc w:val="both"/>
        <w:rPr>
          <w:rFonts w:ascii="Cambria" w:hAnsi="Cambria"/>
          <w:i/>
          <w:sz w:val="20"/>
          <w:szCs w:val="20"/>
        </w:rPr>
      </w:pPr>
      <w:r w:rsidRPr="00A63F69">
        <w:rPr>
          <w:rFonts w:ascii="Cambria" w:hAnsi="Cambria"/>
          <w:i/>
          <w:sz w:val="20"/>
          <w:szCs w:val="20"/>
        </w:rPr>
        <w:t xml:space="preserve">El Proyecto de presupuesto </w:t>
      </w:r>
      <w:r w:rsidR="00534C59" w:rsidRPr="00A63F69">
        <w:rPr>
          <w:rFonts w:ascii="Cambria" w:hAnsi="Cambria"/>
          <w:i/>
          <w:sz w:val="20"/>
          <w:szCs w:val="20"/>
        </w:rPr>
        <w:t xml:space="preserve">de ICCAT para los ejercicios 2026-2027 </w:t>
      </w:r>
      <w:r w:rsidRPr="00A63F69">
        <w:rPr>
          <w:rFonts w:ascii="Cambria" w:hAnsi="Cambria"/>
          <w:i/>
          <w:sz w:val="20"/>
          <w:szCs w:val="20"/>
        </w:rPr>
        <w:t xml:space="preserve">se distribuyó con antelación y está disponible en el documento </w:t>
      </w:r>
      <w:r w:rsidRPr="00A63F69">
        <w:rPr>
          <w:rFonts w:ascii="Cambria" w:hAnsi="Cambria"/>
          <w:b/>
          <w:i/>
          <w:sz w:val="20"/>
          <w:szCs w:val="20"/>
        </w:rPr>
        <w:t>STF_203</w:t>
      </w:r>
      <w:r w:rsidR="00534C59"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 xml:space="preserve">. El presupuesto </w:t>
      </w:r>
      <w:r w:rsidR="00007917" w:rsidRPr="00A63F69">
        <w:rPr>
          <w:rFonts w:ascii="Cambria" w:hAnsi="Cambria"/>
          <w:i/>
          <w:sz w:val="20"/>
          <w:szCs w:val="20"/>
        </w:rPr>
        <w:t xml:space="preserve">del sistema eBCD para los ejercicios 2026 y 2027 </w:t>
      </w:r>
      <w:r w:rsidRPr="00A63F69">
        <w:rPr>
          <w:rFonts w:ascii="Cambria" w:hAnsi="Cambria"/>
          <w:i/>
          <w:sz w:val="20"/>
          <w:szCs w:val="20"/>
        </w:rPr>
        <w:t xml:space="preserve">también se distribuyó con 60 días de antelación y se ha distribuido como </w:t>
      </w:r>
      <w:r w:rsidRPr="00A63F69">
        <w:rPr>
          <w:rFonts w:ascii="Cambria" w:hAnsi="Cambria"/>
          <w:b/>
          <w:i/>
          <w:sz w:val="20"/>
          <w:szCs w:val="20"/>
        </w:rPr>
        <w:t>STF_204/2025</w:t>
      </w:r>
      <w:r w:rsidRPr="00A63F69">
        <w:rPr>
          <w:rFonts w:ascii="Cambria" w:hAnsi="Cambria"/>
          <w:i/>
          <w:sz w:val="20"/>
          <w:szCs w:val="20"/>
        </w:rPr>
        <w:t>.</w:t>
      </w:r>
    </w:p>
    <w:p w14:paraId="5853C288" w14:textId="77777777" w:rsidR="001A68AB" w:rsidRPr="00A63F69" w:rsidRDefault="001A68AB" w:rsidP="00A63F69">
      <w:pPr>
        <w:tabs>
          <w:tab w:val="left" w:pos="426"/>
        </w:tabs>
        <w:jc w:val="both"/>
        <w:rPr>
          <w:rFonts w:ascii="Cambria" w:hAnsi="Cambria"/>
          <w:bCs/>
          <w:sz w:val="20"/>
          <w:szCs w:val="20"/>
        </w:rPr>
      </w:pPr>
    </w:p>
    <w:p w14:paraId="205ACFB2" w14:textId="59A05C87"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12</w:t>
      </w:r>
      <w:r w:rsidRPr="00A63F69">
        <w:rPr>
          <w:rFonts w:ascii="Cambria" w:hAnsi="Cambria"/>
          <w:bCs/>
          <w:i/>
          <w:sz w:val="20"/>
          <w:szCs w:val="20"/>
        </w:rPr>
        <w:t>.</w:t>
      </w:r>
      <w:r w:rsidRPr="00A63F69">
        <w:rPr>
          <w:rFonts w:ascii="Cambria" w:hAnsi="Cambria"/>
          <w:bCs/>
          <w:sz w:val="20"/>
          <w:szCs w:val="20"/>
        </w:rPr>
        <w:tab/>
        <w:t>Elección del presidente y del posible vicepresidente</w:t>
      </w:r>
    </w:p>
    <w:p w14:paraId="56DEB5E8" w14:textId="77777777" w:rsidR="001A68AB" w:rsidRPr="00A63F69" w:rsidRDefault="001A68AB" w:rsidP="00A63F69">
      <w:pPr>
        <w:tabs>
          <w:tab w:val="left" w:pos="426"/>
        </w:tabs>
        <w:jc w:val="both"/>
        <w:rPr>
          <w:rFonts w:ascii="Cambria" w:hAnsi="Cambria"/>
          <w:bCs/>
          <w:sz w:val="20"/>
          <w:szCs w:val="20"/>
        </w:rPr>
      </w:pPr>
    </w:p>
    <w:p w14:paraId="38F561BE" w14:textId="5B7055FC" w:rsidR="001A68AB" w:rsidRPr="00A63F69" w:rsidRDefault="001A68AB" w:rsidP="00A63F69">
      <w:pPr>
        <w:tabs>
          <w:tab w:val="left" w:pos="426"/>
        </w:tabs>
        <w:jc w:val="both"/>
        <w:rPr>
          <w:rFonts w:ascii="Cambria" w:hAnsi="Cambria"/>
          <w:bCs/>
          <w:sz w:val="20"/>
          <w:szCs w:val="20"/>
        </w:rPr>
      </w:pPr>
      <w:r w:rsidRPr="00A63F69">
        <w:rPr>
          <w:rFonts w:ascii="Cambria" w:hAnsi="Cambria"/>
          <w:i/>
          <w:sz w:val="20"/>
          <w:szCs w:val="20"/>
        </w:rPr>
        <w:tab/>
        <w:t>El STACFAD elegirá un presidente y posible vicepresidente para el periodo bienal de 2026/2027.</w:t>
      </w:r>
    </w:p>
    <w:p w14:paraId="38B39568" w14:textId="77777777" w:rsidR="001A68AB" w:rsidRPr="00A63F69" w:rsidRDefault="001A68AB" w:rsidP="00A63F69">
      <w:pPr>
        <w:tabs>
          <w:tab w:val="left" w:pos="426"/>
        </w:tabs>
        <w:jc w:val="both"/>
        <w:rPr>
          <w:rFonts w:ascii="Cambria" w:hAnsi="Cambria"/>
          <w:bCs/>
          <w:sz w:val="20"/>
          <w:szCs w:val="20"/>
        </w:rPr>
      </w:pPr>
    </w:p>
    <w:p w14:paraId="5C779963" w14:textId="258104F9"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13</w:t>
      </w:r>
      <w:r w:rsidRPr="00A63F69">
        <w:rPr>
          <w:rFonts w:ascii="Cambria" w:hAnsi="Cambria"/>
          <w:bCs/>
          <w:i/>
          <w:sz w:val="20"/>
          <w:szCs w:val="20"/>
        </w:rPr>
        <w:t>.</w:t>
      </w:r>
      <w:r w:rsidRPr="00A63F69">
        <w:rPr>
          <w:rFonts w:ascii="Cambria" w:hAnsi="Cambria"/>
          <w:bCs/>
          <w:sz w:val="20"/>
          <w:szCs w:val="20"/>
        </w:rPr>
        <w:tab/>
        <w:t>Otros asuntos</w:t>
      </w:r>
    </w:p>
    <w:p w14:paraId="108F20C8" w14:textId="77777777" w:rsidR="003426C8" w:rsidRPr="00A63F69" w:rsidRDefault="003426C8" w:rsidP="00A63F69">
      <w:pPr>
        <w:tabs>
          <w:tab w:val="left" w:pos="426"/>
        </w:tabs>
        <w:jc w:val="both"/>
        <w:rPr>
          <w:rFonts w:ascii="Cambria" w:hAnsi="Cambria"/>
          <w:bCs/>
          <w:sz w:val="20"/>
          <w:szCs w:val="20"/>
        </w:rPr>
      </w:pPr>
    </w:p>
    <w:p w14:paraId="787CF136" w14:textId="6DA31A22" w:rsidR="003426C8" w:rsidRPr="00A63F69" w:rsidRDefault="003426C8" w:rsidP="00A63F69">
      <w:pPr>
        <w:tabs>
          <w:tab w:val="left" w:pos="426"/>
        </w:tabs>
        <w:ind w:left="426"/>
        <w:jc w:val="both"/>
        <w:rPr>
          <w:rFonts w:ascii="Cambria" w:hAnsi="Cambria"/>
          <w:bCs/>
          <w:iCs/>
          <w:sz w:val="20"/>
          <w:szCs w:val="20"/>
        </w:rPr>
      </w:pPr>
      <w:r w:rsidRPr="00A63F69">
        <w:rPr>
          <w:rFonts w:ascii="Cambria" w:hAnsi="Cambria"/>
          <w:bCs/>
          <w:iCs/>
          <w:sz w:val="20"/>
          <w:szCs w:val="20"/>
        </w:rPr>
        <w:t>13.1 Consideración sobre la necesidad de celebrar alguna reunión intersesiones en 2026 del Grupo de trabajo virtual sobre una posición financiera sostenible para ICCAT (VWG-</w:t>
      </w:r>
      <w:proofErr w:type="spellStart"/>
      <w:r w:rsidRPr="00A63F69">
        <w:rPr>
          <w:rFonts w:ascii="Cambria" w:hAnsi="Cambria"/>
          <w:bCs/>
          <w:iCs/>
          <w:sz w:val="20"/>
          <w:szCs w:val="20"/>
        </w:rPr>
        <w:t>SF</w:t>
      </w:r>
      <w:proofErr w:type="spellEnd"/>
      <w:r w:rsidRPr="00A63F69">
        <w:rPr>
          <w:rFonts w:ascii="Cambria" w:hAnsi="Cambria"/>
          <w:bCs/>
          <w:iCs/>
          <w:sz w:val="20"/>
          <w:szCs w:val="20"/>
        </w:rPr>
        <w:t>)</w:t>
      </w:r>
    </w:p>
    <w:p w14:paraId="7E98F9A1" w14:textId="77777777" w:rsidR="00C12426" w:rsidRPr="00A63F69" w:rsidRDefault="00C12426" w:rsidP="00A63F69">
      <w:pPr>
        <w:tabs>
          <w:tab w:val="left" w:pos="426"/>
        </w:tabs>
        <w:jc w:val="both"/>
        <w:rPr>
          <w:rFonts w:ascii="Cambria" w:hAnsi="Cambria"/>
          <w:bCs/>
          <w:iCs/>
          <w:sz w:val="20"/>
          <w:szCs w:val="20"/>
        </w:rPr>
      </w:pPr>
    </w:p>
    <w:p w14:paraId="65C262E5" w14:textId="252E7D98" w:rsidR="008B3DC1" w:rsidRPr="00A63F69" w:rsidRDefault="008B3DC1" w:rsidP="00A63F69">
      <w:pPr>
        <w:tabs>
          <w:tab w:val="left" w:pos="426"/>
        </w:tabs>
        <w:ind w:left="426"/>
        <w:jc w:val="both"/>
        <w:rPr>
          <w:rFonts w:ascii="Cambria" w:hAnsi="Cambria"/>
          <w:bCs/>
          <w:iCs/>
          <w:sz w:val="20"/>
          <w:szCs w:val="20"/>
        </w:rPr>
      </w:pPr>
      <w:r w:rsidRPr="00A63F69">
        <w:rPr>
          <w:rFonts w:ascii="Cambria" w:hAnsi="Cambria"/>
          <w:bCs/>
          <w:iCs/>
          <w:sz w:val="20"/>
          <w:szCs w:val="20"/>
        </w:rPr>
        <w:t>13.2 Consideraciones sobre el uso de otras estadísticas sobre la captura y enlatado de túnidos para el cálculo de contribuciones de las CPC</w:t>
      </w:r>
    </w:p>
    <w:p w14:paraId="7D54803A" w14:textId="77777777" w:rsidR="008B3DC1" w:rsidRPr="00A63F69" w:rsidRDefault="008B3DC1" w:rsidP="00A63F69">
      <w:pPr>
        <w:tabs>
          <w:tab w:val="left" w:pos="426"/>
        </w:tabs>
        <w:jc w:val="both"/>
        <w:rPr>
          <w:rFonts w:ascii="Cambria" w:hAnsi="Cambria"/>
          <w:bCs/>
          <w:sz w:val="20"/>
          <w:szCs w:val="20"/>
        </w:rPr>
      </w:pPr>
    </w:p>
    <w:p w14:paraId="3243CCAB" w14:textId="69598113" w:rsidR="004E6F3B" w:rsidRPr="00A63F69" w:rsidRDefault="00D72773" w:rsidP="00A63F69">
      <w:pPr>
        <w:tabs>
          <w:tab w:val="left" w:pos="426"/>
        </w:tabs>
        <w:ind w:left="426"/>
        <w:jc w:val="both"/>
        <w:rPr>
          <w:rFonts w:ascii="Cambria" w:hAnsi="Cambria"/>
          <w:i/>
          <w:iCs/>
          <w:sz w:val="20"/>
          <w:szCs w:val="20"/>
        </w:rPr>
      </w:pPr>
      <w:r w:rsidRPr="00A63F69">
        <w:rPr>
          <w:rFonts w:ascii="Cambria" w:hAnsi="Cambria"/>
          <w:i/>
          <w:sz w:val="20"/>
          <w:szCs w:val="20"/>
        </w:rPr>
        <w:t>La Secretaría presentará una propuesta a la Comisión de la fuente a utilizar para la obtención de los datos en relación con las estadísticas sobre capturas y conservas de túnidos requeridas para el cálculo de la contribución (</w:t>
      </w:r>
      <w:r w:rsidRPr="00A63F69">
        <w:rPr>
          <w:rFonts w:ascii="Cambria" w:hAnsi="Cambria"/>
          <w:b/>
          <w:i/>
          <w:sz w:val="20"/>
          <w:szCs w:val="20"/>
        </w:rPr>
        <w:t>STF_208/2025</w:t>
      </w:r>
      <w:r w:rsidRPr="00A63F69">
        <w:rPr>
          <w:rFonts w:ascii="Cambria" w:hAnsi="Cambria"/>
          <w:i/>
          <w:sz w:val="20"/>
          <w:szCs w:val="20"/>
        </w:rPr>
        <w:t>).</w:t>
      </w:r>
    </w:p>
    <w:p w14:paraId="7344464D" w14:textId="77777777" w:rsidR="001A68AB" w:rsidRPr="00A63F69" w:rsidRDefault="001A68AB" w:rsidP="00A63F69">
      <w:pPr>
        <w:tabs>
          <w:tab w:val="left" w:pos="426"/>
        </w:tabs>
        <w:jc w:val="both"/>
        <w:rPr>
          <w:rFonts w:ascii="Cambria" w:hAnsi="Cambria"/>
          <w:bCs/>
          <w:sz w:val="20"/>
          <w:szCs w:val="20"/>
        </w:rPr>
      </w:pPr>
    </w:p>
    <w:p w14:paraId="366CEE94" w14:textId="257E9B35"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14</w:t>
      </w:r>
      <w:r w:rsidRPr="00A63F69">
        <w:rPr>
          <w:rFonts w:ascii="Cambria" w:hAnsi="Cambria"/>
          <w:bCs/>
          <w:i/>
          <w:sz w:val="20"/>
          <w:szCs w:val="20"/>
        </w:rPr>
        <w:t>.</w:t>
      </w:r>
      <w:r w:rsidRPr="00A63F69">
        <w:rPr>
          <w:rFonts w:ascii="Cambria" w:hAnsi="Cambria"/>
          <w:bCs/>
          <w:sz w:val="20"/>
          <w:szCs w:val="20"/>
        </w:rPr>
        <w:tab/>
        <w:t>Adopción del informe y clausura</w:t>
      </w:r>
    </w:p>
    <w:p w14:paraId="0C09876C" w14:textId="77777777" w:rsidR="001A68AB" w:rsidRPr="00A63F69" w:rsidRDefault="001A68AB" w:rsidP="00A63F69">
      <w:pPr>
        <w:jc w:val="both"/>
        <w:rPr>
          <w:rFonts w:ascii="Cambria" w:hAnsi="Cambria"/>
          <w:bCs/>
          <w:i/>
          <w:iCs/>
          <w:sz w:val="20"/>
          <w:szCs w:val="20"/>
        </w:rPr>
      </w:pPr>
      <w:r w:rsidRPr="00A63F69">
        <w:rPr>
          <w:rFonts w:ascii="Cambria" w:hAnsi="Cambria"/>
          <w:sz w:val="20"/>
          <w:szCs w:val="20"/>
        </w:rPr>
        <w:br w:type="page"/>
      </w:r>
    </w:p>
    <w:p w14:paraId="3CBE28AB" w14:textId="77777777" w:rsidR="002A70B6" w:rsidRPr="00A63F69" w:rsidRDefault="002A70B6" w:rsidP="00A63F69">
      <w:pPr>
        <w:tabs>
          <w:tab w:val="left" w:pos="300"/>
        </w:tabs>
        <w:jc w:val="center"/>
        <w:rPr>
          <w:rFonts w:ascii="Cambria" w:hAnsi="Cambria"/>
          <w:b/>
          <w:bCs/>
          <w:iCs/>
          <w:sz w:val="20"/>
          <w:szCs w:val="20"/>
        </w:rPr>
      </w:pPr>
      <w:r w:rsidRPr="00A63F69">
        <w:rPr>
          <w:rFonts w:ascii="Cambria" w:hAnsi="Cambria"/>
          <w:b/>
          <w:sz w:val="20"/>
          <w:szCs w:val="20"/>
        </w:rPr>
        <w:t>Subcomisión 1</w:t>
      </w:r>
    </w:p>
    <w:p w14:paraId="662B0CD3" w14:textId="77777777" w:rsidR="002A70B6" w:rsidRPr="00A63F69" w:rsidRDefault="002A70B6" w:rsidP="00A63F69">
      <w:pPr>
        <w:tabs>
          <w:tab w:val="left" w:pos="300"/>
        </w:tabs>
        <w:jc w:val="both"/>
        <w:rPr>
          <w:rFonts w:ascii="Cambria" w:hAnsi="Cambria"/>
          <w:sz w:val="20"/>
          <w:szCs w:val="20"/>
        </w:rPr>
      </w:pPr>
    </w:p>
    <w:p w14:paraId="1C97D94A" w14:textId="77777777" w:rsidR="002A70B6" w:rsidRPr="00A63F69" w:rsidRDefault="002A70B6" w:rsidP="00A63F69">
      <w:pPr>
        <w:tabs>
          <w:tab w:val="left" w:pos="300"/>
        </w:tabs>
        <w:jc w:val="both"/>
        <w:rPr>
          <w:rFonts w:ascii="Cambria" w:hAnsi="Cambria"/>
          <w:sz w:val="20"/>
          <w:szCs w:val="20"/>
        </w:rPr>
      </w:pPr>
    </w:p>
    <w:p w14:paraId="0877AF2C"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Apertura de la reunión</w:t>
      </w:r>
    </w:p>
    <w:p w14:paraId="7287E2CE" w14:textId="77777777" w:rsidR="002A70B6" w:rsidRPr="00A63F69" w:rsidRDefault="002A70B6" w:rsidP="00A63F69">
      <w:pPr>
        <w:tabs>
          <w:tab w:val="left" w:pos="426"/>
        </w:tabs>
        <w:jc w:val="both"/>
        <w:rPr>
          <w:rFonts w:ascii="Cambria" w:hAnsi="Cambria"/>
          <w:sz w:val="20"/>
          <w:szCs w:val="20"/>
          <w:lang w:val="en-GB"/>
        </w:rPr>
      </w:pPr>
    </w:p>
    <w:p w14:paraId="6214DF09" w14:textId="77777777" w:rsidR="002A70B6" w:rsidRPr="00A63F69" w:rsidRDefault="002A70B6" w:rsidP="00A63F69">
      <w:pPr>
        <w:tabs>
          <w:tab w:val="left" w:pos="426"/>
        </w:tabs>
        <w:jc w:val="both"/>
        <w:rPr>
          <w:rFonts w:ascii="Cambria" w:hAnsi="Cambria"/>
          <w:i/>
          <w:iCs/>
          <w:sz w:val="20"/>
          <w:szCs w:val="20"/>
        </w:rPr>
      </w:pPr>
      <w:r w:rsidRPr="00A63F69">
        <w:rPr>
          <w:rFonts w:ascii="Cambria" w:hAnsi="Cambria"/>
          <w:i/>
          <w:sz w:val="20"/>
          <w:szCs w:val="20"/>
        </w:rPr>
        <w:tab/>
        <w:t xml:space="preserve">El Sr. Emmanuel </w:t>
      </w:r>
      <w:proofErr w:type="spellStart"/>
      <w:r w:rsidRPr="00A63F69">
        <w:rPr>
          <w:rFonts w:ascii="Cambria" w:hAnsi="Cambria"/>
          <w:i/>
          <w:sz w:val="20"/>
          <w:szCs w:val="20"/>
        </w:rPr>
        <w:t>Kwame</w:t>
      </w:r>
      <w:proofErr w:type="spellEnd"/>
      <w:r w:rsidRPr="00A63F69">
        <w:rPr>
          <w:rFonts w:ascii="Cambria" w:hAnsi="Cambria"/>
          <w:i/>
          <w:sz w:val="20"/>
          <w:szCs w:val="20"/>
        </w:rPr>
        <w:t xml:space="preserve"> </w:t>
      </w:r>
      <w:proofErr w:type="spellStart"/>
      <w:r w:rsidRPr="00A63F69">
        <w:rPr>
          <w:rFonts w:ascii="Cambria" w:hAnsi="Cambria"/>
          <w:i/>
          <w:sz w:val="20"/>
          <w:szCs w:val="20"/>
        </w:rPr>
        <w:t>Dovlo</w:t>
      </w:r>
      <w:proofErr w:type="spellEnd"/>
      <w:r w:rsidRPr="00A63F69">
        <w:rPr>
          <w:rFonts w:ascii="Cambria" w:hAnsi="Cambria"/>
          <w:i/>
          <w:sz w:val="20"/>
          <w:szCs w:val="20"/>
        </w:rPr>
        <w:t xml:space="preserve"> (Ghana), presidente de la Subcomisión 1, inaugurará la reunión.</w:t>
      </w:r>
    </w:p>
    <w:p w14:paraId="55BD532E" w14:textId="77777777" w:rsidR="002A70B6" w:rsidRPr="00A63F69" w:rsidRDefault="002A70B6" w:rsidP="00A63F69">
      <w:pPr>
        <w:tabs>
          <w:tab w:val="left" w:pos="426"/>
        </w:tabs>
        <w:jc w:val="both"/>
        <w:rPr>
          <w:rFonts w:ascii="Cambria" w:hAnsi="Cambria"/>
          <w:sz w:val="20"/>
          <w:szCs w:val="20"/>
        </w:rPr>
      </w:pPr>
    </w:p>
    <w:p w14:paraId="5B2CEFAA"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 xml:space="preserve">Nombramiento del relator </w:t>
      </w:r>
    </w:p>
    <w:p w14:paraId="65F3326F" w14:textId="77777777" w:rsidR="002A70B6" w:rsidRPr="00A63F69" w:rsidRDefault="002A70B6" w:rsidP="00A63F69">
      <w:pPr>
        <w:tabs>
          <w:tab w:val="left" w:pos="426"/>
        </w:tabs>
        <w:jc w:val="both"/>
        <w:rPr>
          <w:rFonts w:ascii="Cambria" w:hAnsi="Cambria"/>
          <w:sz w:val="20"/>
          <w:szCs w:val="20"/>
          <w:lang w:val="en-GB"/>
        </w:rPr>
      </w:pPr>
    </w:p>
    <w:p w14:paraId="3DE2B8D2"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Adopción del orden del día</w:t>
      </w:r>
    </w:p>
    <w:p w14:paraId="3DD92ABA" w14:textId="77777777" w:rsidR="002A70B6" w:rsidRPr="00A63F69" w:rsidRDefault="002A70B6" w:rsidP="00A63F69">
      <w:pPr>
        <w:pStyle w:val="ListParagraph"/>
        <w:jc w:val="both"/>
        <w:rPr>
          <w:rFonts w:ascii="Cambria" w:hAnsi="Cambria"/>
          <w:sz w:val="20"/>
          <w:szCs w:val="20"/>
          <w:lang w:val="en-GB"/>
        </w:rPr>
      </w:pPr>
    </w:p>
    <w:p w14:paraId="4F4904A0" w14:textId="77777777" w:rsidR="002A70B6" w:rsidRPr="00A63F69" w:rsidRDefault="002A70B6" w:rsidP="00A63F69">
      <w:pPr>
        <w:ind w:firstLine="360"/>
        <w:jc w:val="both"/>
        <w:rPr>
          <w:rFonts w:ascii="Cambria" w:hAnsi="Cambria"/>
          <w:sz w:val="20"/>
          <w:szCs w:val="20"/>
        </w:rPr>
      </w:pPr>
      <w:r w:rsidRPr="00A63F69">
        <w:rPr>
          <w:rFonts w:ascii="Cambria" w:hAnsi="Cambria"/>
          <w:i/>
          <w:sz w:val="20"/>
          <w:szCs w:val="20"/>
        </w:rPr>
        <w:t xml:space="preserve">El orden del día de la Subcomisión 1 está disponible como </w:t>
      </w:r>
      <w:r w:rsidRPr="00A63F69">
        <w:rPr>
          <w:rFonts w:ascii="Cambria" w:hAnsi="Cambria"/>
          <w:b/>
          <w:bCs/>
          <w:i/>
          <w:sz w:val="20"/>
          <w:szCs w:val="20"/>
        </w:rPr>
        <w:t>PA1-500/2025</w:t>
      </w:r>
      <w:r w:rsidRPr="00A63F69">
        <w:rPr>
          <w:rFonts w:ascii="Cambria" w:hAnsi="Cambria"/>
          <w:i/>
          <w:sz w:val="20"/>
          <w:szCs w:val="20"/>
        </w:rPr>
        <w:t>.</w:t>
      </w:r>
    </w:p>
    <w:p w14:paraId="3F434CE9" w14:textId="77777777" w:rsidR="002A70B6" w:rsidRPr="00A63F69" w:rsidRDefault="002A70B6" w:rsidP="00A63F69">
      <w:pPr>
        <w:tabs>
          <w:tab w:val="left" w:pos="426"/>
        </w:tabs>
        <w:jc w:val="both"/>
        <w:rPr>
          <w:rFonts w:ascii="Cambria" w:hAnsi="Cambria"/>
          <w:sz w:val="20"/>
          <w:szCs w:val="20"/>
        </w:rPr>
      </w:pPr>
    </w:p>
    <w:p w14:paraId="13EA57DF"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Examen de los miembros de la Subcomisión</w:t>
      </w:r>
    </w:p>
    <w:p w14:paraId="2039B598" w14:textId="77777777" w:rsidR="002A70B6" w:rsidRPr="00A63F69" w:rsidRDefault="002A70B6" w:rsidP="00A63F69">
      <w:pPr>
        <w:tabs>
          <w:tab w:val="left" w:pos="426"/>
        </w:tabs>
        <w:jc w:val="both"/>
        <w:rPr>
          <w:rFonts w:ascii="Cambria" w:hAnsi="Cambria"/>
          <w:sz w:val="20"/>
          <w:szCs w:val="20"/>
        </w:rPr>
      </w:pPr>
    </w:p>
    <w:p w14:paraId="60F848CE" w14:textId="77777777" w:rsidR="002A70B6" w:rsidRPr="00A63F69" w:rsidRDefault="002A70B6" w:rsidP="00A63F69">
      <w:pPr>
        <w:ind w:left="360"/>
        <w:jc w:val="both"/>
        <w:rPr>
          <w:rFonts w:ascii="Cambria" w:hAnsi="Cambria"/>
          <w:sz w:val="20"/>
          <w:szCs w:val="20"/>
        </w:rPr>
      </w:pPr>
      <w:r w:rsidRPr="00A63F69">
        <w:rPr>
          <w:rFonts w:ascii="Cambria" w:hAnsi="Cambria"/>
          <w:i/>
          <w:sz w:val="20"/>
          <w:szCs w:val="20"/>
        </w:rPr>
        <w:t xml:space="preserve">Puede consultarse información detallada en el documento </w:t>
      </w:r>
      <w:r w:rsidRPr="00A63F69">
        <w:rPr>
          <w:rFonts w:ascii="Cambria" w:hAnsi="Cambria"/>
          <w:b/>
          <w:bCs/>
          <w:i/>
          <w:sz w:val="20"/>
          <w:szCs w:val="20"/>
        </w:rPr>
        <w:t>GEN-004/2025</w:t>
      </w:r>
      <w:r w:rsidRPr="00A63F69">
        <w:rPr>
          <w:rFonts w:ascii="Cambria" w:hAnsi="Cambria"/>
          <w:i/>
          <w:sz w:val="20"/>
          <w:szCs w:val="20"/>
        </w:rPr>
        <w:t>. El secretario ejecutivo comunicará a la Subcomisión cualquier cambio en sus miembros.</w:t>
      </w:r>
    </w:p>
    <w:p w14:paraId="300DF6B5" w14:textId="77777777" w:rsidR="002A70B6" w:rsidRPr="00A63F69" w:rsidRDefault="002A70B6" w:rsidP="00A63F69">
      <w:pPr>
        <w:tabs>
          <w:tab w:val="left" w:pos="426"/>
        </w:tabs>
        <w:jc w:val="both"/>
        <w:rPr>
          <w:rFonts w:ascii="Cambria" w:hAnsi="Cambria"/>
          <w:sz w:val="20"/>
          <w:szCs w:val="20"/>
        </w:rPr>
      </w:pPr>
    </w:p>
    <w:p w14:paraId="22BE3880"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Informe del Comité Permanente de Investigación y Estadísticas (SCRS)</w:t>
      </w:r>
    </w:p>
    <w:p w14:paraId="768A498F" w14:textId="77777777" w:rsidR="002A70B6" w:rsidRPr="00A63F69" w:rsidRDefault="002A70B6" w:rsidP="00A63F69">
      <w:pPr>
        <w:tabs>
          <w:tab w:val="left" w:pos="426"/>
        </w:tabs>
        <w:jc w:val="both"/>
        <w:rPr>
          <w:rFonts w:ascii="Cambria" w:hAnsi="Cambria"/>
          <w:sz w:val="20"/>
          <w:szCs w:val="20"/>
        </w:rPr>
      </w:pPr>
    </w:p>
    <w:p w14:paraId="3234E298" w14:textId="77777777" w:rsidR="002A70B6" w:rsidRPr="00A63F69" w:rsidRDefault="002A70B6" w:rsidP="00A63F69">
      <w:pPr>
        <w:tabs>
          <w:tab w:val="left" w:pos="360"/>
        </w:tabs>
        <w:ind w:left="360"/>
        <w:jc w:val="both"/>
        <w:rPr>
          <w:rFonts w:ascii="Cambria" w:hAnsi="Cambria"/>
          <w:sz w:val="20"/>
          <w:szCs w:val="20"/>
        </w:rPr>
      </w:pPr>
      <w:r w:rsidRPr="00A63F69">
        <w:rPr>
          <w:rFonts w:ascii="Cambria" w:hAnsi="Cambria"/>
          <w:i/>
          <w:sz w:val="20"/>
          <w:szCs w:val="20"/>
        </w:rPr>
        <w:t xml:space="preserve">El informe del SCRS figura como documento </w:t>
      </w:r>
      <w:r w:rsidRPr="00A63F69">
        <w:rPr>
          <w:rFonts w:ascii="Cambria" w:hAnsi="Cambria"/>
          <w:b/>
          <w:bCs/>
          <w:i/>
          <w:sz w:val="20"/>
          <w:szCs w:val="20"/>
        </w:rPr>
        <w:t>PLE-104/2025</w:t>
      </w:r>
      <w:r w:rsidRPr="00A63F69">
        <w:rPr>
          <w:rFonts w:ascii="Cambria" w:hAnsi="Cambria"/>
          <w:i/>
          <w:sz w:val="20"/>
          <w:szCs w:val="20"/>
        </w:rPr>
        <w:t>. El presidente/vicepresidente del SCRS presentará las conclusiones del Comité relativas a la Subcomisión 1 y responderá a las preguntas planteadas sobre las especies de aguas templadas del norte. El presidente/vicepresidente del SCRS también pondrá al día a la Subcomisión sobre las iniciativas de investigación en curso.</w:t>
      </w:r>
    </w:p>
    <w:p w14:paraId="31E5AD92" w14:textId="77777777" w:rsidR="002A70B6" w:rsidRPr="00A63F69" w:rsidRDefault="002A70B6" w:rsidP="00A63F69">
      <w:pPr>
        <w:pStyle w:val="ListParagraph"/>
        <w:jc w:val="both"/>
        <w:rPr>
          <w:rFonts w:ascii="Cambria" w:hAnsi="Cambria"/>
          <w:sz w:val="20"/>
          <w:szCs w:val="20"/>
        </w:rPr>
      </w:pPr>
    </w:p>
    <w:p w14:paraId="53409766" w14:textId="77777777" w:rsidR="002A70B6" w:rsidRPr="00A63F69" w:rsidRDefault="002A70B6" w:rsidP="00A63F69">
      <w:pPr>
        <w:pStyle w:val="ListParagraph"/>
        <w:widowControl w:val="0"/>
        <w:numPr>
          <w:ilvl w:val="1"/>
          <w:numId w:val="38"/>
        </w:numPr>
        <w:tabs>
          <w:tab w:val="left" w:pos="426"/>
        </w:tabs>
        <w:jc w:val="both"/>
        <w:rPr>
          <w:rFonts w:ascii="Cambria" w:hAnsi="Cambria"/>
          <w:sz w:val="20"/>
          <w:szCs w:val="20"/>
        </w:rPr>
      </w:pPr>
      <w:r w:rsidRPr="00A63F69">
        <w:rPr>
          <w:rFonts w:ascii="Cambria" w:hAnsi="Cambria"/>
          <w:sz w:val="20"/>
          <w:szCs w:val="20"/>
        </w:rPr>
        <w:t>Investigación y respuestas a la Comisión</w:t>
      </w:r>
    </w:p>
    <w:p w14:paraId="6FFD0A54" w14:textId="77777777" w:rsidR="002A70B6" w:rsidRPr="00A63F69" w:rsidRDefault="002A70B6" w:rsidP="00A63F69">
      <w:pPr>
        <w:tabs>
          <w:tab w:val="left" w:pos="426"/>
        </w:tabs>
        <w:jc w:val="both"/>
        <w:rPr>
          <w:rFonts w:ascii="Cambria" w:hAnsi="Cambria"/>
          <w:sz w:val="20"/>
          <w:szCs w:val="20"/>
        </w:rPr>
      </w:pPr>
    </w:p>
    <w:p w14:paraId="59823665"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Examen de los comentarios y/o solicitudes de aclaración sobre las declaraciones y los planes anuales de pesca, de ordenación de la capacidad, junto con sus planes de ordenación de los DCP, cuando proceda, y consideración de cualquier medida necesaria</w:t>
      </w:r>
    </w:p>
    <w:p w14:paraId="736DA086" w14:textId="77777777" w:rsidR="002A70B6" w:rsidRPr="00A63F69" w:rsidRDefault="002A70B6" w:rsidP="00A63F69">
      <w:pPr>
        <w:tabs>
          <w:tab w:val="left" w:pos="426"/>
        </w:tabs>
        <w:jc w:val="both"/>
        <w:rPr>
          <w:rFonts w:ascii="Cambria" w:hAnsi="Cambria"/>
          <w:i/>
          <w:iCs/>
          <w:sz w:val="20"/>
          <w:szCs w:val="20"/>
        </w:rPr>
      </w:pPr>
    </w:p>
    <w:p w14:paraId="4FB41ABB" w14:textId="37A356C5" w:rsidR="002A70B6" w:rsidRPr="00A63F69" w:rsidRDefault="002A70B6" w:rsidP="00A63F69">
      <w:pPr>
        <w:tabs>
          <w:tab w:val="left" w:pos="426"/>
        </w:tabs>
        <w:ind w:left="360"/>
        <w:jc w:val="both"/>
        <w:rPr>
          <w:rFonts w:ascii="Cambria" w:hAnsi="Cambria"/>
          <w:sz w:val="20"/>
          <w:szCs w:val="20"/>
        </w:rPr>
      </w:pPr>
      <w:r w:rsidRPr="00A63F69">
        <w:rPr>
          <w:rFonts w:ascii="Cambria" w:hAnsi="Cambria"/>
          <w:i/>
          <w:sz w:val="20"/>
          <w:szCs w:val="20"/>
        </w:rPr>
        <w:t xml:space="preserve">Las versiones más recientes de las declaraciones y los planes anuales de pesca, de ordenación de la capacidad, junto con sus planes de ordenación de los DCP, cuando corresponda, han sido traducidas y están disponibles en la carpeta de la </w:t>
      </w:r>
      <w:hyperlink r:id="rId30" w:history="1">
        <w:r w:rsidRPr="00A63F69">
          <w:rPr>
            <w:rStyle w:val="Hyperlink"/>
            <w:rFonts w:ascii="Cambria" w:hAnsi="Cambria"/>
            <w:i/>
            <w:sz w:val="20"/>
            <w:szCs w:val="20"/>
            <w:u w:val="none"/>
          </w:rPr>
          <w:t xml:space="preserve">Subcomisión 1 </w:t>
        </w:r>
      </w:hyperlink>
      <w:r w:rsidRPr="00A63F69">
        <w:rPr>
          <w:rFonts w:ascii="Cambria" w:hAnsi="Cambria"/>
          <w:i/>
          <w:sz w:val="20"/>
          <w:szCs w:val="20"/>
        </w:rPr>
        <w:t xml:space="preserve">de Nextcloud. </w:t>
      </w:r>
    </w:p>
    <w:p w14:paraId="4B72610F" w14:textId="77777777" w:rsidR="002A70B6" w:rsidRPr="00A63F69" w:rsidRDefault="002A70B6" w:rsidP="00A63F69">
      <w:pPr>
        <w:tabs>
          <w:tab w:val="left" w:pos="426"/>
        </w:tabs>
        <w:jc w:val="both"/>
        <w:rPr>
          <w:rFonts w:ascii="Cambria" w:hAnsi="Cambria"/>
          <w:sz w:val="20"/>
          <w:szCs w:val="20"/>
        </w:rPr>
      </w:pPr>
    </w:p>
    <w:p w14:paraId="7E025037"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Examen de las tablas de cumplimiento</w:t>
      </w:r>
    </w:p>
    <w:p w14:paraId="39CC5108" w14:textId="77777777" w:rsidR="002A70B6" w:rsidRPr="00A63F69" w:rsidRDefault="002A70B6" w:rsidP="00A63F69">
      <w:pPr>
        <w:pStyle w:val="ListParagraph"/>
        <w:tabs>
          <w:tab w:val="left" w:pos="5108"/>
        </w:tabs>
        <w:ind w:left="360"/>
        <w:jc w:val="both"/>
        <w:rPr>
          <w:rFonts w:ascii="Cambria" w:hAnsi="Cambria"/>
          <w:sz w:val="20"/>
          <w:szCs w:val="20"/>
        </w:rPr>
      </w:pPr>
    </w:p>
    <w:p w14:paraId="6E4D6DE7" w14:textId="4AC50613" w:rsidR="002A70B6" w:rsidRPr="00A63F69" w:rsidRDefault="00BB7612" w:rsidP="00A63F69">
      <w:pPr>
        <w:pStyle w:val="ListParagraph"/>
        <w:tabs>
          <w:tab w:val="left" w:pos="5108"/>
        </w:tabs>
        <w:ind w:left="360"/>
        <w:jc w:val="both"/>
        <w:rPr>
          <w:rFonts w:ascii="Cambria" w:hAnsi="Cambria"/>
          <w:i/>
          <w:iCs/>
          <w:sz w:val="20"/>
          <w:szCs w:val="20"/>
        </w:rPr>
      </w:pPr>
      <w:r w:rsidRPr="00A63F69">
        <w:rPr>
          <w:rFonts w:ascii="Cambria" w:hAnsi="Cambria"/>
          <w:i/>
          <w:sz w:val="20"/>
          <w:szCs w:val="20"/>
        </w:rPr>
        <w:t>El</w:t>
      </w:r>
      <w:r w:rsidR="002A70B6" w:rsidRPr="00A63F69">
        <w:rPr>
          <w:rFonts w:ascii="Cambria" w:hAnsi="Cambria"/>
          <w:i/>
          <w:sz w:val="20"/>
          <w:szCs w:val="20"/>
        </w:rPr>
        <w:t xml:space="preserve"> "</w:t>
      </w:r>
      <w:r w:rsidRPr="00A63F69">
        <w:rPr>
          <w:rFonts w:ascii="Cambria" w:hAnsi="Cambria"/>
          <w:i/>
          <w:sz w:val="20"/>
          <w:szCs w:val="20"/>
        </w:rPr>
        <w:t>Proyecto de t</w:t>
      </w:r>
      <w:r w:rsidR="002A70B6" w:rsidRPr="00A63F69">
        <w:rPr>
          <w:rFonts w:ascii="Cambria" w:hAnsi="Cambria"/>
          <w:i/>
          <w:sz w:val="20"/>
          <w:szCs w:val="20"/>
        </w:rPr>
        <w:t xml:space="preserve">ablas de cumplimiento para 2024 recibidas en 2025" se ha publicado como </w:t>
      </w:r>
      <w:r w:rsidR="002A70B6" w:rsidRPr="00A63F69">
        <w:rPr>
          <w:rFonts w:ascii="Cambria" w:hAnsi="Cambria"/>
          <w:b/>
          <w:i/>
          <w:sz w:val="20"/>
          <w:szCs w:val="20"/>
        </w:rPr>
        <w:t>COC</w:t>
      </w:r>
      <w:r w:rsidR="003E6065" w:rsidRPr="00A63F69">
        <w:rPr>
          <w:rFonts w:ascii="Cambria" w:hAnsi="Cambria"/>
          <w:b/>
          <w:i/>
          <w:sz w:val="20"/>
          <w:szCs w:val="20"/>
        </w:rPr>
        <w:t>_</w:t>
      </w:r>
      <w:r w:rsidR="002A70B6" w:rsidRPr="00A63F69">
        <w:rPr>
          <w:rFonts w:ascii="Cambria" w:hAnsi="Cambria"/>
          <w:b/>
          <w:i/>
          <w:sz w:val="20"/>
          <w:szCs w:val="20"/>
        </w:rPr>
        <w:t>304</w:t>
      </w:r>
      <w:r w:rsidRPr="00A63F69">
        <w:rPr>
          <w:rFonts w:ascii="Cambria" w:hAnsi="Cambria"/>
          <w:b/>
          <w:i/>
          <w:sz w:val="20"/>
          <w:szCs w:val="20"/>
        </w:rPr>
        <w:t>_</w:t>
      </w:r>
      <w:r w:rsidR="003E6065" w:rsidRPr="00A63F69">
        <w:rPr>
          <w:rFonts w:ascii="Cambria" w:hAnsi="Cambria"/>
          <w:b/>
          <w:i/>
          <w:sz w:val="20"/>
          <w:szCs w:val="20"/>
        </w:rPr>
        <w:t>TRI_</w:t>
      </w:r>
      <w:r w:rsidRPr="00A63F69">
        <w:rPr>
          <w:rFonts w:ascii="Cambria" w:hAnsi="Cambria"/>
          <w:b/>
          <w:i/>
          <w:sz w:val="20"/>
          <w:szCs w:val="20"/>
        </w:rPr>
        <w:t>REV_3</w:t>
      </w:r>
      <w:r w:rsidR="002A70B6" w:rsidRPr="00A63F69">
        <w:rPr>
          <w:rFonts w:ascii="Cambria" w:hAnsi="Cambria"/>
          <w:b/>
          <w:i/>
          <w:sz w:val="20"/>
          <w:szCs w:val="20"/>
        </w:rPr>
        <w:t>/2025.</w:t>
      </w:r>
    </w:p>
    <w:p w14:paraId="2B7E3A7E" w14:textId="77777777" w:rsidR="002A70B6" w:rsidRPr="00A63F69" w:rsidRDefault="002A70B6" w:rsidP="00A63F69">
      <w:pPr>
        <w:pStyle w:val="ListParagraph"/>
        <w:tabs>
          <w:tab w:val="left" w:pos="5108"/>
        </w:tabs>
        <w:jc w:val="both"/>
        <w:rPr>
          <w:rFonts w:ascii="Cambria" w:hAnsi="Cambria"/>
          <w:sz w:val="20"/>
          <w:szCs w:val="20"/>
        </w:rPr>
      </w:pPr>
    </w:p>
    <w:p w14:paraId="2496CC1E"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 xml:space="preserve">Consideración de los progresos realizados sobre la evaluación de estrategias de ordenación (MSE) para el listado occidental y </w:t>
      </w:r>
      <w:proofErr w:type="spellStart"/>
      <w:r w:rsidRPr="00A63F69">
        <w:rPr>
          <w:rFonts w:ascii="Cambria" w:hAnsi="Cambria"/>
          <w:sz w:val="20"/>
          <w:szCs w:val="20"/>
        </w:rPr>
        <w:t>multistock</w:t>
      </w:r>
      <w:proofErr w:type="spellEnd"/>
      <w:r w:rsidRPr="00A63F69">
        <w:rPr>
          <w:rFonts w:ascii="Cambria" w:hAnsi="Cambria"/>
          <w:sz w:val="20"/>
          <w:szCs w:val="20"/>
        </w:rPr>
        <w:t xml:space="preserve"> para los túnidos tropicales</w:t>
      </w:r>
    </w:p>
    <w:p w14:paraId="4821544B" w14:textId="77777777" w:rsidR="002A70B6" w:rsidRPr="00A63F69" w:rsidRDefault="002A70B6" w:rsidP="00A63F69">
      <w:pPr>
        <w:tabs>
          <w:tab w:val="left" w:pos="5108"/>
        </w:tabs>
        <w:jc w:val="both"/>
        <w:rPr>
          <w:rFonts w:ascii="Cambria" w:hAnsi="Cambria"/>
          <w:sz w:val="20"/>
          <w:szCs w:val="20"/>
        </w:rPr>
      </w:pPr>
    </w:p>
    <w:p w14:paraId="41ABA055" w14:textId="79A5274E" w:rsidR="002A70B6" w:rsidRPr="00A63F69" w:rsidRDefault="002A70B6" w:rsidP="00A63F69">
      <w:pPr>
        <w:ind w:left="360"/>
        <w:jc w:val="both"/>
        <w:rPr>
          <w:rFonts w:ascii="Cambria" w:hAnsi="Cambria"/>
          <w:sz w:val="20"/>
          <w:szCs w:val="20"/>
        </w:rPr>
      </w:pPr>
      <w:r w:rsidRPr="00A63F69">
        <w:rPr>
          <w:rFonts w:ascii="Cambria" w:hAnsi="Cambria"/>
          <w:i/>
          <w:sz w:val="20"/>
          <w:szCs w:val="20"/>
        </w:rPr>
        <w:t xml:space="preserve">El "Informe de la reunión intersesiones de la Subcomisión 1 sobre la evaluación de estrategias de ordenación (MSE) para los túnidos tropicales" está disponible como documento </w:t>
      </w:r>
      <w:r w:rsidRPr="00A63F69">
        <w:rPr>
          <w:rFonts w:ascii="Cambria" w:hAnsi="Cambria"/>
          <w:b/>
          <w:i/>
          <w:sz w:val="20"/>
          <w:szCs w:val="20"/>
        </w:rPr>
        <w:t>PA1-501</w:t>
      </w:r>
      <w:r w:rsidR="00007917"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w:t>
      </w:r>
    </w:p>
    <w:p w14:paraId="7032A39C" w14:textId="77777777" w:rsidR="002A70B6" w:rsidRPr="00A63F69" w:rsidRDefault="002A70B6" w:rsidP="00A63F69">
      <w:pPr>
        <w:tabs>
          <w:tab w:val="left" w:pos="5108"/>
        </w:tabs>
        <w:ind w:left="294"/>
        <w:jc w:val="both"/>
        <w:rPr>
          <w:rFonts w:ascii="Cambria" w:hAnsi="Cambria"/>
          <w:sz w:val="20"/>
          <w:szCs w:val="20"/>
        </w:rPr>
      </w:pPr>
    </w:p>
    <w:p w14:paraId="61BB837E"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 xml:space="preserve">Medidas para la conservación de los stocks e implementación de la </w:t>
      </w:r>
      <w:hyperlink r:id="rId31" w:history="1">
        <w:r w:rsidRPr="00A63F69">
          <w:rPr>
            <w:rStyle w:val="Hyperlink"/>
            <w:rFonts w:ascii="Cambria" w:hAnsi="Cambria"/>
            <w:i/>
            <w:sz w:val="20"/>
            <w:szCs w:val="20"/>
            <w:u w:val="none"/>
          </w:rPr>
          <w:t>Resolución de ICCAT sobre los criterios de ICCAT para la asignación de posibilidades de pesca (Res. 15-13)</w:t>
        </w:r>
      </w:hyperlink>
    </w:p>
    <w:p w14:paraId="71B0614C" w14:textId="77777777" w:rsidR="002A70B6" w:rsidRPr="00A63F69" w:rsidRDefault="002A70B6" w:rsidP="00A63F69">
      <w:pPr>
        <w:tabs>
          <w:tab w:val="left" w:pos="5108"/>
        </w:tabs>
        <w:jc w:val="both"/>
        <w:rPr>
          <w:rFonts w:ascii="Cambria" w:hAnsi="Cambria"/>
          <w:sz w:val="20"/>
          <w:szCs w:val="20"/>
        </w:rPr>
      </w:pPr>
    </w:p>
    <w:p w14:paraId="1691895D" w14:textId="0A24FFF6" w:rsidR="002A70B6" w:rsidRPr="00A63F69" w:rsidRDefault="002A70B6" w:rsidP="00A63F69">
      <w:pPr>
        <w:ind w:left="426"/>
        <w:jc w:val="both"/>
        <w:rPr>
          <w:rFonts w:ascii="Cambria" w:hAnsi="Cambria" w:cstheme="minorHAnsi"/>
          <w:i/>
          <w:iCs/>
          <w:sz w:val="20"/>
          <w:szCs w:val="20"/>
        </w:rPr>
      </w:pPr>
      <w:r w:rsidRPr="00A63F69">
        <w:rPr>
          <w:rFonts w:ascii="Cambria" w:hAnsi="Cambria"/>
          <w:i/>
          <w:sz w:val="20"/>
          <w:szCs w:val="20"/>
        </w:rPr>
        <w:t xml:space="preserve">La </w:t>
      </w:r>
      <w:hyperlink r:id="rId32" w:history="1">
        <w:r w:rsidRPr="00A63F69">
          <w:rPr>
            <w:rStyle w:val="Hyperlink"/>
            <w:rFonts w:ascii="Cambria" w:hAnsi="Cambria"/>
            <w:i/>
            <w:sz w:val="20"/>
            <w:szCs w:val="20"/>
            <w:u w:val="none"/>
          </w:rPr>
          <w:t>Rec. 24-01</w:t>
        </w:r>
      </w:hyperlink>
      <w:r w:rsidRPr="00A63F69">
        <w:rPr>
          <w:rFonts w:ascii="Cambria" w:hAnsi="Cambria"/>
          <w:i/>
          <w:sz w:val="20"/>
          <w:szCs w:val="20"/>
        </w:rPr>
        <w:t xml:space="preserve"> establece que "3. El total admisible de capturas (TAC) anual de patudo se fijará en 73.011 t para 2025. Este nivel de TAC se mantendrá para 2026 y 2027 si la evaluación de stock que se llevará a cabo en 2025 indica que la probabilidad de que el stock se sitúe en el cuadrante verde en 2034 en la K2SM (en lo sucesivo, denominada "la probabilidad") es igual o superior al 65 %.</w:t>
      </w:r>
    </w:p>
    <w:p w14:paraId="684F65DC" w14:textId="77777777" w:rsidR="002A70B6" w:rsidRPr="00A63F69" w:rsidRDefault="002A70B6" w:rsidP="00A63F69">
      <w:pPr>
        <w:ind w:left="426"/>
        <w:jc w:val="both"/>
        <w:rPr>
          <w:rFonts w:ascii="Cambria" w:hAnsi="Cambria" w:cstheme="minorHAnsi"/>
          <w:i/>
          <w:iCs/>
          <w:sz w:val="20"/>
          <w:szCs w:val="20"/>
        </w:rPr>
      </w:pPr>
    </w:p>
    <w:p w14:paraId="4903A826" w14:textId="77777777" w:rsidR="002A70B6" w:rsidRPr="00A63F69" w:rsidRDefault="002A70B6" w:rsidP="00A63F69">
      <w:pPr>
        <w:ind w:left="426"/>
        <w:jc w:val="both"/>
        <w:rPr>
          <w:rFonts w:ascii="Cambria" w:hAnsi="Cambria" w:cstheme="minorHAnsi"/>
          <w:i/>
          <w:iCs/>
          <w:color w:val="0563C1" w:themeColor="hyperlink"/>
          <w:sz w:val="20"/>
          <w:szCs w:val="20"/>
        </w:rPr>
      </w:pPr>
      <w:r w:rsidRPr="00A63F69">
        <w:rPr>
          <w:rFonts w:ascii="Cambria" w:hAnsi="Cambria"/>
          <w:i/>
          <w:sz w:val="20"/>
          <w:szCs w:val="20"/>
        </w:rPr>
        <w:t>Párrafo 31. [...] La Comisión considerará, según proceda y basándose en el trabajo del SCRS, si modificar el periodo de veda a los DCP o establecer medidas adicionales en su reunión ordinaria de 2025."</w:t>
      </w:r>
    </w:p>
    <w:p w14:paraId="2C56A3FB" w14:textId="77777777" w:rsidR="002A70B6" w:rsidRPr="00A63F69" w:rsidRDefault="002A70B6" w:rsidP="00A63F69">
      <w:pPr>
        <w:tabs>
          <w:tab w:val="left" w:pos="5108"/>
        </w:tabs>
        <w:jc w:val="both"/>
        <w:rPr>
          <w:rFonts w:ascii="Cambria" w:hAnsi="Cambria"/>
          <w:sz w:val="20"/>
          <w:szCs w:val="20"/>
        </w:rPr>
      </w:pPr>
    </w:p>
    <w:p w14:paraId="12DD966C" w14:textId="77777777" w:rsidR="002A70B6" w:rsidRPr="00A63F69" w:rsidRDefault="002A70B6" w:rsidP="00A63F69">
      <w:pPr>
        <w:pStyle w:val="ListParagraph"/>
        <w:jc w:val="both"/>
        <w:rPr>
          <w:rFonts w:ascii="Cambria" w:hAnsi="Cambria"/>
          <w:sz w:val="20"/>
          <w:szCs w:val="20"/>
        </w:rPr>
      </w:pPr>
    </w:p>
    <w:p w14:paraId="59E07697" w14:textId="036ABAD1" w:rsidR="002A70B6" w:rsidRPr="00A63F69" w:rsidRDefault="002A70B6" w:rsidP="00A63F69">
      <w:pPr>
        <w:ind w:left="426"/>
        <w:jc w:val="both"/>
        <w:rPr>
          <w:rFonts w:ascii="Cambria" w:hAnsi="Cambria" w:cstheme="minorHAnsi"/>
          <w:i/>
          <w:iCs/>
          <w:sz w:val="20"/>
          <w:szCs w:val="20"/>
        </w:rPr>
      </w:pPr>
      <w:r w:rsidRPr="00A63F69">
        <w:rPr>
          <w:rFonts w:ascii="Cambria" w:hAnsi="Cambria"/>
          <w:i/>
          <w:sz w:val="20"/>
          <w:szCs w:val="20"/>
        </w:rPr>
        <w:t xml:space="preserve">La </w:t>
      </w:r>
      <w:hyperlink r:id="rId33" w:history="1">
        <w:r w:rsidRPr="00A63F69">
          <w:rPr>
            <w:rStyle w:val="Hyperlink"/>
            <w:rFonts w:ascii="Cambria" w:hAnsi="Cambria"/>
            <w:i/>
            <w:sz w:val="20"/>
            <w:szCs w:val="20"/>
            <w:u w:val="none"/>
          </w:rPr>
          <w:t>Rec. 24-04</w:t>
        </w:r>
      </w:hyperlink>
      <w:r w:rsidRPr="00A63F69">
        <w:rPr>
          <w:rFonts w:ascii="Cambria" w:hAnsi="Cambria"/>
          <w:i/>
          <w:sz w:val="20"/>
          <w:szCs w:val="20"/>
        </w:rPr>
        <w:t xml:space="preserve"> establece que "8. En 2025, el SCRS finalizará la calibración del MP para alcanzar el objetivo de estado especificado en el párrafo 2 para su revisión y adopción por la Comisión en su reunión anual de 2025. Esta medida se revisará en 2025 y las especificaciones finales del MP se convertirán en el Anexo 3 de la presente Recomendación.</w:t>
      </w:r>
    </w:p>
    <w:p w14:paraId="13325207" w14:textId="77777777" w:rsidR="002A70B6" w:rsidRPr="00A63F69" w:rsidRDefault="002A70B6" w:rsidP="00A63F69">
      <w:pPr>
        <w:ind w:left="426"/>
        <w:jc w:val="both"/>
        <w:rPr>
          <w:rFonts w:ascii="Cambria" w:hAnsi="Cambria" w:cstheme="minorHAnsi"/>
          <w:i/>
          <w:iCs/>
          <w:sz w:val="20"/>
          <w:szCs w:val="20"/>
        </w:rPr>
      </w:pPr>
    </w:p>
    <w:p w14:paraId="642ACA5C" w14:textId="1E6BF315" w:rsidR="002A70B6" w:rsidRPr="00A63F69" w:rsidRDefault="002A70B6" w:rsidP="00A63F69">
      <w:pPr>
        <w:ind w:left="426"/>
        <w:jc w:val="both"/>
        <w:rPr>
          <w:rFonts w:ascii="Cambria" w:hAnsi="Cambria" w:cstheme="minorHAnsi"/>
          <w:i/>
          <w:iCs/>
          <w:sz w:val="20"/>
          <w:szCs w:val="20"/>
        </w:rPr>
      </w:pPr>
      <w:r w:rsidRPr="00A63F69">
        <w:rPr>
          <w:rFonts w:ascii="Cambria" w:hAnsi="Cambria"/>
          <w:i/>
          <w:sz w:val="20"/>
          <w:szCs w:val="20"/>
        </w:rPr>
        <w:t>Párrafo 9. La Subcomisión 1 desarrollará un enfoque para mantener las capturas dentro del TAC para su revisión y adopción por la</w:t>
      </w:r>
      <w:r w:rsidR="003A1B84" w:rsidRPr="00A63F69">
        <w:rPr>
          <w:rFonts w:ascii="Cambria" w:hAnsi="Cambria"/>
          <w:i/>
          <w:sz w:val="20"/>
          <w:szCs w:val="20"/>
        </w:rPr>
        <w:t xml:space="preserve"> </w:t>
      </w:r>
      <w:r w:rsidRPr="00A63F69">
        <w:rPr>
          <w:rFonts w:ascii="Cambria" w:hAnsi="Cambria"/>
          <w:i/>
          <w:sz w:val="20"/>
          <w:szCs w:val="20"/>
        </w:rPr>
        <w:t>Comisión en su reunión anual de 2025.</w:t>
      </w:r>
    </w:p>
    <w:p w14:paraId="58A22508" w14:textId="77777777" w:rsidR="002A70B6" w:rsidRPr="00A63F69" w:rsidRDefault="002A70B6" w:rsidP="00A63F69">
      <w:pPr>
        <w:ind w:left="426"/>
        <w:jc w:val="both"/>
        <w:rPr>
          <w:rFonts w:ascii="Cambria" w:hAnsi="Cambria" w:cstheme="minorHAnsi"/>
          <w:i/>
          <w:iCs/>
          <w:sz w:val="20"/>
          <w:szCs w:val="20"/>
        </w:rPr>
      </w:pPr>
    </w:p>
    <w:p w14:paraId="6B89871E" w14:textId="6AD7E993" w:rsidR="002A70B6" w:rsidRPr="00A63F69" w:rsidRDefault="002A70B6" w:rsidP="00A63F69">
      <w:pPr>
        <w:ind w:left="426"/>
        <w:jc w:val="both"/>
        <w:rPr>
          <w:rFonts w:ascii="Cambria" w:hAnsi="Cambria" w:cstheme="minorHAnsi"/>
          <w:i/>
          <w:iCs/>
          <w:color w:val="0563C1" w:themeColor="hyperlink"/>
          <w:sz w:val="20"/>
          <w:szCs w:val="20"/>
        </w:rPr>
      </w:pPr>
      <w:r w:rsidRPr="00A63F69">
        <w:rPr>
          <w:rFonts w:ascii="Cambria" w:hAnsi="Cambria"/>
          <w:i/>
          <w:sz w:val="20"/>
          <w:szCs w:val="20"/>
        </w:rPr>
        <w:t>Párrafo 10. La Subcomisión 1, con el asesoramiento científico del SCRS, elaborará el protocolo de circunstancias excepcionales para este MP, para su examen y adopción por la Comisión en su reunión anual de 2025, o lo antes posible tras dicha fecha. El protocolo se convertirá en el Anexo 4 de la presente Recomendación una vez que sea adoptado."</w:t>
      </w:r>
    </w:p>
    <w:p w14:paraId="161183E2" w14:textId="77777777" w:rsidR="002A70B6" w:rsidRPr="00A63F69" w:rsidRDefault="002A70B6" w:rsidP="00A63F69">
      <w:pPr>
        <w:jc w:val="both"/>
        <w:rPr>
          <w:rFonts w:ascii="Cambria" w:hAnsi="Cambria" w:cstheme="minorHAnsi"/>
          <w:sz w:val="20"/>
          <w:szCs w:val="20"/>
        </w:rPr>
      </w:pPr>
    </w:p>
    <w:p w14:paraId="38FD43DA" w14:textId="77777777" w:rsidR="002A70B6" w:rsidRPr="00A63F69" w:rsidRDefault="002A70B6" w:rsidP="00A63F69">
      <w:pPr>
        <w:ind w:firstLine="360"/>
        <w:jc w:val="both"/>
        <w:rPr>
          <w:rFonts w:ascii="Cambria" w:hAnsi="Cambria"/>
          <w:sz w:val="20"/>
          <w:szCs w:val="20"/>
        </w:rPr>
      </w:pPr>
      <w:r w:rsidRPr="00A63F69">
        <w:rPr>
          <w:rFonts w:ascii="Cambria" w:hAnsi="Cambria"/>
          <w:sz w:val="20"/>
          <w:szCs w:val="20"/>
        </w:rPr>
        <w:t>Las CPC han presentado los siguientes documentos:</w:t>
      </w:r>
    </w:p>
    <w:p w14:paraId="6720D85C" w14:textId="77777777" w:rsidR="002A70B6" w:rsidRPr="00A63F69" w:rsidRDefault="002A70B6" w:rsidP="00A63F69">
      <w:pPr>
        <w:pStyle w:val="ListParagraph"/>
        <w:ind w:left="360"/>
        <w:jc w:val="both"/>
        <w:rPr>
          <w:rFonts w:ascii="Cambria" w:hAnsi="Cambria"/>
          <w:sz w:val="20"/>
          <w:szCs w:val="20"/>
        </w:rPr>
      </w:pPr>
      <w:r w:rsidRPr="00A63F69">
        <w:rPr>
          <w:rFonts w:ascii="Cambria" w:hAnsi="Cambria"/>
          <w:sz w:val="20"/>
          <w:szCs w:val="20"/>
        </w:rPr>
        <w:t xml:space="preserve"> </w:t>
      </w:r>
    </w:p>
    <w:p w14:paraId="72193D47" w14:textId="77777777" w:rsidR="002A70B6" w:rsidRPr="00A63F69" w:rsidRDefault="002A70B6" w:rsidP="00A63F69">
      <w:pPr>
        <w:pStyle w:val="ListParagraph"/>
        <w:ind w:left="360"/>
        <w:jc w:val="both"/>
        <w:rPr>
          <w:rFonts w:ascii="Cambria" w:hAnsi="Cambria"/>
          <w:b/>
          <w:bCs/>
          <w:i/>
          <w:iCs/>
          <w:color w:val="000000" w:themeColor="text1"/>
          <w:sz w:val="20"/>
          <w:szCs w:val="20"/>
        </w:rPr>
      </w:pPr>
      <w:r w:rsidRPr="00A63F69">
        <w:rPr>
          <w:rFonts w:ascii="Cambria" w:hAnsi="Cambria"/>
          <w:i/>
          <w:color w:val="000000" w:themeColor="text1"/>
          <w:sz w:val="20"/>
          <w:szCs w:val="20"/>
        </w:rPr>
        <w:t>"Proyecto de Recomendación de ICCAT para un proyecto piloto de cría de atún rojo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w:t>
      </w:r>
      <w:proofErr w:type="spellStart"/>
      <w:r w:rsidRPr="00A63F69">
        <w:rPr>
          <w:rFonts w:ascii="Cambria" w:hAnsi="Cambria"/>
          <w:i/>
          <w:color w:val="000000" w:themeColor="text1"/>
          <w:sz w:val="20"/>
          <w:szCs w:val="20"/>
        </w:rPr>
        <w:t>thynnus</w:t>
      </w:r>
      <w:proofErr w:type="spellEnd"/>
      <w:r w:rsidRPr="00A63F69">
        <w:rPr>
          <w:rFonts w:ascii="Cambria" w:hAnsi="Cambria"/>
          <w:i/>
          <w:color w:val="000000" w:themeColor="text1"/>
          <w:sz w:val="20"/>
          <w:szCs w:val="20"/>
        </w:rPr>
        <w:t>) y rabil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albacares) en aguas de las islas Canarias", presentado por la Unión Europea como documento </w:t>
      </w:r>
      <w:r w:rsidRPr="00A63F69">
        <w:rPr>
          <w:rFonts w:ascii="Cambria" w:hAnsi="Cambria"/>
          <w:b/>
          <w:i/>
          <w:color w:val="000000" w:themeColor="text1"/>
          <w:sz w:val="20"/>
          <w:szCs w:val="20"/>
        </w:rPr>
        <w:t>PA1-502/2025.</w:t>
      </w:r>
    </w:p>
    <w:p w14:paraId="4D50B04C" w14:textId="77777777" w:rsidR="002A70B6" w:rsidRPr="00A63F69" w:rsidRDefault="002A70B6" w:rsidP="00A63F69">
      <w:pPr>
        <w:pStyle w:val="ListParagraph"/>
        <w:ind w:left="360"/>
        <w:jc w:val="both"/>
        <w:rPr>
          <w:rFonts w:ascii="Cambria" w:hAnsi="Cambria"/>
          <w:b/>
          <w:bCs/>
          <w:i/>
          <w:iCs/>
          <w:color w:val="000000" w:themeColor="text1"/>
          <w:sz w:val="20"/>
          <w:szCs w:val="20"/>
        </w:rPr>
      </w:pPr>
    </w:p>
    <w:p w14:paraId="2B8835D8"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"Carta a los miembros de la Subcomisión 1 sobre la reunión anual", presentado por el presidente de la Subcomisión 1 como documento </w:t>
      </w:r>
      <w:r w:rsidRPr="00A63F69">
        <w:rPr>
          <w:rFonts w:ascii="Cambria" w:hAnsi="Cambria"/>
          <w:b/>
          <w:bCs/>
          <w:i/>
          <w:color w:val="000000" w:themeColor="text1"/>
          <w:sz w:val="20"/>
          <w:szCs w:val="20"/>
        </w:rPr>
        <w:t>PA1-503/2025</w:t>
      </w:r>
      <w:r w:rsidRPr="00A63F69">
        <w:rPr>
          <w:rFonts w:ascii="Cambria" w:hAnsi="Cambria"/>
          <w:i/>
          <w:color w:val="000000" w:themeColor="text1"/>
          <w:sz w:val="20"/>
          <w:szCs w:val="20"/>
        </w:rPr>
        <w:t>.</w:t>
      </w:r>
    </w:p>
    <w:p w14:paraId="238657F7" w14:textId="77777777" w:rsidR="002A70B6" w:rsidRPr="00A63F69" w:rsidRDefault="002A70B6" w:rsidP="00A63F69">
      <w:pPr>
        <w:jc w:val="both"/>
        <w:rPr>
          <w:rFonts w:ascii="Cambria" w:hAnsi="Cambria"/>
          <w:sz w:val="20"/>
          <w:szCs w:val="20"/>
        </w:rPr>
      </w:pPr>
    </w:p>
    <w:p w14:paraId="422C9634" w14:textId="77777777" w:rsidR="00A173C8" w:rsidRPr="00A63F69" w:rsidRDefault="00A173C8" w:rsidP="00A63F69">
      <w:pPr>
        <w:pStyle w:val="ListParagraph"/>
        <w:ind w:left="360"/>
        <w:jc w:val="both"/>
        <w:rPr>
          <w:rFonts w:ascii="Cambria" w:hAnsi="Cambria"/>
          <w:b/>
          <w:bCs/>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24-01 sobre un programa plurianual de conservación y ordenación para los túnidos tropicales", presentado por la Unión Europea como documento </w:t>
      </w:r>
      <w:r w:rsidRPr="00A63F69">
        <w:rPr>
          <w:rFonts w:ascii="Cambria" w:hAnsi="Cambria"/>
          <w:b/>
          <w:i/>
          <w:color w:val="000000" w:themeColor="text1"/>
          <w:sz w:val="20"/>
          <w:szCs w:val="20"/>
        </w:rPr>
        <w:t>PA1-504/2025</w:t>
      </w:r>
      <w:r w:rsidRPr="00A63F69">
        <w:rPr>
          <w:rFonts w:ascii="Cambria" w:hAnsi="Cambria"/>
          <w:i/>
          <w:color w:val="000000" w:themeColor="text1"/>
          <w:sz w:val="20"/>
          <w:szCs w:val="20"/>
        </w:rPr>
        <w:t>.</w:t>
      </w:r>
    </w:p>
    <w:p w14:paraId="438B1099" w14:textId="77777777" w:rsidR="00A173C8" w:rsidRPr="00A63F69" w:rsidRDefault="00A173C8" w:rsidP="00A63F69">
      <w:pPr>
        <w:pStyle w:val="ListParagraph"/>
        <w:ind w:left="360"/>
        <w:jc w:val="both"/>
        <w:rPr>
          <w:rFonts w:ascii="Cambria" w:hAnsi="Cambria"/>
          <w:b/>
          <w:bCs/>
          <w:i/>
          <w:iCs/>
          <w:color w:val="000000" w:themeColor="text1"/>
          <w:sz w:val="20"/>
          <w:szCs w:val="20"/>
        </w:rPr>
      </w:pPr>
    </w:p>
    <w:p w14:paraId="490890E7" w14:textId="77777777" w:rsidR="00A173C8" w:rsidRPr="00A63F69" w:rsidRDefault="00A173C8" w:rsidP="00A63F69">
      <w:pPr>
        <w:pStyle w:val="ListParagraph"/>
        <w:ind w:left="360"/>
        <w:jc w:val="both"/>
        <w:rPr>
          <w:rFonts w:ascii="Cambria" w:hAnsi="Cambria"/>
          <w:b/>
          <w:bCs/>
          <w:i/>
          <w:iCs/>
          <w:color w:val="000000" w:themeColor="text1"/>
          <w:sz w:val="20"/>
          <w:szCs w:val="20"/>
        </w:rPr>
      </w:pPr>
      <w:r w:rsidRPr="00A63F69">
        <w:rPr>
          <w:rFonts w:ascii="Cambria" w:hAnsi="Cambria"/>
          <w:i/>
          <w:color w:val="000000" w:themeColor="text1"/>
          <w:sz w:val="20"/>
          <w:szCs w:val="20"/>
        </w:rPr>
        <w:t xml:space="preserve">"Proyecto de Recomendación de ICCAT sobre un procedimiento de ordenación candidato para el listado del Atlántico occidental", presentado por Brasil como </w:t>
      </w:r>
      <w:r w:rsidRPr="00A63F69">
        <w:rPr>
          <w:rFonts w:ascii="Cambria" w:hAnsi="Cambria"/>
          <w:b/>
          <w:i/>
          <w:color w:val="000000" w:themeColor="text1"/>
          <w:sz w:val="20"/>
          <w:szCs w:val="20"/>
        </w:rPr>
        <w:t>PA1-505/2025</w:t>
      </w:r>
      <w:r w:rsidRPr="00A63F69">
        <w:rPr>
          <w:rFonts w:ascii="Cambria" w:hAnsi="Cambria"/>
          <w:i/>
          <w:color w:val="000000" w:themeColor="text1"/>
          <w:sz w:val="20"/>
          <w:szCs w:val="20"/>
        </w:rPr>
        <w:t>.</w:t>
      </w:r>
    </w:p>
    <w:p w14:paraId="5FC1A8C7" w14:textId="77777777" w:rsidR="00A173C8" w:rsidRPr="00A63F69" w:rsidRDefault="00A173C8" w:rsidP="00A63F69">
      <w:pPr>
        <w:jc w:val="both"/>
        <w:rPr>
          <w:rFonts w:ascii="Cambria" w:hAnsi="Cambria"/>
          <w:sz w:val="20"/>
          <w:szCs w:val="20"/>
        </w:rPr>
      </w:pPr>
    </w:p>
    <w:p w14:paraId="73E976EB"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Identificación de las medidas obsoletas a la luz de lo expuesto en el punto 9 anterior</w:t>
      </w:r>
    </w:p>
    <w:p w14:paraId="5E840D8E" w14:textId="77777777" w:rsidR="002A70B6" w:rsidRPr="00A63F69" w:rsidRDefault="002A70B6" w:rsidP="00A63F69">
      <w:pPr>
        <w:pStyle w:val="ListParagraph"/>
        <w:tabs>
          <w:tab w:val="left" w:pos="5108"/>
        </w:tabs>
        <w:ind w:left="360"/>
        <w:jc w:val="both"/>
        <w:rPr>
          <w:rFonts w:ascii="Cambria" w:hAnsi="Cambria"/>
          <w:sz w:val="20"/>
          <w:szCs w:val="20"/>
        </w:rPr>
      </w:pPr>
    </w:p>
    <w:p w14:paraId="0B08E7EA" w14:textId="77777777" w:rsidR="002A70B6" w:rsidRPr="00A63F69" w:rsidRDefault="002A70B6" w:rsidP="00A63F69">
      <w:pPr>
        <w:pStyle w:val="ListParagraph"/>
        <w:tabs>
          <w:tab w:val="left" w:pos="5108"/>
        </w:tabs>
        <w:ind w:left="360"/>
        <w:jc w:val="both"/>
        <w:rPr>
          <w:rFonts w:ascii="Cambria" w:hAnsi="Cambria"/>
          <w:i/>
          <w:iCs/>
          <w:sz w:val="20"/>
          <w:szCs w:val="20"/>
        </w:rPr>
      </w:pPr>
      <w:r w:rsidRPr="00A63F69">
        <w:rPr>
          <w:rFonts w:ascii="Cambria" w:hAnsi="Cambria"/>
          <w:i/>
          <w:sz w:val="20"/>
          <w:szCs w:val="20"/>
        </w:rPr>
        <w:t>Si al adoptar nuevas medidas deben rescindirse medidas previas, esto debería identificarse, preferiblemente en la Recomendación o, al menos, ser claramente indicado por la Subcomisión.</w:t>
      </w:r>
    </w:p>
    <w:p w14:paraId="6FB5C1FD" w14:textId="77777777" w:rsidR="002A70B6" w:rsidRPr="00A63F69" w:rsidRDefault="002A70B6" w:rsidP="00A63F69">
      <w:pPr>
        <w:pStyle w:val="ListParagraph"/>
        <w:tabs>
          <w:tab w:val="left" w:pos="5108"/>
        </w:tabs>
        <w:ind w:left="360"/>
        <w:jc w:val="both"/>
        <w:rPr>
          <w:rFonts w:ascii="Cambria" w:hAnsi="Cambria"/>
          <w:i/>
          <w:iCs/>
          <w:sz w:val="20"/>
          <w:szCs w:val="20"/>
        </w:rPr>
      </w:pPr>
    </w:p>
    <w:p w14:paraId="2ADFF9C7" w14:textId="77777777" w:rsidR="002A70B6" w:rsidRPr="00A63F69" w:rsidRDefault="002A70B6" w:rsidP="00A63F69">
      <w:pPr>
        <w:pStyle w:val="ListParagraph"/>
        <w:jc w:val="both"/>
        <w:rPr>
          <w:rFonts w:ascii="Cambria" w:hAnsi="Cambria"/>
          <w:sz w:val="20"/>
          <w:szCs w:val="20"/>
        </w:rPr>
      </w:pPr>
    </w:p>
    <w:p w14:paraId="6D7E0C4D"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Elección del presidente y del posible vicepresidente</w:t>
      </w:r>
    </w:p>
    <w:p w14:paraId="17AACAFB" w14:textId="77777777" w:rsidR="002A70B6" w:rsidRPr="00A63F69" w:rsidRDefault="002A70B6" w:rsidP="00A63F69">
      <w:pPr>
        <w:tabs>
          <w:tab w:val="left" w:pos="5108"/>
        </w:tabs>
        <w:jc w:val="both"/>
        <w:rPr>
          <w:rFonts w:ascii="Cambria" w:hAnsi="Cambria"/>
          <w:sz w:val="20"/>
          <w:szCs w:val="20"/>
        </w:rPr>
      </w:pPr>
    </w:p>
    <w:p w14:paraId="0E39ACF8" w14:textId="77777777" w:rsidR="002A70B6" w:rsidRPr="00A63F69" w:rsidRDefault="002A70B6" w:rsidP="00A63F69">
      <w:pPr>
        <w:ind w:left="450"/>
        <w:jc w:val="both"/>
        <w:rPr>
          <w:rFonts w:ascii="Cambria" w:hAnsi="Cambria"/>
          <w:i/>
          <w:iCs/>
          <w:sz w:val="20"/>
          <w:szCs w:val="20"/>
        </w:rPr>
      </w:pPr>
      <w:r w:rsidRPr="00A63F69">
        <w:rPr>
          <w:rFonts w:ascii="Cambria" w:hAnsi="Cambria"/>
          <w:i/>
          <w:sz w:val="20"/>
          <w:szCs w:val="20"/>
        </w:rPr>
        <w:t>La Subcomisión 1 elegirá un presidente para el período bienal 2026/2027.</w:t>
      </w:r>
    </w:p>
    <w:p w14:paraId="55AD58E5" w14:textId="77777777" w:rsidR="002A70B6" w:rsidRPr="00A63F69" w:rsidRDefault="002A70B6" w:rsidP="00A63F69">
      <w:pPr>
        <w:pStyle w:val="ListParagraph"/>
        <w:jc w:val="both"/>
        <w:rPr>
          <w:rFonts w:ascii="Cambria" w:hAnsi="Cambria"/>
          <w:sz w:val="20"/>
          <w:szCs w:val="20"/>
        </w:rPr>
      </w:pPr>
    </w:p>
    <w:p w14:paraId="763828DF"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Otros asuntos</w:t>
      </w:r>
    </w:p>
    <w:p w14:paraId="6384F17D" w14:textId="77777777" w:rsidR="002A70B6" w:rsidRPr="00A63F69" w:rsidRDefault="002A70B6" w:rsidP="00A63F69">
      <w:pPr>
        <w:pStyle w:val="ListParagraph"/>
        <w:jc w:val="both"/>
        <w:rPr>
          <w:rFonts w:ascii="Cambria" w:hAnsi="Cambria"/>
          <w:sz w:val="20"/>
          <w:szCs w:val="20"/>
          <w:lang w:val="en-GB"/>
        </w:rPr>
      </w:pPr>
    </w:p>
    <w:p w14:paraId="7E3139A0" w14:textId="77777777" w:rsidR="002A70B6" w:rsidRPr="00A63F69" w:rsidRDefault="002A70B6" w:rsidP="00A63F69">
      <w:pPr>
        <w:pStyle w:val="ListParagraph"/>
        <w:tabs>
          <w:tab w:val="left" w:pos="5108"/>
        </w:tabs>
        <w:ind w:left="360"/>
        <w:jc w:val="both"/>
        <w:rPr>
          <w:rFonts w:ascii="Cambria" w:hAnsi="Cambria"/>
          <w:sz w:val="20"/>
          <w:szCs w:val="20"/>
        </w:rPr>
      </w:pPr>
      <w:r w:rsidRPr="00A63F69">
        <w:rPr>
          <w:rFonts w:ascii="Cambria" w:hAnsi="Cambria"/>
          <w:sz w:val="20"/>
          <w:szCs w:val="20"/>
        </w:rPr>
        <w:t>12.1 Consideración de la necesidad y de la fecha de la próxima reunión intersesiones</w:t>
      </w:r>
    </w:p>
    <w:p w14:paraId="417C9A93" w14:textId="77777777" w:rsidR="002A70B6" w:rsidRPr="00A63F69" w:rsidRDefault="002A70B6" w:rsidP="00A63F69">
      <w:pPr>
        <w:pStyle w:val="ListParagraph"/>
        <w:tabs>
          <w:tab w:val="left" w:pos="5108"/>
        </w:tabs>
        <w:ind w:left="360"/>
        <w:jc w:val="both"/>
        <w:rPr>
          <w:rFonts w:ascii="Cambria" w:hAnsi="Cambria"/>
          <w:sz w:val="20"/>
          <w:szCs w:val="20"/>
        </w:rPr>
      </w:pPr>
    </w:p>
    <w:p w14:paraId="6442BF29"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Adopción del informe y clausura</w:t>
      </w:r>
    </w:p>
    <w:p w14:paraId="1958DB27" w14:textId="77777777" w:rsidR="00BB63F0" w:rsidRPr="00A63F69" w:rsidRDefault="00BB63F0" w:rsidP="00A63F69">
      <w:pPr>
        <w:tabs>
          <w:tab w:val="left" w:pos="300"/>
        </w:tabs>
        <w:jc w:val="both"/>
        <w:rPr>
          <w:rFonts w:ascii="Cambria" w:hAnsi="Cambria"/>
          <w:bCs/>
          <w:sz w:val="20"/>
          <w:szCs w:val="20"/>
          <w:lang w:val="en-GB"/>
        </w:rPr>
      </w:pPr>
    </w:p>
    <w:bookmarkEnd w:id="0"/>
    <w:p w14:paraId="4CFB7DFB" w14:textId="77777777" w:rsidR="000B0920" w:rsidRPr="00A63F69" w:rsidRDefault="000B0920" w:rsidP="00A63F69">
      <w:pPr>
        <w:jc w:val="both"/>
        <w:rPr>
          <w:rFonts w:ascii="Cambria" w:hAnsi="Cambria"/>
          <w:b/>
          <w:bCs/>
          <w:sz w:val="20"/>
          <w:szCs w:val="20"/>
        </w:rPr>
      </w:pPr>
      <w:r w:rsidRPr="00A63F69">
        <w:rPr>
          <w:rFonts w:ascii="Cambria" w:hAnsi="Cambria"/>
          <w:sz w:val="20"/>
          <w:szCs w:val="20"/>
        </w:rPr>
        <w:br w:type="page"/>
      </w:r>
    </w:p>
    <w:p w14:paraId="240DAEAF" w14:textId="764EED88" w:rsidR="000B0920" w:rsidRPr="00A63F69" w:rsidRDefault="000B0920" w:rsidP="00A63F69">
      <w:pPr>
        <w:jc w:val="center"/>
        <w:rPr>
          <w:rFonts w:ascii="Cambria" w:hAnsi="Cambria"/>
          <w:b/>
          <w:bCs/>
          <w:sz w:val="20"/>
          <w:szCs w:val="20"/>
        </w:rPr>
      </w:pPr>
      <w:r w:rsidRPr="00A63F69">
        <w:rPr>
          <w:rFonts w:ascii="Cambria" w:hAnsi="Cambria"/>
          <w:b/>
          <w:sz w:val="20"/>
          <w:szCs w:val="20"/>
        </w:rPr>
        <w:t>Subcomisión 2</w:t>
      </w:r>
    </w:p>
    <w:p w14:paraId="3BF32779" w14:textId="77777777" w:rsidR="000B0920" w:rsidRPr="00A63F69" w:rsidRDefault="000B0920" w:rsidP="00A63F69">
      <w:pPr>
        <w:jc w:val="both"/>
        <w:rPr>
          <w:rFonts w:ascii="Cambria" w:hAnsi="Cambria"/>
          <w:b/>
          <w:bCs/>
          <w:sz w:val="20"/>
          <w:szCs w:val="20"/>
          <w:lang w:val="en-GB"/>
        </w:rPr>
      </w:pPr>
    </w:p>
    <w:p w14:paraId="31692E51" w14:textId="77777777" w:rsidR="006B3200" w:rsidRPr="00A63F69" w:rsidRDefault="006B3200" w:rsidP="00A63F69">
      <w:pPr>
        <w:jc w:val="both"/>
        <w:rPr>
          <w:rFonts w:ascii="Cambria" w:hAnsi="Cambria"/>
          <w:b/>
          <w:bCs/>
          <w:sz w:val="20"/>
          <w:szCs w:val="20"/>
          <w:lang w:val="en-GB"/>
        </w:rPr>
      </w:pPr>
    </w:p>
    <w:p w14:paraId="2B22B31E"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Apertura de la reunión</w:t>
      </w:r>
    </w:p>
    <w:p w14:paraId="6D3E49A2" w14:textId="77777777" w:rsidR="006B3200" w:rsidRPr="00A63F69" w:rsidRDefault="006B3200" w:rsidP="00A63F69">
      <w:pPr>
        <w:jc w:val="both"/>
        <w:rPr>
          <w:rFonts w:ascii="Cambria" w:hAnsi="Cambria"/>
          <w:sz w:val="20"/>
          <w:szCs w:val="20"/>
          <w:lang w:val="en-GB"/>
        </w:rPr>
      </w:pPr>
    </w:p>
    <w:p w14:paraId="099BAD7D" w14:textId="77777777" w:rsidR="006B3200" w:rsidRPr="00A63F69" w:rsidRDefault="006B3200" w:rsidP="00A63F69">
      <w:pPr>
        <w:pStyle w:val="ListParagraph"/>
        <w:tabs>
          <w:tab w:val="left" w:pos="426"/>
        </w:tabs>
        <w:ind w:left="432"/>
        <w:jc w:val="both"/>
        <w:rPr>
          <w:rFonts w:ascii="Cambria" w:hAnsi="Cambria"/>
          <w:i/>
          <w:iCs/>
          <w:sz w:val="20"/>
          <w:szCs w:val="20"/>
        </w:rPr>
      </w:pPr>
      <w:r w:rsidRPr="00A63F69">
        <w:rPr>
          <w:rFonts w:ascii="Cambria" w:hAnsi="Cambria"/>
          <w:i/>
          <w:sz w:val="20"/>
          <w:szCs w:val="20"/>
        </w:rPr>
        <w:t xml:space="preserve">La reunión será inaugurada por el Sr. Shingo </w:t>
      </w:r>
      <w:proofErr w:type="spellStart"/>
      <w:r w:rsidRPr="00A63F69">
        <w:rPr>
          <w:rFonts w:ascii="Cambria" w:hAnsi="Cambria"/>
          <w:i/>
          <w:sz w:val="20"/>
          <w:szCs w:val="20"/>
        </w:rPr>
        <w:t>Ota</w:t>
      </w:r>
      <w:proofErr w:type="spellEnd"/>
      <w:r w:rsidRPr="00A63F69">
        <w:rPr>
          <w:rFonts w:ascii="Cambria" w:hAnsi="Cambria"/>
          <w:i/>
          <w:sz w:val="20"/>
          <w:szCs w:val="20"/>
        </w:rPr>
        <w:t xml:space="preserve"> (Japón), presidente de la Subcomisión 2.</w:t>
      </w:r>
    </w:p>
    <w:p w14:paraId="345B3B99" w14:textId="77777777" w:rsidR="006B3200" w:rsidRPr="00A63F69" w:rsidRDefault="006B3200" w:rsidP="00A63F69">
      <w:pPr>
        <w:jc w:val="both"/>
        <w:rPr>
          <w:rFonts w:ascii="Cambria" w:hAnsi="Cambria"/>
          <w:sz w:val="20"/>
          <w:szCs w:val="20"/>
        </w:rPr>
      </w:pPr>
    </w:p>
    <w:p w14:paraId="2B0A3659"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Nombramiento del relator</w:t>
      </w:r>
    </w:p>
    <w:p w14:paraId="41D3BF09" w14:textId="77777777" w:rsidR="006B3200" w:rsidRPr="00A63F69" w:rsidRDefault="006B3200" w:rsidP="00A63F69">
      <w:pPr>
        <w:ind w:left="450" w:hanging="450"/>
        <w:jc w:val="both"/>
        <w:rPr>
          <w:rFonts w:ascii="Cambria" w:hAnsi="Cambria"/>
          <w:sz w:val="20"/>
          <w:szCs w:val="20"/>
          <w:lang w:val="en-GB"/>
        </w:rPr>
      </w:pPr>
    </w:p>
    <w:p w14:paraId="735499C7"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Adopción del orden del día</w:t>
      </w:r>
    </w:p>
    <w:p w14:paraId="0F9C5B83" w14:textId="77777777" w:rsidR="006B3200" w:rsidRPr="00A63F69" w:rsidRDefault="006B3200" w:rsidP="00A63F69">
      <w:pPr>
        <w:pStyle w:val="ListParagraph"/>
        <w:ind w:left="0"/>
        <w:jc w:val="both"/>
        <w:rPr>
          <w:rFonts w:ascii="Cambria" w:hAnsi="Cambria"/>
          <w:sz w:val="20"/>
          <w:szCs w:val="20"/>
          <w:lang w:val="en-GB"/>
        </w:rPr>
      </w:pPr>
    </w:p>
    <w:p w14:paraId="7C6F5992" w14:textId="77777777" w:rsidR="006B3200" w:rsidRPr="00A63F69" w:rsidRDefault="006B3200" w:rsidP="00A63F69">
      <w:pPr>
        <w:pStyle w:val="ListParagraph"/>
        <w:ind w:left="450"/>
        <w:jc w:val="both"/>
        <w:rPr>
          <w:rFonts w:ascii="Cambria" w:hAnsi="Cambria"/>
          <w:sz w:val="20"/>
          <w:szCs w:val="20"/>
        </w:rPr>
      </w:pPr>
      <w:r w:rsidRPr="00A63F69">
        <w:rPr>
          <w:rFonts w:ascii="Cambria" w:hAnsi="Cambria"/>
          <w:i/>
          <w:sz w:val="20"/>
          <w:szCs w:val="20"/>
        </w:rPr>
        <w:t xml:space="preserve">El orden del día de la Subcomisión 2 está disponible como </w:t>
      </w:r>
      <w:r w:rsidRPr="00A63F69">
        <w:rPr>
          <w:rFonts w:ascii="Cambria" w:hAnsi="Cambria"/>
          <w:b/>
          <w:bCs/>
          <w:i/>
          <w:sz w:val="20"/>
          <w:szCs w:val="20"/>
        </w:rPr>
        <w:t>PA2-600/2025</w:t>
      </w:r>
      <w:r w:rsidRPr="00A63F69">
        <w:rPr>
          <w:rFonts w:ascii="Cambria" w:hAnsi="Cambria"/>
          <w:i/>
          <w:sz w:val="20"/>
          <w:szCs w:val="20"/>
        </w:rPr>
        <w:t>.</w:t>
      </w:r>
    </w:p>
    <w:p w14:paraId="56CC43F4" w14:textId="77777777" w:rsidR="006B3200" w:rsidRPr="00A63F69" w:rsidRDefault="006B3200" w:rsidP="00A63F69">
      <w:pPr>
        <w:pStyle w:val="ListParagraph"/>
        <w:ind w:left="0"/>
        <w:jc w:val="both"/>
        <w:rPr>
          <w:rFonts w:ascii="Cambria" w:hAnsi="Cambria"/>
          <w:sz w:val="20"/>
          <w:szCs w:val="20"/>
        </w:rPr>
      </w:pPr>
    </w:p>
    <w:p w14:paraId="7557C2AD"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Examen de los miembros de la Subcomisión</w:t>
      </w:r>
    </w:p>
    <w:p w14:paraId="42D45B49" w14:textId="77777777" w:rsidR="006B3200" w:rsidRPr="00A63F69" w:rsidRDefault="006B3200" w:rsidP="00A63F69">
      <w:pPr>
        <w:pStyle w:val="ListParagraph"/>
        <w:ind w:left="0"/>
        <w:jc w:val="both"/>
        <w:rPr>
          <w:rFonts w:ascii="Cambria" w:hAnsi="Cambria"/>
          <w:sz w:val="20"/>
          <w:szCs w:val="20"/>
        </w:rPr>
      </w:pPr>
    </w:p>
    <w:p w14:paraId="67BEE3D9" w14:textId="77777777" w:rsidR="006B3200" w:rsidRPr="00A63F69" w:rsidRDefault="006B3200" w:rsidP="00A63F69">
      <w:pPr>
        <w:pStyle w:val="ListParagraph"/>
        <w:ind w:left="450"/>
        <w:jc w:val="both"/>
        <w:rPr>
          <w:rFonts w:ascii="Cambria" w:hAnsi="Cambria"/>
          <w:sz w:val="20"/>
          <w:szCs w:val="20"/>
        </w:rPr>
      </w:pPr>
      <w:r w:rsidRPr="00A63F69">
        <w:rPr>
          <w:rFonts w:ascii="Cambria" w:hAnsi="Cambria"/>
          <w:i/>
          <w:sz w:val="20"/>
          <w:szCs w:val="20"/>
        </w:rPr>
        <w:t xml:space="preserve">Puede consultarse información detallada en el documento </w:t>
      </w:r>
      <w:r w:rsidRPr="00A63F69">
        <w:rPr>
          <w:rFonts w:ascii="Cambria" w:hAnsi="Cambria"/>
          <w:b/>
          <w:bCs/>
          <w:i/>
          <w:sz w:val="20"/>
          <w:szCs w:val="20"/>
        </w:rPr>
        <w:t>GEN-004/2025</w:t>
      </w:r>
      <w:r w:rsidRPr="00A63F69">
        <w:rPr>
          <w:rFonts w:ascii="Cambria" w:hAnsi="Cambria"/>
          <w:i/>
          <w:sz w:val="20"/>
          <w:szCs w:val="20"/>
        </w:rPr>
        <w:t>. El secretario ejecutivo comunicará a la Subcomisión cualquier cambio en sus miembros.</w:t>
      </w:r>
    </w:p>
    <w:p w14:paraId="2137DDFE" w14:textId="77777777" w:rsidR="006B3200" w:rsidRPr="00A63F69" w:rsidRDefault="006B3200" w:rsidP="00A63F69">
      <w:pPr>
        <w:pStyle w:val="ListParagraph"/>
        <w:ind w:left="0"/>
        <w:jc w:val="both"/>
        <w:rPr>
          <w:rFonts w:ascii="Cambria" w:hAnsi="Cambria"/>
          <w:sz w:val="20"/>
          <w:szCs w:val="20"/>
        </w:rPr>
      </w:pPr>
    </w:p>
    <w:p w14:paraId="774C0ACC"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Informe del Comité Permanente de Investigación y Estadísticas (SCRS)</w:t>
      </w:r>
    </w:p>
    <w:p w14:paraId="3B4736C9" w14:textId="77777777" w:rsidR="006B3200" w:rsidRPr="00A63F69" w:rsidRDefault="006B3200" w:rsidP="00A63F69">
      <w:pPr>
        <w:pStyle w:val="ListParagraph"/>
        <w:ind w:left="0"/>
        <w:jc w:val="both"/>
        <w:rPr>
          <w:rFonts w:ascii="Cambria" w:hAnsi="Cambria"/>
          <w:sz w:val="20"/>
          <w:szCs w:val="20"/>
        </w:rPr>
      </w:pPr>
    </w:p>
    <w:p w14:paraId="360D8E78" w14:textId="77777777" w:rsidR="006B3200" w:rsidRPr="00A63F69" w:rsidRDefault="006B3200" w:rsidP="00A63F69">
      <w:pPr>
        <w:pStyle w:val="ListParagraph"/>
        <w:ind w:left="450"/>
        <w:jc w:val="both"/>
        <w:rPr>
          <w:rFonts w:ascii="Cambria" w:hAnsi="Cambria"/>
          <w:sz w:val="20"/>
          <w:szCs w:val="20"/>
        </w:rPr>
      </w:pPr>
      <w:r w:rsidRPr="00A63F69">
        <w:rPr>
          <w:rFonts w:ascii="Cambria" w:hAnsi="Cambria"/>
          <w:i/>
          <w:sz w:val="20"/>
          <w:szCs w:val="20"/>
        </w:rPr>
        <w:t xml:space="preserve">El informe del SCRS figura como documento </w:t>
      </w:r>
      <w:r w:rsidRPr="00A63F69">
        <w:rPr>
          <w:rFonts w:ascii="Cambria" w:hAnsi="Cambria"/>
          <w:b/>
          <w:bCs/>
          <w:i/>
          <w:sz w:val="20"/>
          <w:szCs w:val="20"/>
        </w:rPr>
        <w:t>PLE-104/2025</w:t>
      </w:r>
      <w:r w:rsidRPr="00A63F69">
        <w:rPr>
          <w:rFonts w:ascii="Cambria" w:hAnsi="Cambria"/>
          <w:i/>
          <w:sz w:val="20"/>
          <w:szCs w:val="20"/>
        </w:rPr>
        <w:t>. El presidente/vicepresidente del SCRS presentará las conclusiones del Comité relativas a la Subcomisión 2 y responderá a las preguntas planteadas sobre las especies de aguas templadas del norte. El presidente/vicepresidente del SCRS también pondrá al día a la Subcomisión sobre las iniciativas de investigación en curso.</w:t>
      </w:r>
    </w:p>
    <w:p w14:paraId="411F5614" w14:textId="77777777" w:rsidR="006B3200" w:rsidRPr="00A63F69" w:rsidRDefault="006B3200" w:rsidP="00A63F69">
      <w:pPr>
        <w:pStyle w:val="ListParagraph"/>
        <w:ind w:left="450"/>
        <w:jc w:val="both"/>
        <w:rPr>
          <w:rFonts w:ascii="Cambria" w:hAnsi="Cambria"/>
          <w:sz w:val="20"/>
          <w:szCs w:val="20"/>
        </w:rPr>
      </w:pPr>
    </w:p>
    <w:p w14:paraId="6A3617DA" w14:textId="77777777" w:rsidR="006B3200" w:rsidRPr="00A63F69" w:rsidRDefault="006B3200" w:rsidP="00A63F69">
      <w:pPr>
        <w:pStyle w:val="ListParagraph"/>
        <w:ind w:left="878" w:hanging="432"/>
        <w:jc w:val="both"/>
        <w:rPr>
          <w:rFonts w:ascii="Cambria" w:hAnsi="Cambria"/>
          <w:sz w:val="20"/>
          <w:szCs w:val="20"/>
        </w:rPr>
      </w:pPr>
      <w:r w:rsidRPr="00A63F69">
        <w:rPr>
          <w:rFonts w:ascii="Cambria" w:hAnsi="Cambria"/>
          <w:sz w:val="20"/>
          <w:szCs w:val="20"/>
        </w:rPr>
        <w:t>5.1</w:t>
      </w:r>
      <w:r w:rsidRPr="00A63F69">
        <w:rPr>
          <w:rFonts w:ascii="Cambria" w:hAnsi="Cambria"/>
          <w:sz w:val="20"/>
          <w:szCs w:val="20"/>
        </w:rPr>
        <w:tab/>
        <w:t>Investigación y respuestas a la Comisión</w:t>
      </w:r>
    </w:p>
    <w:p w14:paraId="383DF730" w14:textId="77777777" w:rsidR="006B3200" w:rsidRPr="00A63F69" w:rsidRDefault="006B3200" w:rsidP="00A63F69">
      <w:pPr>
        <w:pStyle w:val="ListParagraph"/>
        <w:ind w:left="0"/>
        <w:jc w:val="both"/>
        <w:rPr>
          <w:rFonts w:ascii="Cambria" w:hAnsi="Cambria"/>
          <w:sz w:val="20"/>
          <w:szCs w:val="20"/>
        </w:rPr>
      </w:pPr>
    </w:p>
    <w:p w14:paraId="3C40C2FB"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Examen del informe de la reunión intersesiones de la Subcomisión 2, y consideración de las acciones necesarias</w:t>
      </w:r>
    </w:p>
    <w:p w14:paraId="1B84E928" w14:textId="77777777" w:rsidR="006B3200" w:rsidRPr="00A63F69" w:rsidRDefault="006B3200" w:rsidP="00A63F69">
      <w:pPr>
        <w:pStyle w:val="ListParagraph"/>
        <w:ind w:left="0"/>
        <w:jc w:val="both"/>
        <w:rPr>
          <w:rFonts w:ascii="Cambria" w:hAnsi="Cambria"/>
          <w:sz w:val="20"/>
          <w:szCs w:val="20"/>
        </w:rPr>
      </w:pPr>
    </w:p>
    <w:p w14:paraId="4DBFCA11" w14:textId="2DADACF5" w:rsidR="006B3200" w:rsidRPr="00A63F69" w:rsidRDefault="006B3200" w:rsidP="00A63F69">
      <w:pPr>
        <w:ind w:left="450"/>
        <w:jc w:val="both"/>
        <w:rPr>
          <w:rFonts w:ascii="Cambria" w:hAnsi="Cambria"/>
          <w:i/>
          <w:iCs/>
          <w:sz w:val="20"/>
          <w:szCs w:val="20"/>
        </w:rPr>
      </w:pPr>
      <w:r w:rsidRPr="00A63F69">
        <w:rPr>
          <w:rFonts w:ascii="Cambria" w:hAnsi="Cambria"/>
          <w:i/>
          <w:sz w:val="20"/>
          <w:szCs w:val="20"/>
        </w:rPr>
        <w:t xml:space="preserve">El "Informe de la reunión intersesiones de la Subcomisión 2" está disponible como documento </w:t>
      </w:r>
      <w:r w:rsidRPr="00A63F69">
        <w:rPr>
          <w:rFonts w:ascii="Cambria" w:hAnsi="Cambria"/>
          <w:b/>
          <w:i/>
          <w:sz w:val="20"/>
          <w:szCs w:val="20"/>
        </w:rPr>
        <w:t>PA2-602/2025.</w:t>
      </w:r>
      <w:r w:rsidRPr="00A63F69">
        <w:rPr>
          <w:rFonts w:ascii="Cambria" w:hAnsi="Cambria"/>
          <w:i/>
          <w:sz w:val="20"/>
          <w:szCs w:val="20"/>
        </w:rPr>
        <w:t xml:space="preserve"> El presidente de la Subcomisión 2 explicará brevemente los resultados de la reunión.</w:t>
      </w:r>
    </w:p>
    <w:p w14:paraId="51B7BB6D" w14:textId="77777777" w:rsidR="006B3200" w:rsidRPr="00A63F69" w:rsidRDefault="006B3200" w:rsidP="00A63F69">
      <w:pPr>
        <w:pStyle w:val="ListParagraph"/>
        <w:ind w:left="0"/>
        <w:jc w:val="both"/>
        <w:rPr>
          <w:rFonts w:ascii="Cambria" w:hAnsi="Cambria"/>
          <w:sz w:val="20"/>
          <w:szCs w:val="20"/>
        </w:rPr>
      </w:pPr>
    </w:p>
    <w:p w14:paraId="109E28DB"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Examen de las tablas de cumplimiento</w:t>
      </w:r>
    </w:p>
    <w:p w14:paraId="1E920E63" w14:textId="77777777" w:rsidR="006B3200" w:rsidRPr="00A63F69" w:rsidRDefault="006B3200" w:rsidP="00A63F69">
      <w:pPr>
        <w:pStyle w:val="ListParagraph"/>
        <w:ind w:left="0"/>
        <w:jc w:val="both"/>
        <w:rPr>
          <w:rFonts w:ascii="Cambria" w:hAnsi="Cambria"/>
          <w:sz w:val="20"/>
          <w:szCs w:val="20"/>
        </w:rPr>
      </w:pPr>
    </w:p>
    <w:p w14:paraId="643EA19D" w14:textId="150B8565" w:rsidR="006B3200" w:rsidRPr="00A63F69" w:rsidRDefault="003A1B84" w:rsidP="00A63F69">
      <w:pPr>
        <w:tabs>
          <w:tab w:val="left" w:pos="426"/>
        </w:tabs>
        <w:ind w:left="450"/>
        <w:jc w:val="both"/>
        <w:rPr>
          <w:rFonts w:ascii="Cambria" w:hAnsi="Cambria"/>
          <w:b/>
          <w:bCs/>
          <w:i/>
          <w:iCs/>
          <w:sz w:val="20"/>
          <w:szCs w:val="20"/>
        </w:rPr>
      </w:pPr>
      <w:r w:rsidRPr="00A63F69">
        <w:rPr>
          <w:rFonts w:ascii="Cambria" w:hAnsi="Cambria"/>
          <w:i/>
          <w:sz w:val="20"/>
          <w:szCs w:val="20"/>
        </w:rPr>
        <w:t>El</w:t>
      </w:r>
      <w:r w:rsidR="006B3200" w:rsidRPr="00A63F69">
        <w:rPr>
          <w:rFonts w:ascii="Cambria" w:hAnsi="Cambria"/>
          <w:i/>
          <w:sz w:val="20"/>
          <w:szCs w:val="20"/>
        </w:rPr>
        <w:t xml:space="preserve"> "</w:t>
      </w:r>
      <w:r w:rsidRPr="00A63F69">
        <w:rPr>
          <w:rFonts w:ascii="Cambria" w:hAnsi="Cambria"/>
          <w:i/>
          <w:sz w:val="20"/>
          <w:szCs w:val="20"/>
        </w:rPr>
        <w:t>Proyecto de t</w:t>
      </w:r>
      <w:r w:rsidR="006B3200" w:rsidRPr="00A63F69">
        <w:rPr>
          <w:rFonts w:ascii="Cambria" w:hAnsi="Cambria"/>
          <w:i/>
          <w:sz w:val="20"/>
          <w:szCs w:val="20"/>
        </w:rPr>
        <w:t xml:space="preserve">ablas de cumplimiento para 2024 recibidas en 2025" se ha publicado como </w:t>
      </w:r>
      <w:r w:rsidR="003E6065" w:rsidRPr="00A63F69">
        <w:rPr>
          <w:rFonts w:ascii="Cambria" w:hAnsi="Cambria"/>
          <w:b/>
          <w:i/>
          <w:sz w:val="20"/>
          <w:szCs w:val="20"/>
        </w:rPr>
        <w:t>COC_304_TRI_REV_3</w:t>
      </w:r>
      <w:r w:rsidR="006B3200" w:rsidRPr="00A63F69">
        <w:rPr>
          <w:rFonts w:ascii="Cambria" w:hAnsi="Cambria"/>
          <w:b/>
          <w:i/>
          <w:sz w:val="20"/>
          <w:szCs w:val="20"/>
        </w:rPr>
        <w:t>/2025.</w:t>
      </w:r>
    </w:p>
    <w:p w14:paraId="51CADFF9" w14:textId="77777777" w:rsidR="006B3200" w:rsidRPr="00A63F69" w:rsidRDefault="006B3200" w:rsidP="00A63F69">
      <w:pPr>
        <w:tabs>
          <w:tab w:val="left" w:pos="426"/>
        </w:tabs>
        <w:ind w:left="432" w:hanging="432"/>
        <w:jc w:val="both"/>
        <w:rPr>
          <w:rFonts w:ascii="Cambria" w:hAnsi="Cambria"/>
          <w:sz w:val="20"/>
          <w:szCs w:val="20"/>
        </w:rPr>
      </w:pPr>
    </w:p>
    <w:p w14:paraId="6EFF286C" w14:textId="1BBFE5C4" w:rsidR="006B3200" w:rsidRPr="00A63F69" w:rsidRDefault="006B3200" w:rsidP="00A63F69">
      <w:pPr>
        <w:tabs>
          <w:tab w:val="left" w:pos="426"/>
        </w:tabs>
        <w:ind w:left="432" w:hanging="432"/>
        <w:jc w:val="both"/>
        <w:rPr>
          <w:rFonts w:ascii="Cambria" w:hAnsi="Cambria"/>
          <w:i/>
          <w:iCs/>
          <w:sz w:val="20"/>
          <w:szCs w:val="20"/>
        </w:rPr>
      </w:pPr>
      <w:r w:rsidRPr="00A63F69">
        <w:rPr>
          <w:rFonts w:ascii="Cambria" w:hAnsi="Cambria"/>
          <w:i/>
          <w:sz w:val="20"/>
          <w:szCs w:val="20"/>
        </w:rPr>
        <w:tab/>
        <w:t xml:space="preserve">Las tablas sobre atún rojo y atún blanco del norte incluidas en el </w:t>
      </w:r>
      <w:r w:rsidR="003E6065" w:rsidRPr="00A63F69">
        <w:rPr>
          <w:rFonts w:ascii="Cambria" w:hAnsi="Cambria"/>
          <w:b/>
          <w:i/>
          <w:sz w:val="20"/>
          <w:szCs w:val="20"/>
        </w:rPr>
        <w:t>COC_304_TRI_REV_3</w:t>
      </w:r>
      <w:r w:rsidRPr="00A63F69">
        <w:rPr>
          <w:rFonts w:ascii="Cambria" w:hAnsi="Cambria"/>
          <w:b/>
          <w:i/>
          <w:sz w:val="20"/>
          <w:szCs w:val="20"/>
        </w:rPr>
        <w:t>/2025</w:t>
      </w:r>
      <w:r w:rsidRPr="00A63F69">
        <w:rPr>
          <w:rFonts w:ascii="Cambria" w:hAnsi="Cambria"/>
          <w:i/>
          <w:sz w:val="20"/>
          <w:szCs w:val="20"/>
        </w:rPr>
        <w:t xml:space="preserve"> deberían examinarse lo antes posible para determinar si es necesario algún cambio o si podría ser necesaria alguna acción por parte del Comité de </w:t>
      </w:r>
      <w:r w:rsidR="00E10EFB" w:rsidRPr="00A63F69">
        <w:rPr>
          <w:rFonts w:ascii="Cambria" w:hAnsi="Cambria"/>
          <w:i/>
          <w:sz w:val="20"/>
          <w:szCs w:val="20"/>
        </w:rPr>
        <w:t>Cumplimiento</w:t>
      </w:r>
      <w:r w:rsidRPr="00A63F69">
        <w:rPr>
          <w:rFonts w:ascii="Cambria" w:hAnsi="Cambria"/>
          <w:i/>
          <w:sz w:val="20"/>
          <w:szCs w:val="20"/>
        </w:rPr>
        <w:t>.</w:t>
      </w:r>
    </w:p>
    <w:p w14:paraId="4DBEB6B0" w14:textId="77777777" w:rsidR="006B3200" w:rsidRPr="00A63F69" w:rsidRDefault="006B3200" w:rsidP="00A63F69">
      <w:pPr>
        <w:pStyle w:val="ListParagraph"/>
        <w:ind w:left="0"/>
        <w:jc w:val="both"/>
        <w:rPr>
          <w:rFonts w:ascii="Cambria" w:hAnsi="Cambria"/>
          <w:sz w:val="20"/>
          <w:szCs w:val="20"/>
        </w:rPr>
      </w:pPr>
    </w:p>
    <w:p w14:paraId="18D198A7" w14:textId="59C0BCC3"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 xml:space="preserve">Medidas para la conservación de los stocks e implementación de la </w:t>
      </w:r>
      <w:hyperlink r:id="rId34" w:history="1">
        <w:r w:rsidRPr="00A63F69">
          <w:rPr>
            <w:rStyle w:val="Hyperlink"/>
            <w:rFonts w:ascii="Cambria" w:hAnsi="Cambria"/>
            <w:i/>
            <w:iCs/>
            <w:sz w:val="20"/>
            <w:szCs w:val="20"/>
            <w:u w:val="none"/>
          </w:rPr>
          <w:t>Resolución de ICCAT sobre los criterios de ICCAT para la asignación de posibilidades de pesca</w:t>
        </w:r>
        <w:r w:rsidRPr="00A63F69">
          <w:rPr>
            <w:rStyle w:val="Hyperlink"/>
            <w:rFonts w:ascii="Cambria" w:hAnsi="Cambria"/>
            <w:sz w:val="20"/>
            <w:szCs w:val="20"/>
            <w:u w:val="none"/>
          </w:rPr>
          <w:t xml:space="preserve"> (Res. 15-13)</w:t>
        </w:r>
      </w:hyperlink>
    </w:p>
    <w:p w14:paraId="3BDA07B9" w14:textId="77777777" w:rsidR="006B3200" w:rsidRPr="00A63F69" w:rsidRDefault="006B3200" w:rsidP="00A63F69">
      <w:pPr>
        <w:pStyle w:val="ListParagraph"/>
        <w:ind w:left="0"/>
        <w:jc w:val="both"/>
        <w:rPr>
          <w:rFonts w:ascii="Cambria" w:hAnsi="Cambria"/>
          <w:sz w:val="20"/>
          <w:szCs w:val="20"/>
        </w:rPr>
      </w:pPr>
    </w:p>
    <w:p w14:paraId="366721DE" w14:textId="13F30876" w:rsidR="006B3200" w:rsidRPr="00A63F69" w:rsidRDefault="006B3200" w:rsidP="00A63F69">
      <w:pPr>
        <w:ind w:left="426"/>
        <w:jc w:val="both"/>
        <w:rPr>
          <w:rFonts w:ascii="Cambria" w:hAnsi="Cambria"/>
          <w:i/>
          <w:iCs/>
          <w:color w:val="0563C1" w:themeColor="hyperlink"/>
          <w:sz w:val="20"/>
          <w:szCs w:val="20"/>
        </w:rPr>
      </w:pPr>
      <w:r w:rsidRPr="00A63F69">
        <w:rPr>
          <w:rFonts w:ascii="Cambria" w:hAnsi="Cambria"/>
          <w:i/>
          <w:sz w:val="20"/>
          <w:szCs w:val="20"/>
        </w:rPr>
        <w:t xml:space="preserve">La </w:t>
      </w:r>
      <w:hyperlink r:id="rId35" w:history="1">
        <w:r w:rsidRPr="00A63F69">
          <w:rPr>
            <w:rStyle w:val="Hyperlink"/>
            <w:rFonts w:ascii="Cambria" w:hAnsi="Cambria"/>
            <w:i/>
            <w:sz w:val="20"/>
            <w:szCs w:val="20"/>
            <w:u w:val="none"/>
          </w:rPr>
          <w:t>Rec. 24-05</w:t>
        </w:r>
      </w:hyperlink>
      <w:r w:rsidRPr="00A63F69">
        <w:rPr>
          <w:rFonts w:ascii="Cambria" w:hAnsi="Cambria"/>
          <w:i/>
          <w:color w:val="0563C1" w:themeColor="hyperlink"/>
          <w:sz w:val="20"/>
          <w:szCs w:val="20"/>
        </w:rPr>
        <w:t xml:space="preserve"> </w:t>
      </w:r>
      <w:r w:rsidRPr="00A63F69">
        <w:rPr>
          <w:rFonts w:ascii="Cambria" w:hAnsi="Cambria"/>
          <w:i/>
          <w:sz w:val="20"/>
          <w:szCs w:val="20"/>
        </w:rPr>
        <w:t>establece que "los TAC para 2026 y años posteriores se decidirán en la reunión anual de la Comisión de 2025, de conformidad con el procedimiento de ordenación (MP)."</w:t>
      </w:r>
    </w:p>
    <w:p w14:paraId="2D8B1D70" w14:textId="77777777" w:rsidR="006B3200" w:rsidRPr="00A63F69" w:rsidRDefault="006B3200" w:rsidP="00A63F69">
      <w:pPr>
        <w:ind w:left="426"/>
        <w:jc w:val="both"/>
        <w:rPr>
          <w:rFonts w:ascii="Cambria" w:hAnsi="Cambria"/>
          <w:i/>
          <w:iCs/>
          <w:color w:val="0563C1" w:themeColor="hyperlink"/>
          <w:sz w:val="20"/>
          <w:szCs w:val="20"/>
        </w:rPr>
      </w:pPr>
    </w:p>
    <w:p w14:paraId="4CF518B8" w14:textId="77777777" w:rsidR="006B3200" w:rsidRPr="00A63F69" w:rsidRDefault="006B3200" w:rsidP="00A63F69">
      <w:pPr>
        <w:ind w:left="426"/>
        <w:jc w:val="both"/>
        <w:rPr>
          <w:rFonts w:ascii="Cambria" w:hAnsi="Cambria"/>
          <w:i/>
          <w:iCs/>
          <w:sz w:val="20"/>
          <w:szCs w:val="20"/>
        </w:rPr>
      </w:pPr>
      <w:r w:rsidRPr="00A63F69">
        <w:rPr>
          <w:rFonts w:ascii="Cambria" w:hAnsi="Cambria"/>
          <w:i/>
          <w:iCs/>
          <w:sz w:val="20"/>
          <w:szCs w:val="20"/>
        </w:rPr>
        <w:t>Las CPC han presentado los siguientes documentos:</w:t>
      </w:r>
    </w:p>
    <w:p w14:paraId="71C22C2C" w14:textId="77777777" w:rsidR="006B3200" w:rsidRPr="00A63F69" w:rsidRDefault="006B3200" w:rsidP="00A63F69">
      <w:pPr>
        <w:ind w:left="426"/>
        <w:jc w:val="both"/>
        <w:rPr>
          <w:rFonts w:ascii="Cambria" w:hAnsi="Cambria"/>
          <w:i/>
          <w:iCs/>
          <w:color w:val="0563C1" w:themeColor="hyperlink"/>
          <w:sz w:val="20"/>
          <w:szCs w:val="20"/>
        </w:rPr>
      </w:pPr>
    </w:p>
    <w:p w14:paraId="41259250"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"Solicitud de asignación de Límites de captura de atún rojo (BFT) para la República de Panamá a partir del 1 de enero de 2026 e información adicional" presentado por Panamá como documento </w:t>
      </w:r>
      <w:r w:rsidRPr="00A63F69">
        <w:rPr>
          <w:rFonts w:ascii="Cambria" w:hAnsi="Cambria"/>
          <w:b/>
          <w:i/>
          <w:color w:val="000000" w:themeColor="text1"/>
          <w:sz w:val="20"/>
          <w:szCs w:val="20"/>
        </w:rPr>
        <w:t>PA2-603/2025</w:t>
      </w:r>
      <w:r w:rsidRPr="00A63F69">
        <w:rPr>
          <w:rFonts w:ascii="Cambria" w:hAnsi="Cambria"/>
          <w:i/>
          <w:color w:val="000000" w:themeColor="text1"/>
          <w:sz w:val="20"/>
          <w:szCs w:val="20"/>
        </w:rPr>
        <w:t>.</w:t>
      </w:r>
    </w:p>
    <w:p w14:paraId="596AEA7E" w14:textId="77777777" w:rsidR="006B3200" w:rsidRPr="00A63F69" w:rsidRDefault="006B3200" w:rsidP="00A63F69">
      <w:pPr>
        <w:ind w:left="426"/>
        <w:jc w:val="both"/>
        <w:rPr>
          <w:rFonts w:ascii="Cambria" w:hAnsi="Cambria"/>
          <w:i/>
          <w:iCs/>
          <w:color w:val="000000" w:themeColor="text1"/>
          <w:sz w:val="20"/>
          <w:szCs w:val="20"/>
        </w:rPr>
      </w:pPr>
    </w:p>
    <w:p w14:paraId="75B2BF08" w14:textId="4AC3A280" w:rsidR="006B3200" w:rsidRPr="00A63F69" w:rsidRDefault="006B3200" w:rsidP="00A63F69">
      <w:pPr>
        <w:ind w:left="426"/>
        <w:jc w:val="both"/>
        <w:rPr>
          <w:rFonts w:ascii="Cambria" w:hAnsi="Cambria"/>
          <w:b/>
          <w:bCs/>
          <w:i/>
          <w:iCs/>
          <w:color w:val="000000" w:themeColor="text1"/>
          <w:sz w:val="20"/>
          <w:szCs w:val="20"/>
        </w:rPr>
      </w:pPr>
      <w:r w:rsidRPr="00A63F69">
        <w:rPr>
          <w:rFonts w:ascii="Cambria" w:hAnsi="Cambria"/>
          <w:i/>
          <w:color w:val="000000" w:themeColor="text1"/>
          <w:sz w:val="20"/>
          <w:szCs w:val="20"/>
        </w:rPr>
        <w:t xml:space="preserve">"Proyecto de Resolución de ICCAT sobre un proyecto piloto para el almacenamiento de corta duración de atún rojo vivo" presentado por Noruega como documento </w:t>
      </w:r>
      <w:r w:rsidRPr="00A63F69">
        <w:rPr>
          <w:rFonts w:ascii="Cambria" w:hAnsi="Cambria"/>
          <w:b/>
          <w:i/>
          <w:color w:val="000000" w:themeColor="text1"/>
          <w:sz w:val="20"/>
          <w:szCs w:val="20"/>
        </w:rPr>
        <w:t>PA2-604</w:t>
      </w:r>
      <w:r w:rsidR="00007917" w:rsidRPr="00A63F69">
        <w:rPr>
          <w:rFonts w:ascii="Cambria" w:hAnsi="Cambria"/>
          <w:b/>
          <w:i/>
          <w:color w:val="000000" w:themeColor="text1"/>
          <w:sz w:val="20"/>
          <w:szCs w:val="20"/>
        </w:rPr>
        <w:t>_REV_1</w:t>
      </w:r>
      <w:r w:rsidRPr="00A63F69">
        <w:rPr>
          <w:rFonts w:ascii="Cambria" w:hAnsi="Cambria"/>
          <w:b/>
          <w:i/>
          <w:color w:val="000000" w:themeColor="text1"/>
          <w:sz w:val="20"/>
          <w:szCs w:val="20"/>
        </w:rPr>
        <w:t>/2025.</w:t>
      </w:r>
    </w:p>
    <w:p w14:paraId="65579F3F" w14:textId="77777777" w:rsidR="006B3200" w:rsidRPr="00A63F69" w:rsidRDefault="006B3200" w:rsidP="00A63F69">
      <w:pPr>
        <w:ind w:left="426"/>
        <w:jc w:val="both"/>
        <w:rPr>
          <w:rFonts w:ascii="Cambria" w:hAnsi="Cambria"/>
          <w:b/>
          <w:bCs/>
          <w:i/>
          <w:iCs/>
          <w:color w:val="000000" w:themeColor="text1"/>
          <w:sz w:val="20"/>
          <w:szCs w:val="20"/>
        </w:rPr>
      </w:pPr>
    </w:p>
    <w:p w14:paraId="6D853223" w14:textId="77777777" w:rsidR="006B3200" w:rsidRPr="00A63F69" w:rsidRDefault="006B3200" w:rsidP="00A63F69">
      <w:pPr>
        <w:ind w:left="426"/>
        <w:jc w:val="both"/>
        <w:rPr>
          <w:rFonts w:ascii="Cambria" w:hAnsi="Cambria"/>
          <w:b/>
          <w:bCs/>
          <w:i/>
          <w:iCs/>
          <w:color w:val="000000" w:themeColor="text1"/>
          <w:sz w:val="20"/>
          <w:szCs w:val="20"/>
        </w:rPr>
      </w:pPr>
      <w:r w:rsidRPr="00A63F69">
        <w:rPr>
          <w:rFonts w:ascii="Cambria" w:hAnsi="Cambria"/>
          <w:i/>
          <w:color w:val="000000" w:themeColor="text1"/>
          <w:sz w:val="20"/>
          <w:szCs w:val="20"/>
        </w:rPr>
        <w:t xml:space="preserve"> "Solicitud de aumento de la cuota de atún rojo del Atlántico este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w:t>
      </w:r>
      <w:proofErr w:type="spellStart"/>
      <w:r w:rsidRPr="00A63F69">
        <w:rPr>
          <w:rFonts w:ascii="Cambria" w:hAnsi="Cambria"/>
          <w:i/>
          <w:color w:val="000000" w:themeColor="text1"/>
          <w:sz w:val="20"/>
          <w:szCs w:val="20"/>
        </w:rPr>
        <w:t>thynnus</w:t>
      </w:r>
      <w:proofErr w:type="spellEnd"/>
      <w:r w:rsidRPr="00A63F69">
        <w:rPr>
          <w:rFonts w:ascii="Cambria" w:hAnsi="Cambria"/>
          <w:i/>
          <w:color w:val="000000" w:themeColor="text1"/>
          <w:sz w:val="20"/>
          <w:szCs w:val="20"/>
        </w:rPr>
        <w:t xml:space="preserve">) (BFT) para Argelia" presentado por Argelia como documento </w:t>
      </w:r>
      <w:r w:rsidRPr="00A63F69">
        <w:rPr>
          <w:rFonts w:ascii="Cambria" w:hAnsi="Cambria"/>
          <w:b/>
          <w:i/>
          <w:color w:val="000000" w:themeColor="text1"/>
          <w:sz w:val="20"/>
          <w:szCs w:val="20"/>
        </w:rPr>
        <w:t>PA2-607/2025.</w:t>
      </w:r>
    </w:p>
    <w:p w14:paraId="29E16B64" w14:textId="77777777" w:rsidR="006B3200" w:rsidRPr="00A63F69" w:rsidRDefault="006B3200" w:rsidP="00A63F69">
      <w:pPr>
        <w:ind w:left="426"/>
        <w:jc w:val="both"/>
        <w:rPr>
          <w:rFonts w:ascii="Cambria" w:hAnsi="Cambria"/>
          <w:i/>
          <w:iCs/>
          <w:color w:val="000000" w:themeColor="text1"/>
          <w:sz w:val="20"/>
          <w:szCs w:val="20"/>
        </w:rPr>
      </w:pPr>
    </w:p>
    <w:p w14:paraId="47E1ACC6"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"Plan de desarrollo de las pesquerías de atún rojo del Reino Unido 2026-2028", presentado por el Reino Unido como documento </w:t>
      </w:r>
      <w:r w:rsidRPr="00A63F69">
        <w:rPr>
          <w:rFonts w:ascii="Cambria" w:hAnsi="Cambria"/>
          <w:b/>
          <w:i/>
          <w:color w:val="000000" w:themeColor="text1"/>
          <w:sz w:val="20"/>
          <w:szCs w:val="20"/>
        </w:rPr>
        <w:t>PA2-608/2025</w:t>
      </w:r>
      <w:r w:rsidRPr="00A63F69">
        <w:rPr>
          <w:rFonts w:ascii="Cambria" w:hAnsi="Cambria"/>
          <w:i/>
          <w:color w:val="000000" w:themeColor="text1"/>
          <w:sz w:val="20"/>
          <w:szCs w:val="20"/>
        </w:rPr>
        <w:t>.</w:t>
      </w:r>
    </w:p>
    <w:p w14:paraId="37AE12C7" w14:textId="77777777" w:rsidR="006B3200" w:rsidRPr="00A63F69" w:rsidRDefault="006B3200" w:rsidP="00A63F69">
      <w:pPr>
        <w:ind w:left="426"/>
        <w:jc w:val="both"/>
        <w:rPr>
          <w:rFonts w:ascii="Cambria" w:hAnsi="Cambria"/>
          <w:i/>
          <w:iCs/>
          <w:color w:val="000000" w:themeColor="text1"/>
          <w:sz w:val="20"/>
          <w:szCs w:val="20"/>
        </w:rPr>
      </w:pPr>
    </w:p>
    <w:p w14:paraId="2C1336E2"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"Proyecto de Recomendación de ICCAT para un proyecto piloto de cría de atún rojo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w:t>
      </w:r>
      <w:proofErr w:type="spellStart"/>
      <w:r w:rsidRPr="00A63F69">
        <w:rPr>
          <w:rFonts w:ascii="Cambria" w:hAnsi="Cambria"/>
          <w:i/>
          <w:color w:val="000000" w:themeColor="text1"/>
          <w:sz w:val="20"/>
          <w:szCs w:val="20"/>
        </w:rPr>
        <w:t>thynnus</w:t>
      </w:r>
      <w:proofErr w:type="spellEnd"/>
      <w:r w:rsidRPr="00A63F69">
        <w:rPr>
          <w:rFonts w:ascii="Cambria" w:hAnsi="Cambria"/>
          <w:i/>
          <w:color w:val="000000" w:themeColor="text1"/>
          <w:sz w:val="20"/>
          <w:szCs w:val="20"/>
        </w:rPr>
        <w:t>) y rabil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albacares) en aguas de las islas Canarias", presentado por la Unión Europea como documento </w:t>
      </w:r>
      <w:r w:rsidRPr="00A63F69">
        <w:rPr>
          <w:rFonts w:ascii="Cambria" w:hAnsi="Cambria"/>
          <w:b/>
          <w:i/>
          <w:color w:val="000000" w:themeColor="text1"/>
          <w:sz w:val="20"/>
          <w:szCs w:val="20"/>
        </w:rPr>
        <w:t>PA2-609/2025.</w:t>
      </w:r>
    </w:p>
    <w:p w14:paraId="782D46BA" w14:textId="77777777" w:rsidR="006B3200" w:rsidRPr="00A63F69" w:rsidRDefault="006B3200" w:rsidP="00A63F69">
      <w:pPr>
        <w:ind w:left="426"/>
        <w:jc w:val="both"/>
        <w:rPr>
          <w:rFonts w:ascii="Cambria" w:hAnsi="Cambria"/>
          <w:i/>
          <w:iCs/>
          <w:color w:val="000000" w:themeColor="text1"/>
          <w:sz w:val="20"/>
          <w:szCs w:val="20"/>
        </w:rPr>
      </w:pPr>
    </w:p>
    <w:p w14:paraId="7BFF4A79"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establece un plan de ordenación plurianual para el atún rojo en el Atlántico este y el Mediterráneo", presentado por la Unión Europea como documento </w:t>
      </w:r>
      <w:r w:rsidRPr="00A63F69">
        <w:rPr>
          <w:rFonts w:ascii="Cambria" w:hAnsi="Cambria"/>
          <w:b/>
          <w:bCs/>
          <w:i/>
          <w:color w:val="000000" w:themeColor="text1"/>
          <w:sz w:val="20"/>
          <w:szCs w:val="20"/>
        </w:rPr>
        <w:t>PA2-610/2025</w:t>
      </w:r>
      <w:r w:rsidRPr="00A63F69">
        <w:rPr>
          <w:rFonts w:ascii="Cambria" w:hAnsi="Cambria"/>
          <w:i/>
          <w:color w:val="000000" w:themeColor="text1"/>
          <w:sz w:val="20"/>
          <w:szCs w:val="20"/>
        </w:rPr>
        <w:t>.</w:t>
      </w:r>
    </w:p>
    <w:p w14:paraId="0BD8FC5F" w14:textId="77777777" w:rsidR="006B3200" w:rsidRPr="00A63F69" w:rsidRDefault="006B3200" w:rsidP="00A63F69">
      <w:pPr>
        <w:ind w:left="426"/>
        <w:jc w:val="both"/>
        <w:rPr>
          <w:rFonts w:ascii="Cambria" w:hAnsi="Cambria"/>
          <w:i/>
          <w:iCs/>
          <w:color w:val="000000" w:themeColor="text1"/>
          <w:sz w:val="20"/>
          <w:szCs w:val="20"/>
        </w:rPr>
      </w:pPr>
    </w:p>
    <w:p w14:paraId="1E567818" w14:textId="2F79B0F8"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"Proyecto de Recomendación de ICCAT  para un plan de conservación y ordenación para el atún rojo del Atlántico oeste", presentad</w:t>
      </w:r>
      <w:r w:rsidR="00D04943" w:rsidRPr="00A63F69">
        <w:rPr>
          <w:rFonts w:ascii="Cambria" w:hAnsi="Cambria"/>
          <w:i/>
          <w:color w:val="000000" w:themeColor="text1"/>
          <w:sz w:val="20"/>
          <w:szCs w:val="20"/>
        </w:rPr>
        <w:t>o</w:t>
      </w:r>
      <w:r w:rsidRPr="00A63F69">
        <w:rPr>
          <w:rFonts w:ascii="Cambria" w:hAnsi="Cambria"/>
          <w:i/>
          <w:color w:val="000000" w:themeColor="text1"/>
          <w:sz w:val="20"/>
          <w:szCs w:val="20"/>
        </w:rPr>
        <w:t xml:space="preserve"> por la Unión Europea como documento </w:t>
      </w:r>
      <w:r w:rsidRPr="00A63F69">
        <w:rPr>
          <w:rFonts w:ascii="Cambria" w:hAnsi="Cambria"/>
          <w:b/>
          <w:bCs/>
          <w:i/>
          <w:color w:val="000000" w:themeColor="text1"/>
          <w:sz w:val="20"/>
          <w:szCs w:val="20"/>
        </w:rPr>
        <w:t>PA2-611/2025</w:t>
      </w:r>
      <w:r w:rsidRPr="00A63F69">
        <w:rPr>
          <w:rFonts w:ascii="Cambria" w:hAnsi="Cambria"/>
          <w:i/>
          <w:color w:val="000000" w:themeColor="text1"/>
          <w:sz w:val="20"/>
          <w:szCs w:val="20"/>
        </w:rPr>
        <w:t>.</w:t>
      </w:r>
    </w:p>
    <w:p w14:paraId="7649F14E" w14:textId="77777777" w:rsidR="006B3200" w:rsidRPr="00A63F69" w:rsidRDefault="006B3200" w:rsidP="00A63F69">
      <w:pPr>
        <w:ind w:left="426"/>
        <w:jc w:val="both"/>
        <w:rPr>
          <w:rFonts w:ascii="Cambria" w:hAnsi="Cambria"/>
          <w:i/>
          <w:iCs/>
          <w:color w:val="000000" w:themeColor="text1"/>
          <w:sz w:val="20"/>
          <w:szCs w:val="20"/>
        </w:rPr>
      </w:pPr>
    </w:p>
    <w:p w14:paraId="0DBB2D35"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sistema de asignación para el stock de atún rojo del Atlántico este y el Mediterráneo" presentado por el presidente de la Subcomisión 2 como documento </w:t>
      </w:r>
      <w:r w:rsidRPr="00A63F69">
        <w:rPr>
          <w:rFonts w:ascii="Cambria" w:hAnsi="Cambria"/>
          <w:b/>
          <w:i/>
          <w:color w:val="000000" w:themeColor="text1"/>
          <w:sz w:val="20"/>
          <w:szCs w:val="20"/>
        </w:rPr>
        <w:t>PA2-612/2025</w:t>
      </w:r>
      <w:r w:rsidRPr="00A63F69">
        <w:rPr>
          <w:rFonts w:ascii="Cambria" w:hAnsi="Cambria"/>
          <w:i/>
          <w:color w:val="000000" w:themeColor="text1"/>
          <w:sz w:val="20"/>
          <w:szCs w:val="20"/>
        </w:rPr>
        <w:t>.</w:t>
      </w:r>
    </w:p>
    <w:p w14:paraId="60C20512" w14:textId="77777777" w:rsidR="006B3200" w:rsidRPr="00A63F69" w:rsidRDefault="006B3200" w:rsidP="00A63F69">
      <w:pPr>
        <w:ind w:left="426"/>
        <w:jc w:val="both"/>
        <w:rPr>
          <w:rFonts w:ascii="Cambria" w:hAnsi="Cambria"/>
          <w:i/>
          <w:iCs/>
          <w:color w:val="000000" w:themeColor="text1"/>
          <w:sz w:val="20"/>
          <w:szCs w:val="20"/>
        </w:rPr>
      </w:pPr>
    </w:p>
    <w:p w14:paraId="0E4973EF"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sistema de asignación para el stock de atún rojo del Atlántico este y Mediterráneo" presentado por Corea como documento </w:t>
      </w:r>
      <w:r w:rsidRPr="00A63F69">
        <w:rPr>
          <w:rFonts w:ascii="Cambria" w:hAnsi="Cambria"/>
          <w:b/>
          <w:i/>
          <w:color w:val="000000" w:themeColor="text1"/>
          <w:sz w:val="20"/>
          <w:szCs w:val="20"/>
        </w:rPr>
        <w:t>PA2-613/2025</w:t>
      </w:r>
      <w:r w:rsidRPr="00A63F69">
        <w:rPr>
          <w:rFonts w:ascii="Cambria" w:hAnsi="Cambria"/>
          <w:i/>
          <w:color w:val="000000" w:themeColor="text1"/>
          <w:sz w:val="20"/>
          <w:szCs w:val="20"/>
        </w:rPr>
        <w:t>.</w:t>
      </w:r>
    </w:p>
    <w:p w14:paraId="32F15CFC" w14:textId="77777777" w:rsidR="006B3200" w:rsidRPr="00A63F69" w:rsidRDefault="006B3200" w:rsidP="00A63F69">
      <w:pPr>
        <w:ind w:left="426"/>
        <w:jc w:val="both"/>
        <w:rPr>
          <w:rFonts w:ascii="Cambria" w:hAnsi="Cambria"/>
          <w:i/>
          <w:iCs/>
          <w:color w:val="000000" w:themeColor="text1"/>
          <w:sz w:val="20"/>
          <w:szCs w:val="20"/>
        </w:rPr>
      </w:pPr>
    </w:p>
    <w:p w14:paraId="7088FC1F"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sistema de asignación para el atún rojo en el Atlántico este y Mediterráneo", presentado por la Unión Europea como documento </w:t>
      </w:r>
      <w:r w:rsidRPr="00A63F69">
        <w:rPr>
          <w:rFonts w:ascii="Cambria" w:hAnsi="Cambria"/>
          <w:b/>
          <w:bCs/>
          <w:i/>
          <w:color w:val="000000" w:themeColor="text1"/>
          <w:sz w:val="20"/>
          <w:szCs w:val="20"/>
        </w:rPr>
        <w:t>PA2-614/2025</w:t>
      </w:r>
      <w:r w:rsidRPr="00A63F69">
        <w:rPr>
          <w:rFonts w:ascii="Cambria" w:hAnsi="Cambria"/>
          <w:i/>
          <w:color w:val="000000" w:themeColor="text1"/>
          <w:sz w:val="20"/>
          <w:szCs w:val="20"/>
        </w:rPr>
        <w:t>.</w:t>
      </w:r>
    </w:p>
    <w:p w14:paraId="523D2387" w14:textId="77777777" w:rsidR="006B3200" w:rsidRPr="00A63F69" w:rsidRDefault="006B3200" w:rsidP="00A63F69">
      <w:pPr>
        <w:ind w:left="426"/>
        <w:jc w:val="both"/>
        <w:rPr>
          <w:rFonts w:ascii="Cambria" w:hAnsi="Cambria"/>
          <w:i/>
          <w:iCs/>
          <w:color w:val="000000" w:themeColor="text1"/>
          <w:sz w:val="20"/>
          <w:szCs w:val="20"/>
        </w:rPr>
      </w:pPr>
    </w:p>
    <w:p w14:paraId="0E88CC09"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para un plan de conservación y ordenación para el atún rojo del Atlántico oeste", presentado por Canadá como documento </w:t>
      </w:r>
      <w:r w:rsidRPr="00A63F69">
        <w:rPr>
          <w:rFonts w:ascii="Cambria" w:hAnsi="Cambria"/>
          <w:b/>
          <w:bCs/>
          <w:i/>
          <w:color w:val="000000" w:themeColor="text1"/>
          <w:sz w:val="20"/>
          <w:szCs w:val="20"/>
        </w:rPr>
        <w:t>PA2-616/2025</w:t>
      </w:r>
      <w:r w:rsidRPr="00A63F69">
        <w:rPr>
          <w:rFonts w:ascii="Cambria" w:hAnsi="Cambria"/>
          <w:i/>
          <w:color w:val="000000" w:themeColor="text1"/>
          <w:sz w:val="20"/>
          <w:szCs w:val="20"/>
        </w:rPr>
        <w:t>.</w:t>
      </w:r>
    </w:p>
    <w:p w14:paraId="31082E84" w14:textId="77777777" w:rsidR="006B3200" w:rsidRPr="00A63F69" w:rsidRDefault="006B3200" w:rsidP="00A63F69">
      <w:pPr>
        <w:ind w:left="426"/>
        <w:jc w:val="both"/>
        <w:rPr>
          <w:rFonts w:ascii="Cambria" w:hAnsi="Cambria"/>
          <w:i/>
          <w:iCs/>
          <w:color w:val="000000" w:themeColor="text1"/>
          <w:sz w:val="20"/>
          <w:szCs w:val="20"/>
        </w:rPr>
      </w:pPr>
    </w:p>
    <w:p w14:paraId="21ED4F1A"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22-10 y la Recomendación 24-05", presentado por Estados Unidos como documento </w:t>
      </w:r>
      <w:r w:rsidRPr="00A63F69">
        <w:rPr>
          <w:rFonts w:ascii="Cambria" w:hAnsi="Cambria"/>
          <w:b/>
          <w:i/>
          <w:color w:val="000000" w:themeColor="text1"/>
          <w:sz w:val="20"/>
          <w:szCs w:val="20"/>
        </w:rPr>
        <w:t>PA2-617/2025</w:t>
      </w:r>
      <w:r w:rsidRPr="00A63F69">
        <w:rPr>
          <w:rFonts w:ascii="Cambria" w:hAnsi="Cambria"/>
          <w:i/>
          <w:color w:val="000000" w:themeColor="text1"/>
          <w:sz w:val="20"/>
          <w:szCs w:val="20"/>
        </w:rPr>
        <w:t>.</w:t>
      </w:r>
    </w:p>
    <w:p w14:paraId="2800676C" w14:textId="77777777" w:rsidR="006B3200" w:rsidRPr="00A63F69" w:rsidRDefault="006B3200" w:rsidP="00A63F69">
      <w:pPr>
        <w:ind w:left="426"/>
        <w:jc w:val="both"/>
        <w:rPr>
          <w:rFonts w:ascii="Cambria" w:hAnsi="Cambria"/>
          <w:i/>
          <w:iCs/>
          <w:color w:val="000000" w:themeColor="text1"/>
          <w:sz w:val="20"/>
          <w:szCs w:val="20"/>
        </w:rPr>
      </w:pPr>
    </w:p>
    <w:p w14:paraId="2E3F5ED8" w14:textId="357FA4F9" w:rsidR="00CC2E37" w:rsidRPr="00A63F69" w:rsidRDefault="00CC2E37"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w:t>
      </w:r>
      <w:r w:rsidR="00D04943" w:rsidRPr="00A63F69">
        <w:rPr>
          <w:rFonts w:ascii="Cambria" w:hAnsi="Cambria"/>
          <w:i/>
          <w:color w:val="000000" w:themeColor="text1"/>
          <w:sz w:val="20"/>
          <w:szCs w:val="20"/>
        </w:rPr>
        <w:t xml:space="preserve">Respuesta del Reino Unido al </w:t>
      </w:r>
      <w:r w:rsidR="00D04943" w:rsidRPr="00A63F69">
        <w:rPr>
          <w:rFonts w:ascii="Cambria" w:hAnsi="Cambria"/>
          <w:i/>
          <w:color w:val="000000" w:themeColor="text1"/>
          <w:sz w:val="20"/>
          <w:szCs w:val="20"/>
        </w:rPr>
        <w:t>‘</w:t>
      </w:r>
      <w:r w:rsidR="00D04943" w:rsidRPr="00A63F69">
        <w:rPr>
          <w:rFonts w:ascii="Cambria" w:hAnsi="Cambria"/>
          <w:i/>
          <w:color w:val="000000" w:themeColor="text1"/>
          <w:sz w:val="20"/>
          <w:szCs w:val="20"/>
        </w:rPr>
        <w:t>Proyecto del esquema de asignación para el stock de atún rojo del Atlántico este y el Mediterráneo</w:t>
      </w:r>
      <w:r w:rsidR="00D04943" w:rsidRPr="00A63F69">
        <w:rPr>
          <w:rFonts w:ascii="Cambria" w:hAnsi="Cambria"/>
          <w:i/>
          <w:color w:val="000000" w:themeColor="text1"/>
          <w:sz w:val="20"/>
          <w:szCs w:val="20"/>
        </w:rPr>
        <w:t>’</w:t>
      </w:r>
      <w:r w:rsidR="00D04943" w:rsidRPr="00A63F69">
        <w:rPr>
          <w:rFonts w:ascii="Cambria" w:hAnsi="Cambria"/>
          <w:i/>
          <w:color w:val="000000" w:themeColor="text1"/>
          <w:sz w:val="20"/>
          <w:szCs w:val="20"/>
        </w:rPr>
        <w:t xml:space="preserve"> (PA2_612/2025) presentado por el presidente</w:t>
      </w:r>
      <w:r w:rsidR="00D04943" w:rsidRPr="00A63F69">
        <w:rPr>
          <w:rFonts w:ascii="Cambria" w:hAnsi="Cambria"/>
          <w:i/>
          <w:color w:val="000000" w:themeColor="text1"/>
          <w:sz w:val="20"/>
          <w:szCs w:val="20"/>
        </w:rPr>
        <w:t>”</w:t>
      </w:r>
      <w:r w:rsidRPr="00A63F69">
        <w:rPr>
          <w:rFonts w:ascii="Cambria" w:hAnsi="Cambria"/>
          <w:i/>
          <w:color w:val="000000" w:themeColor="text1"/>
          <w:sz w:val="20"/>
          <w:szCs w:val="20"/>
        </w:rPr>
        <w:t xml:space="preserve"> presentad</w:t>
      </w:r>
      <w:r w:rsidR="00D04943" w:rsidRPr="00A63F69">
        <w:rPr>
          <w:rFonts w:ascii="Cambria" w:hAnsi="Cambria"/>
          <w:i/>
          <w:color w:val="000000" w:themeColor="text1"/>
          <w:sz w:val="20"/>
          <w:szCs w:val="20"/>
        </w:rPr>
        <w:t>a</w:t>
      </w:r>
      <w:r w:rsidRPr="00A63F69">
        <w:rPr>
          <w:rFonts w:ascii="Cambria" w:hAnsi="Cambria"/>
          <w:i/>
          <w:color w:val="000000" w:themeColor="text1"/>
          <w:sz w:val="20"/>
          <w:szCs w:val="20"/>
        </w:rPr>
        <w:t xml:space="preserve"> por el Reino Unido como documento </w:t>
      </w:r>
      <w:r w:rsidRPr="00A63F69">
        <w:rPr>
          <w:rFonts w:ascii="Cambria" w:hAnsi="Cambria"/>
          <w:b/>
          <w:i/>
          <w:color w:val="000000" w:themeColor="text1"/>
          <w:sz w:val="20"/>
          <w:szCs w:val="20"/>
        </w:rPr>
        <w:t>PA2-620/2025</w:t>
      </w:r>
      <w:r w:rsidRPr="00A63F69">
        <w:rPr>
          <w:rFonts w:ascii="Cambria" w:hAnsi="Cambria"/>
          <w:i/>
          <w:color w:val="000000" w:themeColor="text1"/>
          <w:sz w:val="20"/>
          <w:szCs w:val="20"/>
        </w:rPr>
        <w:t>.</w:t>
      </w:r>
    </w:p>
    <w:p w14:paraId="42DCC8AD" w14:textId="77777777" w:rsidR="00CC2E37" w:rsidRPr="00A63F69" w:rsidRDefault="00CC2E37" w:rsidP="00A63F69">
      <w:pPr>
        <w:ind w:left="426"/>
        <w:jc w:val="both"/>
        <w:rPr>
          <w:rFonts w:ascii="Cambria" w:hAnsi="Cambria"/>
          <w:i/>
          <w:iCs/>
          <w:color w:val="000000" w:themeColor="text1"/>
          <w:sz w:val="20"/>
          <w:szCs w:val="20"/>
        </w:rPr>
      </w:pPr>
    </w:p>
    <w:p w14:paraId="376A11A0" w14:textId="3FC15955"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Identificación de las medidas obsoletas a la luz de lo expuesto en el punto 8 anterior</w:t>
      </w:r>
    </w:p>
    <w:p w14:paraId="7B32FECA" w14:textId="77777777" w:rsidR="006B3200" w:rsidRPr="00A63F69" w:rsidRDefault="006B3200" w:rsidP="00A63F69">
      <w:pPr>
        <w:pStyle w:val="ListParagraph"/>
        <w:ind w:left="0"/>
        <w:jc w:val="both"/>
        <w:rPr>
          <w:rFonts w:ascii="Cambria" w:hAnsi="Cambria"/>
          <w:sz w:val="20"/>
          <w:szCs w:val="20"/>
        </w:rPr>
      </w:pPr>
    </w:p>
    <w:p w14:paraId="6E657926" w14:textId="77777777" w:rsidR="006B3200" w:rsidRPr="00A63F69" w:rsidRDefault="006B3200" w:rsidP="00A63F69">
      <w:pPr>
        <w:pStyle w:val="ListParagraph"/>
        <w:ind w:left="450"/>
        <w:jc w:val="both"/>
        <w:rPr>
          <w:rFonts w:ascii="Cambria" w:hAnsi="Cambria"/>
          <w:sz w:val="20"/>
          <w:szCs w:val="20"/>
        </w:rPr>
      </w:pPr>
      <w:r w:rsidRPr="00A63F69">
        <w:rPr>
          <w:rFonts w:ascii="Cambria" w:hAnsi="Cambria"/>
          <w:i/>
          <w:sz w:val="20"/>
          <w:szCs w:val="20"/>
        </w:rPr>
        <w:t>Si al adoptar nuevas medidas deben rescindirse medidas previas, esto debería identificarse, preferiblemente en la Recomendación o, al menos, ser claramente indicado por la Subcomisión.</w:t>
      </w:r>
    </w:p>
    <w:p w14:paraId="45E5AB0E" w14:textId="77777777" w:rsidR="006B3200" w:rsidRPr="00A63F69" w:rsidRDefault="006B3200" w:rsidP="00A63F69">
      <w:pPr>
        <w:pStyle w:val="ListParagraph"/>
        <w:ind w:left="0"/>
        <w:jc w:val="both"/>
        <w:rPr>
          <w:rFonts w:ascii="Cambria" w:hAnsi="Cambria"/>
          <w:sz w:val="20"/>
          <w:szCs w:val="20"/>
        </w:rPr>
      </w:pPr>
    </w:p>
    <w:p w14:paraId="16E0027E"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Elección del presidente y del posible vicepresidente</w:t>
      </w:r>
    </w:p>
    <w:p w14:paraId="2ACC5D6A" w14:textId="77777777" w:rsidR="006B3200" w:rsidRPr="00A63F69" w:rsidRDefault="006B3200" w:rsidP="00A63F69">
      <w:pPr>
        <w:jc w:val="both"/>
        <w:rPr>
          <w:rFonts w:ascii="Cambria" w:hAnsi="Cambria"/>
          <w:sz w:val="20"/>
          <w:szCs w:val="20"/>
        </w:rPr>
      </w:pPr>
    </w:p>
    <w:p w14:paraId="7D28637A" w14:textId="77777777" w:rsidR="006B3200" w:rsidRPr="00A63F69" w:rsidRDefault="006B3200" w:rsidP="00A63F69">
      <w:pPr>
        <w:ind w:left="450"/>
        <w:jc w:val="both"/>
        <w:rPr>
          <w:rFonts w:ascii="Cambria" w:hAnsi="Cambria"/>
          <w:i/>
          <w:iCs/>
          <w:sz w:val="20"/>
          <w:szCs w:val="20"/>
        </w:rPr>
      </w:pPr>
      <w:r w:rsidRPr="00A63F69">
        <w:rPr>
          <w:rFonts w:ascii="Cambria" w:hAnsi="Cambria"/>
          <w:i/>
          <w:sz w:val="20"/>
          <w:szCs w:val="20"/>
        </w:rPr>
        <w:t>La Subcomisión 2 elegirá un presidente para el período bienal 2026/2027.</w:t>
      </w:r>
    </w:p>
    <w:p w14:paraId="117D3376" w14:textId="77777777" w:rsidR="006B3200" w:rsidRPr="00A63F69" w:rsidRDefault="006B3200" w:rsidP="00A63F69">
      <w:pPr>
        <w:pStyle w:val="ListParagraph"/>
        <w:ind w:left="0"/>
        <w:jc w:val="both"/>
        <w:rPr>
          <w:rFonts w:ascii="Cambria" w:hAnsi="Cambria"/>
          <w:sz w:val="20"/>
          <w:szCs w:val="20"/>
        </w:rPr>
      </w:pPr>
    </w:p>
    <w:p w14:paraId="0B2BFE54"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Otros asuntos</w:t>
      </w:r>
    </w:p>
    <w:p w14:paraId="31C8826E" w14:textId="77777777" w:rsidR="006B3200" w:rsidRPr="00A63F69" w:rsidRDefault="006B3200" w:rsidP="00A63F69">
      <w:pPr>
        <w:pStyle w:val="ListParagraph"/>
        <w:ind w:left="0"/>
        <w:jc w:val="both"/>
        <w:rPr>
          <w:rFonts w:ascii="Cambria" w:hAnsi="Cambria"/>
          <w:sz w:val="20"/>
          <w:szCs w:val="20"/>
          <w:lang w:val="en-GB"/>
        </w:rPr>
      </w:pPr>
    </w:p>
    <w:p w14:paraId="74408C5A" w14:textId="77777777"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r w:rsidRPr="00A63F69">
        <w:rPr>
          <w:rFonts w:ascii="Cambria" w:hAnsi="Cambria"/>
          <w:i/>
          <w:color w:val="000000" w:themeColor="text1"/>
          <w:sz w:val="20"/>
          <w:szCs w:val="20"/>
        </w:rPr>
        <w:t>El "Informe sobre la implementación del programa regional de observadores de ICCAT para el atún rojo del Atlántico este y Mediterráneo (</w:t>
      </w:r>
      <w:proofErr w:type="spellStart"/>
      <w:r w:rsidRPr="00A63F69">
        <w:rPr>
          <w:rFonts w:ascii="Cambria" w:hAnsi="Cambria"/>
          <w:i/>
          <w:color w:val="000000" w:themeColor="text1"/>
          <w:sz w:val="20"/>
          <w:szCs w:val="20"/>
        </w:rPr>
        <w:t>ROP</w:t>
      </w:r>
      <w:proofErr w:type="spellEnd"/>
      <w:r w:rsidRPr="00A63F69">
        <w:rPr>
          <w:rFonts w:ascii="Cambria" w:hAnsi="Cambria"/>
          <w:i/>
          <w:color w:val="000000" w:themeColor="text1"/>
          <w:sz w:val="20"/>
          <w:szCs w:val="20"/>
        </w:rPr>
        <w:t xml:space="preserve">-BFT)" está publicado como </w:t>
      </w:r>
      <w:r w:rsidRPr="00A63F69">
        <w:rPr>
          <w:rFonts w:ascii="Cambria" w:hAnsi="Cambria"/>
          <w:b/>
          <w:i/>
          <w:color w:val="000000" w:themeColor="text1"/>
          <w:sz w:val="20"/>
          <w:szCs w:val="20"/>
        </w:rPr>
        <w:t>PA2-601/2025</w:t>
      </w:r>
      <w:r w:rsidRPr="00A63F69">
        <w:rPr>
          <w:rFonts w:ascii="Cambria" w:hAnsi="Cambria"/>
          <w:i/>
          <w:color w:val="000000" w:themeColor="text1"/>
          <w:sz w:val="20"/>
          <w:szCs w:val="20"/>
        </w:rPr>
        <w:t xml:space="preserve">. </w:t>
      </w:r>
    </w:p>
    <w:p w14:paraId="6B554317" w14:textId="77777777"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p>
    <w:p w14:paraId="40FBC6DC" w14:textId="77777777" w:rsidR="006B3200" w:rsidRPr="00A63F69" w:rsidRDefault="006B3200" w:rsidP="00A63F69">
      <w:pPr>
        <w:pStyle w:val="ListParagraph"/>
        <w:tabs>
          <w:tab w:val="left" w:pos="426"/>
          <w:tab w:val="left" w:pos="4090"/>
        </w:tabs>
        <w:ind w:left="426"/>
        <w:jc w:val="both"/>
        <w:rPr>
          <w:rFonts w:ascii="Cambria" w:hAnsi="Cambria"/>
          <w:color w:val="000000" w:themeColor="text1"/>
          <w:sz w:val="20"/>
          <w:szCs w:val="20"/>
        </w:rPr>
      </w:pPr>
      <w:r w:rsidRPr="00A63F69">
        <w:rPr>
          <w:rFonts w:ascii="Cambria" w:hAnsi="Cambria"/>
          <w:i/>
          <w:sz w:val="20"/>
          <w:szCs w:val="20"/>
        </w:rPr>
        <w:t xml:space="preserve">La Secretaría, en consulta con los miembros de la Subcomisión 2 y con el presidente de la Subcomisión 2, ha preparado una revisión del Proyecto de modelo para la Tabla de capacidad de los planes de pesca, cría, inspección y ordenación de la capacidad para el atún rojo del Atlántico este y Mediterráneo, que se presenta como documento </w:t>
      </w:r>
      <w:r w:rsidRPr="00A63F69">
        <w:rPr>
          <w:rFonts w:ascii="Cambria" w:hAnsi="Cambria"/>
          <w:b/>
          <w:i/>
          <w:color w:val="000000" w:themeColor="text1"/>
          <w:sz w:val="20"/>
          <w:szCs w:val="20"/>
        </w:rPr>
        <w:t>PA2-605/2025</w:t>
      </w:r>
      <w:r w:rsidRPr="00A63F69">
        <w:rPr>
          <w:rFonts w:ascii="Cambria" w:hAnsi="Cambria"/>
          <w:i/>
          <w:color w:val="000000" w:themeColor="text1"/>
          <w:sz w:val="20"/>
          <w:szCs w:val="20"/>
        </w:rPr>
        <w:t xml:space="preserve">. </w:t>
      </w:r>
    </w:p>
    <w:p w14:paraId="1608C95B" w14:textId="77777777"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p>
    <w:p w14:paraId="40DB4667" w14:textId="77777777" w:rsidR="00CD422F" w:rsidRPr="00A63F69" w:rsidRDefault="006B3200" w:rsidP="00A63F69">
      <w:pPr>
        <w:tabs>
          <w:tab w:val="left" w:pos="810"/>
        </w:tabs>
        <w:ind w:left="360"/>
        <w:jc w:val="both"/>
        <w:rPr>
          <w:rFonts w:ascii="Cambria" w:hAnsi="Cambria"/>
          <w:i/>
          <w:iCs/>
          <w:sz w:val="20"/>
          <w:szCs w:val="20"/>
        </w:rPr>
      </w:pPr>
      <w:r w:rsidRPr="00A63F69">
        <w:rPr>
          <w:rFonts w:ascii="Cambria" w:hAnsi="Cambria"/>
          <w:i/>
          <w:sz w:val="20"/>
          <w:szCs w:val="20"/>
        </w:rPr>
        <w:t xml:space="preserve">La Secretaría ha solicitado algunas aclaraciones sobre la </w:t>
      </w:r>
      <w:hyperlink r:id="rId36" w:history="1">
        <w:r w:rsidRPr="00A63F69">
          <w:rPr>
            <w:rStyle w:val="Hyperlink"/>
            <w:rFonts w:ascii="Cambria" w:hAnsi="Cambria"/>
            <w:i/>
            <w:sz w:val="20"/>
            <w:szCs w:val="20"/>
            <w:u w:val="none"/>
          </w:rPr>
          <w:t>Rec. 24-05</w:t>
        </w:r>
      </w:hyperlink>
      <w:r w:rsidRPr="00A63F69">
        <w:rPr>
          <w:rFonts w:ascii="Cambria" w:hAnsi="Cambria"/>
          <w:i/>
          <w:sz w:val="20"/>
          <w:szCs w:val="20"/>
        </w:rPr>
        <w:t xml:space="preserve">; las preguntas y, en su caso, las respuestas preliminares figuran en el documento </w:t>
      </w:r>
      <w:r w:rsidRPr="00A63F69">
        <w:rPr>
          <w:rFonts w:ascii="Cambria" w:hAnsi="Cambria"/>
          <w:b/>
          <w:bCs/>
          <w:i/>
          <w:sz w:val="20"/>
          <w:szCs w:val="20"/>
        </w:rPr>
        <w:t>PA2-606/2025</w:t>
      </w:r>
      <w:r w:rsidRPr="00A63F69">
        <w:rPr>
          <w:rFonts w:ascii="Cambria" w:hAnsi="Cambria"/>
          <w:i/>
          <w:sz w:val="20"/>
          <w:szCs w:val="20"/>
        </w:rPr>
        <w:t>. Se trata de un documento transversal que se debatirá tanto en la Subcomisión 2 como en el Grupo de trabajo permanente para la mejora de las estadísticas y normas de conservación de ICCAT (GTP).</w:t>
      </w:r>
    </w:p>
    <w:p w14:paraId="30364EB6" w14:textId="77777777" w:rsidR="00CD422F" w:rsidRPr="00A63F69" w:rsidRDefault="00CD422F" w:rsidP="00A63F69">
      <w:pPr>
        <w:tabs>
          <w:tab w:val="left" w:pos="810"/>
        </w:tabs>
        <w:ind w:left="360"/>
        <w:jc w:val="both"/>
        <w:rPr>
          <w:rFonts w:ascii="Cambria" w:hAnsi="Cambria"/>
          <w:i/>
          <w:iCs/>
          <w:sz w:val="20"/>
          <w:szCs w:val="20"/>
        </w:rPr>
      </w:pPr>
    </w:p>
    <w:p w14:paraId="1CF805FD" w14:textId="02DA16AA" w:rsidR="006B3200" w:rsidRPr="00A63F69" w:rsidRDefault="006B3200" w:rsidP="00A63F69">
      <w:pPr>
        <w:tabs>
          <w:tab w:val="left" w:pos="810"/>
        </w:tabs>
        <w:ind w:left="360"/>
        <w:jc w:val="both"/>
        <w:rPr>
          <w:rFonts w:ascii="Cambria" w:hAnsi="Cambria"/>
          <w:i/>
          <w:iCs/>
          <w:sz w:val="20"/>
          <w:szCs w:val="20"/>
        </w:rPr>
      </w:pPr>
      <w:r w:rsidRPr="00A63F69">
        <w:rPr>
          <w:rFonts w:ascii="Cambria" w:hAnsi="Cambria"/>
          <w:i/>
          <w:color w:val="000000" w:themeColor="text1"/>
          <w:sz w:val="20"/>
          <w:szCs w:val="20"/>
        </w:rPr>
        <w:t>El "Informe del proyecto</w:t>
      </w:r>
      <w:r w:rsidR="00CD422F" w:rsidRPr="00A63F69">
        <w:rPr>
          <w:rFonts w:ascii="Cambria" w:hAnsi="Cambria"/>
          <w:i/>
          <w:color w:val="000000" w:themeColor="text1"/>
          <w:sz w:val="20"/>
          <w:szCs w:val="20"/>
        </w:rPr>
        <w:t xml:space="preserve"> </w:t>
      </w:r>
      <w:r w:rsidRPr="00A63F69">
        <w:rPr>
          <w:rFonts w:ascii="Cambria" w:hAnsi="Cambria"/>
          <w:i/>
          <w:color w:val="000000" w:themeColor="text1"/>
          <w:sz w:val="20"/>
          <w:szCs w:val="20"/>
        </w:rPr>
        <w:t xml:space="preserve">piloto noruego para el almacenamiento de corta duración de atún rojo vivo en 2025", presentado por Noruega, </w:t>
      </w:r>
      <w:r w:rsidR="00CD422F" w:rsidRPr="00A63F69">
        <w:rPr>
          <w:rFonts w:ascii="Cambria" w:hAnsi="Cambria"/>
          <w:i/>
          <w:color w:val="000000" w:themeColor="text1"/>
          <w:sz w:val="20"/>
          <w:szCs w:val="20"/>
        </w:rPr>
        <w:t xml:space="preserve">se publicará </w:t>
      </w:r>
      <w:r w:rsidRPr="00A63F69">
        <w:rPr>
          <w:rFonts w:ascii="Cambria" w:hAnsi="Cambria"/>
          <w:i/>
          <w:color w:val="000000" w:themeColor="text1"/>
          <w:sz w:val="20"/>
          <w:szCs w:val="20"/>
        </w:rPr>
        <w:t xml:space="preserve">como documento </w:t>
      </w:r>
      <w:r w:rsidRPr="00A63F69">
        <w:rPr>
          <w:rFonts w:ascii="Cambria" w:hAnsi="Cambria"/>
          <w:b/>
          <w:i/>
          <w:color w:val="000000" w:themeColor="text1"/>
          <w:sz w:val="20"/>
          <w:szCs w:val="20"/>
        </w:rPr>
        <w:t>PA2-615/2025</w:t>
      </w:r>
      <w:r w:rsidRPr="00A63F69">
        <w:rPr>
          <w:rFonts w:ascii="Cambria" w:hAnsi="Cambria"/>
          <w:i/>
          <w:color w:val="000000" w:themeColor="text1"/>
          <w:sz w:val="20"/>
          <w:szCs w:val="20"/>
        </w:rPr>
        <w:t xml:space="preserve">. </w:t>
      </w:r>
    </w:p>
    <w:p w14:paraId="720A6C5C" w14:textId="77777777"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p>
    <w:p w14:paraId="14EC0122" w14:textId="5E811934"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r w:rsidRPr="00A63F69">
        <w:rPr>
          <w:rFonts w:ascii="Cambria" w:hAnsi="Cambria"/>
          <w:i/>
          <w:color w:val="000000" w:themeColor="text1"/>
          <w:sz w:val="20"/>
          <w:szCs w:val="20"/>
        </w:rPr>
        <w:t>El "Informe sobre la implementación del proyecto piloto de cría de atún rojo en el mar Cantábrico", presentad</w:t>
      </w:r>
      <w:r w:rsidR="00CD422F" w:rsidRPr="00A63F69">
        <w:rPr>
          <w:rFonts w:ascii="Cambria" w:hAnsi="Cambria"/>
          <w:i/>
          <w:color w:val="000000" w:themeColor="text1"/>
          <w:sz w:val="20"/>
          <w:szCs w:val="20"/>
        </w:rPr>
        <w:t>o</w:t>
      </w:r>
      <w:r w:rsidRPr="00A63F69">
        <w:rPr>
          <w:rFonts w:ascii="Cambria" w:hAnsi="Cambria"/>
          <w:i/>
          <w:color w:val="000000" w:themeColor="text1"/>
          <w:sz w:val="20"/>
          <w:szCs w:val="20"/>
        </w:rPr>
        <w:t xml:space="preserve"> por la Unión Europea, se </w:t>
      </w:r>
      <w:r w:rsidR="00CD422F" w:rsidRPr="00A63F69">
        <w:rPr>
          <w:rFonts w:ascii="Cambria" w:hAnsi="Cambria"/>
          <w:i/>
          <w:color w:val="000000" w:themeColor="text1"/>
          <w:sz w:val="20"/>
          <w:szCs w:val="20"/>
        </w:rPr>
        <w:t xml:space="preserve">publicará </w:t>
      </w:r>
      <w:r w:rsidRPr="00A63F69">
        <w:rPr>
          <w:rFonts w:ascii="Cambria" w:hAnsi="Cambria"/>
          <w:i/>
          <w:color w:val="000000" w:themeColor="text1"/>
          <w:sz w:val="20"/>
          <w:szCs w:val="20"/>
        </w:rPr>
        <w:t xml:space="preserve">como documento </w:t>
      </w:r>
      <w:r w:rsidRPr="00A63F69">
        <w:rPr>
          <w:rFonts w:ascii="Cambria" w:hAnsi="Cambria"/>
          <w:b/>
          <w:i/>
          <w:color w:val="000000" w:themeColor="text1"/>
          <w:sz w:val="20"/>
          <w:szCs w:val="20"/>
        </w:rPr>
        <w:t>PA2-619/2025</w:t>
      </w:r>
      <w:r w:rsidRPr="00A63F69">
        <w:rPr>
          <w:rFonts w:ascii="Cambria" w:hAnsi="Cambria"/>
          <w:i/>
          <w:color w:val="000000" w:themeColor="text1"/>
          <w:sz w:val="20"/>
          <w:szCs w:val="20"/>
        </w:rPr>
        <w:t xml:space="preserve">. </w:t>
      </w:r>
    </w:p>
    <w:p w14:paraId="7D2E25ED" w14:textId="77777777" w:rsidR="006B3200" w:rsidRPr="00A63F69" w:rsidRDefault="006B3200" w:rsidP="00A63F69">
      <w:pPr>
        <w:pStyle w:val="ListParagraph"/>
        <w:ind w:left="864" w:hanging="432"/>
        <w:jc w:val="both"/>
        <w:rPr>
          <w:rFonts w:ascii="Cambria" w:hAnsi="Cambria"/>
          <w:color w:val="000000" w:themeColor="text1"/>
          <w:sz w:val="20"/>
          <w:szCs w:val="20"/>
        </w:rPr>
      </w:pPr>
    </w:p>
    <w:p w14:paraId="6E71F573" w14:textId="778CE99E" w:rsidR="006B3200" w:rsidRPr="00A63F69" w:rsidRDefault="006B3200" w:rsidP="00A63F69">
      <w:pPr>
        <w:pStyle w:val="ListParagraph"/>
        <w:ind w:left="864" w:hanging="432"/>
        <w:jc w:val="both"/>
        <w:rPr>
          <w:rFonts w:ascii="Cambria" w:hAnsi="Cambria"/>
          <w:color w:val="000000" w:themeColor="text1"/>
          <w:sz w:val="20"/>
          <w:szCs w:val="20"/>
        </w:rPr>
      </w:pPr>
      <w:r w:rsidRPr="00A63F69">
        <w:rPr>
          <w:rFonts w:ascii="Cambria" w:hAnsi="Cambria"/>
          <w:color w:val="000000" w:themeColor="text1"/>
          <w:sz w:val="20"/>
          <w:szCs w:val="20"/>
        </w:rPr>
        <w:t>11.1</w:t>
      </w:r>
      <w:r w:rsidRPr="00A63F69">
        <w:rPr>
          <w:rFonts w:ascii="Cambria" w:hAnsi="Cambria"/>
          <w:color w:val="000000" w:themeColor="text1"/>
          <w:sz w:val="20"/>
          <w:szCs w:val="20"/>
        </w:rPr>
        <w:tab/>
        <w:t>Consideración sobre la fecha de la próxima reunión intersesiones</w:t>
      </w:r>
    </w:p>
    <w:p w14:paraId="24E21C76" w14:textId="77777777" w:rsidR="006B3200" w:rsidRPr="00A63F69" w:rsidRDefault="006B3200" w:rsidP="00A63F69">
      <w:pPr>
        <w:pStyle w:val="ListParagraph"/>
        <w:ind w:left="0"/>
        <w:jc w:val="both"/>
        <w:rPr>
          <w:rFonts w:ascii="Cambria" w:hAnsi="Cambria"/>
          <w:sz w:val="20"/>
          <w:szCs w:val="20"/>
        </w:rPr>
      </w:pPr>
    </w:p>
    <w:p w14:paraId="116AB310"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Adopción del informe y clausura</w:t>
      </w:r>
    </w:p>
    <w:p w14:paraId="281EE73E" w14:textId="157CE0AE" w:rsidR="002A70B6" w:rsidRPr="00A63F69" w:rsidRDefault="002A70B6" w:rsidP="00A63F69">
      <w:pPr>
        <w:pStyle w:val="ListParagraph"/>
        <w:numPr>
          <w:ilvl w:val="0"/>
          <w:numId w:val="35"/>
        </w:numPr>
        <w:spacing w:after="160" w:line="259" w:lineRule="auto"/>
        <w:ind w:left="450" w:hanging="450"/>
        <w:contextualSpacing/>
        <w:jc w:val="both"/>
        <w:rPr>
          <w:rFonts w:ascii="Cambria" w:hAnsi="Cambria"/>
          <w:bCs/>
          <w:sz w:val="20"/>
          <w:szCs w:val="20"/>
        </w:rPr>
      </w:pPr>
      <w:r w:rsidRPr="00A63F69">
        <w:rPr>
          <w:rFonts w:ascii="Cambria" w:hAnsi="Cambria"/>
          <w:sz w:val="20"/>
          <w:szCs w:val="20"/>
        </w:rPr>
        <w:br w:type="page"/>
      </w:r>
    </w:p>
    <w:p w14:paraId="79C9710D" w14:textId="3719DFA4" w:rsidR="002A70B6" w:rsidRPr="00A63F69" w:rsidRDefault="002A70B6" w:rsidP="00A63F69">
      <w:pPr>
        <w:tabs>
          <w:tab w:val="left" w:pos="300"/>
        </w:tabs>
        <w:jc w:val="center"/>
        <w:rPr>
          <w:rFonts w:ascii="Cambria" w:hAnsi="Cambria"/>
          <w:b/>
          <w:bCs/>
          <w:iCs/>
          <w:sz w:val="20"/>
          <w:szCs w:val="20"/>
        </w:rPr>
      </w:pPr>
      <w:r w:rsidRPr="00A63F69">
        <w:rPr>
          <w:rFonts w:ascii="Cambria" w:hAnsi="Cambria"/>
          <w:b/>
          <w:sz w:val="20"/>
          <w:szCs w:val="20"/>
        </w:rPr>
        <w:t>Subcomisión 3</w:t>
      </w:r>
    </w:p>
    <w:p w14:paraId="36C51CAC" w14:textId="77777777" w:rsidR="00A42CDF" w:rsidRPr="00A63F69" w:rsidRDefault="00A42CDF" w:rsidP="00A63F69">
      <w:pPr>
        <w:tabs>
          <w:tab w:val="left" w:pos="300"/>
        </w:tabs>
        <w:jc w:val="both"/>
        <w:rPr>
          <w:rFonts w:ascii="Cambria" w:hAnsi="Cambria"/>
          <w:b/>
          <w:bCs/>
          <w:iCs/>
          <w:sz w:val="20"/>
          <w:szCs w:val="20"/>
          <w:lang w:val="en-GB"/>
        </w:rPr>
      </w:pPr>
    </w:p>
    <w:p w14:paraId="42E9BB04" w14:textId="77777777" w:rsidR="00A42CDF" w:rsidRPr="00A63F69" w:rsidRDefault="00A42CDF" w:rsidP="00A63F69">
      <w:pPr>
        <w:jc w:val="both"/>
        <w:rPr>
          <w:rFonts w:ascii="Cambria" w:hAnsi="Cambria"/>
          <w:bCs/>
          <w:sz w:val="20"/>
          <w:szCs w:val="20"/>
          <w:lang w:val="en-GB"/>
        </w:rPr>
      </w:pPr>
    </w:p>
    <w:p w14:paraId="1BB85BB3" w14:textId="77777777" w:rsidR="00A42CDF" w:rsidRPr="00A63F69" w:rsidRDefault="00A42CDF" w:rsidP="00A63F69">
      <w:pPr>
        <w:pStyle w:val="ListParagraph"/>
        <w:widowControl w:val="0"/>
        <w:numPr>
          <w:ilvl w:val="0"/>
          <w:numId w:val="37"/>
        </w:numPr>
        <w:ind w:left="778" w:hanging="418"/>
        <w:jc w:val="both"/>
        <w:rPr>
          <w:rFonts w:ascii="Cambria" w:hAnsi="Cambria"/>
          <w:sz w:val="20"/>
          <w:szCs w:val="20"/>
        </w:rPr>
      </w:pPr>
      <w:r w:rsidRPr="00A63F69">
        <w:rPr>
          <w:rFonts w:ascii="Cambria" w:hAnsi="Cambria"/>
          <w:sz w:val="20"/>
          <w:szCs w:val="20"/>
        </w:rPr>
        <w:t>Apertura de la reunión</w:t>
      </w:r>
    </w:p>
    <w:p w14:paraId="0AA2B44D" w14:textId="77777777" w:rsidR="00A42CDF" w:rsidRPr="00A63F69" w:rsidRDefault="00A42CDF" w:rsidP="00A63F69">
      <w:pPr>
        <w:jc w:val="both"/>
        <w:rPr>
          <w:rFonts w:ascii="Cambria" w:hAnsi="Cambria"/>
          <w:sz w:val="20"/>
          <w:szCs w:val="20"/>
          <w:lang w:val="en-GB"/>
        </w:rPr>
      </w:pPr>
    </w:p>
    <w:p w14:paraId="1EEBB262" w14:textId="77777777" w:rsidR="00A42CDF" w:rsidRPr="00A63F69" w:rsidRDefault="00A42CDF" w:rsidP="00A63F69">
      <w:pPr>
        <w:ind w:firstLine="720"/>
        <w:jc w:val="both"/>
        <w:rPr>
          <w:rFonts w:ascii="Cambria" w:hAnsi="Cambria"/>
          <w:i/>
          <w:iCs/>
          <w:sz w:val="20"/>
          <w:szCs w:val="20"/>
        </w:rPr>
      </w:pPr>
      <w:r w:rsidRPr="00A63F69">
        <w:rPr>
          <w:rFonts w:ascii="Cambria" w:hAnsi="Cambria"/>
          <w:i/>
          <w:sz w:val="20"/>
          <w:szCs w:val="20"/>
        </w:rPr>
        <w:t>La reunión será inaugurada por el Sr. </w:t>
      </w:r>
      <w:proofErr w:type="spellStart"/>
      <w:r w:rsidRPr="00A63F69">
        <w:rPr>
          <w:rFonts w:ascii="Cambria" w:hAnsi="Cambria"/>
          <w:i/>
          <w:sz w:val="20"/>
          <w:szCs w:val="20"/>
        </w:rPr>
        <w:t>Qayiso</w:t>
      </w:r>
      <w:proofErr w:type="spellEnd"/>
      <w:r w:rsidRPr="00A63F69">
        <w:rPr>
          <w:rFonts w:ascii="Cambria" w:hAnsi="Cambria"/>
          <w:i/>
          <w:sz w:val="20"/>
          <w:szCs w:val="20"/>
        </w:rPr>
        <w:t xml:space="preserve"> </w:t>
      </w:r>
      <w:proofErr w:type="spellStart"/>
      <w:r w:rsidRPr="00A63F69">
        <w:rPr>
          <w:rFonts w:ascii="Cambria" w:hAnsi="Cambria"/>
          <w:i/>
          <w:sz w:val="20"/>
          <w:szCs w:val="20"/>
        </w:rPr>
        <w:t>Mketsu</w:t>
      </w:r>
      <w:proofErr w:type="spellEnd"/>
      <w:r w:rsidRPr="00A63F69">
        <w:rPr>
          <w:rFonts w:ascii="Cambria" w:hAnsi="Cambria"/>
          <w:i/>
          <w:sz w:val="20"/>
          <w:szCs w:val="20"/>
        </w:rPr>
        <w:t xml:space="preserve"> (Sudáfrica), presidente de la Subcomisión 3.</w:t>
      </w:r>
    </w:p>
    <w:p w14:paraId="53272D38" w14:textId="77777777" w:rsidR="00A42CDF" w:rsidRPr="00A63F69" w:rsidRDefault="00A42CDF" w:rsidP="00A63F69">
      <w:pPr>
        <w:jc w:val="both"/>
        <w:rPr>
          <w:rFonts w:ascii="Cambria" w:hAnsi="Cambria"/>
          <w:sz w:val="20"/>
          <w:szCs w:val="20"/>
        </w:rPr>
      </w:pPr>
    </w:p>
    <w:p w14:paraId="20FEB275" w14:textId="77777777" w:rsidR="00A42CDF" w:rsidRPr="00A63F69" w:rsidRDefault="00A42CDF" w:rsidP="00A63F69">
      <w:pPr>
        <w:pStyle w:val="ListParagraph"/>
        <w:widowControl w:val="0"/>
        <w:numPr>
          <w:ilvl w:val="0"/>
          <w:numId w:val="37"/>
        </w:numPr>
        <w:jc w:val="both"/>
        <w:rPr>
          <w:rFonts w:ascii="Cambria" w:hAnsi="Cambria"/>
          <w:sz w:val="20"/>
          <w:szCs w:val="20"/>
        </w:rPr>
      </w:pPr>
      <w:r w:rsidRPr="00A63F69">
        <w:rPr>
          <w:rFonts w:ascii="Cambria" w:hAnsi="Cambria"/>
          <w:sz w:val="20"/>
          <w:szCs w:val="20"/>
        </w:rPr>
        <w:t>Nombramiento del relator</w:t>
      </w:r>
    </w:p>
    <w:p w14:paraId="661108AB" w14:textId="77777777" w:rsidR="00A42CDF" w:rsidRPr="00A63F69" w:rsidRDefault="00A42CDF" w:rsidP="00A63F69">
      <w:pPr>
        <w:jc w:val="both"/>
        <w:rPr>
          <w:rFonts w:ascii="Cambria" w:hAnsi="Cambria"/>
          <w:sz w:val="20"/>
          <w:szCs w:val="20"/>
          <w:lang w:val="en-GB"/>
        </w:rPr>
      </w:pPr>
    </w:p>
    <w:p w14:paraId="368683FA" w14:textId="77777777" w:rsidR="00A42CDF" w:rsidRPr="00A63F69" w:rsidRDefault="00A42CDF" w:rsidP="00A63F69">
      <w:pPr>
        <w:pStyle w:val="ListParagraph"/>
        <w:widowControl w:val="0"/>
        <w:numPr>
          <w:ilvl w:val="0"/>
          <w:numId w:val="37"/>
        </w:numPr>
        <w:jc w:val="both"/>
        <w:rPr>
          <w:rFonts w:ascii="Cambria" w:hAnsi="Cambria"/>
          <w:sz w:val="20"/>
          <w:szCs w:val="20"/>
        </w:rPr>
      </w:pPr>
      <w:r w:rsidRPr="00A63F69">
        <w:rPr>
          <w:rFonts w:ascii="Cambria" w:hAnsi="Cambria"/>
          <w:sz w:val="20"/>
          <w:szCs w:val="20"/>
        </w:rPr>
        <w:t>Adopción del orden del día</w:t>
      </w:r>
    </w:p>
    <w:p w14:paraId="6181F153" w14:textId="77777777" w:rsidR="00A42CDF" w:rsidRPr="00A63F69" w:rsidRDefault="00A42CDF" w:rsidP="00A63F69">
      <w:pPr>
        <w:jc w:val="both"/>
        <w:rPr>
          <w:rFonts w:ascii="Cambria" w:hAnsi="Cambria"/>
          <w:sz w:val="20"/>
          <w:szCs w:val="20"/>
          <w:lang w:val="en-GB"/>
        </w:rPr>
      </w:pPr>
    </w:p>
    <w:p w14:paraId="5113DF62" w14:textId="77777777" w:rsidR="00A42CDF" w:rsidRPr="00A63F69" w:rsidRDefault="00A42CDF" w:rsidP="00A63F69">
      <w:pPr>
        <w:pStyle w:val="ListParagraph"/>
        <w:ind w:left="450" w:firstLine="270"/>
        <w:jc w:val="both"/>
        <w:rPr>
          <w:rFonts w:ascii="Cambria" w:hAnsi="Cambria"/>
          <w:sz w:val="20"/>
          <w:szCs w:val="20"/>
        </w:rPr>
      </w:pPr>
      <w:r w:rsidRPr="00A63F69">
        <w:rPr>
          <w:rFonts w:ascii="Cambria" w:hAnsi="Cambria"/>
          <w:i/>
          <w:sz w:val="20"/>
          <w:szCs w:val="20"/>
        </w:rPr>
        <w:t xml:space="preserve">El orden del día de la Subcomisión 3 está disponible como </w:t>
      </w:r>
      <w:r w:rsidRPr="00A63F69">
        <w:rPr>
          <w:rFonts w:ascii="Cambria" w:hAnsi="Cambria"/>
          <w:b/>
          <w:bCs/>
          <w:i/>
          <w:sz w:val="20"/>
          <w:szCs w:val="20"/>
        </w:rPr>
        <w:t>PA3-700/2025</w:t>
      </w:r>
      <w:r w:rsidRPr="00A63F69">
        <w:rPr>
          <w:rFonts w:ascii="Cambria" w:hAnsi="Cambria"/>
          <w:i/>
          <w:sz w:val="20"/>
          <w:szCs w:val="20"/>
        </w:rPr>
        <w:t>.</w:t>
      </w:r>
    </w:p>
    <w:p w14:paraId="026D9177" w14:textId="77777777" w:rsidR="00A42CDF" w:rsidRPr="00A63F69" w:rsidRDefault="00A42CDF" w:rsidP="00A63F69">
      <w:pPr>
        <w:jc w:val="both"/>
        <w:rPr>
          <w:rFonts w:ascii="Cambria" w:hAnsi="Cambria"/>
          <w:sz w:val="20"/>
          <w:szCs w:val="20"/>
        </w:rPr>
      </w:pPr>
    </w:p>
    <w:p w14:paraId="4072340F" w14:textId="77777777" w:rsidR="00A42CDF" w:rsidRPr="00A63F69" w:rsidRDefault="00A42CDF" w:rsidP="00A63F69">
      <w:pPr>
        <w:pStyle w:val="ListParagraph"/>
        <w:widowControl w:val="0"/>
        <w:numPr>
          <w:ilvl w:val="0"/>
          <w:numId w:val="37"/>
        </w:numPr>
        <w:jc w:val="both"/>
        <w:rPr>
          <w:rFonts w:ascii="Cambria" w:hAnsi="Cambria"/>
          <w:sz w:val="20"/>
          <w:szCs w:val="20"/>
        </w:rPr>
      </w:pPr>
      <w:r w:rsidRPr="00A63F69">
        <w:rPr>
          <w:rFonts w:ascii="Cambria" w:hAnsi="Cambria"/>
          <w:sz w:val="20"/>
          <w:szCs w:val="20"/>
        </w:rPr>
        <w:t>Examen de los miembros de la Subcomisión</w:t>
      </w:r>
    </w:p>
    <w:p w14:paraId="7843F545" w14:textId="77777777" w:rsidR="00A42CDF" w:rsidRPr="00A63F69" w:rsidRDefault="00A42CDF" w:rsidP="00A63F69">
      <w:pPr>
        <w:jc w:val="both"/>
        <w:rPr>
          <w:rFonts w:ascii="Cambria" w:hAnsi="Cambria"/>
          <w:sz w:val="20"/>
          <w:szCs w:val="20"/>
        </w:rPr>
      </w:pPr>
    </w:p>
    <w:p w14:paraId="62255665" w14:textId="183D6989" w:rsidR="00A42CDF" w:rsidRPr="00A63F69" w:rsidRDefault="00FA3B8C" w:rsidP="00A63F69">
      <w:pPr>
        <w:pStyle w:val="ListParagraph"/>
        <w:ind w:left="780"/>
        <w:jc w:val="both"/>
        <w:rPr>
          <w:rFonts w:ascii="Cambria" w:hAnsi="Cambria"/>
          <w:sz w:val="20"/>
          <w:szCs w:val="20"/>
        </w:rPr>
      </w:pPr>
      <w:r w:rsidRPr="00A63F69">
        <w:rPr>
          <w:rFonts w:ascii="Cambria" w:hAnsi="Cambria"/>
          <w:i/>
          <w:sz w:val="20"/>
          <w:szCs w:val="20"/>
        </w:rPr>
        <w:t xml:space="preserve">La lista de miembros </w:t>
      </w:r>
      <w:r w:rsidR="008F36C0" w:rsidRPr="00A63F69">
        <w:rPr>
          <w:rFonts w:ascii="Cambria" w:hAnsi="Cambria"/>
          <w:i/>
          <w:sz w:val="20"/>
          <w:szCs w:val="20"/>
        </w:rPr>
        <w:t>puede</w:t>
      </w:r>
      <w:r w:rsidR="00A42CDF" w:rsidRPr="00A63F69">
        <w:rPr>
          <w:rFonts w:ascii="Cambria" w:hAnsi="Cambria"/>
          <w:i/>
          <w:sz w:val="20"/>
          <w:szCs w:val="20"/>
        </w:rPr>
        <w:t xml:space="preserve"> consultarse en el documento </w:t>
      </w:r>
      <w:r w:rsidR="00A42CDF" w:rsidRPr="00A63F69">
        <w:rPr>
          <w:rFonts w:ascii="Cambria" w:hAnsi="Cambria"/>
          <w:b/>
          <w:bCs/>
          <w:i/>
          <w:sz w:val="20"/>
          <w:szCs w:val="20"/>
        </w:rPr>
        <w:t>GEN-004/2025</w:t>
      </w:r>
      <w:r w:rsidR="00A42CDF" w:rsidRPr="00A63F69">
        <w:rPr>
          <w:rFonts w:ascii="Cambria" w:hAnsi="Cambria"/>
          <w:i/>
          <w:sz w:val="20"/>
          <w:szCs w:val="20"/>
        </w:rPr>
        <w:t>. El secretario ejecutivo comunicará a la Subcomisión cualquier cambio en sus miembros.</w:t>
      </w:r>
    </w:p>
    <w:p w14:paraId="4D70441F" w14:textId="77777777" w:rsidR="00A42CDF" w:rsidRPr="00A63F69" w:rsidRDefault="00A42CDF" w:rsidP="00A63F69">
      <w:pPr>
        <w:jc w:val="both"/>
        <w:rPr>
          <w:rFonts w:ascii="Cambria" w:hAnsi="Cambria"/>
          <w:sz w:val="20"/>
          <w:szCs w:val="20"/>
        </w:rPr>
      </w:pPr>
    </w:p>
    <w:p w14:paraId="66F23486" w14:textId="77777777" w:rsidR="00A42CDF" w:rsidRPr="00A63F69" w:rsidRDefault="00A42CDF" w:rsidP="00A63F69">
      <w:pPr>
        <w:pStyle w:val="ListParagraph"/>
        <w:widowControl w:val="0"/>
        <w:numPr>
          <w:ilvl w:val="0"/>
          <w:numId w:val="37"/>
        </w:numPr>
        <w:jc w:val="both"/>
        <w:rPr>
          <w:rFonts w:ascii="Cambria" w:hAnsi="Cambria"/>
          <w:sz w:val="20"/>
          <w:szCs w:val="20"/>
        </w:rPr>
      </w:pPr>
      <w:r w:rsidRPr="00A63F69">
        <w:rPr>
          <w:rFonts w:ascii="Cambria" w:hAnsi="Cambria"/>
          <w:sz w:val="20"/>
          <w:szCs w:val="20"/>
        </w:rPr>
        <w:t>Informe del Comité Permanente de Investigación y Estadísticas (SCRS)</w:t>
      </w:r>
    </w:p>
    <w:p w14:paraId="74D5DBA8" w14:textId="77777777" w:rsidR="00A42CDF" w:rsidRPr="00A63F69" w:rsidRDefault="00A42CDF" w:rsidP="00A63F69">
      <w:pPr>
        <w:jc w:val="both"/>
        <w:rPr>
          <w:rFonts w:ascii="Cambria" w:hAnsi="Cambria"/>
          <w:sz w:val="20"/>
          <w:szCs w:val="20"/>
        </w:rPr>
      </w:pPr>
    </w:p>
    <w:p w14:paraId="4B58BA36" w14:textId="77777777" w:rsidR="00A42CDF" w:rsidRPr="00A63F69" w:rsidRDefault="00A42CDF" w:rsidP="00A63F69">
      <w:pPr>
        <w:pStyle w:val="ListParagraph"/>
        <w:jc w:val="both"/>
        <w:rPr>
          <w:rFonts w:ascii="Cambria" w:hAnsi="Cambria"/>
          <w:sz w:val="20"/>
          <w:szCs w:val="20"/>
        </w:rPr>
      </w:pPr>
      <w:r w:rsidRPr="00A63F69">
        <w:rPr>
          <w:rFonts w:ascii="Cambria" w:hAnsi="Cambria"/>
          <w:i/>
          <w:sz w:val="20"/>
          <w:szCs w:val="20"/>
        </w:rPr>
        <w:t xml:space="preserve">El informe del SCRS figura como documento </w:t>
      </w:r>
      <w:r w:rsidRPr="00A63F69">
        <w:rPr>
          <w:rFonts w:ascii="Cambria" w:hAnsi="Cambria"/>
          <w:b/>
          <w:bCs/>
          <w:i/>
          <w:sz w:val="20"/>
          <w:szCs w:val="20"/>
        </w:rPr>
        <w:t>PLE-104/2025</w:t>
      </w:r>
      <w:r w:rsidRPr="00A63F69">
        <w:rPr>
          <w:rFonts w:ascii="Cambria" w:hAnsi="Cambria"/>
          <w:i/>
          <w:sz w:val="20"/>
          <w:szCs w:val="20"/>
        </w:rPr>
        <w:t>. El presidente/vicepresidente del SCRS presentará las conclusiones del Comité pertinentes para la Subcomisión 3. El presidente/vicepresidente del SCRS también pondrá al día a la Subcomisión sobre las iniciativas de investigación en curso.</w:t>
      </w:r>
    </w:p>
    <w:p w14:paraId="25EC7EF6" w14:textId="77777777" w:rsidR="00A42CDF" w:rsidRPr="00A63F69" w:rsidRDefault="00A42CDF" w:rsidP="00A63F69">
      <w:pPr>
        <w:jc w:val="both"/>
        <w:rPr>
          <w:rFonts w:ascii="Cambria" w:hAnsi="Cambria"/>
          <w:sz w:val="20"/>
          <w:szCs w:val="20"/>
        </w:rPr>
      </w:pPr>
    </w:p>
    <w:p w14:paraId="7CCF78EF" w14:textId="77777777" w:rsidR="00A42CDF" w:rsidRPr="00A63F69" w:rsidRDefault="00A42CDF" w:rsidP="00A63F69">
      <w:pPr>
        <w:pStyle w:val="ListParagraph"/>
        <w:widowControl w:val="0"/>
        <w:numPr>
          <w:ilvl w:val="1"/>
          <w:numId w:val="37"/>
        </w:numPr>
        <w:ind w:left="1170"/>
        <w:jc w:val="both"/>
        <w:rPr>
          <w:rFonts w:ascii="Cambria" w:hAnsi="Cambria"/>
          <w:sz w:val="20"/>
          <w:szCs w:val="20"/>
        </w:rPr>
      </w:pPr>
      <w:r w:rsidRPr="00A63F69">
        <w:rPr>
          <w:rFonts w:ascii="Cambria" w:hAnsi="Cambria"/>
          <w:sz w:val="20"/>
          <w:szCs w:val="20"/>
        </w:rPr>
        <w:t>Investigación y respuestas a la Comisión</w:t>
      </w:r>
    </w:p>
    <w:p w14:paraId="3E5F534C" w14:textId="77777777" w:rsidR="00A42CDF" w:rsidRPr="00A63F69" w:rsidRDefault="00A42CDF" w:rsidP="00A63F69">
      <w:pPr>
        <w:jc w:val="both"/>
        <w:rPr>
          <w:rFonts w:ascii="Cambria" w:hAnsi="Cambria"/>
          <w:sz w:val="20"/>
          <w:szCs w:val="20"/>
        </w:rPr>
      </w:pPr>
    </w:p>
    <w:p w14:paraId="6A0B68CB" w14:textId="77777777" w:rsidR="00A42CDF" w:rsidRPr="00A63F69" w:rsidRDefault="00A42CDF" w:rsidP="00A63F69">
      <w:pPr>
        <w:pStyle w:val="ListParagraph"/>
        <w:widowControl w:val="0"/>
        <w:numPr>
          <w:ilvl w:val="0"/>
          <w:numId w:val="37"/>
        </w:numPr>
        <w:tabs>
          <w:tab w:val="left" w:pos="426"/>
        </w:tabs>
        <w:jc w:val="both"/>
        <w:rPr>
          <w:rFonts w:ascii="Cambria" w:hAnsi="Cambria"/>
          <w:sz w:val="20"/>
          <w:szCs w:val="20"/>
        </w:rPr>
      </w:pPr>
      <w:r w:rsidRPr="00A63F69">
        <w:rPr>
          <w:rFonts w:ascii="Cambria" w:hAnsi="Cambria"/>
          <w:sz w:val="20"/>
          <w:szCs w:val="20"/>
        </w:rPr>
        <w:t>Examen de las tablas de cumplimiento</w:t>
      </w:r>
    </w:p>
    <w:p w14:paraId="52C019F3" w14:textId="77777777" w:rsidR="00A42CDF" w:rsidRPr="00A63F69" w:rsidRDefault="00A42CDF" w:rsidP="00A63F69">
      <w:pPr>
        <w:pStyle w:val="ListParagraph"/>
        <w:tabs>
          <w:tab w:val="left" w:pos="426"/>
        </w:tabs>
        <w:ind w:left="780"/>
        <w:jc w:val="both"/>
        <w:rPr>
          <w:rFonts w:ascii="Cambria" w:hAnsi="Cambria"/>
          <w:sz w:val="20"/>
          <w:szCs w:val="20"/>
        </w:rPr>
      </w:pPr>
    </w:p>
    <w:p w14:paraId="2EB04FD4" w14:textId="0A0F7EC7" w:rsidR="00A42CDF" w:rsidRPr="00A63F69" w:rsidRDefault="007D3CF8" w:rsidP="00A63F69">
      <w:pPr>
        <w:ind w:left="780"/>
        <w:jc w:val="both"/>
        <w:rPr>
          <w:rFonts w:ascii="Cambria" w:hAnsi="Cambria"/>
          <w:b/>
          <w:bCs/>
          <w:i/>
          <w:iCs/>
          <w:sz w:val="20"/>
          <w:szCs w:val="20"/>
        </w:rPr>
      </w:pPr>
      <w:r w:rsidRPr="00A63F69">
        <w:rPr>
          <w:rFonts w:ascii="Cambria" w:hAnsi="Cambria"/>
          <w:i/>
          <w:sz w:val="20"/>
          <w:szCs w:val="20"/>
        </w:rPr>
        <w:t>El “Proyecto de tablas</w:t>
      </w:r>
      <w:r w:rsidR="00A42CDF" w:rsidRPr="00A63F69">
        <w:rPr>
          <w:rFonts w:ascii="Cambria" w:hAnsi="Cambria"/>
          <w:i/>
          <w:sz w:val="20"/>
          <w:szCs w:val="20"/>
        </w:rPr>
        <w:t xml:space="preserve"> de cumplimiento para 2024 recibidas en 2025" se ha publicado como </w:t>
      </w:r>
      <w:r w:rsidR="003E6065" w:rsidRPr="00A63F69">
        <w:rPr>
          <w:rFonts w:ascii="Cambria" w:hAnsi="Cambria"/>
          <w:b/>
          <w:i/>
          <w:sz w:val="20"/>
          <w:szCs w:val="20"/>
        </w:rPr>
        <w:t>COC_304_TRI_REV_3</w:t>
      </w:r>
      <w:r w:rsidR="00A42CDF" w:rsidRPr="00A63F69">
        <w:rPr>
          <w:rFonts w:ascii="Cambria" w:hAnsi="Cambria"/>
          <w:b/>
          <w:i/>
          <w:sz w:val="20"/>
          <w:szCs w:val="20"/>
        </w:rPr>
        <w:t>/2025.</w:t>
      </w:r>
    </w:p>
    <w:p w14:paraId="3CF3359B" w14:textId="77777777" w:rsidR="00A42CDF" w:rsidRPr="00A63F69" w:rsidRDefault="00A42CDF" w:rsidP="00A63F69">
      <w:pPr>
        <w:tabs>
          <w:tab w:val="left" w:pos="426"/>
        </w:tabs>
        <w:ind w:left="354" w:firstLine="426"/>
        <w:jc w:val="both"/>
        <w:rPr>
          <w:rFonts w:ascii="Cambria" w:hAnsi="Cambria"/>
          <w:b/>
          <w:bCs/>
          <w:i/>
          <w:iCs/>
          <w:sz w:val="20"/>
          <w:szCs w:val="20"/>
        </w:rPr>
      </w:pPr>
    </w:p>
    <w:p w14:paraId="595C60FC" w14:textId="667D50DF" w:rsidR="00A42CDF" w:rsidRPr="00A63F69" w:rsidRDefault="00A42CDF" w:rsidP="00A63F69">
      <w:pPr>
        <w:pStyle w:val="ListParagraph"/>
        <w:tabs>
          <w:tab w:val="left" w:pos="426"/>
        </w:tabs>
        <w:ind w:left="780"/>
        <w:jc w:val="both"/>
        <w:rPr>
          <w:rFonts w:ascii="Cambria" w:hAnsi="Cambria"/>
          <w:sz w:val="20"/>
          <w:szCs w:val="20"/>
        </w:rPr>
      </w:pPr>
      <w:r w:rsidRPr="00A63F69">
        <w:rPr>
          <w:rFonts w:ascii="Cambria" w:hAnsi="Cambria"/>
          <w:i/>
          <w:sz w:val="20"/>
          <w:szCs w:val="20"/>
        </w:rPr>
        <w:t>La Subcomisión examinará el documento "</w:t>
      </w:r>
      <w:r w:rsidR="007D3CF8" w:rsidRPr="00A63F69">
        <w:rPr>
          <w:rFonts w:ascii="Cambria" w:hAnsi="Cambria"/>
          <w:i/>
          <w:sz w:val="20"/>
          <w:szCs w:val="20"/>
        </w:rPr>
        <w:t xml:space="preserve">Proyecto de </w:t>
      </w:r>
      <w:r w:rsidRPr="00A63F69">
        <w:rPr>
          <w:rFonts w:ascii="Cambria" w:hAnsi="Cambria"/>
          <w:i/>
          <w:sz w:val="20"/>
          <w:szCs w:val="20"/>
        </w:rPr>
        <w:t xml:space="preserve">Tablas de cumplimiento para 2024 recibidas en 2025", para garantizar que todas las entradas de la tabla se ajusten al párrafo 4 de la </w:t>
      </w:r>
      <w:hyperlink r:id="rId37" w:history="1">
        <w:r w:rsidRPr="00A63F69">
          <w:rPr>
            <w:rStyle w:val="Hyperlink"/>
            <w:rFonts w:ascii="Cambria" w:hAnsi="Cambria"/>
            <w:i/>
            <w:sz w:val="20"/>
            <w:szCs w:val="20"/>
            <w:u w:val="none"/>
          </w:rPr>
          <w:t>Rec. 22-06</w:t>
        </w:r>
      </w:hyperlink>
      <w:r w:rsidRPr="00A63F69">
        <w:rPr>
          <w:rFonts w:ascii="Cambria" w:hAnsi="Cambria"/>
          <w:i/>
          <w:sz w:val="20"/>
          <w:szCs w:val="20"/>
        </w:rPr>
        <w:t>.</w:t>
      </w:r>
    </w:p>
    <w:p w14:paraId="4801900B" w14:textId="77777777" w:rsidR="00A42CDF" w:rsidRPr="00A63F69" w:rsidRDefault="00A42CDF" w:rsidP="00A63F69">
      <w:pPr>
        <w:pStyle w:val="ListParagraph"/>
        <w:tabs>
          <w:tab w:val="left" w:pos="426"/>
        </w:tabs>
        <w:ind w:left="780"/>
        <w:jc w:val="both"/>
        <w:rPr>
          <w:rFonts w:ascii="Cambria" w:hAnsi="Cambria"/>
          <w:sz w:val="20"/>
          <w:szCs w:val="20"/>
        </w:rPr>
      </w:pPr>
    </w:p>
    <w:p w14:paraId="7EFFD06E" w14:textId="77777777" w:rsidR="00A42CDF" w:rsidRPr="00A63F69" w:rsidRDefault="00A42CDF" w:rsidP="00A63F69">
      <w:pPr>
        <w:pStyle w:val="ListParagraph"/>
        <w:widowControl w:val="0"/>
        <w:numPr>
          <w:ilvl w:val="0"/>
          <w:numId w:val="37"/>
        </w:numPr>
        <w:tabs>
          <w:tab w:val="left" w:pos="426"/>
        </w:tabs>
        <w:jc w:val="both"/>
        <w:rPr>
          <w:rFonts w:ascii="Cambria" w:hAnsi="Cambria"/>
          <w:sz w:val="20"/>
          <w:szCs w:val="20"/>
        </w:rPr>
      </w:pPr>
      <w:r w:rsidRPr="00A63F69">
        <w:rPr>
          <w:rFonts w:ascii="Cambria" w:hAnsi="Cambria"/>
          <w:sz w:val="20"/>
          <w:szCs w:val="20"/>
        </w:rPr>
        <w:t>Consideración de los progresos realizados sobre la evaluación de estrategias de ordenación (MSE) para el atún blanco del Atlántico sur</w:t>
      </w:r>
    </w:p>
    <w:p w14:paraId="36EC1561" w14:textId="77777777" w:rsidR="00A42CDF" w:rsidRPr="00A63F69" w:rsidRDefault="00A42CDF" w:rsidP="00A63F69">
      <w:pPr>
        <w:tabs>
          <w:tab w:val="left" w:pos="426"/>
        </w:tabs>
        <w:jc w:val="both"/>
        <w:rPr>
          <w:rFonts w:ascii="Cambria" w:hAnsi="Cambria"/>
          <w:sz w:val="20"/>
          <w:szCs w:val="20"/>
        </w:rPr>
      </w:pPr>
    </w:p>
    <w:p w14:paraId="19FD092D" w14:textId="77777777" w:rsidR="00A42CDF" w:rsidRPr="00A63F69" w:rsidRDefault="00A42CDF" w:rsidP="00A63F69">
      <w:pPr>
        <w:pStyle w:val="ListParagraph"/>
        <w:widowControl w:val="0"/>
        <w:numPr>
          <w:ilvl w:val="0"/>
          <w:numId w:val="37"/>
        </w:numPr>
        <w:jc w:val="both"/>
        <w:rPr>
          <w:rFonts w:ascii="Cambria" w:hAnsi="Cambria"/>
          <w:color w:val="0563C1" w:themeColor="hyperlink"/>
          <w:sz w:val="20"/>
          <w:szCs w:val="20"/>
        </w:rPr>
      </w:pPr>
      <w:r w:rsidRPr="00A63F69">
        <w:rPr>
          <w:rFonts w:ascii="Cambria" w:hAnsi="Cambria"/>
          <w:sz w:val="20"/>
          <w:szCs w:val="20"/>
        </w:rPr>
        <w:t xml:space="preserve">Medidas para la conservación de los stocks e implementación de la </w:t>
      </w:r>
      <w:hyperlink r:id="rId38" w:history="1">
        <w:r w:rsidRPr="00A63F69">
          <w:rPr>
            <w:rStyle w:val="Hyperlink"/>
            <w:rFonts w:ascii="Cambria" w:hAnsi="Cambria"/>
            <w:i/>
            <w:iCs/>
            <w:sz w:val="20"/>
            <w:szCs w:val="20"/>
            <w:u w:val="none"/>
          </w:rPr>
          <w:t xml:space="preserve">Resolución de ICCAT sobre los criterios de ICCAT para la asignación de posibilidades de pesca </w:t>
        </w:r>
        <w:r w:rsidRPr="00A63F69">
          <w:rPr>
            <w:rStyle w:val="Hyperlink"/>
            <w:rFonts w:ascii="Cambria" w:hAnsi="Cambria"/>
            <w:sz w:val="20"/>
            <w:szCs w:val="20"/>
            <w:u w:val="none"/>
          </w:rPr>
          <w:t>(Res. 15-13)</w:t>
        </w:r>
      </w:hyperlink>
    </w:p>
    <w:p w14:paraId="1B55BC25" w14:textId="77777777" w:rsidR="00A42CDF" w:rsidRPr="00A63F69" w:rsidRDefault="00A42CDF" w:rsidP="00A63F69">
      <w:pPr>
        <w:pStyle w:val="ListParagraph"/>
        <w:jc w:val="both"/>
        <w:rPr>
          <w:rStyle w:val="Hyperlink"/>
          <w:rFonts w:ascii="Cambria" w:hAnsi="Cambria"/>
          <w:sz w:val="20"/>
          <w:szCs w:val="20"/>
          <w:u w:val="none"/>
        </w:rPr>
      </w:pPr>
    </w:p>
    <w:p w14:paraId="431FA524" w14:textId="77777777" w:rsidR="00A42CDF" w:rsidRPr="00A63F69" w:rsidRDefault="00A42CDF" w:rsidP="00A63F69">
      <w:pPr>
        <w:pStyle w:val="ListParagraph"/>
        <w:widowControl w:val="0"/>
        <w:numPr>
          <w:ilvl w:val="0"/>
          <w:numId w:val="37"/>
        </w:numPr>
        <w:jc w:val="both"/>
        <w:rPr>
          <w:rFonts w:ascii="Cambria" w:hAnsi="Cambria"/>
          <w:iCs/>
          <w:sz w:val="20"/>
          <w:szCs w:val="20"/>
        </w:rPr>
      </w:pPr>
      <w:r w:rsidRPr="00A63F69">
        <w:rPr>
          <w:rFonts w:ascii="Cambria" w:hAnsi="Cambria"/>
          <w:sz w:val="20"/>
          <w:szCs w:val="20"/>
        </w:rPr>
        <w:t>Identificación de las medidas obsoletas a la luz de lo expuesto en el punto 8 anterior</w:t>
      </w:r>
    </w:p>
    <w:p w14:paraId="300F3DC8" w14:textId="77777777" w:rsidR="00A42CDF" w:rsidRPr="00A63F69" w:rsidRDefault="00A42CDF" w:rsidP="00A63F69">
      <w:pPr>
        <w:jc w:val="both"/>
        <w:rPr>
          <w:rFonts w:ascii="Cambria" w:hAnsi="Cambria"/>
          <w:iCs/>
          <w:sz w:val="20"/>
          <w:szCs w:val="20"/>
        </w:rPr>
      </w:pPr>
    </w:p>
    <w:p w14:paraId="53C1E41E" w14:textId="77777777" w:rsidR="00A42CDF" w:rsidRPr="00A63F69" w:rsidRDefault="00A42CDF" w:rsidP="00A63F69">
      <w:pPr>
        <w:ind w:left="720"/>
        <w:jc w:val="both"/>
        <w:rPr>
          <w:rFonts w:ascii="Cambria" w:hAnsi="Cambria"/>
          <w:i/>
          <w:iCs/>
          <w:sz w:val="20"/>
          <w:szCs w:val="20"/>
        </w:rPr>
      </w:pPr>
      <w:r w:rsidRPr="00A63F69">
        <w:rPr>
          <w:rFonts w:ascii="Cambria" w:hAnsi="Cambria"/>
          <w:i/>
          <w:sz w:val="20"/>
          <w:szCs w:val="20"/>
        </w:rPr>
        <w:t>Si al adoptar nuevas medidas deben rescindirse medidas previas, esto debería identificarse, preferiblemente en la Recomendación o, al menos, ser claramente indicado por la Subcomisión.</w:t>
      </w:r>
    </w:p>
    <w:p w14:paraId="08BFB8B5" w14:textId="77777777" w:rsidR="00A42CDF" w:rsidRPr="00A63F69" w:rsidRDefault="00A42CDF" w:rsidP="00A63F69">
      <w:pPr>
        <w:pStyle w:val="ListParagraph"/>
        <w:jc w:val="both"/>
        <w:rPr>
          <w:rFonts w:ascii="Cambria" w:hAnsi="Cambria"/>
          <w:iCs/>
          <w:sz w:val="20"/>
          <w:szCs w:val="20"/>
        </w:rPr>
      </w:pPr>
    </w:p>
    <w:p w14:paraId="3E1D9DD1" w14:textId="77777777" w:rsidR="00A42CDF" w:rsidRPr="00A63F69" w:rsidRDefault="00A42CDF" w:rsidP="00A63F69">
      <w:pPr>
        <w:pStyle w:val="ListParagraph"/>
        <w:widowControl w:val="0"/>
        <w:numPr>
          <w:ilvl w:val="0"/>
          <w:numId w:val="37"/>
        </w:numPr>
        <w:tabs>
          <w:tab w:val="left" w:pos="426"/>
        </w:tabs>
        <w:jc w:val="both"/>
        <w:rPr>
          <w:rFonts w:ascii="Cambria" w:hAnsi="Cambria"/>
          <w:sz w:val="20"/>
          <w:szCs w:val="20"/>
        </w:rPr>
      </w:pPr>
      <w:r w:rsidRPr="00A63F69">
        <w:rPr>
          <w:rFonts w:ascii="Cambria" w:hAnsi="Cambria"/>
          <w:sz w:val="20"/>
          <w:szCs w:val="20"/>
        </w:rPr>
        <w:t>Elección del presidente y del posible vicepresidente</w:t>
      </w:r>
    </w:p>
    <w:p w14:paraId="113C3F42" w14:textId="77777777" w:rsidR="00A42CDF" w:rsidRPr="00A63F69" w:rsidRDefault="00A42CDF" w:rsidP="00A63F69">
      <w:pPr>
        <w:tabs>
          <w:tab w:val="left" w:pos="426"/>
        </w:tabs>
        <w:jc w:val="both"/>
        <w:rPr>
          <w:rFonts w:ascii="Cambria" w:hAnsi="Cambria"/>
          <w:sz w:val="20"/>
          <w:szCs w:val="20"/>
        </w:rPr>
      </w:pPr>
    </w:p>
    <w:p w14:paraId="4F5382C5" w14:textId="77777777" w:rsidR="00A42CDF" w:rsidRPr="00A63F69" w:rsidRDefault="00A42CDF" w:rsidP="00A63F69">
      <w:pPr>
        <w:ind w:left="450" w:firstLine="270"/>
        <w:jc w:val="both"/>
        <w:rPr>
          <w:rFonts w:ascii="Cambria" w:hAnsi="Cambria"/>
          <w:i/>
          <w:iCs/>
          <w:sz w:val="20"/>
          <w:szCs w:val="20"/>
        </w:rPr>
      </w:pPr>
      <w:r w:rsidRPr="00A63F69">
        <w:rPr>
          <w:rFonts w:ascii="Cambria" w:hAnsi="Cambria"/>
          <w:i/>
          <w:sz w:val="20"/>
          <w:szCs w:val="20"/>
        </w:rPr>
        <w:t>La Subcomisión 3 elegirá un presidente para el período bienal 2026/2027.</w:t>
      </w:r>
    </w:p>
    <w:p w14:paraId="51CC9775" w14:textId="77777777" w:rsidR="00A42CDF" w:rsidRPr="00A63F69" w:rsidRDefault="00A42CDF" w:rsidP="00A63F69">
      <w:pPr>
        <w:jc w:val="both"/>
        <w:rPr>
          <w:rFonts w:ascii="Cambria" w:hAnsi="Cambria"/>
          <w:iCs/>
          <w:sz w:val="20"/>
          <w:szCs w:val="20"/>
        </w:rPr>
      </w:pPr>
    </w:p>
    <w:p w14:paraId="30DB3FD1" w14:textId="77777777" w:rsidR="00A42CDF" w:rsidRPr="00A63F69" w:rsidRDefault="00A42CDF" w:rsidP="00A63F69">
      <w:pPr>
        <w:pStyle w:val="ListParagraph"/>
        <w:widowControl w:val="0"/>
        <w:numPr>
          <w:ilvl w:val="0"/>
          <w:numId w:val="37"/>
        </w:numPr>
        <w:tabs>
          <w:tab w:val="left" w:pos="426"/>
          <w:tab w:val="left" w:pos="4090"/>
        </w:tabs>
        <w:jc w:val="both"/>
        <w:rPr>
          <w:rFonts w:ascii="Cambria" w:hAnsi="Cambria"/>
          <w:sz w:val="20"/>
          <w:szCs w:val="20"/>
        </w:rPr>
      </w:pPr>
      <w:r w:rsidRPr="00A63F69">
        <w:rPr>
          <w:rFonts w:ascii="Cambria" w:hAnsi="Cambria"/>
          <w:sz w:val="20"/>
          <w:szCs w:val="20"/>
        </w:rPr>
        <w:t>Otros asuntos</w:t>
      </w:r>
    </w:p>
    <w:p w14:paraId="662C065F" w14:textId="77777777" w:rsidR="00A42CDF" w:rsidRPr="00A63F69" w:rsidRDefault="00A42CDF" w:rsidP="00A63F69">
      <w:pPr>
        <w:pStyle w:val="ListParagraph"/>
        <w:jc w:val="both"/>
        <w:rPr>
          <w:rFonts w:ascii="Cambria" w:hAnsi="Cambria"/>
          <w:sz w:val="20"/>
          <w:szCs w:val="20"/>
          <w:lang w:val="en-GB"/>
        </w:rPr>
      </w:pPr>
    </w:p>
    <w:p w14:paraId="41FD555C" w14:textId="77777777" w:rsidR="00A42CDF" w:rsidRPr="00A63F69" w:rsidRDefault="00A42CDF" w:rsidP="00A63F69">
      <w:pPr>
        <w:pStyle w:val="ListParagraph"/>
        <w:widowControl w:val="0"/>
        <w:numPr>
          <w:ilvl w:val="0"/>
          <w:numId w:val="37"/>
        </w:numPr>
        <w:tabs>
          <w:tab w:val="left" w:pos="426"/>
        </w:tabs>
        <w:jc w:val="both"/>
        <w:rPr>
          <w:rFonts w:ascii="Cambria" w:hAnsi="Cambria"/>
          <w:sz w:val="20"/>
          <w:szCs w:val="20"/>
        </w:rPr>
      </w:pPr>
      <w:r w:rsidRPr="00A63F69">
        <w:rPr>
          <w:rFonts w:ascii="Cambria" w:hAnsi="Cambria"/>
          <w:sz w:val="20"/>
          <w:szCs w:val="20"/>
        </w:rPr>
        <w:t>Adopción del informe y clausura</w:t>
      </w:r>
    </w:p>
    <w:p w14:paraId="099932B6" w14:textId="2369364B" w:rsidR="002A70B6" w:rsidRPr="00A63F69" w:rsidRDefault="002A70B6" w:rsidP="00A63F69">
      <w:pPr>
        <w:spacing w:after="160" w:line="259" w:lineRule="auto"/>
        <w:jc w:val="both"/>
        <w:rPr>
          <w:rFonts w:ascii="Cambria" w:hAnsi="Cambria"/>
          <w:b/>
          <w:bCs/>
          <w:iCs/>
          <w:sz w:val="20"/>
          <w:szCs w:val="20"/>
          <w:lang w:val="en-GB"/>
        </w:rPr>
      </w:pPr>
    </w:p>
    <w:p w14:paraId="476F77B8" w14:textId="77777777" w:rsidR="00321018" w:rsidRPr="00A63F69" w:rsidRDefault="00321018" w:rsidP="00A63F69">
      <w:pPr>
        <w:spacing w:after="160" w:line="259" w:lineRule="auto"/>
        <w:jc w:val="both"/>
        <w:rPr>
          <w:rFonts w:ascii="Cambria" w:hAnsi="Cambria"/>
          <w:b/>
          <w:bCs/>
          <w:iCs/>
          <w:sz w:val="20"/>
          <w:szCs w:val="20"/>
        </w:rPr>
      </w:pPr>
      <w:r w:rsidRPr="00A63F69">
        <w:rPr>
          <w:rFonts w:ascii="Cambria" w:hAnsi="Cambria"/>
          <w:sz w:val="20"/>
          <w:szCs w:val="20"/>
        </w:rPr>
        <w:br w:type="page"/>
      </w:r>
    </w:p>
    <w:p w14:paraId="5066952E" w14:textId="7DD09EF7" w:rsidR="002A70B6" w:rsidRPr="00A63F69" w:rsidRDefault="002A70B6" w:rsidP="00A63F69">
      <w:pPr>
        <w:tabs>
          <w:tab w:val="left" w:pos="300"/>
        </w:tabs>
        <w:jc w:val="center"/>
        <w:rPr>
          <w:rFonts w:ascii="Cambria" w:hAnsi="Cambria"/>
          <w:b/>
          <w:bCs/>
          <w:iCs/>
          <w:sz w:val="20"/>
          <w:szCs w:val="20"/>
        </w:rPr>
      </w:pPr>
      <w:r w:rsidRPr="00A63F69">
        <w:rPr>
          <w:rFonts w:ascii="Cambria" w:hAnsi="Cambria"/>
          <w:b/>
          <w:sz w:val="20"/>
          <w:szCs w:val="20"/>
        </w:rPr>
        <w:t>Subcomisión 4</w:t>
      </w:r>
    </w:p>
    <w:p w14:paraId="0A75E94B" w14:textId="77777777" w:rsidR="002A70B6" w:rsidRPr="00A63F69" w:rsidRDefault="002A70B6" w:rsidP="00A63F69">
      <w:pPr>
        <w:tabs>
          <w:tab w:val="left" w:pos="300"/>
        </w:tabs>
        <w:jc w:val="both"/>
        <w:rPr>
          <w:rFonts w:ascii="Cambria" w:hAnsi="Cambria"/>
          <w:b/>
          <w:bCs/>
          <w:iCs/>
          <w:sz w:val="20"/>
          <w:szCs w:val="20"/>
          <w:lang w:val="en-GB"/>
        </w:rPr>
      </w:pPr>
    </w:p>
    <w:p w14:paraId="6883A514" w14:textId="77777777" w:rsidR="002A70B6" w:rsidRPr="00A63F69" w:rsidRDefault="002A70B6" w:rsidP="00A63F69">
      <w:pPr>
        <w:jc w:val="both"/>
        <w:rPr>
          <w:rFonts w:ascii="Cambria" w:hAnsi="Cambria"/>
          <w:bCs/>
          <w:sz w:val="20"/>
          <w:szCs w:val="20"/>
        </w:rPr>
      </w:pPr>
      <w:bookmarkStart w:id="6" w:name="_Hlk11940241"/>
    </w:p>
    <w:bookmarkEnd w:id="6"/>
    <w:p w14:paraId="1D60F15F"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Apertura de la reunión</w:t>
      </w:r>
    </w:p>
    <w:p w14:paraId="2B187BB7" w14:textId="77777777" w:rsidR="002A70B6" w:rsidRPr="00A63F69" w:rsidRDefault="002A70B6" w:rsidP="00A63F69">
      <w:pPr>
        <w:jc w:val="both"/>
        <w:rPr>
          <w:rFonts w:ascii="Cambria" w:hAnsi="Cambria"/>
          <w:sz w:val="20"/>
          <w:szCs w:val="20"/>
          <w:lang w:val="en-GB"/>
        </w:rPr>
      </w:pPr>
    </w:p>
    <w:p w14:paraId="654EE9C7" w14:textId="77777777" w:rsidR="002A70B6" w:rsidRPr="00A63F69" w:rsidRDefault="002A70B6" w:rsidP="00A63F69">
      <w:pPr>
        <w:ind w:left="360"/>
        <w:jc w:val="both"/>
        <w:rPr>
          <w:rFonts w:ascii="Cambria" w:hAnsi="Cambria"/>
          <w:i/>
          <w:iCs/>
          <w:sz w:val="20"/>
          <w:szCs w:val="20"/>
        </w:rPr>
      </w:pPr>
      <w:r w:rsidRPr="00A63F69">
        <w:rPr>
          <w:rFonts w:ascii="Cambria" w:hAnsi="Cambria"/>
          <w:i/>
          <w:sz w:val="20"/>
          <w:szCs w:val="20"/>
        </w:rPr>
        <w:t xml:space="preserve">La reunión será inaugurada por el Sr. Amar </w:t>
      </w:r>
      <w:proofErr w:type="spellStart"/>
      <w:r w:rsidRPr="00A63F69">
        <w:rPr>
          <w:rFonts w:ascii="Cambria" w:hAnsi="Cambria"/>
          <w:i/>
          <w:sz w:val="20"/>
          <w:szCs w:val="20"/>
        </w:rPr>
        <w:t>Ouchelli</w:t>
      </w:r>
      <w:proofErr w:type="spellEnd"/>
      <w:r w:rsidRPr="00A63F69">
        <w:rPr>
          <w:rFonts w:ascii="Cambria" w:hAnsi="Cambria"/>
          <w:i/>
          <w:sz w:val="20"/>
          <w:szCs w:val="20"/>
        </w:rPr>
        <w:t xml:space="preserve"> (Argelia), presidente de la Subcomisión 4.</w:t>
      </w:r>
    </w:p>
    <w:p w14:paraId="1F6B7061" w14:textId="77777777" w:rsidR="002A70B6" w:rsidRPr="00A63F69" w:rsidRDefault="002A70B6" w:rsidP="00A63F69">
      <w:pPr>
        <w:ind w:left="360"/>
        <w:jc w:val="both"/>
        <w:rPr>
          <w:rFonts w:ascii="Cambria" w:hAnsi="Cambria"/>
          <w:sz w:val="20"/>
          <w:szCs w:val="20"/>
        </w:rPr>
      </w:pPr>
    </w:p>
    <w:p w14:paraId="77C30117"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 xml:space="preserve">Nombramiento del relator </w:t>
      </w:r>
    </w:p>
    <w:p w14:paraId="0F0DD6FB" w14:textId="77777777" w:rsidR="002A70B6" w:rsidRPr="00A63F69" w:rsidRDefault="002A70B6" w:rsidP="00A63F69">
      <w:pPr>
        <w:jc w:val="both"/>
        <w:rPr>
          <w:rFonts w:ascii="Cambria" w:hAnsi="Cambria"/>
          <w:sz w:val="20"/>
          <w:szCs w:val="20"/>
          <w:lang w:val="en-GB"/>
        </w:rPr>
      </w:pPr>
    </w:p>
    <w:p w14:paraId="20FD05F8"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Adopción del orden del día</w:t>
      </w:r>
    </w:p>
    <w:p w14:paraId="25DACA12" w14:textId="77777777" w:rsidR="002A70B6" w:rsidRPr="00A63F69" w:rsidRDefault="002A70B6" w:rsidP="00A63F69">
      <w:pPr>
        <w:pStyle w:val="ListParagraph"/>
        <w:jc w:val="both"/>
        <w:rPr>
          <w:rFonts w:ascii="Cambria" w:hAnsi="Cambria"/>
          <w:sz w:val="20"/>
          <w:szCs w:val="20"/>
          <w:lang w:val="en-GB"/>
        </w:rPr>
      </w:pPr>
    </w:p>
    <w:p w14:paraId="5586D93F" w14:textId="77777777" w:rsidR="002A70B6" w:rsidRPr="00A63F69" w:rsidRDefault="002A70B6" w:rsidP="00A63F69">
      <w:pPr>
        <w:ind w:left="360"/>
        <w:jc w:val="both"/>
        <w:rPr>
          <w:rFonts w:ascii="Cambria" w:hAnsi="Cambria"/>
          <w:i/>
          <w:iCs/>
          <w:sz w:val="20"/>
          <w:szCs w:val="20"/>
        </w:rPr>
      </w:pPr>
      <w:r w:rsidRPr="00A63F69">
        <w:rPr>
          <w:rFonts w:ascii="Cambria" w:hAnsi="Cambria"/>
          <w:i/>
          <w:sz w:val="20"/>
          <w:szCs w:val="20"/>
        </w:rPr>
        <w:t xml:space="preserve">El orden del día de la Subcomisión 4 está disponible como </w:t>
      </w:r>
      <w:r w:rsidRPr="00A63F69">
        <w:rPr>
          <w:rFonts w:ascii="Cambria" w:hAnsi="Cambria"/>
          <w:b/>
          <w:bCs/>
          <w:i/>
          <w:sz w:val="20"/>
          <w:szCs w:val="20"/>
        </w:rPr>
        <w:t>PA4-800/2025</w:t>
      </w:r>
      <w:r w:rsidRPr="00A63F69">
        <w:rPr>
          <w:rFonts w:ascii="Cambria" w:hAnsi="Cambria"/>
          <w:i/>
          <w:sz w:val="20"/>
          <w:szCs w:val="20"/>
        </w:rPr>
        <w:t>.</w:t>
      </w:r>
    </w:p>
    <w:p w14:paraId="31493562" w14:textId="77777777" w:rsidR="002A70B6" w:rsidRPr="00A63F69" w:rsidRDefault="002A70B6" w:rsidP="00A63F69">
      <w:pPr>
        <w:jc w:val="both"/>
        <w:rPr>
          <w:rFonts w:ascii="Cambria" w:hAnsi="Cambria"/>
          <w:sz w:val="20"/>
          <w:szCs w:val="20"/>
        </w:rPr>
      </w:pPr>
    </w:p>
    <w:p w14:paraId="6091AEDE"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Examen de los miembros de la Subcomisión</w:t>
      </w:r>
    </w:p>
    <w:p w14:paraId="4FEE5250" w14:textId="77777777" w:rsidR="002A70B6" w:rsidRPr="00A63F69" w:rsidRDefault="002A70B6" w:rsidP="00A63F69">
      <w:pPr>
        <w:jc w:val="both"/>
        <w:rPr>
          <w:rFonts w:ascii="Cambria" w:hAnsi="Cambria"/>
          <w:sz w:val="20"/>
          <w:szCs w:val="20"/>
        </w:rPr>
      </w:pPr>
    </w:p>
    <w:p w14:paraId="04D8B4D6" w14:textId="21F4A16A" w:rsidR="002A70B6" w:rsidRPr="00A63F69" w:rsidRDefault="003F3FF4" w:rsidP="00A63F69">
      <w:pPr>
        <w:ind w:left="360"/>
        <w:jc w:val="both"/>
        <w:rPr>
          <w:rFonts w:ascii="Cambria" w:hAnsi="Cambria"/>
          <w:i/>
          <w:iCs/>
          <w:sz w:val="20"/>
          <w:szCs w:val="20"/>
        </w:rPr>
      </w:pPr>
      <w:r w:rsidRPr="00A63F69">
        <w:rPr>
          <w:rFonts w:ascii="Cambria" w:hAnsi="Cambria"/>
          <w:i/>
          <w:sz w:val="20"/>
          <w:szCs w:val="20"/>
        </w:rPr>
        <w:t>La lista de miembros puede</w:t>
      </w:r>
      <w:r w:rsidR="002A70B6" w:rsidRPr="00A63F69">
        <w:rPr>
          <w:rFonts w:ascii="Cambria" w:hAnsi="Cambria"/>
          <w:i/>
          <w:sz w:val="20"/>
          <w:szCs w:val="20"/>
        </w:rPr>
        <w:t xml:space="preserve"> consultarse en el documento </w:t>
      </w:r>
      <w:r w:rsidR="002A70B6" w:rsidRPr="00A63F69">
        <w:rPr>
          <w:rFonts w:ascii="Cambria" w:hAnsi="Cambria"/>
          <w:b/>
          <w:bCs/>
          <w:i/>
          <w:sz w:val="20"/>
          <w:szCs w:val="20"/>
        </w:rPr>
        <w:t>GEN-004/2025</w:t>
      </w:r>
      <w:r w:rsidR="002A70B6" w:rsidRPr="00A63F69">
        <w:rPr>
          <w:rFonts w:ascii="Cambria" w:hAnsi="Cambria"/>
          <w:i/>
          <w:sz w:val="20"/>
          <w:szCs w:val="20"/>
        </w:rPr>
        <w:t>. El secretario ejecutivo comunicará a la Subcomisión cualquier cambio en sus miembros.</w:t>
      </w:r>
    </w:p>
    <w:p w14:paraId="089E2D31" w14:textId="77777777" w:rsidR="002A70B6" w:rsidRPr="00A63F69" w:rsidRDefault="002A70B6" w:rsidP="00A63F69">
      <w:pPr>
        <w:ind w:left="360"/>
        <w:jc w:val="both"/>
        <w:rPr>
          <w:rFonts w:ascii="Cambria" w:hAnsi="Cambria"/>
          <w:i/>
          <w:iCs/>
          <w:sz w:val="20"/>
          <w:szCs w:val="20"/>
        </w:rPr>
      </w:pPr>
    </w:p>
    <w:p w14:paraId="0BCD2E0D"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Informe del Comité Permanente de Investigación y Estadísticas (SCRS)</w:t>
      </w:r>
    </w:p>
    <w:p w14:paraId="596C6470" w14:textId="77777777" w:rsidR="002A70B6" w:rsidRPr="00A63F69" w:rsidRDefault="002A70B6" w:rsidP="00A63F69">
      <w:pPr>
        <w:jc w:val="both"/>
        <w:rPr>
          <w:rFonts w:ascii="Cambria" w:hAnsi="Cambria"/>
          <w:sz w:val="20"/>
          <w:szCs w:val="20"/>
        </w:rPr>
      </w:pPr>
    </w:p>
    <w:p w14:paraId="2E5613FA" w14:textId="77777777" w:rsidR="002A70B6" w:rsidRPr="00A63F69" w:rsidRDefault="002A70B6" w:rsidP="00A63F69">
      <w:pPr>
        <w:ind w:left="360"/>
        <w:jc w:val="both"/>
        <w:rPr>
          <w:rFonts w:ascii="Cambria" w:hAnsi="Cambria"/>
          <w:i/>
          <w:iCs/>
          <w:sz w:val="20"/>
          <w:szCs w:val="20"/>
        </w:rPr>
      </w:pPr>
      <w:r w:rsidRPr="00A63F69">
        <w:rPr>
          <w:rFonts w:ascii="Cambria" w:hAnsi="Cambria"/>
          <w:i/>
          <w:sz w:val="20"/>
          <w:szCs w:val="20"/>
        </w:rPr>
        <w:t xml:space="preserve">El informe del SCRS figura como documento </w:t>
      </w:r>
      <w:r w:rsidRPr="00A63F69">
        <w:rPr>
          <w:rFonts w:ascii="Cambria" w:hAnsi="Cambria"/>
          <w:b/>
          <w:bCs/>
          <w:i/>
          <w:sz w:val="20"/>
          <w:szCs w:val="20"/>
        </w:rPr>
        <w:t>PLE-104/2025</w:t>
      </w:r>
      <w:r w:rsidRPr="00A63F69">
        <w:rPr>
          <w:rFonts w:ascii="Cambria" w:hAnsi="Cambria"/>
          <w:i/>
          <w:sz w:val="20"/>
          <w:szCs w:val="20"/>
        </w:rPr>
        <w:t>. El presidente/vicepresidente del SCRS presentará las conclusiones del Comité pertinentes para la Subcomisión 4. El presidente/vicepresidente del SCRS también pondrá al día a la Subcomisión sobre las iniciativas de investigación en curso.</w:t>
      </w:r>
    </w:p>
    <w:p w14:paraId="374917E4" w14:textId="77777777" w:rsidR="002A70B6" w:rsidRPr="00A63F69" w:rsidRDefault="002A70B6" w:rsidP="00A63F69">
      <w:pPr>
        <w:pStyle w:val="ListParagraph"/>
        <w:ind w:left="360"/>
        <w:jc w:val="both"/>
        <w:rPr>
          <w:rFonts w:ascii="Cambria" w:hAnsi="Cambria"/>
          <w:sz w:val="20"/>
          <w:szCs w:val="20"/>
        </w:rPr>
      </w:pPr>
    </w:p>
    <w:p w14:paraId="0A2656E7" w14:textId="77777777" w:rsidR="002A70B6" w:rsidRPr="00A63F69" w:rsidRDefault="002A70B6" w:rsidP="00A63F69">
      <w:pPr>
        <w:pStyle w:val="ListParagraph"/>
        <w:widowControl w:val="0"/>
        <w:numPr>
          <w:ilvl w:val="1"/>
          <w:numId w:val="36"/>
        </w:numPr>
        <w:jc w:val="both"/>
        <w:rPr>
          <w:rFonts w:ascii="Cambria" w:hAnsi="Cambria"/>
          <w:sz w:val="20"/>
          <w:szCs w:val="20"/>
        </w:rPr>
      </w:pPr>
      <w:r w:rsidRPr="00A63F69">
        <w:rPr>
          <w:rFonts w:ascii="Cambria" w:hAnsi="Cambria"/>
          <w:sz w:val="20"/>
          <w:szCs w:val="20"/>
        </w:rPr>
        <w:t>Investigación y respuestas a la Comisión</w:t>
      </w:r>
    </w:p>
    <w:p w14:paraId="7BE0A3EC" w14:textId="77777777" w:rsidR="002A70B6" w:rsidRPr="00A63F69" w:rsidRDefault="002A70B6" w:rsidP="00A63F69">
      <w:pPr>
        <w:jc w:val="both"/>
        <w:rPr>
          <w:rFonts w:ascii="Cambria" w:hAnsi="Cambria"/>
          <w:sz w:val="20"/>
          <w:szCs w:val="20"/>
        </w:rPr>
      </w:pPr>
    </w:p>
    <w:p w14:paraId="73FD83ED" w14:textId="77777777" w:rsidR="002A70B6" w:rsidRPr="00A63F69" w:rsidRDefault="002A70B6" w:rsidP="00A63F69">
      <w:pPr>
        <w:ind w:left="720"/>
        <w:jc w:val="both"/>
        <w:rPr>
          <w:rFonts w:ascii="Cambria" w:hAnsi="Cambria"/>
          <w:sz w:val="20"/>
          <w:szCs w:val="20"/>
        </w:rPr>
      </w:pPr>
      <w:r w:rsidRPr="00A63F69">
        <w:rPr>
          <w:rFonts w:ascii="Cambria" w:hAnsi="Cambria"/>
          <w:i/>
          <w:sz w:val="20"/>
          <w:szCs w:val="20"/>
        </w:rPr>
        <w:t>El presidente/vicepresidente del SCRS también pondrá al día a la Subcomisión sobre las iniciativas de investigación en curso, incluido cualquier resultado o recomendación pertinentes.</w:t>
      </w:r>
    </w:p>
    <w:p w14:paraId="5FBB0A37" w14:textId="77777777" w:rsidR="002A70B6" w:rsidRPr="00A63F69" w:rsidRDefault="002A70B6" w:rsidP="00A63F69">
      <w:pPr>
        <w:tabs>
          <w:tab w:val="left" w:pos="426"/>
        </w:tabs>
        <w:jc w:val="both"/>
        <w:rPr>
          <w:rFonts w:ascii="Cambria" w:hAnsi="Cambria"/>
          <w:sz w:val="20"/>
          <w:szCs w:val="20"/>
        </w:rPr>
      </w:pPr>
    </w:p>
    <w:p w14:paraId="2583C835"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Examen de las tablas de cumplimiento</w:t>
      </w:r>
    </w:p>
    <w:p w14:paraId="4BA46621" w14:textId="77777777" w:rsidR="002A70B6" w:rsidRPr="00A63F69" w:rsidRDefault="002A70B6" w:rsidP="00A63F69">
      <w:pPr>
        <w:jc w:val="both"/>
        <w:rPr>
          <w:rFonts w:ascii="Cambria" w:hAnsi="Cambria"/>
          <w:sz w:val="20"/>
          <w:szCs w:val="20"/>
        </w:rPr>
      </w:pPr>
    </w:p>
    <w:p w14:paraId="7CEEE7C3" w14:textId="21E3B23B" w:rsidR="002A70B6" w:rsidRPr="00A63F69" w:rsidRDefault="002D7BA5" w:rsidP="00A63F69">
      <w:pPr>
        <w:ind w:left="360"/>
        <w:jc w:val="both"/>
        <w:rPr>
          <w:rFonts w:ascii="Cambria" w:hAnsi="Cambria"/>
          <w:i/>
          <w:iCs/>
          <w:sz w:val="20"/>
          <w:szCs w:val="20"/>
        </w:rPr>
      </w:pPr>
      <w:r w:rsidRPr="00A63F69">
        <w:rPr>
          <w:rFonts w:ascii="Cambria" w:hAnsi="Cambria"/>
          <w:i/>
          <w:sz w:val="20"/>
          <w:szCs w:val="20"/>
        </w:rPr>
        <w:t>El</w:t>
      </w:r>
      <w:r w:rsidR="002A70B6" w:rsidRPr="00A63F69">
        <w:rPr>
          <w:rFonts w:ascii="Cambria" w:hAnsi="Cambria"/>
          <w:i/>
          <w:sz w:val="20"/>
          <w:szCs w:val="20"/>
        </w:rPr>
        <w:t xml:space="preserve"> "</w:t>
      </w:r>
      <w:r w:rsidRPr="00A63F69">
        <w:rPr>
          <w:rFonts w:ascii="Cambria" w:hAnsi="Cambria"/>
          <w:i/>
          <w:sz w:val="20"/>
          <w:szCs w:val="20"/>
        </w:rPr>
        <w:t>Proyecto de t</w:t>
      </w:r>
      <w:r w:rsidR="002A70B6" w:rsidRPr="00A63F69">
        <w:rPr>
          <w:rFonts w:ascii="Cambria" w:hAnsi="Cambria"/>
          <w:i/>
          <w:sz w:val="20"/>
          <w:szCs w:val="20"/>
        </w:rPr>
        <w:t xml:space="preserve">ablas de cumplimiento para 2024 recibidas en 2025" se ha publicado como </w:t>
      </w:r>
      <w:r w:rsidR="003E6065" w:rsidRPr="00A63F69">
        <w:rPr>
          <w:rFonts w:ascii="Cambria" w:hAnsi="Cambria"/>
          <w:b/>
          <w:i/>
          <w:sz w:val="20"/>
          <w:szCs w:val="20"/>
        </w:rPr>
        <w:t>COC_304_TRI_REV_3</w:t>
      </w:r>
      <w:r w:rsidR="002A70B6" w:rsidRPr="00A63F69">
        <w:rPr>
          <w:rFonts w:ascii="Cambria" w:hAnsi="Cambria"/>
          <w:b/>
          <w:i/>
          <w:sz w:val="20"/>
          <w:szCs w:val="20"/>
        </w:rPr>
        <w:t>/2025.</w:t>
      </w:r>
    </w:p>
    <w:p w14:paraId="743E13A1" w14:textId="77777777" w:rsidR="002A70B6" w:rsidRPr="00A63F69" w:rsidRDefault="002A70B6" w:rsidP="00A63F69">
      <w:pPr>
        <w:ind w:left="360"/>
        <w:jc w:val="both"/>
        <w:rPr>
          <w:rFonts w:ascii="Cambria" w:hAnsi="Cambria"/>
          <w:i/>
          <w:iCs/>
          <w:sz w:val="20"/>
          <w:szCs w:val="20"/>
        </w:rPr>
      </w:pPr>
    </w:p>
    <w:p w14:paraId="0C8407FE" w14:textId="77777777" w:rsidR="002A70B6" w:rsidRPr="00A63F69" w:rsidRDefault="002A70B6" w:rsidP="00A63F69">
      <w:pPr>
        <w:pStyle w:val="ListParagraph"/>
        <w:widowControl w:val="0"/>
        <w:numPr>
          <w:ilvl w:val="0"/>
          <w:numId w:val="36"/>
        </w:numPr>
        <w:tabs>
          <w:tab w:val="left" w:pos="426"/>
        </w:tabs>
        <w:jc w:val="both"/>
        <w:rPr>
          <w:rFonts w:ascii="Cambria" w:hAnsi="Cambria"/>
          <w:sz w:val="20"/>
          <w:szCs w:val="20"/>
        </w:rPr>
      </w:pPr>
      <w:r w:rsidRPr="00A63F69">
        <w:rPr>
          <w:rFonts w:ascii="Cambria" w:hAnsi="Cambria"/>
          <w:sz w:val="20"/>
          <w:szCs w:val="20"/>
        </w:rPr>
        <w:t>Consideración de los progresos realizados sobre la evaluación de estrategias de ordenación (MSE) para el pez espada del Atlántico norte y el tiburón azul del Atlántico</w:t>
      </w:r>
    </w:p>
    <w:p w14:paraId="40336288" w14:textId="77777777" w:rsidR="002A70B6" w:rsidRPr="00A63F69" w:rsidRDefault="002A70B6" w:rsidP="00A63F69">
      <w:pPr>
        <w:tabs>
          <w:tab w:val="left" w:pos="426"/>
        </w:tabs>
        <w:jc w:val="both"/>
        <w:rPr>
          <w:rFonts w:ascii="Cambria" w:hAnsi="Cambria"/>
          <w:sz w:val="20"/>
          <w:szCs w:val="20"/>
        </w:rPr>
      </w:pPr>
    </w:p>
    <w:p w14:paraId="0E57CB48" w14:textId="77777777" w:rsidR="002A70B6" w:rsidRPr="00A63F69" w:rsidRDefault="002A70B6" w:rsidP="00A63F69">
      <w:pPr>
        <w:pStyle w:val="ListParagraph"/>
        <w:widowControl w:val="0"/>
        <w:numPr>
          <w:ilvl w:val="0"/>
          <w:numId w:val="36"/>
        </w:numPr>
        <w:jc w:val="both"/>
        <w:rPr>
          <w:rFonts w:ascii="Cambria" w:hAnsi="Cambria"/>
          <w:color w:val="0563C1" w:themeColor="hyperlink"/>
          <w:sz w:val="20"/>
          <w:szCs w:val="20"/>
        </w:rPr>
      </w:pPr>
      <w:r w:rsidRPr="00A63F69">
        <w:rPr>
          <w:rFonts w:ascii="Cambria" w:hAnsi="Cambria"/>
          <w:sz w:val="20"/>
          <w:szCs w:val="20"/>
        </w:rPr>
        <w:t xml:space="preserve">Medidas para la conservación de los stocks e implementación de la </w:t>
      </w:r>
      <w:hyperlink r:id="rId39" w:history="1">
        <w:r w:rsidRPr="00A63F69">
          <w:rPr>
            <w:rStyle w:val="Hyperlink"/>
            <w:rFonts w:ascii="Cambria" w:hAnsi="Cambria"/>
            <w:i/>
            <w:sz w:val="20"/>
            <w:szCs w:val="20"/>
            <w:u w:val="none"/>
          </w:rPr>
          <w:t>Resolución de ICCAT sobre los criterios de ICCAT para la asignación de posibilidades de pesca</w:t>
        </w:r>
      </w:hyperlink>
      <w:r w:rsidRPr="00A63F69">
        <w:rPr>
          <w:rFonts w:ascii="Cambria" w:hAnsi="Cambria"/>
          <w:i/>
          <w:sz w:val="20"/>
          <w:szCs w:val="20"/>
        </w:rPr>
        <w:t xml:space="preserve"> </w:t>
      </w:r>
      <w:r w:rsidRPr="00A63F69">
        <w:rPr>
          <w:rFonts w:ascii="Cambria" w:hAnsi="Cambria"/>
          <w:sz w:val="20"/>
          <w:szCs w:val="20"/>
        </w:rPr>
        <w:t>(Res. 15-13)</w:t>
      </w:r>
    </w:p>
    <w:p w14:paraId="591E54C2" w14:textId="77777777" w:rsidR="002A70B6" w:rsidRPr="00A63F69" w:rsidRDefault="002A70B6" w:rsidP="00A63F69">
      <w:pPr>
        <w:pStyle w:val="ListParagraph"/>
        <w:jc w:val="both"/>
        <w:rPr>
          <w:rStyle w:val="Hyperlink"/>
          <w:rFonts w:ascii="Cambria" w:hAnsi="Cambria"/>
          <w:sz w:val="20"/>
          <w:szCs w:val="20"/>
          <w:u w:val="none"/>
        </w:rPr>
      </w:pPr>
    </w:p>
    <w:p w14:paraId="7BA67AE1" w14:textId="77777777" w:rsidR="002A70B6" w:rsidRPr="00A63F69" w:rsidRDefault="002A70B6" w:rsidP="00A63F69">
      <w:pPr>
        <w:ind w:left="426"/>
        <w:jc w:val="both"/>
        <w:rPr>
          <w:rFonts w:ascii="Cambria" w:hAnsi="Cambria"/>
          <w:i/>
          <w:iCs/>
          <w:sz w:val="20"/>
          <w:szCs w:val="20"/>
        </w:rPr>
      </w:pPr>
      <w:r w:rsidRPr="00A63F69">
        <w:rPr>
          <w:rFonts w:ascii="Cambria" w:hAnsi="Cambria"/>
          <w:i/>
          <w:iCs/>
          <w:sz w:val="20"/>
          <w:szCs w:val="20"/>
        </w:rPr>
        <w:t>La</w:t>
      </w:r>
      <w:r w:rsidRPr="00A63F69">
        <w:rPr>
          <w:rFonts w:ascii="Cambria" w:hAnsi="Cambria"/>
          <w:sz w:val="20"/>
          <w:szCs w:val="20"/>
        </w:rPr>
        <w:t xml:space="preserve"> </w:t>
      </w:r>
      <w:hyperlink r:id="rId40" w:history="1">
        <w:r w:rsidRPr="00A63F69">
          <w:rPr>
            <w:rStyle w:val="Hyperlink"/>
            <w:rFonts w:ascii="Cambria" w:hAnsi="Cambria"/>
            <w:i/>
            <w:sz w:val="20"/>
            <w:szCs w:val="20"/>
            <w:u w:val="none"/>
          </w:rPr>
          <w:t>Rec. 19-05</w:t>
        </w:r>
      </w:hyperlink>
      <w:r w:rsidRPr="00A63F69">
        <w:rPr>
          <w:rFonts w:ascii="Cambria" w:hAnsi="Cambria"/>
          <w:sz w:val="20"/>
          <w:szCs w:val="20"/>
        </w:rPr>
        <w:t xml:space="preserve"> </w:t>
      </w:r>
      <w:r w:rsidRPr="00A63F69">
        <w:rPr>
          <w:rFonts w:ascii="Cambria" w:hAnsi="Cambria"/>
          <w:i/>
          <w:sz w:val="20"/>
          <w:szCs w:val="20"/>
        </w:rPr>
        <w:t>establece que "el SCRS llevará a cabo evaluaciones del stock de aguja azul en 2024 y del stock de aguja blanca/marlín peto en 2025".</w:t>
      </w:r>
    </w:p>
    <w:p w14:paraId="3CC4F2DD" w14:textId="77777777" w:rsidR="002A70B6" w:rsidRPr="00A63F69" w:rsidRDefault="002A70B6" w:rsidP="00A63F69">
      <w:pPr>
        <w:ind w:left="426"/>
        <w:jc w:val="both"/>
        <w:rPr>
          <w:rFonts w:ascii="Cambria" w:hAnsi="Cambria"/>
          <w:i/>
          <w:iCs/>
          <w:sz w:val="20"/>
          <w:szCs w:val="20"/>
        </w:rPr>
      </w:pPr>
    </w:p>
    <w:p w14:paraId="6AA5DC21" w14:textId="77777777" w:rsidR="002A70B6" w:rsidRPr="00A63F69" w:rsidRDefault="002A70B6" w:rsidP="00A63F69">
      <w:pPr>
        <w:ind w:left="426"/>
        <w:jc w:val="both"/>
        <w:rPr>
          <w:rFonts w:ascii="Cambria" w:hAnsi="Cambria"/>
          <w:i/>
          <w:iCs/>
          <w:color w:val="0563C1" w:themeColor="hyperlink"/>
          <w:sz w:val="20"/>
          <w:szCs w:val="20"/>
        </w:rPr>
      </w:pPr>
      <w:r w:rsidRPr="00A63F69">
        <w:rPr>
          <w:rFonts w:ascii="Cambria" w:hAnsi="Cambria"/>
          <w:i/>
          <w:sz w:val="20"/>
          <w:szCs w:val="20"/>
        </w:rPr>
        <w:t xml:space="preserve">La </w:t>
      </w:r>
      <w:hyperlink r:id="rId41" w:history="1">
        <w:r w:rsidRPr="00A63F69">
          <w:rPr>
            <w:rStyle w:val="Hyperlink"/>
            <w:rFonts w:ascii="Cambria" w:hAnsi="Cambria"/>
            <w:i/>
            <w:sz w:val="20"/>
            <w:szCs w:val="20"/>
            <w:u w:val="none"/>
          </w:rPr>
          <w:t>Rec. 22-11</w:t>
        </w:r>
      </w:hyperlink>
      <w:r w:rsidRPr="00A63F69">
        <w:rPr>
          <w:rFonts w:ascii="Cambria" w:hAnsi="Cambria"/>
          <w:i/>
          <w:sz w:val="20"/>
          <w:szCs w:val="20"/>
        </w:rPr>
        <w:t xml:space="preserve"> establece que "la Comisión revisará esta medida, a más tardar en la reunión anual de 2025, para considerar medidas adicionales para reducir la mortalidad por pesca total".</w:t>
      </w:r>
    </w:p>
    <w:p w14:paraId="77FAC1A4" w14:textId="77777777" w:rsidR="002A70B6" w:rsidRPr="00A63F69" w:rsidRDefault="002A70B6" w:rsidP="00A63F69">
      <w:pPr>
        <w:ind w:left="426"/>
        <w:jc w:val="both"/>
        <w:rPr>
          <w:rFonts w:ascii="Cambria" w:hAnsi="Cambria"/>
          <w:i/>
          <w:iCs/>
          <w:sz w:val="20"/>
          <w:szCs w:val="20"/>
        </w:rPr>
      </w:pPr>
    </w:p>
    <w:p w14:paraId="69E3A0BE" w14:textId="77777777" w:rsidR="002A70B6" w:rsidRPr="00A63F69" w:rsidRDefault="002A70B6" w:rsidP="00A63F69">
      <w:pPr>
        <w:ind w:left="426"/>
        <w:jc w:val="both"/>
        <w:rPr>
          <w:rFonts w:ascii="Cambria" w:hAnsi="Cambria"/>
          <w:i/>
          <w:iCs/>
          <w:color w:val="0563C1" w:themeColor="hyperlink"/>
          <w:sz w:val="20"/>
          <w:szCs w:val="20"/>
        </w:rPr>
      </w:pPr>
      <w:r w:rsidRPr="00A63F69">
        <w:rPr>
          <w:rFonts w:ascii="Cambria" w:hAnsi="Cambria"/>
          <w:i/>
          <w:sz w:val="20"/>
          <w:szCs w:val="20"/>
        </w:rPr>
        <w:t xml:space="preserve">La </w:t>
      </w:r>
      <w:hyperlink r:id="rId42" w:history="1">
        <w:r w:rsidRPr="00A63F69">
          <w:rPr>
            <w:rStyle w:val="Hyperlink"/>
            <w:rFonts w:ascii="Cambria" w:hAnsi="Cambria"/>
            <w:i/>
            <w:sz w:val="20"/>
            <w:szCs w:val="20"/>
            <w:u w:val="none"/>
          </w:rPr>
          <w:t>Rec. 23-10</w:t>
        </w:r>
      </w:hyperlink>
      <w:r w:rsidRPr="00A63F69">
        <w:rPr>
          <w:rFonts w:ascii="Cambria" w:hAnsi="Cambria"/>
          <w:i/>
          <w:sz w:val="20"/>
          <w:szCs w:val="20"/>
        </w:rPr>
        <w:t xml:space="preserve"> establece que "siguiendo la tarea encomendada en la Recomendación 19-07, el SCRS informará a la Comisión, antes de 2025, sobre la viabilidad, el coste, las opciones y la hoja de ruta provisional para desarrollar un marco de MSE (que incluya, entre otras cosas, </w:t>
      </w:r>
      <w:proofErr w:type="spellStart"/>
      <w:r w:rsidRPr="00A63F69">
        <w:rPr>
          <w:rFonts w:ascii="Cambria" w:hAnsi="Cambria"/>
          <w:i/>
          <w:sz w:val="20"/>
          <w:szCs w:val="20"/>
        </w:rPr>
        <w:t>HCR</w:t>
      </w:r>
      <w:proofErr w:type="spellEnd"/>
      <w:r w:rsidRPr="00A63F69">
        <w:rPr>
          <w:rFonts w:ascii="Cambria" w:hAnsi="Cambria"/>
          <w:i/>
          <w:sz w:val="20"/>
          <w:szCs w:val="20"/>
        </w:rPr>
        <w:t xml:space="preserve"> con los puntos de referencia límite, objetivo y umbral asociados) para la ordenación de este stock en la zona del Convenio de ICCAT".</w:t>
      </w:r>
    </w:p>
    <w:p w14:paraId="5C9A9614" w14:textId="77777777" w:rsidR="002A70B6" w:rsidRPr="00A63F69" w:rsidRDefault="002A70B6" w:rsidP="00A63F69">
      <w:pPr>
        <w:jc w:val="both"/>
        <w:rPr>
          <w:rFonts w:ascii="Cambria" w:hAnsi="Cambria"/>
          <w:i/>
          <w:iCs/>
          <w:sz w:val="20"/>
          <w:szCs w:val="20"/>
        </w:rPr>
      </w:pPr>
    </w:p>
    <w:p w14:paraId="0B0F4E02" w14:textId="64D95ED4" w:rsidR="002A70B6" w:rsidRPr="00A63F69" w:rsidRDefault="002A70B6" w:rsidP="00A63F69">
      <w:pPr>
        <w:ind w:left="426"/>
        <w:jc w:val="both"/>
        <w:rPr>
          <w:rFonts w:ascii="Cambria" w:hAnsi="Cambria"/>
          <w:i/>
          <w:iCs/>
          <w:sz w:val="20"/>
          <w:szCs w:val="20"/>
        </w:rPr>
      </w:pPr>
      <w:r w:rsidRPr="00A63F69">
        <w:rPr>
          <w:rFonts w:ascii="Cambria" w:hAnsi="Cambria"/>
          <w:i/>
          <w:iCs/>
          <w:sz w:val="20"/>
          <w:szCs w:val="20"/>
        </w:rPr>
        <w:t xml:space="preserve">La </w:t>
      </w:r>
      <w:hyperlink r:id="rId43" w:history="1">
        <w:r w:rsidRPr="00A63F69">
          <w:rPr>
            <w:rStyle w:val="Hyperlink"/>
            <w:rFonts w:ascii="Cambria" w:hAnsi="Cambria"/>
            <w:i/>
            <w:iCs/>
            <w:sz w:val="20"/>
            <w:szCs w:val="20"/>
            <w:u w:val="none"/>
          </w:rPr>
          <w:t>Rec. 23-11</w:t>
        </w:r>
      </w:hyperlink>
      <w:r w:rsidRPr="00A63F69">
        <w:rPr>
          <w:rFonts w:ascii="Cambria" w:hAnsi="Cambria"/>
          <w:i/>
          <w:iCs/>
          <w:sz w:val="20"/>
          <w:szCs w:val="20"/>
        </w:rPr>
        <w:t xml:space="preserve"> establece que "siguiendo la tarea encomendada en la Recomendación 19-08, el SCRS informará a la Comisión, antes de 2025, sobre la viabilidad, el coste, las opciones y la hoja de ruta provisional para desarrollar un marco de MSE (que incluya, entre otras cosas, </w:t>
      </w:r>
      <w:proofErr w:type="spellStart"/>
      <w:r w:rsidRPr="00A63F69">
        <w:rPr>
          <w:rFonts w:ascii="Cambria" w:hAnsi="Cambria"/>
          <w:i/>
          <w:iCs/>
          <w:sz w:val="20"/>
          <w:szCs w:val="20"/>
        </w:rPr>
        <w:t>HCR</w:t>
      </w:r>
      <w:proofErr w:type="spellEnd"/>
      <w:r w:rsidRPr="00A63F69">
        <w:rPr>
          <w:rFonts w:ascii="Cambria" w:hAnsi="Cambria"/>
          <w:i/>
          <w:iCs/>
          <w:sz w:val="20"/>
          <w:szCs w:val="20"/>
        </w:rPr>
        <w:t xml:space="preserve"> candidatas con los puntos de referencia límite, objetivo y umbral</w:t>
      </w:r>
      <w:r w:rsidR="00F961E0" w:rsidRPr="00A63F69">
        <w:rPr>
          <w:rFonts w:ascii="Cambria" w:hAnsi="Cambria"/>
          <w:i/>
          <w:iCs/>
          <w:sz w:val="20"/>
          <w:szCs w:val="20"/>
        </w:rPr>
        <w:t xml:space="preserve"> </w:t>
      </w:r>
      <w:r w:rsidRPr="00A63F69">
        <w:rPr>
          <w:rFonts w:ascii="Cambria" w:hAnsi="Cambria"/>
          <w:i/>
          <w:sz w:val="20"/>
          <w:szCs w:val="20"/>
        </w:rPr>
        <w:t>asociados candidatos) para la ordenación de este stock (BSH-S) en la zona del Convenio de ICCAT".</w:t>
      </w:r>
    </w:p>
    <w:p w14:paraId="65306137" w14:textId="77777777" w:rsidR="002A70B6" w:rsidRPr="00A63F69" w:rsidRDefault="002A70B6" w:rsidP="00A63F69">
      <w:pPr>
        <w:ind w:left="426"/>
        <w:jc w:val="both"/>
        <w:rPr>
          <w:rFonts w:ascii="Cambria" w:hAnsi="Cambria"/>
          <w:i/>
          <w:iCs/>
          <w:sz w:val="20"/>
          <w:szCs w:val="20"/>
        </w:rPr>
      </w:pPr>
    </w:p>
    <w:p w14:paraId="0C0E678E" w14:textId="77777777" w:rsidR="002A70B6" w:rsidRPr="00A63F69" w:rsidRDefault="002A70B6" w:rsidP="00A63F69">
      <w:pPr>
        <w:ind w:left="426"/>
        <w:jc w:val="both"/>
        <w:rPr>
          <w:rFonts w:ascii="Cambria" w:hAnsi="Cambria"/>
          <w:i/>
          <w:iCs/>
          <w:color w:val="0563C1" w:themeColor="hyperlink"/>
          <w:sz w:val="20"/>
          <w:szCs w:val="20"/>
        </w:rPr>
      </w:pPr>
    </w:p>
    <w:p w14:paraId="687A5E8A" w14:textId="77777777" w:rsidR="002A70B6" w:rsidRPr="00A63F69" w:rsidRDefault="002A70B6" w:rsidP="00A63F69">
      <w:pPr>
        <w:ind w:left="360"/>
        <w:jc w:val="both"/>
        <w:rPr>
          <w:rFonts w:ascii="Cambria" w:hAnsi="Cambria"/>
          <w:i/>
          <w:iCs/>
          <w:color w:val="000000" w:themeColor="text1"/>
          <w:sz w:val="20"/>
          <w:szCs w:val="20"/>
        </w:rPr>
      </w:pPr>
      <w:r w:rsidRPr="00A63F69">
        <w:rPr>
          <w:rFonts w:ascii="Cambria" w:hAnsi="Cambria"/>
          <w:i/>
          <w:color w:val="000000" w:themeColor="text1"/>
          <w:sz w:val="20"/>
          <w:szCs w:val="20"/>
        </w:rPr>
        <w:t xml:space="preserve">Los Planes de ordenación, desarrollo o pesca para el pez espada del Atlántico norte presentados por las CPC en 2025 están contenidos en el </w:t>
      </w:r>
      <w:r w:rsidRPr="00A63F69">
        <w:rPr>
          <w:rFonts w:ascii="Cambria" w:hAnsi="Cambria"/>
          <w:b/>
          <w:i/>
          <w:color w:val="000000" w:themeColor="text1"/>
          <w:sz w:val="20"/>
          <w:szCs w:val="20"/>
        </w:rPr>
        <w:t>PA4-801/2025</w:t>
      </w:r>
      <w:r w:rsidRPr="00A63F69">
        <w:rPr>
          <w:rFonts w:ascii="Cambria" w:hAnsi="Cambria"/>
          <w:i/>
          <w:color w:val="000000" w:themeColor="text1"/>
          <w:sz w:val="20"/>
          <w:szCs w:val="20"/>
        </w:rPr>
        <w:t xml:space="preserve"> y los Planes de pesca de pez espada del Mediterráneo presentados en 2025 están contenidos en el </w:t>
      </w:r>
      <w:r w:rsidRPr="00A63F69">
        <w:rPr>
          <w:rFonts w:ascii="Cambria" w:hAnsi="Cambria"/>
          <w:b/>
          <w:i/>
          <w:color w:val="000000" w:themeColor="text1"/>
          <w:sz w:val="20"/>
          <w:szCs w:val="20"/>
        </w:rPr>
        <w:t>PA4-802/2025</w:t>
      </w:r>
      <w:r w:rsidRPr="00A63F69">
        <w:rPr>
          <w:rFonts w:ascii="Cambria" w:hAnsi="Cambria"/>
          <w:i/>
          <w:color w:val="000000" w:themeColor="text1"/>
          <w:sz w:val="20"/>
          <w:szCs w:val="20"/>
        </w:rPr>
        <w:t>.</w:t>
      </w:r>
    </w:p>
    <w:p w14:paraId="3989C9C5" w14:textId="77777777" w:rsidR="002A70B6" w:rsidRPr="00A63F69" w:rsidRDefault="002A70B6" w:rsidP="00A63F69">
      <w:pPr>
        <w:ind w:left="360"/>
        <w:jc w:val="both"/>
        <w:rPr>
          <w:rFonts w:ascii="Cambria" w:hAnsi="Cambria"/>
          <w:i/>
          <w:iCs/>
          <w:color w:val="000000" w:themeColor="text1"/>
          <w:sz w:val="20"/>
          <w:szCs w:val="20"/>
        </w:rPr>
      </w:pPr>
    </w:p>
    <w:p w14:paraId="760E6B25" w14:textId="77777777" w:rsidR="002A70B6" w:rsidRPr="00A63F69" w:rsidRDefault="002A70B6" w:rsidP="00A63F69">
      <w:pPr>
        <w:ind w:left="426"/>
        <w:jc w:val="both"/>
        <w:rPr>
          <w:rFonts w:ascii="Cambria" w:hAnsi="Cambria"/>
          <w:sz w:val="20"/>
          <w:szCs w:val="20"/>
        </w:rPr>
      </w:pPr>
      <w:r w:rsidRPr="00A63F69">
        <w:rPr>
          <w:rFonts w:ascii="Cambria" w:hAnsi="Cambria"/>
          <w:sz w:val="20"/>
          <w:szCs w:val="20"/>
        </w:rPr>
        <w:t>Las CPC han presentado los siguientes documentos:</w:t>
      </w:r>
    </w:p>
    <w:p w14:paraId="22316FD1" w14:textId="77777777" w:rsidR="002A70B6" w:rsidRPr="00A63F69" w:rsidRDefault="002A70B6" w:rsidP="00A63F69">
      <w:pPr>
        <w:ind w:left="360"/>
        <w:jc w:val="both"/>
        <w:rPr>
          <w:rFonts w:ascii="Cambria" w:hAnsi="Cambria"/>
          <w:color w:val="000000" w:themeColor="text1"/>
          <w:sz w:val="20"/>
          <w:szCs w:val="20"/>
        </w:rPr>
      </w:pPr>
    </w:p>
    <w:p w14:paraId="5D9B64B0"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"Solicitud de cuota de reserva para la pesca del tiburón azul (</w:t>
      </w:r>
      <w:proofErr w:type="spellStart"/>
      <w:r w:rsidRPr="00A63F69">
        <w:rPr>
          <w:rFonts w:ascii="Cambria" w:hAnsi="Cambria"/>
          <w:i/>
          <w:color w:val="000000" w:themeColor="text1"/>
          <w:sz w:val="20"/>
          <w:szCs w:val="20"/>
        </w:rPr>
        <w:t>Prionace</w:t>
      </w:r>
      <w:proofErr w:type="spellEnd"/>
      <w:r w:rsidRPr="00A63F69">
        <w:rPr>
          <w:rFonts w:ascii="Cambria" w:hAnsi="Cambria"/>
          <w:i/>
          <w:color w:val="000000" w:themeColor="text1"/>
          <w:sz w:val="20"/>
          <w:szCs w:val="20"/>
        </w:rPr>
        <w:t xml:space="preserve"> glauca) y pez espada (Xiphias gladius) por parte de la flota que enarbola pabellón de Cabo Verde en la zona del Convenio de ICCAT", presentado por Cabo Verde como documento </w:t>
      </w:r>
      <w:r w:rsidRPr="00A63F69">
        <w:rPr>
          <w:rFonts w:ascii="Cambria" w:hAnsi="Cambria"/>
          <w:b/>
          <w:bCs/>
          <w:i/>
          <w:color w:val="000000" w:themeColor="text1"/>
          <w:sz w:val="20"/>
          <w:szCs w:val="20"/>
        </w:rPr>
        <w:t>PA4-803/2025</w:t>
      </w:r>
      <w:r w:rsidRPr="00A63F69">
        <w:rPr>
          <w:rFonts w:ascii="Cambria" w:hAnsi="Cambria"/>
          <w:i/>
          <w:color w:val="000000" w:themeColor="text1"/>
          <w:sz w:val="20"/>
          <w:szCs w:val="20"/>
        </w:rPr>
        <w:t>.</w:t>
      </w:r>
    </w:p>
    <w:p w14:paraId="2D72A3E2" w14:textId="77777777" w:rsidR="002A70B6" w:rsidRPr="00A63F69" w:rsidRDefault="002A70B6" w:rsidP="00A63F69">
      <w:pPr>
        <w:ind w:left="360"/>
        <w:jc w:val="both"/>
        <w:rPr>
          <w:rFonts w:ascii="Cambria" w:hAnsi="Cambria"/>
          <w:i/>
          <w:iCs/>
          <w:color w:val="000000" w:themeColor="text1"/>
          <w:sz w:val="20"/>
          <w:szCs w:val="20"/>
        </w:rPr>
      </w:pPr>
    </w:p>
    <w:p w14:paraId="2205D6D1"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sobre la conservación y la ordenación de los tiburones capturados en asociación con pesquerías de ICCAT", presentado por Japón como documento </w:t>
      </w:r>
      <w:r w:rsidRPr="00A63F69">
        <w:rPr>
          <w:rFonts w:ascii="Cambria" w:hAnsi="Cambria"/>
          <w:b/>
          <w:i/>
          <w:color w:val="000000" w:themeColor="text1"/>
          <w:sz w:val="20"/>
          <w:szCs w:val="20"/>
        </w:rPr>
        <w:t>PA4-804/2025</w:t>
      </w:r>
      <w:r w:rsidRPr="00A63F69">
        <w:rPr>
          <w:rFonts w:ascii="Cambria" w:hAnsi="Cambria"/>
          <w:i/>
          <w:color w:val="000000" w:themeColor="text1"/>
          <w:sz w:val="20"/>
          <w:szCs w:val="20"/>
        </w:rPr>
        <w:t>.</w:t>
      </w:r>
    </w:p>
    <w:p w14:paraId="550ECEDD" w14:textId="77777777" w:rsidR="002A70B6" w:rsidRPr="00A63F69" w:rsidRDefault="002A70B6" w:rsidP="00A63F69">
      <w:pPr>
        <w:ind w:left="426"/>
        <w:jc w:val="both"/>
        <w:rPr>
          <w:rFonts w:ascii="Cambria" w:hAnsi="Cambria"/>
          <w:i/>
          <w:iCs/>
          <w:color w:val="000000" w:themeColor="text1"/>
          <w:sz w:val="20"/>
          <w:szCs w:val="20"/>
        </w:rPr>
      </w:pPr>
    </w:p>
    <w:p w14:paraId="3422E44E"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sobre la conservación de tiburones capturados en asociación con pesquerías gestionadas por ICCAT", presentado por Estados Unidos como documento </w:t>
      </w:r>
      <w:r w:rsidRPr="00A63F69">
        <w:rPr>
          <w:rFonts w:ascii="Cambria" w:hAnsi="Cambria"/>
          <w:b/>
          <w:bCs/>
          <w:i/>
          <w:color w:val="000000" w:themeColor="text1"/>
          <w:sz w:val="20"/>
          <w:szCs w:val="20"/>
        </w:rPr>
        <w:t>PA4-805/2025</w:t>
      </w:r>
      <w:r w:rsidRPr="00A63F69">
        <w:rPr>
          <w:rFonts w:ascii="Cambria" w:hAnsi="Cambria"/>
          <w:i/>
          <w:color w:val="000000" w:themeColor="text1"/>
          <w:sz w:val="20"/>
          <w:szCs w:val="20"/>
        </w:rPr>
        <w:t>.</w:t>
      </w:r>
    </w:p>
    <w:p w14:paraId="399D4D04" w14:textId="77777777" w:rsidR="002A70B6" w:rsidRPr="00A63F69" w:rsidRDefault="002A70B6" w:rsidP="00A63F69">
      <w:pPr>
        <w:ind w:left="426"/>
        <w:jc w:val="both"/>
        <w:rPr>
          <w:rFonts w:ascii="Cambria" w:hAnsi="Cambria"/>
          <w:i/>
          <w:iCs/>
          <w:color w:val="000000" w:themeColor="text1"/>
          <w:sz w:val="20"/>
          <w:szCs w:val="20"/>
        </w:rPr>
      </w:pPr>
    </w:p>
    <w:p w14:paraId="62A073A2"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19-05 para establecer programas de recuperación para la aguja azul y aguja blanca/marlín peto", presentado por Costa Rica como documento </w:t>
      </w:r>
      <w:r w:rsidRPr="00A63F69">
        <w:rPr>
          <w:rFonts w:ascii="Cambria" w:hAnsi="Cambria"/>
          <w:b/>
          <w:i/>
          <w:color w:val="000000" w:themeColor="text1"/>
          <w:sz w:val="20"/>
          <w:szCs w:val="20"/>
        </w:rPr>
        <w:t>PA4-806/2025</w:t>
      </w:r>
      <w:r w:rsidRPr="00A63F69">
        <w:rPr>
          <w:rFonts w:ascii="Cambria" w:hAnsi="Cambria"/>
          <w:i/>
          <w:color w:val="000000" w:themeColor="text1"/>
          <w:sz w:val="20"/>
          <w:szCs w:val="20"/>
        </w:rPr>
        <w:t>.</w:t>
      </w:r>
    </w:p>
    <w:p w14:paraId="2FA67C0C" w14:textId="409D8806" w:rsidR="002A70B6" w:rsidRPr="00A63F69" w:rsidRDefault="002A70B6" w:rsidP="00A63F69">
      <w:pPr>
        <w:pStyle w:val="NormalWeb"/>
        <w:ind w:left="426"/>
        <w:jc w:val="both"/>
        <w:rPr>
          <w:rFonts w:ascii="Cambria" w:hAnsi="Cambria"/>
          <w:i/>
          <w:color w:val="000000" w:themeColor="text1"/>
          <w:sz w:val="20"/>
          <w:szCs w:val="20"/>
          <w:lang w:val="es-ES"/>
        </w:rPr>
      </w:pPr>
      <w:r w:rsidRPr="00A63F69">
        <w:rPr>
          <w:rFonts w:ascii="Cambria" w:hAnsi="Cambria"/>
          <w:i/>
          <w:color w:val="000000" w:themeColor="text1"/>
          <w:sz w:val="20"/>
          <w:szCs w:val="20"/>
          <w:lang w:val="es-ES"/>
        </w:rPr>
        <w:t>"Proyecto de Recomendación de ICCAT sobre la obligación de mantener las aletas unidas de forma natural para evitar su cercenamiento", presentado por la Unión Europea</w:t>
      </w:r>
      <w:r w:rsidR="00CB0ED1" w:rsidRPr="00A63F69">
        <w:rPr>
          <w:rFonts w:ascii="Cambria" w:hAnsi="Cambria"/>
          <w:i/>
          <w:color w:val="000000" w:themeColor="text1"/>
          <w:sz w:val="20"/>
          <w:szCs w:val="20"/>
          <w:lang w:val="es-ES"/>
        </w:rPr>
        <w:t xml:space="preserve">, </w:t>
      </w:r>
      <w:r w:rsidR="00FB14D3" w:rsidRPr="00A63F69">
        <w:rPr>
          <w:rFonts w:ascii="Cambria" w:hAnsi="Cambria"/>
          <w:sz w:val="20"/>
          <w:szCs w:val="20"/>
          <w:lang w:val="es-ES"/>
        </w:rPr>
        <w:t xml:space="preserve">Albania, Barbados, Canadá, Costa Rica, </w:t>
      </w:r>
      <w:r w:rsidR="00CB0ED1" w:rsidRPr="00A63F69">
        <w:rPr>
          <w:rFonts w:ascii="Cambria" w:hAnsi="Cambria"/>
          <w:sz w:val="20"/>
          <w:szCs w:val="20"/>
          <w:lang w:val="es-ES"/>
        </w:rPr>
        <w:t>Honduras, Liberia</w:t>
      </w:r>
      <w:r w:rsidR="00FB14D3" w:rsidRPr="00A63F69">
        <w:rPr>
          <w:rFonts w:ascii="Cambria" w:hAnsi="Cambria"/>
          <w:sz w:val="20"/>
          <w:szCs w:val="20"/>
          <w:lang w:val="es-ES"/>
        </w:rPr>
        <w:t>, Nicaragua, Nigeria, Noruega, Panamá, Filipinas, Sudáfrica, Reino Unido y Venezuela</w:t>
      </w:r>
      <w:r w:rsidR="005467DB" w:rsidRPr="00A63F69">
        <w:rPr>
          <w:rFonts w:ascii="Cambria" w:hAnsi="Cambria"/>
          <w:sz w:val="20"/>
          <w:szCs w:val="20"/>
          <w:lang w:val="es-ES"/>
        </w:rPr>
        <w:t xml:space="preserve"> </w:t>
      </w:r>
      <w:r w:rsidRPr="00A63F69">
        <w:rPr>
          <w:rFonts w:ascii="Cambria" w:hAnsi="Cambria"/>
          <w:i/>
          <w:color w:val="000000" w:themeColor="text1"/>
          <w:sz w:val="20"/>
          <w:szCs w:val="20"/>
          <w:lang w:val="es-ES"/>
        </w:rPr>
        <w:t xml:space="preserve">como documento </w:t>
      </w:r>
      <w:r w:rsidRPr="00A63F69">
        <w:rPr>
          <w:rFonts w:ascii="Cambria" w:hAnsi="Cambria"/>
          <w:b/>
          <w:i/>
          <w:color w:val="000000" w:themeColor="text1"/>
          <w:sz w:val="20"/>
          <w:szCs w:val="20"/>
          <w:lang w:val="es-ES"/>
        </w:rPr>
        <w:t>PA4-807</w:t>
      </w:r>
      <w:r w:rsidR="005467DB" w:rsidRPr="00A63F69">
        <w:rPr>
          <w:rFonts w:ascii="Cambria" w:hAnsi="Cambria"/>
          <w:b/>
          <w:i/>
          <w:color w:val="000000" w:themeColor="text1"/>
          <w:sz w:val="20"/>
          <w:szCs w:val="20"/>
          <w:lang w:val="es-ES"/>
        </w:rPr>
        <w:t>_SPONS_1</w:t>
      </w:r>
      <w:r w:rsidRPr="00A63F69">
        <w:rPr>
          <w:rFonts w:ascii="Cambria" w:hAnsi="Cambria"/>
          <w:b/>
          <w:i/>
          <w:color w:val="000000" w:themeColor="text1"/>
          <w:sz w:val="20"/>
          <w:szCs w:val="20"/>
          <w:lang w:val="es-ES"/>
        </w:rPr>
        <w:t>/2025</w:t>
      </w:r>
      <w:r w:rsidRPr="00A63F69">
        <w:rPr>
          <w:rFonts w:ascii="Cambria" w:hAnsi="Cambria"/>
          <w:i/>
          <w:color w:val="000000" w:themeColor="text1"/>
          <w:sz w:val="20"/>
          <w:szCs w:val="20"/>
          <w:lang w:val="es-ES"/>
        </w:rPr>
        <w:t>.</w:t>
      </w:r>
    </w:p>
    <w:p w14:paraId="71515716"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sobre la conservación y la ordenación de tiburones capturados en asociación con pesquerías de ICCAT", presentado por la Unión Europea como documento </w:t>
      </w:r>
      <w:r w:rsidRPr="00A63F69">
        <w:rPr>
          <w:rFonts w:ascii="Cambria" w:hAnsi="Cambria"/>
          <w:b/>
          <w:i/>
          <w:color w:val="000000" w:themeColor="text1"/>
          <w:sz w:val="20"/>
          <w:szCs w:val="20"/>
        </w:rPr>
        <w:t>PA4-808/2025</w:t>
      </w:r>
      <w:r w:rsidRPr="00A63F69">
        <w:rPr>
          <w:rFonts w:ascii="Cambria" w:hAnsi="Cambria"/>
          <w:i/>
          <w:color w:val="000000" w:themeColor="text1"/>
          <w:sz w:val="20"/>
          <w:szCs w:val="20"/>
        </w:rPr>
        <w:t>.</w:t>
      </w:r>
    </w:p>
    <w:p w14:paraId="5886E745" w14:textId="77777777" w:rsidR="002A70B6" w:rsidRPr="00A63F69" w:rsidRDefault="002A70B6" w:rsidP="00A63F69">
      <w:pPr>
        <w:ind w:left="426"/>
        <w:jc w:val="both"/>
        <w:rPr>
          <w:rFonts w:ascii="Cambria" w:hAnsi="Cambria"/>
          <w:i/>
          <w:iCs/>
          <w:color w:val="000000" w:themeColor="text1"/>
          <w:sz w:val="20"/>
          <w:szCs w:val="20"/>
        </w:rPr>
      </w:pPr>
    </w:p>
    <w:p w14:paraId="68ED2728" w14:textId="6587F693"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19-05 para establecer programas de recuperación para la aguja azul y </w:t>
      </w:r>
      <w:r w:rsidR="00BD2E7E" w:rsidRPr="00A63F69">
        <w:rPr>
          <w:rFonts w:ascii="Cambria" w:hAnsi="Cambria"/>
          <w:i/>
          <w:color w:val="000000" w:themeColor="text1"/>
          <w:sz w:val="20"/>
          <w:szCs w:val="20"/>
        </w:rPr>
        <w:t xml:space="preserve">la </w:t>
      </w:r>
      <w:r w:rsidRPr="00A63F69">
        <w:rPr>
          <w:rFonts w:ascii="Cambria" w:hAnsi="Cambria"/>
          <w:i/>
          <w:color w:val="000000" w:themeColor="text1"/>
          <w:sz w:val="20"/>
          <w:szCs w:val="20"/>
        </w:rPr>
        <w:t xml:space="preserve">aguja blanca/marlín peto </w:t>
      </w:r>
      <w:r w:rsidR="00BD2E7E" w:rsidRPr="00A63F69">
        <w:rPr>
          <w:rFonts w:ascii="Cambria" w:hAnsi="Cambria"/>
          <w:i/>
          <w:color w:val="000000" w:themeColor="text1"/>
          <w:sz w:val="20"/>
          <w:szCs w:val="20"/>
        </w:rPr>
        <w:t>e incluye disposiciones</w:t>
      </w:r>
      <w:r w:rsidRPr="00A63F69">
        <w:rPr>
          <w:rFonts w:ascii="Cambria" w:hAnsi="Cambria"/>
          <w:i/>
          <w:color w:val="000000" w:themeColor="text1"/>
          <w:sz w:val="20"/>
          <w:szCs w:val="20"/>
        </w:rPr>
        <w:t xml:space="preserve"> especiales para </w:t>
      </w:r>
      <w:r w:rsidR="00BD2E7E" w:rsidRPr="00A63F69">
        <w:rPr>
          <w:rFonts w:ascii="Cambria" w:hAnsi="Cambria"/>
          <w:i/>
          <w:color w:val="000000" w:themeColor="text1"/>
          <w:sz w:val="20"/>
          <w:szCs w:val="20"/>
        </w:rPr>
        <w:t>las CPC que son pequeñas islas</w:t>
      </w:r>
      <w:r w:rsidRPr="00A63F69">
        <w:rPr>
          <w:rFonts w:ascii="Cambria" w:hAnsi="Cambria"/>
          <w:i/>
          <w:color w:val="000000" w:themeColor="text1"/>
          <w:sz w:val="20"/>
          <w:szCs w:val="20"/>
        </w:rPr>
        <w:t xml:space="preserve"> en desarrollo (</w:t>
      </w:r>
      <w:r w:rsidR="00BD2E7E" w:rsidRPr="00A63F69">
        <w:rPr>
          <w:rFonts w:ascii="Cambria" w:hAnsi="Cambria"/>
          <w:i/>
          <w:color w:val="000000" w:themeColor="text1"/>
          <w:sz w:val="20"/>
          <w:szCs w:val="20"/>
        </w:rPr>
        <w:t>SID</w:t>
      </w:r>
      <w:r w:rsidRPr="00A63F69">
        <w:rPr>
          <w:rFonts w:ascii="Cambria" w:hAnsi="Cambria"/>
          <w:i/>
          <w:color w:val="000000" w:themeColor="text1"/>
          <w:sz w:val="20"/>
          <w:szCs w:val="20"/>
        </w:rPr>
        <w:t>) del Caribe</w:t>
      </w:r>
      <w:r w:rsidR="00BD2E7E" w:rsidRPr="00A63F69">
        <w:rPr>
          <w:rFonts w:ascii="Cambria" w:hAnsi="Cambria"/>
          <w:i/>
          <w:color w:val="000000" w:themeColor="text1"/>
          <w:sz w:val="20"/>
          <w:szCs w:val="20"/>
        </w:rPr>
        <w:t>, de conformidad con la Resolución 15-13”</w:t>
      </w:r>
      <w:r w:rsidRPr="00A63F69">
        <w:rPr>
          <w:rFonts w:ascii="Cambria" w:hAnsi="Cambria"/>
          <w:i/>
          <w:color w:val="000000" w:themeColor="text1"/>
          <w:sz w:val="20"/>
          <w:szCs w:val="20"/>
        </w:rPr>
        <w:t xml:space="preserve"> presentado por Barbados, Belice, Granada, San Vicente y las Granadinas y Trinidad y Tobago como documento </w:t>
      </w:r>
      <w:r w:rsidRPr="00A63F69">
        <w:rPr>
          <w:rFonts w:ascii="Cambria" w:hAnsi="Cambria"/>
          <w:b/>
          <w:bCs/>
          <w:i/>
          <w:color w:val="000000" w:themeColor="text1"/>
          <w:sz w:val="20"/>
          <w:szCs w:val="20"/>
        </w:rPr>
        <w:t>PA4-809</w:t>
      </w:r>
      <w:r w:rsidR="00467E87" w:rsidRPr="00A63F69">
        <w:rPr>
          <w:rFonts w:ascii="Cambria" w:hAnsi="Cambria"/>
          <w:b/>
          <w:bCs/>
          <w:i/>
          <w:color w:val="000000" w:themeColor="text1"/>
          <w:sz w:val="20"/>
          <w:szCs w:val="20"/>
        </w:rPr>
        <w:t>-REV</w:t>
      </w:r>
      <w:r w:rsidR="00FC42FC" w:rsidRPr="00A63F69">
        <w:rPr>
          <w:rFonts w:ascii="Cambria" w:hAnsi="Cambria"/>
          <w:b/>
          <w:bCs/>
          <w:i/>
          <w:color w:val="000000" w:themeColor="text1"/>
          <w:sz w:val="20"/>
          <w:szCs w:val="20"/>
        </w:rPr>
        <w:t>_1</w:t>
      </w:r>
      <w:r w:rsidRPr="00A63F69">
        <w:rPr>
          <w:rFonts w:ascii="Cambria" w:hAnsi="Cambria"/>
          <w:b/>
          <w:bCs/>
          <w:i/>
          <w:color w:val="000000" w:themeColor="text1"/>
          <w:sz w:val="20"/>
          <w:szCs w:val="20"/>
        </w:rPr>
        <w:t>/2025</w:t>
      </w:r>
      <w:r w:rsidRPr="00A63F69">
        <w:rPr>
          <w:rFonts w:ascii="Cambria" w:hAnsi="Cambria"/>
          <w:i/>
          <w:color w:val="000000" w:themeColor="text1"/>
          <w:sz w:val="20"/>
          <w:szCs w:val="20"/>
        </w:rPr>
        <w:t>.</w:t>
      </w:r>
    </w:p>
    <w:p w14:paraId="57046705" w14:textId="77777777" w:rsidR="002A70B6" w:rsidRPr="00A63F69" w:rsidRDefault="002A70B6" w:rsidP="00A63F69">
      <w:pPr>
        <w:ind w:left="426"/>
        <w:jc w:val="both"/>
        <w:rPr>
          <w:rFonts w:ascii="Cambria" w:hAnsi="Cambria"/>
          <w:i/>
          <w:iCs/>
          <w:color w:val="000000" w:themeColor="text1"/>
          <w:sz w:val="20"/>
          <w:szCs w:val="20"/>
        </w:rPr>
      </w:pPr>
    </w:p>
    <w:p w14:paraId="5EF11FC7"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"Declaración de la República Bolivariana de Venezuela en relación con la preocupación por los límites de desembarque de aguja azul y aguja blanca/marlín peto", presentado por Venezuela como documento </w:t>
      </w:r>
      <w:r w:rsidRPr="00A63F69">
        <w:rPr>
          <w:rFonts w:ascii="Cambria" w:hAnsi="Cambria"/>
          <w:b/>
          <w:i/>
          <w:color w:val="000000" w:themeColor="text1"/>
          <w:sz w:val="20"/>
          <w:szCs w:val="20"/>
        </w:rPr>
        <w:t>PA4-810/2025</w:t>
      </w:r>
      <w:r w:rsidRPr="00A63F69">
        <w:rPr>
          <w:rFonts w:ascii="Cambria" w:hAnsi="Cambria"/>
          <w:i/>
          <w:color w:val="000000" w:themeColor="text1"/>
          <w:sz w:val="20"/>
          <w:szCs w:val="20"/>
        </w:rPr>
        <w:t>.</w:t>
      </w:r>
    </w:p>
    <w:p w14:paraId="635D03E3" w14:textId="77777777" w:rsidR="002A70B6" w:rsidRPr="00A63F69" w:rsidRDefault="002A70B6" w:rsidP="00A63F69">
      <w:pPr>
        <w:jc w:val="both"/>
        <w:rPr>
          <w:rStyle w:val="Hyperlink"/>
          <w:rFonts w:ascii="Cambria" w:hAnsi="Cambria"/>
          <w:sz w:val="20"/>
          <w:szCs w:val="20"/>
          <w:u w:val="none"/>
        </w:rPr>
      </w:pPr>
    </w:p>
    <w:p w14:paraId="3F92588C"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07-07 y la Recomendación suplementaria 11-09 para reducir la captura fortuita incidental de aves marinas en las pesquerías de palangre de ICCAT", presentado por el Reino Unido como documento </w:t>
      </w:r>
      <w:r w:rsidRPr="00A63F69">
        <w:rPr>
          <w:rFonts w:ascii="Cambria" w:hAnsi="Cambria"/>
          <w:b/>
          <w:bCs/>
          <w:i/>
          <w:color w:val="000000" w:themeColor="text1"/>
          <w:sz w:val="20"/>
          <w:szCs w:val="20"/>
        </w:rPr>
        <w:t>PA4-811/2025</w:t>
      </w:r>
      <w:r w:rsidRPr="00A63F69">
        <w:rPr>
          <w:rFonts w:ascii="Cambria" w:hAnsi="Cambria"/>
          <w:i/>
          <w:color w:val="000000" w:themeColor="text1"/>
          <w:sz w:val="20"/>
          <w:szCs w:val="20"/>
        </w:rPr>
        <w:t>.</w:t>
      </w:r>
    </w:p>
    <w:p w14:paraId="6C5BB64B" w14:textId="77777777" w:rsidR="000D7C81" w:rsidRPr="00A63F69" w:rsidRDefault="000D7C81" w:rsidP="00A63F69">
      <w:pPr>
        <w:ind w:left="426"/>
        <w:jc w:val="both"/>
        <w:rPr>
          <w:rFonts w:ascii="Cambria" w:hAnsi="Cambria"/>
          <w:i/>
          <w:iCs/>
          <w:color w:val="000000" w:themeColor="text1"/>
          <w:sz w:val="20"/>
          <w:szCs w:val="20"/>
        </w:rPr>
      </w:pPr>
    </w:p>
    <w:p w14:paraId="156D475F"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sobre tiburón peregrino y jaquetón blanco capturados en asociación con pesquerías gestionadas por ICCAT", presentado por Reino Unido como documento </w:t>
      </w:r>
      <w:r w:rsidRPr="00A63F69">
        <w:rPr>
          <w:rFonts w:ascii="Cambria" w:hAnsi="Cambria"/>
          <w:b/>
          <w:bCs/>
          <w:i/>
          <w:color w:val="000000" w:themeColor="text1"/>
          <w:sz w:val="20"/>
          <w:szCs w:val="20"/>
        </w:rPr>
        <w:t>PA4-812/2025</w:t>
      </w:r>
      <w:r w:rsidRPr="00A63F69">
        <w:rPr>
          <w:rFonts w:ascii="Cambria" w:hAnsi="Cambria"/>
          <w:i/>
          <w:color w:val="000000" w:themeColor="text1"/>
          <w:sz w:val="20"/>
          <w:szCs w:val="20"/>
        </w:rPr>
        <w:t>.</w:t>
      </w:r>
    </w:p>
    <w:p w14:paraId="1C57BF30" w14:textId="77777777" w:rsidR="000D7C81" w:rsidRPr="00A63F69" w:rsidRDefault="000D7C81" w:rsidP="00A63F69">
      <w:pPr>
        <w:ind w:left="426"/>
        <w:jc w:val="both"/>
        <w:rPr>
          <w:rFonts w:ascii="Cambria" w:hAnsi="Cambria"/>
          <w:i/>
          <w:iCs/>
          <w:color w:val="000000" w:themeColor="text1"/>
          <w:sz w:val="20"/>
          <w:szCs w:val="20"/>
        </w:rPr>
      </w:pPr>
    </w:p>
    <w:p w14:paraId="6D4E4656"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Resolución de ICCAT sobre objetivos operativos de ordenación para el tiburón azul del Atlántico", presentado por la Unión Europea como documento </w:t>
      </w:r>
      <w:r w:rsidRPr="00A63F69">
        <w:rPr>
          <w:rFonts w:ascii="Cambria" w:hAnsi="Cambria"/>
          <w:b/>
          <w:i/>
          <w:color w:val="000000" w:themeColor="text1"/>
          <w:sz w:val="20"/>
          <w:szCs w:val="20"/>
        </w:rPr>
        <w:t>PA4-813/2025</w:t>
      </w:r>
      <w:r w:rsidRPr="00A63F69">
        <w:rPr>
          <w:rFonts w:ascii="Cambria" w:hAnsi="Cambria"/>
          <w:i/>
          <w:color w:val="000000" w:themeColor="text1"/>
          <w:sz w:val="20"/>
          <w:szCs w:val="20"/>
        </w:rPr>
        <w:t>.</w:t>
      </w:r>
    </w:p>
    <w:p w14:paraId="6EED5065" w14:textId="77777777" w:rsidR="000D7C81" w:rsidRPr="00A63F69" w:rsidRDefault="000D7C81" w:rsidP="00A63F69">
      <w:pPr>
        <w:ind w:left="426"/>
        <w:jc w:val="both"/>
        <w:rPr>
          <w:rFonts w:ascii="Cambria" w:hAnsi="Cambria"/>
          <w:i/>
          <w:iCs/>
          <w:color w:val="000000" w:themeColor="text1"/>
          <w:sz w:val="20"/>
          <w:szCs w:val="20"/>
        </w:rPr>
      </w:pPr>
    </w:p>
    <w:p w14:paraId="213215F9" w14:textId="11BBA8AD"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22-11 sobre la conservación del stock de marrajo dientuso del Atlántico sur capturado en asociación con pesquerías de ICCAT", presentado por la Unión Europea como documento </w:t>
      </w:r>
      <w:r w:rsidRPr="00A63F69">
        <w:rPr>
          <w:rFonts w:ascii="Cambria" w:hAnsi="Cambria"/>
          <w:b/>
          <w:i/>
          <w:color w:val="000000" w:themeColor="text1"/>
          <w:sz w:val="20"/>
          <w:szCs w:val="20"/>
        </w:rPr>
        <w:t>PA4-814/2025</w:t>
      </w:r>
      <w:r w:rsidRPr="00A63F69">
        <w:rPr>
          <w:rFonts w:ascii="Cambria" w:hAnsi="Cambria"/>
          <w:i/>
          <w:color w:val="000000" w:themeColor="text1"/>
          <w:sz w:val="20"/>
          <w:szCs w:val="20"/>
        </w:rPr>
        <w:t>.</w:t>
      </w:r>
    </w:p>
    <w:p w14:paraId="1981BEDC" w14:textId="77777777" w:rsidR="000D7C81" w:rsidRPr="00A63F69" w:rsidRDefault="000D7C81" w:rsidP="00A63F69">
      <w:pPr>
        <w:ind w:left="426"/>
        <w:jc w:val="both"/>
        <w:rPr>
          <w:rFonts w:ascii="Cambria" w:hAnsi="Cambria"/>
          <w:i/>
          <w:iCs/>
          <w:color w:val="000000" w:themeColor="text1"/>
          <w:sz w:val="20"/>
          <w:szCs w:val="20"/>
        </w:rPr>
      </w:pPr>
    </w:p>
    <w:p w14:paraId="2183C9C0"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 Proyecto de Recomendación de ICCAT sobre el uso experimental de trampillas", presentado por la Unión Europea como documento </w:t>
      </w:r>
      <w:r w:rsidRPr="00A63F69">
        <w:rPr>
          <w:rFonts w:ascii="Cambria" w:hAnsi="Cambria"/>
          <w:b/>
          <w:i/>
          <w:color w:val="000000" w:themeColor="text1"/>
          <w:sz w:val="20"/>
          <w:szCs w:val="20"/>
        </w:rPr>
        <w:t>PA4-815/2025</w:t>
      </w:r>
      <w:r w:rsidRPr="00A63F69">
        <w:rPr>
          <w:rFonts w:ascii="Cambria" w:hAnsi="Cambria"/>
          <w:i/>
          <w:color w:val="000000" w:themeColor="text1"/>
          <w:sz w:val="20"/>
          <w:szCs w:val="20"/>
        </w:rPr>
        <w:t>.</w:t>
      </w:r>
    </w:p>
    <w:p w14:paraId="57DF9DB2" w14:textId="77777777" w:rsidR="000D7C81" w:rsidRPr="00A63F69" w:rsidRDefault="000D7C81" w:rsidP="00A63F69">
      <w:pPr>
        <w:ind w:left="426"/>
        <w:jc w:val="both"/>
        <w:rPr>
          <w:rFonts w:ascii="Cambria" w:hAnsi="Cambria"/>
          <w:i/>
          <w:iCs/>
          <w:color w:val="000000" w:themeColor="text1"/>
          <w:sz w:val="20"/>
          <w:szCs w:val="20"/>
        </w:rPr>
      </w:pPr>
    </w:p>
    <w:p w14:paraId="38B1926D"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para un protocolo de circunstancias excepcionales (ECP) para el pez espada del Atlántico norte", presentado por Canadá como documento </w:t>
      </w:r>
      <w:r w:rsidRPr="00A63F69">
        <w:rPr>
          <w:rFonts w:ascii="Cambria" w:hAnsi="Cambria"/>
          <w:b/>
          <w:i/>
          <w:color w:val="000000" w:themeColor="text1"/>
          <w:sz w:val="20"/>
          <w:szCs w:val="20"/>
        </w:rPr>
        <w:t>PA4-816/2025</w:t>
      </w:r>
      <w:r w:rsidRPr="00A63F69">
        <w:rPr>
          <w:rFonts w:ascii="Cambria" w:hAnsi="Cambria"/>
          <w:i/>
          <w:color w:val="000000" w:themeColor="text1"/>
          <w:sz w:val="20"/>
          <w:szCs w:val="20"/>
        </w:rPr>
        <w:t>.</w:t>
      </w:r>
    </w:p>
    <w:p w14:paraId="2DC63370" w14:textId="77777777" w:rsidR="000D7C81" w:rsidRPr="00A63F69" w:rsidRDefault="000D7C81" w:rsidP="00A63F69">
      <w:pPr>
        <w:jc w:val="both"/>
        <w:rPr>
          <w:rStyle w:val="Hyperlink"/>
          <w:rFonts w:ascii="Cambria" w:hAnsi="Cambria"/>
          <w:sz w:val="20"/>
          <w:szCs w:val="20"/>
          <w:u w:val="none"/>
        </w:rPr>
      </w:pPr>
    </w:p>
    <w:p w14:paraId="026AF934" w14:textId="77777777" w:rsidR="002A70B6" w:rsidRPr="00A63F69" w:rsidRDefault="002A70B6" w:rsidP="00A63F69">
      <w:pPr>
        <w:pStyle w:val="ListParagraph"/>
        <w:widowControl w:val="0"/>
        <w:numPr>
          <w:ilvl w:val="0"/>
          <w:numId w:val="36"/>
        </w:numPr>
        <w:jc w:val="both"/>
        <w:rPr>
          <w:rFonts w:ascii="Cambria" w:hAnsi="Cambria"/>
          <w:iCs/>
          <w:sz w:val="20"/>
          <w:szCs w:val="20"/>
        </w:rPr>
      </w:pPr>
      <w:r w:rsidRPr="00A63F69">
        <w:rPr>
          <w:rFonts w:ascii="Cambria" w:hAnsi="Cambria"/>
          <w:sz w:val="20"/>
          <w:szCs w:val="20"/>
        </w:rPr>
        <w:t>Identificación de las medidas obsoletas a la luz de lo expuesto en el punto 8 anterior</w:t>
      </w:r>
    </w:p>
    <w:p w14:paraId="5CE6FC48" w14:textId="77777777" w:rsidR="002A70B6" w:rsidRPr="00A63F69" w:rsidRDefault="002A70B6" w:rsidP="00A63F69">
      <w:pPr>
        <w:jc w:val="both"/>
        <w:rPr>
          <w:rFonts w:ascii="Cambria" w:hAnsi="Cambria"/>
          <w:iCs/>
          <w:sz w:val="20"/>
          <w:szCs w:val="20"/>
        </w:rPr>
      </w:pPr>
    </w:p>
    <w:p w14:paraId="24693F6F" w14:textId="77777777" w:rsidR="002A70B6" w:rsidRPr="00A63F69" w:rsidRDefault="002A70B6" w:rsidP="00A63F69">
      <w:pPr>
        <w:ind w:left="360"/>
        <w:jc w:val="both"/>
        <w:rPr>
          <w:rFonts w:ascii="Cambria" w:hAnsi="Cambria"/>
          <w:i/>
          <w:iCs/>
          <w:sz w:val="20"/>
          <w:szCs w:val="20"/>
        </w:rPr>
      </w:pPr>
      <w:r w:rsidRPr="00A63F69">
        <w:rPr>
          <w:rFonts w:ascii="Cambria" w:hAnsi="Cambria"/>
          <w:i/>
          <w:sz w:val="20"/>
          <w:szCs w:val="20"/>
        </w:rPr>
        <w:t>Si al adoptar nuevas medidas deben rescindirse medidas previas, esto debería identificarse, preferiblemente en la Recomendación o, al menos, ser claramente indicado por la Subcomisión.</w:t>
      </w:r>
    </w:p>
    <w:p w14:paraId="74B357AB" w14:textId="77777777" w:rsidR="002A70B6" w:rsidRPr="00A63F69" w:rsidRDefault="002A70B6" w:rsidP="00A63F69">
      <w:pPr>
        <w:ind w:left="360"/>
        <w:jc w:val="both"/>
        <w:rPr>
          <w:rFonts w:ascii="Cambria" w:hAnsi="Cambria"/>
          <w:i/>
          <w:iCs/>
          <w:sz w:val="20"/>
          <w:szCs w:val="20"/>
        </w:rPr>
      </w:pPr>
    </w:p>
    <w:p w14:paraId="1F372CDD" w14:textId="77777777" w:rsidR="002A70B6" w:rsidRPr="00A63F69" w:rsidRDefault="002A70B6" w:rsidP="00A63F69">
      <w:pPr>
        <w:ind w:left="360"/>
        <w:jc w:val="both"/>
        <w:rPr>
          <w:rFonts w:ascii="Cambria" w:hAnsi="Cambria"/>
          <w:i/>
          <w:iCs/>
          <w:sz w:val="20"/>
          <w:szCs w:val="20"/>
        </w:rPr>
      </w:pPr>
    </w:p>
    <w:p w14:paraId="22C0E9F0" w14:textId="77777777" w:rsidR="002A70B6" w:rsidRPr="00A63F69" w:rsidRDefault="002A70B6" w:rsidP="00A63F69">
      <w:pPr>
        <w:pStyle w:val="ListParagraph"/>
        <w:widowControl w:val="0"/>
        <w:numPr>
          <w:ilvl w:val="0"/>
          <w:numId w:val="36"/>
        </w:numPr>
        <w:tabs>
          <w:tab w:val="left" w:pos="426"/>
        </w:tabs>
        <w:jc w:val="both"/>
        <w:rPr>
          <w:rFonts w:ascii="Cambria" w:hAnsi="Cambria"/>
          <w:sz w:val="20"/>
          <w:szCs w:val="20"/>
        </w:rPr>
      </w:pPr>
      <w:r w:rsidRPr="00A63F69">
        <w:rPr>
          <w:rFonts w:ascii="Cambria" w:hAnsi="Cambria"/>
          <w:sz w:val="20"/>
          <w:szCs w:val="20"/>
        </w:rPr>
        <w:t>Elección del presidente y del posible vicepresidente</w:t>
      </w:r>
    </w:p>
    <w:p w14:paraId="5DDB52E2" w14:textId="77777777" w:rsidR="002A70B6" w:rsidRPr="00A63F69" w:rsidRDefault="002A70B6" w:rsidP="00A63F69">
      <w:pPr>
        <w:tabs>
          <w:tab w:val="left" w:pos="426"/>
        </w:tabs>
        <w:jc w:val="both"/>
        <w:rPr>
          <w:rFonts w:ascii="Cambria" w:hAnsi="Cambria"/>
          <w:sz w:val="20"/>
          <w:szCs w:val="20"/>
        </w:rPr>
      </w:pPr>
    </w:p>
    <w:p w14:paraId="420798DE" w14:textId="77777777" w:rsidR="002A70B6" w:rsidRPr="00A63F69" w:rsidRDefault="002A70B6" w:rsidP="00A63F69">
      <w:pPr>
        <w:ind w:firstLine="360"/>
        <w:jc w:val="both"/>
        <w:rPr>
          <w:rFonts w:ascii="Cambria" w:hAnsi="Cambria"/>
          <w:i/>
          <w:iCs/>
          <w:sz w:val="20"/>
          <w:szCs w:val="20"/>
        </w:rPr>
      </w:pPr>
      <w:r w:rsidRPr="00A63F69">
        <w:rPr>
          <w:rFonts w:ascii="Cambria" w:hAnsi="Cambria"/>
          <w:i/>
          <w:sz w:val="20"/>
          <w:szCs w:val="20"/>
        </w:rPr>
        <w:t>La Subcomisión 4 elegirá un presidente para el período bienal 2026/2027.</w:t>
      </w:r>
    </w:p>
    <w:p w14:paraId="388064A6" w14:textId="77777777" w:rsidR="002A70B6" w:rsidRPr="00A63F69" w:rsidRDefault="002A70B6" w:rsidP="00A63F69">
      <w:pPr>
        <w:jc w:val="both"/>
        <w:rPr>
          <w:rFonts w:ascii="Cambria" w:hAnsi="Cambria"/>
          <w:iCs/>
          <w:sz w:val="20"/>
          <w:szCs w:val="20"/>
        </w:rPr>
      </w:pPr>
    </w:p>
    <w:p w14:paraId="30A212A4" w14:textId="77777777" w:rsidR="002A70B6" w:rsidRPr="00A63F69" w:rsidRDefault="002A70B6" w:rsidP="00A63F69">
      <w:pPr>
        <w:pStyle w:val="ListParagraph"/>
        <w:widowControl w:val="0"/>
        <w:numPr>
          <w:ilvl w:val="0"/>
          <w:numId w:val="36"/>
        </w:numPr>
        <w:tabs>
          <w:tab w:val="left" w:pos="426"/>
          <w:tab w:val="left" w:pos="4090"/>
        </w:tabs>
        <w:jc w:val="both"/>
        <w:rPr>
          <w:rFonts w:ascii="Cambria" w:hAnsi="Cambria"/>
          <w:sz w:val="20"/>
          <w:szCs w:val="20"/>
        </w:rPr>
      </w:pPr>
      <w:r w:rsidRPr="00A63F69">
        <w:rPr>
          <w:rFonts w:ascii="Cambria" w:hAnsi="Cambria"/>
          <w:sz w:val="20"/>
          <w:szCs w:val="20"/>
        </w:rPr>
        <w:t>Otros asuntos</w:t>
      </w:r>
    </w:p>
    <w:p w14:paraId="54B1EB5A" w14:textId="77777777" w:rsidR="002A70B6" w:rsidRPr="00A63F69" w:rsidRDefault="002A70B6" w:rsidP="00A63F69">
      <w:pPr>
        <w:pStyle w:val="ListParagraph"/>
        <w:jc w:val="both"/>
        <w:rPr>
          <w:rFonts w:ascii="Cambria" w:hAnsi="Cambria"/>
          <w:sz w:val="20"/>
          <w:szCs w:val="20"/>
          <w:lang w:val="en-GB"/>
        </w:rPr>
      </w:pPr>
    </w:p>
    <w:p w14:paraId="489ECA5D" w14:textId="77777777" w:rsidR="002A70B6" w:rsidRPr="00A63F69" w:rsidRDefault="002A70B6" w:rsidP="00A63F69">
      <w:pPr>
        <w:pStyle w:val="ListParagraph"/>
        <w:widowControl w:val="0"/>
        <w:numPr>
          <w:ilvl w:val="1"/>
          <w:numId w:val="36"/>
        </w:numPr>
        <w:tabs>
          <w:tab w:val="left" w:pos="426"/>
          <w:tab w:val="left" w:pos="4090"/>
        </w:tabs>
        <w:jc w:val="both"/>
        <w:rPr>
          <w:rFonts w:ascii="Cambria" w:hAnsi="Cambria"/>
          <w:sz w:val="20"/>
          <w:szCs w:val="20"/>
        </w:rPr>
      </w:pPr>
      <w:r w:rsidRPr="00A63F69">
        <w:rPr>
          <w:rFonts w:ascii="Cambria" w:hAnsi="Cambria"/>
          <w:sz w:val="20"/>
          <w:szCs w:val="20"/>
        </w:rPr>
        <w:t>Consideración de la necesidad y de la fecha de la próxima reunión intersesiones</w:t>
      </w:r>
    </w:p>
    <w:p w14:paraId="0EC6367E" w14:textId="77777777" w:rsidR="002A70B6" w:rsidRPr="00A63F69" w:rsidRDefault="002A70B6" w:rsidP="00A63F69">
      <w:pPr>
        <w:tabs>
          <w:tab w:val="left" w:pos="426"/>
          <w:tab w:val="left" w:pos="4090"/>
        </w:tabs>
        <w:jc w:val="both"/>
        <w:rPr>
          <w:rFonts w:ascii="Cambria" w:hAnsi="Cambria"/>
          <w:sz w:val="20"/>
          <w:szCs w:val="20"/>
        </w:rPr>
      </w:pPr>
    </w:p>
    <w:p w14:paraId="6525380B" w14:textId="77777777" w:rsidR="002A70B6" w:rsidRPr="00A63F69" w:rsidRDefault="002A70B6" w:rsidP="00A63F69">
      <w:pPr>
        <w:pStyle w:val="ListParagraph"/>
        <w:widowControl w:val="0"/>
        <w:numPr>
          <w:ilvl w:val="0"/>
          <w:numId w:val="36"/>
        </w:numPr>
        <w:tabs>
          <w:tab w:val="left" w:pos="426"/>
        </w:tabs>
        <w:jc w:val="both"/>
        <w:rPr>
          <w:rFonts w:ascii="Cambria" w:hAnsi="Cambria"/>
          <w:sz w:val="20"/>
          <w:szCs w:val="20"/>
        </w:rPr>
      </w:pPr>
      <w:r w:rsidRPr="00A63F69">
        <w:rPr>
          <w:rFonts w:ascii="Cambria" w:hAnsi="Cambria"/>
          <w:sz w:val="20"/>
          <w:szCs w:val="20"/>
        </w:rPr>
        <w:t>Adopción del informe y clausura</w:t>
      </w:r>
    </w:p>
    <w:p w14:paraId="7F5BEAC9" w14:textId="77777777" w:rsidR="000B0920" w:rsidRPr="00F961E0" w:rsidRDefault="000B0920" w:rsidP="00A63F69">
      <w:pPr>
        <w:spacing w:after="160" w:line="259" w:lineRule="auto"/>
        <w:jc w:val="both"/>
        <w:rPr>
          <w:rFonts w:ascii="Cambria" w:hAnsi="Cambria"/>
          <w:bCs/>
          <w:sz w:val="20"/>
          <w:szCs w:val="20"/>
          <w:lang w:val="en-GB"/>
        </w:rPr>
      </w:pPr>
    </w:p>
    <w:sectPr w:rsidR="000B0920" w:rsidRPr="00F961E0" w:rsidSect="009B2781">
      <w:headerReference w:type="default" r:id="rId44"/>
      <w:footerReference w:type="default" r:id="rId45"/>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01BC" w14:textId="77777777" w:rsidR="009F2048" w:rsidRDefault="009F2048" w:rsidP="00DD4C39">
      <w:r>
        <w:separator/>
      </w:r>
    </w:p>
  </w:endnote>
  <w:endnote w:type="continuationSeparator" w:id="0">
    <w:p w14:paraId="576E0771" w14:textId="77777777" w:rsidR="009F2048" w:rsidRDefault="009F2048"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cam">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3931" w14:textId="5F29B062" w:rsidR="004F39B9" w:rsidRPr="004F39B9" w:rsidRDefault="00A63F69" w:rsidP="004F39B9">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4F39B9" w:rsidRPr="00713AD4">
          <w:rPr>
            <w:rFonts w:ascii="Cambria" w:eastAsia="Calibri" w:hAnsi="Cambria" w:cs="Calibri"/>
            <w:sz w:val="20"/>
          </w:rPr>
          <w:fldChar w:fldCharType="begin"/>
        </w:r>
        <w:r w:rsidR="004F39B9" w:rsidRPr="00713AD4">
          <w:rPr>
            <w:rFonts w:ascii="Cambria" w:eastAsia="Calibri" w:hAnsi="Cambria" w:cs="Calibri"/>
            <w:sz w:val="20"/>
          </w:rPr>
          <w:instrText xml:space="preserve"> PAGE </w:instrText>
        </w:r>
        <w:r w:rsidR="004F39B9" w:rsidRPr="00713AD4">
          <w:rPr>
            <w:rFonts w:ascii="Cambria" w:eastAsia="Calibri" w:hAnsi="Cambria" w:cs="Calibri"/>
            <w:sz w:val="20"/>
          </w:rPr>
          <w:fldChar w:fldCharType="separate"/>
        </w:r>
        <w:r w:rsidR="004F39B9">
          <w:rPr>
            <w:rFonts w:ascii="Cambria" w:eastAsia="Calibri" w:hAnsi="Cambria" w:cs="Calibri"/>
            <w:sz w:val="20"/>
          </w:rPr>
          <w:t>1</w:t>
        </w:r>
        <w:r w:rsidR="004F39B9" w:rsidRPr="00713AD4">
          <w:rPr>
            <w:rFonts w:ascii="Cambria" w:eastAsia="Calibri" w:hAnsi="Cambria" w:cs="Calibri"/>
            <w:sz w:val="20"/>
          </w:rPr>
          <w:fldChar w:fldCharType="end"/>
        </w:r>
        <w:r w:rsidR="009F2048">
          <w:rPr>
            <w:rFonts w:ascii="Cambria" w:hAnsi="Cambria"/>
            <w:sz w:val="20"/>
          </w:rPr>
          <w:t xml:space="preserve"> / </w:t>
        </w:r>
        <w:r w:rsidR="004F39B9" w:rsidRPr="00713AD4">
          <w:rPr>
            <w:rFonts w:ascii="Cambria" w:eastAsia="Calibri" w:hAnsi="Cambria" w:cs="Calibri"/>
            <w:sz w:val="20"/>
          </w:rPr>
          <w:fldChar w:fldCharType="begin"/>
        </w:r>
        <w:r w:rsidR="004F39B9" w:rsidRPr="00713AD4">
          <w:rPr>
            <w:rFonts w:ascii="Cambria" w:eastAsia="Calibri" w:hAnsi="Cambria" w:cs="Calibri"/>
            <w:sz w:val="20"/>
          </w:rPr>
          <w:instrText xml:space="preserve"> NUMPAGES  </w:instrText>
        </w:r>
        <w:r w:rsidR="004F39B9" w:rsidRPr="00713AD4">
          <w:rPr>
            <w:rFonts w:ascii="Cambria" w:eastAsia="Calibri" w:hAnsi="Cambria" w:cs="Calibri"/>
            <w:sz w:val="20"/>
          </w:rPr>
          <w:fldChar w:fldCharType="separate"/>
        </w:r>
        <w:r w:rsidR="004F39B9">
          <w:rPr>
            <w:rFonts w:ascii="Cambria" w:eastAsia="Calibri" w:hAnsi="Cambria" w:cs="Calibri"/>
            <w:sz w:val="20"/>
          </w:rPr>
          <w:t>2</w:t>
        </w:r>
        <w:r w:rsidR="004F39B9"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DEA3A" w14:textId="77777777" w:rsidR="009F2048" w:rsidRDefault="009F2048" w:rsidP="00DD4C39">
      <w:r>
        <w:separator/>
      </w:r>
    </w:p>
  </w:footnote>
  <w:footnote w:type="continuationSeparator" w:id="0">
    <w:p w14:paraId="416E2FA7" w14:textId="77777777" w:rsidR="009F2048" w:rsidRDefault="009F2048"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28AA" w14:textId="7E69F529" w:rsidR="004F39B9" w:rsidRPr="00793F38" w:rsidRDefault="004F39B9" w:rsidP="004F39B9">
    <w:pPr>
      <w:tabs>
        <w:tab w:val="center" w:pos="4680"/>
        <w:tab w:val="left" w:pos="6520"/>
        <w:tab w:val="right" w:pos="9360"/>
        <w:tab w:val="right" w:pos="14240"/>
      </w:tabs>
      <w:jc w:val="right"/>
      <w:rPr>
        <w:rFonts w:ascii="Cambria" w:eastAsia="Calibri" w:hAnsi="Cambria"/>
        <w:b/>
        <w:bCs/>
        <w:sz w:val="20"/>
        <w:szCs w:val="20"/>
      </w:rPr>
    </w:pPr>
    <w:bookmarkStart w:id="7" w:name="_Hlk107908354"/>
    <w:bookmarkStart w:id="8" w:name="_Hlk107908355"/>
    <w:bookmarkStart w:id="9" w:name="_Hlk107908359"/>
    <w:bookmarkStart w:id="10" w:name="_Hlk107908360"/>
    <w:bookmarkStart w:id="11" w:name="_Hlk107908361"/>
    <w:bookmarkStart w:id="12" w:name="_Hlk107908362"/>
    <w:r>
      <w:rPr>
        <w:rFonts w:ascii="Cambria" w:hAnsi="Cambria"/>
        <w:b/>
        <w:sz w:val="20"/>
      </w:rPr>
      <w:t>GEN_001/2025</w:t>
    </w:r>
  </w:p>
  <w:p w14:paraId="76609AFE" w14:textId="790E321F" w:rsidR="004F39B9" w:rsidRPr="004F39B9" w:rsidRDefault="004F39B9" w:rsidP="004F39B9">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B95304">
      <w:rPr>
        <w:rFonts w:ascii="Cambria" w:hAnsi="Cambria"/>
        <w:b/>
        <w:noProof/>
        <w:sz w:val="16"/>
      </w:rPr>
      <w:t xml:space="preserve">14/11/2025 </w:t>
    </w:r>
    <w:r w:rsidRPr="00793F38">
      <w:rPr>
        <w:rFonts w:ascii="Cambria" w:hAnsi="Cambria"/>
        <w:b/>
        <w:bCs/>
        <w:sz w:val="16"/>
        <w:szCs w:val="16"/>
        <w:lang w:val="es-ES_tradnl"/>
      </w:rPr>
      <w:fldChar w:fldCharType="end"/>
    </w:r>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AE2"/>
    <w:multiLevelType w:val="hybridMultilevel"/>
    <w:tmpl w:val="C3728716"/>
    <w:lvl w:ilvl="0" w:tplc="19D68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100F"/>
    <w:multiLevelType w:val="multilevel"/>
    <w:tmpl w:val="7430B35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1533A"/>
    <w:multiLevelType w:val="multilevel"/>
    <w:tmpl w:val="98687C8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841C0"/>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077D74"/>
    <w:multiLevelType w:val="hybridMultilevel"/>
    <w:tmpl w:val="7F569F7C"/>
    <w:lvl w:ilvl="0" w:tplc="7BA6EB32">
      <w:start w:val="4"/>
      <w:numFmt w:val="bullet"/>
      <w:lvlText w:val="-"/>
      <w:lvlJc w:val="left"/>
      <w:pPr>
        <w:ind w:left="720" w:hanging="360"/>
      </w:pPr>
      <w:rPr>
        <w:rFonts w:ascii="Cambria" w:eastAsia="Times New Roman" w:hAnsi="Cambria"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D78E3"/>
    <w:multiLevelType w:val="hybridMultilevel"/>
    <w:tmpl w:val="0BB69D2A"/>
    <w:lvl w:ilvl="0" w:tplc="560A1B2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6" w15:restartNumberingAfterBreak="0">
    <w:nsid w:val="193B2056"/>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7" w15:restartNumberingAfterBreak="0">
    <w:nsid w:val="1D0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A83AD5"/>
    <w:multiLevelType w:val="hybridMultilevel"/>
    <w:tmpl w:val="4B20887C"/>
    <w:lvl w:ilvl="0" w:tplc="DB8E674C">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02CC1"/>
    <w:multiLevelType w:val="hybridMultilevel"/>
    <w:tmpl w:val="DDB4D152"/>
    <w:lvl w:ilvl="0" w:tplc="505C6584">
      <w:start w:val="1"/>
      <w:numFmt w:val="decimal"/>
      <w:lvlText w:val="%1."/>
      <w:lvlJc w:val="left"/>
      <w:pPr>
        <w:ind w:left="790" w:hanging="43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227397"/>
    <w:multiLevelType w:val="multilevel"/>
    <w:tmpl w:val="78A6DA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F377C1"/>
    <w:multiLevelType w:val="hybridMultilevel"/>
    <w:tmpl w:val="23467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B1FCD"/>
    <w:multiLevelType w:val="multilevel"/>
    <w:tmpl w:val="66AC5AA6"/>
    <w:lvl w:ilvl="0">
      <w:start w:val="4"/>
      <w:numFmt w:val="lowerLetter"/>
      <w:lvlText w:val="%1."/>
      <w:lvlJc w:val="left"/>
      <w:pPr>
        <w:tabs>
          <w:tab w:val="num" w:pos="1276"/>
        </w:tabs>
        <w:ind w:left="1276" w:hanging="360"/>
      </w:pPr>
    </w:lvl>
    <w:lvl w:ilvl="1" w:tentative="1">
      <w:start w:val="1"/>
      <w:numFmt w:val="lowerLetter"/>
      <w:lvlText w:val="%2."/>
      <w:lvlJc w:val="left"/>
      <w:pPr>
        <w:tabs>
          <w:tab w:val="num" w:pos="1996"/>
        </w:tabs>
        <w:ind w:left="1996" w:hanging="360"/>
      </w:pPr>
    </w:lvl>
    <w:lvl w:ilvl="2" w:tentative="1">
      <w:start w:val="1"/>
      <w:numFmt w:val="lowerLetter"/>
      <w:lvlText w:val="%3."/>
      <w:lvlJc w:val="left"/>
      <w:pPr>
        <w:tabs>
          <w:tab w:val="num" w:pos="2716"/>
        </w:tabs>
        <w:ind w:left="2716" w:hanging="360"/>
      </w:pPr>
    </w:lvl>
    <w:lvl w:ilvl="3" w:tentative="1">
      <w:start w:val="1"/>
      <w:numFmt w:val="lowerLetter"/>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Letter"/>
      <w:lvlText w:val="%6."/>
      <w:lvlJc w:val="left"/>
      <w:pPr>
        <w:tabs>
          <w:tab w:val="num" w:pos="4876"/>
        </w:tabs>
        <w:ind w:left="4876" w:hanging="360"/>
      </w:pPr>
    </w:lvl>
    <w:lvl w:ilvl="6" w:tentative="1">
      <w:start w:val="1"/>
      <w:numFmt w:val="lowerLetter"/>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Letter"/>
      <w:lvlText w:val="%9."/>
      <w:lvlJc w:val="left"/>
      <w:pPr>
        <w:tabs>
          <w:tab w:val="num" w:pos="7036"/>
        </w:tabs>
        <w:ind w:left="7036" w:hanging="360"/>
      </w:pPr>
    </w:lvl>
  </w:abstractNum>
  <w:abstractNum w:abstractNumId="13" w15:restartNumberingAfterBreak="0">
    <w:nsid w:val="35ED0BB4"/>
    <w:multiLevelType w:val="multilevel"/>
    <w:tmpl w:val="51BE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103F9"/>
    <w:multiLevelType w:val="hybridMultilevel"/>
    <w:tmpl w:val="8DC897C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93869"/>
    <w:multiLevelType w:val="multilevel"/>
    <w:tmpl w:val="A0D47B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0B4BC9"/>
    <w:multiLevelType w:val="multilevel"/>
    <w:tmpl w:val="0E624B0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0E5D8C"/>
    <w:multiLevelType w:val="multilevel"/>
    <w:tmpl w:val="38A474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3E24E5"/>
    <w:multiLevelType w:val="hybridMultilevel"/>
    <w:tmpl w:val="748A6AAA"/>
    <w:lvl w:ilvl="0" w:tplc="13C6D560">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C4F34A4"/>
    <w:multiLevelType w:val="hybridMultilevel"/>
    <w:tmpl w:val="E9E235EC"/>
    <w:lvl w:ilvl="0" w:tplc="EA44CF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B0435"/>
    <w:multiLevelType w:val="hybridMultilevel"/>
    <w:tmpl w:val="100259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15:restartNumberingAfterBreak="0">
    <w:nsid w:val="4D685163"/>
    <w:multiLevelType w:val="multilevel"/>
    <w:tmpl w:val="013A87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CB4CE6"/>
    <w:multiLevelType w:val="multilevel"/>
    <w:tmpl w:val="1B48F66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AB7F25"/>
    <w:multiLevelType w:val="multilevel"/>
    <w:tmpl w:val="03E4A7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BD094C"/>
    <w:multiLevelType w:val="multilevel"/>
    <w:tmpl w:val="9B8856F4"/>
    <w:lvl w:ilvl="0">
      <w:start w:val="2"/>
      <w:numFmt w:val="lowerLetter"/>
      <w:lvlText w:val="%1."/>
      <w:lvlJc w:val="left"/>
      <w:pPr>
        <w:tabs>
          <w:tab w:val="num" w:pos="998"/>
        </w:tabs>
        <w:ind w:left="998" w:hanging="360"/>
      </w:pPr>
    </w:lvl>
    <w:lvl w:ilvl="1" w:tentative="1">
      <w:start w:val="1"/>
      <w:numFmt w:val="lowerLetter"/>
      <w:lvlText w:val="%2."/>
      <w:lvlJc w:val="left"/>
      <w:pPr>
        <w:tabs>
          <w:tab w:val="num" w:pos="1718"/>
        </w:tabs>
        <w:ind w:left="1718" w:hanging="360"/>
      </w:pPr>
    </w:lvl>
    <w:lvl w:ilvl="2" w:tentative="1">
      <w:start w:val="1"/>
      <w:numFmt w:val="lowerLetter"/>
      <w:lvlText w:val="%3."/>
      <w:lvlJc w:val="left"/>
      <w:pPr>
        <w:tabs>
          <w:tab w:val="num" w:pos="2438"/>
        </w:tabs>
        <w:ind w:left="2438" w:hanging="360"/>
      </w:pPr>
    </w:lvl>
    <w:lvl w:ilvl="3" w:tentative="1">
      <w:start w:val="1"/>
      <w:numFmt w:val="lowerLetter"/>
      <w:lvlText w:val="%4."/>
      <w:lvlJc w:val="left"/>
      <w:pPr>
        <w:tabs>
          <w:tab w:val="num" w:pos="3158"/>
        </w:tabs>
        <w:ind w:left="3158" w:hanging="360"/>
      </w:pPr>
    </w:lvl>
    <w:lvl w:ilvl="4" w:tentative="1">
      <w:start w:val="1"/>
      <w:numFmt w:val="lowerLetter"/>
      <w:lvlText w:val="%5."/>
      <w:lvlJc w:val="left"/>
      <w:pPr>
        <w:tabs>
          <w:tab w:val="num" w:pos="3878"/>
        </w:tabs>
        <w:ind w:left="3878" w:hanging="360"/>
      </w:pPr>
    </w:lvl>
    <w:lvl w:ilvl="5" w:tentative="1">
      <w:start w:val="1"/>
      <w:numFmt w:val="lowerLetter"/>
      <w:lvlText w:val="%6."/>
      <w:lvlJc w:val="left"/>
      <w:pPr>
        <w:tabs>
          <w:tab w:val="num" w:pos="4598"/>
        </w:tabs>
        <w:ind w:left="4598" w:hanging="360"/>
      </w:pPr>
    </w:lvl>
    <w:lvl w:ilvl="6" w:tentative="1">
      <w:start w:val="1"/>
      <w:numFmt w:val="lowerLetter"/>
      <w:lvlText w:val="%7."/>
      <w:lvlJc w:val="left"/>
      <w:pPr>
        <w:tabs>
          <w:tab w:val="num" w:pos="5318"/>
        </w:tabs>
        <w:ind w:left="5318" w:hanging="360"/>
      </w:pPr>
    </w:lvl>
    <w:lvl w:ilvl="7" w:tentative="1">
      <w:start w:val="1"/>
      <w:numFmt w:val="lowerLetter"/>
      <w:lvlText w:val="%8."/>
      <w:lvlJc w:val="left"/>
      <w:pPr>
        <w:tabs>
          <w:tab w:val="num" w:pos="6038"/>
        </w:tabs>
        <w:ind w:left="6038" w:hanging="360"/>
      </w:pPr>
    </w:lvl>
    <w:lvl w:ilvl="8" w:tentative="1">
      <w:start w:val="1"/>
      <w:numFmt w:val="lowerLetter"/>
      <w:lvlText w:val="%9."/>
      <w:lvlJc w:val="left"/>
      <w:pPr>
        <w:tabs>
          <w:tab w:val="num" w:pos="6758"/>
        </w:tabs>
        <w:ind w:left="6758" w:hanging="360"/>
      </w:pPr>
    </w:lvl>
  </w:abstractNum>
  <w:abstractNum w:abstractNumId="25" w15:restartNumberingAfterBreak="0">
    <w:nsid w:val="58F739BE"/>
    <w:multiLevelType w:val="multilevel"/>
    <w:tmpl w:val="DA1AB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995643"/>
    <w:multiLevelType w:val="hybridMultilevel"/>
    <w:tmpl w:val="A18E6F28"/>
    <w:lvl w:ilvl="0" w:tplc="CA221E6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27" w15:restartNumberingAfterBreak="0">
    <w:nsid w:val="5D9271F8"/>
    <w:multiLevelType w:val="multilevel"/>
    <w:tmpl w:val="0068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B069EA"/>
    <w:multiLevelType w:val="multilevel"/>
    <w:tmpl w:val="F11670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3341C23"/>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30" w15:restartNumberingAfterBreak="0">
    <w:nsid w:val="63E35756"/>
    <w:multiLevelType w:val="multilevel"/>
    <w:tmpl w:val="94365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9C7A24"/>
    <w:multiLevelType w:val="multilevel"/>
    <w:tmpl w:val="145ED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FE199A"/>
    <w:multiLevelType w:val="multilevel"/>
    <w:tmpl w:val="A7BC63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2F4AFD"/>
    <w:multiLevelType w:val="hybridMultilevel"/>
    <w:tmpl w:val="1DFA4142"/>
    <w:lvl w:ilvl="0" w:tplc="D8525C72">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F5461"/>
    <w:multiLevelType w:val="multilevel"/>
    <w:tmpl w:val="C0066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71B13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F0260B"/>
    <w:multiLevelType w:val="multilevel"/>
    <w:tmpl w:val="FF9C962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23421499">
    <w:abstractNumId w:val="9"/>
  </w:num>
  <w:num w:numId="2" w16cid:durableId="1449546622">
    <w:abstractNumId w:val="5"/>
  </w:num>
  <w:num w:numId="3" w16cid:durableId="1669477334">
    <w:abstractNumId w:val="26"/>
  </w:num>
  <w:num w:numId="4" w16cid:durableId="2062551615">
    <w:abstractNumId w:val="29"/>
  </w:num>
  <w:num w:numId="5" w16cid:durableId="1334332422">
    <w:abstractNumId w:val="6"/>
  </w:num>
  <w:num w:numId="6" w16cid:durableId="1425516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3663394">
    <w:abstractNumId w:val="14"/>
  </w:num>
  <w:num w:numId="8" w16cid:durableId="1031148757">
    <w:abstractNumId w:val="8"/>
  </w:num>
  <w:num w:numId="9" w16cid:durableId="1366442034">
    <w:abstractNumId w:val="11"/>
  </w:num>
  <w:num w:numId="10" w16cid:durableId="593592016">
    <w:abstractNumId w:val="19"/>
  </w:num>
  <w:num w:numId="11" w16cid:durableId="1440175051">
    <w:abstractNumId w:val="33"/>
  </w:num>
  <w:num w:numId="12" w16cid:durableId="982851329">
    <w:abstractNumId w:val="18"/>
  </w:num>
  <w:num w:numId="13" w16cid:durableId="77144801">
    <w:abstractNumId w:val="20"/>
  </w:num>
  <w:num w:numId="14" w16cid:durableId="1647279085">
    <w:abstractNumId w:val="4"/>
  </w:num>
  <w:num w:numId="15" w16cid:durableId="271133236">
    <w:abstractNumId w:val="13"/>
  </w:num>
  <w:num w:numId="16" w16cid:durableId="1738623123">
    <w:abstractNumId w:val="27"/>
  </w:num>
  <w:num w:numId="17" w16cid:durableId="913320329">
    <w:abstractNumId w:val="25"/>
  </w:num>
  <w:num w:numId="18" w16cid:durableId="418794546">
    <w:abstractNumId w:val="31"/>
  </w:num>
  <w:num w:numId="19" w16cid:durableId="1472021529">
    <w:abstractNumId w:val="21"/>
  </w:num>
  <w:num w:numId="20" w16cid:durableId="2017075213">
    <w:abstractNumId w:val="34"/>
  </w:num>
  <w:num w:numId="21" w16cid:durableId="591548215">
    <w:abstractNumId w:val="23"/>
  </w:num>
  <w:num w:numId="22" w16cid:durableId="1404647861">
    <w:abstractNumId w:val="10"/>
  </w:num>
  <w:num w:numId="23" w16cid:durableId="174223927">
    <w:abstractNumId w:val="12"/>
  </w:num>
  <w:num w:numId="24" w16cid:durableId="1101417208">
    <w:abstractNumId w:val="32"/>
  </w:num>
  <w:num w:numId="25" w16cid:durableId="801313979">
    <w:abstractNumId w:val="24"/>
  </w:num>
  <w:num w:numId="26" w16cid:durableId="1469083396">
    <w:abstractNumId w:val="15"/>
  </w:num>
  <w:num w:numId="27" w16cid:durableId="994603209">
    <w:abstractNumId w:val="28"/>
  </w:num>
  <w:num w:numId="28" w16cid:durableId="1157379616">
    <w:abstractNumId w:val="30"/>
  </w:num>
  <w:num w:numId="29" w16cid:durableId="438067770">
    <w:abstractNumId w:val="17"/>
  </w:num>
  <w:num w:numId="30" w16cid:durableId="2108188645">
    <w:abstractNumId w:val="36"/>
  </w:num>
  <w:num w:numId="31" w16cid:durableId="637416884">
    <w:abstractNumId w:val="1"/>
  </w:num>
  <w:num w:numId="32" w16cid:durableId="1707027479">
    <w:abstractNumId w:val="7"/>
  </w:num>
  <w:num w:numId="33" w16cid:durableId="220675060">
    <w:abstractNumId w:val="16"/>
  </w:num>
  <w:num w:numId="34" w16cid:durableId="683478542">
    <w:abstractNumId w:val="22"/>
  </w:num>
  <w:num w:numId="35" w16cid:durableId="374165365">
    <w:abstractNumId w:val="0"/>
  </w:num>
  <w:num w:numId="36" w16cid:durableId="133135331">
    <w:abstractNumId w:val="2"/>
  </w:num>
  <w:num w:numId="37" w16cid:durableId="1939672181">
    <w:abstractNumId w:val="3"/>
  </w:num>
  <w:num w:numId="38" w16cid:durableId="9050679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04835"/>
    <w:rsid w:val="00005D00"/>
    <w:rsid w:val="00007744"/>
    <w:rsid w:val="00007917"/>
    <w:rsid w:val="000153FE"/>
    <w:rsid w:val="0001741C"/>
    <w:rsid w:val="00023580"/>
    <w:rsid w:val="00025B70"/>
    <w:rsid w:val="0002683B"/>
    <w:rsid w:val="000328BB"/>
    <w:rsid w:val="000336B8"/>
    <w:rsid w:val="00043A65"/>
    <w:rsid w:val="0004418A"/>
    <w:rsid w:val="000517FA"/>
    <w:rsid w:val="00051ACC"/>
    <w:rsid w:val="00052B90"/>
    <w:rsid w:val="00052E64"/>
    <w:rsid w:val="000554E0"/>
    <w:rsid w:val="000559C0"/>
    <w:rsid w:val="000578FB"/>
    <w:rsid w:val="00060FB1"/>
    <w:rsid w:val="000614FA"/>
    <w:rsid w:val="00064640"/>
    <w:rsid w:val="00066A81"/>
    <w:rsid w:val="00071189"/>
    <w:rsid w:val="00072D16"/>
    <w:rsid w:val="00074C37"/>
    <w:rsid w:val="00074F2A"/>
    <w:rsid w:val="00077B87"/>
    <w:rsid w:val="00087667"/>
    <w:rsid w:val="00090861"/>
    <w:rsid w:val="00095C30"/>
    <w:rsid w:val="00097856"/>
    <w:rsid w:val="000A1303"/>
    <w:rsid w:val="000A2BB3"/>
    <w:rsid w:val="000A5EFA"/>
    <w:rsid w:val="000A6DB2"/>
    <w:rsid w:val="000A777B"/>
    <w:rsid w:val="000B0920"/>
    <w:rsid w:val="000B7F3E"/>
    <w:rsid w:val="000C7D41"/>
    <w:rsid w:val="000D11D4"/>
    <w:rsid w:val="000D1B70"/>
    <w:rsid w:val="000D5959"/>
    <w:rsid w:val="000D673E"/>
    <w:rsid w:val="000D74F5"/>
    <w:rsid w:val="000D7C81"/>
    <w:rsid w:val="000E3FD5"/>
    <w:rsid w:val="000E6023"/>
    <w:rsid w:val="000F1E2B"/>
    <w:rsid w:val="00100330"/>
    <w:rsid w:val="0010246F"/>
    <w:rsid w:val="001031B7"/>
    <w:rsid w:val="001060C2"/>
    <w:rsid w:val="00112B9A"/>
    <w:rsid w:val="00116BD7"/>
    <w:rsid w:val="0011743A"/>
    <w:rsid w:val="00120AE6"/>
    <w:rsid w:val="00123AF9"/>
    <w:rsid w:val="00124AD6"/>
    <w:rsid w:val="00131C64"/>
    <w:rsid w:val="00134577"/>
    <w:rsid w:val="00137A63"/>
    <w:rsid w:val="0014291C"/>
    <w:rsid w:val="001476CD"/>
    <w:rsid w:val="00147A4F"/>
    <w:rsid w:val="00151D8C"/>
    <w:rsid w:val="001527D8"/>
    <w:rsid w:val="00152B06"/>
    <w:rsid w:val="00152E0C"/>
    <w:rsid w:val="001537AF"/>
    <w:rsid w:val="00157B26"/>
    <w:rsid w:val="00160A09"/>
    <w:rsid w:val="001630E3"/>
    <w:rsid w:val="00166085"/>
    <w:rsid w:val="00173393"/>
    <w:rsid w:val="001827ED"/>
    <w:rsid w:val="00182CFC"/>
    <w:rsid w:val="001840C6"/>
    <w:rsid w:val="001842E1"/>
    <w:rsid w:val="00190654"/>
    <w:rsid w:val="001939BC"/>
    <w:rsid w:val="001978FA"/>
    <w:rsid w:val="001A68AB"/>
    <w:rsid w:val="001B112D"/>
    <w:rsid w:val="001C05A3"/>
    <w:rsid w:val="001C4FAA"/>
    <w:rsid w:val="001C7084"/>
    <w:rsid w:val="001D1E59"/>
    <w:rsid w:val="001D677B"/>
    <w:rsid w:val="001D7AE4"/>
    <w:rsid w:val="001E0A22"/>
    <w:rsid w:val="001E234F"/>
    <w:rsid w:val="001E47A9"/>
    <w:rsid w:val="001E5194"/>
    <w:rsid w:val="001F03E7"/>
    <w:rsid w:val="001F05B9"/>
    <w:rsid w:val="001F5768"/>
    <w:rsid w:val="001F6925"/>
    <w:rsid w:val="001F7E88"/>
    <w:rsid w:val="002209DA"/>
    <w:rsid w:val="002213FF"/>
    <w:rsid w:val="00221904"/>
    <w:rsid w:val="002243AA"/>
    <w:rsid w:val="002254CF"/>
    <w:rsid w:val="00226609"/>
    <w:rsid w:val="002317E7"/>
    <w:rsid w:val="00232D1D"/>
    <w:rsid w:val="00241190"/>
    <w:rsid w:val="00241982"/>
    <w:rsid w:val="00241E46"/>
    <w:rsid w:val="00242111"/>
    <w:rsid w:val="00246631"/>
    <w:rsid w:val="00247B9A"/>
    <w:rsid w:val="0026489C"/>
    <w:rsid w:val="00266360"/>
    <w:rsid w:val="0027149A"/>
    <w:rsid w:val="0028560B"/>
    <w:rsid w:val="002A2405"/>
    <w:rsid w:val="002A70B6"/>
    <w:rsid w:val="002C12A9"/>
    <w:rsid w:val="002C2319"/>
    <w:rsid w:val="002C3907"/>
    <w:rsid w:val="002C399C"/>
    <w:rsid w:val="002D1035"/>
    <w:rsid w:val="002D1145"/>
    <w:rsid w:val="002D5E11"/>
    <w:rsid w:val="002D7AD8"/>
    <w:rsid w:val="002D7BA5"/>
    <w:rsid w:val="002E24FF"/>
    <w:rsid w:val="002E25F5"/>
    <w:rsid w:val="002E724A"/>
    <w:rsid w:val="00305FA6"/>
    <w:rsid w:val="00317865"/>
    <w:rsid w:val="00321018"/>
    <w:rsid w:val="00322F0E"/>
    <w:rsid w:val="00325293"/>
    <w:rsid w:val="0032583A"/>
    <w:rsid w:val="00334B35"/>
    <w:rsid w:val="003406C7"/>
    <w:rsid w:val="003426C8"/>
    <w:rsid w:val="003517D4"/>
    <w:rsid w:val="003519D1"/>
    <w:rsid w:val="0035289C"/>
    <w:rsid w:val="003604AB"/>
    <w:rsid w:val="00360D3F"/>
    <w:rsid w:val="003628D9"/>
    <w:rsid w:val="00365C01"/>
    <w:rsid w:val="0037129A"/>
    <w:rsid w:val="003919F8"/>
    <w:rsid w:val="003948C5"/>
    <w:rsid w:val="00394EFC"/>
    <w:rsid w:val="00396EE8"/>
    <w:rsid w:val="00397E51"/>
    <w:rsid w:val="003A1B84"/>
    <w:rsid w:val="003A33A1"/>
    <w:rsid w:val="003A752C"/>
    <w:rsid w:val="003B474B"/>
    <w:rsid w:val="003B61D6"/>
    <w:rsid w:val="003C1BFB"/>
    <w:rsid w:val="003D0374"/>
    <w:rsid w:val="003D22D2"/>
    <w:rsid w:val="003D3807"/>
    <w:rsid w:val="003D3DED"/>
    <w:rsid w:val="003D46CF"/>
    <w:rsid w:val="003E11F9"/>
    <w:rsid w:val="003E28FF"/>
    <w:rsid w:val="003E3614"/>
    <w:rsid w:val="003E6065"/>
    <w:rsid w:val="003E7F59"/>
    <w:rsid w:val="003F3FF4"/>
    <w:rsid w:val="00406CCF"/>
    <w:rsid w:val="00410A2C"/>
    <w:rsid w:val="0041562C"/>
    <w:rsid w:val="00420909"/>
    <w:rsid w:val="00422679"/>
    <w:rsid w:val="00423056"/>
    <w:rsid w:val="00435A8B"/>
    <w:rsid w:val="00436588"/>
    <w:rsid w:val="00442D9B"/>
    <w:rsid w:val="00443067"/>
    <w:rsid w:val="00452B7F"/>
    <w:rsid w:val="00460AA1"/>
    <w:rsid w:val="0046156B"/>
    <w:rsid w:val="004631AD"/>
    <w:rsid w:val="00467A1D"/>
    <w:rsid w:val="00467E87"/>
    <w:rsid w:val="00467EDA"/>
    <w:rsid w:val="00485575"/>
    <w:rsid w:val="00486FC6"/>
    <w:rsid w:val="00492262"/>
    <w:rsid w:val="00492F08"/>
    <w:rsid w:val="004A4169"/>
    <w:rsid w:val="004A617F"/>
    <w:rsid w:val="004A6437"/>
    <w:rsid w:val="004B11FD"/>
    <w:rsid w:val="004B39F7"/>
    <w:rsid w:val="004B56B7"/>
    <w:rsid w:val="004C7E91"/>
    <w:rsid w:val="004D3EA4"/>
    <w:rsid w:val="004E01C5"/>
    <w:rsid w:val="004E12AF"/>
    <w:rsid w:val="004E2035"/>
    <w:rsid w:val="004E68B8"/>
    <w:rsid w:val="004E6BB3"/>
    <w:rsid w:val="004E6F3B"/>
    <w:rsid w:val="004E7B8E"/>
    <w:rsid w:val="004F00BE"/>
    <w:rsid w:val="004F39B9"/>
    <w:rsid w:val="004F5048"/>
    <w:rsid w:val="004F7857"/>
    <w:rsid w:val="00500AF3"/>
    <w:rsid w:val="00502206"/>
    <w:rsid w:val="00502568"/>
    <w:rsid w:val="00506617"/>
    <w:rsid w:val="00513361"/>
    <w:rsid w:val="00513F5C"/>
    <w:rsid w:val="005155C7"/>
    <w:rsid w:val="0051582C"/>
    <w:rsid w:val="00520FBB"/>
    <w:rsid w:val="00524F9F"/>
    <w:rsid w:val="00525084"/>
    <w:rsid w:val="005300EB"/>
    <w:rsid w:val="00534C59"/>
    <w:rsid w:val="0054141A"/>
    <w:rsid w:val="00544A2C"/>
    <w:rsid w:val="005467DB"/>
    <w:rsid w:val="00550630"/>
    <w:rsid w:val="005529B8"/>
    <w:rsid w:val="00560E37"/>
    <w:rsid w:val="0056180A"/>
    <w:rsid w:val="00561EA6"/>
    <w:rsid w:val="005644A2"/>
    <w:rsid w:val="00571E4A"/>
    <w:rsid w:val="005727F9"/>
    <w:rsid w:val="005727FD"/>
    <w:rsid w:val="00574F9E"/>
    <w:rsid w:val="00575513"/>
    <w:rsid w:val="00581207"/>
    <w:rsid w:val="005847DE"/>
    <w:rsid w:val="00586D4A"/>
    <w:rsid w:val="005915D1"/>
    <w:rsid w:val="00593A75"/>
    <w:rsid w:val="00594D79"/>
    <w:rsid w:val="00595988"/>
    <w:rsid w:val="00597C04"/>
    <w:rsid w:val="005A310C"/>
    <w:rsid w:val="005B0AB8"/>
    <w:rsid w:val="005B0B6E"/>
    <w:rsid w:val="005B164B"/>
    <w:rsid w:val="005B1C74"/>
    <w:rsid w:val="005B255C"/>
    <w:rsid w:val="005C35E0"/>
    <w:rsid w:val="005C618B"/>
    <w:rsid w:val="005D2E30"/>
    <w:rsid w:val="005D6B27"/>
    <w:rsid w:val="005D7C9F"/>
    <w:rsid w:val="005E14AA"/>
    <w:rsid w:val="005E6985"/>
    <w:rsid w:val="005F12D6"/>
    <w:rsid w:val="005F439A"/>
    <w:rsid w:val="00601C14"/>
    <w:rsid w:val="00605B6D"/>
    <w:rsid w:val="0060646E"/>
    <w:rsid w:val="00611B45"/>
    <w:rsid w:val="00613050"/>
    <w:rsid w:val="00614F8F"/>
    <w:rsid w:val="00615422"/>
    <w:rsid w:val="006155E3"/>
    <w:rsid w:val="00615E3E"/>
    <w:rsid w:val="00616C33"/>
    <w:rsid w:val="00630BEA"/>
    <w:rsid w:val="00630C1F"/>
    <w:rsid w:val="00631B05"/>
    <w:rsid w:val="00635265"/>
    <w:rsid w:val="00635DBD"/>
    <w:rsid w:val="00642E30"/>
    <w:rsid w:val="00650AE3"/>
    <w:rsid w:val="00652C5F"/>
    <w:rsid w:val="0065703C"/>
    <w:rsid w:val="00657B11"/>
    <w:rsid w:val="00660C2A"/>
    <w:rsid w:val="006628FC"/>
    <w:rsid w:val="006629AF"/>
    <w:rsid w:val="00662FA6"/>
    <w:rsid w:val="0066614E"/>
    <w:rsid w:val="006668DF"/>
    <w:rsid w:val="00671533"/>
    <w:rsid w:val="006730CB"/>
    <w:rsid w:val="00675158"/>
    <w:rsid w:val="00675FA6"/>
    <w:rsid w:val="006766A2"/>
    <w:rsid w:val="006827AF"/>
    <w:rsid w:val="00690C15"/>
    <w:rsid w:val="00691676"/>
    <w:rsid w:val="006934A4"/>
    <w:rsid w:val="00694524"/>
    <w:rsid w:val="006969DC"/>
    <w:rsid w:val="006974BB"/>
    <w:rsid w:val="006A04E4"/>
    <w:rsid w:val="006A4C92"/>
    <w:rsid w:val="006A5A3E"/>
    <w:rsid w:val="006A7268"/>
    <w:rsid w:val="006B2B97"/>
    <w:rsid w:val="006B3200"/>
    <w:rsid w:val="006B517C"/>
    <w:rsid w:val="006B7CC2"/>
    <w:rsid w:val="006C17C9"/>
    <w:rsid w:val="006D53C9"/>
    <w:rsid w:val="006E4E6E"/>
    <w:rsid w:val="006E6DA2"/>
    <w:rsid w:val="006E70BB"/>
    <w:rsid w:val="006F3876"/>
    <w:rsid w:val="0071224E"/>
    <w:rsid w:val="007170F9"/>
    <w:rsid w:val="00720C29"/>
    <w:rsid w:val="00721E75"/>
    <w:rsid w:val="00730A15"/>
    <w:rsid w:val="0073417A"/>
    <w:rsid w:val="00735255"/>
    <w:rsid w:val="007355DF"/>
    <w:rsid w:val="0073576C"/>
    <w:rsid w:val="0074052A"/>
    <w:rsid w:val="0074337D"/>
    <w:rsid w:val="00743EF7"/>
    <w:rsid w:val="00745602"/>
    <w:rsid w:val="00747BA9"/>
    <w:rsid w:val="0075191D"/>
    <w:rsid w:val="007519E9"/>
    <w:rsid w:val="00752795"/>
    <w:rsid w:val="007551D2"/>
    <w:rsid w:val="00755F8C"/>
    <w:rsid w:val="007678A5"/>
    <w:rsid w:val="0077040E"/>
    <w:rsid w:val="00774632"/>
    <w:rsid w:val="00775899"/>
    <w:rsid w:val="00780C34"/>
    <w:rsid w:val="00785229"/>
    <w:rsid w:val="0079089F"/>
    <w:rsid w:val="0079380E"/>
    <w:rsid w:val="007A6FFA"/>
    <w:rsid w:val="007B10F9"/>
    <w:rsid w:val="007B2DE7"/>
    <w:rsid w:val="007C1B20"/>
    <w:rsid w:val="007C2535"/>
    <w:rsid w:val="007C4A02"/>
    <w:rsid w:val="007C4E4F"/>
    <w:rsid w:val="007D20F5"/>
    <w:rsid w:val="007D3CF8"/>
    <w:rsid w:val="007D4F51"/>
    <w:rsid w:val="007D69AD"/>
    <w:rsid w:val="007D7CAE"/>
    <w:rsid w:val="007E40FC"/>
    <w:rsid w:val="007E4C2D"/>
    <w:rsid w:val="007E654F"/>
    <w:rsid w:val="007F4258"/>
    <w:rsid w:val="007F4EF3"/>
    <w:rsid w:val="007F5B1C"/>
    <w:rsid w:val="007F6F80"/>
    <w:rsid w:val="007F7CDF"/>
    <w:rsid w:val="00805EFF"/>
    <w:rsid w:val="00811FA1"/>
    <w:rsid w:val="00816217"/>
    <w:rsid w:val="008207DE"/>
    <w:rsid w:val="00821CFF"/>
    <w:rsid w:val="008234F6"/>
    <w:rsid w:val="008251C8"/>
    <w:rsid w:val="00825C70"/>
    <w:rsid w:val="00836C26"/>
    <w:rsid w:val="00841449"/>
    <w:rsid w:val="00841ADE"/>
    <w:rsid w:val="00841D80"/>
    <w:rsid w:val="008523C2"/>
    <w:rsid w:val="00861DD4"/>
    <w:rsid w:val="00863C66"/>
    <w:rsid w:val="00864BA1"/>
    <w:rsid w:val="00866DEF"/>
    <w:rsid w:val="00871501"/>
    <w:rsid w:val="008723D3"/>
    <w:rsid w:val="0087283C"/>
    <w:rsid w:val="008751B8"/>
    <w:rsid w:val="00880D26"/>
    <w:rsid w:val="00881307"/>
    <w:rsid w:val="0088186C"/>
    <w:rsid w:val="00883055"/>
    <w:rsid w:val="00890C67"/>
    <w:rsid w:val="00894708"/>
    <w:rsid w:val="00897580"/>
    <w:rsid w:val="008A2E56"/>
    <w:rsid w:val="008A418E"/>
    <w:rsid w:val="008B0264"/>
    <w:rsid w:val="008B11A1"/>
    <w:rsid w:val="008B2E2E"/>
    <w:rsid w:val="008B3DC1"/>
    <w:rsid w:val="008B581C"/>
    <w:rsid w:val="008C2411"/>
    <w:rsid w:val="008C55CA"/>
    <w:rsid w:val="008C6751"/>
    <w:rsid w:val="008C6B06"/>
    <w:rsid w:val="008D5A3E"/>
    <w:rsid w:val="008D6C93"/>
    <w:rsid w:val="008E37BD"/>
    <w:rsid w:val="008E6A1B"/>
    <w:rsid w:val="008E70D5"/>
    <w:rsid w:val="008F36C0"/>
    <w:rsid w:val="008F5322"/>
    <w:rsid w:val="008F6C24"/>
    <w:rsid w:val="009009B8"/>
    <w:rsid w:val="00902D8F"/>
    <w:rsid w:val="00915234"/>
    <w:rsid w:val="0091768D"/>
    <w:rsid w:val="009220F3"/>
    <w:rsid w:val="00926560"/>
    <w:rsid w:val="0093035A"/>
    <w:rsid w:val="009320AA"/>
    <w:rsid w:val="00932594"/>
    <w:rsid w:val="009373EA"/>
    <w:rsid w:val="00943657"/>
    <w:rsid w:val="00952C5B"/>
    <w:rsid w:val="0095464C"/>
    <w:rsid w:val="009632D3"/>
    <w:rsid w:val="00975089"/>
    <w:rsid w:val="0097663E"/>
    <w:rsid w:val="00982FDE"/>
    <w:rsid w:val="0098600F"/>
    <w:rsid w:val="00991363"/>
    <w:rsid w:val="0099649A"/>
    <w:rsid w:val="00997B41"/>
    <w:rsid w:val="009A0A4D"/>
    <w:rsid w:val="009A1A60"/>
    <w:rsid w:val="009A7DD7"/>
    <w:rsid w:val="009B2781"/>
    <w:rsid w:val="009B7444"/>
    <w:rsid w:val="009C4673"/>
    <w:rsid w:val="009D1E03"/>
    <w:rsid w:val="009D55E0"/>
    <w:rsid w:val="009E1B08"/>
    <w:rsid w:val="009E4284"/>
    <w:rsid w:val="009E5F15"/>
    <w:rsid w:val="009F09A9"/>
    <w:rsid w:val="009F1336"/>
    <w:rsid w:val="009F2048"/>
    <w:rsid w:val="009F33BC"/>
    <w:rsid w:val="009F5948"/>
    <w:rsid w:val="009F75B4"/>
    <w:rsid w:val="00A0643A"/>
    <w:rsid w:val="00A173C8"/>
    <w:rsid w:val="00A25934"/>
    <w:rsid w:val="00A34E65"/>
    <w:rsid w:val="00A3547D"/>
    <w:rsid w:val="00A370AA"/>
    <w:rsid w:val="00A40E8A"/>
    <w:rsid w:val="00A42629"/>
    <w:rsid w:val="00A42CDF"/>
    <w:rsid w:val="00A43AFF"/>
    <w:rsid w:val="00A44901"/>
    <w:rsid w:val="00A471D7"/>
    <w:rsid w:val="00A47386"/>
    <w:rsid w:val="00A50095"/>
    <w:rsid w:val="00A526B0"/>
    <w:rsid w:val="00A552BF"/>
    <w:rsid w:val="00A631E5"/>
    <w:rsid w:val="00A63F69"/>
    <w:rsid w:val="00A66079"/>
    <w:rsid w:val="00A734A9"/>
    <w:rsid w:val="00A758FB"/>
    <w:rsid w:val="00A807F0"/>
    <w:rsid w:val="00A80F7D"/>
    <w:rsid w:val="00A82E5A"/>
    <w:rsid w:val="00A85C55"/>
    <w:rsid w:val="00A86721"/>
    <w:rsid w:val="00A94350"/>
    <w:rsid w:val="00A94A04"/>
    <w:rsid w:val="00A97D99"/>
    <w:rsid w:val="00AA34BE"/>
    <w:rsid w:val="00AA6F06"/>
    <w:rsid w:val="00AB2C68"/>
    <w:rsid w:val="00AB6005"/>
    <w:rsid w:val="00AB6B4E"/>
    <w:rsid w:val="00AC07E5"/>
    <w:rsid w:val="00AC2BA9"/>
    <w:rsid w:val="00AD2163"/>
    <w:rsid w:val="00AD62E3"/>
    <w:rsid w:val="00AE0D28"/>
    <w:rsid w:val="00AE0F4F"/>
    <w:rsid w:val="00AE1A46"/>
    <w:rsid w:val="00AE2F03"/>
    <w:rsid w:val="00AE39D4"/>
    <w:rsid w:val="00AF0EEA"/>
    <w:rsid w:val="00AF6037"/>
    <w:rsid w:val="00B0104F"/>
    <w:rsid w:val="00B0169E"/>
    <w:rsid w:val="00B01D65"/>
    <w:rsid w:val="00B05282"/>
    <w:rsid w:val="00B101D1"/>
    <w:rsid w:val="00B20A06"/>
    <w:rsid w:val="00B20FCC"/>
    <w:rsid w:val="00B2266D"/>
    <w:rsid w:val="00B31715"/>
    <w:rsid w:val="00B3628C"/>
    <w:rsid w:val="00B42DBE"/>
    <w:rsid w:val="00B474B6"/>
    <w:rsid w:val="00B50939"/>
    <w:rsid w:val="00B52143"/>
    <w:rsid w:val="00B611AA"/>
    <w:rsid w:val="00B62537"/>
    <w:rsid w:val="00B7014D"/>
    <w:rsid w:val="00B7305B"/>
    <w:rsid w:val="00B741BE"/>
    <w:rsid w:val="00B74859"/>
    <w:rsid w:val="00B81343"/>
    <w:rsid w:val="00B81664"/>
    <w:rsid w:val="00B865A5"/>
    <w:rsid w:val="00B90E2B"/>
    <w:rsid w:val="00B95304"/>
    <w:rsid w:val="00BA0669"/>
    <w:rsid w:val="00BA26B4"/>
    <w:rsid w:val="00BA354A"/>
    <w:rsid w:val="00BA5B5B"/>
    <w:rsid w:val="00BA6F52"/>
    <w:rsid w:val="00BB0EEB"/>
    <w:rsid w:val="00BB5896"/>
    <w:rsid w:val="00BB63F0"/>
    <w:rsid w:val="00BB7612"/>
    <w:rsid w:val="00BB7F78"/>
    <w:rsid w:val="00BD07D4"/>
    <w:rsid w:val="00BD2E7E"/>
    <w:rsid w:val="00BD6844"/>
    <w:rsid w:val="00BE3A57"/>
    <w:rsid w:val="00BE4E01"/>
    <w:rsid w:val="00BF334C"/>
    <w:rsid w:val="00BF3A15"/>
    <w:rsid w:val="00C03B13"/>
    <w:rsid w:val="00C03F15"/>
    <w:rsid w:val="00C12426"/>
    <w:rsid w:val="00C14930"/>
    <w:rsid w:val="00C160F6"/>
    <w:rsid w:val="00C23619"/>
    <w:rsid w:val="00C246EC"/>
    <w:rsid w:val="00C32ABE"/>
    <w:rsid w:val="00C40A02"/>
    <w:rsid w:val="00C4264F"/>
    <w:rsid w:val="00C47DC9"/>
    <w:rsid w:val="00C54F37"/>
    <w:rsid w:val="00C56E2E"/>
    <w:rsid w:val="00C65FC4"/>
    <w:rsid w:val="00C74DED"/>
    <w:rsid w:val="00C80D3D"/>
    <w:rsid w:val="00C817DD"/>
    <w:rsid w:val="00C82FB3"/>
    <w:rsid w:val="00C84FF0"/>
    <w:rsid w:val="00C857CD"/>
    <w:rsid w:val="00C85E5B"/>
    <w:rsid w:val="00C8737B"/>
    <w:rsid w:val="00C87626"/>
    <w:rsid w:val="00C87AF3"/>
    <w:rsid w:val="00C90B05"/>
    <w:rsid w:val="00C95774"/>
    <w:rsid w:val="00CA04AD"/>
    <w:rsid w:val="00CA0F93"/>
    <w:rsid w:val="00CA741F"/>
    <w:rsid w:val="00CA7E7D"/>
    <w:rsid w:val="00CB0ED1"/>
    <w:rsid w:val="00CB13C0"/>
    <w:rsid w:val="00CC2898"/>
    <w:rsid w:val="00CC28FF"/>
    <w:rsid w:val="00CC2E2D"/>
    <w:rsid w:val="00CC2E37"/>
    <w:rsid w:val="00CC40A4"/>
    <w:rsid w:val="00CC5949"/>
    <w:rsid w:val="00CC5C1A"/>
    <w:rsid w:val="00CD29D2"/>
    <w:rsid w:val="00CD2FE0"/>
    <w:rsid w:val="00CD343D"/>
    <w:rsid w:val="00CD422F"/>
    <w:rsid w:val="00CD7285"/>
    <w:rsid w:val="00CE069A"/>
    <w:rsid w:val="00CE60D2"/>
    <w:rsid w:val="00CF220B"/>
    <w:rsid w:val="00CF3ECB"/>
    <w:rsid w:val="00CF4014"/>
    <w:rsid w:val="00CF5883"/>
    <w:rsid w:val="00D03363"/>
    <w:rsid w:val="00D04943"/>
    <w:rsid w:val="00D0610E"/>
    <w:rsid w:val="00D11FBB"/>
    <w:rsid w:val="00D122FD"/>
    <w:rsid w:val="00D160C2"/>
    <w:rsid w:val="00D20F42"/>
    <w:rsid w:val="00D227D0"/>
    <w:rsid w:val="00D24637"/>
    <w:rsid w:val="00D24DA6"/>
    <w:rsid w:val="00D30408"/>
    <w:rsid w:val="00D3173A"/>
    <w:rsid w:val="00D3328D"/>
    <w:rsid w:val="00D34980"/>
    <w:rsid w:val="00D3781A"/>
    <w:rsid w:val="00D468EB"/>
    <w:rsid w:val="00D50540"/>
    <w:rsid w:val="00D50CFF"/>
    <w:rsid w:val="00D52017"/>
    <w:rsid w:val="00D53F70"/>
    <w:rsid w:val="00D554B0"/>
    <w:rsid w:val="00D56A8E"/>
    <w:rsid w:val="00D6211D"/>
    <w:rsid w:val="00D708E9"/>
    <w:rsid w:val="00D70996"/>
    <w:rsid w:val="00D72773"/>
    <w:rsid w:val="00D72BB7"/>
    <w:rsid w:val="00D7460D"/>
    <w:rsid w:val="00D863D5"/>
    <w:rsid w:val="00D92D48"/>
    <w:rsid w:val="00D95A50"/>
    <w:rsid w:val="00D97C35"/>
    <w:rsid w:val="00DA3223"/>
    <w:rsid w:val="00DA711E"/>
    <w:rsid w:val="00DB000F"/>
    <w:rsid w:val="00DB026B"/>
    <w:rsid w:val="00DB2942"/>
    <w:rsid w:val="00DB3557"/>
    <w:rsid w:val="00DD1B58"/>
    <w:rsid w:val="00DD4C39"/>
    <w:rsid w:val="00DE1E8F"/>
    <w:rsid w:val="00DF0742"/>
    <w:rsid w:val="00DF09DD"/>
    <w:rsid w:val="00E016AA"/>
    <w:rsid w:val="00E019ED"/>
    <w:rsid w:val="00E10259"/>
    <w:rsid w:val="00E10EFB"/>
    <w:rsid w:val="00E16E92"/>
    <w:rsid w:val="00E207E9"/>
    <w:rsid w:val="00E2165E"/>
    <w:rsid w:val="00E219BD"/>
    <w:rsid w:val="00E234E9"/>
    <w:rsid w:val="00E259C9"/>
    <w:rsid w:val="00E305FB"/>
    <w:rsid w:val="00E3707C"/>
    <w:rsid w:val="00E4458D"/>
    <w:rsid w:val="00E45CF8"/>
    <w:rsid w:val="00E466CC"/>
    <w:rsid w:val="00E52C1D"/>
    <w:rsid w:val="00E566BC"/>
    <w:rsid w:val="00E62CFE"/>
    <w:rsid w:val="00E649BF"/>
    <w:rsid w:val="00E64AEA"/>
    <w:rsid w:val="00E65734"/>
    <w:rsid w:val="00E66132"/>
    <w:rsid w:val="00E66F68"/>
    <w:rsid w:val="00E67B15"/>
    <w:rsid w:val="00E73F32"/>
    <w:rsid w:val="00E76276"/>
    <w:rsid w:val="00E865EB"/>
    <w:rsid w:val="00E90614"/>
    <w:rsid w:val="00E97E86"/>
    <w:rsid w:val="00EA0196"/>
    <w:rsid w:val="00EA3339"/>
    <w:rsid w:val="00EA4CB8"/>
    <w:rsid w:val="00EA68FF"/>
    <w:rsid w:val="00EB3412"/>
    <w:rsid w:val="00EB7AE9"/>
    <w:rsid w:val="00EC3BDD"/>
    <w:rsid w:val="00EC5A9B"/>
    <w:rsid w:val="00EC6309"/>
    <w:rsid w:val="00EC6595"/>
    <w:rsid w:val="00EC73B9"/>
    <w:rsid w:val="00ED1E6C"/>
    <w:rsid w:val="00ED6433"/>
    <w:rsid w:val="00EE53B3"/>
    <w:rsid w:val="00EE697E"/>
    <w:rsid w:val="00EF0D17"/>
    <w:rsid w:val="00EF1148"/>
    <w:rsid w:val="00EF24E1"/>
    <w:rsid w:val="00EF5A6F"/>
    <w:rsid w:val="00F015F2"/>
    <w:rsid w:val="00F02E39"/>
    <w:rsid w:val="00F075E4"/>
    <w:rsid w:val="00F149CE"/>
    <w:rsid w:val="00F158B3"/>
    <w:rsid w:val="00F17E4A"/>
    <w:rsid w:val="00F25884"/>
    <w:rsid w:val="00F30F1E"/>
    <w:rsid w:val="00F43BB7"/>
    <w:rsid w:val="00F451A1"/>
    <w:rsid w:val="00F60A2E"/>
    <w:rsid w:val="00F630A8"/>
    <w:rsid w:val="00F63359"/>
    <w:rsid w:val="00F63CFC"/>
    <w:rsid w:val="00F71A6C"/>
    <w:rsid w:val="00F749AD"/>
    <w:rsid w:val="00F75AA3"/>
    <w:rsid w:val="00F82C2F"/>
    <w:rsid w:val="00F84A3A"/>
    <w:rsid w:val="00F85802"/>
    <w:rsid w:val="00F86029"/>
    <w:rsid w:val="00F9304F"/>
    <w:rsid w:val="00F95928"/>
    <w:rsid w:val="00F961E0"/>
    <w:rsid w:val="00FA0F38"/>
    <w:rsid w:val="00FA3B8C"/>
    <w:rsid w:val="00FA3CE0"/>
    <w:rsid w:val="00FA4FA0"/>
    <w:rsid w:val="00FA670F"/>
    <w:rsid w:val="00FB14D3"/>
    <w:rsid w:val="00FB2466"/>
    <w:rsid w:val="00FB6884"/>
    <w:rsid w:val="00FC1865"/>
    <w:rsid w:val="00FC1C55"/>
    <w:rsid w:val="00FC256E"/>
    <w:rsid w:val="00FC42FC"/>
    <w:rsid w:val="00FD172A"/>
    <w:rsid w:val="00FD1972"/>
    <w:rsid w:val="00FD1D26"/>
    <w:rsid w:val="00FD6700"/>
    <w:rsid w:val="00FD67D9"/>
    <w:rsid w:val="00FD6E5E"/>
    <w:rsid w:val="00FE177E"/>
    <w:rsid w:val="00FF0A40"/>
    <w:rsid w:val="00FF6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docId w15:val="{F73BF11F-38A3-4EF4-B620-A0AA7EF4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es-ES" w:eastAsia="es-ES"/>
    </w:rPr>
  </w:style>
  <w:style w:type="character" w:styleId="Hyperlink">
    <w:name w:val="Hyperlink"/>
    <w:basedOn w:val="DefaultParagraphFont"/>
    <w:uiPriority w:val="99"/>
    <w:unhideWhenUsed/>
    <w:rsid w:val="00DD4C39"/>
    <w:rPr>
      <w:color w:val="0563C1" w:themeColor="hyperlink"/>
      <w:u w:val="single"/>
    </w:rPr>
  </w:style>
  <w:style w:type="paragraph" w:styleId="FootnoteText">
    <w:name w:val="footnote text"/>
    <w:basedOn w:val="Normal"/>
    <w:link w:val="FootnoteTextChar"/>
    <w:semiHidden/>
    <w:unhideWhenUsed/>
    <w:rsid w:val="00DD4C39"/>
    <w:rPr>
      <w:sz w:val="20"/>
      <w:szCs w:val="20"/>
    </w:rPr>
  </w:style>
  <w:style w:type="character" w:customStyle="1" w:styleId="FootnoteTextChar">
    <w:name w:val="Footnote Text Char"/>
    <w:basedOn w:val="DefaultParagraphFont"/>
    <w:link w:val="FootnoteText"/>
    <w:semiHidden/>
    <w:rsid w:val="00DD4C39"/>
    <w:rPr>
      <w:rFonts w:ascii="Times New Roman" w:eastAsia="Times New Roman" w:hAnsi="Times New Roman" w:cs="Times New Roman"/>
      <w:sz w:val="20"/>
      <w:szCs w:val="20"/>
      <w:lang w:val="es-ES"/>
    </w:rPr>
  </w:style>
  <w:style w:type="character" w:styleId="FootnoteReference">
    <w:name w:val="footnote reference"/>
    <w:basedOn w:val="DefaultParagraphFont"/>
    <w:semiHidden/>
    <w:unhideWhenUsed/>
    <w:rsid w:val="00DD4C39"/>
    <w:rPr>
      <w:vertAlign w:val="superscript"/>
    </w:rPr>
  </w:style>
  <w:style w:type="character" w:styleId="CommentReference">
    <w:name w:val="annotation reference"/>
    <w:basedOn w:val="DefaultParagraphFont"/>
    <w:uiPriority w:val="99"/>
    <w:unhideWhenUsed/>
    <w:qFormat/>
    <w:rsid w:val="00FC1C55"/>
    <w:rPr>
      <w:sz w:val="16"/>
      <w:szCs w:val="16"/>
    </w:rPr>
  </w:style>
  <w:style w:type="paragraph" w:styleId="CommentText">
    <w:name w:val="annotation text"/>
    <w:basedOn w:val="Normal"/>
    <w:link w:val="CommentTextChar"/>
    <w:uiPriority w:val="99"/>
    <w:unhideWhenUsed/>
    <w:qFormat/>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es-ES"/>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link w:val="DefaultChar"/>
    <w:qForma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E234E9"/>
    <w:rPr>
      <w:color w:val="954F72" w:themeColor="followedHyperlink"/>
      <w:u w:val="single"/>
    </w:rPr>
  </w:style>
  <w:style w:type="paragraph" w:customStyle="1" w:styleId="msonormal0">
    <w:name w:val="msonormal"/>
    <w:basedOn w:val="Normal"/>
    <w:rsid w:val="004F39B9"/>
    <w:pPr>
      <w:spacing w:before="100" w:beforeAutospacing="1" w:after="100" w:afterAutospacing="1"/>
    </w:pPr>
  </w:style>
  <w:style w:type="paragraph" w:customStyle="1" w:styleId="paragraph">
    <w:name w:val="paragraph"/>
    <w:basedOn w:val="Normal"/>
    <w:rsid w:val="004F39B9"/>
    <w:pPr>
      <w:spacing w:before="100" w:beforeAutospacing="1" w:after="100" w:afterAutospacing="1"/>
    </w:pPr>
  </w:style>
  <w:style w:type="character" w:customStyle="1" w:styleId="textrun">
    <w:name w:val="textrun"/>
    <w:basedOn w:val="DefaultParagraphFont"/>
    <w:rsid w:val="004F39B9"/>
  </w:style>
  <w:style w:type="character" w:customStyle="1" w:styleId="normaltextrun">
    <w:name w:val="normaltextrun"/>
    <w:basedOn w:val="DefaultParagraphFont"/>
    <w:rsid w:val="004F39B9"/>
  </w:style>
  <w:style w:type="character" w:customStyle="1" w:styleId="eop">
    <w:name w:val="eop"/>
    <w:basedOn w:val="DefaultParagraphFont"/>
    <w:rsid w:val="004F39B9"/>
  </w:style>
  <w:style w:type="paragraph" w:customStyle="1" w:styleId="outlineelement">
    <w:name w:val="outlineelement"/>
    <w:basedOn w:val="Normal"/>
    <w:rsid w:val="004F39B9"/>
    <w:pPr>
      <w:spacing w:before="100" w:beforeAutospacing="1" w:after="100" w:afterAutospacing="1"/>
    </w:pPr>
  </w:style>
  <w:style w:type="character" w:customStyle="1" w:styleId="tabrun">
    <w:name w:val="tabrun"/>
    <w:basedOn w:val="DefaultParagraphFont"/>
    <w:rsid w:val="004F39B9"/>
  </w:style>
  <w:style w:type="character" w:customStyle="1" w:styleId="tabchar">
    <w:name w:val="tabchar"/>
    <w:basedOn w:val="DefaultParagraphFont"/>
    <w:rsid w:val="004F39B9"/>
  </w:style>
  <w:style w:type="character" w:customStyle="1" w:styleId="tableaderchars">
    <w:name w:val="tableaderchars"/>
    <w:basedOn w:val="DefaultParagraphFont"/>
    <w:rsid w:val="004F39B9"/>
  </w:style>
  <w:style w:type="character" w:customStyle="1" w:styleId="pagebreakblob">
    <w:name w:val="pagebreakblob"/>
    <w:basedOn w:val="DefaultParagraphFont"/>
    <w:rsid w:val="004F39B9"/>
  </w:style>
  <w:style w:type="character" w:customStyle="1" w:styleId="pagebreakborderspan">
    <w:name w:val="pagebreakborderspan"/>
    <w:basedOn w:val="DefaultParagraphFont"/>
    <w:rsid w:val="004F39B9"/>
  </w:style>
  <w:style w:type="character" w:customStyle="1" w:styleId="pagebreaktextspan">
    <w:name w:val="pagebreaktextspan"/>
    <w:basedOn w:val="DefaultParagraphFont"/>
    <w:rsid w:val="004F39B9"/>
  </w:style>
  <w:style w:type="character" w:customStyle="1" w:styleId="linebreakblob">
    <w:name w:val="linebreakblob"/>
    <w:basedOn w:val="DefaultParagraphFont"/>
    <w:rsid w:val="004F39B9"/>
  </w:style>
  <w:style w:type="character" w:customStyle="1" w:styleId="scxw138215210">
    <w:name w:val="scxw138215210"/>
    <w:basedOn w:val="DefaultParagraphFont"/>
    <w:rsid w:val="004F39B9"/>
  </w:style>
  <w:style w:type="paragraph" w:styleId="Header">
    <w:name w:val="header"/>
    <w:basedOn w:val="Normal"/>
    <w:link w:val="HeaderChar"/>
    <w:uiPriority w:val="99"/>
    <w:unhideWhenUsed/>
    <w:rsid w:val="004F39B9"/>
    <w:pPr>
      <w:tabs>
        <w:tab w:val="center" w:pos="4680"/>
        <w:tab w:val="right" w:pos="9360"/>
      </w:tabs>
    </w:pPr>
  </w:style>
  <w:style w:type="character" w:customStyle="1" w:styleId="HeaderChar">
    <w:name w:val="Header Char"/>
    <w:basedOn w:val="DefaultParagraphFont"/>
    <w:link w:val="Header"/>
    <w:uiPriority w:val="99"/>
    <w:rsid w:val="004F39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39B9"/>
    <w:pPr>
      <w:tabs>
        <w:tab w:val="center" w:pos="4680"/>
        <w:tab w:val="right" w:pos="9360"/>
      </w:tabs>
    </w:pPr>
  </w:style>
  <w:style w:type="character" w:customStyle="1" w:styleId="FooterChar">
    <w:name w:val="Footer Char"/>
    <w:basedOn w:val="DefaultParagraphFont"/>
    <w:link w:val="Footer"/>
    <w:uiPriority w:val="99"/>
    <w:rsid w:val="004F39B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A2BB3"/>
    <w:rPr>
      <w:color w:val="605E5C"/>
      <w:shd w:val="clear" w:color="auto" w:fill="E1DFDD"/>
    </w:rPr>
  </w:style>
  <w:style w:type="character" w:customStyle="1" w:styleId="DefaultChar">
    <w:name w:val="Default Char"/>
    <w:basedOn w:val="DefaultParagraphFont"/>
    <w:link w:val="Default"/>
    <w:locked/>
    <w:rsid w:val="00743EF7"/>
    <w:rPr>
      <w:rFonts w:ascii="Cambria" w:hAnsi="Cambria" w:cs="Cambria"/>
      <w:color w:val="000000"/>
      <w:sz w:val="24"/>
      <w:szCs w:val="24"/>
    </w:rPr>
  </w:style>
  <w:style w:type="paragraph" w:styleId="NormalWeb">
    <w:name w:val="Normal (Web)"/>
    <w:basedOn w:val="Normal"/>
    <w:uiPriority w:val="99"/>
    <w:unhideWhenUsed/>
    <w:rsid w:val="007D20F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41">
      <w:bodyDiv w:val="1"/>
      <w:marLeft w:val="0"/>
      <w:marRight w:val="0"/>
      <w:marTop w:val="0"/>
      <w:marBottom w:val="0"/>
      <w:divBdr>
        <w:top w:val="none" w:sz="0" w:space="0" w:color="auto"/>
        <w:left w:val="none" w:sz="0" w:space="0" w:color="auto"/>
        <w:bottom w:val="none" w:sz="0" w:space="0" w:color="auto"/>
        <w:right w:val="none" w:sz="0" w:space="0" w:color="auto"/>
      </w:divBdr>
    </w:div>
    <w:div w:id="103812293">
      <w:bodyDiv w:val="1"/>
      <w:marLeft w:val="0"/>
      <w:marRight w:val="0"/>
      <w:marTop w:val="0"/>
      <w:marBottom w:val="0"/>
      <w:divBdr>
        <w:top w:val="none" w:sz="0" w:space="0" w:color="auto"/>
        <w:left w:val="none" w:sz="0" w:space="0" w:color="auto"/>
        <w:bottom w:val="none" w:sz="0" w:space="0" w:color="auto"/>
        <w:right w:val="none" w:sz="0" w:space="0" w:color="auto"/>
      </w:divBdr>
    </w:div>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220295132">
      <w:bodyDiv w:val="1"/>
      <w:marLeft w:val="0"/>
      <w:marRight w:val="0"/>
      <w:marTop w:val="0"/>
      <w:marBottom w:val="0"/>
      <w:divBdr>
        <w:top w:val="none" w:sz="0" w:space="0" w:color="auto"/>
        <w:left w:val="none" w:sz="0" w:space="0" w:color="auto"/>
        <w:bottom w:val="none" w:sz="0" w:space="0" w:color="auto"/>
        <w:right w:val="none" w:sz="0" w:space="0" w:color="auto"/>
      </w:divBdr>
    </w:div>
    <w:div w:id="297689912">
      <w:bodyDiv w:val="1"/>
      <w:marLeft w:val="0"/>
      <w:marRight w:val="0"/>
      <w:marTop w:val="0"/>
      <w:marBottom w:val="0"/>
      <w:divBdr>
        <w:top w:val="none" w:sz="0" w:space="0" w:color="auto"/>
        <w:left w:val="none" w:sz="0" w:space="0" w:color="auto"/>
        <w:bottom w:val="none" w:sz="0" w:space="0" w:color="auto"/>
        <w:right w:val="none" w:sz="0" w:space="0" w:color="auto"/>
      </w:divBdr>
    </w:div>
    <w:div w:id="371152014">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940917987">
      <w:bodyDiv w:val="1"/>
      <w:marLeft w:val="0"/>
      <w:marRight w:val="0"/>
      <w:marTop w:val="0"/>
      <w:marBottom w:val="0"/>
      <w:divBdr>
        <w:top w:val="none" w:sz="0" w:space="0" w:color="auto"/>
        <w:left w:val="none" w:sz="0" w:space="0" w:color="auto"/>
        <w:bottom w:val="none" w:sz="0" w:space="0" w:color="auto"/>
        <w:right w:val="none" w:sz="0" w:space="0" w:color="auto"/>
      </w:divBdr>
    </w:div>
    <w:div w:id="1235310330">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413160078">
      <w:bodyDiv w:val="1"/>
      <w:marLeft w:val="0"/>
      <w:marRight w:val="0"/>
      <w:marTop w:val="0"/>
      <w:marBottom w:val="0"/>
      <w:divBdr>
        <w:top w:val="none" w:sz="0" w:space="0" w:color="auto"/>
        <w:left w:val="none" w:sz="0" w:space="0" w:color="auto"/>
        <w:bottom w:val="none" w:sz="0" w:space="0" w:color="auto"/>
        <w:right w:val="none" w:sz="0" w:space="0" w:color="auto"/>
      </w:divBdr>
    </w:div>
    <w:div w:id="1496073320">
      <w:bodyDiv w:val="1"/>
      <w:marLeft w:val="0"/>
      <w:marRight w:val="0"/>
      <w:marTop w:val="0"/>
      <w:marBottom w:val="0"/>
      <w:divBdr>
        <w:top w:val="none" w:sz="0" w:space="0" w:color="auto"/>
        <w:left w:val="none" w:sz="0" w:space="0" w:color="auto"/>
        <w:bottom w:val="none" w:sz="0" w:space="0" w:color="auto"/>
        <w:right w:val="none" w:sz="0" w:space="0" w:color="auto"/>
      </w:divBdr>
    </w:div>
    <w:div w:id="1516189415">
      <w:bodyDiv w:val="1"/>
      <w:marLeft w:val="0"/>
      <w:marRight w:val="0"/>
      <w:marTop w:val="0"/>
      <w:marBottom w:val="0"/>
      <w:divBdr>
        <w:top w:val="none" w:sz="0" w:space="0" w:color="auto"/>
        <w:left w:val="none" w:sz="0" w:space="0" w:color="auto"/>
        <w:bottom w:val="none" w:sz="0" w:space="0" w:color="auto"/>
        <w:right w:val="none" w:sz="0" w:space="0" w:color="auto"/>
      </w:divBdr>
      <w:divsChild>
        <w:div w:id="596002">
          <w:marLeft w:val="0"/>
          <w:marRight w:val="0"/>
          <w:marTop w:val="0"/>
          <w:marBottom w:val="0"/>
          <w:divBdr>
            <w:top w:val="none" w:sz="0" w:space="0" w:color="auto"/>
            <w:left w:val="none" w:sz="0" w:space="0" w:color="auto"/>
            <w:bottom w:val="none" w:sz="0" w:space="0" w:color="auto"/>
            <w:right w:val="none" w:sz="0" w:space="0" w:color="auto"/>
          </w:divBdr>
        </w:div>
        <w:div w:id="19934295">
          <w:marLeft w:val="0"/>
          <w:marRight w:val="0"/>
          <w:marTop w:val="0"/>
          <w:marBottom w:val="0"/>
          <w:divBdr>
            <w:top w:val="none" w:sz="0" w:space="0" w:color="auto"/>
            <w:left w:val="none" w:sz="0" w:space="0" w:color="auto"/>
            <w:bottom w:val="none" w:sz="0" w:space="0" w:color="auto"/>
            <w:right w:val="none" w:sz="0" w:space="0" w:color="auto"/>
          </w:divBdr>
        </w:div>
        <w:div w:id="53311593">
          <w:marLeft w:val="0"/>
          <w:marRight w:val="0"/>
          <w:marTop w:val="0"/>
          <w:marBottom w:val="0"/>
          <w:divBdr>
            <w:top w:val="none" w:sz="0" w:space="0" w:color="auto"/>
            <w:left w:val="none" w:sz="0" w:space="0" w:color="auto"/>
            <w:bottom w:val="none" w:sz="0" w:space="0" w:color="auto"/>
            <w:right w:val="none" w:sz="0" w:space="0" w:color="auto"/>
          </w:divBdr>
        </w:div>
        <w:div w:id="72747576">
          <w:marLeft w:val="0"/>
          <w:marRight w:val="0"/>
          <w:marTop w:val="0"/>
          <w:marBottom w:val="0"/>
          <w:divBdr>
            <w:top w:val="none" w:sz="0" w:space="0" w:color="auto"/>
            <w:left w:val="none" w:sz="0" w:space="0" w:color="auto"/>
            <w:bottom w:val="none" w:sz="0" w:space="0" w:color="auto"/>
            <w:right w:val="none" w:sz="0" w:space="0" w:color="auto"/>
          </w:divBdr>
        </w:div>
        <w:div w:id="77604553">
          <w:marLeft w:val="0"/>
          <w:marRight w:val="0"/>
          <w:marTop w:val="0"/>
          <w:marBottom w:val="0"/>
          <w:divBdr>
            <w:top w:val="none" w:sz="0" w:space="0" w:color="auto"/>
            <w:left w:val="none" w:sz="0" w:space="0" w:color="auto"/>
            <w:bottom w:val="none" w:sz="0" w:space="0" w:color="auto"/>
            <w:right w:val="none" w:sz="0" w:space="0" w:color="auto"/>
          </w:divBdr>
        </w:div>
        <w:div w:id="79524482">
          <w:marLeft w:val="0"/>
          <w:marRight w:val="0"/>
          <w:marTop w:val="0"/>
          <w:marBottom w:val="0"/>
          <w:divBdr>
            <w:top w:val="none" w:sz="0" w:space="0" w:color="auto"/>
            <w:left w:val="none" w:sz="0" w:space="0" w:color="auto"/>
            <w:bottom w:val="none" w:sz="0" w:space="0" w:color="auto"/>
            <w:right w:val="none" w:sz="0" w:space="0" w:color="auto"/>
          </w:divBdr>
        </w:div>
        <w:div w:id="89936321">
          <w:marLeft w:val="0"/>
          <w:marRight w:val="0"/>
          <w:marTop w:val="0"/>
          <w:marBottom w:val="0"/>
          <w:divBdr>
            <w:top w:val="none" w:sz="0" w:space="0" w:color="auto"/>
            <w:left w:val="none" w:sz="0" w:space="0" w:color="auto"/>
            <w:bottom w:val="none" w:sz="0" w:space="0" w:color="auto"/>
            <w:right w:val="none" w:sz="0" w:space="0" w:color="auto"/>
          </w:divBdr>
        </w:div>
        <w:div w:id="91055738">
          <w:marLeft w:val="0"/>
          <w:marRight w:val="0"/>
          <w:marTop w:val="0"/>
          <w:marBottom w:val="0"/>
          <w:divBdr>
            <w:top w:val="none" w:sz="0" w:space="0" w:color="auto"/>
            <w:left w:val="none" w:sz="0" w:space="0" w:color="auto"/>
            <w:bottom w:val="none" w:sz="0" w:space="0" w:color="auto"/>
            <w:right w:val="none" w:sz="0" w:space="0" w:color="auto"/>
          </w:divBdr>
        </w:div>
        <w:div w:id="92869904">
          <w:marLeft w:val="0"/>
          <w:marRight w:val="0"/>
          <w:marTop w:val="0"/>
          <w:marBottom w:val="0"/>
          <w:divBdr>
            <w:top w:val="none" w:sz="0" w:space="0" w:color="auto"/>
            <w:left w:val="none" w:sz="0" w:space="0" w:color="auto"/>
            <w:bottom w:val="none" w:sz="0" w:space="0" w:color="auto"/>
            <w:right w:val="none" w:sz="0" w:space="0" w:color="auto"/>
          </w:divBdr>
        </w:div>
        <w:div w:id="99226303">
          <w:marLeft w:val="0"/>
          <w:marRight w:val="0"/>
          <w:marTop w:val="0"/>
          <w:marBottom w:val="0"/>
          <w:divBdr>
            <w:top w:val="none" w:sz="0" w:space="0" w:color="auto"/>
            <w:left w:val="none" w:sz="0" w:space="0" w:color="auto"/>
            <w:bottom w:val="none" w:sz="0" w:space="0" w:color="auto"/>
            <w:right w:val="none" w:sz="0" w:space="0" w:color="auto"/>
          </w:divBdr>
        </w:div>
        <w:div w:id="108278061">
          <w:marLeft w:val="0"/>
          <w:marRight w:val="0"/>
          <w:marTop w:val="0"/>
          <w:marBottom w:val="0"/>
          <w:divBdr>
            <w:top w:val="none" w:sz="0" w:space="0" w:color="auto"/>
            <w:left w:val="none" w:sz="0" w:space="0" w:color="auto"/>
            <w:bottom w:val="none" w:sz="0" w:space="0" w:color="auto"/>
            <w:right w:val="none" w:sz="0" w:space="0" w:color="auto"/>
          </w:divBdr>
        </w:div>
        <w:div w:id="114561314">
          <w:marLeft w:val="0"/>
          <w:marRight w:val="0"/>
          <w:marTop w:val="0"/>
          <w:marBottom w:val="0"/>
          <w:divBdr>
            <w:top w:val="none" w:sz="0" w:space="0" w:color="auto"/>
            <w:left w:val="none" w:sz="0" w:space="0" w:color="auto"/>
            <w:bottom w:val="none" w:sz="0" w:space="0" w:color="auto"/>
            <w:right w:val="none" w:sz="0" w:space="0" w:color="auto"/>
          </w:divBdr>
        </w:div>
        <w:div w:id="114645056">
          <w:marLeft w:val="0"/>
          <w:marRight w:val="0"/>
          <w:marTop w:val="0"/>
          <w:marBottom w:val="0"/>
          <w:divBdr>
            <w:top w:val="none" w:sz="0" w:space="0" w:color="auto"/>
            <w:left w:val="none" w:sz="0" w:space="0" w:color="auto"/>
            <w:bottom w:val="none" w:sz="0" w:space="0" w:color="auto"/>
            <w:right w:val="none" w:sz="0" w:space="0" w:color="auto"/>
          </w:divBdr>
        </w:div>
        <w:div w:id="120154559">
          <w:marLeft w:val="0"/>
          <w:marRight w:val="0"/>
          <w:marTop w:val="0"/>
          <w:marBottom w:val="0"/>
          <w:divBdr>
            <w:top w:val="none" w:sz="0" w:space="0" w:color="auto"/>
            <w:left w:val="none" w:sz="0" w:space="0" w:color="auto"/>
            <w:bottom w:val="none" w:sz="0" w:space="0" w:color="auto"/>
            <w:right w:val="none" w:sz="0" w:space="0" w:color="auto"/>
          </w:divBdr>
        </w:div>
        <w:div w:id="127405629">
          <w:marLeft w:val="0"/>
          <w:marRight w:val="0"/>
          <w:marTop w:val="0"/>
          <w:marBottom w:val="0"/>
          <w:divBdr>
            <w:top w:val="none" w:sz="0" w:space="0" w:color="auto"/>
            <w:left w:val="none" w:sz="0" w:space="0" w:color="auto"/>
            <w:bottom w:val="none" w:sz="0" w:space="0" w:color="auto"/>
            <w:right w:val="none" w:sz="0" w:space="0" w:color="auto"/>
          </w:divBdr>
        </w:div>
        <w:div w:id="130365244">
          <w:marLeft w:val="0"/>
          <w:marRight w:val="0"/>
          <w:marTop w:val="0"/>
          <w:marBottom w:val="0"/>
          <w:divBdr>
            <w:top w:val="none" w:sz="0" w:space="0" w:color="auto"/>
            <w:left w:val="none" w:sz="0" w:space="0" w:color="auto"/>
            <w:bottom w:val="none" w:sz="0" w:space="0" w:color="auto"/>
            <w:right w:val="none" w:sz="0" w:space="0" w:color="auto"/>
          </w:divBdr>
        </w:div>
        <w:div w:id="172303857">
          <w:marLeft w:val="0"/>
          <w:marRight w:val="0"/>
          <w:marTop w:val="0"/>
          <w:marBottom w:val="0"/>
          <w:divBdr>
            <w:top w:val="none" w:sz="0" w:space="0" w:color="auto"/>
            <w:left w:val="none" w:sz="0" w:space="0" w:color="auto"/>
            <w:bottom w:val="none" w:sz="0" w:space="0" w:color="auto"/>
            <w:right w:val="none" w:sz="0" w:space="0" w:color="auto"/>
          </w:divBdr>
        </w:div>
        <w:div w:id="172768418">
          <w:marLeft w:val="0"/>
          <w:marRight w:val="0"/>
          <w:marTop w:val="0"/>
          <w:marBottom w:val="0"/>
          <w:divBdr>
            <w:top w:val="none" w:sz="0" w:space="0" w:color="auto"/>
            <w:left w:val="none" w:sz="0" w:space="0" w:color="auto"/>
            <w:bottom w:val="none" w:sz="0" w:space="0" w:color="auto"/>
            <w:right w:val="none" w:sz="0" w:space="0" w:color="auto"/>
          </w:divBdr>
        </w:div>
        <w:div w:id="189490237">
          <w:marLeft w:val="0"/>
          <w:marRight w:val="0"/>
          <w:marTop w:val="0"/>
          <w:marBottom w:val="0"/>
          <w:divBdr>
            <w:top w:val="none" w:sz="0" w:space="0" w:color="auto"/>
            <w:left w:val="none" w:sz="0" w:space="0" w:color="auto"/>
            <w:bottom w:val="none" w:sz="0" w:space="0" w:color="auto"/>
            <w:right w:val="none" w:sz="0" w:space="0" w:color="auto"/>
          </w:divBdr>
        </w:div>
        <w:div w:id="212428120">
          <w:marLeft w:val="0"/>
          <w:marRight w:val="0"/>
          <w:marTop w:val="0"/>
          <w:marBottom w:val="0"/>
          <w:divBdr>
            <w:top w:val="none" w:sz="0" w:space="0" w:color="auto"/>
            <w:left w:val="none" w:sz="0" w:space="0" w:color="auto"/>
            <w:bottom w:val="none" w:sz="0" w:space="0" w:color="auto"/>
            <w:right w:val="none" w:sz="0" w:space="0" w:color="auto"/>
          </w:divBdr>
        </w:div>
        <w:div w:id="246965377">
          <w:marLeft w:val="0"/>
          <w:marRight w:val="0"/>
          <w:marTop w:val="0"/>
          <w:marBottom w:val="0"/>
          <w:divBdr>
            <w:top w:val="none" w:sz="0" w:space="0" w:color="auto"/>
            <w:left w:val="none" w:sz="0" w:space="0" w:color="auto"/>
            <w:bottom w:val="none" w:sz="0" w:space="0" w:color="auto"/>
            <w:right w:val="none" w:sz="0" w:space="0" w:color="auto"/>
          </w:divBdr>
        </w:div>
        <w:div w:id="252055879">
          <w:marLeft w:val="0"/>
          <w:marRight w:val="0"/>
          <w:marTop w:val="0"/>
          <w:marBottom w:val="0"/>
          <w:divBdr>
            <w:top w:val="none" w:sz="0" w:space="0" w:color="auto"/>
            <w:left w:val="none" w:sz="0" w:space="0" w:color="auto"/>
            <w:bottom w:val="none" w:sz="0" w:space="0" w:color="auto"/>
            <w:right w:val="none" w:sz="0" w:space="0" w:color="auto"/>
          </w:divBdr>
        </w:div>
        <w:div w:id="269824012">
          <w:marLeft w:val="0"/>
          <w:marRight w:val="0"/>
          <w:marTop w:val="0"/>
          <w:marBottom w:val="0"/>
          <w:divBdr>
            <w:top w:val="none" w:sz="0" w:space="0" w:color="auto"/>
            <w:left w:val="none" w:sz="0" w:space="0" w:color="auto"/>
            <w:bottom w:val="none" w:sz="0" w:space="0" w:color="auto"/>
            <w:right w:val="none" w:sz="0" w:space="0" w:color="auto"/>
          </w:divBdr>
        </w:div>
        <w:div w:id="273447169">
          <w:marLeft w:val="0"/>
          <w:marRight w:val="0"/>
          <w:marTop w:val="0"/>
          <w:marBottom w:val="0"/>
          <w:divBdr>
            <w:top w:val="none" w:sz="0" w:space="0" w:color="auto"/>
            <w:left w:val="none" w:sz="0" w:space="0" w:color="auto"/>
            <w:bottom w:val="none" w:sz="0" w:space="0" w:color="auto"/>
            <w:right w:val="none" w:sz="0" w:space="0" w:color="auto"/>
          </w:divBdr>
        </w:div>
        <w:div w:id="273752185">
          <w:marLeft w:val="0"/>
          <w:marRight w:val="0"/>
          <w:marTop w:val="0"/>
          <w:marBottom w:val="0"/>
          <w:divBdr>
            <w:top w:val="none" w:sz="0" w:space="0" w:color="auto"/>
            <w:left w:val="none" w:sz="0" w:space="0" w:color="auto"/>
            <w:bottom w:val="none" w:sz="0" w:space="0" w:color="auto"/>
            <w:right w:val="none" w:sz="0" w:space="0" w:color="auto"/>
          </w:divBdr>
        </w:div>
        <w:div w:id="275986929">
          <w:marLeft w:val="0"/>
          <w:marRight w:val="0"/>
          <w:marTop w:val="0"/>
          <w:marBottom w:val="0"/>
          <w:divBdr>
            <w:top w:val="none" w:sz="0" w:space="0" w:color="auto"/>
            <w:left w:val="none" w:sz="0" w:space="0" w:color="auto"/>
            <w:bottom w:val="none" w:sz="0" w:space="0" w:color="auto"/>
            <w:right w:val="none" w:sz="0" w:space="0" w:color="auto"/>
          </w:divBdr>
        </w:div>
        <w:div w:id="276378139">
          <w:marLeft w:val="0"/>
          <w:marRight w:val="0"/>
          <w:marTop w:val="0"/>
          <w:marBottom w:val="0"/>
          <w:divBdr>
            <w:top w:val="none" w:sz="0" w:space="0" w:color="auto"/>
            <w:left w:val="none" w:sz="0" w:space="0" w:color="auto"/>
            <w:bottom w:val="none" w:sz="0" w:space="0" w:color="auto"/>
            <w:right w:val="none" w:sz="0" w:space="0" w:color="auto"/>
          </w:divBdr>
        </w:div>
        <w:div w:id="281421714">
          <w:marLeft w:val="0"/>
          <w:marRight w:val="0"/>
          <w:marTop w:val="0"/>
          <w:marBottom w:val="0"/>
          <w:divBdr>
            <w:top w:val="none" w:sz="0" w:space="0" w:color="auto"/>
            <w:left w:val="none" w:sz="0" w:space="0" w:color="auto"/>
            <w:bottom w:val="none" w:sz="0" w:space="0" w:color="auto"/>
            <w:right w:val="none" w:sz="0" w:space="0" w:color="auto"/>
          </w:divBdr>
        </w:div>
        <w:div w:id="310402605">
          <w:marLeft w:val="0"/>
          <w:marRight w:val="0"/>
          <w:marTop w:val="0"/>
          <w:marBottom w:val="0"/>
          <w:divBdr>
            <w:top w:val="none" w:sz="0" w:space="0" w:color="auto"/>
            <w:left w:val="none" w:sz="0" w:space="0" w:color="auto"/>
            <w:bottom w:val="none" w:sz="0" w:space="0" w:color="auto"/>
            <w:right w:val="none" w:sz="0" w:space="0" w:color="auto"/>
          </w:divBdr>
        </w:div>
        <w:div w:id="314074066">
          <w:marLeft w:val="0"/>
          <w:marRight w:val="0"/>
          <w:marTop w:val="0"/>
          <w:marBottom w:val="0"/>
          <w:divBdr>
            <w:top w:val="none" w:sz="0" w:space="0" w:color="auto"/>
            <w:left w:val="none" w:sz="0" w:space="0" w:color="auto"/>
            <w:bottom w:val="none" w:sz="0" w:space="0" w:color="auto"/>
            <w:right w:val="none" w:sz="0" w:space="0" w:color="auto"/>
          </w:divBdr>
        </w:div>
        <w:div w:id="320739038">
          <w:marLeft w:val="0"/>
          <w:marRight w:val="0"/>
          <w:marTop w:val="0"/>
          <w:marBottom w:val="0"/>
          <w:divBdr>
            <w:top w:val="none" w:sz="0" w:space="0" w:color="auto"/>
            <w:left w:val="none" w:sz="0" w:space="0" w:color="auto"/>
            <w:bottom w:val="none" w:sz="0" w:space="0" w:color="auto"/>
            <w:right w:val="none" w:sz="0" w:space="0" w:color="auto"/>
          </w:divBdr>
        </w:div>
        <w:div w:id="323969292">
          <w:marLeft w:val="0"/>
          <w:marRight w:val="0"/>
          <w:marTop w:val="0"/>
          <w:marBottom w:val="0"/>
          <w:divBdr>
            <w:top w:val="none" w:sz="0" w:space="0" w:color="auto"/>
            <w:left w:val="none" w:sz="0" w:space="0" w:color="auto"/>
            <w:bottom w:val="none" w:sz="0" w:space="0" w:color="auto"/>
            <w:right w:val="none" w:sz="0" w:space="0" w:color="auto"/>
          </w:divBdr>
        </w:div>
        <w:div w:id="336428288">
          <w:marLeft w:val="0"/>
          <w:marRight w:val="0"/>
          <w:marTop w:val="0"/>
          <w:marBottom w:val="0"/>
          <w:divBdr>
            <w:top w:val="none" w:sz="0" w:space="0" w:color="auto"/>
            <w:left w:val="none" w:sz="0" w:space="0" w:color="auto"/>
            <w:bottom w:val="none" w:sz="0" w:space="0" w:color="auto"/>
            <w:right w:val="none" w:sz="0" w:space="0" w:color="auto"/>
          </w:divBdr>
        </w:div>
        <w:div w:id="341512514">
          <w:marLeft w:val="0"/>
          <w:marRight w:val="0"/>
          <w:marTop w:val="0"/>
          <w:marBottom w:val="0"/>
          <w:divBdr>
            <w:top w:val="none" w:sz="0" w:space="0" w:color="auto"/>
            <w:left w:val="none" w:sz="0" w:space="0" w:color="auto"/>
            <w:bottom w:val="none" w:sz="0" w:space="0" w:color="auto"/>
            <w:right w:val="none" w:sz="0" w:space="0" w:color="auto"/>
          </w:divBdr>
        </w:div>
        <w:div w:id="356006804">
          <w:marLeft w:val="0"/>
          <w:marRight w:val="0"/>
          <w:marTop w:val="0"/>
          <w:marBottom w:val="0"/>
          <w:divBdr>
            <w:top w:val="none" w:sz="0" w:space="0" w:color="auto"/>
            <w:left w:val="none" w:sz="0" w:space="0" w:color="auto"/>
            <w:bottom w:val="none" w:sz="0" w:space="0" w:color="auto"/>
            <w:right w:val="none" w:sz="0" w:space="0" w:color="auto"/>
          </w:divBdr>
        </w:div>
        <w:div w:id="360320245">
          <w:marLeft w:val="0"/>
          <w:marRight w:val="0"/>
          <w:marTop w:val="0"/>
          <w:marBottom w:val="0"/>
          <w:divBdr>
            <w:top w:val="none" w:sz="0" w:space="0" w:color="auto"/>
            <w:left w:val="none" w:sz="0" w:space="0" w:color="auto"/>
            <w:bottom w:val="none" w:sz="0" w:space="0" w:color="auto"/>
            <w:right w:val="none" w:sz="0" w:space="0" w:color="auto"/>
          </w:divBdr>
        </w:div>
        <w:div w:id="367418310">
          <w:marLeft w:val="0"/>
          <w:marRight w:val="0"/>
          <w:marTop w:val="0"/>
          <w:marBottom w:val="0"/>
          <w:divBdr>
            <w:top w:val="none" w:sz="0" w:space="0" w:color="auto"/>
            <w:left w:val="none" w:sz="0" w:space="0" w:color="auto"/>
            <w:bottom w:val="none" w:sz="0" w:space="0" w:color="auto"/>
            <w:right w:val="none" w:sz="0" w:space="0" w:color="auto"/>
          </w:divBdr>
        </w:div>
        <w:div w:id="369309419">
          <w:marLeft w:val="0"/>
          <w:marRight w:val="0"/>
          <w:marTop w:val="0"/>
          <w:marBottom w:val="0"/>
          <w:divBdr>
            <w:top w:val="none" w:sz="0" w:space="0" w:color="auto"/>
            <w:left w:val="none" w:sz="0" w:space="0" w:color="auto"/>
            <w:bottom w:val="none" w:sz="0" w:space="0" w:color="auto"/>
            <w:right w:val="none" w:sz="0" w:space="0" w:color="auto"/>
          </w:divBdr>
        </w:div>
        <w:div w:id="384837690">
          <w:marLeft w:val="0"/>
          <w:marRight w:val="0"/>
          <w:marTop w:val="0"/>
          <w:marBottom w:val="0"/>
          <w:divBdr>
            <w:top w:val="none" w:sz="0" w:space="0" w:color="auto"/>
            <w:left w:val="none" w:sz="0" w:space="0" w:color="auto"/>
            <w:bottom w:val="none" w:sz="0" w:space="0" w:color="auto"/>
            <w:right w:val="none" w:sz="0" w:space="0" w:color="auto"/>
          </w:divBdr>
        </w:div>
        <w:div w:id="385688128">
          <w:marLeft w:val="0"/>
          <w:marRight w:val="0"/>
          <w:marTop w:val="0"/>
          <w:marBottom w:val="0"/>
          <w:divBdr>
            <w:top w:val="none" w:sz="0" w:space="0" w:color="auto"/>
            <w:left w:val="none" w:sz="0" w:space="0" w:color="auto"/>
            <w:bottom w:val="none" w:sz="0" w:space="0" w:color="auto"/>
            <w:right w:val="none" w:sz="0" w:space="0" w:color="auto"/>
          </w:divBdr>
        </w:div>
        <w:div w:id="391268548">
          <w:marLeft w:val="0"/>
          <w:marRight w:val="0"/>
          <w:marTop w:val="0"/>
          <w:marBottom w:val="0"/>
          <w:divBdr>
            <w:top w:val="none" w:sz="0" w:space="0" w:color="auto"/>
            <w:left w:val="none" w:sz="0" w:space="0" w:color="auto"/>
            <w:bottom w:val="none" w:sz="0" w:space="0" w:color="auto"/>
            <w:right w:val="none" w:sz="0" w:space="0" w:color="auto"/>
          </w:divBdr>
        </w:div>
        <w:div w:id="394665699">
          <w:marLeft w:val="0"/>
          <w:marRight w:val="0"/>
          <w:marTop w:val="0"/>
          <w:marBottom w:val="0"/>
          <w:divBdr>
            <w:top w:val="none" w:sz="0" w:space="0" w:color="auto"/>
            <w:left w:val="none" w:sz="0" w:space="0" w:color="auto"/>
            <w:bottom w:val="none" w:sz="0" w:space="0" w:color="auto"/>
            <w:right w:val="none" w:sz="0" w:space="0" w:color="auto"/>
          </w:divBdr>
          <w:divsChild>
            <w:div w:id="84502205">
              <w:marLeft w:val="0"/>
              <w:marRight w:val="0"/>
              <w:marTop w:val="0"/>
              <w:marBottom w:val="0"/>
              <w:divBdr>
                <w:top w:val="none" w:sz="0" w:space="0" w:color="auto"/>
                <w:left w:val="none" w:sz="0" w:space="0" w:color="auto"/>
                <w:bottom w:val="none" w:sz="0" w:space="0" w:color="auto"/>
                <w:right w:val="none" w:sz="0" w:space="0" w:color="auto"/>
              </w:divBdr>
            </w:div>
            <w:div w:id="157187983">
              <w:marLeft w:val="0"/>
              <w:marRight w:val="0"/>
              <w:marTop w:val="0"/>
              <w:marBottom w:val="0"/>
              <w:divBdr>
                <w:top w:val="none" w:sz="0" w:space="0" w:color="auto"/>
                <w:left w:val="none" w:sz="0" w:space="0" w:color="auto"/>
                <w:bottom w:val="none" w:sz="0" w:space="0" w:color="auto"/>
                <w:right w:val="none" w:sz="0" w:space="0" w:color="auto"/>
              </w:divBdr>
            </w:div>
            <w:div w:id="179272674">
              <w:marLeft w:val="0"/>
              <w:marRight w:val="0"/>
              <w:marTop w:val="0"/>
              <w:marBottom w:val="0"/>
              <w:divBdr>
                <w:top w:val="none" w:sz="0" w:space="0" w:color="auto"/>
                <w:left w:val="none" w:sz="0" w:space="0" w:color="auto"/>
                <w:bottom w:val="none" w:sz="0" w:space="0" w:color="auto"/>
                <w:right w:val="none" w:sz="0" w:space="0" w:color="auto"/>
              </w:divBdr>
            </w:div>
            <w:div w:id="268390551">
              <w:marLeft w:val="0"/>
              <w:marRight w:val="0"/>
              <w:marTop w:val="0"/>
              <w:marBottom w:val="0"/>
              <w:divBdr>
                <w:top w:val="none" w:sz="0" w:space="0" w:color="auto"/>
                <w:left w:val="none" w:sz="0" w:space="0" w:color="auto"/>
                <w:bottom w:val="none" w:sz="0" w:space="0" w:color="auto"/>
                <w:right w:val="none" w:sz="0" w:space="0" w:color="auto"/>
              </w:divBdr>
            </w:div>
            <w:div w:id="513109027">
              <w:marLeft w:val="0"/>
              <w:marRight w:val="0"/>
              <w:marTop w:val="0"/>
              <w:marBottom w:val="0"/>
              <w:divBdr>
                <w:top w:val="none" w:sz="0" w:space="0" w:color="auto"/>
                <w:left w:val="none" w:sz="0" w:space="0" w:color="auto"/>
                <w:bottom w:val="none" w:sz="0" w:space="0" w:color="auto"/>
                <w:right w:val="none" w:sz="0" w:space="0" w:color="auto"/>
              </w:divBdr>
            </w:div>
            <w:div w:id="736706366">
              <w:marLeft w:val="0"/>
              <w:marRight w:val="0"/>
              <w:marTop w:val="0"/>
              <w:marBottom w:val="0"/>
              <w:divBdr>
                <w:top w:val="none" w:sz="0" w:space="0" w:color="auto"/>
                <w:left w:val="none" w:sz="0" w:space="0" w:color="auto"/>
                <w:bottom w:val="none" w:sz="0" w:space="0" w:color="auto"/>
                <w:right w:val="none" w:sz="0" w:space="0" w:color="auto"/>
              </w:divBdr>
            </w:div>
            <w:div w:id="785930904">
              <w:marLeft w:val="0"/>
              <w:marRight w:val="0"/>
              <w:marTop w:val="0"/>
              <w:marBottom w:val="0"/>
              <w:divBdr>
                <w:top w:val="none" w:sz="0" w:space="0" w:color="auto"/>
                <w:left w:val="none" w:sz="0" w:space="0" w:color="auto"/>
                <w:bottom w:val="none" w:sz="0" w:space="0" w:color="auto"/>
                <w:right w:val="none" w:sz="0" w:space="0" w:color="auto"/>
              </w:divBdr>
            </w:div>
            <w:div w:id="798954008">
              <w:marLeft w:val="0"/>
              <w:marRight w:val="0"/>
              <w:marTop w:val="0"/>
              <w:marBottom w:val="0"/>
              <w:divBdr>
                <w:top w:val="none" w:sz="0" w:space="0" w:color="auto"/>
                <w:left w:val="none" w:sz="0" w:space="0" w:color="auto"/>
                <w:bottom w:val="none" w:sz="0" w:space="0" w:color="auto"/>
                <w:right w:val="none" w:sz="0" w:space="0" w:color="auto"/>
              </w:divBdr>
            </w:div>
            <w:div w:id="825585790">
              <w:marLeft w:val="0"/>
              <w:marRight w:val="0"/>
              <w:marTop w:val="0"/>
              <w:marBottom w:val="0"/>
              <w:divBdr>
                <w:top w:val="none" w:sz="0" w:space="0" w:color="auto"/>
                <w:left w:val="none" w:sz="0" w:space="0" w:color="auto"/>
                <w:bottom w:val="none" w:sz="0" w:space="0" w:color="auto"/>
                <w:right w:val="none" w:sz="0" w:space="0" w:color="auto"/>
              </w:divBdr>
            </w:div>
            <w:div w:id="843544625">
              <w:marLeft w:val="0"/>
              <w:marRight w:val="0"/>
              <w:marTop w:val="0"/>
              <w:marBottom w:val="0"/>
              <w:divBdr>
                <w:top w:val="none" w:sz="0" w:space="0" w:color="auto"/>
                <w:left w:val="none" w:sz="0" w:space="0" w:color="auto"/>
                <w:bottom w:val="none" w:sz="0" w:space="0" w:color="auto"/>
                <w:right w:val="none" w:sz="0" w:space="0" w:color="auto"/>
              </w:divBdr>
            </w:div>
            <w:div w:id="1097944785">
              <w:marLeft w:val="0"/>
              <w:marRight w:val="0"/>
              <w:marTop w:val="0"/>
              <w:marBottom w:val="0"/>
              <w:divBdr>
                <w:top w:val="none" w:sz="0" w:space="0" w:color="auto"/>
                <w:left w:val="none" w:sz="0" w:space="0" w:color="auto"/>
                <w:bottom w:val="none" w:sz="0" w:space="0" w:color="auto"/>
                <w:right w:val="none" w:sz="0" w:space="0" w:color="auto"/>
              </w:divBdr>
            </w:div>
            <w:div w:id="1177692839">
              <w:marLeft w:val="0"/>
              <w:marRight w:val="0"/>
              <w:marTop w:val="0"/>
              <w:marBottom w:val="0"/>
              <w:divBdr>
                <w:top w:val="none" w:sz="0" w:space="0" w:color="auto"/>
                <w:left w:val="none" w:sz="0" w:space="0" w:color="auto"/>
                <w:bottom w:val="none" w:sz="0" w:space="0" w:color="auto"/>
                <w:right w:val="none" w:sz="0" w:space="0" w:color="auto"/>
              </w:divBdr>
            </w:div>
            <w:div w:id="1185754284">
              <w:marLeft w:val="0"/>
              <w:marRight w:val="0"/>
              <w:marTop w:val="0"/>
              <w:marBottom w:val="0"/>
              <w:divBdr>
                <w:top w:val="none" w:sz="0" w:space="0" w:color="auto"/>
                <w:left w:val="none" w:sz="0" w:space="0" w:color="auto"/>
                <w:bottom w:val="none" w:sz="0" w:space="0" w:color="auto"/>
                <w:right w:val="none" w:sz="0" w:space="0" w:color="auto"/>
              </w:divBdr>
            </w:div>
            <w:div w:id="1192762086">
              <w:marLeft w:val="0"/>
              <w:marRight w:val="0"/>
              <w:marTop w:val="0"/>
              <w:marBottom w:val="0"/>
              <w:divBdr>
                <w:top w:val="none" w:sz="0" w:space="0" w:color="auto"/>
                <w:left w:val="none" w:sz="0" w:space="0" w:color="auto"/>
                <w:bottom w:val="none" w:sz="0" w:space="0" w:color="auto"/>
                <w:right w:val="none" w:sz="0" w:space="0" w:color="auto"/>
              </w:divBdr>
            </w:div>
            <w:div w:id="1216694881">
              <w:marLeft w:val="0"/>
              <w:marRight w:val="0"/>
              <w:marTop w:val="0"/>
              <w:marBottom w:val="0"/>
              <w:divBdr>
                <w:top w:val="none" w:sz="0" w:space="0" w:color="auto"/>
                <w:left w:val="none" w:sz="0" w:space="0" w:color="auto"/>
                <w:bottom w:val="none" w:sz="0" w:space="0" w:color="auto"/>
                <w:right w:val="none" w:sz="0" w:space="0" w:color="auto"/>
              </w:divBdr>
            </w:div>
            <w:div w:id="1312246511">
              <w:marLeft w:val="0"/>
              <w:marRight w:val="0"/>
              <w:marTop w:val="0"/>
              <w:marBottom w:val="0"/>
              <w:divBdr>
                <w:top w:val="none" w:sz="0" w:space="0" w:color="auto"/>
                <w:left w:val="none" w:sz="0" w:space="0" w:color="auto"/>
                <w:bottom w:val="none" w:sz="0" w:space="0" w:color="auto"/>
                <w:right w:val="none" w:sz="0" w:space="0" w:color="auto"/>
              </w:divBdr>
            </w:div>
            <w:div w:id="1343363514">
              <w:marLeft w:val="0"/>
              <w:marRight w:val="0"/>
              <w:marTop w:val="0"/>
              <w:marBottom w:val="0"/>
              <w:divBdr>
                <w:top w:val="none" w:sz="0" w:space="0" w:color="auto"/>
                <w:left w:val="none" w:sz="0" w:space="0" w:color="auto"/>
                <w:bottom w:val="none" w:sz="0" w:space="0" w:color="auto"/>
                <w:right w:val="none" w:sz="0" w:space="0" w:color="auto"/>
              </w:divBdr>
            </w:div>
            <w:div w:id="1480076576">
              <w:marLeft w:val="0"/>
              <w:marRight w:val="0"/>
              <w:marTop w:val="0"/>
              <w:marBottom w:val="0"/>
              <w:divBdr>
                <w:top w:val="none" w:sz="0" w:space="0" w:color="auto"/>
                <w:left w:val="none" w:sz="0" w:space="0" w:color="auto"/>
                <w:bottom w:val="none" w:sz="0" w:space="0" w:color="auto"/>
                <w:right w:val="none" w:sz="0" w:space="0" w:color="auto"/>
              </w:divBdr>
            </w:div>
            <w:div w:id="1523058235">
              <w:marLeft w:val="0"/>
              <w:marRight w:val="0"/>
              <w:marTop w:val="0"/>
              <w:marBottom w:val="0"/>
              <w:divBdr>
                <w:top w:val="none" w:sz="0" w:space="0" w:color="auto"/>
                <w:left w:val="none" w:sz="0" w:space="0" w:color="auto"/>
                <w:bottom w:val="none" w:sz="0" w:space="0" w:color="auto"/>
                <w:right w:val="none" w:sz="0" w:space="0" w:color="auto"/>
              </w:divBdr>
            </w:div>
            <w:div w:id="1757049242">
              <w:marLeft w:val="0"/>
              <w:marRight w:val="0"/>
              <w:marTop w:val="0"/>
              <w:marBottom w:val="0"/>
              <w:divBdr>
                <w:top w:val="none" w:sz="0" w:space="0" w:color="auto"/>
                <w:left w:val="none" w:sz="0" w:space="0" w:color="auto"/>
                <w:bottom w:val="none" w:sz="0" w:space="0" w:color="auto"/>
                <w:right w:val="none" w:sz="0" w:space="0" w:color="auto"/>
              </w:divBdr>
            </w:div>
          </w:divsChild>
        </w:div>
        <w:div w:id="413010660">
          <w:marLeft w:val="0"/>
          <w:marRight w:val="0"/>
          <w:marTop w:val="0"/>
          <w:marBottom w:val="0"/>
          <w:divBdr>
            <w:top w:val="none" w:sz="0" w:space="0" w:color="auto"/>
            <w:left w:val="none" w:sz="0" w:space="0" w:color="auto"/>
            <w:bottom w:val="none" w:sz="0" w:space="0" w:color="auto"/>
            <w:right w:val="none" w:sz="0" w:space="0" w:color="auto"/>
          </w:divBdr>
        </w:div>
        <w:div w:id="415051891">
          <w:marLeft w:val="0"/>
          <w:marRight w:val="0"/>
          <w:marTop w:val="0"/>
          <w:marBottom w:val="0"/>
          <w:divBdr>
            <w:top w:val="none" w:sz="0" w:space="0" w:color="auto"/>
            <w:left w:val="none" w:sz="0" w:space="0" w:color="auto"/>
            <w:bottom w:val="none" w:sz="0" w:space="0" w:color="auto"/>
            <w:right w:val="none" w:sz="0" w:space="0" w:color="auto"/>
          </w:divBdr>
        </w:div>
        <w:div w:id="423691028">
          <w:marLeft w:val="0"/>
          <w:marRight w:val="0"/>
          <w:marTop w:val="0"/>
          <w:marBottom w:val="0"/>
          <w:divBdr>
            <w:top w:val="none" w:sz="0" w:space="0" w:color="auto"/>
            <w:left w:val="none" w:sz="0" w:space="0" w:color="auto"/>
            <w:bottom w:val="none" w:sz="0" w:space="0" w:color="auto"/>
            <w:right w:val="none" w:sz="0" w:space="0" w:color="auto"/>
          </w:divBdr>
        </w:div>
        <w:div w:id="431557727">
          <w:marLeft w:val="0"/>
          <w:marRight w:val="0"/>
          <w:marTop w:val="0"/>
          <w:marBottom w:val="0"/>
          <w:divBdr>
            <w:top w:val="none" w:sz="0" w:space="0" w:color="auto"/>
            <w:left w:val="none" w:sz="0" w:space="0" w:color="auto"/>
            <w:bottom w:val="none" w:sz="0" w:space="0" w:color="auto"/>
            <w:right w:val="none" w:sz="0" w:space="0" w:color="auto"/>
          </w:divBdr>
        </w:div>
        <w:div w:id="452095112">
          <w:marLeft w:val="0"/>
          <w:marRight w:val="0"/>
          <w:marTop w:val="0"/>
          <w:marBottom w:val="0"/>
          <w:divBdr>
            <w:top w:val="none" w:sz="0" w:space="0" w:color="auto"/>
            <w:left w:val="none" w:sz="0" w:space="0" w:color="auto"/>
            <w:bottom w:val="none" w:sz="0" w:space="0" w:color="auto"/>
            <w:right w:val="none" w:sz="0" w:space="0" w:color="auto"/>
          </w:divBdr>
        </w:div>
        <w:div w:id="457842505">
          <w:marLeft w:val="0"/>
          <w:marRight w:val="0"/>
          <w:marTop w:val="0"/>
          <w:marBottom w:val="0"/>
          <w:divBdr>
            <w:top w:val="none" w:sz="0" w:space="0" w:color="auto"/>
            <w:left w:val="none" w:sz="0" w:space="0" w:color="auto"/>
            <w:bottom w:val="none" w:sz="0" w:space="0" w:color="auto"/>
            <w:right w:val="none" w:sz="0" w:space="0" w:color="auto"/>
          </w:divBdr>
        </w:div>
        <w:div w:id="471138874">
          <w:marLeft w:val="0"/>
          <w:marRight w:val="0"/>
          <w:marTop w:val="0"/>
          <w:marBottom w:val="0"/>
          <w:divBdr>
            <w:top w:val="none" w:sz="0" w:space="0" w:color="auto"/>
            <w:left w:val="none" w:sz="0" w:space="0" w:color="auto"/>
            <w:bottom w:val="none" w:sz="0" w:space="0" w:color="auto"/>
            <w:right w:val="none" w:sz="0" w:space="0" w:color="auto"/>
          </w:divBdr>
        </w:div>
        <w:div w:id="480733173">
          <w:marLeft w:val="0"/>
          <w:marRight w:val="0"/>
          <w:marTop w:val="0"/>
          <w:marBottom w:val="0"/>
          <w:divBdr>
            <w:top w:val="none" w:sz="0" w:space="0" w:color="auto"/>
            <w:left w:val="none" w:sz="0" w:space="0" w:color="auto"/>
            <w:bottom w:val="none" w:sz="0" w:space="0" w:color="auto"/>
            <w:right w:val="none" w:sz="0" w:space="0" w:color="auto"/>
          </w:divBdr>
        </w:div>
        <w:div w:id="486482495">
          <w:marLeft w:val="0"/>
          <w:marRight w:val="0"/>
          <w:marTop w:val="0"/>
          <w:marBottom w:val="0"/>
          <w:divBdr>
            <w:top w:val="none" w:sz="0" w:space="0" w:color="auto"/>
            <w:left w:val="none" w:sz="0" w:space="0" w:color="auto"/>
            <w:bottom w:val="none" w:sz="0" w:space="0" w:color="auto"/>
            <w:right w:val="none" w:sz="0" w:space="0" w:color="auto"/>
          </w:divBdr>
        </w:div>
        <w:div w:id="493841048">
          <w:marLeft w:val="0"/>
          <w:marRight w:val="0"/>
          <w:marTop w:val="0"/>
          <w:marBottom w:val="0"/>
          <w:divBdr>
            <w:top w:val="none" w:sz="0" w:space="0" w:color="auto"/>
            <w:left w:val="none" w:sz="0" w:space="0" w:color="auto"/>
            <w:bottom w:val="none" w:sz="0" w:space="0" w:color="auto"/>
            <w:right w:val="none" w:sz="0" w:space="0" w:color="auto"/>
          </w:divBdr>
          <w:divsChild>
            <w:div w:id="169226026">
              <w:marLeft w:val="0"/>
              <w:marRight w:val="0"/>
              <w:marTop w:val="0"/>
              <w:marBottom w:val="0"/>
              <w:divBdr>
                <w:top w:val="none" w:sz="0" w:space="0" w:color="auto"/>
                <w:left w:val="none" w:sz="0" w:space="0" w:color="auto"/>
                <w:bottom w:val="none" w:sz="0" w:space="0" w:color="auto"/>
                <w:right w:val="none" w:sz="0" w:space="0" w:color="auto"/>
              </w:divBdr>
            </w:div>
            <w:div w:id="275672503">
              <w:marLeft w:val="0"/>
              <w:marRight w:val="0"/>
              <w:marTop w:val="0"/>
              <w:marBottom w:val="0"/>
              <w:divBdr>
                <w:top w:val="none" w:sz="0" w:space="0" w:color="auto"/>
                <w:left w:val="none" w:sz="0" w:space="0" w:color="auto"/>
                <w:bottom w:val="none" w:sz="0" w:space="0" w:color="auto"/>
                <w:right w:val="none" w:sz="0" w:space="0" w:color="auto"/>
              </w:divBdr>
            </w:div>
            <w:div w:id="370573145">
              <w:marLeft w:val="0"/>
              <w:marRight w:val="0"/>
              <w:marTop w:val="0"/>
              <w:marBottom w:val="0"/>
              <w:divBdr>
                <w:top w:val="none" w:sz="0" w:space="0" w:color="auto"/>
                <w:left w:val="none" w:sz="0" w:space="0" w:color="auto"/>
                <w:bottom w:val="none" w:sz="0" w:space="0" w:color="auto"/>
                <w:right w:val="none" w:sz="0" w:space="0" w:color="auto"/>
              </w:divBdr>
            </w:div>
            <w:div w:id="900823441">
              <w:marLeft w:val="0"/>
              <w:marRight w:val="0"/>
              <w:marTop w:val="0"/>
              <w:marBottom w:val="0"/>
              <w:divBdr>
                <w:top w:val="none" w:sz="0" w:space="0" w:color="auto"/>
                <w:left w:val="none" w:sz="0" w:space="0" w:color="auto"/>
                <w:bottom w:val="none" w:sz="0" w:space="0" w:color="auto"/>
                <w:right w:val="none" w:sz="0" w:space="0" w:color="auto"/>
              </w:divBdr>
            </w:div>
            <w:div w:id="942300175">
              <w:marLeft w:val="0"/>
              <w:marRight w:val="0"/>
              <w:marTop w:val="0"/>
              <w:marBottom w:val="0"/>
              <w:divBdr>
                <w:top w:val="none" w:sz="0" w:space="0" w:color="auto"/>
                <w:left w:val="none" w:sz="0" w:space="0" w:color="auto"/>
                <w:bottom w:val="none" w:sz="0" w:space="0" w:color="auto"/>
                <w:right w:val="none" w:sz="0" w:space="0" w:color="auto"/>
              </w:divBdr>
            </w:div>
            <w:div w:id="1123304958">
              <w:marLeft w:val="0"/>
              <w:marRight w:val="0"/>
              <w:marTop w:val="0"/>
              <w:marBottom w:val="0"/>
              <w:divBdr>
                <w:top w:val="none" w:sz="0" w:space="0" w:color="auto"/>
                <w:left w:val="none" w:sz="0" w:space="0" w:color="auto"/>
                <w:bottom w:val="none" w:sz="0" w:space="0" w:color="auto"/>
                <w:right w:val="none" w:sz="0" w:space="0" w:color="auto"/>
              </w:divBdr>
            </w:div>
            <w:div w:id="1165436309">
              <w:marLeft w:val="0"/>
              <w:marRight w:val="0"/>
              <w:marTop w:val="0"/>
              <w:marBottom w:val="0"/>
              <w:divBdr>
                <w:top w:val="none" w:sz="0" w:space="0" w:color="auto"/>
                <w:left w:val="none" w:sz="0" w:space="0" w:color="auto"/>
                <w:bottom w:val="none" w:sz="0" w:space="0" w:color="auto"/>
                <w:right w:val="none" w:sz="0" w:space="0" w:color="auto"/>
              </w:divBdr>
            </w:div>
            <w:div w:id="1272469766">
              <w:marLeft w:val="0"/>
              <w:marRight w:val="0"/>
              <w:marTop w:val="0"/>
              <w:marBottom w:val="0"/>
              <w:divBdr>
                <w:top w:val="none" w:sz="0" w:space="0" w:color="auto"/>
                <w:left w:val="none" w:sz="0" w:space="0" w:color="auto"/>
                <w:bottom w:val="none" w:sz="0" w:space="0" w:color="auto"/>
                <w:right w:val="none" w:sz="0" w:space="0" w:color="auto"/>
              </w:divBdr>
            </w:div>
            <w:div w:id="1387678848">
              <w:marLeft w:val="0"/>
              <w:marRight w:val="0"/>
              <w:marTop w:val="0"/>
              <w:marBottom w:val="0"/>
              <w:divBdr>
                <w:top w:val="none" w:sz="0" w:space="0" w:color="auto"/>
                <w:left w:val="none" w:sz="0" w:space="0" w:color="auto"/>
                <w:bottom w:val="none" w:sz="0" w:space="0" w:color="auto"/>
                <w:right w:val="none" w:sz="0" w:space="0" w:color="auto"/>
              </w:divBdr>
            </w:div>
            <w:div w:id="1469202522">
              <w:marLeft w:val="0"/>
              <w:marRight w:val="0"/>
              <w:marTop w:val="0"/>
              <w:marBottom w:val="0"/>
              <w:divBdr>
                <w:top w:val="none" w:sz="0" w:space="0" w:color="auto"/>
                <w:left w:val="none" w:sz="0" w:space="0" w:color="auto"/>
                <w:bottom w:val="none" w:sz="0" w:space="0" w:color="auto"/>
                <w:right w:val="none" w:sz="0" w:space="0" w:color="auto"/>
              </w:divBdr>
            </w:div>
            <w:div w:id="1488739621">
              <w:marLeft w:val="0"/>
              <w:marRight w:val="0"/>
              <w:marTop w:val="0"/>
              <w:marBottom w:val="0"/>
              <w:divBdr>
                <w:top w:val="none" w:sz="0" w:space="0" w:color="auto"/>
                <w:left w:val="none" w:sz="0" w:space="0" w:color="auto"/>
                <w:bottom w:val="none" w:sz="0" w:space="0" w:color="auto"/>
                <w:right w:val="none" w:sz="0" w:space="0" w:color="auto"/>
              </w:divBdr>
            </w:div>
            <w:div w:id="1596132359">
              <w:marLeft w:val="0"/>
              <w:marRight w:val="0"/>
              <w:marTop w:val="0"/>
              <w:marBottom w:val="0"/>
              <w:divBdr>
                <w:top w:val="none" w:sz="0" w:space="0" w:color="auto"/>
                <w:left w:val="none" w:sz="0" w:space="0" w:color="auto"/>
                <w:bottom w:val="none" w:sz="0" w:space="0" w:color="auto"/>
                <w:right w:val="none" w:sz="0" w:space="0" w:color="auto"/>
              </w:divBdr>
            </w:div>
            <w:div w:id="1616980999">
              <w:marLeft w:val="0"/>
              <w:marRight w:val="0"/>
              <w:marTop w:val="0"/>
              <w:marBottom w:val="0"/>
              <w:divBdr>
                <w:top w:val="none" w:sz="0" w:space="0" w:color="auto"/>
                <w:left w:val="none" w:sz="0" w:space="0" w:color="auto"/>
                <w:bottom w:val="none" w:sz="0" w:space="0" w:color="auto"/>
                <w:right w:val="none" w:sz="0" w:space="0" w:color="auto"/>
              </w:divBdr>
            </w:div>
            <w:div w:id="1668941097">
              <w:marLeft w:val="0"/>
              <w:marRight w:val="0"/>
              <w:marTop w:val="0"/>
              <w:marBottom w:val="0"/>
              <w:divBdr>
                <w:top w:val="none" w:sz="0" w:space="0" w:color="auto"/>
                <w:left w:val="none" w:sz="0" w:space="0" w:color="auto"/>
                <w:bottom w:val="none" w:sz="0" w:space="0" w:color="auto"/>
                <w:right w:val="none" w:sz="0" w:space="0" w:color="auto"/>
              </w:divBdr>
            </w:div>
            <w:div w:id="1707751686">
              <w:marLeft w:val="0"/>
              <w:marRight w:val="0"/>
              <w:marTop w:val="0"/>
              <w:marBottom w:val="0"/>
              <w:divBdr>
                <w:top w:val="none" w:sz="0" w:space="0" w:color="auto"/>
                <w:left w:val="none" w:sz="0" w:space="0" w:color="auto"/>
                <w:bottom w:val="none" w:sz="0" w:space="0" w:color="auto"/>
                <w:right w:val="none" w:sz="0" w:space="0" w:color="auto"/>
              </w:divBdr>
            </w:div>
            <w:div w:id="1710564463">
              <w:marLeft w:val="0"/>
              <w:marRight w:val="0"/>
              <w:marTop w:val="0"/>
              <w:marBottom w:val="0"/>
              <w:divBdr>
                <w:top w:val="none" w:sz="0" w:space="0" w:color="auto"/>
                <w:left w:val="none" w:sz="0" w:space="0" w:color="auto"/>
                <w:bottom w:val="none" w:sz="0" w:space="0" w:color="auto"/>
                <w:right w:val="none" w:sz="0" w:space="0" w:color="auto"/>
              </w:divBdr>
            </w:div>
            <w:div w:id="1778790873">
              <w:marLeft w:val="0"/>
              <w:marRight w:val="0"/>
              <w:marTop w:val="0"/>
              <w:marBottom w:val="0"/>
              <w:divBdr>
                <w:top w:val="none" w:sz="0" w:space="0" w:color="auto"/>
                <w:left w:val="none" w:sz="0" w:space="0" w:color="auto"/>
                <w:bottom w:val="none" w:sz="0" w:space="0" w:color="auto"/>
                <w:right w:val="none" w:sz="0" w:space="0" w:color="auto"/>
              </w:divBdr>
            </w:div>
            <w:div w:id="1794057625">
              <w:marLeft w:val="0"/>
              <w:marRight w:val="0"/>
              <w:marTop w:val="0"/>
              <w:marBottom w:val="0"/>
              <w:divBdr>
                <w:top w:val="none" w:sz="0" w:space="0" w:color="auto"/>
                <w:left w:val="none" w:sz="0" w:space="0" w:color="auto"/>
                <w:bottom w:val="none" w:sz="0" w:space="0" w:color="auto"/>
                <w:right w:val="none" w:sz="0" w:space="0" w:color="auto"/>
              </w:divBdr>
            </w:div>
            <w:div w:id="1841004261">
              <w:marLeft w:val="0"/>
              <w:marRight w:val="0"/>
              <w:marTop w:val="0"/>
              <w:marBottom w:val="0"/>
              <w:divBdr>
                <w:top w:val="none" w:sz="0" w:space="0" w:color="auto"/>
                <w:left w:val="none" w:sz="0" w:space="0" w:color="auto"/>
                <w:bottom w:val="none" w:sz="0" w:space="0" w:color="auto"/>
                <w:right w:val="none" w:sz="0" w:space="0" w:color="auto"/>
              </w:divBdr>
            </w:div>
            <w:div w:id="1851673291">
              <w:marLeft w:val="0"/>
              <w:marRight w:val="0"/>
              <w:marTop w:val="0"/>
              <w:marBottom w:val="0"/>
              <w:divBdr>
                <w:top w:val="none" w:sz="0" w:space="0" w:color="auto"/>
                <w:left w:val="none" w:sz="0" w:space="0" w:color="auto"/>
                <w:bottom w:val="none" w:sz="0" w:space="0" w:color="auto"/>
                <w:right w:val="none" w:sz="0" w:space="0" w:color="auto"/>
              </w:divBdr>
            </w:div>
          </w:divsChild>
        </w:div>
        <w:div w:id="494688851">
          <w:marLeft w:val="0"/>
          <w:marRight w:val="0"/>
          <w:marTop w:val="0"/>
          <w:marBottom w:val="0"/>
          <w:divBdr>
            <w:top w:val="none" w:sz="0" w:space="0" w:color="auto"/>
            <w:left w:val="none" w:sz="0" w:space="0" w:color="auto"/>
            <w:bottom w:val="none" w:sz="0" w:space="0" w:color="auto"/>
            <w:right w:val="none" w:sz="0" w:space="0" w:color="auto"/>
          </w:divBdr>
        </w:div>
        <w:div w:id="494732579">
          <w:marLeft w:val="0"/>
          <w:marRight w:val="0"/>
          <w:marTop w:val="0"/>
          <w:marBottom w:val="0"/>
          <w:divBdr>
            <w:top w:val="none" w:sz="0" w:space="0" w:color="auto"/>
            <w:left w:val="none" w:sz="0" w:space="0" w:color="auto"/>
            <w:bottom w:val="none" w:sz="0" w:space="0" w:color="auto"/>
            <w:right w:val="none" w:sz="0" w:space="0" w:color="auto"/>
          </w:divBdr>
        </w:div>
        <w:div w:id="510264991">
          <w:marLeft w:val="0"/>
          <w:marRight w:val="0"/>
          <w:marTop w:val="0"/>
          <w:marBottom w:val="0"/>
          <w:divBdr>
            <w:top w:val="none" w:sz="0" w:space="0" w:color="auto"/>
            <w:left w:val="none" w:sz="0" w:space="0" w:color="auto"/>
            <w:bottom w:val="none" w:sz="0" w:space="0" w:color="auto"/>
            <w:right w:val="none" w:sz="0" w:space="0" w:color="auto"/>
          </w:divBdr>
        </w:div>
        <w:div w:id="523134212">
          <w:marLeft w:val="0"/>
          <w:marRight w:val="0"/>
          <w:marTop w:val="0"/>
          <w:marBottom w:val="0"/>
          <w:divBdr>
            <w:top w:val="none" w:sz="0" w:space="0" w:color="auto"/>
            <w:left w:val="none" w:sz="0" w:space="0" w:color="auto"/>
            <w:bottom w:val="none" w:sz="0" w:space="0" w:color="auto"/>
            <w:right w:val="none" w:sz="0" w:space="0" w:color="auto"/>
          </w:divBdr>
        </w:div>
        <w:div w:id="538128397">
          <w:marLeft w:val="0"/>
          <w:marRight w:val="0"/>
          <w:marTop w:val="0"/>
          <w:marBottom w:val="0"/>
          <w:divBdr>
            <w:top w:val="none" w:sz="0" w:space="0" w:color="auto"/>
            <w:left w:val="none" w:sz="0" w:space="0" w:color="auto"/>
            <w:bottom w:val="none" w:sz="0" w:space="0" w:color="auto"/>
            <w:right w:val="none" w:sz="0" w:space="0" w:color="auto"/>
          </w:divBdr>
        </w:div>
        <w:div w:id="541405244">
          <w:marLeft w:val="0"/>
          <w:marRight w:val="0"/>
          <w:marTop w:val="0"/>
          <w:marBottom w:val="0"/>
          <w:divBdr>
            <w:top w:val="none" w:sz="0" w:space="0" w:color="auto"/>
            <w:left w:val="none" w:sz="0" w:space="0" w:color="auto"/>
            <w:bottom w:val="none" w:sz="0" w:space="0" w:color="auto"/>
            <w:right w:val="none" w:sz="0" w:space="0" w:color="auto"/>
          </w:divBdr>
        </w:div>
        <w:div w:id="547179804">
          <w:marLeft w:val="0"/>
          <w:marRight w:val="0"/>
          <w:marTop w:val="0"/>
          <w:marBottom w:val="0"/>
          <w:divBdr>
            <w:top w:val="none" w:sz="0" w:space="0" w:color="auto"/>
            <w:left w:val="none" w:sz="0" w:space="0" w:color="auto"/>
            <w:bottom w:val="none" w:sz="0" w:space="0" w:color="auto"/>
            <w:right w:val="none" w:sz="0" w:space="0" w:color="auto"/>
          </w:divBdr>
        </w:div>
        <w:div w:id="563033449">
          <w:marLeft w:val="0"/>
          <w:marRight w:val="0"/>
          <w:marTop w:val="0"/>
          <w:marBottom w:val="0"/>
          <w:divBdr>
            <w:top w:val="none" w:sz="0" w:space="0" w:color="auto"/>
            <w:left w:val="none" w:sz="0" w:space="0" w:color="auto"/>
            <w:bottom w:val="none" w:sz="0" w:space="0" w:color="auto"/>
            <w:right w:val="none" w:sz="0" w:space="0" w:color="auto"/>
          </w:divBdr>
        </w:div>
        <w:div w:id="567569255">
          <w:marLeft w:val="0"/>
          <w:marRight w:val="0"/>
          <w:marTop w:val="0"/>
          <w:marBottom w:val="0"/>
          <w:divBdr>
            <w:top w:val="none" w:sz="0" w:space="0" w:color="auto"/>
            <w:left w:val="none" w:sz="0" w:space="0" w:color="auto"/>
            <w:bottom w:val="none" w:sz="0" w:space="0" w:color="auto"/>
            <w:right w:val="none" w:sz="0" w:space="0" w:color="auto"/>
          </w:divBdr>
        </w:div>
        <w:div w:id="571165340">
          <w:marLeft w:val="0"/>
          <w:marRight w:val="0"/>
          <w:marTop w:val="0"/>
          <w:marBottom w:val="0"/>
          <w:divBdr>
            <w:top w:val="none" w:sz="0" w:space="0" w:color="auto"/>
            <w:left w:val="none" w:sz="0" w:space="0" w:color="auto"/>
            <w:bottom w:val="none" w:sz="0" w:space="0" w:color="auto"/>
            <w:right w:val="none" w:sz="0" w:space="0" w:color="auto"/>
          </w:divBdr>
        </w:div>
        <w:div w:id="583495789">
          <w:marLeft w:val="0"/>
          <w:marRight w:val="0"/>
          <w:marTop w:val="0"/>
          <w:marBottom w:val="0"/>
          <w:divBdr>
            <w:top w:val="none" w:sz="0" w:space="0" w:color="auto"/>
            <w:left w:val="none" w:sz="0" w:space="0" w:color="auto"/>
            <w:bottom w:val="none" w:sz="0" w:space="0" w:color="auto"/>
            <w:right w:val="none" w:sz="0" w:space="0" w:color="auto"/>
          </w:divBdr>
        </w:div>
        <w:div w:id="583606717">
          <w:marLeft w:val="0"/>
          <w:marRight w:val="0"/>
          <w:marTop w:val="0"/>
          <w:marBottom w:val="0"/>
          <w:divBdr>
            <w:top w:val="none" w:sz="0" w:space="0" w:color="auto"/>
            <w:left w:val="none" w:sz="0" w:space="0" w:color="auto"/>
            <w:bottom w:val="none" w:sz="0" w:space="0" w:color="auto"/>
            <w:right w:val="none" w:sz="0" w:space="0" w:color="auto"/>
          </w:divBdr>
        </w:div>
        <w:div w:id="586689757">
          <w:marLeft w:val="0"/>
          <w:marRight w:val="0"/>
          <w:marTop w:val="0"/>
          <w:marBottom w:val="0"/>
          <w:divBdr>
            <w:top w:val="none" w:sz="0" w:space="0" w:color="auto"/>
            <w:left w:val="none" w:sz="0" w:space="0" w:color="auto"/>
            <w:bottom w:val="none" w:sz="0" w:space="0" w:color="auto"/>
            <w:right w:val="none" w:sz="0" w:space="0" w:color="auto"/>
          </w:divBdr>
        </w:div>
        <w:div w:id="597983111">
          <w:marLeft w:val="0"/>
          <w:marRight w:val="0"/>
          <w:marTop w:val="0"/>
          <w:marBottom w:val="0"/>
          <w:divBdr>
            <w:top w:val="none" w:sz="0" w:space="0" w:color="auto"/>
            <w:left w:val="none" w:sz="0" w:space="0" w:color="auto"/>
            <w:bottom w:val="none" w:sz="0" w:space="0" w:color="auto"/>
            <w:right w:val="none" w:sz="0" w:space="0" w:color="auto"/>
          </w:divBdr>
        </w:div>
        <w:div w:id="611940775">
          <w:marLeft w:val="0"/>
          <w:marRight w:val="0"/>
          <w:marTop w:val="0"/>
          <w:marBottom w:val="0"/>
          <w:divBdr>
            <w:top w:val="none" w:sz="0" w:space="0" w:color="auto"/>
            <w:left w:val="none" w:sz="0" w:space="0" w:color="auto"/>
            <w:bottom w:val="none" w:sz="0" w:space="0" w:color="auto"/>
            <w:right w:val="none" w:sz="0" w:space="0" w:color="auto"/>
          </w:divBdr>
        </w:div>
        <w:div w:id="623467927">
          <w:marLeft w:val="0"/>
          <w:marRight w:val="0"/>
          <w:marTop w:val="0"/>
          <w:marBottom w:val="0"/>
          <w:divBdr>
            <w:top w:val="none" w:sz="0" w:space="0" w:color="auto"/>
            <w:left w:val="none" w:sz="0" w:space="0" w:color="auto"/>
            <w:bottom w:val="none" w:sz="0" w:space="0" w:color="auto"/>
            <w:right w:val="none" w:sz="0" w:space="0" w:color="auto"/>
          </w:divBdr>
        </w:div>
        <w:div w:id="641930830">
          <w:marLeft w:val="0"/>
          <w:marRight w:val="0"/>
          <w:marTop w:val="0"/>
          <w:marBottom w:val="0"/>
          <w:divBdr>
            <w:top w:val="none" w:sz="0" w:space="0" w:color="auto"/>
            <w:left w:val="none" w:sz="0" w:space="0" w:color="auto"/>
            <w:bottom w:val="none" w:sz="0" w:space="0" w:color="auto"/>
            <w:right w:val="none" w:sz="0" w:space="0" w:color="auto"/>
          </w:divBdr>
        </w:div>
        <w:div w:id="656880145">
          <w:marLeft w:val="0"/>
          <w:marRight w:val="0"/>
          <w:marTop w:val="0"/>
          <w:marBottom w:val="0"/>
          <w:divBdr>
            <w:top w:val="none" w:sz="0" w:space="0" w:color="auto"/>
            <w:left w:val="none" w:sz="0" w:space="0" w:color="auto"/>
            <w:bottom w:val="none" w:sz="0" w:space="0" w:color="auto"/>
            <w:right w:val="none" w:sz="0" w:space="0" w:color="auto"/>
          </w:divBdr>
        </w:div>
        <w:div w:id="657654103">
          <w:marLeft w:val="0"/>
          <w:marRight w:val="0"/>
          <w:marTop w:val="0"/>
          <w:marBottom w:val="0"/>
          <w:divBdr>
            <w:top w:val="none" w:sz="0" w:space="0" w:color="auto"/>
            <w:left w:val="none" w:sz="0" w:space="0" w:color="auto"/>
            <w:bottom w:val="none" w:sz="0" w:space="0" w:color="auto"/>
            <w:right w:val="none" w:sz="0" w:space="0" w:color="auto"/>
          </w:divBdr>
        </w:div>
        <w:div w:id="694425488">
          <w:marLeft w:val="0"/>
          <w:marRight w:val="0"/>
          <w:marTop w:val="0"/>
          <w:marBottom w:val="0"/>
          <w:divBdr>
            <w:top w:val="none" w:sz="0" w:space="0" w:color="auto"/>
            <w:left w:val="none" w:sz="0" w:space="0" w:color="auto"/>
            <w:bottom w:val="none" w:sz="0" w:space="0" w:color="auto"/>
            <w:right w:val="none" w:sz="0" w:space="0" w:color="auto"/>
          </w:divBdr>
        </w:div>
        <w:div w:id="709913833">
          <w:marLeft w:val="0"/>
          <w:marRight w:val="0"/>
          <w:marTop w:val="0"/>
          <w:marBottom w:val="0"/>
          <w:divBdr>
            <w:top w:val="none" w:sz="0" w:space="0" w:color="auto"/>
            <w:left w:val="none" w:sz="0" w:space="0" w:color="auto"/>
            <w:bottom w:val="none" w:sz="0" w:space="0" w:color="auto"/>
            <w:right w:val="none" w:sz="0" w:space="0" w:color="auto"/>
          </w:divBdr>
          <w:divsChild>
            <w:div w:id="26415232">
              <w:marLeft w:val="0"/>
              <w:marRight w:val="0"/>
              <w:marTop w:val="0"/>
              <w:marBottom w:val="0"/>
              <w:divBdr>
                <w:top w:val="none" w:sz="0" w:space="0" w:color="auto"/>
                <w:left w:val="none" w:sz="0" w:space="0" w:color="auto"/>
                <w:bottom w:val="none" w:sz="0" w:space="0" w:color="auto"/>
                <w:right w:val="none" w:sz="0" w:space="0" w:color="auto"/>
              </w:divBdr>
            </w:div>
            <w:div w:id="74322586">
              <w:marLeft w:val="0"/>
              <w:marRight w:val="0"/>
              <w:marTop w:val="0"/>
              <w:marBottom w:val="0"/>
              <w:divBdr>
                <w:top w:val="none" w:sz="0" w:space="0" w:color="auto"/>
                <w:left w:val="none" w:sz="0" w:space="0" w:color="auto"/>
                <w:bottom w:val="none" w:sz="0" w:space="0" w:color="auto"/>
                <w:right w:val="none" w:sz="0" w:space="0" w:color="auto"/>
              </w:divBdr>
            </w:div>
            <w:div w:id="99105330">
              <w:marLeft w:val="0"/>
              <w:marRight w:val="0"/>
              <w:marTop w:val="0"/>
              <w:marBottom w:val="0"/>
              <w:divBdr>
                <w:top w:val="none" w:sz="0" w:space="0" w:color="auto"/>
                <w:left w:val="none" w:sz="0" w:space="0" w:color="auto"/>
                <w:bottom w:val="none" w:sz="0" w:space="0" w:color="auto"/>
                <w:right w:val="none" w:sz="0" w:space="0" w:color="auto"/>
              </w:divBdr>
            </w:div>
            <w:div w:id="115219513">
              <w:marLeft w:val="0"/>
              <w:marRight w:val="0"/>
              <w:marTop w:val="0"/>
              <w:marBottom w:val="0"/>
              <w:divBdr>
                <w:top w:val="none" w:sz="0" w:space="0" w:color="auto"/>
                <w:left w:val="none" w:sz="0" w:space="0" w:color="auto"/>
                <w:bottom w:val="none" w:sz="0" w:space="0" w:color="auto"/>
                <w:right w:val="none" w:sz="0" w:space="0" w:color="auto"/>
              </w:divBdr>
            </w:div>
            <w:div w:id="291791592">
              <w:marLeft w:val="0"/>
              <w:marRight w:val="0"/>
              <w:marTop w:val="0"/>
              <w:marBottom w:val="0"/>
              <w:divBdr>
                <w:top w:val="none" w:sz="0" w:space="0" w:color="auto"/>
                <w:left w:val="none" w:sz="0" w:space="0" w:color="auto"/>
                <w:bottom w:val="none" w:sz="0" w:space="0" w:color="auto"/>
                <w:right w:val="none" w:sz="0" w:space="0" w:color="auto"/>
              </w:divBdr>
            </w:div>
            <w:div w:id="296181997">
              <w:marLeft w:val="0"/>
              <w:marRight w:val="0"/>
              <w:marTop w:val="0"/>
              <w:marBottom w:val="0"/>
              <w:divBdr>
                <w:top w:val="none" w:sz="0" w:space="0" w:color="auto"/>
                <w:left w:val="none" w:sz="0" w:space="0" w:color="auto"/>
                <w:bottom w:val="none" w:sz="0" w:space="0" w:color="auto"/>
                <w:right w:val="none" w:sz="0" w:space="0" w:color="auto"/>
              </w:divBdr>
            </w:div>
            <w:div w:id="597520651">
              <w:marLeft w:val="0"/>
              <w:marRight w:val="0"/>
              <w:marTop w:val="0"/>
              <w:marBottom w:val="0"/>
              <w:divBdr>
                <w:top w:val="none" w:sz="0" w:space="0" w:color="auto"/>
                <w:left w:val="none" w:sz="0" w:space="0" w:color="auto"/>
                <w:bottom w:val="none" w:sz="0" w:space="0" w:color="auto"/>
                <w:right w:val="none" w:sz="0" w:space="0" w:color="auto"/>
              </w:divBdr>
            </w:div>
            <w:div w:id="664478255">
              <w:marLeft w:val="0"/>
              <w:marRight w:val="0"/>
              <w:marTop w:val="0"/>
              <w:marBottom w:val="0"/>
              <w:divBdr>
                <w:top w:val="none" w:sz="0" w:space="0" w:color="auto"/>
                <w:left w:val="none" w:sz="0" w:space="0" w:color="auto"/>
                <w:bottom w:val="none" w:sz="0" w:space="0" w:color="auto"/>
                <w:right w:val="none" w:sz="0" w:space="0" w:color="auto"/>
              </w:divBdr>
            </w:div>
            <w:div w:id="702091662">
              <w:marLeft w:val="0"/>
              <w:marRight w:val="0"/>
              <w:marTop w:val="0"/>
              <w:marBottom w:val="0"/>
              <w:divBdr>
                <w:top w:val="none" w:sz="0" w:space="0" w:color="auto"/>
                <w:left w:val="none" w:sz="0" w:space="0" w:color="auto"/>
                <w:bottom w:val="none" w:sz="0" w:space="0" w:color="auto"/>
                <w:right w:val="none" w:sz="0" w:space="0" w:color="auto"/>
              </w:divBdr>
            </w:div>
            <w:div w:id="972448898">
              <w:marLeft w:val="0"/>
              <w:marRight w:val="0"/>
              <w:marTop w:val="0"/>
              <w:marBottom w:val="0"/>
              <w:divBdr>
                <w:top w:val="none" w:sz="0" w:space="0" w:color="auto"/>
                <w:left w:val="none" w:sz="0" w:space="0" w:color="auto"/>
                <w:bottom w:val="none" w:sz="0" w:space="0" w:color="auto"/>
                <w:right w:val="none" w:sz="0" w:space="0" w:color="auto"/>
              </w:divBdr>
            </w:div>
            <w:div w:id="1207138697">
              <w:marLeft w:val="0"/>
              <w:marRight w:val="0"/>
              <w:marTop w:val="0"/>
              <w:marBottom w:val="0"/>
              <w:divBdr>
                <w:top w:val="none" w:sz="0" w:space="0" w:color="auto"/>
                <w:left w:val="none" w:sz="0" w:space="0" w:color="auto"/>
                <w:bottom w:val="none" w:sz="0" w:space="0" w:color="auto"/>
                <w:right w:val="none" w:sz="0" w:space="0" w:color="auto"/>
              </w:divBdr>
            </w:div>
            <w:div w:id="1258753379">
              <w:marLeft w:val="0"/>
              <w:marRight w:val="0"/>
              <w:marTop w:val="0"/>
              <w:marBottom w:val="0"/>
              <w:divBdr>
                <w:top w:val="none" w:sz="0" w:space="0" w:color="auto"/>
                <w:left w:val="none" w:sz="0" w:space="0" w:color="auto"/>
                <w:bottom w:val="none" w:sz="0" w:space="0" w:color="auto"/>
                <w:right w:val="none" w:sz="0" w:space="0" w:color="auto"/>
              </w:divBdr>
            </w:div>
            <w:div w:id="1335567248">
              <w:marLeft w:val="0"/>
              <w:marRight w:val="0"/>
              <w:marTop w:val="0"/>
              <w:marBottom w:val="0"/>
              <w:divBdr>
                <w:top w:val="none" w:sz="0" w:space="0" w:color="auto"/>
                <w:left w:val="none" w:sz="0" w:space="0" w:color="auto"/>
                <w:bottom w:val="none" w:sz="0" w:space="0" w:color="auto"/>
                <w:right w:val="none" w:sz="0" w:space="0" w:color="auto"/>
              </w:divBdr>
            </w:div>
            <w:div w:id="1358920675">
              <w:marLeft w:val="0"/>
              <w:marRight w:val="0"/>
              <w:marTop w:val="0"/>
              <w:marBottom w:val="0"/>
              <w:divBdr>
                <w:top w:val="none" w:sz="0" w:space="0" w:color="auto"/>
                <w:left w:val="none" w:sz="0" w:space="0" w:color="auto"/>
                <w:bottom w:val="none" w:sz="0" w:space="0" w:color="auto"/>
                <w:right w:val="none" w:sz="0" w:space="0" w:color="auto"/>
              </w:divBdr>
            </w:div>
            <w:div w:id="1447390767">
              <w:marLeft w:val="0"/>
              <w:marRight w:val="0"/>
              <w:marTop w:val="0"/>
              <w:marBottom w:val="0"/>
              <w:divBdr>
                <w:top w:val="none" w:sz="0" w:space="0" w:color="auto"/>
                <w:left w:val="none" w:sz="0" w:space="0" w:color="auto"/>
                <w:bottom w:val="none" w:sz="0" w:space="0" w:color="auto"/>
                <w:right w:val="none" w:sz="0" w:space="0" w:color="auto"/>
              </w:divBdr>
            </w:div>
            <w:div w:id="1521428676">
              <w:marLeft w:val="0"/>
              <w:marRight w:val="0"/>
              <w:marTop w:val="0"/>
              <w:marBottom w:val="0"/>
              <w:divBdr>
                <w:top w:val="none" w:sz="0" w:space="0" w:color="auto"/>
                <w:left w:val="none" w:sz="0" w:space="0" w:color="auto"/>
                <w:bottom w:val="none" w:sz="0" w:space="0" w:color="auto"/>
                <w:right w:val="none" w:sz="0" w:space="0" w:color="auto"/>
              </w:divBdr>
            </w:div>
            <w:div w:id="1918592270">
              <w:marLeft w:val="0"/>
              <w:marRight w:val="0"/>
              <w:marTop w:val="0"/>
              <w:marBottom w:val="0"/>
              <w:divBdr>
                <w:top w:val="none" w:sz="0" w:space="0" w:color="auto"/>
                <w:left w:val="none" w:sz="0" w:space="0" w:color="auto"/>
                <w:bottom w:val="none" w:sz="0" w:space="0" w:color="auto"/>
                <w:right w:val="none" w:sz="0" w:space="0" w:color="auto"/>
              </w:divBdr>
            </w:div>
            <w:div w:id="1945116638">
              <w:marLeft w:val="0"/>
              <w:marRight w:val="0"/>
              <w:marTop w:val="0"/>
              <w:marBottom w:val="0"/>
              <w:divBdr>
                <w:top w:val="none" w:sz="0" w:space="0" w:color="auto"/>
                <w:left w:val="none" w:sz="0" w:space="0" w:color="auto"/>
                <w:bottom w:val="none" w:sz="0" w:space="0" w:color="auto"/>
                <w:right w:val="none" w:sz="0" w:space="0" w:color="auto"/>
              </w:divBdr>
            </w:div>
            <w:div w:id="1999339336">
              <w:marLeft w:val="0"/>
              <w:marRight w:val="0"/>
              <w:marTop w:val="0"/>
              <w:marBottom w:val="0"/>
              <w:divBdr>
                <w:top w:val="none" w:sz="0" w:space="0" w:color="auto"/>
                <w:left w:val="none" w:sz="0" w:space="0" w:color="auto"/>
                <w:bottom w:val="none" w:sz="0" w:space="0" w:color="auto"/>
                <w:right w:val="none" w:sz="0" w:space="0" w:color="auto"/>
              </w:divBdr>
            </w:div>
            <w:div w:id="2115782593">
              <w:marLeft w:val="0"/>
              <w:marRight w:val="0"/>
              <w:marTop w:val="0"/>
              <w:marBottom w:val="0"/>
              <w:divBdr>
                <w:top w:val="none" w:sz="0" w:space="0" w:color="auto"/>
                <w:left w:val="none" w:sz="0" w:space="0" w:color="auto"/>
                <w:bottom w:val="none" w:sz="0" w:space="0" w:color="auto"/>
                <w:right w:val="none" w:sz="0" w:space="0" w:color="auto"/>
              </w:divBdr>
            </w:div>
          </w:divsChild>
        </w:div>
        <w:div w:id="727999462">
          <w:marLeft w:val="0"/>
          <w:marRight w:val="0"/>
          <w:marTop w:val="0"/>
          <w:marBottom w:val="0"/>
          <w:divBdr>
            <w:top w:val="none" w:sz="0" w:space="0" w:color="auto"/>
            <w:left w:val="none" w:sz="0" w:space="0" w:color="auto"/>
            <w:bottom w:val="none" w:sz="0" w:space="0" w:color="auto"/>
            <w:right w:val="none" w:sz="0" w:space="0" w:color="auto"/>
          </w:divBdr>
        </w:div>
        <w:div w:id="738480996">
          <w:marLeft w:val="0"/>
          <w:marRight w:val="0"/>
          <w:marTop w:val="0"/>
          <w:marBottom w:val="0"/>
          <w:divBdr>
            <w:top w:val="none" w:sz="0" w:space="0" w:color="auto"/>
            <w:left w:val="none" w:sz="0" w:space="0" w:color="auto"/>
            <w:bottom w:val="none" w:sz="0" w:space="0" w:color="auto"/>
            <w:right w:val="none" w:sz="0" w:space="0" w:color="auto"/>
          </w:divBdr>
        </w:div>
        <w:div w:id="741608471">
          <w:marLeft w:val="0"/>
          <w:marRight w:val="0"/>
          <w:marTop w:val="0"/>
          <w:marBottom w:val="0"/>
          <w:divBdr>
            <w:top w:val="none" w:sz="0" w:space="0" w:color="auto"/>
            <w:left w:val="none" w:sz="0" w:space="0" w:color="auto"/>
            <w:bottom w:val="none" w:sz="0" w:space="0" w:color="auto"/>
            <w:right w:val="none" w:sz="0" w:space="0" w:color="auto"/>
          </w:divBdr>
        </w:div>
        <w:div w:id="746809963">
          <w:marLeft w:val="0"/>
          <w:marRight w:val="0"/>
          <w:marTop w:val="0"/>
          <w:marBottom w:val="0"/>
          <w:divBdr>
            <w:top w:val="none" w:sz="0" w:space="0" w:color="auto"/>
            <w:left w:val="none" w:sz="0" w:space="0" w:color="auto"/>
            <w:bottom w:val="none" w:sz="0" w:space="0" w:color="auto"/>
            <w:right w:val="none" w:sz="0" w:space="0" w:color="auto"/>
          </w:divBdr>
        </w:div>
        <w:div w:id="764812452">
          <w:marLeft w:val="0"/>
          <w:marRight w:val="0"/>
          <w:marTop w:val="0"/>
          <w:marBottom w:val="0"/>
          <w:divBdr>
            <w:top w:val="none" w:sz="0" w:space="0" w:color="auto"/>
            <w:left w:val="none" w:sz="0" w:space="0" w:color="auto"/>
            <w:bottom w:val="none" w:sz="0" w:space="0" w:color="auto"/>
            <w:right w:val="none" w:sz="0" w:space="0" w:color="auto"/>
          </w:divBdr>
        </w:div>
        <w:div w:id="769551518">
          <w:marLeft w:val="0"/>
          <w:marRight w:val="0"/>
          <w:marTop w:val="0"/>
          <w:marBottom w:val="0"/>
          <w:divBdr>
            <w:top w:val="none" w:sz="0" w:space="0" w:color="auto"/>
            <w:left w:val="none" w:sz="0" w:space="0" w:color="auto"/>
            <w:bottom w:val="none" w:sz="0" w:space="0" w:color="auto"/>
            <w:right w:val="none" w:sz="0" w:space="0" w:color="auto"/>
          </w:divBdr>
        </w:div>
        <w:div w:id="782842913">
          <w:marLeft w:val="0"/>
          <w:marRight w:val="0"/>
          <w:marTop w:val="0"/>
          <w:marBottom w:val="0"/>
          <w:divBdr>
            <w:top w:val="none" w:sz="0" w:space="0" w:color="auto"/>
            <w:left w:val="none" w:sz="0" w:space="0" w:color="auto"/>
            <w:bottom w:val="none" w:sz="0" w:space="0" w:color="auto"/>
            <w:right w:val="none" w:sz="0" w:space="0" w:color="auto"/>
          </w:divBdr>
        </w:div>
        <w:div w:id="794131641">
          <w:marLeft w:val="0"/>
          <w:marRight w:val="0"/>
          <w:marTop w:val="0"/>
          <w:marBottom w:val="0"/>
          <w:divBdr>
            <w:top w:val="none" w:sz="0" w:space="0" w:color="auto"/>
            <w:left w:val="none" w:sz="0" w:space="0" w:color="auto"/>
            <w:bottom w:val="none" w:sz="0" w:space="0" w:color="auto"/>
            <w:right w:val="none" w:sz="0" w:space="0" w:color="auto"/>
          </w:divBdr>
        </w:div>
        <w:div w:id="801994882">
          <w:marLeft w:val="0"/>
          <w:marRight w:val="0"/>
          <w:marTop w:val="0"/>
          <w:marBottom w:val="0"/>
          <w:divBdr>
            <w:top w:val="none" w:sz="0" w:space="0" w:color="auto"/>
            <w:left w:val="none" w:sz="0" w:space="0" w:color="auto"/>
            <w:bottom w:val="none" w:sz="0" w:space="0" w:color="auto"/>
            <w:right w:val="none" w:sz="0" w:space="0" w:color="auto"/>
          </w:divBdr>
        </w:div>
        <w:div w:id="813718450">
          <w:marLeft w:val="0"/>
          <w:marRight w:val="0"/>
          <w:marTop w:val="0"/>
          <w:marBottom w:val="0"/>
          <w:divBdr>
            <w:top w:val="none" w:sz="0" w:space="0" w:color="auto"/>
            <w:left w:val="none" w:sz="0" w:space="0" w:color="auto"/>
            <w:bottom w:val="none" w:sz="0" w:space="0" w:color="auto"/>
            <w:right w:val="none" w:sz="0" w:space="0" w:color="auto"/>
          </w:divBdr>
        </w:div>
        <w:div w:id="829518221">
          <w:marLeft w:val="0"/>
          <w:marRight w:val="0"/>
          <w:marTop w:val="0"/>
          <w:marBottom w:val="0"/>
          <w:divBdr>
            <w:top w:val="none" w:sz="0" w:space="0" w:color="auto"/>
            <w:left w:val="none" w:sz="0" w:space="0" w:color="auto"/>
            <w:bottom w:val="none" w:sz="0" w:space="0" w:color="auto"/>
            <w:right w:val="none" w:sz="0" w:space="0" w:color="auto"/>
          </w:divBdr>
        </w:div>
        <w:div w:id="845168271">
          <w:marLeft w:val="0"/>
          <w:marRight w:val="0"/>
          <w:marTop w:val="0"/>
          <w:marBottom w:val="0"/>
          <w:divBdr>
            <w:top w:val="none" w:sz="0" w:space="0" w:color="auto"/>
            <w:left w:val="none" w:sz="0" w:space="0" w:color="auto"/>
            <w:bottom w:val="none" w:sz="0" w:space="0" w:color="auto"/>
            <w:right w:val="none" w:sz="0" w:space="0" w:color="auto"/>
          </w:divBdr>
        </w:div>
        <w:div w:id="851652565">
          <w:marLeft w:val="0"/>
          <w:marRight w:val="0"/>
          <w:marTop w:val="0"/>
          <w:marBottom w:val="0"/>
          <w:divBdr>
            <w:top w:val="none" w:sz="0" w:space="0" w:color="auto"/>
            <w:left w:val="none" w:sz="0" w:space="0" w:color="auto"/>
            <w:bottom w:val="none" w:sz="0" w:space="0" w:color="auto"/>
            <w:right w:val="none" w:sz="0" w:space="0" w:color="auto"/>
          </w:divBdr>
        </w:div>
        <w:div w:id="858737742">
          <w:marLeft w:val="0"/>
          <w:marRight w:val="0"/>
          <w:marTop w:val="0"/>
          <w:marBottom w:val="0"/>
          <w:divBdr>
            <w:top w:val="none" w:sz="0" w:space="0" w:color="auto"/>
            <w:left w:val="none" w:sz="0" w:space="0" w:color="auto"/>
            <w:bottom w:val="none" w:sz="0" w:space="0" w:color="auto"/>
            <w:right w:val="none" w:sz="0" w:space="0" w:color="auto"/>
          </w:divBdr>
        </w:div>
        <w:div w:id="884760498">
          <w:marLeft w:val="0"/>
          <w:marRight w:val="0"/>
          <w:marTop w:val="0"/>
          <w:marBottom w:val="0"/>
          <w:divBdr>
            <w:top w:val="none" w:sz="0" w:space="0" w:color="auto"/>
            <w:left w:val="none" w:sz="0" w:space="0" w:color="auto"/>
            <w:bottom w:val="none" w:sz="0" w:space="0" w:color="auto"/>
            <w:right w:val="none" w:sz="0" w:space="0" w:color="auto"/>
          </w:divBdr>
        </w:div>
        <w:div w:id="908345198">
          <w:marLeft w:val="0"/>
          <w:marRight w:val="0"/>
          <w:marTop w:val="0"/>
          <w:marBottom w:val="0"/>
          <w:divBdr>
            <w:top w:val="none" w:sz="0" w:space="0" w:color="auto"/>
            <w:left w:val="none" w:sz="0" w:space="0" w:color="auto"/>
            <w:bottom w:val="none" w:sz="0" w:space="0" w:color="auto"/>
            <w:right w:val="none" w:sz="0" w:space="0" w:color="auto"/>
          </w:divBdr>
        </w:div>
        <w:div w:id="910240626">
          <w:marLeft w:val="0"/>
          <w:marRight w:val="0"/>
          <w:marTop w:val="0"/>
          <w:marBottom w:val="0"/>
          <w:divBdr>
            <w:top w:val="none" w:sz="0" w:space="0" w:color="auto"/>
            <w:left w:val="none" w:sz="0" w:space="0" w:color="auto"/>
            <w:bottom w:val="none" w:sz="0" w:space="0" w:color="auto"/>
            <w:right w:val="none" w:sz="0" w:space="0" w:color="auto"/>
          </w:divBdr>
        </w:div>
        <w:div w:id="917180385">
          <w:marLeft w:val="0"/>
          <w:marRight w:val="0"/>
          <w:marTop w:val="0"/>
          <w:marBottom w:val="0"/>
          <w:divBdr>
            <w:top w:val="none" w:sz="0" w:space="0" w:color="auto"/>
            <w:left w:val="none" w:sz="0" w:space="0" w:color="auto"/>
            <w:bottom w:val="none" w:sz="0" w:space="0" w:color="auto"/>
            <w:right w:val="none" w:sz="0" w:space="0" w:color="auto"/>
          </w:divBdr>
        </w:div>
        <w:div w:id="924071531">
          <w:marLeft w:val="0"/>
          <w:marRight w:val="0"/>
          <w:marTop w:val="0"/>
          <w:marBottom w:val="0"/>
          <w:divBdr>
            <w:top w:val="none" w:sz="0" w:space="0" w:color="auto"/>
            <w:left w:val="none" w:sz="0" w:space="0" w:color="auto"/>
            <w:bottom w:val="none" w:sz="0" w:space="0" w:color="auto"/>
            <w:right w:val="none" w:sz="0" w:space="0" w:color="auto"/>
          </w:divBdr>
        </w:div>
        <w:div w:id="935014725">
          <w:marLeft w:val="0"/>
          <w:marRight w:val="0"/>
          <w:marTop w:val="0"/>
          <w:marBottom w:val="0"/>
          <w:divBdr>
            <w:top w:val="none" w:sz="0" w:space="0" w:color="auto"/>
            <w:left w:val="none" w:sz="0" w:space="0" w:color="auto"/>
            <w:bottom w:val="none" w:sz="0" w:space="0" w:color="auto"/>
            <w:right w:val="none" w:sz="0" w:space="0" w:color="auto"/>
          </w:divBdr>
        </w:div>
        <w:div w:id="956790516">
          <w:marLeft w:val="0"/>
          <w:marRight w:val="0"/>
          <w:marTop w:val="0"/>
          <w:marBottom w:val="0"/>
          <w:divBdr>
            <w:top w:val="none" w:sz="0" w:space="0" w:color="auto"/>
            <w:left w:val="none" w:sz="0" w:space="0" w:color="auto"/>
            <w:bottom w:val="none" w:sz="0" w:space="0" w:color="auto"/>
            <w:right w:val="none" w:sz="0" w:space="0" w:color="auto"/>
          </w:divBdr>
        </w:div>
        <w:div w:id="961378622">
          <w:marLeft w:val="0"/>
          <w:marRight w:val="0"/>
          <w:marTop w:val="0"/>
          <w:marBottom w:val="0"/>
          <w:divBdr>
            <w:top w:val="none" w:sz="0" w:space="0" w:color="auto"/>
            <w:left w:val="none" w:sz="0" w:space="0" w:color="auto"/>
            <w:bottom w:val="none" w:sz="0" w:space="0" w:color="auto"/>
            <w:right w:val="none" w:sz="0" w:space="0" w:color="auto"/>
          </w:divBdr>
        </w:div>
        <w:div w:id="963072850">
          <w:marLeft w:val="0"/>
          <w:marRight w:val="0"/>
          <w:marTop w:val="0"/>
          <w:marBottom w:val="0"/>
          <w:divBdr>
            <w:top w:val="none" w:sz="0" w:space="0" w:color="auto"/>
            <w:left w:val="none" w:sz="0" w:space="0" w:color="auto"/>
            <w:bottom w:val="none" w:sz="0" w:space="0" w:color="auto"/>
            <w:right w:val="none" w:sz="0" w:space="0" w:color="auto"/>
          </w:divBdr>
        </w:div>
        <w:div w:id="969822605">
          <w:marLeft w:val="0"/>
          <w:marRight w:val="0"/>
          <w:marTop w:val="0"/>
          <w:marBottom w:val="0"/>
          <w:divBdr>
            <w:top w:val="none" w:sz="0" w:space="0" w:color="auto"/>
            <w:left w:val="none" w:sz="0" w:space="0" w:color="auto"/>
            <w:bottom w:val="none" w:sz="0" w:space="0" w:color="auto"/>
            <w:right w:val="none" w:sz="0" w:space="0" w:color="auto"/>
          </w:divBdr>
        </w:div>
        <w:div w:id="971599868">
          <w:marLeft w:val="0"/>
          <w:marRight w:val="0"/>
          <w:marTop w:val="0"/>
          <w:marBottom w:val="0"/>
          <w:divBdr>
            <w:top w:val="none" w:sz="0" w:space="0" w:color="auto"/>
            <w:left w:val="none" w:sz="0" w:space="0" w:color="auto"/>
            <w:bottom w:val="none" w:sz="0" w:space="0" w:color="auto"/>
            <w:right w:val="none" w:sz="0" w:space="0" w:color="auto"/>
          </w:divBdr>
        </w:div>
        <w:div w:id="973218231">
          <w:marLeft w:val="0"/>
          <w:marRight w:val="0"/>
          <w:marTop w:val="0"/>
          <w:marBottom w:val="0"/>
          <w:divBdr>
            <w:top w:val="none" w:sz="0" w:space="0" w:color="auto"/>
            <w:left w:val="none" w:sz="0" w:space="0" w:color="auto"/>
            <w:bottom w:val="none" w:sz="0" w:space="0" w:color="auto"/>
            <w:right w:val="none" w:sz="0" w:space="0" w:color="auto"/>
          </w:divBdr>
        </w:div>
        <w:div w:id="983436408">
          <w:marLeft w:val="0"/>
          <w:marRight w:val="0"/>
          <w:marTop w:val="0"/>
          <w:marBottom w:val="0"/>
          <w:divBdr>
            <w:top w:val="none" w:sz="0" w:space="0" w:color="auto"/>
            <w:left w:val="none" w:sz="0" w:space="0" w:color="auto"/>
            <w:bottom w:val="none" w:sz="0" w:space="0" w:color="auto"/>
            <w:right w:val="none" w:sz="0" w:space="0" w:color="auto"/>
          </w:divBdr>
        </w:div>
        <w:div w:id="985360357">
          <w:marLeft w:val="0"/>
          <w:marRight w:val="0"/>
          <w:marTop w:val="0"/>
          <w:marBottom w:val="0"/>
          <w:divBdr>
            <w:top w:val="none" w:sz="0" w:space="0" w:color="auto"/>
            <w:left w:val="none" w:sz="0" w:space="0" w:color="auto"/>
            <w:bottom w:val="none" w:sz="0" w:space="0" w:color="auto"/>
            <w:right w:val="none" w:sz="0" w:space="0" w:color="auto"/>
          </w:divBdr>
        </w:div>
        <w:div w:id="985818266">
          <w:marLeft w:val="0"/>
          <w:marRight w:val="0"/>
          <w:marTop w:val="0"/>
          <w:marBottom w:val="0"/>
          <w:divBdr>
            <w:top w:val="none" w:sz="0" w:space="0" w:color="auto"/>
            <w:left w:val="none" w:sz="0" w:space="0" w:color="auto"/>
            <w:bottom w:val="none" w:sz="0" w:space="0" w:color="auto"/>
            <w:right w:val="none" w:sz="0" w:space="0" w:color="auto"/>
          </w:divBdr>
        </w:div>
        <w:div w:id="1036583047">
          <w:marLeft w:val="0"/>
          <w:marRight w:val="0"/>
          <w:marTop w:val="0"/>
          <w:marBottom w:val="0"/>
          <w:divBdr>
            <w:top w:val="none" w:sz="0" w:space="0" w:color="auto"/>
            <w:left w:val="none" w:sz="0" w:space="0" w:color="auto"/>
            <w:bottom w:val="none" w:sz="0" w:space="0" w:color="auto"/>
            <w:right w:val="none" w:sz="0" w:space="0" w:color="auto"/>
          </w:divBdr>
        </w:div>
        <w:div w:id="1059864940">
          <w:marLeft w:val="0"/>
          <w:marRight w:val="0"/>
          <w:marTop w:val="0"/>
          <w:marBottom w:val="0"/>
          <w:divBdr>
            <w:top w:val="none" w:sz="0" w:space="0" w:color="auto"/>
            <w:left w:val="none" w:sz="0" w:space="0" w:color="auto"/>
            <w:bottom w:val="none" w:sz="0" w:space="0" w:color="auto"/>
            <w:right w:val="none" w:sz="0" w:space="0" w:color="auto"/>
          </w:divBdr>
        </w:div>
        <w:div w:id="1062413225">
          <w:marLeft w:val="0"/>
          <w:marRight w:val="0"/>
          <w:marTop w:val="0"/>
          <w:marBottom w:val="0"/>
          <w:divBdr>
            <w:top w:val="none" w:sz="0" w:space="0" w:color="auto"/>
            <w:left w:val="none" w:sz="0" w:space="0" w:color="auto"/>
            <w:bottom w:val="none" w:sz="0" w:space="0" w:color="auto"/>
            <w:right w:val="none" w:sz="0" w:space="0" w:color="auto"/>
          </w:divBdr>
        </w:div>
        <w:div w:id="1071662338">
          <w:marLeft w:val="0"/>
          <w:marRight w:val="0"/>
          <w:marTop w:val="0"/>
          <w:marBottom w:val="0"/>
          <w:divBdr>
            <w:top w:val="none" w:sz="0" w:space="0" w:color="auto"/>
            <w:left w:val="none" w:sz="0" w:space="0" w:color="auto"/>
            <w:bottom w:val="none" w:sz="0" w:space="0" w:color="auto"/>
            <w:right w:val="none" w:sz="0" w:space="0" w:color="auto"/>
          </w:divBdr>
        </w:div>
        <w:div w:id="1078668455">
          <w:marLeft w:val="0"/>
          <w:marRight w:val="0"/>
          <w:marTop w:val="0"/>
          <w:marBottom w:val="0"/>
          <w:divBdr>
            <w:top w:val="none" w:sz="0" w:space="0" w:color="auto"/>
            <w:left w:val="none" w:sz="0" w:space="0" w:color="auto"/>
            <w:bottom w:val="none" w:sz="0" w:space="0" w:color="auto"/>
            <w:right w:val="none" w:sz="0" w:space="0" w:color="auto"/>
          </w:divBdr>
        </w:div>
        <w:div w:id="1080635732">
          <w:marLeft w:val="0"/>
          <w:marRight w:val="0"/>
          <w:marTop w:val="0"/>
          <w:marBottom w:val="0"/>
          <w:divBdr>
            <w:top w:val="none" w:sz="0" w:space="0" w:color="auto"/>
            <w:left w:val="none" w:sz="0" w:space="0" w:color="auto"/>
            <w:bottom w:val="none" w:sz="0" w:space="0" w:color="auto"/>
            <w:right w:val="none" w:sz="0" w:space="0" w:color="auto"/>
          </w:divBdr>
        </w:div>
        <w:div w:id="1091779242">
          <w:marLeft w:val="0"/>
          <w:marRight w:val="0"/>
          <w:marTop w:val="0"/>
          <w:marBottom w:val="0"/>
          <w:divBdr>
            <w:top w:val="none" w:sz="0" w:space="0" w:color="auto"/>
            <w:left w:val="none" w:sz="0" w:space="0" w:color="auto"/>
            <w:bottom w:val="none" w:sz="0" w:space="0" w:color="auto"/>
            <w:right w:val="none" w:sz="0" w:space="0" w:color="auto"/>
          </w:divBdr>
        </w:div>
        <w:div w:id="1130048121">
          <w:marLeft w:val="0"/>
          <w:marRight w:val="0"/>
          <w:marTop w:val="0"/>
          <w:marBottom w:val="0"/>
          <w:divBdr>
            <w:top w:val="none" w:sz="0" w:space="0" w:color="auto"/>
            <w:left w:val="none" w:sz="0" w:space="0" w:color="auto"/>
            <w:bottom w:val="none" w:sz="0" w:space="0" w:color="auto"/>
            <w:right w:val="none" w:sz="0" w:space="0" w:color="auto"/>
          </w:divBdr>
        </w:div>
        <w:div w:id="1143087088">
          <w:marLeft w:val="0"/>
          <w:marRight w:val="0"/>
          <w:marTop w:val="0"/>
          <w:marBottom w:val="0"/>
          <w:divBdr>
            <w:top w:val="none" w:sz="0" w:space="0" w:color="auto"/>
            <w:left w:val="none" w:sz="0" w:space="0" w:color="auto"/>
            <w:bottom w:val="none" w:sz="0" w:space="0" w:color="auto"/>
            <w:right w:val="none" w:sz="0" w:space="0" w:color="auto"/>
          </w:divBdr>
        </w:div>
        <w:div w:id="1145312472">
          <w:marLeft w:val="0"/>
          <w:marRight w:val="0"/>
          <w:marTop w:val="0"/>
          <w:marBottom w:val="0"/>
          <w:divBdr>
            <w:top w:val="none" w:sz="0" w:space="0" w:color="auto"/>
            <w:left w:val="none" w:sz="0" w:space="0" w:color="auto"/>
            <w:bottom w:val="none" w:sz="0" w:space="0" w:color="auto"/>
            <w:right w:val="none" w:sz="0" w:space="0" w:color="auto"/>
          </w:divBdr>
        </w:div>
        <w:div w:id="1175068970">
          <w:marLeft w:val="0"/>
          <w:marRight w:val="0"/>
          <w:marTop w:val="0"/>
          <w:marBottom w:val="0"/>
          <w:divBdr>
            <w:top w:val="none" w:sz="0" w:space="0" w:color="auto"/>
            <w:left w:val="none" w:sz="0" w:space="0" w:color="auto"/>
            <w:bottom w:val="none" w:sz="0" w:space="0" w:color="auto"/>
            <w:right w:val="none" w:sz="0" w:space="0" w:color="auto"/>
          </w:divBdr>
        </w:div>
        <w:div w:id="1176262988">
          <w:marLeft w:val="0"/>
          <w:marRight w:val="0"/>
          <w:marTop w:val="0"/>
          <w:marBottom w:val="0"/>
          <w:divBdr>
            <w:top w:val="none" w:sz="0" w:space="0" w:color="auto"/>
            <w:left w:val="none" w:sz="0" w:space="0" w:color="auto"/>
            <w:bottom w:val="none" w:sz="0" w:space="0" w:color="auto"/>
            <w:right w:val="none" w:sz="0" w:space="0" w:color="auto"/>
          </w:divBdr>
        </w:div>
        <w:div w:id="1180657373">
          <w:marLeft w:val="0"/>
          <w:marRight w:val="0"/>
          <w:marTop w:val="0"/>
          <w:marBottom w:val="0"/>
          <w:divBdr>
            <w:top w:val="none" w:sz="0" w:space="0" w:color="auto"/>
            <w:left w:val="none" w:sz="0" w:space="0" w:color="auto"/>
            <w:bottom w:val="none" w:sz="0" w:space="0" w:color="auto"/>
            <w:right w:val="none" w:sz="0" w:space="0" w:color="auto"/>
          </w:divBdr>
        </w:div>
        <w:div w:id="1186359183">
          <w:marLeft w:val="0"/>
          <w:marRight w:val="0"/>
          <w:marTop w:val="0"/>
          <w:marBottom w:val="0"/>
          <w:divBdr>
            <w:top w:val="none" w:sz="0" w:space="0" w:color="auto"/>
            <w:left w:val="none" w:sz="0" w:space="0" w:color="auto"/>
            <w:bottom w:val="none" w:sz="0" w:space="0" w:color="auto"/>
            <w:right w:val="none" w:sz="0" w:space="0" w:color="auto"/>
          </w:divBdr>
        </w:div>
        <w:div w:id="1186671353">
          <w:marLeft w:val="0"/>
          <w:marRight w:val="0"/>
          <w:marTop w:val="0"/>
          <w:marBottom w:val="0"/>
          <w:divBdr>
            <w:top w:val="none" w:sz="0" w:space="0" w:color="auto"/>
            <w:left w:val="none" w:sz="0" w:space="0" w:color="auto"/>
            <w:bottom w:val="none" w:sz="0" w:space="0" w:color="auto"/>
            <w:right w:val="none" w:sz="0" w:space="0" w:color="auto"/>
          </w:divBdr>
        </w:div>
        <w:div w:id="1189221917">
          <w:marLeft w:val="0"/>
          <w:marRight w:val="0"/>
          <w:marTop w:val="0"/>
          <w:marBottom w:val="0"/>
          <w:divBdr>
            <w:top w:val="none" w:sz="0" w:space="0" w:color="auto"/>
            <w:left w:val="none" w:sz="0" w:space="0" w:color="auto"/>
            <w:bottom w:val="none" w:sz="0" w:space="0" w:color="auto"/>
            <w:right w:val="none" w:sz="0" w:space="0" w:color="auto"/>
          </w:divBdr>
        </w:div>
        <w:div w:id="1193424593">
          <w:marLeft w:val="0"/>
          <w:marRight w:val="0"/>
          <w:marTop w:val="0"/>
          <w:marBottom w:val="0"/>
          <w:divBdr>
            <w:top w:val="none" w:sz="0" w:space="0" w:color="auto"/>
            <w:left w:val="none" w:sz="0" w:space="0" w:color="auto"/>
            <w:bottom w:val="none" w:sz="0" w:space="0" w:color="auto"/>
            <w:right w:val="none" w:sz="0" w:space="0" w:color="auto"/>
          </w:divBdr>
        </w:div>
        <w:div w:id="1195465826">
          <w:marLeft w:val="0"/>
          <w:marRight w:val="0"/>
          <w:marTop w:val="0"/>
          <w:marBottom w:val="0"/>
          <w:divBdr>
            <w:top w:val="none" w:sz="0" w:space="0" w:color="auto"/>
            <w:left w:val="none" w:sz="0" w:space="0" w:color="auto"/>
            <w:bottom w:val="none" w:sz="0" w:space="0" w:color="auto"/>
            <w:right w:val="none" w:sz="0" w:space="0" w:color="auto"/>
          </w:divBdr>
        </w:div>
        <w:div w:id="1224752473">
          <w:marLeft w:val="0"/>
          <w:marRight w:val="0"/>
          <w:marTop w:val="0"/>
          <w:marBottom w:val="0"/>
          <w:divBdr>
            <w:top w:val="none" w:sz="0" w:space="0" w:color="auto"/>
            <w:left w:val="none" w:sz="0" w:space="0" w:color="auto"/>
            <w:bottom w:val="none" w:sz="0" w:space="0" w:color="auto"/>
            <w:right w:val="none" w:sz="0" w:space="0" w:color="auto"/>
          </w:divBdr>
        </w:div>
        <w:div w:id="1239291218">
          <w:marLeft w:val="0"/>
          <w:marRight w:val="0"/>
          <w:marTop w:val="0"/>
          <w:marBottom w:val="0"/>
          <w:divBdr>
            <w:top w:val="none" w:sz="0" w:space="0" w:color="auto"/>
            <w:left w:val="none" w:sz="0" w:space="0" w:color="auto"/>
            <w:bottom w:val="none" w:sz="0" w:space="0" w:color="auto"/>
            <w:right w:val="none" w:sz="0" w:space="0" w:color="auto"/>
          </w:divBdr>
        </w:div>
        <w:div w:id="1243175072">
          <w:marLeft w:val="0"/>
          <w:marRight w:val="0"/>
          <w:marTop w:val="0"/>
          <w:marBottom w:val="0"/>
          <w:divBdr>
            <w:top w:val="none" w:sz="0" w:space="0" w:color="auto"/>
            <w:left w:val="none" w:sz="0" w:space="0" w:color="auto"/>
            <w:bottom w:val="none" w:sz="0" w:space="0" w:color="auto"/>
            <w:right w:val="none" w:sz="0" w:space="0" w:color="auto"/>
          </w:divBdr>
        </w:div>
        <w:div w:id="1262027573">
          <w:marLeft w:val="0"/>
          <w:marRight w:val="0"/>
          <w:marTop w:val="0"/>
          <w:marBottom w:val="0"/>
          <w:divBdr>
            <w:top w:val="none" w:sz="0" w:space="0" w:color="auto"/>
            <w:left w:val="none" w:sz="0" w:space="0" w:color="auto"/>
            <w:bottom w:val="none" w:sz="0" w:space="0" w:color="auto"/>
            <w:right w:val="none" w:sz="0" w:space="0" w:color="auto"/>
          </w:divBdr>
        </w:div>
        <w:div w:id="1262102462">
          <w:marLeft w:val="0"/>
          <w:marRight w:val="0"/>
          <w:marTop w:val="0"/>
          <w:marBottom w:val="0"/>
          <w:divBdr>
            <w:top w:val="none" w:sz="0" w:space="0" w:color="auto"/>
            <w:left w:val="none" w:sz="0" w:space="0" w:color="auto"/>
            <w:bottom w:val="none" w:sz="0" w:space="0" w:color="auto"/>
            <w:right w:val="none" w:sz="0" w:space="0" w:color="auto"/>
          </w:divBdr>
        </w:div>
        <w:div w:id="1264650981">
          <w:marLeft w:val="0"/>
          <w:marRight w:val="0"/>
          <w:marTop w:val="0"/>
          <w:marBottom w:val="0"/>
          <w:divBdr>
            <w:top w:val="none" w:sz="0" w:space="0" w:color="auto"/>
            <w:left w:val="none" w:sz="0" w:space="0" w:color="auto"/>
            <w:bottom w:val="none" w:sz="0" w:space="0" w:color="auto"/>
            <w:right w:val="none" w:sz="0" w:space="0" w:color="auto"/>
          </w:divBdr>
        </w:div>
        <w:div w:id="1266691511">
          <w:marLeft w:val="0"/>
          <w:marRight w:val="0"/>
          <w:marTop w:val="0"/>
          <w:marBottom w:val="0"/>
          <w:divBdr>
            <w:top w:val="none" w:sz="0" w:space="0" w:color="auto"/>
            <w:left w:val="none" w:sz="0" w:space="0" w:color="auto"/>
            <w:bottom w:val="none" w:sz="0" w:space="0" w:color="auto"/>
            <w:right w:val="none" w:sz="0" w:space="0" w:color="auto"/>
          </w:divBdr>
        </w:div>
        <w:div w:id="1326133422">
          <w:marLeft w:val="0"/>
          <w:marRight w:val="0"/>
          <w:marTop w:val="0"/>
          <w:marBottom w:val="0"/>
          <w:divBdr>
            <w:top w:val="none" w:sz="0" w:space="0" w:color="auto"/>
            <w:left w:val="none" w:sz="0" w:space="0" w:color="auto"/>
            <w:bottom w:val="none" w:sz="0" w:space="0" w:color="auto"/>
            <w:right w:val="none" w:sz="0" w:space="0" w:color="auto"/>
          </w:divBdr>
        </w:div>
        <w:div w:id="1327636575">
          <w:marLeft w:val="0"/>
          <w:marRight w:val="0"/>
          <w:marTop w:val="0"/>
          <w:marBottom w:val="0"/>
          <w:divBdr>
            <w:top w:val="none" w:sz="0" w:space="0" w:color="auto"/>
            <w:left w:val="none" w:sz="0" w:space="0" w:color="auto"/>
            <w:bottom w:val="none" w:sz="0" w:space="0" w:color="auto"/>
            <w:right w:val="none" w:sz="0" w:space="0" w:color="auto"/>
          </w:divBdr>
        </w:div>
        <w:div w:id="1334726640">
          <w:marLeft w:val="0"/>
          <w:marRight w:val="0"/>
          <w:marTop w:val="0"/>
          <w:marBottom w:val="0"/>
          <w:divBdr>
            <w:top w:val="none" w:sz="0" w:space="0" w:color="auto"/>
            <w:left w:val="none" w:sz="0" w:space="0" w:color="auto"/>
            <w:bottom w:val="none" w:sz="0" w:space="0" w:color="auto"/>
            <w:right w:val="none" w:sz="0" w:space="0" w:color="auto"/>
          </w:divBdr>
        </w:div>
        <w:div w:id="1338383780">
          <w:marLeft w:val="0"/>
          <w:marRight w:val="0"/>
          <w:marTop w:val="0"/>
          <w:marBottom w:val="0"/>
          <w:divBdr>
            <w:top w:val="none" w:sz="0" w:space="0" w:color="auto"/>
            <w:left w:val="none" w:sz="0" w:space="0" w:color="auto"/>
            <w:bottom w:val="none" w:sz="0" w:space="0" w:color="auto"/>
            <w:right w:val="none" w:sz="0" w:space="0" w:color="auto"/>
          </w:divBdr>
        </w:div>
        <w:div w:id="1342007913">
          <w:marLeft w:val="0"/>
          <w:marRight w:val="0"/>
          <w:marTop w:val="0"/>
          <w:marBottom w:val="0"/>
          <w:divBdr>
            <w:top w:val="none" w:sz="0" w:space="0" w:color="auto"/>
            <w:left w:val="none" w:sz="0" w:space="0" w:color="auto"/>
            <w:bottom w:val="none" w:sz="0" w:space="0" w:color="auto"/>
            <w:right w:val="none" w:sz="0" w:space="0" w:color="auto"/>
          </w:divBdr>
        </w:div>
        <w:div w:id="1360619114">
          <w:marLeft w:val="0"/>
          <w:marRight w:val="0"/>
          <w:marTop w:val="0"/>
          <w:marBottom w:val="0"/>
          <w:divBdr>
            <w:top w:val="none" w:sz="0" w:space="0" w:color="auto"/>
            <w:left w:val="none" w:sz="0" w:space="0" w:color="auto"/>
            <w:bottom w:val="none" w:sz="0" w:space="0" w:color="auto"/>
            <w:right w:val="none" w:sz="0" w:space="0" w:color="auto"/>
          </w:divBdr>
        </w:div>
        <w:div w:id="1371802028">
          <w:marLeft w:val="0"/>
          <w:marRight w:val="0"/>
          <w:marTop w:val="0"/>
          <w:marBottom w:val="0"/>
          <w:divBdr>
            <w:top w:val="none" w:sz="0" w:space="0" w:color="auto"/>
            <w:left w:val="none" w:sz="0" w:space="0" w:color="auto"/>
            <w:bottom w:val="none" w:sz="0" w:space="0" w:color="auto"/>
            <w:right w:val="none" w:sz="0" w:space="0" w:color="auto"/>
          </w:divBdr>
        </w:div>
        <w:div w:id="1385131290">
          <w:marLeft w:val="0"/>
          <w:marRight w:val="0"/>
          <w:marTop w:val="0"/>
          <w:marBottom w:val="0"/>
          <w:divBdr>
            <w:top w:val="none" w:sz="0" w:space="0" w:color="auto"/>
            <w:left w:val="none" w:sz="0" w:space="0" w:color="auto"/>
            <w:bottom w:val="none" w:sz="0" w:space="0" w:color="auto"/>
            <w:right w:val="none" w:sz="0" w:space="0" w:color="auto"/>
          </w:divBdr>
        </w:div>
        <w:div w:id="1385448433">
          <w:marLeft w:val="0"/>
          <w:marRight w:val="0"/>
          <w:marTop w:val="0"/>
          <w:marBottom w:val="0"/>
          <w:divBdr>
            <w:top w:val="none" w:sz="0" w:space="0" w:color="auto"/>
            <w:left w:val="none" w:sz="0" w:space="0" w:color="auto"/>
            <w:bottom w:val="none" w:sz="0" w:space="0" w:color="auto"/>
            <w:right w:val="none" w:sz="0" w:space="0" w:color="auto"/>
          </w:divBdr>
        </w:div>
        <w:div w:id="1388989785">
          <w:marLeft w:val="0"/>
          <w:marRight w:val="0"/>
          <w:marTop w:val="0"/>
          <w:marBottom w:val="0"/>
          <w:divBdr>
            <w:top w:val="none" w:sz="0" w:space="0" w:color="auto"/>
            <w:left w:val="none" w:sz="0" w:space="0" w:color="auto"/>
            <w:bottom w:val="none" w:sz="0" w:space="0" w:color="auto"/>
            <w:right w:val="none" w:sz="0" w:space="0" w:color="auto"/>
          </w:divBdr>
        </w:div>
        <w:div w:id="1404571216">
          <w:marLeft w:val="0"/>
          <w:marRight w:val="0"/>
          <w:marTop w:val="0"/>
          <w:marBottom w:val="0"/>
          <w:divBdr>
            <w:top w:val="none" w:sz="0" w:space="0" w:color="auto"/>
            <w:left w:val="none" w:sz="0" w:space="0" w:color="auto"/>
            <w:bottom w:val="none" w:sz="0" w:space="0" w:color="auto"/>
            <w:right w:val="none" w:sz="0" w:space="0" w:color="auto"/>
          </w:divBdr>
        </w:div>
        <w:div w:id="1417554624">
          <w:marLeft w:val="0"/>
          <w:marRight w:val="0"/>
          <w:marTop w:val="0"/>
          <w:marBottom w:val="0"/>
          <w:divBdr>
            <w:top w:val="none" w:sz="0" w:space="0" w:color="auto"/>
            <w:left w:val="none" w:sz="0" w:space="0" w:color="auto"/>
            <w:bottom w:val="none" w:sz="0" w:space="0" w:color="auto"/>
            <w:right w:val="none" w:sz="0" w:space="0" w:color="auto"/>
          </w:divBdr>
        </w:div>
        <w:div w:id="1423917871">
          <w:marLeft w:val="0"/>
          <w:marRight w:val="0"/>
          <w:marTop w:val="0"/>
          <w:marBottom w:val="0"/>
          <w:divBdr>
            <w:top w:val="none" w:sz="0" w:space="0" w:color="auto"/>
            <w:left w:val="none" w:sz="0" w:space="0" w:color="auto"/>
            <w:bottom w:val="none" w:sz="0" w:space="0" w:color="auto"/>
            <w:right w:val="none" w:sz="0" w:space="0" w:color="auto"/>
          </w:divBdr>
        </w:div>
        <w:div w:id="1434400650">
          <w:marLeft w:val="0"/>
          <w:marRight w:val="0"/>
          <w:marTop w:val="0"/>
          <w:marBottom w:val="0"/>
          <w:divBdr>
            <w:top w:val="none" w:sz="0" w:space="0" w:color="auto"/>
            <w:left w:val="none" w:sz="0" w:space="0" w:color="auto"/>
            <w:bottom w:val="none" w:sz="0" w:space="0" w:color="auto"/>
            <w:right w:val="none" w:sz="0" w:space="0" w:color="auto"/>
          </w:divBdr>
        </w:div>
        <w:div w:id="1466196259">
          <w:marLeft w:val="0"/>
          <w:marRight w:val="0"/>
          <w:marTop w:val="0"/>
          <w:marBottom w:val="0"/>
          <w:divBdr>
            <w:top w:val="none" w:sz="0" w:space="0" w:color="auto"/>
            <w:left w:val="none" w:sz="0" w:space="0" w:color="auto"/>
            <w:bottom w:val="none" w:sz="0" w:space="0" w:color="auto"/>
            <w:right w:val="none" w:sz="0" w:space="0" w:color="auto"/>
          </w:divBdr>
        </w:div>
        <w:div w:id="1469937282">
          <w:marLeft w:val="0"/>
          <w:marRight w:val="0"/>
          <w:marTop w:val="0"/>
          <w:marBottom w:val="0"/>
          <w:divBdr>
            <w:top w:val="none" w:sz="0" w:space="0" w:color="auto"/>
            <w:left w:val="none" w:sz="0" w:space="0" w:color="auto"/>
            <w:bottom w:val="none" w:sz="0" w:space="0" w:color="auto"/>
            <w:right w:val="none" w:sz="0" w:space="0" w:color="auto"/>
          </w:divBdr>
        </w:div>
        <w:div w:id="1485008305">
          <w:marLeft w:val="0"/>
          <w:marRight w:val="0"/>
          <w:marTop w:val="0"/>
          <w:marBottom w:val="0"/>
          <w:divBdr>
            <w:top w:val="none" w:sz="0" w:space="0" w:color="auto"/>
            <w:left w:val="none" w:sz="0" w:space="0" w:color="auto"/>
            <w:bottom w:val="none" w:sz="0" w:space="0" w:color="auto"/>
            <w:right w:val="none" w:sz="0" w:space="0" w:color="auto"/>
          </w:divBdr>
        </w:div>
        <w:div w:id="1510828223">
          <w:marLeft w:val="0"/>
          <w:marRight w:val="0"/>
          <w:marTop w:val="0"/>
          <w:marBottom w:val="0"/>
          <w:divBdr>
            <w:top w:val="none" w:sz="0" w:space="0" w:color="auto"/>
            <w:left w:val="none" w:sz="0" w:space="0" w:color="auto"/>
            <w:bottom w:val="none" w:sz="0" w:space="0" w:color="auto"/>
            <w:right w:val="none" w:sz="0" w:space="0" w:color="auto"/>
          </w:divBdr>
        </w:div>
        <w:div w:id="1516503438">
          <w:marLeft w:val="0"/>
          <w:marRight w:val="0"/>
          <w:marTop w:val="0"/>
          <w:marBottom w:val="0"/>
          <w:divBdr>
            <w:top w:val="none" w:sz="0" w:space="0" w:color="auto"/>
            <w:left w:val="none" w:sz="0" w:space="0" w:color="auto"/>
            <w:bottom w:val="none" w:sz="0" w:space="0" w:color="auto"/>
            <w:right w:val="none" w:sz="0" w:space="0" w:color="auto"/>
          </w:divBdr>
        </w:div>
        <w:div w:id="1518234007">
          <w:marLeft w:val="0"/>
          <w:marRight w:val="0"/>
          <w:marTop w:val="0"/>
          <w:marBottom w:val="0"/>
          <w:divBdr>
            <w:top w:val="none" w:sz="0" w:space="0" w:color="auto"/>
            <w:left w:val="none" w:sz="0" w:space="0" w:color="auto"/>
            <w:bottom w:val="none" w:sz="0" w:space="0" w:color="auto"/>
            <w:right w:val="none" w:sz="0" w:space="0" w:color="auto"/>
          </w:divBdr>
        </w:div>
        <w:div w:id="1545170127">
          <w:marLeft w:val="0"/>
          <w:marRight w:val="0"/>
          <w:marTop w:val="0"/>
          <w:marBottom w:val="0"/>
          <w:divBdr>
            <w:top w:val="none" w:sz="0" w:space="0" w:color="auto"/>
            <w:left w:val="none" w:sz="0" w:space="0" w:color="auto"/>
            <w:bottom w:val="none" w:sz="0" w:space="0" w:color="auto"/>
            <w:right w:val="none" w:sz="0" w:space="0" w:color="auto"/>
          </w:divBdr>
        </w:div>
        <w:div w:id="1552228919">
          <w:marLeft w:val="0"/>
          <w:marRight w:val="0"/>
          <w:marTop w:val="0"/>
          <w:marBottom w:val="0"/>
          <w:divBdr>
            <w:top w:val="none" w:sz="0" w:space="0" w:color="auto"/>
            <w:left w:val="none" w:sz="0" w:space="0" w:color="auto"/>
            <w:bottom w:val="none" w:sz="0" w:space="0" w:color="auto"/>
            <w:right w:val="none" w:sz="0" w:space="0" w:color="auto"/>
          </w:divBdr>
        </w:div>
        <w:div w:id="1553157255">
          <w:marLeft w:val="0"/>
          <w:marRight w:val="0"/>
          <w:marTop w:val="0"/>
          <w:marBottom w:val="0"/>
          <w:divBdr>
            <w:top w:val="none" w:sz="0" w:space="0" w:color="auto"/>
            <w:left w:val="none" w:sz="0" w:space="0" w:color="auto"/>
            <w:bottom w:val="none" w:sz="0" w:space="0" w:color="auto"/>
            <w:right w:val="none" w:sz="0" w:space="0" w:color="auto"/>
          </w:divBdr>
        </w:div>
        <w:div w:id="1553887175">
          <w:marLeft w:val="0"/>
          <w:marRight w:val="0"/>
          <w:marTop w:val="0"/>
          <w:marBottom w:val="0"/>
          <w:divBdr>
            <w:top w:val="none" w:sz="0" w:space="0" w:color="auto"/>
            <w:left w:val="none" w:sz="0" w:space="0" w:color="auto"/>
            <w:bottom w:val="none" w:sz="0" w:space="0" w:color="auto"/>
            <w:right w:val="none" w:sz="0" w:space="0" w:color="auto"/>
          </w:divBdr>
        </w:div>
        <w:div w:id="1557736180">
          <w:marLeft w:val="0"/>
          <w:marRight w:val="0"/>
          <w:marTop w:val="0"/>
          <w:marBottom w:val="0"/>
          <w:divBdr>
            <w:top w:val="none" w:sz="0" w:space="0" w:color="auto"/>
            <w:left w:val="none" w:sz="0" w:space="0" w:color="auto"/>
            <w:bottom w:val="none" w:sz="0" w:space="0" w:color="auto"/>
            <w:right w:val="none" w:sz="0" w:space="0" w:color="auto"/>
          </w:divBdr>
        </w:div>
        <w:div w:id="1560239104">
          <w:marLeft w:val="0"/>
          <w:marRight w:val="0"/>
          <w:marTop w:val="0"/>
          <w:marBottom w:val="0"/>
          <w:divBdr>
            <w:top w:val="none" w:sz="0" w:space="0" w:color="auto"/>
            <w:left w:val="none" w:sz="0" w:space="0" w:color="auto"/>
            <w:bottom w:val="none" w:sz="0" w:space="0" w:color="auto"/>
            <w:right w:val="none" w:sz="0" w:space="0" w:color="auto"/>
          </w:divBdr>
        </w:div>
        <w:div w:id="1581711671">
          <w:marLeft w:val="0"/>
          <w:marRight w:val="0"/>
          <w:marTop w:val="0"/>
          <w:marBottom w:val="0"/>
          <w:divBdr>
            <w:top w:val="none" w:sz="0" w:space="0" w:color="auto"/>
            <w:left w:val="none" w:sz="0" w:space="0" w:color="auto"/>
            <w:bottom w:val="none" w:sz="0" w:space="0" w:color="auto"/>
            <w:right w:val="none" w:sz="0" w:space="0" w:color="auto"/>
          </w:divBdr>
        </w:div>
        <w:div w:id="1586068706">
          <w:marLeft w:val="0"/>
          <w:marRight w:val="0"/>
          <w:marTop w:val="0"/>
          <w:marBottom w:val="0"/>
          <w:divBdr>
            <w:top w:val="none" w:sz="0" w:space="0" w:color="auto"/>
            <w:left w:val="none" w:sz="0" w:space="0" w:color="auto"/>
            <w:bottom w:val="none" w:sz="0" w:space="0" w:color="auto"/>
            <w:right w:val="none" w:sz="0" w:space="0" w:color="auto"/>
          </w:divBdr>
        </w:div>
        <w:div w:id="1594588153">
          <w:marLeft w:val="0"/>
          <w:marRight w:val="0"/>
          <w:marTop w:val="0"/>
          <w:marBottom w:val="0"/>
          <w:divBdr>
            <w:top w:val="none" w:sz="0" w:space="0" w:color="auto"/>
            <w:left w:val="none" w:sz="0" w:space="0" w:color="auto"/>
            <w:bottom w:val="none" w:sz="0" w:space="0" w:color="auto"/>
            <w:right w:val="none" w:sz="0" w:space="0" w:color="auto"/>
          </w:divBdr>
          <w:divsChild>
            <w:div w:id="110708195">
              <w:marLeft w:val="0"/>
              <w:marRight w:val="0"/>
              <w:marTop w:val="0"/>
              <w:marBottom w:val="0"/>
              <w:divBdr>
                <w:top w:val="none" w:sz="0" w:space="0" w:color="auto"/>
                <w:left w:val="none" w:sz="0" w:space="0" w:color="auto"/>
                <w:bottom w:val="none" w:sz="0" w:space="0" w:color="auto"/>
                <w:right w:val="none" w:sz="0" w:space="0" w:color="auto"/>
              </w:divBdr>
            </w:div>
            <w:div w:id="356851333">
              <w:marLeft w:val="0"/>
              <w:marRight w:val="0"/>
              <w:marTop w:val="0"/>
              <w:marBottom w:val="0"/>
              <w:divBdr>
                <w:top w:val="none" w:sz="0" w:space="0" w:color="auto"/>
                <w:left w:val="none" w:sz="0" w:space="0" w:color="auto"/>
                <w:bottom w:val="none" w:sz="0" w:space="0" w:color="auto"/>
                <w:right w:val="none" w:sz="0" w:space="0" w:color="auto"/>
              </w:divBdr>
            </w:div>
            <w:div w:id="550338148">
              <w:marLeft w:val="0"/>
              <w:marRight w:val="0"/>
              <w:marTop w:val="0"/>
              <w:marBottom w:val="0"/>
              <w:divBdr>
                <w:top w:val="none" w:sz="0" w:space="0" w:color="auto"/>
                <w:left w:val="none" w:sz="0" w:space="0" w:color="auto"/>
                <w:bottom w:val="none" w:sz="0" w:space="0" w:color="auto"/>
                <w:right w:val="none" w:sz="0" w:space="0" w:color="auto"/>
              </w:divBdr>
            </w:div>
            <w:div w:id="758021332">
              <w:marLeft w:val="0"/>
              <w:marRight w:val="0"/>
              <w:marTop w:val="0"/>
              <w:marBottom w:val="0"/>
              <w:divBdr>
                <w:top w:val="none" w:sz="0" w:space="0" w:color="auto"/>
                <w:left w:val="none" w:sz="0" w:space="0" w:color="auto"/>
                <w:bottom w:val="none" w:sz="0" w:space="0" w:color="auto"/>
                <w:right w:val="none" w:sz="0" w:space="0" w:color="auto"/>
              </w:divBdr>
            </w:div>
            <w:div w:id="825632949">
              <w:marLeft w:val="0"/>
              <w:marRight w:val="0"/>
              <w:marTop w:val="0"/>
              <w:marBottom w:val="0"/>
              <w:divBdr>
                <w:top w:val="none" w:sz="0" w:space="0" w:color="auto"/>
                <w:left w:val="none" w:sz="0" w:space="0" w:color="auto"/>
                <w:bottom w:val="none" w:sz="0" w:space="0" w:color="auto"/>
                <w:right w:val="none" w:sz="0" w:space="0" w:color="auto"/>
              </w:divBdr>
            </w:div>
            <w:div w:id="850026915">
              <w:marLeft w:val="0"/>
              <w:marRight w:val="0"/>
              <w:marTop w:val="0"/>
              <w:marBottom w:val="0"/>
              <w:divBdr>
                <w:top w:val="none" w:sz="0" w:space="0" w:color="auto"/>
                <w:left w:val="none" w:sz="0" w:space="0" w:color="auto"/>
                <w:bottom w:val="none" w:sz="0" w:space="0" w:color="auto"/>
                <w:right w:val="none" w:sz="0" w:space="0" w:color="auto"/>
              </w:divBdr>
            </w:div>
            <w:div w:id="927152596">
              <w:marLeft w:val="0"/>
              <w:marRight w:val="0"/>
              <w:marTop w:val="0"/>
              <w:marBottom w:val="0"/>
              <w:divBdr>
                <w:top w:val="none" w:sz="0" w:space="0" w:color="auto"/>
                <w:left w:val="none" w:sz="0" w:space="0" w:color="auto"/>
                <w:bottom w:val="none" w:sz="0" w:space="0" w:color="auto"/>
                <w:right w:val="none" w:sz="0" w:space="0" w:color="auto"/>
              </w:divBdr>
            </w:div>
            <w:div w:id="1388912316">
              <w:marLeft w:val="0"/>
              <w:marRight w:val="0"/>
              <w:marTop w:val="0"/>
              <w:marBottom w:val="0"/>
              <w:divBdr>
                <w:top w:val="none" w:sz="0" w:space="0" w:color="auto"/>
                <w:left w:val="none" w:sz="0" w:space="0" w:color="auto"/>
                <w:bottom w:val="none" w:sz="0" w:space="0" w:color="auto"/>
                <w:right w:val="none" w:sz="0" w:space="0" w:color="auto"/>
              </w:divBdr>
            </w:div>
            <w:div w:id="1421173648">
              <w:marLeft w:val="0"/>
              <w:marRight w:val="0"/>
              <w:marTop w:val="0"/>
              <w:marBottom w:val="0"/>
              <w:divBdr>
                <w:top w:val="none" w:sz="0" w:space="0" w:color="auto"/>
                <w:left w:val="none" w:sz="0" w:space="0" w:color="auto"/>
                <w:bottom w:val="none" w:sz="0" w:space="0" w:color="auto"/>
                <w:right w:val="none" w:sz="0" w:space="0" w:color="auto"/>
              </w:divBdr>
            </w:div>
            <w:div w:id="1663776120">
              <w:marLeft w:val="0"/>
              <w:marRight w:val="0"/>
              <w:marTop w:val="0"/>
              <w:marBottom w:val="0"/>
              <w:divBdr>
                <w:top w:val="none" w:sz="0" w:space="0" w:color="auto"/>
                <w:left w:val="none" w:sz="0" w:space="0" w:color="auto"/>
                <w:bottom w:val="none" w:sz="0" w:space="0" w:color="auto"/>
                <w:right w:val="none" w:sz="0" w:space="0" w:color="auto"/>
              </w:divBdr>
            </w:div>
            <w:div w:id="1678532380">
              <w:marLeft w:val="0"/>
              <w:marRight w:val="0"/>
              <w:marTop w:val="0"/>
              <w:marBottom w:val="0"/>
              <w:divBdr>
                <w:top w:val="none" w:sz="0" w:space="0" w:color="auto"/>
                <w:left w:val="none" w:sz="0" w:space="0" w:color="auto"/>
                <w:bottom w:val="none" w:sz="0" w:space="0" w:color="auto"/>
                <w:right w:val="none" w:sz="0" w:space="0" w:color="auto"/>
              </w:divBdr>
            </w:div>
            <w:div w:id="1692148137">
              <w:marLeft w:val="0"/>
              <w:marRight w:val="0"/>
              <w:marTop w:val="0"/>
              <w:marBottom w:val="0"/>
              <w:divBdr>
                <w:top w:val="none" w:sz="0" w:space="0" w:color="auto"/>
                <w:left w:val="none" w:sz="0" w:space="0" w:color="auto"/>
                <w:bottom w:val="none" w:sz="0" w:space="0" w:color="auto"/>
                <w:right w:val="none" w:sz="0" w:space="0" w:color="auto"/>
              </w:divBdr>
            </w:div>
            <w:div w:id="1719082809">
              <w:marLeft w:val="0"/>
              <w:marRight w:val="0"/>
              <w:marTop w:val="0"/>
              <w:marBottom w:val="0"/>
              <w:divBdr>
                <w:top w:val="none" w:sz="0" w:space="0" w:color="auto"/>
                <w:left w:val="none" w:sz="0" w:space="0" w:color="auto"/>
                <w:bottom w:val="none" w:sz="0" w:space="0" w:color="auto"/>
                <w:right w:val="none" w:sz="0" w:space="0" w:color="auto"/>
              </w:divBdr>
            </w:div>
            <w:div w:id="1732389744">
              <w:marLeft w:val="0"/>
              <w:marRight w:val="0"/>
              <w:marTop w:val="0"/>
              <w:marBottom w:val="0"/>
              <w:divBdr>
                <w:top w:val="none" w:sz="0" w:space="0" w:color="auto"/>
                <w:left w:val="none" w:sz="0" w:space="0" w:color="auto"/>
                <w:bottom w:val="none" w:sz="0" w:space="0" w:color="auto"/>
                <w:right w:val="none" w:sz="0" w:space="0" w:color="auto"/>
              </w:divBdr>
            </w:div>
            <w:div w:id="1738431850">
              <w:marLeft w:val="0"/>
              <w:marRight w:val="0"/>
              <w:marTop w:val="0"/>
              <w:marBottom w:val="0"/>
              <w:divBdr>
                <w:top w:val="none" w:sz="0" w:space="0" w:color="auto"/>
                <w:left w:val="none" w:sz="0" w:space="0" w:color="auto"/>
                <w:bottom w:val="none" w:sz="0" w:space="0" w:color="auto"/>
                <w:right w:val="none" w:sz="0" w:space="0" w:color="auto"/>
              </w:divBdr>
            </w:div>
            <w:div w:id="1770589601">
              <w:marLeft w:val="0"/>
              <w:marRight w:val="0"/>
              <w:marTop w:val="0"/>
              <w:marBottom w:val="0"/>
              <w:divBdr>
                <w:top w:val="none" w:sz="0" w:space="0" w:color="auto"/>
                <w:left w:val="none" w:sz="0" w:space="0" w:color="auto"/>
                <w:bottom w:val="none" w:sz="0" w:space="0" w:color="auto"/>
                <w:right w:val="none" w:sz="0" w:space="0" w:color="auto"/>
              </w:divBdr>
            </w:div>
            <w:div w:id="1815177241">
              <w:marLeft w:val="0"/>
              <w:marRight w:val="0"/>
              <w:marTop w:val="0"/>
              <w:marBottom w:val="0"/>
              <w:divBdr>
                <w:top w:val="none" w:sz="0" w:space="0" w:color="auto"/>
                <w:left w:val="none" w:sz="0" w:space="0" w:color="auto"/>
                <w:bottom w:val="none" w:sz="0" w:space="0" w:color="auto"/>
                <w:right w:val="none" w:sz="0" w:space="0" w:color="auto"/>
              </w:divBdr>
            </w:div>
            <w:div w:id="1821312673">
              <w:marLeft w:val="0"/>
              <w:marRight w:val="0"/>
              <w:marTop w:val="0"/>
              <w:marBottom w:val="0"/>
              <w:divBdr>
                <w:top w:val="none" w:sz="0" w:space="0" w:color="auto"/>
                <w:left w:val="none" w:sz="0" w:space="0" w:color="auto"/>
                <w:bottom w:val="none" w:sz="0" w:space="0" w:color="auto"/>
                <w:right w:val="none" w:sz="0" w:space="0" w:color="auto"/>
              </w:divBdr>
            </w:div>
            <w:div w:id="1838186137">
              <w:marLeft w:val="0"/>
              <w:marRight w:val="0"/>
              <w:marTop w:val="0"/>
              <w:marBottom w:val="0"/>
              <w:divBdr>
                <w:top w:val="none" w:sz="0" w:space="0" w:color="auto"/>
                <w:left w:val="none" w:sz="0" w:space="0" w:color="auto"/>
                <w:bottom w:val="none" w:sz="0" w:space="0" w:color="auto"/>
                <w:right w:val="none" w:sz="0" w:space="0" w:color="auto"/>
              </w:divBdr>
            </w:div>
            <w:div w:id="1870753912">
              <w:marLeft w:val="0"/>
              <w:marRight w:val="0"/>
              <w:marTop w:val="0"/>
              <w:marBottom w:val="0"/>
              <w:divBdr>
                <w:top w:val="none" w:sz="0" w:space="0" w:color="auto"/>
                <w:left w:val="none" w:sz="0" w:space="0" w:color="auto"/>
                <w:bottom w:val="none" w:sz="0" w:space="0" w:color="auto"/>
                <w:right w:val="none" w:sz="0" w:space="0" w:color="auto"/>
              </w:divBdr>
            </w:div>
          </w:divsChild>
        </w:div>
        <w:div w:id="1601644492">
          <w:marLeft w:val="0"/>
          <w:marRight w:val="0"/>
          <w:marTop w:val="0"/>
          <w:marBottom w:val="0"/>
          <w:divBdr>
            <w:top w:val="none" w:sz="0" w:space="0" w:color="auto"/>
            <w:left w:val="none" w:sz="0" w:space="0" w:color="auto"/>
            <w:bottom w:val="none" w:sz="0" w:space="0" w:color="auto"/>
            <w:right w:val="none" w:sz="0" w:space="0" w:color="auto"/>
          </w:divBdr>
        </w:div>
        <w:div w:id="1611744533">
          <w:marLeft w:val="0"/>
          <w:marRight w:val="0"/>
          <w:marTop w:val="0"/>
          <w:marBottom w:val="0"/>
          <w:divBdr>
            <w:top w:val="none" w:sz="0" w:space="0" w:color="auto"/>
            <w:left w:val="none" w:sz="0" w:space="0" w:color="auto"/>
            <w:bottom w:val="none" w:sz="0" w:space="0" w:color="auto"/>
            <w:right w:val="none" w:sz="0" w:space="0" w:color="auto"/>
          </w:divBdr>
        </w:div>
        <w:div w:id="1615402231">
          <w:marLeft w:val="0"/>
          <w:marRight w:val="0"/>
          <w:marTop w:val="0"/>
          <w:marBottom w:val="0"/>
          <w:divBdr>
            <w:top w:val="none" w:sz="0" w:space="0" w:color="auto"/>
            <w:left w:val="none" w:sz="0" w:space="0" w:color="auto"/>
            <w:bottom w:val="none" w:sz="0" w:space="0" w:color="auto"/>
            <w:right w:val="none" w:sz="0" w:space="0" w:color="auto"/>
          </w:divBdr>
        </w:div>
        <w:div w:id="1627814614">
          <w:marLeft w:val="0"/>
          <w:marRight w:val="0"/>
          <w:marTop w:val="0"/>
          <w:marBottom w:val="0"/>
          <w:divBdr>
            <w:top w:val="none" w:sz="0" w:space="0" w:color="auto"/>
            <w:left w:val="none" w:sz="0" w:space="0" w:color="auto"/>
            <w:bottom w:val="none" w:sz="0" w:space="0" w:color="auto"/>
            <w:right w:val="none" w:sz="0" w:space="0" w:color="auto"/>
          </w:divBdr>
        </w:div>
        <w:div w:id="1640114859">
          <w:marLeft w:val="0"/>
          <w:marRight w:val="0"/>
          <w:marTop w:val="0"/>
          <w:marBottom w:val="0"/>
          <w:divBdr>
            <w:top w:val="none" w:sz="0" w:space="0" w:color="auto"/>
            <w:left w:val="none" w:sz="0" w:space="0" w:color="auto"/>
            <w:bottom w:val="none" w:sz="0" w:space="0" w:color="auto"/>
            <w:right w:val="none" w:sz="0" w:space="0" w:color="auto"/>
          </w:divBdr>
        </w:div>
        <w:div w:id="1640457989">
          <w:marLeft w:val="0"/>
          <w:marRight w:val="0"/>
          <w:marTop w:val="0"/>
          <w:marBottom w:val="0"/>
          <w:divBdr>
            <w:top w:val="none" w:sz="0" w:space="0" w:color="auto"/>
            <w:left w:val="none" w:sz="0" w:space="0" w:color="auto"/>
            <w:bottom w:val="none" w:sz="0" w:space="0" w:color="auto"/>
            <w:right w:val="none" w:sz="0" w:space="0" w:color="auto"/>
          </w:divBdr>
        </w:div>
        <w:div w:id="1642421897">
          <w:marLeft w:val="0"/>
          <w:marRight w:val="0"/>
          <w:marTop w:val="0"/>
          <w:marBottom w:val="0"/>
          <w:divBdr>
            <w:top w:val="none" w:sz="0" w:space="0" w:color="auto"/>
            <w:left w:val="none" w:sz="0" w:space="0" w:color="auto"/>
            <w:bottom w:val="none" w:sz="0" w:space="0" w:color="auto"/>
            <w:right w:val="none" w:sz="0" w:space="0" w:color="auto"/>
          </w:divBdr>
        </w:div>
        <w:div w:id="1686321237">
          <w:marLeft w:val="0"/>
          <w:marRight w:val="0"/>
          <w:marTop w:val="0"/>
          <w:marBottom w:val="0"/>
          <w:divBdr>
            <w:top w:val="none" w:sz="0" w:space="0" w:color="auto"/>
            <w:left w:val="none" w:sz="0" w:space="0" w:color="auto"/>
            <w:bottom w:val="none" w:sz="0" w:space="0" w:color="auto"/>
            <w:right w:val="none" w:sz="0" w:space="0" w:color="auto"/>
          </w:divBdr>
        </w:div>
        <w:div w:id="1690132840">
          <w:marLeft w:val="0"/>
          <w:marRight w:val="0"/>
          <w:marTop w:val="0"/>
          <w:marBottom w:val="0"/>
          <w:divBdr>
            <w:top w:val="none" w:sz="0" w:space="0" w:color="auto"/>
            <w:left w:val="none" w:sz="0" w:space="0" w:color="auto"/>
            <w:bottom w:val="none" w:sz="0" w:space="0" w:color="auto"/>
            <w:right w:val="none" w:sz="0" w:space="0" w:color="auto"/>
          </w:divBdr>
        </w:div>
        <w:div w:id="1692493844">
          <w:marLeft w:val="0"/>
          <w:marRight w:val="0"/>
          <w:marTop w:val="0"/>
          <w:marBottom w:val="0"/>
          <w:divBdr>
            <w:top w:val="none" w:sz="0" w:space="0" w:color="auto"/>
            <w:left w:val="none" w:sz="0" w:space="0" w:color="auto"/>
            <w:bottom w:val="none" w:sz="0" w:space="0" w:color="auto"/>
            <w:right w:val="none" w:sz="0" w:space="0" w:color="auto"/>
          </w:divBdr>
        </w:div>
        <w:div w:id="1709866372">
          <w:marLeft w:val="0"/>
          <w:marRight w:val="0"/>
          <w:marTop w:val="0"/>
          <w:marBottom w:val="0"/>
          <w:divBdr>
            <w:top w:val="none" w:sz="0" w:space="0" w:color="auto"/>
            <w:left w:val="none" w:sz="0" w:space="0" w:color="auto"/>
            <w:bottom w:val="none" w:sz="0" w:space="0" w:color="auto"/>
            <w:right w:val="none" w:sz="0" w:space="0" w:color="auto"/>
          </w:divBdr>
        </w:div>
        <w:div w:id="1720350374">
          <w:marLeft w:val="0"/>
          <w:marRight w:val="0"/>
          <w:marTop w:val="0"/>
          <w:marBottom w:val="0"/>
          <w:divBdr>
            <w:top w:val="none" w:sz="0" w:space="0" w:color="auto"/>
            <w:left w:val="none" w:sz="0" w:space="0" w:color="auto"/>
            <w:bottom w:val="none" w:sz="0" w:space="0" w:color="auto"/>
            <w:right w:val="none" w:sz="0" w:space="0" w:color="auto"/>
          </w:divBdr>
        </w:div>
        <w:div w:id="1723361076">
          <w:marLeft w:val="0"/>
          <w:marRight w:val="0"/>
          <w:marTop w:val="0"/>
          <w:marBottom w:val="0"/>
          <w:divBdr>
            <w:top w:val="none" w:sz="0" w:space="0" w:color="auto"/>
            <w:left w:val="none" w:sz="0" w:space="0" w:color="auto"/>
            <w:bottom w:val="none" w:sz="0" w:space="0" w:color="auto"/>
            <w:right w:val="none" w:sz="0" w:space="0" w:color="auto"/>
          </w:divBdr>
        </w:div>
        <w:div w:id="1733625538">
          <w:marLeft w:val="0"/>
          <w:marRight w:val="0"/>
          <w:marTop w:val="0"/>
          <w:marBottom w:val="0"/>
          <w:divBdr>
            <w:top w:val="none" w:sz="0" w:space="0" w:color="auto"/>
            <w:left w:val="none" w:sz="0" w:space="0" w:color="auto"/>
            <w:bottom w:val="none" w:sz="0" w:space="0" w:color="auto"/>
            <w:right w:val="none" w:sz="0" w:space="0" w:color="auto"/>
          </w:divBdr>
        </w:div>
        <w:div w:id="1742944248">
          <w:marLeft w:val="0"/>
          <w:marRight w:val="0"/>
          <w:marTop w:val="0"/>
          <w:marBottom w:val="0"/>
          <w:divBdr>
            <w:top w:val="none" w:sz="0" w:space="0" w:color="auto"/>
            <w:left w:val="none" w:sz="0" w:space="0" w:color="auto"/>
            <w:bottom w:val="none" w:sz="0" w:space="0" w:color="auto"/>
            <w:right w:val="none" w:sz="0" w:space="0" w:color="auto"/>
          </w:divBdr>
        </w:div>
        <w:div w:id="1746998982">
          <w:marLeft w:val="0"/>
          <w:marRight w:val="0"/>
          <w:marTop w:val="0"/>
          <w:marBottom w:val="0"/>
          <w:divBdr>
            <w:top w:val="none" w:sz="0" w:space="0" w:color="auto"/>
            <w:left w:val="none" w:sz="0" w:space="0" w:color="auto"/>
            <w:bottom w:val="none" w:sz="0" w:space="0" w:color="auto"/>
            <w:right w:val="none" w:sz="0" w:space="0" w:color="auto"/>
          </w:divBdr>
        </w:div>
        <w:div w:id="1757169543">
          <w:marLeft w:val="0"/>
          <w:marRight w:val="0"/>
          <w:marTop w:val="0"/>
          <w:marBottom w:val="0"/>
          <w:divBdr>
            <w:top w:val="none" w:sz="0" w:space="0" w:color="auto"/>
            <w:left w:val="none" w:sz="0" w:space="0" w:color="auto"/>
            <w:bottom w:val="none" w:sz="0" w:space="0" w:color="auto"/>
            <w:right w:val="none" w:sz="0" w:space="0" w:color="auto"/>
          </w:divBdr>
        </w:div>
        <w:div w:id="1766531976">
          <w:marLeft w:val="0"/>
          <w:marRight w:val="0"/>
          <w:marTop w:val="0"/>
          <w:marBottom w:val="0"/>
          <w:divBdr>
            <w:top w:val="none" w:sz="0" w:space="0" w:color="auto"/>
            <w:left w:val="none" w:sz="0" w:space="0" w:color="auto"/>
            <w:bottom w:val="none" w:sz="0" w:space="0" w:color="auto"/>
            <w:right w:val="none" w:sz="0" w:space="0" w:color="auto"/>
          </w:divBdr>
        </w:div>
        <w:div w:id="1771008135">
          <w:marLeft w:val="0"/>
          <w:marRight w:val="0"/>
          <w:marTop w:val="0"/>
          <w:marBottom w:val="0"/>
          <w:divBdr>
            <w:top w:val="none" w:sz="0" w:space="0" w:color="auto"/>
            <w:left w:val="none" w:sz="0" w:space="0" w:color="auto"/>
            <w:bottom w:val="none" w:sz="0" w:space="0" w:color="auto"/>
            <w:right w:val="none" w:sz="0" w:space="0" w:color="auto"/>
          </w:divBdr>
        </w:div>
        <w:div w:id="1792432117">
          <w:marLeft w:val="0"/>
          <w:marRight w:val="0"/>
          <w:marTop w:val="0"/>
          <w:marBottom w:val="0"/>
          <w:divBdr>
            <w:top w:val="none" w:sz="0" w:space="0" w:color="auto"/>
            <w:left w:val="none" w:sz="0" w:space="0" w:color="auto"/>
            <w:bottom w:val="none" w:sz="0" w:space="0" w:color="auto"/>
            <w:right w:val="none" w:sz="0" w:space="0" w:color="auto"/>
          </w:divBdr>
        </w:div>
        <w:div w:id="1800144909">
          <w:marLeft w:val="0"/>
          <w:marRight w:val="0"/>
          <w:marTop w:val="0"/>
          <w:marBottom w:val="0"/>
          <w:divBdr>
            <w:top w:val="none" w:sz="0" w:space="0" w:color="auto"/>
            <w:left w:val="none" w:sz="0" w:space="0" w:color="auto"/>
            <w:bottom w:val="none" w:sz="0" w:space="0" w:color="auto"/>
            <w:right w:val="none" w:sz="0" w:space="0" w:color="auto"/>
          </w:divBdr>
        </w:div>
        <w:div w:id="1803231151">
          <w:marLeft w:val="0"/>
          <w:marRight w:val="0"/>
          <w:marTop w:val="0"/>
          <w:marBottom w:val="0"/>
          <w:divBdr>
            <w:top w:val="none" w:sz="0" w:space="0" w:color="auto"/>
            <w:left w:val="none" w:sz="0" w:space="0" w:color="auto"/>
            <w:bottom w:val="none" w:sz="0" w:space="0" w:color="auto"/>
            <w:right w:val="none" w:sz="0" w:space="0" w:color="auto"/>
          </w:divBdr>
        </w:div>
        <w:div w:id="1803498020">
          <w:marLeft w:val="0"/>
          <w:marRight w:val="0"/>
          <w:marTop w:val="0"/>
          <w:marBottom w:val="0"/>
          <w:divBdr>
            <w:top w:val="none" w:sz="0" w:space="0" w:color="auto"/>
            <w:left w:val="none" w:sz="0" w:space="0" w:color="auto"/>
            <w:bottom w:val="none" w:sz="0" w:space="0" w:color="auto"/>
            <w:right w:val="none" w:sz="0" w:space="0" w:color="auto"/>
          </w:divBdr>
        </w:div>
        <w:div w:id="1842888420">
          <w:marLeft w:val="0"/>
          <w:marRight w:val="0"/>
          <w:marTop w:val="0"/>
          <w:marBottom w:val="0"/>
          <w:divBdr>
            <w:top w:val="none" w:sz="0" w:space="0" w:color="auto"/>
            <w:left w:val="none" w:sz="0" w:space="0" w:color="auto"/>
            <w:bottom w:val="none" w:sz="0" w:space="0" w:color="auto"/>
            <w:right w:val="none" w:sz="0" w:space="0" w:color="auto"/>
          </w:divBdr>
          <w:divsChild>
            <w:div w:id="58752026">
              <w:marLeft w:val="0"/>
              <w:marRight w:val="0"/>
              <w:marTop w:val="0"/>
              <w:marBottom w:val="0"/>
              <w:divBdr>
                <w:top w:val="none" w:sz="0" w:space="0" w:color="auto"/>
                <w:left w:val="none" w:sz="0" w:space="0" w:color="auto"/>
                <w:bottom w:val="none" w:sz="0" w:space="0" w:color="auto"/>
                <w:right w:val="none" w:sz="0" w:space="0" w:color="auto"/>
              </w:divBdr>
            </w:div>
            <w:div w:id="202178959">
              <w:marLeft w:val="0"/>
              <w:marRight w:val="0"/>
              <w:marTop w:val="0"/>
              <w:marBottom w:val="0"/>
              <w:divBdr>
                <w:top w:val="none" w:sz="0" w:space="0" w:color="auto"/>
                <w:left w:val="none" w:sz="0" w:space="0" w:color="auto"/>
                <w:bottom w:val="none" w:sz="0" w:space="0" w:color="auto"/>
                <w:right w:val="none" w:sz="0" w:space="0" w:color="auto"/>
              </w:divBdr>
            </w:div>
            <w:div w:id="306739115">
              <w:marLeft w:val="0"/>
              <w:marRight w:val="0"/>
              <w:marTop w:val="0"/>
              <w:marBottom w:val="0"/>
              <w:divBdr>
                <w:top w:val="none" w:sz="0" w:space="0" w:color="auto"/>
                <w:left w:val="none" w:sz="0" w:space="0" w:color="auto"/>
                <w:bottom w:val="none" w:sz="0" w:space="0" w:color="auto"/>
                <w:right w:val="none" w:sz="0" w:space="0" w:color="auto"/>
              </w:divBdr>
            </w:div>
            <w:div w:id="495147628">
              <w:marLeft w:val="0"/>
              <w:marRight w:val="0"/>
              <w:marTop w:val="0"/>
              <w:marBottom w:val="0"/>
              <w:divBdr>
                <w:top w:val="none" w:sz="0" w:space="0" w:color="auto"/>
                <w:left w:val="none" w:sz="0" w:space="0" w:color="auto"/>
                <w:bottom w:val="none" w:sz="0" w:space="0" w:color="auto"/>
                <w:right w:val="none" w:sz="0" w:space="0" w:color="auto"/>
              </w:divBdr>
            </w:div>
            <w:div w:id="513956402">
              <w:marLeft w:val="0"/>
              <w:marRight w:val="0"/>
              <w:marTop w:val="0"/>
              <w:marBottom w:val="0"/>
              <w:divBdr>
                <w:top w:val="none" w:sz="0" w:space="0" w:color="auto"/>
                <w:left w:val="none" w:sz="0" w:space="0" w:color="auto"/>
                <w:bottom w:val="none" w:sz="0" w:space="0" w:color="auto"/>
                <w:right w:val="none" w:sz="0" w:space="0" w:color="auto"/>
              </w:divBdr>
            </w:div>
            <w:div w:id="565339553">
              <w:marLeft w:val="0"/>
              <w:marRight w:val="0"/>
              <w:marTop w:val="0"/>
              <w:marBottom w:val="0"/>
              <w:divBdr>
                <w:top w:val="none" w:sz="0" w:space="0" w:color="auto"/>
                <w:left w:val="none" w:sz="0" w:space="0" w:color="auto"/>
                <w:bottom w:val="none" w:sz="0" w:space="0" w:color="auto"/>
                <w:right w:val="none" w:sz="0" w:space="0" w:color="auto"/>
              </w:divBdr>
            </w:div>
            <w:div w:id="1021130775">
              <w:marLeft w:val="0"/>
              <w:marRight w:val="0"/>
              <w:marTop w:val="0"/>
              <w:marBottom w:val="0"/>
              <w:divBdr>
                <w:top w:val="none" w:sz="0" w:space="0" w:color="auto"/>
                <w:left w:val="none" w:sz="0" w:space="0" w:color="auto"/>
                <w:bottom w:val="none" w:sz="0" w:space="0" w:color="auto"/>
                <w:right w:val="none" w:sz="0" w:space="0" w:color="auto"/>
              </w:divBdr>
            </w:div>
            <w:div w:id="1158889088">
              <w:marLeft w:val="0"/>
              <w:marRight w:val="0"/>
              <w:marTop w:val="0"/>
              <w:marBottom w:val="0"/>
              <w:divBdr>
                <w:top w:val="none" w:sz="0" w:space="0" w:color="auto"/>
                <w:left w:val="none" w:sz="0" w:space="0" w:color="auto"/>
                <w:bottom w:val="none" w:sz="0" w:space="0" w:color="auto"/>
                <w:right w:val="none" w:sz="0" w:space="0" w:color="auto"/>
              </w:divBdr>
            </w:div>
            <w:div w:id="1368992567">
              <w:marLeft w:val="0"/>
              <w:marRight w:val="0"/>
              <w:marTop w:val="0"/>
              <w:marBottom w:val="0"/>
              <w:divBdr>
                <w:top w:val="none" w:sz="0" w:space="0" w:color="auto"/>
                <w:left w:val="none" w:sz="0" w:space="0" w:color="auto"/>
                <w:bottom w:val="none" w:sz="0" w:space="0" w:color="auto"/>
                <w:right w:val="none" w:sz="0" w:space="0" w:color="auto"/>
              </w:divBdr>
            </w:div>
            <w:div w:id="1388916573">
              <w:marLeft w:val="0"/>
              <w:marRight w:val="0"/>
              <w:marTop w:val="0"/>
              <w:marBottom w:val="0"/>
              <w:divBdr>
                <w:top w:val="none" w:sz="0" w:space="0" w:color="auto"/>
                <w:left w:val="none" w:sz="0" w:space="0" w:color="auto"/>
                <w:bottom w:val="none" w:sz="0" w:space="0" w:color="auto"/>
                <w:right w:val="none" w:sz="0" w:space="0" w:color="auto"/>
              </w:divBdr>
            </w:div>
            <w:div w:id="1418789928">
              <w:marLeft w:val="0"/>
              <w:marRight w:val="0"/>
              <w:marTop w:val="0"/>
              <w:marBottom w:val="0"/>
              <w:divBdr>
                <w:top w:val="none" w:sz="0" w:space="0" w:color="auto"/>
                <w:left w:val="none" w:sz="0" w:space="0" w:color="auto"/>
                <w:bottom w:val="none" w:sz="0" w:space="0" w:color="auto"/>
                <w:right w:val="none" w:sz="0" w:space="0" w:color="auto"/>
              </w:divBdr>
            </w:div>
            <w:div w:id="1421685103">
              <w:marLeft w:val="0"/>
              <w:marRight w:val="0"/>
              <w:marTop w:val="0"/>
              <w:marBottom w:val="0"/>
              <w:divBdr>
                <w:top w:val="none" w:sz="0" w:space="0" w:color="auto"/>
                <w:left w:val="none" w:sz="0" w:space="0" w:color="auto"/>
                <w:bottom w:val="none" w:sz="0" w:space="0" w:color="auto"/>
                <w:right w:val="none" w:sz="0" w:space="0" w:color="auto"/>
              </w:divBdr>
            </w:div>
            <w:div w:id="1461805289">
              <w:marLeft w:val="0"/>
              <w:marRight w:val="0"/>
              <w:marTop w:val="0"/>
              <w:marBottom w:val="0"/>
              <w:divBdr>
                <w:top w:val="none" w:sz="0" w:space="0" w:color="auto"/>
                <w:left w:val="none" w:sz="0" w:space="0" w:color="auto"/>
                <w:bottom w:val="none" w:sz="0" w:space="0" w:color="auto"/>
                <w:right w:val="none" w:sz="0" w:space="0" w:color="auto"/>
              </w:divBdr>
            </w:div>
            <w:div w:id="1583299514">
              <w:marLeft w:val="0"/>
              <w:marRight w:val="0"/>
              <w:marTop w:val="0"/>
              <w:marBottom w:val="0"/>
              <w:divBdr>
                <w:top w:val="none" w:sz="0" w:space="0" w:color="auto"/>
                <w:left w:val="none" w:sz="0" w:space="0" w:color="auto"/>
                <w:bottom w:val="none" w:sz="0" w:space="0" w:color="auto"/>
                <w:right w:val="none" w:sz="0" w:space="0" w:color="auto"/>
              </w:divBdr>
            </w:div>
            <w:div w:id="1900902405">
              <w:marLeft w:val="0"/>
              <w:marRight w:val="0"/>
              <w:marTop w:val="0"/>
              <w:marBottom w:val="0"/>
              <w:divBdr>
                <w:top w:val="none" w:sz="0" w:space="0" w:color="auto"/>
                <w:left w:val="none" w:sz="0" w:space="0" w:color="auto"/>
                <w:bottom w:val="none" w:sz="0" w:space="0" w:color="auto"/>
                <w:right w:val="none" w:sz="0" w:space="0" w:color="auto"/>
              </w:divBdr>
            </w:div>
            <w:div w:id="1953776764">
              <w:marLeft w:val="0"/>
              <w:marRight w:val="0"/>
              <w:marTop w:val="0"/>
              <w:marBottom w:val="0"/>
              <w:divBdr>
                <w:top w:val="none" w:sz="0" w:space="0" w:color="auto"/>
                <w:left w:val="none" w:sz="0" w:space="0" w:color="auto"/>
                <w:bottom w:val="none" w:sz="0" w:space="0" w:color="auto"/>
                <w:right w:val="none" w:sz="0" w:space="0" w:color="auto"/>
              </w:divBdr>
            </w:div>
            <w:div w:id="2006207138">
              <w:marLeft w:val="0"/>
              <w:marRight w:val="0"/>
              <w:marTop w:val="0"/>
              <w:marBottom w:val="0"/>
              <w:divBdr>
                <w:top w:val="none" w:sz="0" w:space="0" w:color="auto"/>
                <w:left w:val="none" w:sz="0" w:space="0" w:color="auto"/>
                <w:bottom w:val="none" w:sz="0" w:space="0" w:color="auto"/>
                <w:right w:val="none" w:sz="0" w:space="0" w:color="auto"/>
              </w:divBdr>
            </w:div>
            <w:div w:id="2014334090">
              <w:marLeft w:val="0"/>
              <w:marRight w:val="0"/>
              <w:marTop w:val="0"/>
              <w:marBottom w:val="0"/>
              <w:divBdr>
                <w:top w:val="none" w:sz="0" w:space="0" w:color="auto"/>
                <w:left w:val="none" w:sz="0" w:space="0" w:color="auto"/>
                <w:bottom w:val="none" w:sz="0" w:space="0" w:color="auto"/>
                <w:right w:val="none" w:sz="0" w:space="0" w:color="auto"/>
              </w:divBdr>
            </w:div>
            <w:div w:id="2026058610">
              <w:marLeft w:val="0"/>
              <w:marRight w:val="0"/>
              <w:marTop w:val="0"/>
              <w:marBottom w:val="0"/>
              <w:divBdr>
                <w:top w:val="none" w:sz="0" w:space="0" w:color="auto"/>
                <w:left w:val="none" w:sz="0" w:space="0" w:color="auto"/>
                <w:bottom w:val="none" w:sz="0" w:space="0" w:color="auto"/>
                <w:right w:val="none" w:sz="0" w:space="0" w:color="auto"/>
              </w:divBdr>
            </w:div>
            <w:div w:id="2077702733">
              <w:marLeft w:val="0"/>
              <w:marRight w:val="0"/>
              <w:marTop w:val="0"/>
              <w:marBottom w:val="0"/>
              <w:divBdr>
                <w:top w:val="none" w:sz="0" w:space="0" w:color="auto"/>
                <w:left w:val="none" w:sz="0" w:space="0" w:color="auto"/>
                <w:bottom w:val="none" w:sz="0" w:space="0" w:color="auto"/>
                <w:right w:val="none" w:sz="0" w:space="0" w:color="auto"/>
              </w:divBdr>
            </w:div>
          </w:divsChild>
        </w:div>
        <w:div w:id="1843277717">
          <w:marLeft w:val="0"/>
          <w:marRight w:val="0"/>
          <w:marTop w:val="0"/>
          <w:marBottom w:val="0"/>
          <w:divBdr>
            <w:top w:val="none" w:sz="0" w:space="0" w:color="auto"/>
            <w:left w:val="none" w:sz="0" w:space="0" w:color="auto"/>
            <w:bottom w:val="none" w:sz="0" w:space="0" w:color="auto"/>
            <w:right w:val="none" w:sz="0" w:space="0" w:color="auto"/>
          </w:divBdr>
        </w:div>
        <w:div w:id="1845436494">
          <w:marLeft w:val="0"/>
          <w:marRight w:val="0"/>
          <w:marTop w:val="0"/>
          <w:marBottom w:val="0"/>
          <w:divBdr>
            <w:top w:val="none" w:sz="0" w:space="0" w:color="auto"/>
            <w:left w:val="none" w:sz="0" w:space="0" w:color="auto"/>
            <w:bottom w:val="none" w:sz="0" w:space="0" w:color="auto"/>
            <w:right w:val="none" w:sz="0" w:space="0" w:color="auto"/>
          </w:divBdr>
        </w:div>
        <w:div w:id="1852407743">
          <w:marLeft w:val="0"/>
          <w:marRight w:val="0"/>
          <w:marTop w:val="0"/>
          <w:marBottom w:val="0"/>
          <w:divBdr>
            <w:top w:val="none" w:sz="0" w:space="0" w:color="auto"/>
            <w:left w:val="none" w:sz="0" w:space="0" w:color="auto"/>
            <w:bottom w:val="none" w:sz="0" w:space="0" w:color="auto"/>
            <w:right w:val="none" w:sz="0" w:space="0" w:color="auto"/>
          </w:divBdr>
        </w:div>
        <w:div w:id="1861435336">
          <w:marLeft w:val="0"/>
          <w:marRight w:val="0"/>
          <w:marTop w:val="0"/>
          <w:marBottom w:val="0"/>
          <w:divBdr>
            <w:top w:val="none" w:sz="0" w:space="0" w:color="auto"/>
            <w:left w:val="none" w:sz="0" w:space="0" w:color="auto"/>
            <w:bottom w:val="none" w:sz="0" w:space="0" w:color="auto"/>
            <w:right w:val="none" w:sz="0" w:space="0" w:color="auto"/>
          </w:divBdr>
        </w:div>
        <w:div w:id="1885215085">
          <w:marLeft w:val="0"/>
          <w:marRight w:val="0"/>
          <w:marTop w:val="0"/>
          <w:marBottom w:val="0"/>
          <w:divBdr>
            <w:top w:val="none" w:sz="0" w:space="0" w:color="auto"/>
            <w:left w:val="none" w:sz="0" w:space="0" w:color="auto"/>
            <w:bottom w:val="none" w:sz="0" w:space="0" w:color="auto"/>
            <w:right w:val="none" w:sz="0" w:space="0" w:color="auto"/>
          </w:divBdr>
        </w:div>
        <w:div w:id="1889603333">
          <w:marLeft w:val="0"/>
          <w:marRight w:val="0"/>
          <w:marTop w:val="0"/>
          <w:marBottom w:val="0"/>
          <w:divBdr>
            <w:top w:val="none" w:sz="0" w:space="0" w:color="auto"/>
            <w:left w:val="none" w:sz="0" w:space="0" w:color="auto"/>
            <w:bottom w:val="none" w:sz="0" w:space="0" w:color="auto"/>
            <w:right w:val="none" w:sz="0" w:space="0" w:color="auto"/>
          </w:divBdr>
        </w:div>
        <w:div w:id="1890217990">
          <w:marLeft w:val="0"/>
          <w:marRight w:val="0"/>
          <w:marTop w:val="0"/>
          <w:marBottom w:val="0"/>
          <w:divBdr>
            <w:top w:val="none" w:sz="0" w:space="0" w:color="auto"/>
            <w:left w:val="none" w:sz="0" w:space="0" w:color="auto"/>
            <w:bottom w:val="none" w:sz="0" w:space="0" w:color="auto"/>
            <w:right w:val="none" w:sz="0" w:space="0" w:color="auto"/>
          </w:divBdr>
        </w:div>
        <w:div w:id="1890264268">
          <w:marLeft w:val="0"/>
          <w:marRight w:val="0"/>
          <w:marTop w:val="0"/>
          <w:marBottom w:val="0"/>
          <w:divBdr>
            <w:top w:val="none" w:sz="0" w:space="0" w:color="auto"/>
            <w:left w:val="none" w:sz="0" w:space="0" w:color="auto"/>
            <w:bottom w:val="none" w:sz="0" w:space="0" w:color="auto"/>
            <w:right w:val="none" w:sz="0" w:space="0" w:color="auto"/>
          </w:divBdr>
        </w:div>
        <w:div w:id="1891651416">
          <w:marLeft w:val="0"/>
          <w:marRight w:val="0"/>
          <w:marTop w:val="0"/>
          <w:marBottom w:val="0"/>
          <w:divBdr>
            <w:top w:val="none" w:sz="0" w:space="0" w:color="auto"/>
            <w:left w:val="none" w:sz="0" w:space="0" w:color="auto"/>
            <w:bottom w:val="none" w:sz="0" w:space="0" w:color="auto"/>
            <w:right w:val="none" w:sz="0" w:space="0" w:color="auto"/>
          </w:divBdr>
        </w:div>
        <w:div w:id="1893229924">
          <w:marLeft w:val="0"/>
          <w:marRight w:val="0"/>
          <w:marTop w:val="0"/>
          <w:marBottom w:val="0"/>
          <w:divBdr>
            <w:top w:val="none" w:sz="0" w:space="0" w:color="auto"/>
            <w:left w:val="none" w:sz="0" w:space="0" w:color="auto"/>
            <w:bottom w:val="none" w:sz="0" w:space="0" w:color="auto"/>
            <w:right w:val="none" w:sz="0" w:space="0" w:color="auto"/>
          </w:divBdr>
        </w:div>
        <w:div w:id="1904758857">
          <w:marLeft w:val="0"/>
          <w:marRight w:val="0"/>
          <w:marTop w:val="0"/>
          <w:marBottom w:val="0"/>
          <w:divBdr>
            <w:top w:val="none" w:sz="0" w:space="0" w:color="auto"/>
            <w:left w:val="none" w:sz="0" w:space="0" w:color="auto"/>
            <w:bottom w:val="none" w:sz="0" w:space="0" w:color="auto"/>
            <w:right w:val="none" w:sz="0" w:space="0" w:color="auto"/>
          </w:divBdr>
        </w:div>
        <w:div w:id="1934194032">
          <w:marLeft w:val="0"/>
          <w:marRight w:val="0"/>
          <w:marTop w:val="0"/>
          <w:marBottom w:val="0"/>
          <w:divBdr>
            <w:top w:val="none" w:sz="0" w:space="0" w:color="auto"/>
            <w:left w:val="none" w:sz="0" w:space="0" w:color="auto"/>
            <w:bottom w:val="none" w:sz="0" w:space="0" w:color="auto"/>
            <w:right w:val="none" w:sz="0" w:space="0" w:color="auto"/>
          </w:divBdr>
        </w:div>
        <w:div w:id="1945065869">
          <w:marLeft w:val="0"/>
          <w:marRight w:val="0"/>
          <w:marTop w:val="0"/>
          <w:marBottom w:val="0"/>
          <w:divBdr>
            <w:top w:val="none" w:sz="0" w:space="0" w:color="auto"/>
            <w:left w:val="none" w:sz="0" w:space="0" w:color="auto"/>
            <w:bottom w:val="none" w:sz="0" w:space="0" w:color="auto"/>
            <w:right w:val="none" w:sz="0" w:space="0" w:color="auto"/>
          </w:divBdr>
        </w:div>
        <w:div w:id="1966766615">
          <w:marLeft w:val="0"/>
          <w:marRight w:val="0"/>
          <w:marTop w:val="0"/>
          <w:marBottom w:val="0"/>
          <w:divBdr>
            <w:top w:val="none" w:sz="0" w:space="0" w:color="auto"/>
            <w:left w:val="none" w:sz="0" w:space="0" w:color="auto"/>
            <w:bottom w:val="none" w:sz="0" w:space="0" w:color="auto"/>
            <w:right w:val="none" w:sz="0" w:space="0" w:color="auto"/>
          </w:divBdr>
        </w:div>
        <w:div w:id="1971478410">
          <w:marLeft w:val="0"/>
          <w:marRight w:val="0"/>
          <w:marTop w:val="0"/>
          <w:marBottom w:val="0"/>
          <w:divBdr>
            <w:top w:val="none" w:sz="0" w:space="0" w:color="auto"/>
            <w:left w:val="none" w:sz="0" w:space="0" w:color="auto"/>
            <w:bottom w:val="none" w:sz="0" w:space="0" w:color="auto"/>
            <w:right w:val="none" w:sz="0" w:space="0" w:color="auto"/>
          </w:divBdr>
        </w:div>
        <w:div w:id="2033803254">
          <w:marLeft w:val="0"/>
          <w:marRight w:val="0"/>
          <w:marTop w:val="0"/>
          <w:marBottom w:val="0"/>
          <w:divBdr>
            <w:top w:val="none" w:sz="0" w:space="0" w:color="auto"/>
            <w:left w:val="none" w:sz="0" w:space="0" w:color="auto"/>
            <w:bottom w:val="none" w:sz="0" w:space="0" w:color="auto"/>
            <w:right w:val="none" w:sz="0" w:space="0" w:color="auto"/>
          </w:divBdr>
        </w:div>
        <w:div w:id="2044205784">
          <w:marLeft w:val="0"/>
          <w:marRight w:val="0"/>
          <w:marTop w:val="0"/>
          <w:marBottom w:val="0"/>
          <w:divBdr>
            <w:top w:val="none" w:sz="0" w:space="0" w:color="auto"/>
            <w:left w:val="none" w:sz="0" w:space="0" w:color="auto"/>
            <w:bottom w:val="none" w:sz="0" w:space="0" w:color="auto"/>
            <w:right w:val="none" w:sz="0" w:space="0" w:color="auto"/>
          </w:divBdr>
        </w:div>
        <w:div w:id="2059545802">
          <w:marLeft w:val="0"/>
          <w:marRight w:val="0"/>
          <w:marTop w:val="0"/>
          <w:marBottom w:val="0"/>
          <w:divBdr>
            <w:top w:val="none" w:sz="0" w:space="0" w:color="auto"/>
            <w:left w:val="none" w:sz="0" w:space="0" w:color="auto"/>
            <w:bottom w:val="none" w:sz="0" w:space="0" w:color="auto"/>
            <w:right w:val="none" w:sz="0" w:space="0" w:color="auto"/>
          </w:divBdr>
        </w:div>
        <w:div w:id="2067793628">
          <w:marLeft w:val="0"/>
          <w:marRight w:val="0"/>
          <w:marTop w:val="0"/>
          <w:marBottom w:val="0"/>
          <w:divBdr>
            <w:top w:val="none" w:sz="0" w:space="0" w:color="auto"/>
            <w:left w:val="none" w:sz="0" w:space="0" w:color="auto"/>
            <w:bottom w:val="none" w:sz="0" w:space="0" w:color="auto"/>
            <w:right w:val="none" w:sz="0" w:space="0" w:color="auto"/>
          </w:divBdr>
        </w:div>
        <w:div w:id="2107922491">
          <w:marLeft w:val="0"/>
          <w:marRight w:val="0"/>
          <w:marTop w:val="0"/>
          <w:marBottom w:val="0"/>
          <w:divBdr>
            <w:top w:val="none" w:sz="0" w:space="0" w:color="auto"/>
            <w:left w:val="none" w:sz="0" w:space="0" w:color="auto"/>
            <w:bottom w:val="none" w:sz="0" w:space="0" w:color="auto"/>
            <w:right w:val="none" w:sz="0" w:space="0" w:color="auto"/>
          </w:divBdr>
        </w:div>
        <w:div w:id="2112161264">
          <w:marLeft w:val="0"/>
          <w:marRight w:val="0"/>
          <w:marTop w:val="0"/>
          <w:marBottom w:val="0"/>
          <w:divBdr>
            <w:top w:val="none" w:sz="0" w:space="0" w:color="auto"/>
            <w:left w:val="none" w:sz="0" w:space="0" w:color="auto"/>
            <w:bottom w:val="none" w:sz="0" w:space="0" w:color="auto"/>
            <w:right w:val="none" w:sz="0" w:space="0" w:color="auto"/>
          </w:divBdr>
        </w:div>
        <w:div w:id="2125533654">
          <w:marLeft w:val="0"/>
          <w:marRight w:val="0"/>
          <w:marTop w:val="0"/>
          <w:marBottom w:val="0"/>
          <w:divBdr>
            <w:top w:val="none" w:sz="0" w:space="0" w:color="auto"/>
            <w:left w:val="none" w:sz="0" w:space="0" w:color="auto"/>
            <w:bottom w:val="none" w:sz="0" w:space="0" w:color="auto"/>
            <w:right w:val="none" w:sz="0" w:space="0" w:color="auto"/>
          </w:divBdr>
        </w:div>
        <w:div w:id="2134979518">
          <w:marLeft w:val="0"/>
          <w:marRight w:val="0"/>
          <w:marTop w:val="0"/>
          <w:marBottom w:val="0"/>
          <w:divBdr>
            <w:top w:val="none" w:sz="0" w:space="0" w:color="auto"/>
            <w:left w:val="none" w:sz="0" w:space="0" w:color="auto"/>
            <w:bottom w:val="none" w:sz="0" w:space="0" w:color="auto"/>
            <w:right w:val="none" w:sz="0" w:space="0" w:color="auto"/>
          </w:divBdr>
        </w:div>
      </w:divsChild>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 w:id="1825930663">
      <w:bodyDiv w:val="1"/>
      <w:marLeft w:val="0"/>
      <w:marRight w:val="0"/>
      <w:marTop w:val="0"/>
      <w:marBottom w:val="0"/>
      <w:divBdr>
        <w:top w:val="none" w:sz="0" w:space="0" w:color="auto"/>
        <w:left w:val="none" w:sz="0" w:space="0" w:color="auto"/>
        <w:bottom w:val="none" w:sz="0" w:space="0" w:color="auto"/>
        <w:right w:val="none" w:sz="0" w:space="0" w:color="auto"/>
      </w:divBdr>
    </w:div>
    <w:div w:id="189268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Recs/compendiopdf-s/2018-05-s.pdf" TargetMode="External"/><Relationship Id="rId18" Type="http://schemas.openxmlformats.org/officeDocument/2006/relationships/hyperlink" Target="https://www.iccat.int/Documents/Recs/compendiopdf-s/2016-11-s.pdf" TargetMode="External"/><Relationship Id="rId26" Type="http://schemas.openxmlformats.org/officeDocument/2006/relationships/hyperlink" Target="https://www.iccat.int/Documents/BienRep/REP_ES_24-25-I-1.pdf" TargetMode="External"/><Relationship Id="rId39" Type="http://schemas.openxmlformats.org/officeDocument/2006/relationships/hyperlink" Target="https://www.iccat.int/Documents/Recs/compendiopdf-s/2015-13-s.pdf" TargetMode="External"/><Relationship Id="rId21" Type="http://schemas.openxmlformats.org/officeDocument/2006/relationships/hyperlink" Target="https://www.iccat.int/Documents/Recs/compendiopdf-s/2008-09-s.pdf" TargetMode="External"/><Relationship Id="rId34" Type="http://schemas.openxmlformats.org/officeDocument/2006/relationships/hyperlink" Target="https://www.iccat.int/Documents/Recs/compendiopdf-s/2015-13-s.pdf" TargetMode="External"/><Relationship Id="rId42" Type="http://schemas.openxmlformats.org/officeDocument/2006/relationships/hyperlink" Target="https://www.iccat.int/Documents/Recs/compendiopdf-s/2023-10-s.pdf"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ccat.int/Documents/Recs/compendiopdf-s/2022-12-s.pdf" TargetMode="External"/><Relationship Id="rId29" Type="http://schemas.openxmlformats.org/officeDocument/2006/relationships/hyperlink" Target="https://www.iccat.int/Documents/Recs/compendiopdf-s/2024-05-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s/2016-17-s.pdf" TargetMode="External"/><Relationship Id="rId24" Type="http://schemas.openxmlformats.org/officeDocument/2006/relationships/hyperlink" Target="https://www.iccat.int/Documents/Recs/compendiopdf-s/2006-13-s.pdf" TargetMode="External"/><Relationship Id="rId32" Type="http://schemas.openxmlformats.org/officeDocument/2006/relationships/hyperlink" Target="https://www.iccat.int/Documents/Recs/compendiopdf-s/2024-01-s.pdf" TargetMode="External"/><Relationship Id="rId37" Type="http://schemas.openxmlformats.org/officeDocument/2006/relationships/hyperlink" Target="https://www.iccat.int/Documents/Recs/compendiopdf-s/2022-06-s.pdf" TargetMode="External"/><Relationship Id="rId40" Type="http://schemas.openxmlformats.org/officeDocument/2006/relationships/hyperlink" Target="https://www.iccat.int/Documents/Recs/compendiopdf-s/2019-05-s.pdf"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ccat.int/Documents/Recs/compendiopdf-s/2016-14-s.pdf" TargetMode="External"/><Relationship Id="rId23" Type="http://schemas.openxmlformats.org/officeDocument/2006/relationships/hyperlink" Target="https://www.iccat.int/Documents/Recs/compendiopdf-s/2006-13-s.pdf" TargetMode="External"/><Relationship Id="rId28" Type="http://schemas.openxmlformats.org/officeDocument/2006/relationships/hyperlink" Target="http://www.iccat.int/es/vesselsrecord.asp" TargetMode="External"/><Relationship Id="rId36" Type="http://schemas.openxmlformats.org/officeDocument/2006/relationships/hyperlink" Target="https://www.iccat.int/Documents/Recs/compendiopdf-s/2024-05-s.pdf" TargetMode="External"/><Relationship Id="rId10" Type="http://schemas.openxmlformats.org/officeDocument/2006/relationships/endnotes" Target="endnotes.xml"/><Relationship Id="rId19" Type="http://schemas.openxmlformats.org/officeDocument/2006/relationships/hyperlink" Target="https://www.iccat.int/Documents/Recs/compendiopdf-s/2005-09-s.pdf" TargetMode="External"/><Relationship Id="rId31" Type="http://schemas.openxmlformats.org/officeDocument/2006/relationships/hyperlink" Target="https://www.iccat.int/Documents/Recs/compendiopdf-s/2015-13-s.pdf"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uments/Recs/compendiopdf-s/2018-06-s.pdf" TargetMode="External"/><Relationship Id="rId22" Type="http://schemas.openxmlformats.org/officeDocument/2006/relationships/hyperlink" Target="https://www.iccat.int/Documents/Recs/compendiopdf-s/2008-09-s.pdf" TargetMode="External"/><Relationship Id="rId27" Type="http://schemas.openxmlformats.org/officeDocument/2006/relationships/hyperlink" Target="https://www.iccat.int/Documents/Recs/compendiopdf-s/2024-15-s.pdf" TargetMode="External"/><Relationship Id="rId30" Type="http://schemas.openxmlformats.org/officeDocument/2006/relationships/hyperlink" Target="https://secretariat.iccat.online/index.php/s/YxK8jPqkysM3nj3" TargetMode="External"/><Relationship Id="rId35" Type="http://schemas.openxmlformats.org/officeDocument/2006/relationships/hyperlink" Target="https://www.iccat.int/Documents/Recs/compendiopdf-s/2024-05-s.pdf" TargetMode="External"/><Relationship Id="rId43" Type="http://schemas.openxmlformats.org/officeDocument/2006/relationships/hyperlink" Target="https://www.iccat.int/Documents/Recs/compendiopdf-s/2023-11-s.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ccat.int/Documents/Recs/compendiopdf-s/2023-17-s.pdf" TargetMode="External"/><Relationship Id="rId17" Type="http://schemas.openxmlformats.org/officeDocument/2006/relationships/hyperlink" Target="https://www.iccat.int/Documents/Recs/compendiopdf-s/2023-13-s.pdf" TargetMode="External"/><Relationship Id="rId25" Type="http://schemas.openxmlformats.org/officeDocument/2006/relationships/hyperlink" Target="https://www.iccat.int/Documents/Recs/compendiopdf-s/2022-18-s.pdf" TargetMode="External"/><Relationship Id="rId33" Type="http://schemas.openxmlformats.org/officeDocument/2006/relationships/hyperlink" Target="https://www.iccat.int/Documents/Recs/compendiopdf-s/2024-04-s.pdf" TargetMode="External"/><Relationship Id="rId38" Type="http://schemas.openxmlformats.org/officeDocument/2006/relationships/hyperlink" Target="https://www.iccat.int/Documents/Recs/compendiopdf-s/2015-13-s.pdf" TargetMode="External"/><Relationship Id="rId46" Type="http://schemas.openxmlformats.org/officeDocument/2006/relationships/fontTable" Target="fontTable.xml"/><Relationship Id="rId20" Type="http://schemas.openxmlformats.org/officeDocument/2006/relationships/hyperlink" Target="https://www.iccat.int/Documents/Recs/compendiopdf-s/2011-15-s.pdf" TargetMode="External"/><Relationship Id="rId41" Type="http://schemas.openxmlformats.org/officeDocument/2006/relationships/hyperlink" Target="https://www.iccat.int/Documents/Recs/compendiopdf-s/2023-10-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1F43E-0BA5-4FDC-A75B-2A633E4FFBD8}">
  <ds:schemaRefs>
    <ds:schemaRef ds:uri="http://schemas.openxmlformats.org/officeDocument/2006/bibliography"/>
  </ds:schemaRefs>
</ds:datastoreItem>
</file>

<file path=customXml/itemProps2.xml><?xml version="1.0" encoding="utf-8"?>
<ds:datastoreItem xmlns:ds="http://schemas.openxmlformats.org/officeDocument/2006/customXml" ds:itemID="{F4A0FD8E-CDB7-40A6-8A20-97A5D0DAA546}">
  <ds:schemaRefs>
    <ds:schemaRef ds:uri="http://schemas.microsoft.com/sharepoint/v3/contenttype/forms"/>
  </ds:schemaRefs>
</ds:datastoreItem>
</file>

<file path=customXml/itemProps3.xml><?xml version="1.0" encoding="utf-8"?>
<ds:datastoreItem xmlns:ds="http://schemas.openxmlformats.org/officeDocument/2006/customXml" ds:itemID="{E8765880-EB00-4ED3-BECC-C19FE4E480DA}">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4.xml><?xml version="1.0" encoding="utf-8"?>
<ds:datastoreItem xmlns:ds="http://schemas.openxmlformats.org/officeDocument/2006/customXml" ds:itemID="{40E7A4F1-850C-47C6-ABCC-51D04F140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21</Pages>
  <Words>8511</Words>
  <Characters>46812</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Author</cp:lastModifiedBy>
  <cp:revision>39</cp:revision>
  <cp:lastPrinted>2025-10-22T10:19:00Z</cp:lastPrinted>
  <dcterms:created xsi:type="dcterms:W3CDTF">2025-11-13T10:44:00Z</dcterms:created>
  <dcterms:modified xsi:type="dcterms:W3CDTF">2025-11-14T19:00:00Z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